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8.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harts/chart19.xml" ContentType="application/vnd.openxmlformats-officedocument.drawingml.chart+xml"/>
  <Override PartName="/word/charts/chart2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2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26.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charts/chart27.xml" ContentType="application/vnd.openxmlformats-officedocument.drawingml.chart+xml"/>
  <Override PartName="/word/charts/chart28.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34.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A56A" w14:textId="65767907" w:rsidR="008E7434" w:rsidRPr="00A33DD2" w:rsidRDefault="00616870" w:rsidP="00F76882">
      <w:pPr>
        <w:pStyle w:val="StyleTitle"/>
      </w:pPr>
      <w:bookmarkStart w:id="0" w:name="_Toc392153866"/>
      <w:bookmarkStart w:id="1" w:name="_Toc418771169"/>
      <w:r w:rsidRPr="00A33DD2">
        <w:t xml:space="preserve">Australian Trachoma Surveillance Report </w:t>
      </w:r>
      <w:bookmarkEnd w:id="0"/>
      <w:bookmarkEnd w:id="1"/>
      <w:r w:rsidR="00E76BB4" w:rsidRPr="00A33DD2">
        <w:t>202</w:t>
      </w:r>
      <w:r w:rsidR="006B6738" w:rsidRPr="00A33DD2">
        <w:t>4</w:t>
      </w:r>
    </w:p>
    <w:p w14:paraId="0C399B5E" w14:textId="77777777" w:rsidR="00E977FA" w:rsidRPr="003D3BBA" w:rsidRDefault="005536E1" w:rsidP="00F76882">
      <w:r w:rsidRPr="00F57624">
        <w:t xml:space="preserve">The </w:t>
      </w:r>
      <w:r w:rsidRPr="003D3BBA">
        <w:t>Kirby Institute, UNSW Sydney</w:t>
      </w:r>
    </w:p>
    <w:p w14:paraId="190A200B" w14:textId="0E7A44AA" w:rsidR="008E7434" w:rsidRPr="003D3BBA" w:rsidRDefault="00EF0738" w:rsidP="00F76882">
      <w:r w:rsidRPr="003D3BBA">
        <w:t xml:space="preserve">WHO Collaborating Centre </w:t>
      </w:r>
      <w:r w:rsidR="00E60485" w:rsidRPr="003D3BBA">
        <w:t xml:space="preserve">for </w:t>
      </w:r>
      <w:r w:rsidR="006E3E71" w:rsidRPr="003D3BBA">
        <w:t>Neglected Tropical Dise</w:t>
      </w:r>
      <w:r w:rsidR="000E49C4" w:rsidRPr="003D3BBA">
        <w:t>a</w:t>
      </w:r>
      <w:r w:rsidR="006E3E71" w:rsidRPr="003D3BBA">
        <w:t>ses</w:t>
      </w:r>
      <w:r w:rsidR="003D0E0E" w:rsidRPr="003D3BBA">
        <w:t>*</w:t>
      </w:r>
    </w:p>
    <w:p w14:paraId="347C16FF" w14:textId="1EFFDD54" w:rsidR="002103E4" w:rsidRPr="003D3BBA" w:rsidRDefault="00616870" w:rsidP="00F76882">
      <w:r w:rsidRPr="003D3BBA">
        <w:t>Prepared by the National Trachoma Surveillance and Reporting Unit</w:t>
      </w:r>
      <w:r w:rsidR="003D0E0E" w:rsidRPr="003D3BBA">
        <w:t xml:space="preserve"> at t</w:t>
      </w:r>
      <w:r w:rsidRPr="003D3BBA">
        <w:t xml:space="preserve">he Kirby Institute, </w:t>
      </w:r>
      <w:r w:rsidR="00701CE5" w:rsidRPr="003D3BBA">
        <w:t xml:space="preserve">UNSW </w:t>
      </w:r>
      <w:r w:rsidR="008749FC" w:rsidRPr="003D3BBA">
        <w:t>Sydney</w:t>
      </w:r>
      <w:r w:rsidR="00E652FB" w:rsidRPr="003D3BBA">
        <w:t xml:space="preserve"> o</w:t>
      </w:r>
      <w:r w:rsidR="00C63E03" w:rsidRPr="003D3BBA">
        <w:t>n behalf of Australian organisations involved in trachoma control activities, under a funding agreement with the Australian Government</w:t>
      </w:r>
      <w:bookmarkStart w:id="2" w:name="_Toc360460769"/>
      <w:r w:rsidR="0073237F" w:rsidRPr="003D3BBA">
        <w:t>.</w:t>
      </w:r>
    </w:p>
    <w:p w14:paraId="7E8B3BF2" w14:textId="41DCC426" w:rsidR="003775C3" w:rsidRPr="00096570" w:rsidRDefault="003D0E0E" w:rsidP="00096570">
      <w:r w:rsidRPr="00096570">
        <w:t xml:space="preserve">* </w:t>
      </w:r>
      <w:r w:rsidR="00BB70A0" w:rsidRPr="00096570">
        <w:t>Formerly the</w:t>
      </w:r>
      <w:r w:rsidRPr="00096570">
        <w:t xml:space="preserve"> WHO Collaborating Centre </w:t>
      </w:r>
      <w:r w:rsidR="00E60485" w:rsidRPr="00096570">
        <w:t xml:space="preserve">for </w:t>
      </w:r>
      <w:r w:rsidR="006E3E71" w:rsidRPr="00096570">
        <w:t xml:space="preserve">Trachoma </w:t>
      </w:r>
      <w:r w:rsidR="00BB70A0" w:rsidRPr="00096570">
        <w:t>(2018</w:t>
      </w:r>
      <w:r w:rsidR="003D00CE" w:rsidRPr="00096570">
        <w:t>–</w:t>
      </w:r>
      <w:r w:rsidR="006E3E71" w:rsidRPr="00096570">
        <w:t>2022</w:t>
      </w:r>
      <w:r w:rsidR="00BB70A0" w:rsidRPr="00096570">
        <w:t>)</w:t>
      </w:r>
      <w:r w:rsidR="006E3E71" w:rsidRPr="00096570">
        <w:t>.</w:t>
      </w:r>
    </w:p>
    <w:p w14:paraId="2C209847" w14:textId="04D90673" w:rsidR="003775C3" w:rsidRDefault="003775C3" w:rsidP="00F76882">
      <w:r w:rsidRPr="003D3BBA">
        <w:t xml:space="preserve">The National Trachoma Surveillance and Reporting Unit for the Australian Government </w:t>
      </w:r>
      <w:r w:rsidR="00466104" w:rsidRPr="003D3BBA">
        <w:t>Department of Health, Disability and Ageing</w:t>
      </w:r>
      <w:r w:rsidRPr="003D3BBA">
        <w:t xml:space="preserve">. Australian Trachoma Surveillance Report </w:t>
      </w:r>
      <w:r w:rsidR="00E76BB4" w:rsidRPr="003D3BBA">
        <w:t>202</w:t>
      </w:r>
      <w:r w:rsidR="006B6738" w:rsidRPr="003D3BBA">
        <w:t>4</w:t>
      </w:r>
      <w:r w:rsidRPr="003D3BBA">
        <w:t>. Sydney: The Kirby Institute, UNSW Sydney; 202</w:t>
      </w:r>
      <w:r w:rsidR="006B6738" w:rsidRPr="003D3BBA">
        <w:t>5</w:t>
      </w:r>
      <w:r w:rsidRPr="003D3BBA">
        <w:t>.</w:t>
      </w:r>
    </w:p>
    <w:p w14:paraId="58847B0A" w14:textId="419650C8" w:rsidR="00F57624" w:rsidRPr="003D3BBA" w:rsidRDefault="00F57624" w:rsidP="00F76882">
      <w:r w:rsidRPr="00F57624">
        <w:t>This publication was funded by the Australian Government Department of Health, Disability and Ageing. The views expressed in this publication do not necessarily represent the position of the Australian Government.</w:t>
      </w:r>
    </w:p>
    <w:p w14:paraId="48FFBACC" w14:textId="77777777" w:rsidR="003C4ED0" w:rsidRPr="003D3BBA" w:rsidRDefault="003C4ED0" w:rsidP="00F76882">
      <w:r w:rsidRPr="003D3BBA">
        <w:br w:type="page"/>
      </w:r>
    </w:p>
    <w:bookmarkStart w:id="3" w:name="_Toc392153867" w:displacedByCustomXml="next"/>
    <w:sdt>
      <w:sdtPr>
        <w:rPr>
          <w:lang w:val="en-GB"/>
        </w:rPr>
        <w:id w:val="895553240"/>
        <w:docPartObj>
          <w:docPartGallery w:val="Table of Contents"/>
          <w:docPartUnique/>
        </w:docPartObj>
      </w:sdtPr>
      <w:sdtEndPr>
        <w:rPr>
          <w:rFonts w:ascii="Calibri" w:hAnsi="Calibri" w:cs="Times New Roman"/>
          <w:color w:val="675E47" w:themeColor="text2"/>
          <w:sz w:val="24"/>
          <w:szCs w:val="24"/>
          <w:lang w:eastAsia="en-GB"/>
        </w:rPr>
      </w:sdtEndPr>
      <w:sdtContent>
        <w:p w14:paraId="0A55D950" w14:textId="3446C999" w:rsidR="00096570" w:rsidRDefault="00096570">
          <w:pPr>
            <w:pStyle w:val="TOCHeading"/>
          </w:pPr>
          <w:r>
            <w:rPr>
              <w:lang w:val="en-GB"/>
            </w:rPr>
            <w:t>Contents</w:t>
          </w:r>
        </w:p>
        <w:p w14:paraId="3EF84ED9" w14:textId="0628F3C1" w:rsidR="00B42625" w:rsidRPr="00B42625" w:rsidRDefault="00B42625">
          <w:pPr>
            <w:pStyle w:val="TOC1"/>
            <w:tabs>
              <w:tab w:val="right" w:leader="dot" w:pos="10456"/>
            </w:tabs>
            <w:rPr>
              <w:b w:val="0"/>
              <w:bCs w:val="0"/>
              <w:caps w:val="0"/>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215236921" w:history="1">
            <w:r w:rsidRPr="005D02A9">
              <w:rPr>
                <w:rStyle w:val="Hyperlink"/>
                <w:noProof/>
              </w:rPr>
              <w:t>List of Figures</w:t>
            </w:r>
            <w:r>
              <w:rPr>
                <w:noProof/>
                <w:webHidden/>
              </w:rPr>
              <w:tab/>
            </w:r>
            <w:r>
              <w:rPr>
                <w:noProof/>
                <w:webHidden/>
              </w:rPr>
              <w:fldChar w:fldCharType="begin"/>
            </w:r>
            <w:r>
              <w:rPr>
                <w:noProof/>
                <w:webHidden/>
              </w:rPr>
              <w:instrText xml:space="preserve"> PAGEREF _Toc215236921 \h </w:instrText>
            </w:r>
            <w:r>
              <w:rPr>
                <w:noProof/>
                <w:webHidden/>
              </w:rPr>
            </w:r>
            <w:r>
              <w:rPr>
                <w:noProof/>
                <w:webHidden/>
              </w:rPr>
              <w:fldChar w:fldCharType="separate"/>
            </w:r>
            <w:r>
              <w:rPr>
                <w:noProof/>
                <w:webHidden/>
              </w:rPr>
              <w:t>4</w:t>
            </w:r>
            <w:r>
              <w:rPr>
                <w:noProof/>
                <w:webHidden/>
              </w:rPr>
              <w:fldChar w:fldCharType="end"/>
            </w:r>
          </w:hyperlink>
        </w:p>
        <w:p w14:paraId="56F5C108" w14:textId="04F9E593" w:rsidR="00B42625" w:rsidRPr="00B42625" w:rsidRDefault="00B42625">
          <w:pPr>
            <w:pStyle w:val="TOC1"/>
            <w:tabs>
              <w:tab w:val="right" w:leader="dot" w:pos="10456"/>
            </w:tabs>
            <w:rPr>
              <w:b w:val="0"/>
              <w:bCs w:val="0"/>
              <w:caps w:val="0"/>
            </w:rPr>
          </w:pPr>
          <w:hyperlink w:anchor="_Toc215236922" w:history="1">
            <w:r w:rsidRPr="005D02A9">
              <w:rPr>
                <w:rStyle w:val="Hyperlink"/>
                <w:noProof/>
              </w:rPr>
              <w:t>List of Tables</w:t>
            </w:r>
            <w:r>
              <w:rPr>
                <w:noProof/>
                <w:webHidden/>
              </w:rPr>
              <w:tab/>
            </w:r>
            <w:r>
              <w:rPr>
                <w:noProof/>
                <w:webHidden/>
              </w:rPr>
              <w:fldChar w:fldCharType="begin"/>
            </w:r>
            <w:r>
              <w:rPr>
                <w:noProof/>
                <w:webHidden/>
              </w:rPr>
              <w:instrText xml:space="preserve"> PAGEREF _Toc215236922 \h </w:instrText>
            </w:r>
            <w:r>
              <w:rPr>
                <w:noProof/>
                <w:webHidden/>
              </w:rPr>
            </w:r>
            <w:r>
              <w:rPr>
                <w:noProof/>
                <w:webHidden/>
              </w:rPr>
              <w:fldChar w:fldCharType="separate"/>
            </w:r>
            <w:r>
              <w:rPr>
                <w:noProof/>
                <w:webHidden/>
              </w:rPr>
              <w:t>7</w:t>
            </w:r>
            <w:r>
              <w:rPr>
                <w:noProof/>
                <w:webHidden/>
              </w:rPr>
              <w:fldChar w:fldCharType="end"/>
            </w:r>
          </w:hyperlink>
        </w:p>
        <w:p w14:paraId="2CFB46D2" w14:textId="60B65C83" w:rsidR="00B42625" w:rsidRPr="00B42625" w:rsidRDefault="00B42625">
          <w:pPr>
            <w:pStyle w:val="TOC1"/>
            <w:tabs>
              <w:tab w:val="right" w:leader="dot" w:pos="10456"/>
            </w:tabs>
            <w:rPr>
              <w:b w:val="0"/>
              <w:bCs w:val="0"/>
              <w:caps w:val="0"/>
            </w:rPr>
          </w:pPr>
          <w:hyperlink w:anchor="_Toc215236923" w:history="1">
            <w:r w:rsidRPr="005D02A9">
              <w:rPr>
                <w:rStyle w:val="Hyperlink"/>
                <w:noProof/>
              </w:rPr>
              <w:t>Preface</w:t>
            </w:r>
            <w:r>
              <w:rPr>
                <w:noProof/>
                <w:webHidden/>
              </w:rPr>
              <w:tab/>
            </w:r>
            <w:r>
              <w:rPr>
                <w:noProof/>
                <w:webHidden/>
              </w:rPr>
              <w:fldChar w:fldCharType="begin"/>
            </w:r>
            <w:r>
              <w:rPr>
                <w:noProof/>
                <w:webHidden/>
              </w:rPr>
              <w:instrText xml:space="preserve"> PAGEREF _Toc215236923 \h </w:instrText>
            </w:r>
            <w:r>
              <w:rPr>
                <w:noProof/>
                <w:webHidden/>
              </w:rPr>
            </w:r>
            <w:r>
              <w:rPr>
                <w:noProof/>
                <w:webHidden/>
              </w:rPr>
              <w:fldChar w:fldCharType="separate"/>
            </w:r>
            <w:r>
              <w:rPr>
                <w:noProof/>
                <w:webHidden/>
              </w:rPr>
              <w:t>9</w:t>
            </w:r>
            <w:r>
              <w:rPr>
                <w:noProof/>
                <w:webHidden/>
              </w:rPr>
              <w:fldChar w:fldCharType="end"/>
            </w:r>
          </w:hyperlink>
        </w:p>
        <w:p w14:paraId="3ED8A3E1" w14:textId="7DE188A6" w:rsidR="00B42625" w:rsidRPr="00B42625" w:rsidRDefault="00B42625">
          <w:pPr>
            <w:pStyle w:val="TOC1"/>
            <w:tabs>
              <w:tab w:val="right" w:leader="dot" w:pos="10456"/>
            </w:tabs>
            <w:rPr>
              <w:b w:val="0"/>
              <w:bCs w:val="0"/>
              <w:caps w:val="0"/>
            </w:rPr>
          </w:pPr>
          <w:hyperlink w:anchor="_Toc215236924" w:history="1">
            <w:r w:rsidRPr="005D02A9">
              <w:rPr>
                <w:rStyle w:val="Hyperlink"/>
                <w:noProof/>
              </w:rPr>
              <w:t>Acknowledgements</w:t>
            </w:r>
            <w:r>
              <w:rPr>
                <w:noProof/>
                <w:webHidden/>
              </w:rPr>
              <w:tab/>
            </w:r>
            <w:r>
              <w:rPr>
                <w:noProof/>
                <w:webHidden/>
              </w:rPr>
              <w:fldChar w:fldCharType="begin"/>
            </w:r>
            <w:r>
              <w:rPr>
                <w:noProof/>
                <w:webHidden/>
              </w:rPr>
              <w:instrText xml:space="preserve"> PAGEREF _Toc215236924 \h </w:instrText>
            </w:r>
            <w:r>
              <w:rPr>
                <w:noProof/>
                <w:webHidden/>
              </w:rPr>
            </w:r>
            <w:r>
              <w:rPr>
                <w:noProof/>
                <w:webHidden/>
              </w:rPr>
              <w:fldChar w:fldCharType="separate"/>
            </w:r>
            <w:r>
              <w:rPr>
                <w:noProof/>
                <w:webHidden/>
              </w:rPr>
              <w:t>10</w:t>
            </w:r>
            <w:r>
              <w:rPr>
                <w:noProof/>
                <w:webHidden/>
              </w:rPr>
              <w:fldChar w:fldCharType="end"/>
            </w:r>
          </w:hyperlink>
        </w:p>
        <w:p w14:paraId="0E594688" w14:textId="368BDB4D" w:rsidR="00B42625" w:rsidRPr="00B42625" w:rsidRDefault="00B42625">
          <w:pPr>
            <w:pStyle w:val="TOC1"/>
            <w:tabs>
              <w:tab w:val="right" w:leader="dot" w:pos="10456"/>
            </w:tabs>
            <w:rPr>
              <w:b w:val="0"/>
              <w:bCs w:val="0"/>
              <w:caps w:val="0"/>
            </w:rPr>
          </w:pPr>
          <w:hyperlink w:anchor="_Toc215236928" w:history="1">
            <w:r w:rsidRPr="005D02A9">
              <w:rPr>
                <w:rStyle w:val="Hyperlink"/>
                <w:noProof/>
              </w:rPr>
              <w:t>Technical terms and definitions</w:t>
            </w:r>
            <w:r>
              <w:rPr>
                <w:noProof/>
                <w:webHidden/>
              </w:rPr>
              <w:tab/>
            </w:r>
            <w:r>
              <w:rPr>
                <w:noProof/>
                <w:webHidden/>
              </w:rPr>
              <w:fldChar w:fldCharType="begin"/>
            </w:r>
            <w:r>
              <w:rPr>
                <w:noProof/>
                <w:webHidden/>
              </w:rPr>
              <w:instrText xml:space="preserve"> PAGEREF _Toc215236928 \h </w:instrText>
            </w:r>
            <w:r>
              <w:rPr>
                <w:noProof/>
                <w:webHidden/>
              </w:rPr>
            </w:r>
            <w:r>
              <w:rPr>
                <w:noProof/>
                <w:webHidden/>
              </w:rPr>
              <w:fldChar w:fldCharType="separate"/>
            </w:r>
            <w:r>
              <w:rPr>
                <w:noProof/>
                <w:webHidden/>
              </w:rPr>
              <w:t>12</w:t>
            </w:r>
            <w:r>
              <w:rPr>
                <w:noProof/>
                <w:webHidden/>
              </w:rPr>
              <w:fldChar w:fldCharType="end"/>
            </w:r>
          </w:hyperlink>
        </w:p>
        <w:p w14:paraId="19768589" w14:textId="50C6DBC1" w:rsidR="00B42625" w:rsidRPr="00B42625" w:rsidRDefault="00B42625">
          <w:pPr>
            <w:pStyle w:val="TOC1"/>
            <w:tabs>
              <w:tab w:val="right" w:leader="dot" w:pos="10456"/>
            </w:tabs>
            <w:rPr>
              <w:b w:val="0"/>
              <w:bCs w:val="0"/>
              <w:caps w:val="0"/>
            </w:rPr>
          </w:pPr>
          <w:hyperlink w:anchor="_Toc215236943" w:history="1">
            <w:r w:rsidRPr="005D02A9">
              <w:rPr>
                <w:rStyle w:val="Hyperlink"/>
                <w:noProof/>
              </w:rPr>
              <w:t>Abbreviations</w:t>
            </w:r>
            <w:r>
              <w:rPr>
                <w:noProof/>
                <w:webHidden/>
              </w:rPr>
              <w:tab/>
            </w:r>
            <w:r>
              <w:rPr>
                <w:noProof/>
                <w:webHidden/>
              </w:rPr>
              <w:fldChar w:fldCharType="begin"/>
            </w:r>
            <w:r>
              <w:rPr>
                <w:noProof/>
                <w:webHidden/>
              </w:rPr>
              <w:instrText xml:space="preserve"> PAGEREF _Toc215236943 \h </w:instrText>
            </w:r>
            <w:r>
              <w:rPr>
                <w:noProof/>
                <w:webHidden/>
              </w:rPr>
            </w:r>
            <w:r>
              <w:rPr>
                <w:noProof/>
                <w:webHidden/>
              </w:rPr>
              <w:fldChar w:fldCharType="separate"/>
            </w:r>
            <w:r>
              <w:rPr>
                <w:noProof/>
                <w:webHidden/>
              </w:rPr>
              <w:t>14</w:t>
            </w:r>
            <w:r>
              <w:rPr>
                <w:noProof/>
                <w:webHidden/>
              </w:rPr>
              <w:fldChar w:fldCharType="end"/>
            </w:r>
          </w:hyperlink>
        </w:p>
        <w:p w14:paraId="72ED8952" w14:textId="4BD1D8CE" w:rsidR="00B42625" w:rsidRPr="00B42625" w:rsidRDefault="00B42625">
          <w:pPr>
            <w:pStyle w:val="TOC1"/>
            <w:tabs>
              <w:tab w:val="right" w:leader="dot" w:pos="10456"/>
            </w:tabs>
            <w:rPr>
              <w:b w:val="0"/>
              <w:bCs w:val="0"/>
              <w:caps w:val="0"/>
            </w:rPr>
          </w:pPr>
          <w:hyperlink w:anchor="_Toc215236944" w:history="1">
            <w:r w:rsidRPr="005D02A9">
              <w:rPr>
                <w:rStyle w:val="Hyperlink"/>
                <w:noProof/>
              </w:rPr>
              <w:t>Executive summary</w:t>
            </w:r>
            <w:r>
              <w:rPr>
                <w:noProof/>
                <w:webHidden/>
              </w:rPr>
              <w:tab/>
            </w:r>
            <w:r>
              <w:rPr>
                <w:noProof/>
                <w:webHidden/>
              </w:rPr>
              <w:fldChar w:fldCharType="begin"/>
            </w:r>
            <w:r>
              <w:rPr>
                <w:noProof/>
                <w:webHidden/>
              </w:rPr>
              <w:instrText xml:space="preserve"> PAGEREF _Toc215236944 \h </w:instrText>
            </w:r>
            <w:r>
              <w:rPr>
                <w:noProof/>
                <w:webHidden/>
              </w:rPr>
            </w:r>
            <w:r>
              <w:rPr>
                <w:noProof/>
                <w:webHidden/>
              </w:rPr>
              <w:fldChar w:fldCharType="separate"/>
            </w:r>
            <w:r>
              <w:rPr>
                <w:noProof/>
                <w:webHidden/>
              </w:rPr>
              <w:t>15</w:t>
            </w:r>
            <w:r>
              <w:rPr>
                <w:noProof/>
                <w:webHidden/>
              </w:rPr>
              <w:fldChar w:fldCharType="end"/>
            </w:r>
          </w:hyperlink>
        </w:p>
        <w:p w14:paraId="1DBA039B" w14:textId="1598973E"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45" w:history="1">
            <w:r w:rsidRPr="005D02A9">
              <w:rPr>
                <w:rStyle w:val="Hyperlink"/>
                <w:noProof/>
              </w:rPr>
              <w:t>Summary of findings</w:t>
            </w:r>
            <w:r>
              <w:rPr>
                <w:noProof/>
                <w:webHidden/>
              </w:rPr>
              <w:tab/>
            </w:r>
            <w:r>
              <w:rPr>
                <w:noProof/>
                <w:webHidden/>
              </w:rPr>
              <w:fldChar w:fldCharType="begin"/>
            </w:r>
            <w:r>
              <w:rPr>
                <w:noProof/>
                <w:webHidden/>
              </w:rPr>
              <w:instrText xml:space="preserve"> PAGEREF _Toc215236945 \h </w:instrText>
            </w:r>
            <w:r>
              <w:rPr>
                <w:noProof/>
                <w:webHidden/>
              </w:rPr>
            </w:r>
            <w:r>
              <w:rPr>
                <w:noProof/>
                <w:webHidden/>
              </w:rPr>
              <w:fldChar w:fldCharType="separate"/>
            </w:r>
            <w:r>
              <w:rPr>
                <w:noProof/>
                <w:webHidden/>
              </w:rPr>
              <w:t>16</w:t>
            </w:r>
            <w:r>
              <w:rPr>
                <w:noProof/>
                <w:webHidden/>
              </w:rPr>
              <w:fldChar w:fldCharType="end"/>
            </w:r>
          </w:hyperlink>
        </w:p>
        <w:p w14:paraId="04290BAF" w14:textId="7EC7BB79" w:rsidR="00B42625" w:rsidRPr="00B42625" w:rsidRDefault="00B42625">
          <w:pPr>
            <w:pStyle w:val="TOC1"/>
            <w:tabs>
              <w:tab w:val="right" w:leader="dot" w:pos="10456"/>
            </w:tabs>
            <w:rPr>
              <w:b w:val="0"/>
              <w:bCs w:val="0"/>
              <w:caps w:val="0"/>
            </w:rPr>
          </w:pPr>
          <w:hyperlink w:anchor="_Toc215236946" w:history="1">
            <w:r w:rsidRPr="005D02A9">
              <w:rPr>
                <w:rStyle w:val="Hyperlink"/>
                <w:noProof/>
              </w:rPr>
              <w:t>Background</w:t>
            </w:r>
            <w:r>
              <w:rPr>
                <w:noProof/>
                <w:webHidden/>
              </w:rPr>
              <w:tab/>
            </w:r>
            <w:r>
              <w:rPr>
                <w:noProof/>
                <w:webHidden/>
              </w:rPr>
              <w:fldChar w:fldCharType="begin"/>
            </w:r>
            <w:r>
              <w:rPr>
                <w:noProof/>
                <w:webHidden/>
              </w:rPr>
              <w:instrText xml:space="preserve"> PAGEREF _Toc215236946 \h </w:instrText>
            </w:r>
            <w:r>
              <w:rPr>
                <w:noProof/>
                <w:webHidden/>
              </w:rPr>
            </w:r>
            <w:r>
              <w:rPr>
                <w:noProof/>
                <w:webHidden/>
              </w:rPr>
              <w:fldChar w:fldCharType="separate"/>
            </w:r>
            <w:r>
              <w:rPr>
                <w:noProof/>
                <w:webHidden/>
              </w:rPr>
              <w:t>19</w:t>
            </w:r>
            <w:r>
              <w:rPr>
                <w:noProof/>
                <w:webHidden/>
              </w:rPr>
              <w:fldChar w:fldCharType="end"/>
            </w:r>
          </w:hyperlink>
        </w:p>
        <w:p w14:paraId="35B1D8CB" w14:textId="19F01C67"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47" w:history="1">
            <w:r w:rsidRPr="005D02A9">
              <w:rPr>
                <w:rStyle w:val="Hyperlink"/>
                <w:noProof/>
              </w:rPr>
              <w:t>Trachoma control in Australia</w:t>
            </w:r>
            <w:r>
              <w:rPr>
                <w:noProof/>
                <w:webHidden/>
              </w:rPr>
              <w:tab/>
            </w:r>
            <w:r>
              <w:rPr>
                <w:noProof/>
                <w:webHidden/>
              </w:rPr>
              <w:fldChar w:fldCharType="begin"/>
            </w:r>
            <w:r>
              <w:rPr>
                <w:noProof/>
                <w:webHidden/>
              </w:rPr>
              <w:instrText xml:space="preserve"> PAGEREF _Toc215236947 \h </w:instrText>
            </w:r>
            <w:r>
              <w:rPr>
                <w:noProof/>
                <w:webHidden/>
              </w:rPr>
            </w:r>
            <w:r>
              <w:rPr>
                <w:noProof/>
                <w:webHidden/>
              </w:rPr>
              <w:fldChar w:fldCharType="separate"/>
            </w:r>
            <w:r>
              <w:rPr>
                <w:noProof/>
                <w:webHidden/>
              </w:rPr>
              <w:t>19</w:t>
            </w:r>
            <w:r>
              <w:rPr>
                <w:noProof/>
                <w:webHidden/>
              </w:rPr>
              <w:fldChar w:fldCharType="end"/>
            </w:r>
          </w:hyperlink>
        </w:p>
        <w:p w14:paraId="02D6C1A3" w14:textId="28888EA6"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48" w:history="1">
            <w:r w:rsidRPr="005D02A9">
              <w:rPr>
                <w:rStyle w:val="Hyperlink"/>
                <w:noProof/>
              </w:rPr>
              <w:t>The National Trachoma Surveillance and Reporting Unit (NTSRU)</w:t>
            </w:r>
            <w:r>
              <w:rPr>
                <w:noProof/>
                <w:webHidden/>
              </w:rPr>
              <w:tab/>
            </w:r>
            <w:r>
              <w:rPr>
                <w:noProof/>
                <w:webHidden/>
              </w:rPr>
              <w:fldChar w:fldCharType="begin"/>
            </w:r>
            <w:r>
              <w:rPr>
                <w:noProof/>
                <w:webHidden/>
              </w:rPr>
              <w:instrText xml:space="preserve"> PAGEREF _Toc215236948 \h </w:instrText>
            </w:r>
            <w:r>
              <w:rPr>
                <w:noProof/>
                <w:webHidden/>
              </w:rPr>
            </w:r>
            <w:r>
              <w:rPr>
                <w:noProof/>
                <w:webHidden/>
              </w:rPr>
              <w:fldChar w:fldCharType="separate"/>
            </w:r>
            <w:r>
              <w:rPr>
                <w:noProof/>
                <w:webHidden/>
              </w:rPr>
              <w:t>20</w:t>
            </w:r>
            <w:r>
              <w:rPr>
                <w:noProof/>
                <w:webHidden/>
              </w:rPr>
              <w:fldChar w:fldCharType="end"/>
            </w:r>
          </w:hyperlink>
        </w:p>
        <w:p w14:paraId="03CF2E2F" w14:textId="24936E18" w:rsidR="00B42625" w:rsidRPr="00B42625" w:rsidRDefault="00B42625">
          <w:pPr>
            <w:pStyle w:val="TOC1"/>
            <w:tabs>
              <w:tab w:val="right" w:leader="dot" w:pos="10456"/>
            </w:tabs>
            <w:rPr>
              <w:b w:val="0"/>
              <w:bCs w:val="0"/>
              <w:caps w:val="0"/>
            </w:rPr>
          </w:pPr>
          <w:hyperlink w:anchor="_Toc215236949" w:history="1">
            <w:r w:rsidRPr="005D02A9">
              <w:rPr>
                <w:rStyle w:val="Hyperlink"/>
                <w:noProof/>
              </w:rPr>
              <w:t>Methodology</w:t>
            </w:r>
            <w:r>
              <w:rPr>
                <w:noProof/>
                <w:webHidden/>
              </w:rPr>
              <w:tab/>
            </w:r>
            <w:r>
              <w:rPr>
                <w:noProof/>
                <w:webHidden/>
              </w:rPr>
              <w:fldChar w:fldCharType="begin"/>
            </w:r>
            <w:r>
              <w:rPr>
                <w:noProof/>
                <w:webHidden/>
              </w:rPr>
              <w:instrText xml:space="preserve"> PAGEREF _Toc215236949 \h </w:instrText>
            </w:r>
            <w:r>
              <w:rPr>
                <w:noProof/>
                <w:webHidden/>
              </w:rPr>
            </w:r>
            <w:r>
              <w:rPr>
                <w:noProof/>
                <w:webHidden/>
              </w:rPr>
              <w:fldChar w:fldCharType="separate"/>
            </w:r>
            <w:r>
              <w:rPr>
                <w:noProof/>
                <w:webHidden/>
              </w:rPr>
              <w:t>21</w:t>
            </w:r>
            <w:r>
              <w:rPr>
                <w:noProof/>
                <w:webHidden/>
              </w:rPr>
              <w:fldChar w:fldCharType="end"/>
            </w:r>
          </w:hyperlink>
        </w:p>
        <w:p w14:paraId="3E2B7BBF" w14:textId="7F6FD09D"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50" w:history="1">
            <w:r w:rsidRPr="005D02A9">
              <w:rPr>
                <w:rStyle w:val="Hyperlink"/>
                <w:noProof/>
              </w:rPr>
              <w:t>Data analysis</w:t>
            </w:r>
            <w:r>
              <w:rPr>
                <w:noProof/>
                <w:webHidden/>
              </w:rPr>
              <w:tab/>
            </w:r>
            <w:r>
              <w:rPr>
                <w:noProof/>
                <w:webHidden/>
              </w:rPr>
              <w:fldChar w:fldCharType="begin"/>
            </w:r>
            <w:r>
              <w:rPr>
                <w:noProof/>
                <w:webHidden/>
              </w:rPr>
              <w:instrText xml:space="preserve"> PAGEREF _Toc215236950 \h </w:instrText>
            </w:r>
            <w:r>
              <w:rPr>
                <w:noProof/>
                <w:webHidden/>
              </w:rPr>
            </w:r>
            <w:r>
              <w:rPr>
                <w:noProof/>
                <w:webHidden/>
              </w:rPr>
              <w:fldChar w:fldCharType="separate"/>
            </w:r>
            <w:r>
              <w:rPr>
                <w:noProof/>
                <w:webHidden/>
              </w:rPr>
              <w:t>22</w:t>
            </w:r>
            <w:r>
              <w:rPr>
                <w:noProof/>
                <w:webHidden/>
              </w:rPr>
              <w:fldChar w:fldCharType="end"/>
            </w:r>
          </w:hyperlink>
        </w:p>
        <w:p w14:paraId="2537217A" w14:textId="2EFBAE1E"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51" w:history="1">
            <w:r w:rsidRPr="005D02A9">
              <w:rPr>
                <w:rStyle w:val="Hyperlink"/>
                <w:noProof/>
              </w:rPr>
              <w:t>Jurisdictional screening programs</w:t>
            </w:r>
            <w:r>
              <w:rPr>
                <w:noProof/>
                <w:webHidden/>
              </w:rPr>
              <w:tab/>
            </w:r>
            <w:r>
              <w:rPr>
                <w:noProof/>
                <w:webHidden/>
              </w:rPr>
              <w:fldChar w:fldCharType="begin"/>
            </w:r>
            <w:r>
              <w:rPr>
                <w:noProof/>
                <w:webHidden/>
              </w:rPr>
              <w:instrText xml:space="preserve"> PAGEREF _Toc215236951 \h </w:instrText>
            </w:r>
            <w:r>
              <w:rPr>
                <w:noProof/>
                <w:webHidden/>
              </w:rPr>
            </w:r>
            <w:r>
              <w:rPr>
                <w:noProof/>
                <w:webHidden/>
              </w:rPr>
              <w:fldChar w:fldCharType="separate"/>
            </w:r>
            <w:r>
              <w:rPr>
                <w:noProof/>
                <w:webHidden/>
              </w:rPr>
              <w:t>23</w:t>
            </w:r>
            <w:r>
              <w:rPr>
                <w:noProof/>
                <w:webHidden/>
              </w:rPr>
              <w:fldChar w:fldCharType="end"/>
            </w:r>
          </w:hyperlink>
        </w:p>
        <w:p w14:paraId="4F0BFA5E" w14:textId="0710CBED"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52" w:history="1">
            <w:r w:rsidRPr="005D02A9">
              <w:rPr>
                <w:rStyle w:val="Hyperlink"/>
                <w:noProof/>
              </w:rPr>
              <w:t>Findings and interpretation</w:t>
            </w:r>
            <w:r>
              <w:rPr>
                <w:noProof/>
                <w:webHidden/>
              </w:rPr>
              <w:tab/>
            </w:r>
            <w:r>
              <w:rPr>
                <w:noProof/>
                <w:webHidden/>
              </w:rPr>
              <w:fldChar w:fldCharType="begin"/>
            </w:r>
            <w:r>
              <w:rPr>
                <w:noProof/>
                <w:webHidden/>
              </w:rPr>
              <w:instrText xml:space="preserve"> PAGEREF _Toc215236952 \h </w:instrText>
            </w:r>
            <w:r>
              <w:rPr>
                <w:noProof/>
                <w:webHidden/>
              </w:rPr>
            </w:r>
            <w:r>
              <w:rPr>
                <w:noProof/>
                <w:webHidden/>
              </w:rPr>
              <w:fldChar w:fldCharType="separate"/>
            </w:r>
            <w:r>
              <w:rPr>
                <w:noProof/>
                <w:webHidden/>
              </w:rPr>
              <w:t>26</w:t>
            </w:r>
            <w:r>
              <w:rPr>
                <w:noProof/>
                <w:webHidden/>
              </w:rPr>
              <w:fldChar w:fldCharType="end"/>
            </w:r>
          </w:hyperlink>
        </w:p>
        <w:p w14:paraId="1990D911" w14:textId="088F11B8" w:rsidR="00B42625" w:rsidRPr="00B42625" w:rsidRDefault="00B42625">
          <w:pPr>
            <w:pStyle w:val="TOC1"/>
            <w:tabs>
              <w:tab w:val="right" w:leader="dot" w:pos="10456"/>
            </w:tabs>
            <w:rPr>
              <w:b w:val="0"/>
              <w:bCs w:val="0"/>
              <w:caps w:val="0"/>
            </w:rPr>
          </w:pPr>
          <w:hyperlink w:anchor="_Toc215236953" w:history="1">
            <w:r w:rsidRPr="005D02A9">
              <w:rPr>
                <w:rStyle w:val="Hyperlink"/>
                <w:noProof/>
              </w:rPr>
              <w:t>National results</w:t>
            </w:r>
            <w:r>
              <w:rPr>
                <w:noProof/>
                <w:webHidden/>
              </w:rPr>
              <w:tab/>
            </w:r>
            <w:r>
              <w:rPr>
                <w:noProof/>
                <w:webHidden/>
              </w:rPr>
              <w:fldChar w:fldCharType="begin"/>
            </w:r>
            <w:r>
              <w:rPr>
                <w:noProof/>
                <w:webHidden/>
              </w:rPr>
              <w:instrText xml:space="preserve"> PAGEREF _Toc215236953 \h </w:instrText>
            </w:r>
            <w:r>
              <w:rPr>
                <w:noProof/>
                <w:webHidden/>
              </w:rPr>
            </w:r>
            <w:r>
              <w:rPr>
                <w:noProof/>
                <w:webHidden/>
              </w:rPr>
              <w:fldChar w:fldCharType="separate"/>
            </w:r>
            <w:r>
              <w:rPr>
                <w:noProof/>
                <w:webHidden/>
              </w:rPr>
              <w:t>30</w:t>
            </w:r>
            <w:r>
              <w:rPr>
                <w:noProof/>
                <w:webHidden/>
              </w:rPr>
              <w:fldChar w:fldCharType="end"/>
            </w:r>
          </w:hyperlink>
        </w:p>
        <w:p w14:paraId="64E430BF" w14:textId="7AAC5AB3"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54" w:history="1">
            <w:r w:rsidRPr="005D02A9">
              <w:rPr>
                <w:rStyle w:val="Hyperlink"/>
                <w:noProof/>
              </w:rPr>
              <w:t>Figures and Tables</w:t>
            </w:r>
            <w:r>
              <w:rPr>
                <w:noProof/>
                <w:webHidden/>
              </w:rPr>
              <w:tab/>
            </w:r>
            <w:r>
              <w:rPr>
                <w:noProof/>
                <w:webHidden/>
              </w:rPr>
              <w:fldChar w:fldCharType="begin"/>
            </w:r>
            <w:r>
              <w:rPr>
                <w:noProof/>
                <w:webHidden/>
              </w:rPr>
              <w:instrText xml:space="preserve"> PAGEREF _Toc215236954 \h </w:instrText>
            </w:r>
            <w:r>
              <w:rPr>
                <w:noProof/>
                <w:webHidden/>
              </w:rPr>
            </w:r>
            <w:r>
              <w:rPr>
                <w:noProof/>
                <w:webHidden/>
              </w:rPr>
              <w:fldChar w:fldCharType="separate"/>
            </w:r>
            <w:r>
              <w:rPr>
                <w:noProof/>
                <w:webHidden/>
              </w:rPr>
              <w:t>30</w:t>
            </w:r>
            <w:r>
              <w:rPr>
                <w:noProof/>
                <w:webHidden/>
              </w:rPr>
              <w:fldChar w:fldCharType="end"/>
            </w:r>
          </w:hyperlink>
        </w:p>
        <w:p w14:paraId="212F0BD8" w14:textId="15091830" w:rsidR="00B42625" w:rsidRPr="00B42625" w:rsidRDefault="00B42625">
          <w:pPr>
            <w:pStyle w:val="TOC1"/>
            <w:tabs>
              <w:tab w:val="right" w:leader="dot" w:pos="10456"/>
            </w:tabs>
            <w:rPr>
              <w:b w:val="0"/>
              <w:bCs w:val="0"/>
              <w:caps w:val="0"/>
            </w:rPr>
          </w:pPr>
          <w:hyperlink w:anchor="_Toc215236955" w:history="1">
            <w:r w:rsidRPr="005D02A9">
              <w:rPr>
                <w:rStyle w:val="Hyperlink"/>
                <w:noProof/>
              </w:rPr>
              <w:t>Jurisdictional-specific results</w:t>
            </w:r>
            <w:r>
              <w:rPr>
                <w:noProof/>
                <w:webHidden/>
              </w:rPr>
              <w:tab/>
            </w:r>
            <w:r>
              <w:rPr>
                <w:noProof/>
                <w:webHidden/>
              </w:rPr>
              <w:fldChar w:fldCharType="begin"/>
            </w:r>
            <w:r>
              <w:rPr>
                <w:noProof/>
                <w:webHidden/>
              </w:rPr>
              <w:instrText xml:space="preserve"> PAGEREF _Toc215236955 \h </w:instrText>
            </w:r>
            <w:r>
              <w:rPr>
                <w:noProof/>
                <w:webHidden/>
              </w:rPr>
            </w:r>
            <w:r>
              <w:rPr>
                <w:noProof/>
                <w:webHidden/>
              </w:rPr>
              <w:fldChar w:fldCharType="separate"/>
            </w:r>
            <w:r>
              <w:rPr>
                <w:noProof/>
                <w:webHidden/>
              </w:rPr>
              <w:t>44</w:t>
            </w:r>
            <w:r>
              <w:rPr>
                <w:noProof/>
                <w:webHidden/>
              </w:rPr>
              <w:fldChar w:fldCharType="end"/>
            </w:r>
          </w:hyperlink>
        </w:p>
        <w:p w14:paraId="24E62BFF" w14:textId="08A4A89B"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56" w:history="1">
            <w:r w:rsidRPr="005D02A9">
              <w:rPr>
                <w:rStyle w:val="Hyperlink"/>
                <w:noProof/>
              </w:rPr>
              <w:t>Northern Territory results</w:t>
            </w:r>
            <w:r>
              <w:rPr>
                <w:noProof/>
                <w:webHidden/>
              </w:rPr>
              <w:tab/>
            </w:r>
            <w:r>
              <w:rPr>
                <w:noProof/>
                <w:webHidden/>
              </w:rPr>
              <w:fldChar w:fldCharType="begin"/>
            </w:r>
            <w:r>
              <w:rPr>
                <w:noProof/>
                <w:webHidden/>
              </w:rPr>
              <w:instrText xml:space="preserve"> PAGEREF _Toc215236956 \h </w:instrText>
            </w:r>
            <w:r>
              <w:rPr>
                <w:noProof/>
                <w:webHidden/>
              </w:rPr>
            </w:r>
            <w:r>
              <w:rPr>
                <w:noProof/>
                <w:webHidden/>
              </w:rPr>
              <w:fldChar w:fldCharType="separate"/>
            </w:r>
            <w:r>
              <w:rPr>
                <w:noProof/>
                <w:webHidden/>
              </w:rPr>
              <w:t>44</w:t>
            </w:r>
            <w:r>
              <w:rPr>
                <w:noProof/>
                <w:webHidden/>
              </w:rPr>
              <w:fldChar w:fldCharType="end"/>
            </w:r>
          </w:hyperlink>
        </w:p>
        <w:p w14:paraId="2D3296E7" w14:textId="7D5CD5B2"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57" w:history="1">
            <w:r w:rsidRPr="005D02A9">
              <w:rPr>
                <w:rStyle w:val="Hyperlink"/>
                <w:noProof/>
              </w:rPr>
              <w:t>Figures and Tables – Northern Territory</w:t>
            </w:r>
            <w:r>
              <w:rPr>
                <w:noProof/>
                <w:webHidden/>
              </w:rPr>
              <w:tab/>
            </w:r>
            <w:r>
              <w:rPr>
                <w:noProof/>
                <w:webHidden/>
              </w:rPr>
              <w:fldChar w:fldCharType="begin"/>
            </w:r>
            <w:r>
              <w:rPr>
                <w:noProof/>
                <w:webHidden/>
              </w:rPr>
              <w:instrText xml:space="preserve"> PAGEREF _Toc215236957 \h </w:instrText>
            </w:r>
            <w:r>
              <w:rPr>
                <w:noProof/>
                <w:webHidden/>
              </w:rPr>
            </w:r>
            <w:r>
              <w:rPr>
                <w:noProof/>
                <w:webHidden/>
              </w:rPr>
              <w:fldChar w:fldCharType="separate"/>
            </w:r>
            <w:r>
              <w:rPr>
                <w:noProof/>
                <w:webHidden/>
              </w:rPr>
              <w:t>48</w:t>
            </w:r>
            <w:r>
              <w:rPr>
                <w:noProof/>
                <w:webHidden/>
              </w:rPr>
              <w:fldChar w:fldCharType="end"/>
            </w:r>
          </w:hyperlink>
        </w:p>
        <w:p w14:paraId="08D3D76A" w14:textId="40185A64"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58" w:history="1">
            <w:r w:rsidRPr="005D02A9">
              <w:rPr>
                <w:rStyle w:val="Hyperlink"/>
                <w:noProof/>
              </w:rPr>
              <w:t>Queensland results</w:t>
            </w:r>
            <w:r>
              <w:rPr>
                <w:noProof/>
                <w:webHidden/>
              </w:rPr>
              <w:tab/>
            </w:r>
            <w:r>
              <w:rPr>
                <w:noProof/>
                <w:webHidden/>
              </w:rPr>
              <w:fldChar w:fldCharType="begin"/>
            </w:r>
            <w:r>
              <w:rPr>
                <w:noProof/>
                <w:webHidden/>
              </w:rPr>
              <w:instrText xml:space="preserve"> PAGEREF _Toc215236958 \h </w:instrText>
            </w:r>
            <w:r>
              <w:rPr>
                <w:noProof/>
                <w:webHidden/>
              </w:rPr>
            </w:r>
            <w:r>
              <w:rPr>
                <w:noProof/>
                <w:webHidden/>
              </w:rPr>
              <w:fldChar w:fldCharType="separate"/>
            </w:r>
            <w:r>
              <w:rPr>
                <w:noProof/>
                <w:webHidden/>
              </w:rPr>
              <w:t>60</w:t>
            </w:r>
            <w:r>
              <w:rPr>
                <w:noProof/>
                <w:webHidden/>
              </w:rPr>
              <w:fldChar w:fldCharType="end"/>
            </w:r>
          </w:hyperlink>
        </w:p>
        <w:p w14:paraId="41FBB987" w14:textId="089EB5A5"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59" w:history="1">
            <w:r w:rsidRPr="005D02A9">
              <w:rPr>
                <w:rStyle w:val="Hyperlink"/>
                <w:noProof/>
              </w:rPr>
              <w:t>Figures and Tables – Queensland</w:t>
            </w:r>
            <w:r>
              <w:rPr>
                <w:noProof/>
                <w:webHidden/>
              </w:rPr>
              <w:tab/>
            </w:r>
            <w:r>
              <w:rPr>
                <w:noProof/>
                <w:webHidden/>
              </w:rPr>
              <w:fldChar w:fldCharType="begin"/>
            </w:r>
            <w:r>
              <w:rPr>
                <w:noProof/>
                <w:webHidden/>
              </w:rPr>
              <w:instrText xml:space="preserve"> PAGEREF _Toc215236959 \h </w:instrText>
            </w:r>
            <w:r>
              <w:rPr>
                <w:noProof/>
                <w:webHidden/>
              </w:rPr>
            </w:r>
            <w:r>
              <w:rPr>
                <w:noProof/>
                <w:webHidden/>
              </w:rPr>
              <w:fldChar w:fldCharType="separate"/>
            </w:r>
            <w:r>
              <w:rPr>
                <w:noProof/>
                <w:webHidden/>
              </w:rPr>
              <w:t>61</w:t>
            </w:r>
            <w:r>
              <w:rPr>
                <w:noProof/>
                <w:webHidden/>
              </w:rPr>
              <w:fldChar w:fldCharType="end"/>
            </w:r>
          </w:hyperlink>
        </w:p>
        <w:p w14:paraId="71093679" w14:textId="7EB977B7"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60" w:history="1">
            <w:r w:rsidRPr="005D02A9">
              <w:rPr>
                <w:rStyle w:val="Hyperlink"/>
                <w:noProof/>
              </w:rPr>
              <w:t>South Australia results</w:t>
            </w:r>
            <w:r>
              <w:rPr>
                <w:noProof/>
                <w:webHidden/>
              </w:rPr>
              <w:tab/>
            </w:r>
            <w:r>
              <w:rPr>
                <w:noProof/>
                <w:webHidden/>
              </w:rPr>
              <w:fldChar w:fldCharType="begin"/>
            </w:r>
            <w:r>
              <w:rPr>
                <w:noProof/>
                <w:webHidden/>
              </w:rPr>
              <w:instrText xml:space="preserve"> PAGEREF _Toc215236960 \h </w:instrText>
            </w:r>
            <w:r>
              <w:rPr>
                <w:noProof/>
                <w:webHidden/>
              </w:rPr>
            </w:r>
            <w:r>
              <w:rPr>
                <w:noProof/>
                <w:webHidden/>
              </w:rPr>
              <w:fldChar w:fldCharType="separate"/>
            </w:r>
            <w:r>
              <w:rPr>
                <w:noProof/>
                <w:webHidden/>
              </w:rPr>
              <w:t>62</w:t>
            </w:r>
            <w:r>
              <w:rPr>
                <w:noProof/>
                <w:webHidden/>
              </w:rPr>
              <w:fldChar w:fldCharType="end"/>
            </w:r>
          </w:hyperlink>
        </w:p>
        <w:p w14:paraId="097BB646" w14:textId="3065BEBB"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61" w:history="1">
            <w:r w:rsidRPr="005D02A9">
              <w:rPr>
                <w:rStyle w:val="Hyperlink"/>
                <w:noProof/>
              </w:rPr>
              <w:t>Figures and Tables – South Australia</w:t>
            </w:r>
            <w:r>
              <w:rPr>
                <w:noProof/>
                <w:webHidden/>
              </w:rPr>
              <w:tab/>
            </w:r>
            <w:r>
              <w:rPr>
                <w:noProof/>
                <w:webHidden/>
              </w:rPr>
              <w:fldChar w:fldCharType="begin"/>
            </w:r>
            <w:r>
              <w:rPr>
                <w:noProof/>
                <w:webHidden/>
              </w:rPr>
              <w:instrText xml:space="preserve"> PAGEREF _Toc215236961 \h </w:instrText>
            </w:r>
            <w:r>
              <w:rPr>
                <w:noProof/>
                <w:webHidden/>
              </w:rPr>
            </w:r>
            <w:r>
              <w:rPr>
                <w:noProof/>
                <w:webHidden/>
              </w:rPr>
              <w:fldChar w:fldCharType="separate"/>
            </w:r>
            <w:r>
              <w:rPr>
                <w:noProof/>
                <w:webHidden/>
              </w:rPr>
              <w:t>64</w:t>
            </w:r>
            <w:r>
              <w:rPr>
                <w:noProof/>
                <w:webHidden/>
              </w:rPr>
              <w:fldChar w:fldCharType="end"/>
            </w:r>
          </w:hyperlink>
        </w:p>
        <w:p w14:paraId="6A0C47B6" w14:textId="678262E7"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62" w:history="1">
            <w:r w:rsidRPr="005D02A9">
              <w:rPr>
                <w:rStyle w:val="Hyperlink"/>
                <w:noProof/>
              </w:rPr>
              <w:t>Western Australia results</w:t>
            </w:r>
            <w:r>
              <w:rPr>
                <w:noProof/>
                <w:webHidden/>
              </w:rPr>
              <w:tab/>
            </w:r>
            <w:r>
              <w:rPr>
                <w:noProof/>
                <w:webHidden/>
              </w:rPr>
              <w:fldChar w:fldCharType="begin"/>
            </w:r>
            <w:r>
              <w:rPr>
                <w:noProof/>
                <w:webHidden/>
              </w:rPr>
              <w:instrText xml:space="preserve"> PAGEREF _Toc215236962 \h </w:instrText>
            </w:r>
            <w:r>
              <w:rPr>
                <w:noProof/>
                <w:webHidden/>
              </w:rPr>
            </w:r>
            <w:r>
              <w:rPr>
                <w:noProof/>
                <w:webHidden/>
              </w:rPr>
              <w:fldChar w:fldCharType="separate"/>
            </w:r>
            <w:r>
              <w:rPr>
                <w:noProof/>
                <w:webHidden/>
              </w:rPr>
              <w:t>76</w:t>
            </w:r>
            <w:r>
              <w:rPr>
                <w:noProof/>
                <w:webHidden/>
              </w:rPr>
              <w:fldChar w:fldCharType="end"/>
            </w:r>
          </w:hyperlink>
        </w:p>
        <w:p w14:paraId="7427F85E" w14:textId="31B338A2" w:rsidR="00B42625" w:rsidRDefault="00B42625">
          <w:pPr>
            <w:pStyle w:val="TOC2"/>
            <w:tabs>
              <w:tab w:val="right" w:leader="dot" w:pos="10456"/>
            </w:tabs>
            <w:rPr>
              <w:rFonts w:eastAsiaTheme="minorEastAsia" w:cstheme="minorBidi"/>
              <w:smallCaps w:val="0"/>
              <w:noProof/>
              <w:color w:val="auto"/>
              <w:kern w:val="2"/>
              <w:sz w:val="24"/>
              <w:szCs w:val="24"/>
              <w:lang w:eastAsia="ja-JP"/>
              <w14:ligatures w14:val="standardContextual"/>
            </w:rPr>
          </w:pPr>
          <w:hyperlink w:anchor="_Toc215236963" w:history="1">
            <w:r w:rsidRPr="005D02A9">
              <w:rPr>
                <w:rStyle w:val="Hyperlink"/>
                <w:noProof/>
              </w:rPr>
              <w:t>Figures and Tables – Western Australia</w:t>
            </w:r>
            <w:r>
              <w:rPr>
                <w:noProof/>
                <w:webHidden/>
              </w:rPr>
              <w:tab/>
            </w:r>
            <w:r>
              <w:rPr>
                <w:noProof/>
                <w:webHidden/>
              </w:rPr>
              <w:fldChar w:fldCharType="begin"/>
            </w:r>
            <w:r>
              <w:rPr>
                <w:noProof/>
                <w:webHidden/>
              </w:rPr>
              <w:instrText xml:space="preserve"> PAGEREF _Toc215236963 \h </w:instrText>
            </w:r>
            <w:r>
              <w:rPr>
                <w:noProof/>
                <w:webHidden/>
              </w:rPr>
            </w:r>
            <w:r>
              <w:rPr>
                <w:noProof/>
                <w:webHidden/>
              </w:rPr>
              <w:fldChar w:fldCharType="separate"/>
            </w:r>
            <w:r>
              <w:rPr>
                <w:noProof/>
                <w:webHidden/>
              </w:rPr>
              <w:t>78</w:t>
            </w:r>
            <w:r>
              <w:rPr>
                <w:noProof/>
                <w:webHidden/>
              </w:rPr>
              <w:fldChar w:fldCharType="end"/>
            </w:r>
          </w:hyperlink>
        </w:p>
        <w:p w14:paraId="3C701387" w14:textId="18B50D00" w:rsidR="00B42625" w:rsidRPr="00B42625" w:rsidRDefault="00B42625">
          <w:pPr>
            <w:pStyle w:val="TOC1"/>
            <w:tabs>
              <w:tab w:val="right" w:leader="dot" w:pos="10456"/>
            </w:tabs>
            <w:rPr>
              <w:b w:val="0"/>
              <w:bCs w:val="0"/>
              <w:caps w:val="0"/>
            </w:rPr>
          </w:pPr>
          <w:hyperlink w:anchor="_Toc215236964" w:history="1">
            <w:r w:rsidRPr="005D02A9">
              <w:rPr>
                <w:rStyle w:val="Hyperlink"/>
                <w:noProof/>
              </w:rPr>
              <w:t>References</w:t>
            </w:r>
            <w:r>
              <w:rPr>
                <w:noProof/>
                <w:webHidden/>
              </w:rPr>
              <w:tab/>
            </w:r>
            <w:r>
              <w:rPr>
                <w:noProof/>
                <w:webHidden/>
              </w:rPr>
              <w:fldChar w:fldCharType="begin"/>
            </w:r>
            <w:r>
              <w:rPr>
                <w:noProof/>
                <w:webHidden/>
              </w:rPr>
              <w:instrText xml:space="preserve"> PAGEREF _Toc215236964 \h </w:instrText>
            </w:r>
            <w:r>
              <w:rPr>
                <w:noProof/>
                <w:webHidden/>
              </w:rPr>
            </w:r>
            <w:r>
              <w:rPr>
                <w:noProof/>
                <w:webHidden/>
              </w:rPr>
              <w:fldChar w:fldCharType="separate"/>
            </w:r>
            <w:r>
              <w:rPr>
                <w:noProof/>
                <w:webHidden/>
              </w:rPr>
              <w:t>90</w:t>
            </w:r>
            <w:r>
              <w:rPr>
                <w:noProof/>
                <w:webHidden/>
              </w:rPr>
              <w:fldChar w:fldCharType="end"/>
            </w:r>
          </w:hyperlink>
        </w:p>
        <w:p w14:paraId="05F504CB" w14:textId="32A9F2BE" w:rsidR="00096570" w:rsidRDefault="00B42625" w:rsidP="00096570">
          <w:pPr>
            <w:rPr>
              <w:b/>
              <w:bCs/>
              <w:lang w:val="en-GB"/>
            </w:rPr>
          </w:pPr>
          <w:r>
            <w:rPr>
              <w:rFonts w:asciiTheme="minorHAnsi" w:hAnsiTheme="minorHAnsi" w:cstheme="minorHAnsi"/>
              <w:b/>
              <w:bCs/>
              <w:caps/>
              <w:sz w:val="20"/>
              <w:szCs w:val="20"/>
            </w:rPr>
            <w:fldChar w:fldCharType="end"/>
          </w:r>
        </w:p>
      </w:sdtContent>
    </w:sdt>
    <w:p w14:paraId="513D8109" w14:textId="3D411CA7" w:rsidR="00B96AD5" w:rsidRPr="004609FA" w:rsidRDefault="00B96AD5" w:rsidP="00096570">
      <w:r w:rsidRPr="004609FA">
        <w:br w:type="page"/>
      </w:r>
    </w:p>
    <w:p w14:paraId="0DEAE4DD" w14:textId="729B1349" w:rsidR="001B7AF2" w:rsidRPr="004609FA" w:rsidRDefault="001B7AF2" w:rsidP="00F76882">
      <w:pPr>
        <w:pStyle w:val="Heading1"/>
      </w:pPr>
      <w:bookmarkStart w:id="4" w:name="_Toc160544975"/>
      <w:bookmarkStart w:id="5" w:name="_Toc203986528"/>
      <w:bookmarkStart w:id="6" w:name="_Toc160544974"/>
      <w:bookmarkStart w:id="7" w:name="_Toc215236921"/>
      <w:r w:rsidRPr="004609FA">
        <w:t>List of Figures</w:t>
      </w:r>
      <w:bookmarkEnd w:id="4"/>
      <w:bookmarkEnd w:id="5"/>
      <w:bookmarkEnd w:id="7"/>
    </w:p>
    <w:p w14:paraId="294344EE" w14:textId="3C18E8DD" w:rsidR="001B5687" w:rsidRDefault="001B7AF2">
      <w:pPr>
        <w:pStyle w:val="TableofFigures"/>
        <w:tabs>
          <w:tab w:val="right" w:leader="dot" w:pos="10456"/>
        </w:tabs>
        <w:rPr>
          <w:rFonts w:eastAsiaTheme="minorEastAsia" w:cstheme="minorBidi"/>
          <w:noProof/>
          <w:color w:val="auto"/>
          <w:kern w:val="2"/>
          <w:sz w:val="24"/>
          <w:lang w:val="en-AU" w:eastAsia="ja-JP"/>
          <w14:ligatures w14:val="standardContextual"/>
        </w:rPr>
      </w:pPr>
      <w:r w:rsidRPr="00495326">
        <w:fldChar w:fldCharType="begin"/>
      </w:r>
      <w:r w:rsidRPr="00495326">
        <w:instrText xml:space="preserve"> TOC \h \z \t "Figure Headings,1" \c "Figure" </w:instrText>
      </w:r>
      <w:r w:rsidRPr="00495326">
        <w:fldChar w:fldCharType="separate"/>
      </w:r>
      <w:hyperlink w:anchor="_Toc215237039" w:history="1">
        <w:r w:rsidR="001B5687" w:rsidRPr="007E476E">
          <w:rPr>
            <w:rStyle w:val="Hyperlink"/>
            <w:noProof/>
          </w:rPr>
          <w:t>Figure 1.1</w:t>
        </w:r>
        <w:r w:rsidR="001B5687">
          <w:rPr>
            <w:rFonts w:eastAsiaTheme="minorEastAsia" w:cstheme="minorBidi"/>
            <w:noProof/>
            <w:color w:val="auto"/>
            <w:kern w:val="2"/>
            <w:sz w:val="24"/>
            <w:lang w:val="en-AU" w:eastAsia="ja-JP"/>
            <w14:ligatures w14:val="standardContextual"/>
          </w:rPr>
          <w:tab/>
        </w:r>
        <w:r w:rsidR="001B5687" w:rsidRPr="007E476E">
          <w:rPr>
            <w:rStyle w:val="Hyperlink"/>
            <w:noProof/>
          </w:rPr>
          <w:t>Overall trachoma prevalence in children aged 5–9 years by jurisdiction, Australia, 2024</w:t>
        </w:r>
        <w:r w:rsidR="001B5687">
          <w:rPr>
            <w:noProof/>
            <w:webHidden/>
          </w:rPr>
          <w:tab/>
        </w:r>
        <w:r w:rsidR="001B5687">
          <w:rPr>
            <w:noProof/>
            <w:webHidden/>
          </w:rPr>
          <w:fldChar w:fldCharType="begin"/>
        </w:r>
        <w:r w:rsidR="001B5687">
          <w:rPr>
            <w:noProof/>
            <w:webHidden/>
          </w:rPr>
          <w:instrText xml:space="preserve"> PAGEREF _Toc215237039 \h </w:instrText>
        </w:r>
        <w:r w:rsidR="001B5687">
          <w:rPr>
            <w:noProof/>
            <w:webHidden/>
          </w:rPr>
        </w:r>
        <w:r w:rsidR="001B5687">
          <w:rPr>
            <w:noProof/>
            <w:webHidden/>
          </w:rPr>
          <w:fldChar w:fldCharType="separate"/>
        </w:r>
        <w:r w:rsidR="001B5687">
          <w:rPr>
            <w:noProof/>
            <w:webHidden/>
          </w:rPr>
          <w:t>28</w:t>
        </w:r>
        <w:r w:rsidR="001B5687">
          <w:rPr>
            <w:noProof/>
            <w:webHidden/>
          </w:rPr>
          <w:fldChar w:fldCharType="end"/>
        </w:r>
      </w:hyperlink>
    </w:p>
    <w:p w14:paraId="14B838FA" w14:textId="79F78B72"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40" w:history="1">
        <w:r w:rsidRPr="007E476E">
          <w:rPr>
            <w:rStyle w:val="Hyperlink"/>
            <w:noProof/>
          </w:rPr>
          <w:t>Figure 1.2</w:t>
        </w:r>
        <w:r>
          <w:rPr>
            <w:rFonts w:eastAsiaTheme="minorEastAsia" w:cstheme="minorBidi"/>
            <w:noProof/>
            <w:color w:val="auto"/>
            <w:kern w:val="2"/>
            <w:sz w:val="24"/>
            <w:lang w:val="en-AU" w:eastAsia="ja-JP"/>
            <w14:ligatures w14:val="standardContextual"/>
          </w:rPr>
          <w:tab/>
        </w:r>
        <w:r w:rsidRPr="007E476E">
          <w:rPr>
            <w:rStyle w:val="Hyperlink"/>
            <w:noProof/>
          </w:rPr>
          <w:t>Number of at-risk communities* by jurisdiction, Australia, 2007–2024</w:t>
        </w:r>
        <w:r>
          <w:rPr>
            <w:noProof/>
            <w:webHidden/>
          </w:rPr>
          <w:tab/>
        </w:r>
        <w:r>
          <w:rPr>
            <w:noProof/>
            <w:webHidden/>
          </w:rPr>
          <w:fldChar w:fldCharType="begin"/>
        </w:r>
        <w:r>
          <w:rPr>
            <w:noProof/>
            <w:webHidden/>
          </w:rPr>
          <w:instrText xml:space="preserve"> PAGEREF _Toc215237040 \h </w:instrText>
        </w:r>
        <w:r>
          <w:rPr>
            <w:noProof/>
            <w:webHidden/>
          </w:rPr>
        </w:r>
        <w:r>
          <w:rPr>
            <w:noProof/>
            <w:webHidden/>
          </w:rPr>
          <w:fldChar w:fldCharType="separate"/>
        </w:r>
        <w:r>
          <w:rPr>
            <w:noProof/>
            <w:webHidden/>
          </w:rPr>
          <w:t>29</w:t>
        </w:r>
        <w:r>
          <w:rPr>
            <w:noProof/>
            <w:webHidden/>
          </w:rPr>
          <w:fldChar w:fldCharType="end"/>
        </w:r>
      </w:hyperlink>
    </w:p>
    <w:p w14:paraId="7A6E927A" w14:textId="271CB849"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41" w:history="1">
        <w:r w:rsidRPr="007E476E">
          <w:rPr>
            <w:rStyle w:val="Hyperlink"/>
            <w:noProof/>
          </w:rPr>
          <w:t xml:space="preserve">Figure 1.3 </w:t>
        </w:r>
        <w:r>
          <w:rPr>
            <w:rFonts w:eastAsiaTheme="minorEastAsia" w:cstheme="minorBidi"/>
            <w:noProof/>
            <w:color w:val="auto"/>
            <w:kern w:val="2"/>
            <w:sz w:val="24"/>
            <w:lang w:val="en-AU" w:eastAsia="ja-JP"/>
            <w14:ligatures w14:val="standardContextual"/>
          </w:rPr>
          <w:tab/>
        </w:r>
        <w:r w:rsidRPr="007E476E">
          <w:rPr>
            <w:rStyle w:val="Hyperlink"/>
            <w:noProof/>
          </w:rPr>
          <w:t>Number of at-risk communities according to trachoma control strategy implemented by jurisdiction, Australia, 2024</w:t>
        </w:r>
        <w:r>
          <w:rPr>
            <w:noProof/>
            <w:webHidden/>
          </w:rPr>
          <w:tab/>
        </w:r>
        <w:r>
          <w:rPr>
            <w:noProof/>
            <w:webHidden/>
          </w:rPr>
          <w:fldChar w:fldCharType="begin"/>
        </w:r>
        <w:r>
          <w:rPr>
            <w:noProof/>
            <w:webHidden/>
          </w:rPr>
          <w:instrText xml:space="preserve"> PAGEREF _Toc215237041 \h </w:instrText>
        </w:r>
        <w:r>
          <w:rPr>
            <w:noProof/>
            <w:webHidden/>
          </w:rPr>
        </w:r>
        <w:r>
          <w:rPr>
            <w:noProof/>
            <w:webHidden/>
          </w:rPr>
          <w:fldChar w:fldCharType="separate"/>
        </w:r>
        <w:r>
          <w:rPr>
            <w:noProof/>
            <w:webHidden/>
          </w:rPr>
          <w:t>30</w:t>
        </w:r>
        <w:r>
          <w:rPr>
            <w:noProof/>
            <w:webHidden/>
          </w:rPr>
          <w:fldChar w:fldCharType="end"/>
        </w:r>
      </w:hyperlink>
    </w:p>
    <w:p w14:paraId="7EF65358" w14:textId="27374D9C"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42" w:history="1">
        <w:r w:rsidRPr="007E476E">
          <w:rPr>
            <w:rStyle w:val="Hyperlink"/>
            <w:noProof/>
          </w:rPr>
          <w:t xml:space="preserve">Figure 1.4 </w:t>
        </w:r>
        <w:r>
          <w:rPr>
            <w:rFonts w:eastAsiaTheme="minorEastAsia" w:cstheme="minorBidi"/>
            <w:noProof/>
            <w:color w:val="auto"/>
            <w:kern w:val="2"/>
            <w:sz w:val="24"/>
            <w:lang w:val="en-AU" w:eastAsia="ja-JP"/>
            <w14:ligatures w14:val="standardContextual"/>
          </w:rPr>
          <w:tab/>
        </w:r>
        <w:r w:rsidRPr="007E476E">
          <w:rPr>
            <w:rStyle w:val="Hyperlink"/>
            <w:noProof/>
          </w:rPr>
          <w:t>Proportion of screened children aged 5–9 years who had a clean face by jurisdiction, Australia 2007–2024</w:t>
        </w:r>
        <w:r>
          <w:rPr>
            <w:noProof/>
            <w:webHidden/>
          </w:rPr>
          <w:tab/>
        </w:r>
        <w:r>
          <w:rPr>
            <w:noProof/>
            <w:webHidden/>
          </w:rPr>
          <w:fldChar w:fldCharType="begin"/>
        </w:r>
        <w:r>
          <w:rPr>
            <w:noProof/>
            <w:webHidden/>
          </w:rPr>
          <w:instrText xml:space="preserve"> PAGEREF _Toc215237042 \h </w:instrText>
        </w:r>
        <w:r>
          <w:rPr>
            <w:noProof/>
            <w:webHidden/>
          </w:rPr>
        </w:r>
        <w:r>
          <w:rPr>
            <w:noProof/>
            <w:webHidden/>
          </w:rPr>
          <w:fldChar w:fldCharType="separate"/>
        </w:r>
        <w:r>
          <w:rPr>
            <w:noProof/>
            <w:webHidden/>
          </w:rPr>
          <w:t>30</w:t>
        </w:r>
        <w:r>
          <w:rPr>
            <w:noProof/>
            <w:webHidden/>
          </w:rPr>
          <w:fldChar w:fldCharType="end"/>
        </w:r>
      </w:hyperlink>
    </w:p>
    <w:p w14:paraId="4AE84F14" w14:textId="68C55EC9"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43" w:history="1">
        <w:r w:rsidRPr="007E476E">
          <w:rPr>
            <w:rStyle w:val="Hyperlink"/>
            <w:noProof/>
          </w:rPr>
          <w:t xml:space="preserve">Figure 1.5a </w:t>
        </w:r>
        <w:r>
          <w:rPr>
            <w:rFonts w:eastAsiaTheme="minorEastAsia" w:cstheme="minorBidi"/>
            <w:noProof/>
            <w:color w:val="auto"/>
            <w:kern w:val="2"/>
            <w:sz w:val="24"/>
            <w:lang w:val="en-AU" w:eastAsia="ja-JP"/>
            <w14:ligatures w14:val="standardContextual"/>
          </w:rPr>
          <w:tab/>
        </w:r>
        <w:r w:rsidRPr="007E476E">
          <w:rPr>
            <w:rStyle w:val="Hyperlink"/>
            <w:noProof/>
          </w:rPr>
          <w:t>Observed prevalence of clinical findings consistent with trachomatous inflammation—follicular/intense* among screened children aged 5–9 years by jurisdiction, Australia, 2007–2024</w:t>
        </w:r>
        <w:r>
          <w:rPr>
            <w:noProof/>
            <w:webHidden/>
          </w:rPr>
          <w:tab/>
        </w:r>
        <w:r>
          <w:rPr>
            <w:noProof/>
            <w:webHidden/>
          </w:rPr>
          <w:fldChar w:fldCharType="begin"/>
        </w:r>
        <w:r>
          <w:rPr>
            <w:noProof/>
            <w:webHidden/>
          </w:rPr>
          <w:instrText xml:space="preserve"> PAGEREF _Toc215237043 \h </w:instrText>
        </w:r>
        <w:r>
          <w:rPr>
            <w:noProof/>
            <w:webHidden/>
          </w:rPr>
        </w:r>
        <w:r>
          <w:rPr>
            <w:noProof/>
            <w:webHidden/>
          </w:rPr>
          <w:fldChar w:fldCharType="separate"/>
        </w:r>
        <w:r>
          <w:rPr>
            <w:noProof/>
            <w:webHidden/>
          </w:rPr>
          <w:t>31</w:t>
        </w:r>
        <w:r>
          <w:rPr>
            <w:noProof/>
            <w:webHidden/>
          </w:rPr>
          <w:fldChar w:fldCharType="end"/>
        </w:r>
      </w:hyperlink>
    </w:p>
    <w:p w14:paraId="4D2E92B3" w14:textId="7A439E0F"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44" w:history="1">
        <w:r w:rsidRPr="007E476E">
          <w:rPr>
            <w:rStyle w:val="Hyperlink"/>
            <w:noProof/>
          </w:rPr>
          <w:t>Figure 1.5b</w:t>
        </w:r>
        <w:r>
          <w:rPr>
            <w:rFonts w:eastAsiaTheme="minorEastAsia" w:cstheme="minorBidi"/>
            <w:noProof/>
            <w:color w:val="auto"/>
            <w:kern w:val="2"/>
            <w:sz w:val="24"/>
            <w:lang w:val="en-AU" w:eastAsia="ja-JP"/>
            <w14:ligatures w14:val="standardContextual"/>
          </w:rPr>
          <w:tab/>
        </w:r>
        <w:r w:rsidRPr="007E476E">
          <w:rPr>
            <w:rStyle w:val="Hyperlink"/>
            <w:noProof/>
          </w:rPr>
          <w:t>Estimated prevalence of trachoma among children aged 5–9 years in all at-risk communities* by jurisdiction, Australia, 2007–2024</w:t>
        </w:r>
        <w:r>
          <w:rPr>
            <w:noProof/>
            <w:webHidden/>
          </w:rPr>
          <w:tab/>
        </w:r>
        <w:r>
          <w:rPr>
            <w:noProof/>
            <w:webHidden/>
          </w:rPr>
          <w:fldChar w:fldCharType="begin"/>
        </w:r>
        <w:r>
          <w:rPr>
            <w:noProof/>
            <w:webHidden/>
          </w:rPr>
          <w:instrText xml:space="preserve"> PAGEREF _Toc215237044 \h </w:instrText>
        </w:r>
        <w:r>
          <w:rPr>
            <w:noProof/>
            <w:webHidden/>
          </w:rPr>
        </w:r>
        <w:r>
          <w:rPr>
            <w:noProof/>
            <w:webHidden/>
          </w:rPr>
          <w:fldChar w:fldCharType="separate"/>
        </w:r>
        <w:r>
          <w:rPr>
            <w:noProof/>
            <w:webHidden/>
          </w:rPr>
          <w:t>32</w:t>
        </w:r>
        <w:r>
          <w:rPr>
            <w:noProof/>
            <w:webHidden/>
          </w:rPr>
          <w:fldChar w:fldCharType="end"/>
        </w:r>
      </w:hyperlink>
    </w:p>
    <w:p w14:paraId="0EBEAE1A" w14:textId="7EE69380"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45" w:history="1">
        <w:r w:rsidRPr="007E476E">
          <w:rPr>
            <w:rStyle w:val="Hyperlink"/>
            <w:noProof/>
          </w:rPr>
          <w:t>Figure 1.5c</w:t>
        </w:r>
        <w:r>
          <w:rPr>
            <w:rFonts w:eastAsiaTheme="minorEastAsia" w:cstheme="minorBidi"/>
            <w:noProof/>
            <w:color w:val="auto"/>
            <w:kern w:val="2"/>
            <w:sz w:val="24"/>
            <w:lang w:val="en-AU" w:eastAsia="ja-JP"/>
            <w14:ligatures w14:val="standardContextual"/>
          </w:rPr>
          <w:tab/>
        </w:r>
        <w:r w:rsidRPr="007E476E">
          <w:rPr>
            <w:rStyle w:val="Hyperlink"/>
            <w:noProof/>
          </w:rPr>
          <w:t>Overall prevalence of trachoma among children aged 5–9 years in all communities* by jurisdiction, Australia, 2007–2024</w:t>
        </w:r>
        <w:r>
          <w:rPr>
            <w:noProof/>
            <w:webHidden/>
          </w:rPr>
          <w:tab/>
        </w:r>
        <w:r>
          <w:rPr>
            <w:noProof/>
            <w:webHidden/>
          </w:rPr>
          <w:fldChar w:fldCharType="begin"/>
        </w:r>
        <w:r>
          <w:rPr>
            <w:noProof/>
            <w:webHidden/>
          </w:rPr>
          <w:instrText xml:space="preserve"> PAGEREF _Toc215237045 \h </w:instrText>
        </w:r>
        <w:r>
          <w:rPr>
            <w:noProof/>
            <w:webHidden/>
          </w:rPr>
        </w:r>
        <w:r>
          <w:rPr>
            <w:noProof/>
            <w:webHidden/>
          </w:rPr>
          <w:fldChar w:fldCharType="separate"/>
        </w:r>
        <w:r>
          <w:rPr>
            <w:noProof/>
            <w:webHidden/>
          </w:rPr>
          <w:t>32</w:t>
        </w:r>
        <w:r>
          <w:rPr>
            <w:noProof/>
            <w:webHidden/>
          </w:rPr>
          <w:fldChar w:fldCharType="end"/>
        </w:r>
      </w:hyperlink>
    </w:p>
    <w:p w14:paraId="4429E374" w14:textId="44A4E9F0"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46" w:history="1">
        <w:r w:rsidRPr="007E476E">
          <w:rPr>
            <w:rStyle w:val="Hyperlink"/>
            <w:noProof/>
          </w:rPr>
          <w:t>Figure 1.6</w:t>
        </w:r>
        <w:r>
          <w:rPr>
            <w:rFonts w:eastAsiaTheme="minorEastAsia" w:cstheme="minorBidi"/>
            <w:noProof/>
            <w:color w:val="auto"/>
            <w:kern w:val="2"/>
            <w:sz w:val="24"/>
            <w:lang w:val="en-AU" w:eastAsia="ja-JP"/>
            <w14:ligatures w14:val="standardContextual"/>
          </w:rPr>
          <w:tab/>
        </w:r>
        <w:r w:rsidRPr="007E476E">
          <w:rPr>
            <w:rStyle w:val="Hyperlink"/>
            <w:noProof/>
          </w:rPr>
          <w:t>Number of screened at-risk communities according to the level of observed trachoma prevalence in children aged 5–9 years by jurisdiction, Australia, 2024</w:t>
        </w:r>
        <w:r>
          <w:rPr>
            <w:noProof/>
            <w:webHidden/>
          </w:rPr>
          <w:tab/>
        </w:r>
        <w:r>
          <w:rPr>
            <w:noProof/>
            <w:webHidden/>
          </w:rPr>
          <w:fldChar w:fldCharType="begin"/>
        </w:r>
        <w:r>
          <w:rPr>
            <w:noProof/>
            <w:webHidden/>
          </w:rPr>
          <w:instrText xml:space="preserve"> PAGEREF _Toc215237046 \h </w:instrText>
        </w:r>
        <w:r>
          <w:rPr>
            <w:noProof/>
            <w:webHidden/>
          </w:rPr>
        </w:r>
        <w:r>
          <w:rPr>
            <w:noProof/>
            <w:webHidden/>
          </w:rPr>
          <w:fldChar w:fldCharType="separate"/>
        </w:r>
        <w:r>
          <w:rPr>
            <w:noProof/>
            <w:webHidden/>
          </w:rPr>
          <w:t>33</w:t>
        </w:r>
        <w:r>
          <w:rPr>
            <w:noProof/>
            <w:webHidden/>
          </w:rPr>
          <w:fldChar w:fldCharType="end"/>
        </w:r>
      </w:hyperlink>
    </w:p>
    <w:p w14:paraId="1607A1F9" w14:textId="36304926"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47" w:history="1">
        <w:r w:rsidRPr="007E476E">
          <w:rPr>
            <w:rStyle w:val="Hyperlink"/>
            <w:noProof/>
          </w:rPr>
          <w:t>Figure 1.7</w:t>
        </w:r>
        <w:r>
          <w:rPr>
            <w:rFonts w:eastAsiaTheme="minorEastAsia" w:cstheme="minorBidi"/>
            <w:noProof/>
            <w:color w:val="auto"/>
            <w:kern w:val="2"/>
            <w:sz w:val="24"/>
            <w:lang w:val="en-AU" w:eastAsia="ja-JP"/>
            <w14:ligatures w14:val="standardContextual"/>
          </w:rPr>
          <w:tab/>
        </w:r>
        <w:r w:rsidRPr="007E476E">
          <w:rPr>
            <w:rStyle w:val="Hyperlink"/>
            <w:noProof/>
          </w:rPr>
          <w:t>Proportion of screened atrisk communities with no observed trachoma by jurisdiction, Australia, 2007–2024</w:t>
        </w:r>
        <w:r>
          <w:rPr>
            <w:noProof/>
            <w:webHidden/>
          </w:rPr>
          <w:tab/>
        </w:r>
        <w:r>
          <w:rPr>
            <w:noProof/>
            <w:webHidden/>
          </w:rPr>
          <w:fldChar w:fldCharType="begin"/>
        </w:r>
        <w:r>
          <w:rPr>
            <w:noProof/>
            <w:webHidden/>
          </w:rPr>
          <w:instrText xml:space="preserve"> PAGEREF _Toc215237047 \h </w:instrText>
        </w:r>
        <w:r>
          <w:rPr>
            <w:noProof/>
            <w:webHidden/>
          </w:rPr>
        </w:r>
        <w:r>
          <w:rPr>
            <w:noProof/>
            <w:webHidden/>
          </w:rPr>
          <w:fldChar w:fldCharType="separate"/>
        </w:r>
        <w:r>
          <w:rPr>
            <w:noProof/>
            <w:webHidden/>
          </w:rPr>
          <w:t>33</w:t>
        </w:r>
        <w:r>
          <w:rPr>
            <w:noProof/>
            <w:webHidden/>
          </w:rPr>
          <w:fldChar w:fldCharType="end"/>
        </w:r>
      </w:hyperlink>
    </w:p>
    <w:p w14:paraId="3DDD9636" w14:textId="58C5AD76"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48" w:history="1">
        <w:r w:rsidRPr="007E476E">
          <w:rPr>
            <w:rStyle w:val="Hyperlink"/>
            <w:noProof/>
          </w:rPr>
          <w:t>Figure 1.8</w:t>
        </w:r>
        <w:r>
          <w:rPr>
            <w:rFonts w:eastAsiaTheme="minorEastAsia" w:cstheme="minorBidi"/>
            <w:noProof/>
            <w:color w:val="auto"/>
            <w:kern w:val="2"/>
            <w:sz w:val="24"/>
            <w:lang w:val="en-AU" w:eastAsia="ja-JP"/>
            <w14:ligatures w14:val="standardContextual"/>
          </w:rPr>
          <w:tab/>
        </w:r>
        <w:r w:rsidRPr="007E476E">
          <w:rPr>
            <w:rStyle w:val="Hyperlink"/>
            <w:noProof/>
          </w:rPr>
          <w:t>Proportion of screened at-risk communities with observed endemic levels of trachoma (≥ 5%) by jurisdiction, Australia, 2007–2024</w:t>
        </w:r>
        <w:r>
          <w:rPr>
            <w:noProof/>
            <w:webHidden/>
          </w:rPr>
          <w:tab/>
        </w:r>
        <w:r>
          <w:rPr>
            <w:noProof/>
            <w:webHidden/>
          </w:rPr>
          <w:fldChar w:fldCharType="begin"/>
        </w:r>
        <w:r>
          <w:rPr>
            <w:noProof/>
            <w:webHidden/>
          </w:rPr>
          <w:instrText xml:space="preserve"> PAGEREF _Toc215237048 \h </w:instrText>
        </w:r>
        <w:r>
          <w:rPr>
            <w:noProof/>
            <w:webHidden/>
          </w:rPr>
        </w:r>
        <w:r>
          <w:rPr>
            <w:noProof/>
            <w:webHidden/>
          </w:rPr>
          <w:fldChar w:fldCharType="separate"/>
        </w:r>
        <w:r>
          <w:rPr>
            <w:noProof/>
            <w:webHidden/>
          </w:rPr>
          <w:t>34</w:t>
        </w:r>
        <w:r>
          <w:rPr>
            <w:noProof/>
            <w:webHidden/>
          </w:rPr>
          <w:fldChar w:fldCharType="end"/>
        </w:r>
      </w:hyperlink>
    </w:p>
    <w:p w14:paraId="78D87DC4" w14:textId="33493AD8"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49" w:history="1">
        <w:r w:rsidRPr="007E476E">
          <w:rPr>
            <w:rStyle w:val="Hyperlink"/>
            <w:noProof/>
          </w:rPr>
          <w:t>Figure 1.9</w:t>
        </w:r>
        <w:r>
          <w:rPr>
            <w:rFonts w:eastAsiaTheme="minorEastAsia" w:cstheme="minorBidi"/>
            <w:noProof/>
            <w:color w:val="auto"/>
            <w:kern w:val="2"/>
            <w:sz w:val="24"/>
            <w:lang w:val="en-AU" w:eastAsia="ja-JP"/>
            <w14:ligatures w14:val="standardContextual"/>
          </w:rPr>
          <w:tab/>
        </w:r>
        <w:r w:rsidRPr="007E476E">
          <w:rPr>
            <w:rStyle w:val="Hyperlink"/>
            <w:noProof/>
          </w:rPr>
          <w:t>Number of doses of azithromycin administered for the treatment of trachoma by jurisdiction, Australia, 2007–2024</w:t>
        </w:r>
        <w:r>
          <w:rPr>
            <w:noProof/>
            <w:webHidden/>
          </w:rPr>
          <w:tab/>
        </w:r>
        <w:r>
          <w:rPr>
            <w:noProof/>
            <w:webHidden/>
          </w:rPr>
          <w:fldChar w:fldCharType="begin"/>
        </w:r>
        <w:r>
          <w:rPr>
            <w:noProof/>
            <w:webHidden/>
          </w:rPr>
          <w:instrText xml:space="preserve"> PAGEREF _Toc215237049 \h </w:instrText>
        </w:r>
        <w:r>
          <w:rPr>
            <w:noProof/>
            <w:webHidden/>
          </w:rPr>
        </w:r>
        <w:r>
          <w:rPr>
            <w:noProof/>
            <w:webHidden/>
          </w:rPr>
          <w:fldChar w:fldCharType="separate"/>
        </w:r>
        <w:r>
          <w:rPr>
            <w:noProof/>
            <w:webHidden/>
          </w:rPr>
          <w:t>34</w:t>
        </w:r>
        <w:r>
          <w:rPr>
            <w:noProof/>
            <w:webHidden/>
          </w:rPr>
          <w:fldChar w:fldCharType="end"/>
        </w:r>
      </w:hyperlink>
    </w:p>
    <w:p w14:paraId="245DB47A" w14:textId="472178AB"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50" w:history="1">
        <w:r w:rsidRPr="007E476E">
          <w:rPr>
            <w:rStyle w:val="Hyperlink"/>
            <w:noProof/>
          </w:rPr>
          <w:t>Figure 2.1</w:t>
        </w:r>
        <w:r>
          <w:rPr>
            <w:rFonts w:eastAsiaTheme="minorEastAsia" w:cstheme="minorBidi"/>
            <w:noProof/>
            <w:color w:val="auto"/>
            <w:kern w:val="2"/>
            <w:sz w:val="24"/>
            <w:lang w:val="en-AU" w:eastAsia="ja-JP"/>
            <w14:ligatures w14:val="standardContextual"/>
          </w:rPr>
          <w:tab/>
        </w:r>
        <w:r w:rsidRPr="007E476E">
          <w:rPr>
            <w:rStyle w:val="Hyperlink"/>
            <w:noProof/>
          </w:rPr>
          <w:t>Overall trachoma prevalence in children aged 5–9 years by region, Northern Territory, 2024</w:t>
        </w:r>
        <w:r>
          <w:rPr>
            <w:noProof/>
            <w:webHidden/>
          </w:rPr>
          <w:tab/>
        </w:r>
        <w:r>
          <w:rPr>
            <w:noProof/>
            <w:webHidden/>
          </w:rPr>
          <w:fldChar w:fldCharType="begin"/>
        </w:r>
        <w:r>
          <w:rPr>
            <w:noProof/>
            <w:webHidden/>
          </w:rPr>
          <w:instrText xml:space="preserve"> PAGEREF _Toc215237050 \h </w:instrText>
        </w:r>
        <w:r>
          <w:rPr>
            <w:noProof/>
            <w:webHidden/>
          </w:rPr>
        </w:r>
        <w:r>
          <w:rPr>
            <w:noProof/>
            <w:webHidden/>
          </w:rPr>
          <w:fldChar w:fldCharType="separate"/>
        </w:r>
        <w:r>
          <w:rPr>
            <w:noProof/>
            <w:webHidden/>
          </w:rPr>
          <w:t>46</w:t>
        </w:r>
        <w:r>
          <w:rPr>
            <w:noProof/>
            <w:webHidden/>
          </w:rPr>
          <w:fldChar w:fldCharType="end"/>
        </w:r>
      </w:hyperlink>
    </w:p>
    <w:p w14:paraId="39E171EE" w14:textId="47903E8D"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51" w:history="1">
        <w:r w:rsidRPr="007E476E">
          <w:rPr>
            <w:rStyle w:val="Hyperlink"/>
            <w:noProof/>
          </w:rPr>
          <w:t>Figure 2.2</w:t>
        </w:r>
        <w:r>
          <w:rPr>
            <w:rFonts w:eastAsiaTheme="minorEastAsia" w:cstheme="minorBidi"/>
            <w:noProof/>
            <w:color w:val="auto"/>
            <w:kern w:val="2"/>
            <w:sz w:val="24"/>
            <w:lang w:val="en-AU" w:eastAsia="ja-JP"/>
            <w14:ligatures w14:val="standardContextual"/>
          </w:rPr>
          <w:tab/>
        </w:r>
        <w:r w:rsidRPr="007E476E">
          <w:rPr>
            <w:rStyle w:val="Hyperlink"/>
            <w:noProof/>
          </w:rPr>
          <w:t>Number of at-risk communities* by region, Northern Territory, 2007–2024</w:t>
        </w:r>
        <w:r>
          <w:rPr>
            <w:noProof/>
            <w:webHidden/>
          </w:rPr>
          <w:tab/>
        </w:r>
        <w:r>
          <w:rPr>
            <w:noProof/>
            <w:webHidden/>
          </w:rPr>
          <w:fldChar w:fldCharType="begin"/>
        </w:r>
        <w:r>
          <w:rPr>
            <w:noProof/>
            <w:webHidden/>
          </w:rPr>
          <w:instrText xml:space="preserve"> PAGEREF _Toc215237051 \h </w:instrText>
        </w:r>
        <w:r>
          <w:rPr>
            <w:noProof/>
            <w:webHidden/>
          </w:rPr>
        </w:r>
        <w:r>
          <w:rPr>
            <w:noProof/>
            <w:webHidden/>
          </w:rPr>
          <w:fldChar w:fldCharType="separate"/>
        </w:r>
        <w:r>
          <w:rPr>
            <w:noProof/>
            <w:webHidden/>
          </w:rPr>
          <w:t>47</w:t>
        </w:r>
        <w:r>
          <w:rPr>
            <w:noProof/>
            <w:webHidden/>
          </w:rPr>
          <w:fldChar w:fldCharType="end"/>
        </w:r>
      </w:hyperlink>
    </w:p>
    <w:p w14:paraId="18DC877D" w14:textId="748A33A2"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52" w:history="1">
        <w:r w:rsidRPr="007E476E">
          <w:rPr>
            <w:rStyle w:val="Hyperlink"/>
            <w:noProof/>
          </w:rPr>
          <w:t>Figure 2.3</w:t>
        </w:r>
        <w:r>
          <w:rPr>
            <w:rFonts w:eastAsiaTheme="minorEastAsia" w:cstheme="minorBidi"/>
            <w:noProof/>
            <w:color w:val="auto"/>
            <w:kern w:val="2"/>
            <w:sz w:val="24"/>
            <w:lang w:val="en-AU" w:eastAsia="ja-JP"/>
            <w14:ligatures w14:val="standardContextual"/>
          </w:rPr>
          <w:tab/>
        </w:r>
        <w:r w:rsidRPr="007E476E">
          <w:rPr>
            <w:rStyle w:val="Hyperlink"/>
            <w:noProof/>
          </w:rPr>
          <w:t>Number of at-risk communities according to trachoma control strategy implemented by region, Northern Territory, 2024</w:t>
        </w:r>
        <w:r>
          <w:rPr>
            <w:noProof/>
            <w:webHidden/>
          </w:rPr>
          <w:tab/>
        </w:r>
        <w:r>
          <w:rPr>
            <w:noProof/>
            <w:webHidden/>
          </w:rPr>
          <w:fldChar w:fldCharType="begin"/>
        </w:r>
        <w:r>
          <w:rPr>
            <w:noProof/>
            <w:webHidden/>
          </w:rPr>
          <w:instrText xml:space="preserve"> PAGEREF _Toc215237052 \h </w:instrText>
        </w:r>
        <w:r>
          <w:rPr>
            <w:noProof/>
            <w:webHidden/>
          </w:rPr>
        </w:r>
        <w:r>
          <w:rPr>
            <w:noProof/>
            <w:webHidden/>
          </w:rPr>
          <w:fldChar w:fldCharType="separate"/>
        </w:r>
        <w:r>
          <w:rPr>
            <w:noProof/>
            <w:webHidden/>
          </w:rPr>
          <w:t>47</w:t>
        </w:r>
        <w:r>
          <w:rPr>
            <w:noProof/>
            <w:webHidden/>
          </w:rPr>
          <w:fldChar w:fldCharType="end"/>
        </w:r>
      </w:hyperlink>
    </w:p>
    <w:p w14:paraId="5F467996" w14:textId="1397D47E"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53" w:history="1">
        <w:r w:rsidRPr="007E476E">
          <w:rPr>
            <w:rStyle w:val="Hyperlink"/>
            <w:noProof/>
          </w:rPr>
          <w:t>Figure 2.4</w:t>
        </w:r>
        <w:r>
          <w:rPr>
            <w:rFonts w:eastAsiaTheme="minorEastAsia" w:cstheme="minorBidi"/>
            <w:noProof/>
            <w:color w:val="auto"/>
            <w:kern w:val="2"/>
            <w:sz w:val="24"/>
            <w:lang w:val="en-AU" w:eastAsia="ja-JP"/>
            <w14:ligatures w14:val="standardContextual"/>
          </w:rPr>
          <w:tab/>
        </w:r>
        <w:r w:rsidRPr="007E476E">
          <w:rPr>
            <w:rStyle w:val="Hyperlink"/>
            <w:noProof/>
          </w:rPr>
          <w:t>Proportion of screened children aged 5–9 years who had a clean face by region, Northern Territory, 2007–2024</w:t>
        </w:r>
        <w:r>
          <w:rPr>
            <w:noProof/>
            <w:webHidden/>
          </w:rPr>
          <w:tab/>
        </w:r>
        <w:r>
          <w:rPr>
            <w:noProof/>
            <w:webHidden/>
          </w:rPr>
          <w:fldChar w:fldCharType="begin"/>
        </w:r>
        <w:r>
          <w:rPr>
            <w:noProof/>
            <w:webHidden/>
          </w:rPr>
          <w:instrText xml:space="preserve"> PAGEREF _Toc215237053 \h </w:instrText>
        </w:r>
        <w:r>
          <w:rPr>
            <w:noProof/>
            <w:webHidden/>
          </w:rPr>
        </w:r>
        <w:r>
          <w:rPr>
            <w:noProof/>
            <w:webHidden/>
          </w:rPr>
          <w:fldChar w:fldCharType="separate"/>
        </w:r>
        <w:r>
          <w:rPr>
            <w:noProof/>
            <w:webHidden/>
          </w:rPr>
          <w:t>48</w:t>
        </w:r>
        <w:r>
          <w:rPr>
            <w:noProof/>
            <w:webHidden/>
          </w:rPr>
          <w:fldChar w:fldCharType="end"/>
        </w:r>
      </w:hyperlink>
    </w:p>
    <w:p w14:paraId="2DB34BA8" w14:textId="4E46DCD0"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54" w:history="1">
        <w:r w:rsidRPr="007E476E">
          <w:rPr>
            <w:rStyle w:val="Hyperlink"/>
            <w:noProof/>
          </w:rPr>
          <w:t xml:space="preserve">Figure 2.5a </w:t>
        </w:r>
        <w:r>
          <w:rPr>
            <w:rFonts w:eastAsiaTheme="minorEastAsia" w:cstheme="minorBidi"/>
            <w:noProof/>
            <w:color w:val="auto"/>
            <w:kern w:val="2"/>
            <w:sz w:val="24"/>
            <w:lang w:val="en-AU" w:eastAsia="ja-JP"/>
            <w14:ligatures w14:val="standardContextual"/>
          </w:rPr>
          <w:tab/>
        </w:r>
        <w:r w:rsidRPr="007E476E">
          <w:rPr>
            <w:rStyle w:val="Hyperlink"/>
            <w:noProof/>
          </w:rPr>
          <w:t>Observed prevalence of clinical findings consistent with trachomatous inflammation—follicular/intense* among screened children aged 5–9 years by region, Northern Territory, 2007–2024</w:t>
        </w:r>
        <w:r>
          <w:rPr>
            <w:noProof/>
            <w:webHidden/>
          </w:rPr>
          <w:tab/>
        </w:r>
        <w:r>
          <w:rPr>
            <w:noProof/>
            <w:webHidden/>
          </w:rPr>
          <w:fldChar w:fldCharType="begin"/>
        </w:r>
        <w:r>
          <w:rPr>
            <w:noProof/>
            <w:webHidden/>
          </w:rPr>
          <w:instrText xml:space="preserve"> PAGEREF _Toc215237054 \h </w:instrText>
        </w:r>
        <w:r>
          <w:rPr>
            <w:noProof/>
            <w:webHidden/>
          </w:rPr>
        </w:r>
        <w:r>
          <w:rPr>
            <w:noProof/>
            <w:webHidden/>
          </w:rPr>
          <w:fldChar w:fldCharType="separate"/>
        </w:r>
        <w:r>
          <w:rPr>
            <w:noProof/>
            <w:webHidden/>
          </w:rPr>
          <w:t>48</w:t>
        </w:r>
        <w:r>
          <w:rPr>
            <w:noProof/>
            <w:webHidden/>
          </w:rPr>
          <w:fldChar w:fldCharType="end"/>
        </w:r>
      </w:hyperlink>
    </w:p>
    <w:p w14:paraId="526A2F8A" w14:textId="6FB56DC1"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55" w:history="1">
        <w:r w:rsidRPr="007E476E">
          <w:rPr>
            <w:rStyle w:val="Hyperlink"/>
            <w:noProof/>
          </w:rPr>
          <w:t>Figure 2.5b</w:t>
        </w:r>
        <w:r>
          <w:rPr>
            <w:rFonts w:eastAsiaTheme="minorEastAsia" w:cstheme="minorBidi"/>
            <w:noProof/>
            <w:color w:val="auto"/>
            <w:kern w:val="2"/>
            <w:sz w:val="24"/>
            <w:lang w:val="en-AU" w:eastAsia="ja-JP"/>
            <w14:ligatures w14:val="standardContextual"/>
          </w:rPr>
          <w:tab/>
        </w:r>
        <w:r w:rsidRPr="007E476E">
          <w:rPr>
            <w:rStyle w:val="Hyperlink"/>
            <w:noProof/>
          </w:rPr>
          <w:t>Estimated prevalence of trachoma among children aged 5–9 years in all at-risk communities* by region, Northern Territory, 2007–2024</w:t>
        </w:r>
        <w:r>
          <w:rPr>
            <w:noProof/>
            <w:webHidden/>
          </w:rPr>
          <w:tab/>
        </w:r>
        <w:r>
          <w:rPr>
            <w:noProof/>
            <w:webHidden/>
          </w:rPr>
          <w:fldChar w:fldCharType="begin"/>
        </w:r>
        <w:r>
          <w:rPr>
            <w:noProof/>
            <w:webHidden/>
          </w:rPr>
          <w:instrText xml:space="preserve"> PAGEREF _Toc215237055 \h </w:instrText>
        </w:r>
        <w:r>
          <w:rPr>
            <w:noProof/>
            <w:webHidden/>
          </w:rPr>
        </w:r>
        <w:r>
          <w:rPr>
            <w:noProof/>
            <w:webHidden/>
          </w:rPr>
          <w:fldChar w:fldCharType="separate"/>
        </w:r>
        <w:r>
          <w:rPr>
            <w:noProof/>
            <w:webHidden/>
          </w:rPr>
          <w:t>49</w:t>
        </w:r>
        <w:r>
          <w:rPr>
            <w:noProof/>
            <w:webHidden/>
          </w:rPr>
          <w:fldChar w:fldCharType="end"/>
        </w:r>
      </w:hyperlink>
    </w:p>
    <w:p w14:paraId="4EAEB439" w14:textId="2D0ABD61"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56" w:history="1">
        <w:r w:rsidRPr="007E476E">
          <w:rPr>
            <w:rStyle w:val="Hyperlink"/>
            <w:noProof/>
          </w:rPr>
          <w:t>Figure 2.5c</w:t>
        </w:r>
        <w:r>
          <w:rPr>
            <w:rFonts w:eastAsiaTheme="minorEastAsia" w:cstheme="minorBidi"/>
            <w:noProof/>
            <w:color w:val="auto"/>
            <w:kern w:val="2"/>
            <w:sz w:val="24"/>
            <w:lang w:val="en-AU" w:eastAsia="ja-JP"/>
            <w14:ligatures w14:val="standardContextual"/>
          </w:rPr>
          <w:tab/>
        </w:r>
        <w:r w:rsidRPr="007E476E">
          <w:rPr>
            <w:rStyle w:val="Hyperlink"/>
            <w:noProof/>
          </w:rPr>
          <w:t>Overall prevalence of trachoma among children aged 5–9 years in all communities* by region, Northern Territory, 2007–2024</w:t>
        </w:r>
        <w:r>
          <w:rPr>
            <w:noProof/>
            <w:webHidden/>
          </w:rPr>
          <w:tab/>
        </w:r>
        <w:r>
          <w:rPr>
            <w:noProof/>
            <w:webHidden/>
          </w:rPr>
          <w:fldChar w:fldCharType="begin"/>
        </w:r>
        <w:r>
          <w:rPr>
            <w:noProof/>
            <w:webHidden/>
          </w:rPr>
          <w:instrText xml:space="preserve"> PAGEREF _Toc215237056 \h </w:instrText>
        </w:r>
        <w:r>
          <w:rPr>
            <w:noProof/>
            <w:webHidden/>
          </w:rPr>
        </w:r>
        <w:r>
          <w:rPr>
            <w:noProof/>
            <w:webHidden/>
          </w:rPr>
          <w:fldChar w:fldCharType="separate"/>
        </w:r>
        <w:r>
          <w:rPr>
            <w:noProof/>
            <w:webHidden/>
          </w:rPr>
          <w:t>49</w:t>
        </w:r>
        <w:r>
          <w:rPr>
            <w:noProof/>
            <w:webHidden/>
          </w:rPr>
          <w:fldChar w:fldCharType="end"/>
        </w:r>
      </w:hyperlink>
    </w:p>
    <w:p w14:paraId="1F44C88C" w14:textId="51E5D5DC"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57" w:history="1">
        <w:r w:rsidRPr="007E476E">
          <w:rPr>
            <w:rStyle w:val="Hyperlink"/>
            <w:noProof/>
          </w:rPr>
          <w:t>Figure 2.6</w:t>
        </w:r>
        <w:r>
          <w:rPr>
            <w:rFonts w:eastAsiaTheme="minorEastAsia" w:cstheme="minorBidi"/>
            <w:noProof/>
            <w:color w:val="auto"/>
            <w:kern w:val="2"/>
            <w:sz w:val="24"/>
            <w:lang w:val="en-AU" w:eastAsia="ja-JP"/>
            <w14:ligatures w14:val="standardContextual"/>
          </w:rPr>
          <w:tab/>
        </w:r>
        <w:r w:rsidRPr="007E476E">
          <w:rPr>
            <w:rStyle w:val="Hyperlink"/>
            <w:noProof/>
          </w:rPr>
          <w:t>Number of screened at-risk communities according to the level of observed trachoma prevalence in children aged 5–9 years by region, Northern Territory, 2024</w:t>
        </w:r>
        <w:r>
          <w:rPr>
            <w:noProof/>
            <w:webHidden/>
          </w:rPr>
          <w:tab/>
        </w:r>
        <w:r>
          <w:rPr>
            <w:noProof/>
            <w:webHidden/>
          </w:rPr>
          <w:fldChar w:fldCharType="begin"/>
        </w:r>
        <w:r>
          <w:rPr>
            <w:noProof/>
            <w:webHidden/>
          </w:rPr>
          <w:instrText xml:space="preserve"> PAGEREF _Toc215237057 \h </w:instrText>
        </w:r>
        <w:r>
          <w:rPr>
            <w:noProof/>
            <w:webHidden/>
          </w:rPr>
        </w:r>
        <w:r>
          <w:rPr>
            <w:noProof/>
            <w:webHidden/>
          </w:rPr>
          <w:fldChar w:fldCharType="separate"/>
        </w:r>
        <w:r>
          <w:rPr>
            <w:noProof/>
            <w:webHidden/>
          </w:rPr>
          <w:t>50</w:t>
        </w:r>
        <w:r>
          <w:rPr>
            <w:noProof/>
            <w:webHidden/>
          </w:rPr>
          <w:fldChar w:fldCharType="end"/>
        </w:r>
      </w:hyperlink>
    </w:p>
    <w:p w14:paraId="2CCE7488" w14:textId="30D77A00"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58" w:history="1">
        <w:r w:rsidRPr="007E476E">
          <w:rPr>
            <w:rStyle w:val="Hyperlink"/>
            <w:noProof/>
          </w:rPr>
          <w:t>Figure 2.7</w:t>
        </w:r>
        <w:r>
          <w:rPr>
            <w:rFonts w:eastAsiaTheme="minorEastAsia" w:cstheme="minorBidi"/>
            <w:noProof/>
            <w:color w:val="auto"/>
            <w:kern w:val="2"/>
            <w:sz w:val="24"/>
            <w:lang w:val="en-AU" w:eastAsia="ja-JP"/>
            <w14:ligatures w14:val="standardContextual"/>
          </w:rPr>
          <w:tab/>
        </w:r>
        <w:r w:rsidRPr="007E476E">
          <w:rPr>
            <w:rStyle w:val="Hyperlink"/>
            <w:noProof/>
          </w:rPr>
          <w:t>Number of doses of azithromycin administered for the treatment of trachoma by region, Northern Territory, 2007–2024</w:t>
        </w:r>
        <w:r>
          <w:rPr>
            <w:noProof/>
            <w:webHidden/>
          </w:rPr>
          <w:tab/>
        </w:r>
        <w:r>
          <w:rPr>
            <w:noProof/>
            <w:webHidden/>
          </w:rPr>
          <w:fldChar w:fldCharType="begin"/>
        </w:r>
        <w:r>
          <w:rPr>
            <w:noProof/>
            <w:webHidden/>
          </w:rPr>
          <w:instrText xml:space="preserve"> PAGEREF _Toc215237058 \h </w:instrText>
        </w:r>
        <w:r>
          <w:rPr>
            <w:noProof/>
            <w:webHidden/>
          </w:rPr>
        </w:r>
        <w:r>
          <w:rPr>
            <w:noProof/>
            <w:webHidden/>
          </w:rPr>
          <w:fldChar w:fldCharType="separate"/>
        </w:r>
        <w:r>
          <w:rPr>
            <w:noProof/>
            <w:webHidden/>
          </w:rPr>
          <w:t>50</w:t>
        </w:r>
        <w:r>
          <w:rPr>
            <w:noProof/>
            <w:webHidden/>
          </w:rPr>
          <w:fldChar w:fldCharType="end"/>
        </w:r>
      </w:hyperlink>
    </w:p>
    <w:p w14:paraId="07595ECD" w14:textId="4B20AAD9"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59" w:history="1">
        <w:r w:rsidRPr="007E476E">
          <w:rPr>
            <w:rStyle w:val="Hyperlink"/>
            <w:noProof/>
          </w:rPr>
          <w:t>Figure 4.1</w:t>
        </w:r>
        <w:r>
          <w:rPr>
            <w:rFonts w:eastAsiaTheme="minorEastAsia" w:cstheme="minorBidi"/>
            <w:noProof/>
            <w:color w:val="auto"/>
            <w:kern w:val="2"/>
            <w:sz w:val="24"/>
            <w:lang w:val="en-AU" w:eastAsia="ja-JP"/>
            <w14:ligatures w14:val="standardContextual"/>
          </w:rPr>
          <w:tab/>
        </w:r>
        <w:r w:rsidRPr="007E476E">
          <w:rPr>
            <w:rStyle w:val="Hyperlink"/>
            <w:noProof/>
          </w:rPr>
          <w:t>Overall trachoma prevalence in children aged 5–9 years by region, South Australia, 2024</w:t>
        </w:r>
        <w:r>
          <w:rPr>
            <w:noProof/>
            <w:webHidden/>
          </w:rPr>
          <w:tab/>
        </w:r>
        <w:r>
          <w:rPr>
            <w:noProof/>
            <w:webHidden/>
          </w:rPr>
          <w:fldChar w:fldCharType="begin"/>
        </w:r>
        <w:r>
          <w:rPr>
            <w:noProof/>
            <w:webHidden/>
          </w:rPr>
          <w:instrText xml:space="preserve"> PAGEREF _Toc215237059 \h </w:instrText>
        </w:r>
        <w:r>
          <w:rPr>
            <w:noProof/>
            <w:webHidden/>
          </w:rPr>
        </w:r>
        <w:r>
          <w:rPr>
            <w:noProof/>
            <w:webHidden/>
          </w:rPr>
          <w:fldChar w:fldCharType="separate"/>
        </w:r>
        <w:r>
          <w:rPr>
            <w:noProof/>
            <w:webHidden/>
          </w:rPr>
          <w:t>62</w:t>
        </w:r>
        <w:r>
          <w:rPr>
            <w:noProof/>
            <w:webHidden/>
          </w:rPr>
          <w:fldChar w:fldCharType="end"/>
        </w:r>
      </w:hyperlink>
    </w:p>
    <w:p w14:paraId="0A968657" w14:textId="250E0B8F"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60" w:history="1">
        <w:r w:rsidRPr="007E476E">
          <w:rPr>
            <w:rStyle w:val="Hyperlink"/>
            <w:noProof/>
          </w:rPr>
          <w:t>Figure 4.2</w:t>
        </w:r>
        <w:r>
          <w:rPr>
            <w:rFonts w:eastAsiaTheme="minorEastAsia" w:cstheme="minorBidi"/>
            <w:noProof/>
            <w:color w:val="auto"/>
            <w:kern w:val="2"/>
            <w:sz w:val="24"/>
            <w:lang w:val="en-AU" w:eastAsia="ja-JP"/>
            <w14:ligatures w14:val="standardContextual"/>
          </w:rPr>
          <w:tab/>
        </w:r>
        <w:r w:rsidRPr="007E476E">
          <w:rPr>
            <w:rStyle w:val="Hyperlink"/>
            <w:noProof/>
          </w:rPr>
          <w:t>Number of at-risk communities* by region, South Australia, 2007–2024</w:t>
        </w:r>
        <w:r>
          <w:rPr>
            <w:noProof/>
            <w:webHidden/>
          </w:rPr>
          <w:tab/>
        </w:r>
        <w:r>
          <w:rPr>
            <w:noProof/>
            <w:webHidden/>
          </w:rPr>
          <w:fldChar w:fldCharType="begin"/>
        </w:r>
        <w:r>
          <w:rPr>
            <w:noProof/>
            <w:webHidden/>
          </w:rPr>
          <w:instrText xml:space="preserve"> PAGEREF _Toc215237060 \h </w:instrText>
        </w:r>
        <w:r>
          <w:rPr>
            <w:noProof/>
            <w:webHidden/>
          </w:rPr>
        </w:r>
        <w:r>
          <w:rPr>
            <w:noProof/>
            <w:webHidden/>
          </w:rPr>
          <w:fldChar w:fldCharType="separate"/>
        </w:r>
        <w:r>
          <w:rPr>
            <w:noProof/>
            <w:webHidden/>
          </w:rPr>
          <w:t>63</w:t>
        </w:r>
        <w:r>
          <w:rPr>
            <w:noProof/>
            <w:webHidden/>
          </w:rPr>
          <w:fldChar w:fldCharType="end"/>
        </w:r>
      </w:hyperlink>
    </w:p>
    <w:p w14:paraId="4BAC5CFF" w14:textId="3324408C"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61" w:history="1">
        <w:r w:rsidRPr="007E476E">
          <w:rPr>
            <w:rStyle w:val="Hyperlink"/>
            <w:noProof/>
          </w:rPr>
          <w:t>Figure 4.3</w:t>
        </w:r>
        <w:r>
          <w:rPr>
            <w:rFonts w:eastAsiaTheme="minorEastAsia" w:cstheme="minorBidi"/>
            <w:noProof/>
            <w:color w:val="auto"/>
            <w:kern w:val="2"/>
            <w:sz w:val="24"/>
            <w:lang w:val="en-AU" w:eastAsia="ja-JP"/>
            <w14:ligatures w14:val="standardContextual"/>
          </w:rPr>
          <w:tab/>
        </w:r>
        <w:r w:rsidRPr="007E476E">
          <w:rPr>
            <w:rStyle w:val="Hyperlink"/>
            <w:noProof/>
          </w:rPr>
          <w:t>Number of at-risk communities according to trachoma control strategy implemented by region, South Australia, 2024</w:t>
        </w:r>
        <w:r>
          <w:rPr>
            <w:noProof/>
            <w:webHidden/>
          </w:rPr>
          <w:tab/>
        </w:r>
        <w:r>
          <w:rPr>
            <w:noProof/>
            <w:webHidden/>
          </w:rPr>
          <w:fldChar w:fldCharType="begin"/>
        </w:r>
        <w:r>
          <w:rPr>
            <w:noProof/>
            <w:webHidden/>
          </w:rPr>
          <w:instrText xml:space="preserve"> PAGEREF _Toc215237061 \h </w:instrText>
        </w:r>
        <w:r>
          <w:rPr>
            <w:noProof/>
            <w:webHidden/>
          </w:rPr>
        </w:r>
        <w:r>
          <w:rPr>
            <w:noProof/>
            <w:webHidden/>
          </w:rPr>
          <w:fldChar w:fldCharType="separate"/>
        </w:r>
        <w:r>
          <w:rPr>
            <w:noProof/>
            <w:webHidden/>
          </w:rPr>
          <w:t>64</w:t>
        </w:r>
        <w:r>
          <w:rPr>
            <w:noProof/>
            <w:webHidden/>
          </w:rPr>
          <w:fldChar w:fldCharType="end"/>
        </w:r>
      </w:hyperlink>
    </w:p>
    <w:p w14:paraId="2E786E9E" w14:textId="23305046"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62" w:history="1">
        <w:r w:rsidRPr="007E476E">
          <w:rPr>
            <w:rStyle w:val="Hyperlink"/>
            <w:noProof/>
          </w:rPr>
          <w:t>Figure 4.4</w:t>
        </w:r>
        <w:r>
          <w:rPr>
            <w:rFonts w:eastAsiaTheme="minorEastAsia" w:cstheme="minorBidi"/>
            <w:noProof/>
            <w:color w:val="auto"/>
            <w:kern w:val="2"/>
            <w:sz w:val="24"/>
            <w:lang w:val="en-AU" w:eastAsia="ja-JP"/>
            <w14:ligatures w14:val="standardContextual"/>
          </w:rPr>
          <w:tab/>
        </w:r>
        <w:r w:rsidRPr="007E476E">
          <w:rPr>
            <w:rStyle w:val="Hyperlink"/>
            <w:noProof/>
          </w:rPr>
          <w:t>Proportion of screened children aged 5–9 years who had a clean face by region, South Australia, 2007–2024</w:t>
        </w:r>
        <w:r>
          <w:rPr>
            <w:noProof/>
            <w:webHidden/>
          </w:rPr>
          <w:tab/>
        </w:r>
        <w:r>
          <w:rPr>
            <w:noProof/>
            <w:webHidden/>
          </w:rPr>
          <w:fldChar w:fldCharType="begin"/>
        </w:r>
        <w:r>
          <w:rPr>
            <w:noProof/>
            <w:webHidden/>
          </w:rPr>
          <w:instrText xml:space="preserve"> PAGEREF _Toc215237062 \h </w:instrText>
        </w:r>
        <w:r>
          <w:rPr>
            <w:noProof/>
            <w:webHidden/>
          </w:rPr>
        </w:r>
        <w:r>
          <w:rPr>
            <w:noProof/>
            <w:webHidden/>
          </w:rPr>
          <w:fldChar w:fldCharType="separate"/>
        </w:r>
        <w:r>
          <w:rPr>
            <w:noProof/>
            <w:webHidden/>
          </w:rPr>
          <w:t>64</w:t>
        </w:r>
        <w:r>
          <w:rPr>
            <w:noProof/>
            <w:webHidden/>
          </w:rPr>
          <w:fldChar w:fldCharType="end"/>
        </w:r>
      </w:hyperlink>
    </w:p>
    <w:p w14:paraId="5D385DEA" w14:textId="64AB9D0C"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63" w:history="1">
        <w:r w:rsidRPr="007E476E">
          <w:rPr>
            <w:rStyle w:val="Hyperlink"/>
            <w:noProof/>
          </w:rPr>
          <w:t>Figure 4.5a</w:t>
        </w:r>
        <w:r>
          <w:rPr>
            <w:rFonts w:eastAsiaTheme="minorEastAsia" w:cstheme="minorBidi"/>
            <w:noProof/>
            <w:color w:val="auto"/>
            <w:kern w:val="2"/>
            <w:sz w:val="24"/>
            <w:lang w:val="en-AU" w:eastAsia="ja-JP"/>
            <w14:ligatures w14:val="standardContextual"/>
          </w:rPr>
          <w:tab/>
        </w:r>
        <w:r w:rsidRPr="007E476E">
          <w:rPr>
            <w:rStyle w:val="Hyperlink"/>
            <w:noProof/>
          </w:rPr>
          <w:t>Observed prevalence of clinical findings consistent with trachomatous inflammation—follicular/intense* among screened children aged 5–9 years by region, South Australia, 2007–2024</w:t>
        </w:r>
        <w:r>
          <w:rPr>
            <w:noProof/>
            <w:webHidden/>
          </w:rPr>
          <w:tab/>
        </w:r>
        <w:r>
          <w:rPr>
            <w:noProof/>
            <w:webHidden/>
          </w:rPr>
          <w:fldChar w:fldCharType="begin"/>
        </w:r>
        <w:r>
          <w:rPr>
            <w:noProof/>
            <w:webHidden/>
          </w:rPr>
          <w:instrText xml:space="preserve"> PAGEREF _Toc215237063 \h </w:instrText>
        </w:r>
        <w:r>
          <w:rPr>
            <w:noProof/>
            <w:webHidden/>
          </w:rPr>
        </w:r>
        <w:r>
          <w:rPr>
            <w:noProof/>
            <w:webHidden/>
          </w:rPr>
          <w:fldChar w:fldCharType="separate"/>
        </w:r>
        <w:r>
          <w:rPr>
            <w:noProof/>
            <w:webHidden/>
          </w:rPr>
          <w:t>65</w:t>
        </w:r>
        <w:r>
          <w:rPr>
            <w:noProof/>
            <w:webHidden/>
          </w:rPr>
          <w:fldChar w:fldCharType="end"/>
        </w:r>
      </w:hyperlink>
    </w:p>
    <w:p w14:paraId="5677D4E4" w14:textId="00D9995A"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64" w:history="1">
        <w:r w:rsidRPr="007E476E">
          <w:rPr>
            <w:rStyle w:val="Hyperlink"/>
            <w:noProof/>
          </w:rPr>
          <w:t>Figure 4.5b</w:t>
        </w:r>
        <w:r>
          <w:rPr>
            <w:rFonts w:eastAsiaTheme="minorEastAsia" w:cstheme="minorBidi"/>
            <w:noProof/>
            <w:color w:val="auto"/>
            <w:kern w:val="2"/>
            <w:sz w:val="24"/>
            <w:lang w:val="en-AU" w:eastAsia="ja-JP"/>
            <w14:ligatures w14:val="standardContextual"/>
          </w:rPr>
          <w:tab/>
        </w:r>
        <w:r w:rsidRPr="007E476E">
          <w:rPr>
            <w:rStyle w:val="Hyperlink"/>
            <w:noProof/>
          </w:rPr>
          <w:t>Estimated prevalence of trachoma among children aged 5–9 years in all at-risk communities* by region, South Australia, 2007–2024</w:t>
        </w:r>
        <w:r>
          <w:rPr>
            <w:noProof/>
            <w:webHidden/>
          </w:rPr>
          <w:tab/>
        </w:r>
        <w:r>
          <w:rPr>
            <w:noProof/>
            <w:webHidden/>
          </w:rPr>
          <w:fldChar w:fldCharType="begin"/>
        </w:r>
        <w:r>
          <w:rPr>
            <w:noProof/>
            <w:webHidden/>
          </w:rPr>
          <w:instrText xml:space="preserve"> PAGEREF _Toc215237064 \h </w:instrText>
        </w:r>
        <w:r>
          <w:rPr>
            <w:noProof/>
            <w:webHidden/>
          </w:rPr>
        </w:r>
        <w:r>
          <w:rPr>
            <w:noProof/>
            <w:webHidden/>
          </w:rPr>
          <w:fldChar w:fldCharType="separate"/>
        </w:r>
        <w:r>
          <w:rPr>
            <w:noProof/>
            <w:webHidden/>
          </w:rPr>
          <w:t>65</w:t>
        </w:r>
        <w:r>
          <w:rPr>
            <w:noProof/>
            <w:webHidden/>
          </w:rPr>
          <w:fldChar w:fldCharType="end"/>
        </w:r>
      </w:hyperlink>
    </w:p>
    <w:p w14:paraId="4E2F0478" w14:textId="4FE96A9F"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65" w:history="1">
        <w:r w:rsidRPr="007E476E">
          <w:rPr>
            <w:rStyle w:val="Hyperlink"/>
            <w:noProof/>
          </w:rPr>
          <w:t>Figure 4.5c</w:t>
        </w:r>
        <w:r>
          <w:rPr>
            <w:rFonts w:eastAsiaTheme="minorEastAsia" w:cstheme="minorBidi"/>
            <w:noProof/>
            <w:color w:val="auto"/>
            <w:kern w:val="2"/>
            <w:sz w:val="24"/>
            <w:lang w:val="en-AU" w:eastAsia="ja-JP"/>
            <w14:ligatures w14:val="standardContextual"/>
          </w:rPr>
          <w:tab/>
        </w:r>
        <w:r w:rsidRPr="007E476E">
          <w:rPr>
            <w:rStyle w:val="Hyperlink"/>
            <w:noProof/>
          </w:rPr>
          <w:t>Overall prevalence of trachoma among children aged 5–9 years in all communities* by region, South Australia, 2007–2024</w:t>
        </w:r>
        <w:r>
          <w:rPr>
            <w:noProof/>
            <w:webHidden/>
          </w:rPr>
          <w:tab/>
        </w:r>
        <w:r>
          <w:rPr>
            <w:noProof/>
            <w:webHidden/>
          </w:rPr>
          <w:fldChar w:fldCharType="begin"/>
        </w:r>
        <w:r>
          <w:rPr>
            <w:noProof/>
            <w:webHidden/>
          </w:rPr>
          <w:instrText xml:space="preserve"> PAGEREF _Toc215237065 \h </w:instrText>
        </w:r>
        <w:r>
          <w:rPr>
            <w:noProof/>
            <w:webHidden/>
          </w:rPr>
        </w:r>
        <w:r>
          <w:rPr>
            <w:noProof/>
            <w:webHidden/>
          </w:rPr>
          <w:fldChar w:fldCharType="separate"/>
        </w:r>
        <w:r>
          <w:rPr>
            <w:noProof/>
            <w:webHidden/>
          </w:rPr>
          <w:t>66</w:t>
        </w:r>
        <w:r>
          <w:rPr>
            <w:noProof/>
            <w:webHidden/>
          </w:rPr>
          <w:fldChar w:fldCharType="end"/>
        </w:r>
      </w:hyperlink>
    </w:p>
    <w:p w14:paraId="7CCB6108" w14:textId="107A1AD2"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66" w:history="1">
        <w:r w:rsidRPr="007E476E">
          <w:rPr>
            <w:rStyle w:val="Hyperlink"/>
            <w:noProof/>
          </w:rPr>
          <w:t>Figure 4.6</w:t>
        </w:r>
        <w:r>
          <w:rPr>
            <w:rFonts w:eastAsiaTheme="minorEastAsia" w:cstheme="minorBidi"/>
            <w:noProof/>
            <w:color w:val="auto"/>
            <w:kern w:val="2"/>
            <w:sz w:val="24"/>
            <w:lang w:val="en-AU" w:eastAsia="ja-JP"/>
            <w14:ligatures w14:val="standardContextual"/>
          </w:rPr>
          <w:tab/>
        </w:r>
        <w:r w:rsidRPr="007E476E">
          <w:rPr>
            <w:rStyle w:val="Hyperlink"/>
            <w:noProof/>
          </w:rPr>
          <w:t>Number of screened at-risk communities according to the level of observed trachoma prevalence in children aged 5–9 years by region, South Australia, 2024</w:t>
        </w:r>
        <w:r>
          <w:rPr>
            <w:noProof/>
            <w:webHidden/>
          </w:rPr>
          <w:tab/>
        </w:r>
        <w:r>
          <w:rPr>
            <w:noProof/>
            <w:webHidden/>
          </w:rPr>
          <w:fldChar w:fldCharType="begin"/>
        </w:r>
        <w:r>
          <w:rPr>
            <w:noProof/>
            <w:webHidden/>
          </w:rPr>
          <w:instrText xml:space="preserve"> PAGEREF _Toc215237066 \h </w:instrText>
        </w:r>
        <w:r>
          <w:rPr>
            <w:noProof/>
            <w:webHidden/>
          </w:rPr>
        </w:r>
        <w:r>
          <w:rPr>
            <w:noProof/>
            <w:webHidden/>
          </w:rPr>
          <w:fldChar w:fldCharType="separate"/>
        </w:r>
        <w:r>
          <w:rPr>
            <w:noProof/>
            <w:webHidden/>
          </w:rPr>
          <w:t>66</w:t>
        </w:r>
        <w:r>
          <w:rPr>
            <w:noProof/>
            <w:webHidden/>
          </w:rPr>
          <w:fldChar w:fldCharType="end"/>
        </w:r>
      </w:hyperlink>
    </w:p>
    <w:p w14:paraId="21567043" w14:textId="0297262A"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67" w:history="1">
        <w:r w:rsidRPr="007E476E">
          <w:rPr>
            <w:rStyle w:val="Hyperlink"/>
            <w:noProof/>
          </w:rPr>
          <w:t>Figure 4.7</w:t>
        </w:r>
        <w:r>
          <w:rPr>
            <w:rFonts w:eastAsiaTheme="minorEastAsia" w:cstheme="minorBidi"/>
            <w:noProof/>
            <w:color w:val="auto"/>
            <w:kern w:val="2"/>
            <w:sz w:val="24"/>
            <w:lang w:val="en-AU" w:eastAsia="ja-JP"/>
            <w14:ligatures w14:val="standardContextual"/>
          </w:rPr>
          <w:tab/>
        </w:r>
        <w:r w:rsidRPr="007E476E">
          <w:rPr>
            <w:rStyle w:val="Hyperlink"/>
            <w:noProof/>
          </w:rPr>
          <w:t>Number of doses of azithromycin administered for the treatment of trachoma by region, South Australia, 2007–2024</w:t>
        </w:r>
        <w:r>
          <w:rPr>
            <w:noProof/>
            <w:webHidden/>
          </w:rPr>
          <w:tab/>
        </w:r>
        <w:r>
          <w:rPr>
            <w:noProof/>
            <w:webHidden/>
          </w:rPr>
          <w:fldChar w:fldCharType="begin"/>
        </w:r>
        <w:r>
          <w:rPr>
            <w:noProof/>
            <w:webHidden/>
          </w:rPr>
          <w:instrText xml:space="preserve"> PAGEREF _Toc215237067 \h </w:instrText>
        </w:r>
        <w:r>
          <w:rPr>
            <w:noProof/>
            <w:webHidden/>
          </w:rPr>
        </w:r>
        <w:r>
          <w:rPr>
            <w:noProof/>
            <w:webHidden/>
          </w:rPr>
          <w:fldChar w:fldCharType="separate"/>
        </w:r>
        <w:r>
          <w:rPr>
            <w:noProof/>
            <w:webHidden/>
          </w:rPr>
          <w:t>67</w:t>
        </w:r>
        <w:r>
          <w:rPr>
            <w:noProof/>
            <w:webHidden/>
          </w:rPr>
          <w:fldChar w:fldCharType="end"/>
        </w:r>
      </w:hyperlink>
    </w:p>
    <w:p w14:paraId="0C1D73AA" w14:textId="3D9AAD2B"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68" w:history="1">
        <w:r w:rsidRPr="007E476E">
          <w:rPr>
            <w:rStyle w:val="Hyperlink"/>
            <w:noProof/>
          </w:rPr>
          <w:t>Figure 5.1</w:t>
        </w:r>
        <w:r>
          <w:rPr>
            <w:rFonts w:eastAsiaTheme="minorEastAsia" w:cstheme="minorBidi"/>
            <w:noProof/>
            <w:color w:val="auto"/>
            <w:kern w:val="2"/>
            <w:sz w:val="24"/>
            <w:lang w:val="en-AU" w:eastAsia="ja-JP"/>
            <w14:ligatures w14:val="standardContextual"/>
          </w:rPr>
          <w:tab/>
        </w:r>
        <w:r w:rsidRPr="007E476E">
          <w:rPr>
            <w:rStyle w:val="Hyperlink"/>
            <w:noProof/>
          </w:rPr>
          <w:t>Overall trachoma prevalence in children aged 5–9 years by region, Western Australia, 2024</w:t>
        </w:r>
        <w:r>
          <w:rPr>
            <w:noProof/>
            <w:webHidden/>
          </w:rPr>
          <w:tab/>
        </w:r>
        <w:r>
          <w:rPr>
            <w:noProof/>
            <w:webHidden/>
          </w:rPr>
          <w:fldChar w:fldCharType="begin"/>
        </w:r>
        <w:r>
          <w:rPr>
            <w:noProof/>
            <w:webHidden/>
          </w:rPr>
          <w:instrText xml:space="preserve"> PAGEREF _Toc215237068 \h </w:instrText>
        </w:r>
        <w:r>
          <w:rPr>
            <w:noProof/>
            <w:webHidden/>
          </w:rPr>
        </w:r>
        <w:r>
          <w:rPr>
            <w:noProof/>
            <w:webHidden/>
          </w:rPr>
          <w:fldChar w:fldCharType="separate"/>
        </w:r>
        <w:r>
          <w:rPr>
            <w:noProof/>
            <w:webHidden/>
          </w:rPr>
          <w:t>76</w:t>
        </w:r>
        <w:r>
          <w:rPr>
            <w:noProof/>
            <w:webHidden/>
          </w:rPr>
          <w:fldChar w:fldCharType="end"/>
        </w:r>
      </w:hyperlink>
    </w:p>
    <w:p w14:paraId="60EAF282" w14:textId="712897A4"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69" w:history="1">
        <w:r w:rsidRPr="007E476E">
          <w:rPr>
            <w:rStyle w:val="Hyperlink"/>
            <w:noProof/>
          </w:rPr>
          <w:t>Figure 5.2</w:t>
        </w:r>
        <w:r>
          <w:rPr>
            <w:rFonts w:eastAsiaTheme="minorEastAsia" w:cstheme="minorBidi"/>
            <w:noProof/>
            <w:color w:val="auto"/>
            <w:kern w:val="2"/>
            <w:sz w:val="24"/>
            <w:lang w:val="en-AU" w:eastAsia="ja-JP"/>
            <w14:ligatures w14:val="standardContextual"/>
          </w:rPr>
          <w:tab/>
        </w:r>
        <w:r w:rsidRPr="007E476E">
          <w:rPr>
            <w:rStyle w:val="Hyperlink"/>
            <w:noProof/>
          </w:rPr>
          <w:t>Number of at-risk communities by region, Western Australia, 2007–2024</w:t>
        </w:r>
        <w:r>
          <w:rPr>
            <w:noProof/>
            <w:webHidden/>
          </w:rPr>
          <w:tab/>
        </w:r>
        <w:r>
          <w:rPr>
            <w:noProof/>
            <w:webHidden/>
          </w:rPr>
          <w:fldChar w:fldCharType="begin"/>
        </w:r>
        <w:r>
          <w:rPr>
            <w:noProof/>
            <w:webHidden/>
          </w:rPr>
          <w:instrText xml:space="preserve"> PAGEREF _Toc215237069 \h </w:instrText>
        </w:r>
        <w:r>
          <w:rPr>
            <w:noProof/>
            <w:webHidden/>
          </w:rPr>
        </w:r>
        <w:r>
          <w:rPr>
            <w:noProof/>
            <w:webHidden/>
          </w:rPr>
          <w:fldChar w:fldCharType="separate"/>
        </w:r>
        <w:r>
          <w:rPr>
            <w:noProof/>
            <w:webHidden/>
          </w:rPr>
          <w:t>77</w:t>
        </w:r>
        <w:r>
          <w:rPr>
            <w:noProof/>
            <w:webHidden/>
          </w:rPr>
          <w:fldChar w:fldCharType="end"/>
        </w:r>
      </w:hyperlink>
    </w:p>
    <w:p w14:paraId="30665672" w14:textId="02845CDC"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70" w:history="1">
        <w:r w:rsidRPr="007E476E">
          <w:rPr>
            <w:rStyle w:val="Hyperlink"/>
            <w:noProof/>
          </w:rPr>
          <w:t>Figure 5.3</w:t>
        </w:r>
        <w:r>
          <w:rPr>
            <w:rFonts w:eastAsiaTheme="minorEastAsia" w:cstheme="minorBidi"/>
            <w:noProof/>
            <w:color w:val="auto"/>
            <w:kern w:val="2"/>
            <w:sz w:val="24"/>
            <w:lang w:val="en-AU" w:eastAsia="ja-JP"/>
            <w14:ligatures w14:val="standardContextual"/>
          </w:rPr>
          <w:tab/>
        </w:r>
        <w:r w:rsidRPr="007E476E">
          <w:rPr>
            <w:rStyle w:val="Hyperlink"/>
            <w:noProof/>
          </w:rPr>
          <w:t>Number of at-risk communities according to trachoma control strategy implemented by region, Western Australia, 2024</w:t>
        </w:r>
        <w:r>
          <w:rPr>
            <w:noProof/>
            <w:webHidden/>
          </w:rPr>
          <w:tab/>
        </w:r>
        <w:r>
          <w:rPr>
            <w:noProof/>
            <w:webHidden/>
          </w:rPr>
          <w:fldChar w:fldCharType="begin"/>
        </w:r>
        <w:r>
          <w:rPr>
            <w:noProof/>
            <w:webHidden/>
          </w:rPr>
          <w:instrText xml:space="preserve"> PAGEREF _Toc215237070 \h </w:instrText>
        </w:r>
        <w:r>
          <w:rPr>
            <w:noProof/>
            <w:webHidden/>
          </w:rPr>
        </w:r>
        <w:r>
          <w:rPr>
            <w:noProof/>
            <w:webHidden/>
          </w:rPr>
          <w:fldChar w:fldCharType="separate"/>
        </w:r>
        <w:r>
          <w:rPr>
            <w:noProof/>
            <w:webHidden/>
          </w:rPr>
          <w:t>77</w:t>
        </w:r>
        <w:r>
          <w:rPr>
            <w:noProof/>
            <w:webHidden/>
          </w:rPr>
          <w:fldChar w:fldCharType="end"/>
        </w:r>
      </w:hyperlink>
    </w:p>
    <w:p w14:paraId="610F187F" w14:textId="16CB22CB"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71" w:history="1">
        <w:r w:rsidRPr="007E476E">
          <w:rPr>
            <w:rStyle w:val="Hyperlink"/>
            <w:noProof/>
          </w:rPr>
          <w:t>Figure 5.4</w:t>
        </w:r>
        <w:r>
          <w:rPr>
            <w:rFonts w:eastAsiaTheme="minorEastAsia" w:cstheme="minorBidi"/>
            <w:noProof/>
            <w:color w:val="auto"/>
            <w:kern w:val="2"/>
            <w:sz w:val="24"/>
            <w:lang w:val="en-AU" w:eastAsia="ja-JP"/>
            <w14:ligatures w14:val="standardContextual"/>
          </w:rPr>
          <w:tab/>
        </w:r>
        <w:r w:rsidRPr="007E476E">
          <w:rPr>
            <w:rStyle w:val="Hyperlink"/>
            <w:noProof/>
          </w:rPr>
          <w:t>Proportion of screened children aged 5–9 years who had a clean face by region, Western Australia, 2007–2024</w:t>
        </w:r>
        <w:r>
          <w:rPr>
            <w:noProof/>
            <w:webHidden/>
          </w:rPr>
          <w:tab/>
        </w:r>
        <w:r>
          <w:rPr>
            <w:noProof/>
            <w:webHidden/>
          </w:rPr>
          <w:fldChar w:fldCharType="begin"/>
        </w:r>
        <w:r>
          <w:rPr>
            <w:noProof/>
            <w:webHidden/>
          </w:rPr>
          <w:instrText xml:space="preserve"> PAGEREF _Toc215237071 \h </w:instrText>
        </w:r>
        <w:r>
          <w:rPr>
            <w:noProof/>
            <w:webHidden/>
          </w:rPr>
        </w:r>
        <w:r>
          <w:rPr>
            <w:noProof/>
            <w:webHidden/>
          </w:rPr>
          <w:fldChar w:fldCharType="separate"/>
        </w:r>
        <w:r>
          <w:rPr>
            <w:noProof/>
            <w:webHidden/>
          </w:rPr>
          <w:t>78</w:t>
        </w:r>
        <w:r>
          <w:rPr>
            <w:noProof/>
            <w:webHidden/>
          </w:rPr>
          <w:fldChar w:fldCharType="end"/>
        </w:r>
      </w:hyperlink>
    </w:p>
    <w:p w14:paraId="1B2BAC1C" w14:textId="1E75346A"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72" w:history="1">
        <w:r w:rsidRPr="007E476E">
          <w:rPr>
            <w:rStyle w:val="Hyperlink"/>
            <w:noProof/>
          </w:rPr>
          <w:t>Figure 5.5a</w:t>
        </w:r>
        <w:r>
          <w:rPr>
            <w:rFonts w:eastAsiaTheme="minorEastAsia" w:cstheme="minorBidi"/>
            <w:noProof/>
            <w:color w:val="auto"/>
            <w:kern w:val="2"/>
            <w:sz w:val="24"/>
            <w:lang w:val="en-AU" w:eastAsia="ja-JP"/>
            <w14:ligatures w14:val="standardContextual"/>
          </w:rPr>
          <w:tab/>
        </w:r>
        <w:r w:rsidRPr="007E476E">
          <w:rPr>
            <w:rStyle w:val="Hyperlink"/>
            <w:noProof/>
          </w:rPr>
          <w:t>Observed prevalence of clinical findings consistent with trachomatous inflammation—follicular/intense* among screened children aged 5–9 years by region, Western Australia, 2007–2024</w:t>
        </w:r>
        <w:r>
          <w:rPr>
            <w:noProof/>
            <w:webHidden/>
          </w:rPr>
          <w:tab/>
        </w:r>
        <w:r>
          <w:rPr>
            <w:noProof/>
            <w:webHidden/>
          </w:rPr>
          <w:fldChar w:fldCharType="begin"/>
        </w:r>
        <w:r>
          <w:rPr>
            <w:noProof/>
            <w:webHidden/>
          </w:rPr>
          <w:instrText xml:space="preserve"> PAGEREF _Toc215237072 \h </w:instrText>
        </w:r>
        <w:r>
          <w:rPr>
            <w:noProof/>
            <w:webHidden/>
          </w:rPr>
        </w:r>
        <w:r>
          <w:rPr>
            <w:noProof/>
            <w:webHidden/>
          </w:rPr>
          <w:fldChar w:fldCharType="separate"/>
        </w:r>
        <w:r>
          <w:rPr>
            <w:noProof/>
            <w:webHidden/>
          </w:rPr>
          <w:t>78</w:t>
        </w:r>
        <w:r>
          <w:rPr>
            <w:noProof/>
            <w:webHidden/>
          </w:rPr>
          <w:fldChar w:fldCharType="end"/>
        </w:r>
      </w:hyperlink>
    </w:p>
    <w:p w14:paraId="75767E31" w14:textId="6FAF4F21"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73" w:history="1">
        <w:r w:rsidRPr="007E476E">
          <w:rPr>
            <w:rStyle w:val="Hyperlink"/>
            <w:noProof/>
          </w:rPr>
          <w:t>Figure 5.5b</w:t>
        </w:r>
        <w:r>
          <w:rPr>
            <w:rFonts w:eastAsiaTheme="minorEastAsia" w:cstheme="minorBidi"/>
            <w:noProof/>
            <w:color w:val="auto"/>
            <w:kern w:val="2"/>
            <w:sz w:val="24"/>
            <w:lang w:val="en-AU" w:eastAsia="ja-JP"/>
            <w14:ligatures w14:val="standardContextual"/>
          </w:rPr>
          <w:tab/>
        </w:r>
        <w:r w:rsidRPr="007E476E">
          <w:rPr>
            <w:rStyle w:val="Hyperlink"/>
            <w:noProof/>
          </w:rPr>
          <w:t>Estimated prevalence of trachoma among children aged 5–9 years in all at-risk communities* by region, Western Australia, 2007–2024</w:t>
        </w:r>
        <w:r>
          <w:rPr>
            <w:noProof/>
            <w:webHidden/>
          </w:rPr>
          <w:tab/>
        </w:r>
        <w:r>
          <w:rPr>
            <w:noProof/>
            <w:webHidden/>
          </w:rPr>
          <w:fldChar w:fldCharType="begin"/>
        </w:r>
        <w:r>
          <w:rPr>
            <w:noProof/>
            <w:webHidden/>
          </w:rPr>
          <w:instrText xml:space="preserve"> PAGEREF _Toc215237073 \h </w:instrText>
        </w:r>
        <w:r>
          <w:rPr>
            <w:noProof/>
            <w:webHidden/>
          </w:rPr>
        </w:r>
        <w:r>
          <w:rPr>
            <w:noProof/>
            <w:webHidden/>
          </w:rPr>
          <w:fldChar w:fldCharType="separate"/>
        </w:r>
        <w:r>
          <w:rPr>
            <w:noProof/>
            <w:webHidden/>
          </w:rPr>
          <w:t>79</w:t>
        </w:r>
        <w:r>
          <w:rPr>
            <w:noProof/>
            <w:webHidden/>
          </w:rPr>
          <w:fldChar w:fldCharType="end"/>
        </w:r>
      </w:hyperlink>
    </w:p>
    <w:p w14:paraId="5DD41DB4" w14:textId="29E495E5"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74" w:history="1">
        <w:r w:rsidRPr="007E476E">
          <w:rPr>
            <w:rStyle w:val="Hyperlink"/>
            <w:noProof/>
          </w:rPr>
          <w:t>Figure 5.5c</w:t>
        </w:r>
        <w:r>
          <w:rPr>
            <w:rFonts w:eastAsiaTheme="minorEastAsia" w:cstheme="minorBidi"/>
            <w:noProof/>
            <w:color w:val="auto"/>
            <w:kern w:val="2"/>
            <w:sz w:val="24"/>
            <w:lang w:val="en-AU" w:eastAsia="ja-JP"/>
            <w14:ligatures w14:val="standardContextual"/>
          </w:rPr>
          <w:tab/>
        </w:r>
        <w:r w:rsidRPr="007E476E">
          <w:rPr>
            <w:rStyle w:val="Hyperlink"/>
            <w:noProof/>
          </w:rPr>
          <w:t>Overall prevalence of trachoma among children aged 5–9 years in all communities* by region, Western Australia, 2007–2024</w:t>
        </w:r>
        <w:r>
          <w:rPr>
            <w:noProof/>
            <w:webHidden/>
          </w:rPr>
          <w:tab/>
        </w:r>
        <w:r>
          <w:rPr>
            <w:noProof/>
            <w:webHidden/>
          </w:rPr>
          <w:fldChar w:fldCharType="begin"/>
        </w:r>
        <w:r>
          <w:rPr>
            <w:noProof/>
            <w:webHidden/>
          </w:rPr>
          <w:instrText xml:space="preserve"> PAGEREF _Toc215237074 \h </w:instrText>
        </w:r>
        <w:r>
          <w:rPr>
            <w:noProof/>
            <w:webHidden/>
          </w:rPr>
        </w:r>
        <w:r>
          <w:rPr>
            <w:noProof/>
            <w:webHidden/>
          </w:rPr>
          <w:fldChar w:fldCharType="separate"/>
        </w:r>
        <w:r>
          <w:rPr>
            <w:noProof/>
            <w:webHidden/>
          </w:rPr>
          <w:t>79</w:t>
        </w:r>
        <w:r>
          <w:rPr>
            <w:noProof/>
            <w:webHidden/>
          </w:rPr>
          <w:fldChar w:fldCharType="end"/>
        </w:r>
      </w:hyperlink>
    </w:p>
    <w:p w14:paraId="2D845EA1" w14:textId="490A6EBF"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75" w:history="1">
        <w:r w:rsidRPr="007E476E">
          <w:rPr>
            <w:rStyle w:val="Hyperlink"/>
            <w:noProof/>
          </w:rPr>
          <w:t>Figure 5.6</w:t>
        </w:r>
        <w:r>
          <w:rPr>
            <w:rFonts w:eastAsiaTheme="minorEastAsia" w:cstheme="minorBidi"/>
            <w:noProof/>
            <w:color w:val="auto"/>
            <w:kern w:val="2"/>
            <w:sz w:val="24"/>
            <w:lang w:val="en-AU" w:eastAsia="ja-JP"/>
            <w14:ligatures w14:val="standardContextual"/>
          </w:rPr>
          <w:tab/>
        </w:r>
        <w:r w:rsidRPr="007E476E">
          <w:rPr>
            <w:rStyle w:val="Hyperlink"/>
            <w:noProof/>
          </w:rPr>
          <w:t>Number of screened at-risk communities according to the level of observed trachoma prevalence in children aged 5–9 years by region, Western Australia, 2024</w:t>
        </w:r>
        <w:r>
          <w:rPr>
            <w:noProof/>
            <w:webHidden/>
          </w:rPr>
          <w:tab/>
        </w:r>
        <w:r>
          <w:rPr>
            <w:noProof/>
            <w:webHidden/>
          </w:rPr>
          <w:fldChar w:fldCharType="begin"/>
        </w:r>
        <w:r>
          <w:rPr>
            <w:noProof/>
            <w:webHidden/>
          </w:rPr>
          <w:instrText xml:space="preserve"> PAGEREF _Toc215237075 \h </w:instrText>
        </w:r>
        <w:r>
          <w:rPr>
            <w:noProof/>
            <w:webHidden/>
          </w:rPr>
        </w:r>
        <w:r>
          <w:rPr>
            <w:noProof/>
            <w:webHidden/>
          </w:rPr>
          <w:fldChar w:fldCharType="separate"/>
        </w:r>
        <w:r>
          <w:rPr>
            <w:noProof/>
            <w:webHidden/>
          </w:rPr>
          <w:t>80</w:t>
        </w:r>
        <w:r>
          <w:rPr>
            <w:noProof/>
            <w:webHidden/>
          </w:rPr>
          <w:fldChar w:fldCharType="end"/>
        </w:r>
      </w:hyperlink>
    </w:p>
    <w:p w14:paraId="4A2F10F7" w14:textId="41741F5E" w:rsidR="001B5687" w:rsidRDefault="001B5687">
      <w:pPr>
        <w:pStyle w:val="TableofFigures"/>
        <w:tabs>
          <w:tab w:val="right" w:leader="dot" w:pos="10456"/>
        </w:tabs>
        <w:rPr>
          <w:rFonts w:eastAsiaTheme="minorEastAsia" w:cstheme="minorBidi"/>
          <w:noProof/>
          <w:color w:val="auto"/>
          <w:kern w:val="2"/>
          <w:sz w:val="24"/>
          <w:lang w:val="en-AU" w:eastAsia="ja-JP"/>
          <w14:ligatures w14:val="standardContextual"/>
        </w:rPr>
      </w:pPr>
      <w:hyperlink w:anchor="_Toc215237076" w:history="1">
        <w:r w:rsidRPr="007E476E">
          <w:rPr>
            <w:rStyle w:val="Hyperlink"/>
            <w:noProof/>
          </w:rPr>
          <w:t>Figure 5.7</w:t>
        </w:r>
        <w:r>
          <w:rPr>
            <w:rFonts w:eastAsiaTheme="minorEastAsia" w:cstheme="minorBidi"/>
            <w:noProof/>
            <w:color w:val="auto"/>
            <w:kern w:val="2"/>
            <w:sz w:val="24"/>
            <w:lang w:val="en-AU" w:eastAsia="ja-JP"/>
            <w14:ligatures w14:val="standardContextual"/>
          </w:rPr>
          <w:tab/>
        </w:r>
        <w:r w:rsidRPr="007E476E">
          <w:rPr>
            <w:rStyle w:val="Hyperlink"/>
            <w:noProof/>
          </w:rPr>
          <w:t>Number of doses of azithromycin administered for the treatment of trachoma by region, Western Australia, 2007–2024</w:t>
        </w:r>
        <w:r>
          <w:rPr>
            <w:noProof/>
            <w:webHidden/>
          </w:rPr>
          <w:tab/>
        </w:r>
        <w:r>
          <w:rPr>
            <w:noProof/>
            <w:webHidden/>
          </w:rPr>
          <w:fldChar w:fldCharType="begin"/>
        </w:r>
        <w:r>
          <w:rPr>
            <w:noProof/>
            <w:webHidden/>
          </w:rPr>
          <w:instrText xml:space="preserve"> PAGEREF _Toc215237076 \h </w:instrText>
        </w:r>
        <w:r>
          <w:rPr>
            <w:noProof/>
            <w:webHidden/>
          </w:rPr>
        </w:r>
        <w:r>
          <w:rPr>
            <w:noProof/>
            <w:webHidden/>
          </w:rPr>
          <w:fldChar w:fldCharType="separate"/>
        </w:r>
        <w:r>
          <w:rPr>
            <w:noProof/>
            <w:webHidden/>
          </w:rPr>
          <w:t>80</w:t>
        </w:r>
        <w:r>
          <w:rPr>
            <w:noProof/>
            <w:webHidden/>
          </w:rPr>
          <w:fldChar w:fldCharType="end"/>
        </w:r>
      </w:hyperlink>
    </w:p>
    <w:p w14:paraId="55772FF9" w14:textId="0AAAC2B4" w:rsidR="001B7AF2" w:rsidRPr="00F76882" w:rsidRDefault="001B7AF2" w:rsidP="00F76882">
      <w:r w:rsidRPr="00495326">
        <w:fldChar w:fldCharType="end"/>
      </w:r>
      <w:r w:rsidRPr="00A33DD2">
        <w:br w:type="page"/>
      </w:r>
    </w:p>
    <w:p w14:paraId="3F8C1B59" w14:textId="6F2E120B" w:rsidR="00E977FA" w:rsidRPr="004609FA" w:rsidRDefault="002103E4" w:rsidP="00F76882">
      <w:pPr>
        <w:pStyle w:val="Heading1"/>
      </w:pPr>
      <w:bookmarkStart w:id="8" w:name="_Toc203986529"/>
      <w:bookmarkStart w:id="9" w:name="_Toc215236922"/>
      <w:r w:rsidRPr="004609FA">
        <w:t>List of Tables</w:t>
      </w:r>
      <w:bookmarkEnd w:id="6"/>
      <w:bookmarkEnd w:id="8"/>
      <w:bookmarkEnd w:id="9"/>
      <w:r w:rsidR="00027060" w:rsidRPr="004609FA">
        <w:t xml:space="preserve"> </w:t>
      </w:r>
    </w:p>
    <w:p w14:paraId="177153F0" w14:textId="25C09C31" w:rsidR="00495326" w:rsidRDefault="00475C0B" w:rsidP="00F76882">
      <w:pPr>
        <w:pStyle w:val="TableofFigures"/>
        <w:rPr>
          <w:rFonts w:eastAsiaTheme="minorEastAsia" w:cstheme="minorBidi"/>
          <w:noProof/>
          <w:color w:val="auto"/>
          <w:kern w:val="2"/>
          <w:sz w:val="24"/>
          <w:lang w:val="en-AU" w:eastAsia="ja-JP"/>
          <w14:ligatures w14:val="standardContextual"/>
        </w:rPr>
      </w:pPr>
      <w:r w:rsidRPr="00495326">
        <w:fldChar w:fldCharType="begin"/>
      </w:r>
      <w:r w:rsidRPr="00495326">
        <w:instrText xml:space="preserve"> TOC \h \z \t "Table headings,1" \c "Table" </w:instrText>
      </w:r>
      <w:r w:rsidRPr="00495326">
        <w:fldChar w:fldCharType="separate"/>
      </w:r>
      <w:hyperlink w:anchor="_Toc215224696" w:history="1">
        <w:r w:rsidR="00495326" w:rsidRPr="001C3699">
          <w:rPr>
            <w:rStyle w:val="Hyperlink"/>
            <w:noProof/>
          </w:rPr>
          <w:t>Table 1.1</w:t>
        </w:r>
        <w:r w:rsidR="00495326">
          <w:rPr>
            <w:rFonts w:eastAsiaTheme="minorEastAsia" w:cstheme="minorBidi"/>
            <w:noProof/>
            <w:color w:val="auto"/>
            <w:kern w:val="2"/>
            <w:sz w:val="24"/>
            <w:lang w:val="en-AU" w:eastAsia="ja-JP"/>
            <w14:ligatures w14:val="standardContextual"/>
          </w:rPr>
          <w:tab/>
        </w:r>
        <w:r w:rsidR="00495326" w:rsidRPr="001C3699">
          <w:rPr>
            <w:rStyle w:val="Hyperlink"/>
            <w:noProof/>
          </w:rPr>
          <w:t>Trachoma control delivery in at-risk communities by jurisdiction, Australia, 2024</w:t>
        </w:r>
        <w:r w:rsidR="00495326">
          <w:rPr>
            <w:noProof/>
            <w:webHidden/>
          </w:rPr>
          <w:tab/>
        </w:r>
        <w:r w:rsidR="00495326">
          <w:rPr>
            <w:noProof/>
            <w:webHidden/>
          </w:rPr>
          <w:fldChar w:fldCharType="begin"/>
        </w:r>
        <w:r w:rsidR="00495326">
          <w:rPr>
            <w:noProof/>
            <w:webHidden/>
          </w:rPr>
          <w:instrText xml:space="preserve"> PAGEREF _Toc215224696 \h </w:instrText>
        </w:r>
        <w:r w:rsidR="00495326">
          <w:rPr>
            <w:noProof/>
            <w:webHidden/>
          </w:rPr>
        </w:r>
        <w:r w:rsidR="00495326">
          <w:rPr>
            <w:noProof/>
            <w:webHidden/>
          </w:rPr>
          <w:fldChar w:fldCharType="separate"/>
        </w:r>
        <w:r w:rsidR="00495326">
          <w:rPr>
            <w:noProof/>
            <w:webHidden/>
          </w:rPr>
          <w:t>36</w:t>
        </w:r>
        <w:r w:rsidR="00495326">
          <w:rPr>
            <w:noProof/>
            <w:webHidden/>
          </w:rPr>
          <w:fldChar w:fldCharType="end"/>
        </w:r>
      </w:hyperlink>
    </w:p>
    <w:p w14:paraId="71ADDB8D" w14:textId="26E66AC7"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697" w:history="1">
        <w:r w:rsidRPr="001C3699">
          <w:rPr>
            <w:rStyle w:val="Hyperlink"/>
            <w:noProof/>
          </w:rPr>
          <w:t>Table 1.2</w:t>
        </w:r>
        <w:r>
          <w:rPr>
            <w:rFonts w:eastAsiaTheme="minorEastAsia" w:cstheme="minorBidi"/>
            <w:noProof/>
            <w:color w:val="auto"/>
            <w:kern w:val="2"/>
            <w:sz w:val="24"/>
            <w:lang w:val="en-AU" w:eastAsia="ja-JP"/>
            <w14:ligatures w14:val="standardContextual"/>
          </w:rPr>
          <w:tab/>
        </w:r>
        <w:r w:rsidRPr="001C3699">
          <w:rPr>
            <w:rStyle w:val="Hyperlink"/>
            <w:noProof/>
          </w:rPr>
          <w:t>Trachoma screening coverage, trachoma prevalence, and clean face proportion in children aged 5–9 years by jurisdiction, Australia, 2024</w:t>
        </w:r>
        <w:r>
          <w:rPr>
            <w:noProof/>
            <w:webHidden/>
          </w:rPr>
          <w:tab/>
        </w:r>
        <w:r>
          <w:rPr>
            <w:noProof/>
            <w:webHidden/>
          </w:rPr>
          <w:fldChar w:fldCharType="begin"/>
        </w:r>
        <w:r>
          <w:rPr>
            <w:noProof/>
            <w:webHidden/>
          </w:rPr>
          <w:instrText xml:space="preserve"> PAGEREF _Toc215224697 \h </w:instrText>
        </w:r>
        <w:r>
          <w:rPr>
            <w:noProof/>
            <w:webHidden/>
          </w:rPr>
        </w:r>
        <w:r>
          <w:rPr>
            <w:noProof/>
            <w:webHidden/>
          </w:rPr>
          <w:fldChar w:fldCharType="separate"/>
        </w:r>
        <w:r>
          <w:rPr>
            <w:noProof/>
            <w:webHidden/>
          </w:rPr>
          <w:t>37</w:t>
        </w:r>
        <w:r>
          <w:rPr>
            <w:noProof/>
            <w:webHidden/>
          </w:rPr>
          <w:fldChar w:fldCharType="end"/>
        </w:r>
      </w:hyperlink>
    </w:p>
    <w:p w14:paraId="35CCA75C" w14:textId="080710EA"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698" w:history="1">
        <w:r w:rsidRPr="001C3699">
          <w:rPr>
            <w:rStyle w:val="Hyperlink"/>
            <w:noProof/>
          </w:rPr>
          <w:t>Table 1.3</w:t>
        </w:r>
        <w:r>
          <w:rPr>
            <w:rFonts w:eastAsiaTheme="minorEastAsia" w:cstheme="minorBidi"/>
            <w:noProof/>
            <w:color w:val="auto"/>
            <w:kern w:val="2"/>
            <w:sz w:val="24"/>
            <w:lang w:val="en-AU" w:eastAsia="ja-JP"/>
            <w14:ligatures w14:val="standardContextual"/>
          </w:rPr>
          <w:tab/>
        </w:r>
        <w:r w:rsidRPr="001C3699">
          <w:rPr>
            <w:rStyle w:val="Hyperlink"/>
            <w:noProof/>
          </w:rPr>
          <w:t>Number and proportion of at-risk communities according to the level of observed trachoma prevalence in children aged 5–9 years, Australia, 2014–2024</w:t>
        </w:r>
        <w:r>
          <w:rPr>
            <w:noProof/>
            <w:webHidden/>
          </w:rPr>
          <w:tab/>
        </w:r>
        <w:r>
          <w:rPr>
            <w:noProof/>
            <w:webHidden/>
          </w:rPr>
          <w:fldChar w:fldCharType="begin"/>
        </w:r>
        <w:r>
          <w:rPr>
            <w:noProof/>
            <w:webHidden/>
          </w:rPr>
          <w:instrText xml:space="preserve"> PAGEREF _Toc215224698 \h </w:instrText>
        </w:r>
        <w:r>
          <w:rPr>
            <w:noProof/>
            <w:webHidden/>
          </w:rPr>
        </w:r>
        <w:r>
          <w:rPr>
            <w:noProof/>
            <w:webHidden/>
          </w:rPr>
          <w:fldChar w:fldCharType="separate"/>
        </w:r>
        <w:r>
          <w:rPr>
            <w:noProof/>
            <w:webHidden/>
          </w:rPr>
          <w:t>38</w:t>
        </w:r>
        <w:r>
          <w:rPr>
            <w:noProof/>
            <w:webHidden/>
          </w:rPr>
          <w:fldChar w:fldCharType="end"/>
        </w:r>
      </w:hyperlink>
    </w:p>
    <w:p w14:paraId="073D4712" w14:textId="0497459F"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699" w:history="1">
        <w:r w:rsidRPr="001C3699">
          <w:rPr>
            <w:rStyle w:val="Hyperlink"/>
            <w:noProof/>
          </w:rPr>
          <w:t>Table 1.4</w:t>
        </w:r>
        <w:r>
          <w:rPr>
            <w:rFonts w:eastAsiaTheme="minorEastAsia" w:cstheme="minorBidi"/>
            <w:noProof/>
            <w:color w:val="auto"/>
            <w:kern w:val="2"/>
            <w:sz w:val="24"/>
            <w:lang w:val="en-AU" w:eastAsia="ja-JP"/>
            <w14:ligatures w14:val="standardContextual"/>
          </w:rPr>
          <w:tab/>
        </w:r>
        <w:r w:rsidRPr="001C3699">
          <w:rPr>
            <w:rStyle w:val="Hyperlink"/>
            <w:noProof/>
          </w:rPr>
          <w:t>Treatment strategies by jurisdiction, Australia, 2024</w:t>
        </w:r>
        <w:r>
          <w:rPr>
            <w:noProof/>
            <w:webHidden/>
          </w:rPr>
          <w:tab/>
        </w:r>
        <w:r>
          <w:rPr>
            <w:noProof/>
            <w:webHidden/>
          </w:rPr>
          <w:fldChar w:fldCharType="begin"/>
        </w:r>
        <w:r>
          <w:rPr>
            <w:noProof/>
            <w:webHidden/>
          </w:rPr>
          <w:instrText xml:space="preserve"> PAGEREF _Toc215224699 \h </w:instrText>
        </w:r>
        <w:r>
          <w:rPr>
            <w:noProof/>
            <w:webHidden/>
          </w:rPr>
        </w:r>
        <w:r>
          <w:rPr>
            <w:noProof/>
            <w:webHidden/>
          </w:rPr>
          <w:fldChar w:fldCharType="separate"/>
        </w:r>
        <w:r>
          <w:rPr>
            <w:noProof/>
            <w:webHidden/>
          </w:rPr>
          <w:t>40</w:t>
        </w:r>
        <w:r>
          <w:rPr>
            <w:noProof/>
            <w:webHidden/>
          </w:rPr>
          <w:fldChar w:fldCharType="end"/>
        </w:r>
      </w:hyperlink>
    </w:p>
    <w:p w14:paraId="54DC3E6D" w14:textId="2903D7D9"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00" w:history="1">
        <w:r w:rsidRPr="001C3699">
          <w:rPr>
            <w:rStyle w:val="Hyperlink"/>
            <w:noProof/>
          </w:rPr>
          <w:t>Table 1.5</w:t>
        </w:r>
        <w:r>
          <w:rPr>
            <w:rFonts w:eastAsiaTheme="minorEastAsia" w:cstheme="minorBidi"/>
            <w:noProof/>
            <w:color w:val="auto"/>
            <w:kern w:val="2"/>
            <w:sz w:val="24"/>
            <w:lang w:val="en-AU" w:eastAsia="ja-JP"/>
            <w14:ligatures w14:val="standardContextual"/>
          </w:rPr>
          <w:tab/>
        </w:r>
        <w:r w:rsidRPr="001C3699">
          <w:rPr>
            <w:rStyle w:val="Hyperlink"/>
            <w:noProof/>
          </w:rPr>
          <w:t>Antibiotic distribution and coverage by age and jurisdiction, Australia, 2024</w:t>
        </w:r>
        <w:r>
          <w:rPr>
            <w:noProof/>
            <w:webHidden/>
          </w:rPr>
          <w:tab/>
        </w:r>
        <w:r>
          <w:rPr>
            <w:noProof/>
            <w:webHidden/>
          </w:rPr>
          <w:fldChar w:fldCharType="begin"/>
        </w:r>
        <w:r>
          <w:rPr>
            <w:noProof/>
            <w:webHidden/>
          </w:rPr>
          <w:instrText xml:space="preserve"> PAGEREF _Toc215224700 \h </w:instrText>
        </w:r>
        <w:r>
          <w:rPr>
            <w:noProof/>
            <w:webHidden/>
          </w:rPr>
        </w:r>
        <w:r>
          <w:rPr>
            <w:noProof/>
            <w:webHidden/>
          </w:rPr>
          <w:fldChar w:fldCharType="separate"/>
        </w:r>
        <w:r>
          <w:rPr>
            <w:noProof/>
            <w:webHidden/>
          </w:rPr>
          <w:t>41</w:t>
        </w:r>
        <w:r>
          <w:rPr>
            <w:noProof/>
            <w:webHidden/>
          </w:rPr>
          <w:fldChar w:fldCharType="end"/>
        </w:r>
      </w:hyperlink>
    </w:p>
    <w:p w14:paraId="2053C0FA" w14:textId="27C21F43"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01" w:history="1">
        <w:r w:rsidRPr="001C3699">
          <w:rPr>
            <w:rStyle w:val="Hyperlink"/>
            <w:noProof/>
          </w:rPr>
          <w:t>Table 1.6</w:t>
        </w:r>
        <w:r>
          <w:rPr>
            <w:rFonts w:eastAsiaTheme="minorEastAsia" w:cstheme="minorBidi"/>
            <w:noProof/>
            <w:color w:val="auto"/>
            <w:kern w:val="2"/>
            <w:sz w:val="24"/>
            <w:lang w:val="en-AU" w:eastAsia="ja-JP"/>
            <w14:ligatures w14:val="standardContextual"/>
          </w:rPr>
          <w:tab/>
        </w:r>
        <w:r w:rsidRPr="001C3699">
          <w:rPr>
            <w:rStyle w:val="Hyperlink"/>
            <w:noProof/>
          </w:rPr>
          <w:t>Trachomatous trichiasis (TT) screening coverage, TT screened proportion, and surgery among Indigenous persons by jurisdiction, Australia, 2024</w:t>
        </w:r>
        <w:r>
          <w:rPr>
            <w:noProof/>
            <w:webHidden/>
          </w:rPr>
          <w:tab/>
        </w:r>
        <w:r>
          <w:rPr>
            <w:noProof/>
            <w:webHidden/>
          </w:rPr>
          <w:fldChar w:fldCharType="begin"/>
        </w:r>
        <w:r>
          <w:rPr>
            <w:noProof/>
            <w:webHidden/>
          </w:rPr>
          <w:instrText xml:space="preserve"> PAGEREF _Toc215224701 \h </w:instrText>
        </w:r>
        <w:r>
          <w:rPr>
            <w:noProof/>
            <w:webHidden/>
          </w:rPr>
        </w:r>
        <w:r>
          <w:rPr>
            <w:noProof/>
            <w:webHidden/>
          </w:rPr>
          <w:fldChar w:fldCharType="separate"/>
        </w:r>
        <w:r>
          <w:rPr>
            <w:noProof/>
            <w:webHidden/>
          </w:rPr>
          <w:t>42</w:t>
        </w:r>
        <w:r>
          <w:rPr>
            <w:noProof/>
            <w:webHidden/>
          </w:rPr>
          <w:fldChar w:fldCharType="end"/>
        </w:r>
      </w:hyperlink>
    </w:p>
    <w:p w14:paraId="481F0771" w14:textId="01B21F94"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02" w:history="1">
        <w:r w:rsidRPr="001C3699">
          <w:rPr>
            <w:rStyle w:val="Hyperlink"/>
            <w:noProof/>
          </w:rPr>
          <w:t>Table 2.1</w:t>
        </w:r>
        <w:r>
          <w:rPr>
            <w:rFonts w:eastAsiaTheme="minorEastAsia" w:cstheme="minorBidi"/>
            <w:noProof/>
            <w:color w:val="auto"/>
            <w:kern w:val="2"/>
            <w:sz w:val="24"/>
            <w:lang w:val="en-AU" w:eastAsia="ja-JP"/>
            <w14:ligatures w14:val="standardContextual"/>
          </w:rPr>
          <w:tab/>
        </w:r>
        <w:r w:rsidRPr="001C3699">
          <w:rPr>
            <w:rStyle w:val="Hyperlink"/>
            <w:noProof/>
          </w:rPr>
          <w:t>Trachoma control delivery in at-risk communities by region, Northern Territory, 2024</w:t>
        </w:r>
        <w:r>
          <w:rPr>
            <w:noProof/>
            <w:webHidden/>
          </w:rPr>
          <w:tab/>
        </w:r>
        <w:r>
          <w:rPr>
            <w:noProof/>
            <w:webHidden/>
          </w:rPr>
          <w:fldChar w:fldCharType="begin"/>
        </w:r>
        <w:r>
          <w:rPr>
            <w:noProof/>
            <w:webHidden/>
          </w:rPr>
          <w:instrText xml:space="preserve"> PAGEREF _Toc215224702 \h </w:instrText>
        </w:r>
        <w:r>
          <w:rPr>
            <w:noProof/>
            <w:webHidden/>
          </w:rPr>
        </w:r>
        <w:r>
          <w:rPr>
            <w:noProof/>
            <w:webHidden/>
          </w:rPr>
          <w:fldChar w:fldCharType="separate"/>
        </w:r>
        <w:r>
          <w:rPr>
            <w:noProof/>
            <w:webHidden/>
          </w:rPr>
          <w:t>52</w:t>
        </w:r>
        <w:r>
          <w:rPr>
            <w:noProof/>
            <w:webHidden/>
          </w:rPr>
          <w:fldChar w:fldCharType="end"/>
        </w:r>
      </w:hyperlink>
    </w:p>
    <w:p w14:paraId="696D64F9" w14:textId="17EE5258"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03" w:history="1">
        <w:r w:rsidRPr="001C3699">
          <w:rPr>
            <w:rStyle w:val="Hyperlink"/>
            <w:noProof/>
          </w:rPr>
          <w:t>Table 2.2</w:t>
        </w:r>
        <w:r>
          <w:rPr>
            <w:rFonts w:eastAsiaTheme="minorEastAsia" w:cstheme="minorBidi"/>
            <w:noProof/>
            <w:color w:val="auto"/>
            <w:kern w:val="2"/>
            <w:sz w:val="24"/>
            <w:lang w:val="en-AU" w:eastAsia="ja-JP"/>
            <w14:ligatures w14:val="standardContextual"/>
          </w:rPr>
          <w:tab/>
        </w:r>
        <w:r w:rsidRPr="001C3699">
          <w:rPr>
            <w:rStyle w:val="Hyperlink"/>
            <w:noProof/>
          </w:rPr>
          <w:t>Trachoma screening coverage, trachoma prevalence, and clean face proportion in children aged 5–9 years by region, Northern Territory, 2024</w:t>
        </w:r>
        <w:r>
          <w:rPr>
            <w:noProof/>
            <w:webHidden/>
          </w:rPr>
          <w:tab/>
        </w:r>
        <w:r>
          <w:rPr>
            <w:noProof/>
            <w:webHidden/>
          </w:rPr>
          <w:fldChar w:fldCharType="begin"/>
        </w:r>
        <w:r>
          <w:rPr>
            <w:noProof/>
            <w:webHidden/>
          </w:rPr>
          <w:instrText xml:space="preserve"> PAGEREF _Toc215224703 \h </w:instrText>
        </w:r>
        <w:r>
          <w:rPr>
            <w:noProof/>
            <w:webHidden/>
          </w:rPr>
        </w:r>
        <w:r>
          <w:rPr>
            <w:noProof/>
            <w:webHidden/>
          </w:rPr>
          <w:fldChar w:fldCharType="separate"/>
        </w:r>
        <w:r>
          <w:rPr>
            <w:noProof/>
            <w:webHidden/>
          </w:rPr>
          <w:t>53</w:t>
        </w:r>
        <w:r>
          <w:rPr>
            <w:noProof/>
            <w:webHidden/>
          </w:rPr>
          <w:fldChar w:fldCharType="end"/>
        </w:r>
      </w:hyperlink>
    </w:p>
    <w:p w14:paraId="24C78604" w14:textId="35922394"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04" w:history="1">
        <w:r w:rsidRPr="001C3699">
          <w:rPr>
            <w:rStyle w:val="Hyperlink"/>
            <w:noProof/>
          </w:rPr>
          <w:t>Table 2.3</w:t>
        </w:r>
        <w:r>
          <w:rPr>
            <w:rFonts w:eastAsiaTheme="minorEastAsia" w:cstheme="minorBidi"/>
            <w:noProof/>
            <w:color w:val="auto"/>
            <w:kern w:val="2"/>
            <w:sz w:val="24"/>
            <w:lang w:val="en-AU" w:eastAsia="ja-JP"/>
            <w14:ligatures w14:val="standardContextual"/>
          </w:rPr>
          <w:tab/>
        </w:r>
        <w:r w:rsidRPr="001C3699">
          <w:rPr>
            <w:rStyle w:val="Hyperlink"/>
            <w:noProof/>
          </w:rPr>
          <w:t>Number and proportion of at-risk communities according to the level of observed trachoma prevalence in children aged 5–9 years, Northern Territory, 2014–2024</w:t>
        </w:r>
        <w:r>
          <w:rPr>
            <w:noProof/>
            <w:webHidden/>
          </w:rPr>
          <w:tab/>
        </w:r>
        <w:r>
          <w:rPr>
            <w:noProof/>
            <w:webHidden/>
          </w:rPr>
          <w:fldChar w:fldCharType="begin"/>
        </w:r>
        <w:r>
          <w:rPr>
            <w:noProof/>
            <w:webHidden/>
          </w:rPr>
          <w:instrText xml:space="preserve"> PAGEREF _Toc215224704 \h </w:instrText>
        </w:r>
        <w:r>
          <w:rPr>
            <w:noProof/>
            <w:webHidden/>
          </w:rPr>
        </w:r>
        <w:r>
          <w:rPr>
            <w:noProof/>
            <w:webHidden/>
          </w:rPr>
          <w:fldChar w:fldCharType="separate"/>
        </w:r>
        <w:r>
          <w:rPr>
            <w:noProof/>
            <w:webHidden/>
          </w:rPr>
          <w:t>54</w:t>
        </w:r>
        <w:r>
          <w:rPr>
            <w:noProof/>
            <w:webHidden/>
          </w:rPr>
          <w:fldChar w:fldCharType="end"/>
        </w:r>
      </w:hyperlink>
    </w:p>
    <w:p w14:paraId="156D0DF7" w14:textId="39D8395A"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05" w:history="1">
        <w:r w:rsidRPr="001C3699">
          <w:rPr>
            <w:rStyle w:val="Hyperlink"/>
            <w:noProof/>
          </w:rPr>
          <w:t>Table 2.4</w:t>
        </w:r>
        <w:r>
          <w:rPr>
            <w:rFonts w:eastAsiaTheme="minorEastAsia" w:cstheme="minorBidi"/>
            <w:noProof/>
            <w:color w:val="auto"/>
            <w:kern w:val="2"/>
            <w:sz w:val="24"/>
            <w:lang w:val="en-AU" w:eastAsia="ja-JP"/>
            <w14:ligatures w14:val="standardContextual"/>
          </w:rPr>
          <w:tab/>
        </w:r>
        <w:r w:rsidRPr="001C3699">
          <w:rPr>
            <w:rStyle w:val="Hyperlink"/>
            <w:noProof/>
          </w:rPr>
          <w:t>Treatment strategies by region, Northern Territory, 2024</w:t>
        </w:r>
        <w:r>
          <w:rPr>
            <w:noProof/>
            <w:webHidden/>
          </w:rPr>
          <w:tab/>
        </w:r>
        <w:r>
          <w:rPr>
            <w:noProof/>
            <w:webHidden/>
          </w:rPr>
          <w:fldChar w:fldCharType="begin"/>
        </w:r>
        <w:r>
          <w:rPr>
            <w:noProof/>
            <w:webHidden/>
          </w:rPr>
          <w:instrText xml:space="preserve"> PAGEREF _Toc215224705 \h </w:instrText>
        </w:r>
        <w:r>
          <w:rPr>
            <w:noProof/>
            <w:webHidden/>
          </w:rPr>
        </w:r>
        <w:r>
          <w:rPr>
            <w:noProof/>
            <w:webHidden/>
          </w:rPr>
          <w:fldChar w:fldCharType="separate"/>
        </w:r>
        <w:r>
          <w:rPr>
            <w:noProof/>
            <w:webHidden/>
          </w:rPr>
          <w:t>55</w:t>
        </w:r>
        <w:r>
          <w:rPr>
            <w:noProof/>
            <w:webHidden/>
          </w:rPr>
          <w:fldChar w:fldCharType="end"/>
        </w:r>
      </w:hyperlink>
    </w:p>
    <w:p w14:paraId="13BD6D49" w14:textId="70F43111"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06" w:history="1">
        <w:r w:rsidRPr="001C3699">
          <w:rPr>
            <w:rStyle w:val="Hyperlink"/>
            <w:noProof/>
          </w:rPr>
          <w:t>Table 2.5</w:t>
        </w:r>
        <w:r>
          <w:rPr>
            <w:rFonts w:eastAsiaTheme="minorEastAsia" w:cstheme="minorBidi"/>
            <w:noProof/>
            <w:color w:val="auto"/>
            <w:kern w:val="2"/>
            <w:sz w:val="24"/>
            <w:lang w:val="en-AU" w:eastAsia="ja-JP"/>
            <w14:ligatures w14:val="standardContextual"/>
          </w:rPr>
          <w:tab/>
        </w:r>
        <w:r w:rsidRPr="001C3699">
          <w:rPr>
            <w:rStyle w:val="Hyperlink"/>
            <w:noProof/>
          </w:rPr>
          <w:t>Antibiotic distribution and coverage by age and region, Northern Territory, 2024</w:t>
        </w:r>
        <w:r>
          <w:rPr>
            <w:noProof/>
            <w:webHidden/>
          </w:rPr>
          <w:tab/>
        </w:r>
        <w:r>
          <w:rPr>
            <w:noProof/>
            <w:webHidden/>
          </w:rPr>
          <w:fldChar w:fldCharType="begin"/>
        </w:r>
        <w:r>
          <w:rPr>
            <w:noProof/>
            <w:webHidden/>
          </w:rPr>
          <w:instrText xml:space="preserve"> PAGEREF _Toc215224706 \h </w:instrText>
        </w:r>
        <w:r>
          <w:rPr>
            <w:noProof/>
            <w:webHidden/>
          </w:rPr>
        </w:r>
        <w:r>
          <w:rPr>
            <w:noProof/>
            <w:webHidden/>
          </w:rPr>
          <w:fldChar w:fldCharType="separate"/>
        </w:r>
        <w:r>
          <w:rPr>
            <w:noProof/>
            <w:webHidden/>
          </w:rPr>
          <w:t>56</w:t>
        </w:r>
        <w:r>
          <w:rPr>
            <w:noProof/>
            <w:webHidden/>
          </w:rPr>
          <w:fldChar w:fldCharType="end"/>
        </w:r>
      </w:hyperlink>
    </w:p>
    <w:p w14:paraId="651657F8" w14:textId="44AA58FC"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07" w:history="1">
        <w:r w:rsidRPr="001C3699">
          <w:rPr>
            <w:rStyle w:val="Hyperlink"/>
            <w:noProof/>
          </w:rPr>
          <w:t>Table 2.6</w:t>
        </w:r>
        <w:r>
          <w:rPr>
            <w:rFonts w:eastAsiaTheme="minorEastAsia" w:cstheme="minorBidi"/>
            <w:noProof/>
            <w:color w:val="auto"/>
            <w:kern w:val="2"/>
            <w:sz w:val="24"/>
            <w:lang w:val="en-AU" w:eastAsia="ja-JP"/>
            <w14:ligatures w14:val="standardContextual"/>
          </w:rPr>
          <w:tab/>
        </w:r>
        <w:r w:rsidRPr="001C3699">
          <w:rPr>
            <w:rStyle w:val="Hyperlink"/>
            <w:noProof/>
          </w:rPr>
          <w:t>Trachomatous trichiasis (TT) screening coverage, TT screened proportion, and surgery among Indigenous persons by region, Northern Territory, 2024</w:t>
        </w:r>
        <w:r>
          <w:rPr>
            <w:noProof/>
            <w:webHidden/>
          </w:rPr>
          <w:tab/>
        </w:r>
        <w:r>
          <w:rPr>
            <w:noProof/>
            <w:webHidden/>
          </w:rPr>
          <w:fldChar w:fldCharType="begin"/>
        </w:r>
        <w:r>
          <w:rPr>
            <w:noProof/>
            <w:webHidden/>
          </w:rPr>
          <w:instrText xml:space="preserve"> PAGEREF _Toc215224707 \h </w:instrText>
        </w:r>
        <w:r>
          <w:rPr>
            <w:noProof/>
            <w:webHidden/>
          </w:rPr>
        </w:r>
        <w:r>
          <w:rPr>
            <w:noProof/>
            <w:webHidden/>
          </w:rPr>
          <w:fldChar w:fldCharType="separate"/>
        </w:r>
        <w:r>
          <w:rPr>
            <w:noProof/>
            <w:webHidden/>
          </w:rPr>
          <w:t>57</w:t>
        </w:r>
        <w:r>
          <w:rPr>
            <w:noProof/>
            <w:webHidden/>
          </w:rPr>
          <w:fldChar w:fldCharType="end"/>
        </w:r>
      </w:hyperlink>
    </w:p>
    <w:p w14:paraId="2539A5C1" w14:textId="5327F849"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08" w:history="1">
        <w:r w:rsidRPr="001C3699">
          <w:rPr>
            <w:rStyle w:val="Hyperlink"/>
            <w:noProof/>
          </w:rPr>
          <w:t>Table 2.7</w:t>
        </w:r>
        <w:r>
          <w:rPr>
            <w:rFonts w:eastAsiaTheme="minorEastAsia" w:cstheme="minorBidi"/>
            <w:noProof/>
            <w:color w:val="auto"/>
            <w:kern w:val="2"/>
            <w:sz w:val="24"/>
            <w:lang w:val="en-AU" w:eastAsia="ja-JP"/>
            <w14:ligatures w14:val="standardContextual"/>
          </w:rPr>
          <w:tab/>
        </w:r>
        <w:r w:rsidRPr="001C3699">
          <w:rPr>
            <w:rStyle w:val="Hyperlink"/>
            <w:noProof/>
          </w:rPr>
          <w:t>Health promotion activities by region, Northern Territory, 2024</w:t>
        </w:r>
        <w:r>
          <w:rPr>
            <w:noProof/>
            <w:webHidden/>
          </w:rPr>
          <w:tab/>
        </w:r>
        <w:r>
          <w:rPr>
            <w:noProof/>
            <w:webHidden/>
          </w:rPr>
          <w:fldChar w:fldCharType="begin"/>
        </w:r>
        <w:r>
          <w:rPr>
            <w:noProof/>
            <w:webHidden/>
          </w:rPr>
          <w:instrText xml:space="preserve"> PAGEREF _Toc215224708 \h </w:instrText>
        </w:r>
        <w:r>
          <w:rPr>
            <w:noProof/>
            <w:webHidden/>
          </w:rPr>
        </w:r>
        <w:r>
          <w:rPr>
            <w:noProof/>
            <w:webHidden/>
          </w:rPr>
          <w:fldChar w:fldCharType="separate"/>
        </w:r>
        <w:r>
          <w:rPr>
            <w:noProof/>
            <w:webHidden/>
          </w:rPr>
          <w:t>58</w:t>
        </w:r>
        <w:r>
          <w:rPr>
            <w:noProof/>
            <w:webHidden/>
          </w:rPr>
          <w:fldChar w:fldCharType="end"/>
        </w:r>
      </w:hyperlink>
    </w:p>
    <w:p w14:paraId="2F989CBB" w14:textId="4F209600"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09" w:history="1">
        <w:r w:rsidRPr="001C3699">
          <w:rPr>
            <w:rStyle w:val="Hyperlink"/>
            <w:noProof/>
          </w:rPr>
          <w:t>Table 3.1</w:t>
        </w:r>
        <w:r>
          <w:rPr>
            <w:rFonts w:eastAsiaTheme="minorEastAsia" w:cstheme="minorBidi"/>
            <w:noProof/>
            <w:color w:val="auto"/>
            <w:kern w:val="2"/>
            <w:sz w:val="24"/>
            <w:lang w:val="en-AU" w:eastAsia="ja-JP"/>
            <w14:ligatures w14:val="standardContextual"/>
          </w:rPr>
          <w:tab/>
        </w:r>
        <w:r w:rsidRPr="001C3699">
          <w:rPr>
            <w:rStyle w:val="Hyperlink"/>
            <w:noProof/>
          </w:rPr>
          <w:t>Health promotion activities, Queensland, 2024</w:t>
        </w:r>
        <w:r>
          <w:rPr>
            <w:noProof/>
            <w:webHidden/>
          </w:rPr>
          <w:tab/>
        </w:r>
        <w:r>
          <w:rPr>
            <w:noProof/>
            <w:webHidden/>
          </w:rPr>
          <w:fldChar w:fldCharType="begin"/>
        </w:r>
        <w:r>
          <w:rPr>
            <w:noProof/>
            <w:webHidden/>
          </w:rPr>
          <w:instrText xml:space="preserve"> PAGEREF _Toc215224709 \h </w:instrText>
        </w:r>
        <w:r>
          <w:rPr>
            <w:noProof/>
            <w:webHidden/>
          </w:rPr>
        </w:r>
        <w:r>
          <w:rPr>
            <w:noProof/>
            <w:webHidden/>
          </w:rPr>
          <w:fldChar w:fldCharType="separate"/>
        </w:r>
        <w:r>
          <w:rPr>
            <w:noProof/>
            <w:webHidden/>
          </w:rPr>
          <w:t>60</w:t>
        </w:r>
        <w:r>
          <w:rPr>
            <w:noProof/>
            <w:webHidden/>
          </w:rPr>
          <w:fldChar w:fldCharType="end"/>
        </w:r>
      </w:hyperlink>
    </w:p>
    <w:p w14:paraId="0CC16D94" w14:textId="6EE355FA"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10" w:history="1">
        <w:r w:rsidRPr="001C3699">
          <w:rPr>
            <w:rStyle w:val="Hyperlink"/>
            <w:noProof/>
          </w:rPr>
          <w:t>Table 4.1</w:t>
        </w:r>
        <w:r>
          <w:rPr>
            <w:rFonts w:eastAsiaTheme="minorEastAsia" w:cstheme="minorBidi"/>
            <w:noProof/>
            <w:color w:val="auto"/>
            <w:kern w:val="2"/>
            <w:sz w:val="24"/>
            <w:lang w:val="en-AU" w:eastAsia="ja-JP"/>
            <w14:ligatures w14:val="standardContextual"/>
          </w:rPr>
          <w:tab/>
        </w:r>
        <w:r w:rsidRPr="001C3699">
          <w:rPr>
            <w:rStyle w:val="Hyperlink"/>
            <w:noProof/>
          </w:rPr>
          <w:t>Trachoma control delivery in at-risk communities by region, South Australia, 2024</w:t>
        </w:r>
        <w:r>
          <w:rPr>
            <w:noProof/>
            <w:webHidden/>
          </w:rPr>
          <w:tab/>
        </w:r>
        <w:r>
          <w:rPr>
            <w:noProof/>
            <w:webHidden/>
          </w:rPr>
          <w:fldChar w:fldCharType="begin"/>
        </w:r>
        <w:r>
          <w:rPr>
            <w:noProof/>
            <w:webHidden/>
          </w:rPr>
          <w:instrText xml:space="preserve"> PAGEREF _Toc215224710 \h </w:instrText>
        </w:r>
        <w:r>
          <w:rPr>
            <w:noProof/>
            <w:webHidden/>
          </w:rPr>
        </w:r>
        <w:r>
          <w:rPr>
            <w:noProof/>
            <w:webHidden/>
          </w:rPr>
          <w:fldChar w:fldCharType="separate"/>
        </w:r>
        <w:r>
          <w:rPr>
            <w:noProof/>
            <w:webHidden/>
          </w:rPr>
          <w:t>69</w:t>
        </w:r>
        <w:r>
          <w:rPr>
            <w:noProof/>
            <w:webHidden/>
          </w:rPr>
          <w:fldChar w:fldCharType="end"/>
        </w:r>
      </w:hyperlink>
    </w:p>
    <w:p w14:paraId="739590B8" w14:textId="47213FD5"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11" w:history="1">
        <w:r w:rsidRPr="001C3699">
          <w:rPr>
            <w:rStyle w:val="Hyperlink"/>
            <w:noProof/>
          </w:rPr>
          <w:t>Table 4.2</w:t>
        </w:r>
        <w:r>
          <w:rPr>
            <w:rFonts w:eastAsiaTheme="minorEastAsia" w:cstheme="minorBidi"/>
            <w:noProof/>
            <w:color w:val="auto"/>
            <w:kern w:val="2"/>
            <w:sz w:val="24"/>
            <w:lang w:val="en-AU" w:eastAsia="ja-JP"/>
            <w14:ligatures w14:val="standardContextual"/>
          </w:rPr>
          <w:tab/>
        </w:r>
        <w:r w:rsidRPr="001C3699">
          <w:rPr>
            <w:rStyle w:val="Hyperlink"/>
            <w:noProof/>
          </w:rPr>
          <w:t>Trachoma screening coverage, trachoma prevalence, and clean face proportion in children aged 5–9 years by region, South Australia, 2024</w:t>
        </w:r>
        <w:r>
          <w:rPr>
            <w:noProof/>
            <w:webHidden/>
          </w:rPr>
          <w:tab/>
        </w:r>
        <w:r>
          <w:rPr>
            <w:noProof/>
            <w:webHidden/>
          </w:rPr>
          <w:fldChar w:fldCharType="begin"/>
        </w:r>
        <w:r>
          <w:rPr>
            <w:noProof/>
            <w:webHidden/>
          </w:rPr>
          <w:instrText xml:space="preserve"> PAGEREF _Toc215224711 \h </w:instrText>
        </w:r>
        <w:r>
          <w:rPr>
            <w:noProof/>
            <w:webHidden/>
          </w:rPr>
        </w:r>
        <w:r>
          <w:rPr>
            <w:noProof/>
            <w:webHidden/>
          </w:rPr>
          <w:fldChar w:fldCharType="separate"/>
        </w:r>
        <w:r>
          <w:rPr>
            <w:noProof/>
            <w:webHidden/>
          </w:rPr>
          <w:t>70</w:t>
        </w:r>
        <w:r>
          <w:rPr>
            <w:noProof/>
            <w:webHidden/>
          </w:rPr>
          <w:fldChar w:fldCharType="end"/>
        </w:r>
      </w:hyperlink>
    </w:p>
    <w:p w14:paraId="4BDDC766" w14:textId="044B687F"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12" w:history="1">
        <w:r w:rsidRPr="001C3699">
          <w:rPr>
            <w:rStyle w:val="Hyperlink"/>
            <w:noProof/>
          </w:rPr>
          <w:t>Table 4.3</w:t>
        </w:r>
        <w:r>
          <w:rPr>
            <w:rFonts w:eastAsiaTheme="minorEastAsia" w:cstheme="minorBidi"/>
            <w:noProof/>
            <w:color w:val="auto"/>
            <w:kern w:val="2"/>
            <w:sz w:val="24"/>
            <w:lang w:val="en-AU" w:eastAsia="ja-JP"/>
            <w14:ligatures w14:val="standardContextual"/>
          </w:rPr>
          <w:tab/>
        </w:r>
        <w:r w:rsidRPr="001C3699">
          <w:rPr>
            <w:rStyle w:val="Hyperlink"/>
            <w:noProof/>
          </w:rPr>
          <w:t>Number and proportion of at-risk communities according to the level of observed trachoma prevalence in children aged 5–9 years, South Australia, 2014–2024</w:t>
        </w:r>
        <w:r>
          <w:rPr>
            <w:noProof/>
            <w:webHidden/>
          </w:rPr>
          <w:tab/>
        </w:r>
        <w:r>
          <w:rPr>
            <w:noProof/>
            <w:webHidden/>
          </w:rPr>
          <w:fldChar w:fldCharType="begin"/>
        </w:r>
        <w:r>
          <w:rPr>
            <w:noProof/>
            <w:webHidden/>
          </w:rPr>
          <w:instrText xml:space="preserve"> PAGEREF _Toc215224712 \h </w:instrText>
        </w:r>
        <w:r>
          <w:rPr>
            <w:noProof/>
            <w:webHidden/>
          </w:rPr>
        </w:r>
        <w:r>
          <w:rPr>
            <w:noProof/>
            <w:webHidden/>
          </w:rPr>
          <w:fldChar w:fldCharType="separate"/>
        </w:r>
        <w:r>
          <w:rPr>
            <w:noProof/>
            <w:webHidden/>
          </w:rPr>
          <w:t>71</w:t>
        </w:r>
        <w:r>
          <w:rPr>
            <w:noProof/>
            <w:webHidden/>
          </w:rPr>
          <w:fldChar w:fldCharType="end"/>
        </w:r>
      </w:hyperlink>
    </w:p>
    <w:p w14:paraId="163764E8" w14:textId="4CA0E445"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13" w:history="1">
        <w:r w:rsidRPr="001C3699">
          <w:rPr>
            <w:rStyle w:val="Hyperlink"/>
            <w:noProof/>
          </w:rPr>
          <w:t>Table 4.4</w:t>
        </w:r>
        <w:r>
          <w:rPr>
            <w:rFonts w:eastAsiaTheme="minorEastAsia" w:cstheme="minorBidi"/>
            <w:noProof/>
            <w:color w:val="auto"/>
            <w:kern w:val="2"/>
            <w:sz w:val="24"/>
            <w:lang w:val="en-AU" w:eastAsia="ja-JP"/>
            <w14:ligatures w14:val="standardContextual"/>
          </w:rPr>
          <w:tab/>
        </w:r>
        <w:r w:rsidRPr="001C3699">
          <w:rPr>
            <w:rStyle w:val="Hyperlink"/>
            <w:noProof/>
          </w:rPr>
          <w:t>Treatment strategies by region, South Australia, 2024</w:t>
        </w:r>
        <w:r>
          <w:rPr>
            <w:noProof/>
            <w:webHidden/>
          </w:rPr>
          <w:tab/>
        </w:r>
        <w:r>
          <w:rPr>
            <w:noProof/>
            <w:webHidden/>
          </w:rPr>
          <w:fldChar w:fldCharType="begin"/>
        </w:r>
        <w:r>
          <w:rPr>
            <w:noProof/>
            <w:webHidden/>
          </w:rPr>
          <w:instrText xml:space="preserve"> PAGEREF _Toc215224713 \h </w:instrText>
        </w:r>
        <w:r>
          <w:rPr>
            <w:noProof/>
            <w:webHidden/>
          </w:rPr>
        </w:r>
        <w:r>
          <w:rPr>
            <w:noProof/>
            <w:webHidden/>
          </w:rPr>
          <w:fldChar w:fldCharType="separate"/>
        </w:r>
        <w:r>
          <w:rPr>
            <w:noProof/>
            <w:webHidden/>
          </w:rPr>
          <w:t>72</w:t>
        </w:r>
        <w:r>
          <w:rPr>
            <w:noProof/>
            <w:webHidden/>
          </w:rPr>
          <w:fldChar w:fldCharType="end"/>
        </w:r>
      </w:hyperlink>
    </w:p>
    <w:p w14:paraId="6626CB61" w14:textId="72C7A56D"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14" w:history="1">
        <w:r w:rsidRPr="001C3699">
          <w:rPr>
            <w:rStyle w:val="Hyperlink"/>
            <w:noProof/>
          </w:rPr>
          <w:t>Table 4.5</w:t>
        </w:r>
        <w:r>
          <w:rPr>
            <w:rFonts w:eastAsiaTheme="minorEastAsia" w:cstheme="minorBidi"/>
            <w:noProof/>
            <w:color w:val="auto"/>
            <w:kern w:val="2"/>
            <w:sz w:val="24"/>
            <w:lang w:val="en-AU" w:eastAsia="ja-JP"/>
            <w14:ligatures w14:val="standardContextual"/>
          </w:rPr>
          <w:tab/>
        </w:r>
        <w:r w:rsidRPr="001C3699">
          <w:rPr>
            <w:rStyle w:val="Hyperlink"/>
            <w:noProof/>
          </w:rPr>
          <w:t>Trachomatous trichiasis (TT) screening coverage, TT screened proportion, and surgery among Indigenous persons by region, South Australia, 2024</w:t>
        </w:r>
        <w:r>
          <w:rPr>
            <w:noProof/>
            <w:webHidden/>
          </w:rPr>
          <w:tab/>
        </w:r>
        <w:r>
          <w:rPr>
            <w:noProof/>
            <w:webHidden/>
          </w:rPr>
          <w:fldChar w:fldCharType="begin"/>
        </w:r>
        <w:r>
          <w:rPr>
            <w:noProof/>
            <w:webHidden/>
          </w:rPr>
          <w:instrText xml:space="preserve"> PAGEREF _Toc215224714 \h </w:instrText>
        </w:r>
        <w:r>
          <w:rPr>
            <w:noProof/>
            <w:webHidden/>
          </w:rPr>
        </w:r>
        <w:r>
          <w:rPr>
            <w:noProof/>
            <w:webHidden/>
          </w:rPr>
          <w:fldChar w:fldCharType="separate"/>
        </w:r>
        <w:r>
          <w:rPr>
            <w:noProof/>
            <w:webHidden/>
          </w:rPr>
          <w:t>73</w:t>
        </w:r>
        <w:r>
          <w:rPr>
            <w:noProof/>
            <w:webHidden/>
          </w:rPr>
          <w:fldChar w:fldCharType="end"/>
        </w:r>
      </w:hyperlink>
    </w:p>
    <w:p w14:paraId="795543CB" w14:textId="69938B3A"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15" w:history="1">
        <w:r w:rsidRPr="001C3699">
          <w:rPr>
            <w:rStyle w:val="Hyperlink"/>
            <w:noProof/>
          </w:rPr>
          <w:t>Table 4.6</w:t>
        </w:r>
        <w:r>
          <w:rPr>
            <w:rFonts w:eastAsiaTheme="minorEastAsia" w:cstheme="minorBidi"/>
            <w:noProof/>
            <w:color w:val="auto"/>
            <w:kern w:val="2"/>
            <w:sz w:val="24"/>
            <w:lang w:val="en-AU" w:eastAsia="ja-JP"/>
            <w14:ligatures w14:val="standardContextual"/>
          </w:rPr>
          <w:tab/>
        </w:r>
        <w:r w:rsidRPr="001C3699">
          <w:rPr>
            <w:rStyle w:val="Hyperlink"/>
            <w:noProof/>
          </w:rPr>
          <w:t>Health promotion activities by region, South Australia, 2024</w:t>
        </w:r>
        <w:r>
          <w:rPr>
            <w:noProof/>
            <w:webHidden/>
          </w:rPr>
          <w:tab/>
        </w:r>
        <w:r>
          <w:rPr>
            <w:noProof/>
            <w:webHidden/>
          </w:rPr>
          <w:fldChar w:fldCharType="begin"/>
        </w:r>
        <w:r>
          <w:rPr>
            <w:noProof/>
            <w:webHidden/>
          </w:rPr>
          <w:instrText xml:space="preserve"> PAGEREF _Toc215224715 \h </w:instrText>
        </w:r>
        <w:r>
          <w:rPr>
            <w:noProof/>
            <w:webHidden/>
          </w:rPr>
        </w:r>
        <w:r>
          <w:rPr>
            <w:noProof/>
            <w:webHidden/>
          </w:rPr>
          <w:fldChar w:fldCharType="separate"/>
        </w:r>
        <w:r>
          <w:rPr>
            <w:noProof/>
            <w:webHidden/>
          </w:rPr>
          <w:t>74</w:t>
        </w:r>
        <w:r>
          <w:rPr>
            <w:noProof/>
            <w:webHidden/>
          </w:rPr>
          <w:fldChar w:fldCharType="end"/>
        </w:r>
      </w:hyperlink>
    </w:p>
    <w:p w14:paraId="5716B0BD" w14:textId="2E62E562"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16" w:history="1">
        <w:r w:rsidRPr="001C3699">
          <w:rPr>
            <w:rStyle w:val="Hyperlink"/>
            <w:noProof/>
          </w:rPr>
          <w:t>Table 5.1</w:t>
        </w:r>
        <w:r>
          <w:rPr>
            <w:rFonts w:eastAsiaTheme="minorEastAsia" w:cstheme="minorBidi"/>
            <w:noProof/>
            <w:color w:val="auto"/>
            <w:kern w:val="2"/>
            <w:sz w:val="24"/>
            <w:lang w:val="en-AU" w:eastAsia="ja-JP"/>
            <w14:ligatures w14:val="standardContextual"/>
          </w:rPr>
          <w:tab/>
        </w:r>
        <w:r w:rsidRPr="001C3699">
          <w:rPr>
            <w:rStyle w:val="Hyperlink"/>
            <w:noProof/>
          </w:rPr>
          <w:t>Trachoma control delivery in at-risk communities by region, Western Australia, 2024</w:t>
        </w:r>
        <w:r>
          <w:rPr>
            <w:noProof/>
            <w:webHidden/>
          </w:rPr>
          <w:tab/>
        </w:r>
        <w:r>
          <w:rPr>
            <w:noProof/>
            <w:webHidden/>
          </w:rPr>
          <w:fldChar w:fldCharType="begin"/>
        </w:r>
        <w:r>
          <w:rPr>
            <w:noProof/>
            <w:webHidden/>
          </w:rPr>
          <w:instrText xml:space="preserve"> PAGEREF _Toc215224716 \h </w:instrText>
        </w:r>
        <w:r>
          <w:rPr>
            <w:noProof/>
            <w:webHidden/>
          </w:rPr>
        </w:r>
        <w:r>
          <w:rPr>
            <w:noProof/>
            <w:webHidden/>
          </w:rPr>
          <w:fldChar w:fldCharType="separate"/>
        </w:r>
        <w:r>
          <w:rPr>
            <w:noProof/>
            <w:webHidden/>
          </w:rPr>
          <w:t>83</w:t>
        </w:r>
        <w:r>
          <w:rPr>
            <w:noProof/>
            <w:webHidden/>
          </w:rPr>
          <w:fldChar w:fldCharType="end"/>
        </w:r>
      </w:hyperlink>
    </w:p>
    <w:p w14:paraId="1C873561" w14:textId="52EF20F3"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17" w:history="1">
        <w:r w:rsidRPr="001C3699">
          <w:rPr>
            <w:rStyle w:val="Hyperlink"/>
            <w:noProof/>
          </w:rPr>
          <w:t>Table 5.2</w:t>
        </w:r>
        <w:r>
          <w:rPr>
            <w:rFonts w:eastAsiaTheme="minorEastAsia" w:cstheme="minorBidi"/>
            <w:noProof/>
            <w:color w:val="auto"/>
            <w:kern w:val="2"/>
            <w:sz w:val="24"/>
            <w:lang w:val="en-AU" w:eastAsia="ja-JP"/>
            <w14:ligatures w14:val="standardContextual"/>
          </w:rPr>
          <w:tab/>
        </w:r>
        <w:r w:rsidRPr="001C3699">
          <w:rPr>
            <w:rStyle w:val="Hyperlink"/>
            <w:noProof/>
          </w:rPr>
          <w:t>Trachoma screening coverage, trachoma prevalence, and clean face proportion in children aged 5–9 years by region, Western Australia, 2024</w:t>
        </w:r>
        <w:r>
          <w:rPr>
            <w:noProof/>
            <w:webHidden/>
          </w:rPr>
          <w:tab/>
        </w:r>
        <w:r>
          <w:rPr>
            <w:noProof/>
            <w:webHidden/>
          </w:rPr>
          <w:fldChar w:fldCharType="begin"/>
        </w:r>
        <w:r>
          <w:rPr>
            <w:noProof/>
            <w:webHidden/>
          </w:rPr>
          <w:instrText xml:space="preserve"> PAGEREF _Toc215224717 \h </w:instrText>
        </w:r>
        <w:r>
          <w:rPr>
            <w:noProof/>
            <w:webHidden/>
          </w:rPr>
        </w:r>
        <w:r>
          <w:rPr>
            <w:noProof/>
            <w:webHidden/>
          </w:rPr>
          <w:fldChar w:fldCharType="separate"/>
        </w:r>
        <w:r>
          <w:rPr>
            <w:noProof/>
            <w:webHidden/>
          </w:rPr>
          <w:t>84</w:t>
        </w:r>
        <w:r>
          <w:rPr>
            <w:noProof/>
            <w:webHidden/>
          </w:rPr>
          <w:fldChar w:fldCharType="end"/>
        </w:r>
      </w:hyperlink>
    </w:p>
    <w:p w14:paraId="0A17813D" w14:textId="534FB181"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18" w:history="1">
        <w:r w:rsidRPr="001C3699">
          <w:rPr>
            <w:rStyle w:val="Hyperlink"/>
            <w:noProof/>
          </w:rPr>
          <w:t>Table 5.3</w:t>
        </w:r>
        <w:r>
          <w:rPr>
            <w:rFonts w:eastAsiaTheme="minorEastAsia" w:cstheme="minorBidi"/>
            <w:noProof/>
            <w:color w:val="auto"/>
            <w:kern w:val="2"/>
            <w:sz w:val="24"/>
            <w:lang w:val="en-AU" w:eastAsia="ja-JP"/>
            <w14:ligatures w14:val="standardContextual"/>
          </w:rPr>
          <w:tab/>
        </w:r>
        <w:r w:rsidRPr="001C3699">
          <w:rPr>
            <w:rStyle w:val="Hyperlink"/>
            <w:noProof/>
          </w:rPr>
          <w:t>Number and proportion of at-risk communities according to the level of observed trachoma prevalence in children aged 5–9 years, Western Australia, 2014–2024</w:t>
        </w:r>
        <w:r>
          <w:rPr>
            <w:noProof/>
            <w:webHidden/>
          </w:rPr>
          <w:tab/>
        </w:r>
        <w:r>
          <w:rPr>
            <w:noProof/>
            <w:webHidden/>
          </w:rPr>
          <w:fldChar w:fldCharType="begin"/>
        </w:r>
        <w:r>
          <w:rPr>
            <w:noProof/>
            <w:webHidden/>
          </w:rPr>
          <w:instrText xml:space="preserve"> PAGEREF _Toc215224718 \h </w:instrText>
        </w:r>
        <w:r>
          <w:rPr>
            <w:noProof/>
            <w:webHidden/>
          </w:rPr>
        </w:r>
        <w:r>
          <w:rPr>
            <w:noProof/>
            <w:webHidden/>
          </w:rPr>
          <w:fldChar w:fldCharType="separate"/>
        </w:r>
        <w:r>
          <w:rPr>
            <w:noProof/>
            <w:webHidden/>
          </w:rPr>
          <w:t>85</w:t>
        </w:r>
        <w:r>
          <w:rPr>
            <w:noProof/>
            <w:webHidden/>
          </w:rPr>
          <w:fldChar w:fldCharType="end"/>
        </w:r>
      </w:hyperlink>
    </w:p>
    <w:p w14:paraId="42C5C113" w14:textId="095ECBEA"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19" w:history="1">
        <w:r w:rsidRPr="001C3699">
          <w:rPr>
            <w:rStyle w:val="Hyperlink"/>
            <w:noProof/>
          </w:rPr>
          <w:t>Table 5.4</w:t>
        </w:r>
        <w:r>
          <w:rPr>
            <w:rFonts w:eastAsiaTheme="minorEastAsia" w:cstheme="minorBidi"/>
            <w:noProof/>
            <w:color w:val="auto"/>
            <w:kern w:val="2"/>
            <w:sz w:val="24"/>
            <w:lang w:val="en-AU" w:eastAsia="ja-JP"/>
            <w14:ligatures w14:val="standardContextual"/>
          </w:rPr>
          <w:tab/>
        </w:r>
        <w:r w:rsidRPr="001C3699">
          <w:rPr>
            <w:rStyle w:val="Hyperlink"/>
            <w:noProof/>
          </w:rPr>
          <w:t>Treatment strategies by region, Western Australia, 2024</w:t>
        </w:r>
        <w:r>
          <w:rPr>
            <w:noProof/>
            <w:webHidden/>
          </w:rPr>
          <w:tab/>
        </w:r>
        <w:r>
          <w:rPr>
            <w:noProof/>
            <w:webHidden/>
          </w:rPr>
          <w:fldChar w:fldCharType="begin"/>
        </w:r>
        <w:r>
          <w:rPr>
            <w:noProof/>
            <w:webHidden/>
          </w:rPr>
          <w:instrText xml:space="preserve"> PAGEREF _Toc215224719 \h </w:instrText>
        </w:r>
        <w:r>
          <w:rPr>
            <w:noProof/>
            <w:webHidden/>
          </w:rPr>
        </w:r>
        <w:r>
          <w:rPr>
            <w:noProof/>
            <w:webHidden/>
          </w:rPr>
          <w:fldChar w:fldCharType="separate"/>
        </w:r>
        <w:r>
          <w:rPr>
            <w:noProof/>
            <w:webHidden/>
          </w:rPr>
          <w:t>86</w:t>
        </w:r>
        <w:r>
          <w:rPr>
            <w:noProof/>
            <w:webHidden/>
          </w:rPr>
          <w:fldChar w:fldCharType="end"/>
        </w:r>
      </w:hyperlink>
    </w:p>
    <w:p w14:paraId="378CCD6B" w14:textId="5DCA0A22"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20" w:history="1">
        <w:r w:rsidRPr="001C3699">
          <w:rPr>
            <w:rStyle w:val="Hyperlink"/>
            <w:noProof/>
          </w:rPr>
          <w:t>Table 5.5</w:t>
        </w:r>
        <w:r>
          <w:rPr>
            <w:rFonts w:eastAsiaTheme="minorEastAsia" w:cstheme="minorBidi"/>
            <w:noProof/>
            <w:color w:val="auto"/>
            <w:kern w:val="2"/>
            <w:sz w:val="24"/>
            <w:lang w:val="en-AU" w:eastAsia="ja-JP"/>
            <w14:ligatures w14:val="standardContextual"/>
          </w:rPr>
          <w:tab/>
        </w:r>
        <w:r w:rsidRPr="001C3699">
          <w:rPr>
            <w:rStyle w:val="Hyperlink"/>
            <w:noProof/>
          </w:rPr>
          <w:t>Antibiotic distribution and coverage by age and region, Western Australia, 2024</w:t>
        </w:r>
        <w:r>
          <w:rPr>
            <w:noProof/>
            <w:webHidden/>
          </w:rPr>
          <w:tab/>
        </w:r>
        <w:r>
          <w:rPr>
            <w:noProof/>
            <w:webHidden/>
          </w:rPr>
          <w:fldChar w:fldCharType="begin"/>
        </w:r>
        <w:r>
          <w:rPr>
            <w:noProof/>
            <w:webHidden/>
          </w:rPr>
          <w:instrText xml:space="preserve"> PAGEREF _Toc215224720 \h </w:instrText>
        </w:r>
        <w:r>
          <w:rPr>
            <w:noProof/>
            <w:webHidden/>
          </w:rPr>
        </w:r>
        <w:r>
          <w:rPr>
            <w:noProof/>
            <w:webHidden/>
          </w:rPr>
          <w:fldChar w:fldCharType="separate"/>
        </w:r>
        <w:r>
          <w:rPr>
            <w:noProof/>
            <w:webHidden/>
          </w:rPr>
          <w:t>87</w:t>
        </w:r>
        <w:r>
          <w:rPr>
            <w:noProof/>
            <w:webHidden/>
          </w:rPr>
          <w:fldChar w:fldCharType="end"/>
        </w:r>
      </w:hyperlink>
    </w:p>
    <w:p w14:paraId="2FB161B5" w14:textId="5F43998E"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21" w:history="1">
        <w:r w:rsidRPr="001C3699">
          <w:rPr>
            <w:rStyle w:val="Hyperlink"/>
            <w:noProof/>
          </w:rPr>
          <w:t>Table 5.6</w:t>
        </w:r>
        <w:r>
          <w:rPr>
            <w:rFonts w:eastAsiaTheme="minorEastAsia" w:cstheme="minorBidi"/>
            <w:noProof/>
            <w:color w:val="auto"/>
            <w:kern w:val="2"/>
            <w:sz w:val="24"/>
            <w:lang w:val="en-AU" w:eastAsia="ja-JP"/>
            <w14:ligatures w14:val="standardContextual"/>
          </w:rPr>
          <w:tab/>
        </w:r>
        <w:r w:rsidRPr="001C3699">
          <w:rPr>
            <w:rStyle w:val="Hyperlink"/>
            <w:noProof/>
          </w:rPr>
          <w:t>Trachomatous trichiasis (TT) screening coverage, TT screened proportion, and surgery among Indigenous persons by region, Western Australia, 2024</w:t>
        </w:r>
        <w:r>
          <w:rPr>
            <w:noProof/>
            <w:webHidden/>
          </w:rPr>
          <w:tab/>
        </w:r>
        <w:r>
          <w:rPr>
            <w:noProof/>
            <w:webHidden/>
          </w:rPr>
          <w:fldChar w:fldCharType="begin"/>
        </w:r>
        <w:r>
          <w:rPr>
            <w:noProof/>
            <w:webHidden/>
          </w:rPr>
          <w:instrText xml:space="preserve"> PAGEREF _Toc215224721 \h </w:instrText>
        </w:r>
        <w:r>
          <w:rPr>
            <w:noProof/>
            <w:webHidden/>
          </w:rPr>
        </w:r>
        <w:r>
          <w:rPr>
            <w:noProof/>
            <w:webHidden/>
          </w:rPr>
          <w:fldChar w:fldCharType="separate"/>
        </w:r>
        <w:r>
          <w:rPr>
            <w:noProof/>
            <w:webHidden/>
          </w:rPr>
          <w:t>88</w:t>
        </w:r>
        <w:r>
          <w:rPr>
            <w:noProof/>
            <w:webHidden/>
          </w:rPr>
          <w:fldChar w:fldCharType="end"/>
        </w:r>
      </w:hyperlink>
    </w:p>
    <w:p w14:paraId="42FE1C71" w14:textId="6500A7C8" w:rsidR="00495326" w:rsidRDefault="00495326" w:rsidP="00F76882">
      <w:pPr>
        <w:pStyle w:val="TableofFigures"/>
        <w:rPr>
          <w:rFonts w:eastAsiaTheme="minorEastAsia" w:cstheme="minorBidi"/>
          <w:noProof/>
          <w:color w:val="auto"/>
          <w:kern w:val="2"/>
          <w:sz w:val="24"/>
          <w:lang w:val="en-AU" w:eastAsia="ja-JP"/>
          <w14:ligatures w14:val="standardContextual"/>
        </w:rPr>
      </w:pPr>
      <w:hyperlink w:anchor="_Toc215224722" w:history="1">
        <w:r w:rsidRPr="001C3699">
          <w:rPr>
            <w:rStyle w:val="Hyperlink"/>
            <w:noProof/>
          </w:rPr>
          <w:t>Table 5.7</w:t>
        </w:r>
        <w:r>
          <w:rPr>
            <w:rFonts w:eastAsiaTheme="minorEastAsia" w:cstheme="minorBidi"/>
            <w:noProof/>
            <w:color w:val="auto"/>
            <w:kern w:val="2"/>
            <w:sz w:val="24"/>
            <w:lang w:val="en-AU" w:eastAsia="ja-JP"/>
            <w14:ligatures w14:val="standardContextual"/>
          </w:rPr>
          <w:tab/>
        </w:r>
        <w:r w:rsidRPr="001C3699">
          <w:rPr>
            <w:rStyle w:val="Hyperlink"/>
            <w:noProof/>
          </w:rPr>
          <w:t>Health promotion activities by region, Western Australia, 2024</w:t>
        </w:r>
        <w:r>
          <w:rPr>
            <w:noProof/>
            <w:webHidden/>
          </w:rPr>
          <w:tab/>
        </w:r>
        <w:r>
          <w:rPr>
            <w:noProof/>
            <w:webHidden/>
          </w:rPr>
          <w:fldChar w:fldCharType="begin"/>
        </w:r>
        <w:r>
          <w:rPr>
            <w:noProof/>
            <w:webHidden/>
          </w:rPr>
          <w:instrText xml:space="preserve"> PAGEREF _Toc215224722 \h </w:instrText>
        </w:r>
        <w:r>
          <w:rPr>
            <w:noProof/>
            <w:webHidden/>
          </w:rPr>
        </w:r>
        <w:r>
          <w:rPr>
            <w:noProof/>
            <w:webHidden/>
          </w:rPr>
          <w:fldChar w:fldCharType="separate"/>
        </w:r>
        <w:r>
          <w:rPr>
            <w:noProof/>
            <w:webHidden/>
          </w:rPr>
          <w:t>89</w:t>
        </w:r>
        <w:r>
          <w:rPr>
            <w:noProof/>
            <w:webHidden/>
          </w:rPr>
          <w:fldChar w:fldCharType="end"/>
        </w:r>
      </w:hyperlink>
    </w:p>
    <w:p w14:paraId="7844A04A" w14:textId="29960407" w:rsidR="00B96AD5" w:rsidRPr="003D3BBA" w:rsidRDefault="00475C0B" w:rsidP="00F76882">
      <w:r w:rsidRPr="00495326">
        <w:fldChar w:fldCharType="end"/>
      </w:r>
      <w:r w:rsidR="00B96AD5" w:rsidRPr="003D3BBA">
        <w:br w:type="page"/>
      </w:r>
    </w:p>
    <w:p w14:paraId="70F3BC3D" w14:textId="1FD35AB6" w:rsidR="00796094" w:rsidRPr="003D3BBA" w:rsidRDefault="00796094" w:rsidP="00F76882"/>
    <w:p w14:paraId="51897130" w14:textId="77777777" w:rsidR="008034BA" w:rsidRPr="004609FA" w:rsidRDefault="008034BA" w:rsidP="00F76882">
      <w:pPr>
        <w:pStyle w:val="Heading1"/>
      </w:pPr>
      <w:bookmarkStart w:id="10" w:name="_Toc520298286"/>
      <w:bookmarkStart w:id="11" w:name="_Toc520298365"/>
      <w:bookmarkStart w:id="12" w:name="_Toc160544976"/>
      <w:bookmarkStart w:id="13" w:name="_Toc203986530"/>
      <w:bookmarkStart w:id="14" w:name="_Toc215236923"/>
      <w:r w:rsidRPr="004609FA">
        <w:t>Preface</w:t>
      </w:r>
      <w:bookmarkEnd w:id="10"/>
      <w:bookmarkEnd w:id="11"/>
      <w:bookmarkEnd w:id="12"/>
      <w:bookmarkEnd w:id="13"/>
      <w:bookmarkEnd w:id="14"/>
    </w:p>
    <w:p w14:paraId="41588466" w14:textId="0F824131" w:rsidR="00826512" w:rsidRPr="003D3BBA" w:rsidRDefault="008034BA" w:rsidP="00F76882">
      <w:r w:rsidRPr="003D3BBA">
        <w:t xml:space="preserve">This report was prepared by the National Trachoma Surveillance and Reporting Unit (NTSRU) in collaboration with the National Trachoma Surveillance and Control Reference Group and jurisdictional health departments funded to undertake trachoma control activities by the Australian Government </w:t>
      </w:r>
      <w:r w:rsidR="003B4EDC" w:rsidRPr="003D3BBA">
        <w:t>Department of Health, Disability and Ageing</w:t>
      </w:r>
      <w:r w:rsidRPr="003D3BBA">
        <w:t>, which also funds the NTSRU.</w:t>
      </w:r>
    </w:p>
    <w:p w14:paraId="6BE7432C" w14:textId="19C40EC4" w:rsidR="0093239B" w:rsidRPr="003D3BBA" w:rsidRDefault="008034BA" w:rsidP="00F76882">
      <w:r w:rsidRPr="003D3BBA">
        <w:t xml:space="preserve">Trachoma program data for </w:t>
      </w:r>
      <w:r w:rsidR="00E76BB4" w:rsidRPr="003D3BBA">
        <w:t>202</w:t>
      </w:r>
      <w:r w:rsidR="007C7167" w:rsidRPr="003D3BBA">
        <w:t>4</w:t>
      </w:r>
      <w:r w:rsidR="004454F9" w:rsidRPr="003D3BBA">
        <w:t xml:space="preserve"> </w:t>
      </w:r>
      <w:r w:rsidRPr="003D3BBA">
        <w:t>were provided by the Northern Territory (NT), Queensland (</w:t>
      </w:r>
      <w:r w:rsidR="00C93F39" w:rsidRPr="003D3BBA">
        <w:t>Qld</w:t>
      </w:r>
      <w:r w:rsidRPr="003D3BBA">
        <w:t>), South Australia (SA)</w:t>
      </w:r>
      <w:r w:rsidR="00F03032" w:rsidRPr="003D3BBA">
        <w:t>,</w:t>
      </w:r>
      <w:r w:rsidRPr="003D3BBA">
        <w:t xml:space="preserve"> and Western Australia (WA). Program activities, including data collection and analysis, were guided by the</w:t>
      </w:r>
      <w:r w:rsidR="00C179D6" w:rsidRPr="003D3BBA">
        <w:t xml:space="preserve"> Communicable Diseases Network Australia</w:t>
      </w:r>
      <w:r w:rsidRPr="003D3BBA">
        <w:t xml:space="preserve"> </w:t>
      </w:r>
      <w:r w:rsidR="00653B1C" w:rsidRPr="003D3BBA">
        <w:t>(</w:t>
      </w:r>
      <w:r w:rsidRPr="003D3BBA">
        <w:t>CDNA</w:t>
      </w:r>
      <w:r w:rsidR="00653B1C" w:rsidRPr="003D3BBA">
        <w:t>)</w:t>
      </w:r>
      <w:r w:rsidRPr="003D3BBA">
        <w:t xml:space="preserve"> National guidelines for the public health management of trachoma in Australia.</w:t>
      </w:r>
    </w:p>
    <w:p w14:paraId="3F605717" w14:textId="2B0F2CED" w:rsidR="008034BA" w:rsidRPr="003D3BBA" w:rsidRDefault="00020AEF" w:rsidP="00F76882">
      <w:r w:rsidRPr="003D3BBA">
        <w:t>Previous</w:t>
      </w:r>
      <w:r w:rsidR="008034BA" w:rsidRPr="003D3BBA">
        <w:t xml:space="preserve"> report</w:t>
      </w:r>
      <w:r w:rsidR="00653B1C" w:rsidRPr="003D3BBA">
        <w:t>s</w:t>
      </w:r>
      <w:r w:rsidR="008034BA" w:rsidRPr="003D3BBA">
        <w:t xml:space="preserve"> </w:t>
      </w:r>
      <w:r w:rsidR="00653B1C" w:rsidRPr="003D3BBA">
        <w:t xml:space="preserve">are </w:t>
      </w:r>
      <w:r w:rsidR="008034BA" w:rsidRPr="003D3BBA">
        <w:t xml:space="preserve">available online at </w:t>
      </w:r>
      <w:hyperlink r:id="rId11" w:history="1">
        <w:r w:rsidR="008034BA" w:rsidRPr="003D3BBA">
          <w:rPr>
            <w:rStyle w:val="Hyperlink"/>
          </w:rPr>
          <w:t>https://kirby.unsw.edu.au/report-type/australian-trachoma-surveillance-reports</w:t>
        </w:r>
      </w:hyperlink>
    </w:p>
    <w:p w14:paraId="6DF9D5CF" w14:textId="77777777" w:rsidR="00144783" w:rsidRPr="00F76882" w:rsidRDefault="00144783" w:rsidP="00F76882">
      <w:bookmarkStart w:id="15" w:name="_Toc490035340"/>
      <w:bookmarkStart w:id="16" w:name="_Toc520298283"/>
      <w:bookmarkStart w:id="17" w:name="_Toc520298362"/>
      <w:r w:rsidRPr="00F57624">
        <w:br w:type="page"/>
      </w:r>
    </w:p>
    <w:p w14:paraId="248C58D7" w14:textId="6DB6A4C5" w:rsidR="00144783" w:rsidRPr="004609FA" w:rsidRDefault="00144783" w:rsidP="00F76882">
      <w:pPr>
        <w:pStyle w:val="Heading1"/>
      </w:pPr>
      <w:bookmarkStart w:id="18" w:name="_Toc160544977"/>
      <w:bookmarkStart w:id="19" w:name="_Toc203986531"/>
      <w:bookmarkStart w:id="20" w:name="_Toc215236924"/>
      <w:r w:rsidRPr="004609FA">
        <w:t>Acknowledg</w:t>
      </w:r>
      <w:r w:rsidR="00CF6F2A" w:rsidRPr="004609FA">
        <w:t>e</w:t>
      </w:r>
      <w:r w:rsidRPr="004609FA">
        <w:t>ments</w:t>
      </w:r>
      <w:bookmarkEnd w:id="15"/>
      <w:bookmarkEnd w:id="16"/>
      <w:bookmarkEnd w:id="17"/>
      <w:bookmarkEnd w:id="18"/>
      <w:bookmarkEnd w:id="19"/>
      <w:bookmarkEnd w:id="20"/>
    </w:p>
    <w:p w14:paraId="373906A6" w14:textId="77777777" w:rsidR="00144783" w:rsidRPr="004609FA" w:rsidRDefault="00144783" w:rsidP="00F76882">
      <w:pPr>
        <w:pStyle w:val="Heading2"/>
      </w:pPr>
      <w:bookmarkStart w:id="21" w:name="_Toc485747769"/>
      <w:bookmarkStart w:id="22" w:name="_Toc490035341"/>
      <w:bookmarkStart w:id="23" w:name="_Toc497062617"/>
      <w:bookmarkStart w:id="24" w:name="_Toc215236925"/>
      <w:r w:rsidRPr="004609FA">
        <w:t>The National Trachoma Surveillance and Control Reference Group</w:t>
      </w:r>
      <w:bookmarkEnd w:id="21"/>
      <w:bookmarkEnd w:id="22"/>
      <w:bookmarkEnd w:id="23"/>
      <w:bookmarkEnd w:id="24"/>
    </w:p>
    <w:p w14:paraId="31D3508F" w14:textId="44FDD287" w:rsidR="0020493B" w:rsidRPr="001B4458" w:rsidRDefault="0020493B" w:rsidP="00F76882">
      <w:pPr>
        <w:pStyle w:val="TableofFigures"/>
      </w:pPr>
      <w:r w:rsidRPr="0036007C">
        <w:rPr>
          <w:lang w:val="en-AU"/>
        </w:rPr>
        <w:t xml:space="preserve">Ms </w:t>
      </w:r>
      <w:r w:rsidRPr="001B4458">
        <w:t xml:space="preserve">Vanessa Garwood – First Nations Health Division, Australian Government </w:t>
      </w:r>
      <w:r w:rsidR="00854A88" w:rsidRPr="001B4458">
        <w:t>Department of Health, Disability and Ageing</w:t>
      </w:r>
    </w:p>
    <w:p w14:paraId="52F09CA3" w14:textId="5BB32D63" w:rsidR="002F7694" w:rsidRPr="001B4458" w:rsidRDefault="00A25E7E" w:rsidP="00F76882">
      <w:pPr>
        <w:pStyle w:val="TableofFigures"/>
      </w:pPr>
      <w:r w:rsidRPr="001B4458">
        <w:t>D</w:t>
      </w:r>
      <w:r w:rsidR="002F7694" w:rsidRPr="001B4458">
        <w:t>r Carlos Hernandez</w:t>
      </w:r>
      <w:r w:rsidR="001153C2" w:rsidRPr="001B4458">
        <w:t xml:space="preserve"> –</w:t>
      </w:r>
      <w:r w:rsidR="002F7694" w:rsidRPr="001B4458">
        <w:t xml:space="preserve"> Eyre and Far North Local Health Network</w:t>
      </w:r>
      <w:r w:rsidR="00156F65" w:rsidRPr="001B4458">
        <w:t>, S</w:t>
      </w:r>
      <w:r w:rsidR="00CB43F4" w:rsidRPr="001B4458">
        <w:t xml:space="preserve">outh </w:t>
      </w:r>
      <w:r w:rsidR="00156F65" w:rsidRPr="001B4458">
        <w:t>A</w:t>
      </w:r>
      <w:r w:rsidR="00CB43F4" w:rsidRPr="001B4458">
        <w:t>ustralia</w:t>
      </w:r>
      <w:r w:rsidR="00156F65" w:rsidRPr="001B4458">
        <w:t xml:space="preserve"> Health</w:t>
      </w:r>
    </w:p>
    <w:p w14:paraId="0D6751F9" w14:textId="4A4F1B5A" w:rsidR="00AE0B11" w:rsidRPr="001B4458" w:rsidRDefault="00AE0B11" w:rsidP="00F76882">
      <w:pPr>
        <w:pStyle w:val="TableofFigures"/>
      </w:pPr>
      <w:r w:rsidRPr="001B4458">
        <w:t>Dr Dawn Casey</w:t>
      </w:r>
      <w:r w:rsidR="001153C2" w:rsidRPr="001B4458">
        <w:t xml:space="preserve"> –</w:t>
      </w:r>
      <w:r w:rsidRPr="001B4458">
        <w:t xml:space="preserve"> </w:t>
      </w:r>
      <w:r w:rsidR="003F20E0" w:rsidRPr="001B4458">
        <w:t>National Aboriginal Community Controlled Health Organisation</w:t>
      </w:r>
    </w:p>
    <w:p w14:paraId="4FA74DDD" w14:textId="63BE0FA2" w:rsidR="002F7694" w:rsidRPr="001B4458" w:rsidRDefault="002F7694" w:rsidP="00F76882">
      <w:pPr>
        <w:pStyle w:val="TableofFigures"/>
      </w:pPr>
      <w:r w:rsidRPr="001B4458">
        <w:t>Professor Donna Mak</w:t>
      </w:r>
      <w:r w:rsidR="00E57FE4" w:rsidRPr="001B4458">
        <w:t>,</w:t>
      </w:r>
      <w:r w:rsidRPr="001B4458">
        <w:t xml:space="preserve"> </w:t>
      </w:r>
      <w:r w:rsidR="00BD4B27" w:rsidRPr="001B4458">
        <w:t>Expert member</w:t>
      </w:r>
      <w:r w:rsidR="00E57FE4" w:rsidRPr="001B4458">
        <w:t xml:space="preserve"> (</w:t>
      </w:r>
      <w:r w:rsidR="00BD4B27" w:rsidRPr="001B4458">
        <w:t>Public Health Physician</w:t>
      </w:r>
      <w:r w:rsidR="00E57FE4" w:rsidRPr="001B4458">
        <w:t>)</w:t>
      </w:r>
    </w:p>
    <w:p w14:paraId="51F96181" w14:textId="176F6F09" w:rsidR="005461D5" w:rsidRPr="001B4458" w:rsidRDefault="005461D5" w:rsidP="00F76882">
      <w:pPr>
        <w:pStyle w:val="TableofFigures"/>
      </w:pPr>
      <w:r w:rsidRPr="001B4458">
        <w:t xml:space="preserve">A/Prof John Boffa – Central Australian Aboriginal Congress </w:t>
      </w:r>
    </w:p>
    <w:p w14:paraId="3E473D67" w14:textId="49FEE08D" w:rsidR="00144783" w:rsidRPr="001B4458" w:rsidRDefault="00144783" w:rsidP="00F76882">
      <w:pPr>
        <w:pStyle w:val="TableofFigures"/>
      </w:pPr>
      <w:r w:rsidRPr="001B4458">
        <w:t>Professor John Kaldor</w:t>
      </w:r>
      <w:r w:rsidR="00E95FD1" w:rsidRPr="001B4458">
        <w:t xml:space="preserve"> –</w:t>
      </w:r>
      <w:r w:rsidRPr="001B4458">
        <w:t xml:space="preserve"> </w:t>
      </w:r>
      <w:r w:rsidR="00755EBA" w:rsidRPr="001B4458">
        <w:t>Global Health Program</w:t>
      </w:r>
      <w:r w:rsidRPr="001B4458">
        <w:t>, The Kirby Institute</w:t>
      </w:r>
      <w:r w:rsidR="00DD0260" w:rsidRPr="001B4458">
        <w:t xml:space="preserve"> UNSW</w:t>
      </w:r>
      <w:r w:rsidRPr="001B4458">
        <w:t xml:space="preserve"> Sydney</w:t>
      </w:r>
    </w:p>
    <w:p w14:paraId="1D38D9B6" w14:textId="73C29F3A" w:rsidR="0010452A" w:rsidRPr="001B4458" w:rsidRDefault="000D7A49" w:rsidP="00F76882">
      <w:pPr>
        <w:pStyle w:val="TableofFigures"/>
      </w:pPr>
      <w:r w:rsidRPr="001B4458">
        <w:t xml:space="preserve">A/Professor </w:t>
      </w:r>
      <w:r w:rsidR="0010452A" w:rsidRPr="001B4458">
        <w:t>Kris Rallah-Baker</w:t>
      </w:r>
      <w:r w:rsidR="006F5CF8" w:rsidRPr="001B4458">
        <w:t xml:space="preserve">, </w:t>
      </w:r>
      <w:r w:rsidR="0010452A" w:rsidRPr="001B4458">
        <w:t xml:space="preserve">Expert Member </w:t>
      </w:r>
      <w:r w:rsidRPr="001B4458">
        <w:t>(</w:t>
      </w:r>
      <w:r w:rsidR="0010452A" w:rsidRPr="001B4458">
        <w:t>providing ophthalmological services for First Nations populations and key stakeholder engagements</w:t>
      </w:r>
      <w:r w:rsidRPr="001B4458">
        <w:t>)</w:t>
      </w:r>
    </w:p>
    <w:p w14:paraId="2CD4A28C" w14:textId="6956E08B" w:rsidR="00BD4B27" w:rsidRPr="001B4458" w:rsidRDefault="00BD4B27" w:rsidP="00F76882">
      <w:pPr>
        <w:pStyle w:val="TableofFigures"/>
      </w:pPr>
      <w:r w:rsidRPr="001B4458">
        <w:t>Dr Marisa Gilles – W</w:t>
      </w:r>
      <w:r w:rsidR="00CB43F4" w:rsidRPr="001B4458">
        <w:t xml:space="preserve">estern </w:t>
      </w:r>
      <w:r w:rsidRPr="001B4458">
        <w:t>A</w:t>
      </w:r>
      <w:r w:rsidR="00CB43F4" w:rsidRPr="001B4458">
        <w:t>ustralia</w:t>
      </w:r>
      <w:r w:rsidRPr="001B4458">
        <w:t xml:space="preserve"> Country Health Service</w:t>
      </w:r>
    </w:p>
    <w:p w14:paraId="27EBE27F" w14:textId="599D33C9" w:rsidR="00144783" w:rsidRPr="001B4458" w:rsidRDefault="00144783" w:rsidP="00F76882">
      <w:pPr>
        <w:pStyle w:val="TableofFigures"/>
      </w:pPr>
      <w:r w:rsidRPr="001B4458">
        <w:t>Mr Matthew Leste</w:t>
      </w:r>
      <w:r w:rsidR="005941E3" w:rsidRPr="001B4458">
        <w:t>r</w:t>
      </w:r>
      <w:r w:rsidR="006F5CF8" w:rsidRPr="001B4458">
        <w:t xml:space="preserve">, </w:t>
      </w:r>
      <w:r w:rsidR="0023174A" w:rsidRPr="001B4458">
        <w:t xml:space="preserve">Expert Member </w:t>
      </w:r>
      <w:r w:rsidR="005941E3" w:rsidRPr="001B4458">
        <w:t>(</w:t>
      </w:r>
      <w:r w:rsidR="0023174A" w:rsidRPr="001B4458">
        <w:t>Environmental Health representative</w:t>
      </w:r>
      <w:r w:rsidR="005941E3" w:rsidRPr="001B4458">
        <w:t>)</w:t>
      </w:r>
      <w:r w:rsidR="006F5CF8" w:rsidRPr="001B4458">
        <w:t xml:space="preserve"> –</w:t>
      </w:r>
      <w:r w:rsidR="0023174A" w:rsidRPr="001B4458">
        <w:t xml:space="preserve"> Environmental Health Directorate, Department of Health, WA</w:t>
      </w:r>
    </w:p>
    <w:p w14:paraId="0B33A3F8" w14:textId="0F2FCA02" w:rsidR="00E43C57" w:rsidRPr="001B4458" w:rsidRDefault="005A460A" w:rsidP="00F76882">
      <w:pPr>
        <w:pStyle w:val="TableofFigures"/>
      </w:pPr>
      <w:r w:rsidRPr="001B4458">
        <w:t>A/Professor</w:t>
      </w:r>
      <w:r w:rsidR="005F28B8" w:rsidRPr="001B4458">
        <w:t xml:space="preserve"> Mitchell Anjou</w:t>
      </w:r>
      <w:r w:rsidR="001153C2" w:rsidRPr="001B4458">
        <w:t xml:space="preserve"> –</w:t>
      </w:r>
      <w:r w:rsidR="005F28B8" w:rsidRPr="001B4458">
        <w:t xml:space="preserve"> </w:t>
      </w:r>
      <w:r w:rsidR="00E43C57" w:rsidRPr="001B4458">
        <w:t>Indigenous Eye Health Unit, The University of Melbourne</w:t>
      </w:r>
    </w:p>
    <w:p w14:paraId="137B9B2A" w14:textId="38B8CC34" w:rsidR="003F20E0" w:rsidRPr="001B4458" w:rsidRDefault="00E8054A" w:rsidP="00F76882">
      <w:pPr>
        <w:pStyle w:val="TableofFigures"/>
      </w:pPr>
      <w:r w:rsidRPr="001B4458">
        <w:t>Ms Monica Barolits-McCabe</w:t>
      </w:r>
      <w:r w:rsidR="00600687" w:rsidRPr="001B4458">
        <w:t xml:space="preserve"> – </w:t>
      </w:r>
      <w:r w:rsidR="003F20E0" w:rsidRPr="001B4458">
        <w:t>National Aboriginal Community Controlled Health Organisation</w:t>
      </w:r>
    </w:p>
    <w:p w14:paraId="029DCE47" w14:textId="341C9D79" w:rsidR="004104A3" w:rsidRPr="001B4458" w:rsidRDefault="006F5461" w:rsidP="00F76882">
      <w:pPr>
        <w:pStyle w:val="TableofFigures"/>
      </w:pPr>
      <w:r w:rsidRPr="001B4458">
        <w:t xml:space="preserve">Mr </w:t>
      </w:r>
      <w:r w:rsidR="004104A3" w:rsidRPr="001B4458">
        <w:t>Phillip Graham</w:t>
      </w:r>
      <w:r w:rsidR="00D64030" w:rsidRPr="001B4458">
        <w:t>,</w:t>
      </w:r>
      <w:r w:rsidR="005941E3" w:rsidRPr="001B4458">
        <w:t xml:space="preserve"> </w:t>
      </w:r>
      <w:r w:rsidR="004104A3" w:rsidRPr="001B4458">
        <w:t xml:space="preserve">Expert Member </w:t>
      </w:r>
      <w:r w:rsidR="005941E3" w:rsidRPr="001B4458">
        <w:t>(</w:t>
      </w:r>
      <w:r w:rsidR="004104A3" w:rsidRPr="001B4458">
        <w:t>Environmental Health representative</w:t>
      </w:r>
      <w:r w:rsidR="005941E3" w:rsidRPr="001B4458">
        <w:t>)</w:t>
      </w:r>
      <w:r w:rsidR="00D64030" w:rsidRPr="001B4458">
        <w:t xml:space="preserve"> –</w:t>
      </w:r>
      <w:r w:rsidR="004104A3" w:rsidRPr="001B4458">
        <w:t xml:space="preserve"> Aboriginal Environmental Health, Department of Health &amp; Well Being S</w:t>
      </w:r>
      <w:r w:rsidR="005941E3" w:rsidRPr="001B4458">
        <w:t xml:space="preserve">outh </w:t>
      </w:r>
      <w:r w:rsidR="004104A3" w:rsidRPr="001B4458">
        <w:t>A</w:t>
      </w:r>
      <w:r w:rsidR="005941E3" w:rsidRPr="001B4458">
        <w:t>ustralia</w:t>
      </w:r>
    </w:p>
    <w:p w14:paraId="3ECC6114" w14:textId="061FF642" w:rsidR="009E108B" w:rsidRPr="001B4458" w:rsidRDefault="009E108B" w:rsidP="00F76882">
      <w:pPr>
        <w:pStyle w:val="TableofFigures"/>
      </w:pPr>
      <w:r w:rsidRPr="001B4458">
        <w:t>Mr Sinon Cooney – Chief Executive Officer, Katherine West Health Board</w:t>
      </w:r>
    </w:p>
    <w:p w14:paraId="6E87DB66" w14:textId="414CEA7C" w:rsidR="0049591B" w:rsidRPr="001B4458" w:rsidRDefault="0049591B" w:rsidP="00F76882">
      <w:pPr>
        <w:pStyle w:val="TableofFigures"/>
      </w:pPr>
      <w:r w:rsidRPr="001B4458">
        <w:t xml:space="preserve">Ms Simone Persson – National Indigenous Australians Agency </w:t>
      </w:r>
    </w:p>
    <w:p w14:paraId="24B06827" w14:textId="1E8C42AE" w:rsidR="002F7694" w:rsidRPr="001B4458" w:rsidRDefault="00EB7F0D" w:rsidP="00F76882">
      <w:pPr>
        <w:pStyle w:val="TableofFigures"/>
      </w:pPr>
      <w:r w:rsidRPr="001B4458">
        <w:t xml:space="preserve">A/Professor </w:t>
      </w:r>
      <w:r w:rsidR="002F7694" w:rsidRPr="001B4458">
        <w:t>Stephen Lambert</w:t>
      </w:r>
      <w:r w:rsidR="00600687" w:rsidRPr="001B4458">
        <w:t xml:space="preserve"> –</w:t>
      </w:r>
      <w:r w:rsidR="004C4E25" w:rsidRPr="001B4458">
        <w:t xml:space="preserve"> </w:t>
      </w:r>
      <w:r w:rsidR="002F7694" w:rsidRPr="001B4458">
        <w:t>Communicable Diseases Branch, Queensland Health</w:t>
      </w:r>
      <w:r w:rsidR="008C1183" w:rsidRPr="001B4458">
        <w:t xml:space="preserve"> </w:t>
      </w:r>
    </w:p>
    <w:p w14:paraId="332CCD73" w14:textId="77777777" w:rsidR="0090637E" w:rsidRPr="001B4458" w:rsidRDefault="0090637E" w:rsidP="00F76882">
      <w:pPr>
        <w:pStyle w:val="TableofFigures"/>
      </w:pPr>
      <w:r w:rsidRPr="001B4458">
        <w:t>Ms Teagan Nalder – Public Health Unit, Northern Territory Health</w:t>
      </w:r>
    </w:p>
    <w:p w14:paraId="4EAAEF0C" w14:textId="7A89CC36" w:rsidR="00B22692" w:rsidRPr="001B4458" w:rsidRDefault="006F5461" w:rsidP="00F76882">
      <w:pPr>
        <w:pStyle w:val="TableofFigures"/>
      </w:pPr>
      <w:r w:rsidRPr="001B4458">
        <w:t xml:space="preserve">Ms </w:t>
      </w:r>
      <w:r w:rsidR="00B22692" w:rsidRPr="001B4458">
        <w:t>Tracy Ward</w:t>
      </w:r>
      <w:r w:rsidR="00D64030" w:rsidRPr="001B4458">
        <w:t>,</w:t>
      </w:r>
      <w:r w:rsidR="005941E3" w:rsidRPr="001B4458">
        <w:t xml:space="preserve"> Expert Member (Environmental Health representative)</w:t>
      </w:r>
      <w:r w:rsidR="00D64030" w:rsidRPr="001B4458">
        <w:t xml:space="preserve"> – </w:t>
      </w:r>
      <w:r w:rsidR="005941E3" w:rsidRPr="001B4458">
        <w:t xml:space="preserve">Northern Territory </w:t>
      </w:r>
      <w:r w:rsidR="00B22692" w:rsidRPr="001B4458">
        <w:t xml:space="preserve">Health </w:t>
      </w:r>
    </w:p>
    <w:p w14:paraId="6FA5880F" w14:textId="1E3A463A" w:rsidR="00AE5A7C" w:rsidRPr="001B4458" w:rsidRDefault="00AE5A7C" w:rsidP="00F76882">
      <w:pPr>
        <w:pStyle w:val="TableofFigures"/>
      </w:pPr>
      <w:r w:rsidRPr="001B4458">
        <w:t>Ms Carleigh Cowling (Secretariat)</w:t>
      </w:r>
      <w:r w:rsidR="001153C2" w:rsidRPr="001B4458">
        <w:t xml:space="preserve"> </w:t>
      </w:r>
      <w:r w:rsidR="00B9799B" w:rsidRPr="001B4458">
        <w:t xml:space="preserve">– </w:t>
      </w:r>
      <w:r w:rsidRPr="001B4458">
        <w:t>Global Health Program, The Kirby Institute, The University of NSW, Sydney NSW</w:t>
      </w:r>
    </w:p>
    <w:p w14:paraId="401CFB8E" w14:textId="77777777" w:rsidR="00144783" w:rsidRPr="004609FA" w:rsidRDefault="00144783" w:rsidP="00F76882">
      <w:pPr>
        <w:pStyle w:val="Heading2"/>
      </w:pPr>
      <w:bookmarkStart w:id="25" w:name="_Toc485747770"/>
      <w:bookmarkStart w:id="26" w:name="_Toc490035342"/>
      <w:bookmarkStart w:id="27" w:name="_Toc497062618"/>
      <w:bookmarkStart w:id="28" w:name="_Toc215236926"/>
      <w:r w:rsidRPr="004609FA">
        <w:t>National Trachoma Surveillance and Reporting Unit</w:t>
      </w:r>
      <w:bookmarkEnd w:id="25"/>
      <w:bookmarkEnd w:id="26"/>
      <w:bookmarkEnd w:id="27"/>
      <w:bookmarkEnd w:id="28"/>
    </w:p>
    <w:p w14:paraId="32EB4051" w14:textId="4A81E9C4" w:rsidR="00144783" w:rsidRPr="001B4458" w:rsidRDefault="00144783" w:rsidP="00F76882">
      <w:pPr>
        <w:pStyle w:val="TableofFigures"/>
      </w:pPr>
      <w:r w:rsidRPr="001B4458">
        <w:t>Professor John Kaldor</w:t>
      </w:r>
      <w:r w:rsidR="00E95FD1" w:rsidRPr="001B4458">
        <w:t xml:space="preserve"> –</w:t>
      </w:r>
      <w:r w:rsidRPr="001B4458">
        <w:t xml:space="preserve"> </w:t>
      </w:r>
      <w:r w:rsidR="00834A27" w:rsidRPr="001B4458">
        <w:t>Global Health Program</w:t>
      </w:r>
      <w:r w:rsidR="00DD0260" w:rsidRPr="001B4458">
        <w:t>, The Kirby Institute UNSW Sydney</w:t>
      </w:r>
    </w:p>
    <w:p w14:paraId="62DB8714" w14:textId="13195FCB" w:rsidR="001C1C7A" w:rsidRPr="001B4458" w:rsidRDefault="001C1C7A" w:rsidP="00F76882">
      <w:pPr>
        <w:pStyle w:val="TableofFigures"/>
      </w:pPr>
      <w:r w:rsidRPr="001B4458">
        <w:t>Professor Susana Vaz Nery</w:t>
      </w:r>
      <w:r w:rsidR="00E95FD1" w:rsidRPr="001B4458">
        <w:t xml:space="preserve"> –</w:t>
      </w:r>
      <w:r w:rsidRPr="001B4458">
        <w:t xml:space="preserve"> Global Health Program</w:t>
      </w:r>
      <w:r w:rsidR="00DD0260" w:rsidRPr="001B4458">
        <w:t>, The Kirby Institute UNSW Sydney</w:t>
      </w:r>
    </w:p>
    <w:p w14:paraId="060F3314" w14:textId="4F46B989" w:rsidR="00144783" w:rsidRPr="001B4458" w:rsidRDefault="00144783" w:rsidP="00F76882">
      <w:pPr>
        <w:pStyle w:val="TableofFigures"/>
      </w:pPr>
      <w:r w:rsidRPr="001B4458">
        <w:t>Ms Carleigh Cowling</w:t>
      </w:r>
      <w:r w:rsidR="00E95FD1" w:rsidRPr="001B4458">
        <w:t xml:space="preserve"> –</w:t>
      </w:r>
      <w:r w:rsidRPr="001B4458">
        <w:t xml:space="preserve"> </w:t>
      </w:r>
      <w:r w:rsidR="00AE31A5" w:rsidRPr="001B4458">
        <w:t>Global</w:t>
      </w:r>
      <w:r w:rsidRPr="001B4458">
        <w:t xml:space="preserve"> Health Program</w:t>
      </w:r>
      <w:r w:rsidR="00DD0260" w:rsidRPr="001B4458">
        <w:t>, The Kirby Institute UNSW Sydney</w:t>
      </w:r>
    </w:p>
    <w:p w14:paraId="3D06F489" w14:textId="6F7773C6" w:rsidR="00AE31A5" w:rsidRPr="001B4458" w:rsidRDefault="00AE31A5" w:rsidP="00F76882">
      <w:pPr>
        <w:pStyle w:val="TableofFigures"/>
      </w:pPr>
      <w:r w:rsidRPr="001B4458">
        <w:t xml:space="preserve">Ms </w:t>
      </w:r>
      <w:r w:rsidR="001C1C7A" w:rsidRPr="001B4458">
        <w:t>Alison Jaworski</w:t>
      </w:r>
      <w:r w:rsidR="00E95FD1" w:rsidRPr="001B4458">
        <w:t xml:space="preserve"> –</w:t>
      </w:r>
      <w:r w:rsidRPr="001B4458">
        <w:t xml:space="preserve"> Global Health Program</w:t>
      </w:r>
      <w:r w:rsidR="00DD0260" w:rsidRPr="001B4458">
        <w:t>, The Kirby Institute UNSW Sydney</w:t>
      </w:r>
    </w:p>
    <w:p w14:paraId="10273CF7" w14:textId="5C62DB33" w:rsidR="00144783" w:rsidRPr="001B4458" w:rsidRDefault="00144783" w:rsidP="00F76882">
      <w:pPr>
        <w:pStyle w:val="TableofFigures"/>
      </w:pPr>
      <w:r w:rsidRPr="001B4458">
        <w:t>Ms Pratiksha Bhatt</w:t>
      </w:r>
      <w:r w:rsidR="00E95FD1" w:rsidRPr="001B4458">
        <w:t xml:space="preserve"> –</w:t>
      </w:r>
      <w:r w:rsidRPr="001B4458">
        <w:t xml:space="preserve"> </w:t>
      </w:r>
      <w:r w:rsidR="00DD0260" w:rsidRPr="001B4458">
        <w:t>Global Health Program, The Kirby Institute UNSW Sydney</w:t>
      </w:r>
    </w:p>
    <w:p w14:paraId="0E5F06C0" w14:textId="2EAA52E0" w:rsidR="001862F5" w:rsidRPr="001B4458" w:rsidRDefault="004B34EB" w:rsidP="00F76882">
      <w:pPr>
        <w:pStyle w:val="TableofFigures"/>
      </w:pPr>
      <w:r w:rsidRPr="001B4458">
        <w:t xml:space="preserve">Dr </w:t>
      </w:r>
      <w:r w:rsidR="001862F5" w:rsidRPr="001B4458">
        <w:t>Gordana Popovic</w:t>
      </w:r>
      <w:r w:rsidR="00E95FD1" w:rsidRPr="001B4458">
        <w:t xml:space="preserve"> –</w:t>
      </w:r>
      <w:r w:rsidR="001862F5" w:rsidRPr="001B4458">
        <w:t xml:space="preserve"> </w:t>
      </w:r>
      <w:r w:rsidR="00E95FD1" w:rsidRPr="001B4458">
        <w:t>Stats Central, Mark Wainwright Analytical Centre, UNSW Sydney</w:t>
      </w:r>
    </w:p>
    <w:p w14:paraId="201995C8" w14:textId="2A89196F" w:rsidR="00046C9F" w:rsidRPr="001B4458" w:rsidRDefault="00144783" w:rsidP="00F76882">
      <w:pPr>
        <w:pStyle w:val="TableofFigures"/>
      </w:pPr>
      <w:r w:rsidRPr="001B4458">
        <w:t>Mr Sergio Sandler</w:t>
      </w:r>
      <w:r w:rsidR="00E95FD1" w:rsidRPr="001B4458">
        <w:t xml:space="preserve"> – </w:t>
      </w:r>
      <w:r w:rsidR="001E08D3" w:rsidRPr="001B4458">
        <w:t>The Kirby Institute UNSW Sydney</w:t>
      </w:r>
      <w:bookmarkStart w:id="29" w:name="_Toc485747771"/>
      <w:bookmarkStart w:id="30" w:name="_Toc490035343"/>
      <w:bookmarkStart w:id="31" w:name="_Toc497062619"/>
    </w:p>
    <w:p w14:paraId="1C5A11AF" w14:textId="2C1792B7" w:rsidR="00144783" w:rsidRPr="004609FA" w:rsidRDefault="00144783" w:rsidP="00F76882">
      <w:pPr>
        <w:pStyle w:val="Heading2"/>
      </w:pPr>
      <w:bookmarkStart w:id="32" w:name="_Toc215236927"/>
      <w:r w:rsidRPr="004609FA">
        <w:t>Jurisdictional contributors to trachoma data collection</w:t>
      </w:r>
      <w:bookmarkEnd w:id="29"/>
      <w:bookmarkEnd w:id="30"/>
      <w:bookmarkEnd w:id="31"/>
      <w:bookmarkEnd w:id="32"/>
    </w:p>
    <w:p w14:paraId="46652EE1" w14:textId="77777777" w:rsidR="00144783" w:rsidRPr="004609FA" w:rsidRDefault="00144783" w:rsidP="00F76882">
      <w:pPr>
        <w:pStyle w:val="Heading3"/>
      </w:pPr>
      <w:r w:rsidRPr="004609FA">
        <w:t>New South Wales</w:t>
      </w:r>
    </w:p>
    <w:p w14:paraId="32C45271" w14:textId="77777777" w:rsidR="00144783" w:rsidRPr="0036007C" w:rsidRDefault="00144783" w:rsidP="00F76882">
      <w:pPr>
        <w:pStyle w:val="TableofFigures"/>
      </w:pPr>
      <w:r w:rsidRPr="0036007C">
        <w:t>Population Health Unit, Western NSW Local Health District</w:t>
      </w:r>
    </w:p>
    <w:p w14:paraId="309B97B0" w14:textId="77777777" w:rsidR="00144783" w:rsidRPr="004609FA" w:rsidRDefault="00144783" w:rsidP="00F76882">
      <w:pPr>
        <w:pStyle w:val="Heading3"/>
      </w:pPr>
      <w:r w:rsidRPr="004609FA">
        <w:t>Northern Territory</w:t>
      </w:r>
    </w:p>
    <w:p w14:paraId="7923AEE4" w14:textId="77777777" w:rsidR="00144783" w:rsidRPr="0036007C" w:rsidRDefault="00144783" w:rsidP="00F76882">
      <w:pPr>
        <w:pStyle w:val="TableofFigures"/>
      </w:pPr>
      <w:r w:rsidRPr="0036007C">
        <w:t>Aboriginal Community Controlled Health Services</w:t>
      </w:r>
    </w:p>
    <w:p w14:paraId="68F94707" w14:textId="77777777" w:rsidR="00144783" w:rsidRPr="0036007C" w:rsidRDefault="00144783" w:rsidP="00F76882">
      <w:pPr>
        <w:pStyle w:val="TableofFigures"/>
      </w:pPr>
      <w:r w:rsidRPr="0036007C">
        <w:t>Aboriginal Medical Services Alliance Northern Territory</w:t>
      </w:r>
    </w:p>
    <w:p w14:paraId="3E26CE74" w14:textId="61BF2162" w:rsidR="00144783" w:rsidRPr="0036007C" w:rsidRDefault="00144783" w:rsidP="00F76882">
      <w:pPr>
        <w:pStyle w:val="TableofFigures"/>
      </w:pPr>
      <w:r w:rsidRPr="0036007C">
        <w:t xml:space="preserve">Public Health Unit, Central Australia Health </w:t>
      </w:r>
      <w:r w:rsidR="00321CEC" w:rsidRPr="0036007C">
        <w:t>Service,</w:t>
      </w:r>
      <w:r w:rsidRPr="0036007C">
        <w:t xml:space="preserve"> Northern Territory Department of Health</w:t>
      </w:r>
    </w:p>
    <w:p w14:paraId="71CB1C18" w14:textId="06916FD1" w:rsidR="00144783" w:rsidRPr="0036007C" w:rsidRDefault="00144783" w:rsidP="00F76882">
      <w:pPr>
        <w:pStyle w:val="TableofFigures"/>
      </w:pPr>
      <w:r w:rsidRPr="0036007C">
        <w:t xml:space="preserve">Primary Health Care (Outreach/Remote), Central Australia Health </w:t>
      </w:r>
      <w:r w:rsidR="00321CEC" w:rsidRPr="0036007C">
        <w:t>Service,</w:t>
      </w:r>
      <w:r w:rsidRPr="0036007C">
        <w:t xml:space="preserve"> Northern Territory Department of Health</w:t>
      </w:r>
    </w:p>
    <w:p w14:paraId="1801AA66" w14:textId="77777777" w:rsidR="00144783" w:rsidRPr="004609FA" w:rsidRDefault="00144783" w:rsidP="00F76882">
      <w:pPr>
        <w:pStyle w:val="Heading3"/>
      </w:pPr>
      <w:r w:rsidRPr="004609FA">
        <w:t>South Australia</w:t>
      </w:r>
    </w:p>
    <w:p w14:paraId="12F2D144" w14:textId="77777777" w:rsidR="00144783" w:rsidRPr="0036007C" w:rsidRDefault="00144783" w:rsidP="00F76882">
      <w:pPr>
        <w:pStyle w:val="TableofFigures"/>
      </w:pPr>
      <w:r w:rsidRPr="0036007C">
        <w:t>Aboriginal Community Controlled Health Services</w:t>
      </w:r>
    </w:p>
    <w:p w14:paraId="0852D8C0" w14:textId="77777777" w:rsidR="00144783" w:rsidRPr="0036007C" w:rsidRDefault="00144783" w:rsidP="00F76882">
      <w:pPr>
        <w:pStyle w:val="TableofFigures"/>
      </w:pPr>
      <w:r w:rsidRPr="0036007C">
        <w:t>Aboriginal Health Council of South Australia</w:t>
      </w:r>
    </w:p>
    <w:p w14:paraId="6D51F652" w14:textId="3A52F6C6" w:rsidR="00144783" w:rsidRPr="0036007C" w:rsidRDefault="00144783" w:rsidP="00F76882">
      <w:pPr>
        <w:pStyle w:val="TableofFigures"/>
      </w:pPr>
      <w:r w:rsidRPr="0036007C">
        <w:t>Eyre and Far North Local Health Network</w:t>
      </w:r>
      <w:r w:rsidR="00DA137D" w:rsidRPr="0036007C">
        <w:t>,</w:t>
      </w:r>
      <w:r w:rsidRPr="0036007C">
        <w:t xml:space="preserve"> SA Health</w:t>
      </w:r>
    </w:p>
    <w:p w14:paraId="7C6386F2" w14:textId="77777777" w:rsidR="00144783" w:rsidRPr="004609FA" w:rsidRDefault="00144783" w:rsidP="00F76882">
      <w:pPr>
        <w:pStyle w:val="Heading3"/>
      </w:pPr>
      <w:r w:rsidRPr="004609FA">
        <w:t>Queensland</w:t>
      </w:r>
    </w:p>
    <w:p w14:paraId="113CE622" w14:textId="1A42E5FB" w:rsidR="00144783" w:rsidRPr="0036007C" w:rsidRDefault="00794E12" w:rsidP="00F76882">
      <w:pPr>
        <w:pStyle w:val="TableofFigures"/>
      </w:pPr>
      <w:r w:rsidRPr="0036007C">
        <w:t xml:space="preserve">Ms Wendy Morotti – </w:t>
      </w:r>
      <w:r w:rsidR="00144783" w:rsidRPr="0036007C">
        <w:t>Communicable Diseases Branch, Queensland Health</w:t>
      </w:r>
    </w:p>
    <w:p w14:paraId="68554F56" w14:textId="77777777" w:rsidR="00144783" w:rsidRPr="004609FA" w:rsidRDefault="00144783" w:rsidP="00F76882">
      <w:pPr>
        <w:pStyle w:val="Heading3"/>
      </w:pPr>
      <w:r w:rsidRPr="004609FA">
        <w:t>Western Australia</w:t>
      </w:r>
    </w:p>
    <w:p w14:paraId="534286C7" w14:textId="45C94382" w:rsidR="00794E12" w:rsidRPr="003D3BBA" w:rsidRDefault="00794E12" w:rsidP="00F76882">
      <w:pPr>
        <w:pStyle w:val="TableofFigures"/>
      </w:pPr>
      <w:r w:rsidRPr="003D3BBA">
        <w:t>Ms Robyn Gibson</w:t>
      </w:r>
      <w:r w:rsidRPr="001B4458">
        <w:t xml:space="preserve"> – </w:t>
      </w:r>
      <w:r w:rsidR="000351B0" w:rsidRPr="0036007C">
        <w:t>Population Health, Western Australia Country Health Service</w:t>
      </w:r>
      <w:r w:rsidR="00910682" w:rsidRPr="00FB7E54">
        <w:t xml:space="preserve"> (WACHS)</w:t>
      </w:r>
    </w:p>
    <w:p w14:paraId="17F8FF49" w14:textId="46510FB7" w:rsidR="00651C94" w:rsidRPr="003D3BBA" w:rsidRDefault="00651C94" w:rsidP="00F76882">
      <w:pPr>
        <w:pStyle w:val="TableofFigures"/>
      </w:pPr>
      <w:r w:rsidRPr="003D3BBA">
        <w:t>W</w:t>
      </w:r>
      <w:r w:rsidR="00910682" w:rsidRPr="003D3BBA">
        <w:t xml:space="preserve">estern </w:t>
      </w:r>
      <w:r w:rsidRPr="003D3BBA">
        <w:t>A</w:t>
      </w:r>
      <w:r w:rsidR="00910682" w:rsidRPr="003D3BBA">
        <w:t>ustralia</w:t>
      </w:r>
      <w:r w:rsidRPr="003D3BBA">
        <w:t xml:space="preserve"> Trachoma Reference Group</w:t>
      </w:r>
    </w:p>
    <w:p w14:paraId="466663B1" w14:textId="77777777" w:rsidR="00651C94" w:rsidRPr="003D3BBA" w:rsidRDefault="00651C94" w:rsidP="00F76882">
      <w:pPr>
        <w:pStyle w:val="TableofFigures"/>
      </w:pPr>
      <w:r w:rsidRPr="003D3BBA">
        <w:t>Aboriginal Community Controlled Health Services</w:t>
      </w:r>
    </w:p>
    <w:p w14:paraId="0D25FA37" w14:textId="53459E31" w:rsidR="00651C94" w:rsidRPr="003D3BBA" w:rsidRDefault="00651C94" w:rsidP="00F76882">
      <w:pPr>
        <w:pStyle w:val="TableofFigures"/>
      </w:pPr>
      <w:r w:rsidRPr="003D3BBA">
        <w:t>Environmental Health Directorate, Department of Health</w:t>
      </w:r>
      <w:r w:rsidR="00DA137D" w:rsidRPr="003D3BBA">
        <w:t xml:space="preserve"> W</w:t>
      </w:r>
      <w:r w:rsidR="00910682" w:rsidRPr="003D3BBA">
        <w:t xml:space="preserve">estern </w:t>
      </w:r>
      <w:r w:rsidR="00DA137D" w:rsidRPr="003D3BBA">
        <w:t>A</w:t>
      </w:r>
      <w:r w:rsidR="00910682" w:rsidRPr="003D3BBA">
        <w:t>ustralia</w:t>
      </w:r>
    </w:p>
    <w:p w14:paraId="04FCD43E" w14:textId="42EE1726" w:rsidR="00651C94" w:rsidRPr="003D3BBA" w:rsidRDefault="00651C94" w:rsidP="00F76882">
      <w:pPr>
        <w:pStyle w:val="TableofFigures"/>
      </w:pPr>
      <w:r w:rsidRPr="003D3BBA">
        <w:t xml:space="preserve">Goldfields Population Health Unit, </w:t>
      </w:r>
      <w:r w:rsidR="00910682" w:rsidRPr="003D3BBA">
        <w:t>WACHS</w:t>
      </w:r>
    </w:p>
    <w:p w14:paraId="72671434" w14:textId="14D5D859" w:rsidR="00651C94" w:rsidRPr="003D3BBA" w:rsidRDefault="00651C94" w:rsidP="00F76882">
      <w:pPr>
        <w:pStyle w:val="TableofFigures"/>
      </w:pPr>
      <w:r w:rsidRPr="003D3BBA">
        <w:t xml:space="preserve">Kimberley Population Health Unit, </w:t>
      </w:r>
      <w:r w:rsidR="00910682" w:rsidRPr="003D3BBA">
        <w:t>WACHS</w:t>
      </w:r>
    </w:p>
    <w:p w14:paraId="777F0C3E" w14:textId="1030E51F" w:rsidR="00651C94" w:rsidRPr="003D3BBA" w:rsidRDefault="00651C94" w:rsidP="00F76882">
      <w:pPr>
        <w:pStyle w:val="TableofFigures"/>
      </w:pPr>
      <w:r w:rsidRPr="003D3BBA">
        <w:t xml:space="preserve">Midwest Population Health Unit, </w:t>
      </w:r>
      <w:r w:rsidR="00910682" w:rsidRPr="003D3BBA">
        <w:t>WACHS</w:t>
      </w:r>
    </w:p>
    <w:p w14:paraId="5CA160B4" w14:textId="58DDF5FF" w:rsidR="007063EB" w:rsidRPr="003D3BBA" w:rsidRDefault="00651C94" w:rsidP="00F76882">
      <w:pPr>
        <w:pStyle w:val="TableofFigures"/>
      </w:pPr>
      <w:r w:rsidRPr="003D3BBA">
        <w:t xml:space="preserve">Pilbara Population Health Unit, </w:t>
      </w:r>
      <w:r w:rsidR="00910682" w:rsidRPr="003D3BBA">
        <w:t>WACHS</w:t>
      </w:r>
    </w:p>
    <w:p w14:paraId="647512A0" w14:textId="5B9E2294" w:rsidR="00173AC3" w:rsidRPr="003D3BBA" w:rsidRDefault="007063EB" w:rsidP="00F76882">
      <w:pPr>
        <w:pStyle w:val="Heading3"/>
      </w:pPr>
      <w:r w:rsidRPr="003D3BBA">
        <w:t>Reviewers</w:t>
      </w:r>
    </w:p>
    <w:p w14:paraId="70B13023" w14:textId="5DA726B3" w:rsidR="00AA308B" w:rsidRPr="0036007C" w:rsidRDefault="00AA308B" w:rsidP="00F76882">
      <w:pPr>
        <w:pStyle w:val="TableofFigures"/>
      </w:pPr>
      <w:r w:rsidRPr="0036007C">
        <w:t>Ms Elizabeth Duggan</w:t>
      </w:r>
      <w:r w:rsidRPr="001B4458">
        <w:t xml:space="preserve"> </w:t>
      </w:r>
      <w:r w:rsidRPr="003D3BBA">
        <w:t>─</w:t>
      </w:r>
      <w:r w:rsidRPr="0036007C">
        <w:t xml:space="preserve"> Preventative Health and Communicable Disease Section, First Nations Health Division, Australian Government </w:t>
      </w:r>
      <w:r w:rsidR="003731ED" w:rsidRPr="003D3BBA">
        <w:t>Department of Health, Disability and Ageing</w:t>
      </w:r>
    </w:p>
    <w:p w14:paraId="2E998BAB" w14:textId="0CA0F605" w:rsidR="007063EB" w:rsidRPr="00495326" w:rsidRDefault="007063EB" w:rsidP="00F76882">
      <w:pPr>
        <w:pStyle w:val="TableofFigures"/>
      </w:pPr>
      <w:r w:rsidRPr="0036007C">
        <w:t>Ms Emma Stanford – Indigenous Eye Health Unit, The University of Melbourne</w:t>
      </w:r>
      <w:r w:rsidR="00C40922" w:rsidRPr="0036007C">
        <w:t xml:space="preserve"> </w:t>
      </w:r>
    </w:p>
    <w:p w14:paraId="236C56EE" w14:textId="77777777" w:rsidR="006A2CF3" w:rsidRPr="004609FA" w:rsidRDefault="00AD3B98" w:rsidP="00F76882">
      <w:pPr>
        <w:pStyle w:val="Heading1"/>
      </w:pPr>
      <w:r w:rsidRPr="004609FA">
        <w:br w:type="page"/>
      </w:r>
      <w:bookmarkStart w:id="33" w:name="_Toc490035344"/>
      <w:bookmarkStart w:id="34" w:name="_Toc520298284"/>
      <w:bookmarkStart w:id="35" w:name="_Toc520298363"/>
      <w:bookmarkStart w:id="36" w:name="_Toc160544978"/>
      <w:bookmarkStart w:id="37" w:name="_Toc203986532"/>
      <w:bookmarkStart w:id="38" w:name="_Toc392153869"/>
      <w:bookmarkStart w:id="39" w:name="_Toc490035345"/>
      <w:bookmarkStart w:id="40" w:name="_Toc520298285"/>
      <w:bookmarkStart w:id="41" w:name="_Toc520298364"/>
      <w:bookmarkStart w:id="42" w:name="_Toc215236928"/>
      <w:r w:rsidR="006A2CF3" w:rsidRPr="004609FA">
        <w:t>Technical terms and definitions</w:t>
      </w:r>
      <w:bookmarkEnd w:id="33"/>
      <w:bookmarkEnd w:id="34"/>
      <w:bookmarkEnd w:id="35"/>
      <w:bookmarkEnd w:id="36"/>
      <w:bookmarkEnd w:id="37"/>
      <w:bookmarkEnd w:id="42"/>
    </w:p>
    <w:p w14:paraId="6F436A0E" w14:textId="5212A5CA" w:rsidR="00266845" w:rsidRPr="004609FA" w:rsidRDefault="00266845" w:rsidP="00F76882">
      <w:pPr>
        <w:pStyle w:val="Heading2"/>
      </w:pPr>
      <w:bookmarkStart w:id="43" w:name="_Toc215236929"/>
      <w:r w:rsidRPr="004609FA">
        <w:t>Active trachoma</w:t>
      </w:r>
      <w:bookmarkEnd w:id="43"/>
    </w:p>
    <w:p w14:paraId="7D4A1AEC" w14:textId="20C40E7A" w:rsidR="00266845" w:rsidRPr="003D3BBA" w:rsidRDefault="006D6C6D" w:rsidP="00F76882">
      <w:r w:rsidRPr="003D3BBA">
        <w:t>Defined according to WHO simplified grading criteria as t</w:t>
      </w:r>
      <w:r w:rsidR="0015117C" w:rsidRPr="003D3BBA">
        <w:t>rachomatous inflammation – follicular</w:t>
      </w:r>
      <w:r w:rsidRPr="003D3BBA">
        <w:t xml:space="preserve"> </w:t>
      </w:r>
      <w:r w:rsidR="0015117C" w:rsidRPr="003D3BBA">
        <w:t>and/or trachomatous inflammation – intens</w:t>
      </w:r>
      <w:r w:rsidRPr="003D3BBA">
        <w:t>e</w:t>
      </w:r>
      <w:r w:rsidR="0015117C" w:rsidRPr="003D3BBA">
        <w:t>.</w:t>
      </w:r>
    </w:p>
    <w:p w14:paraId="22BA3E48" w14:textId="48DD5CF1" w:rsidR="006A2CF3" w:rsidRPr="004609FA" w:rsidRDefault="006A2CF3" w:rsidP="00F76882">
      <w:pPr>
        <w:pStyle w:val="Heading2"/>
      </w:pPr>
      <w:bookmarkStart w:id="44" w:name="_Toc215236930"/>
      <w:r w:rsidRPr="004609FA">
        <w:t>At-risk communities</w:t>
      </w:r>
      <w:bookmarkEnd w:id="44"/>
    </w:p>
    <w:p w14:paraId="0B2802F2" w14:textId="5F2CE79D" w:rsidR="00813FA0" w:rsidRPr="003D3BBA" w:rsidRDefault="007E06A9" w:rsidP="00F76882">
      <w:r w:rsidRPr="003D3BBA">
        <w:t xml:space="preserve">A community is classified as ‘at risk’ of trachoma by state/territory health departments if </w:t>
      </w:r>
      <w:r w:rsidR="00BA73C1" w:rsidRPr="003D3BBA">
        <w:t xml:space="preserve">at least once </w:t>
      </w:r>
      <w:r w:rsidRPr="003D3BBA">
        <w:t xml:space="preserve">within the past five years, prevalence of </w:t>
      </w:r>
      <w:r w:rsidR="006936BC" w:rsidRPr="003D3BBA">
        <w:t>t</w:t>
      </w:r>
      <w:r w:rsidRPr="003D3BBA">
        <w:t xml:space="preserve">rachomatous inflammation – follicular and/or </w:t>
      </w:r>
      <w:r w:rsidR="006936BC" w:rsidRPr="003D3BBA">
        <w:t>t</w:t>
      </w:r>
      <w:r w:rsidRPr="003D3BBA">
        <w:t>rachomatous inflammation – intense is 5% or more in children aged 5</w:t>
      </w:r>
      <w:r w:rsidR="003D00CE" w:rsidRPr="003D3BBA">
        <w:t>–</w:t>
      </w:r>
      <w:r w:rsidRPr="003D3BBA">
        <w:t>9 years screened.</w:t>
      </w:r>
    </w:p>
    <w:p w14:paraId="7AB58079" w14:textId="0396DE5B" w:rsidR="006A2CF3" w:rsidRPr="004609FA" w:rsidRDefault="006A2CF3" w:rsidP="00F76882">
      <w:pPr>
        <w:pStyle w:val="Heading2"/>
      </w:pPr>
      <w:bookmarkStart w:id="45" w:name="_Toc215236931"/>
      <w:r w:rsidRPr="004609FA">
        <w:t>Clean face</w:t>
      </w:r>
      <w:bookmarkEnd w:id="45"/>
    </w:p>
    <w:p w14:paraId="200EA6BB" w14:textId="77777777" w:rsidR="006A2CF3" w:rsidRPr="003D3BBA" w:rsidRDefault="006A2CF3" w:rsidP="00F76882">
      <w:r w:rsidRPr="003D3BBA">
        <w:t>Absence of nasal and ocular discharge on the face.</w:t>
      </w:r>
    </w:p>
    <w:p w14:paraId="6D1F28AD" w14:textId="77777777" w:rsidR="006A2CF3" w:rsidRPr="004609FA" w:rsidRDefault="006A2CF3" w:rsidP="00F76882">
      <w:pPr>
        <w:pStyle w:val="Heading2"/>
      </w:pPr>
      <w:bookmarkStart w:id="46" w:name="_Toc215236932"/>
      <w:r w:rsidRPr="004609FA">
        <w:t>Community-wide treatment</w:t>
      </w:r>
      <w:bookmarkEnd w:id="46"/>
    </w:p>
    <w:p w14:paraId="5F685F65" w14:textId="29166413" w:rsidR="006A2CF3" w:rsidRPr="003D3BBA" w:rsidRDefault="006A2CF3" w:rsidP="00F76882">
      <w:r w:rsidRPr="003D3BBA">
        <w:t>The antibiotic treatment of all people in the community who weigh more than 3 kg living in houses with children under 15 years of age</w:t>
      </w:r>
      <w:r w:rsidR="005C5F0D" w:rsidRPr="003D3BBA">
        <w:t>.</w:t>
      </w:r>
    </w:p>
    <w:p w14:paraId="42208AEB" w14:textId="77777777" w:rsidR="006A2CF3" w:rsidRPr="004609FA" w:rsidRDefault="006A2CF3" w:rsidP="00F76882">
      <w:pPr>
        <w:pStyle w:val="Heading2"/>
      </w:pPr>
      <w:bookmarkStart w:id="47" w:name="_Toc215236933"/>
      <w:r w:rsidRPr="004609FA">
        <w:t>Contacts</w:t>
      </w:r>
      <w:bookmarkEnd w:id="47"/>
    </w:p>
    <w:p w14:paraId="757E426B" w14:textId="77777777" w:rsidR="006A2CF3" w:rsidRPr="003D3BBA" w:rsidRDefault="006A2CF3" w:rsidP="00F76882">
      <w:r w:rsidRPr="003D3BBA">
        <w:t>Anyone who is living and sleeping in the same house as a child with trachoma. If the child lives or sleeps in multiple households, then all members of each household are regarded as contacts.</w:t>
      </w:r>
    </w:p>
    <w:p w14:paraId="0387B1BA" w14:textId="132E1346" w:rsidR="00816F66" w:rsidRPr="004609FA" w:rsidRDefault="00816F66" w:rsidP="00F76882">
      <w:pPr>
        <w:pStyle w:val="Heading2"/>
      </w:pPr>
      <w:bookmarkStart w:id="48" w:name="_Toc215236934"/>
      <w:r w:rsidRPr="004609FA">
        <w:t>Elimination of trachoma as a public health problem</w:t>
      </w:r>
      <w:bookmarkEnd w:id="48"/>
    </w:p>
    <w:p w14:paraId="76D99826" w14:textId="5F96B823" w:rsidR="006A2CF3" w:rsidRPr="004609FA" w:rsidRDefault="00DC0F44" w:rsidP="00F76882">
      <w:pPr>
        <w:pStyle w:val="Tabletextleft"/>
      </w:pPr>
      <w:r w:rsidRPr="004609FA">
        <w:t xml:space="preserve">Defined according to the World Health Organization (WHO) as: </w:t>
      </w:r>
      <w:r w:rsidR="0016408A" w:rsidRPr="004609FA">
        <w:t>a</w:t>
      </w:r>
      <w:r w:rsidR="0037611A" w:rsidRPr="004609FA">
        <w:t xml:space="preserve"> prevalence of trachomatous trichiasis “unknown to the health system” of &lt;0.2% in ≥15-year-olds in each formerly endemic district, and a prevalence of trachomatous inflammation—follicular in children aged </w:t>
      </w:r>
      <w:r w:rsidR="00FB5AB2" w:rsidRPr="004609FA">
        <w:t>1</w:t>
      </w:r>
      <w:r w:rsidR="003D00CE" w:rsidRPr="004609FA">
        <w:t>–</w:t>
      </w:r>
      <w:r w:rsidR="00FB5AB2" w:rsidRPr="004609FA">
        <w:t>9</w:t>
      </w:r>
      <w:r w:rsidR="0037611A" w:rsidRPr="004609FA">
        <w:t xml:space="preserve"> years of &lt;5%</w:t>
      </w:r>
      <w:r w:rsidR="00B11B9E" w:rsidRPr="004609FA">
        <w:t xml:space="preserve"> maintained for at least two years</w:t>
      </w:r>
      <w:r w:rsidR="00E43AF7" w:rsidRPr="004609FA">
        <w:t xml:space="preserve"> </w:t>
      </w:r>
      <w:r w:rsidR="00BB6310" w:rsidRPr="004609FA">
        <w:t>in the absence of</w:t>
      </w:r>
      <w:r w:rsidR="00E43AF7" w:rsidRPr="004609FA">
        <w:t xml:space="preserve"> mass drug administration</w:t>
      </w:r>
      <w:r w:rsidR="00282151" w:rsidRPr="004609FA">
        <w:t xml:space="preserve"> for disease control</w:t>
      </w:r>
      <w:r w:rsidR="0037611A" w:rsidRPr="004609FA">
        <w:t xml:space="preserve"> in each formerly endemic district</w:t>
      </w:r>
      <w:r w:rsidR="00C916C5" w:rsidRPr="004609FA">
        <w:t>.</w:t>
      </w:r>
      <w:r w:rsidR="00E3069A" w:rsidRPr="004609FA">
        <w:footnoteReference w:id="2"/>
      </w:r>
    </w:p>
    <w:p w14:paraId="14AEE4B1" w14:textId="77777777" w:rsidR="006A2CF3" w:rsidRPr="004609FA" w:rsidRDefault="006A2CF3" w:rsidP="00F76882">
      <w:pPr>
        <w:pStyle w:val="Heading2"/>
      </w:pPr>
      <w:bookmarkStart w:id="49" w:name="_Toc215236935"/>
      <w:r w:rsidRPr="004609FA">
        <w:t>Hyperendemic trachoma</w:t>
      </w:r>
      <w:bookmarkEnd w:id="49"/>
    </w:p>
    <w:p w14:paraId="14880995" w14:textId="1B953304" w:rsidR="006A2CF3" w:rsidRPr="004609FA" w:rsidRDefault="006A2CF3" w:rsidP="00F76882">
      <w:pPr>
        <w:pStyle w:val="Tabletextleft"/>
      </w:pPr>
      <w:r w:rsidRPr="004609FA">
        <w:t xml:space="preserve">Prevalence </w:t>
      </w:r>
      <w:r w:rsidR="006F2DBF" w:rsidRPr="004609FA">
        <w:t xml:space="preserve">of </w:t>
      </w:r>
      <w:r w:rsidR="000772C0" w:rsidRPr="004609FA">
        <w:t xml:space="preserve">observed </w:t>
      </w:r>
      <w:r w:rsidR="006F2DBF" w:rsidRPr="004609FA">
        <w:t>trachoma</w:t>
      </w:r>
      <w:r w:rsidRPr="004609FA">
        <w:t xml:space="preserve"> of 20% or more in children aged </w:t>
      </w:r>
      <w:r w:rsidR="00FE1545" w:rsidRPr="004609FA">
        <w:t>5</w:t>
      </w:r>
      <w:r w:rsidR="003D00CE" w:rsidRPr="004609FA">
        <w:t>–</w:t>
      </w:r>
      <w:r w:rsidRPr="004609FA">
        <w:t xml:space="preserve">9 </w:t>
      </w:r>
      <w:r w:rsidR="00D710CB" w:rsidRPr="004609FA">
        <w:t>years.</w:t>
      </w:r>
    </w:p>
    <w:p w14:paraId="3C327A78" w14:textId="77777777" w:rsidR="005E4276" w:rsidRPr="004609FA" w:rsidRDefault="005E4276" w:rsidP="00F76882">
      <w:pPr>
        <w:pStyle w:val="Heading2"/>
      </w:pPr>
      <w:bookmarkStart w:id="50" w:name="_Toc215236936"/>
      <w:r w:rsidRPr="004609FA">
        <w:t>Mass drug administration (MDA)</w:t>
      </w:r>
      <w:bookmarkEnd w:id="50"/>
      <w:r w:rsidRPr="004609FA">
        <w:t xml:space="preserve"> </w:t>
      </w:r>
    </w:p>
    <w:p w14:paraId="04E39F60" w14:textId="7F52B877" w:rsidR="005E4276" w:rsidRPr="003D3BBA" w:rsidRDefault="005E4276" w:rsidP="00F76882">
      <w:r w:rsidRPr="003D3BBA">
        <w:t xml:space="preserve">Distribution of medicines to the entire population of </w:t>
      </w:r>
      <w:r w:rsidR="008028A4" w:rsidRPr="003D3BBA">
        <w:t xml:space="preserve">an administrative area </w:t>
      </w:r>
      <w:r w:rsidRPr="003D3BBA">
        <w:t>(for instance, state</w:t>
      </w:r>
      <w:r w:rsidR="008028A4" w:rsidRPr="003D3BBA">
        <w:t xml:space="preserve"> or</w:t>
      </w:r>
      <w:r w:rsidRPr="003D3BBA">
        <w:t xml:space="preserve"> region), irrespective of the</w:t>
      </w:r>
      <w:r w:rsidR="00E10120" w:rsidRPr="003D3BBA">
        <w:t xml:space="preserve"> </w:t>
      </w:r>
      <w:r w:rsidR="00E75ADA" w:rsidRPr="003D3BBA">
        <w:t xml:space="preserve">diagnosis or </w:t>
      </w:r>
      <w:r w:rsidRPr="003D3BBA">
        <w:t xml:space="preserve">presence of symptoms </w:t>
      </w:r>
      <w:r w:rsidR="00E75ADA" w:rsidRPr="003D3BBA">
        <w:t>of a disease</w:t>
      </w:r>
      <w:r w:rsidRPr="003D3BBA">
        <w:t>.</w:t>
      </w:r>
    </w:p>
    <w:p w14:paraId="41E46435" w14:textId="788F79F8" w:rsidR="006A2CF3" w:rsidRPr="004609FA" w:rsidRDefault="00D30627" w:rsidP="00F76882">
      <w:pPr>
        <w:pStyle w:val="Heading2"/>
      </w:pPr>
      <w:bookmarkStart w:id="51" w:name="_Toc215236937"/>
      <w:r w:rsidRPr="004609FA">
        <w:t xml:space="preserve">Prevalence </w:t>
      </w:r>
      <w:r w:rsidR="006F2DBF" w:rsidRPr="004609FA">
        <w:t>of trachoma</w:t>
      </w:r>
      <w:bookmarkEnd w:id="51"/>
    </w:p>
    <w:p w14:paraId="300D8732" w14:textId="552CD3F8" w:rsidR="00A946FB" w:rsidRPr="003D3BBA" w:rsidRDefault="00A946FB" w:rsidP="00F76882">
      <w:r w:rsidRPr="003D3BBA">
        <w:t>Defined as:</w:t>
      </w:r>
    </w:p>
    <w:p w14:paraId="27ADE326" w14:textId="0D7FDD9B" w:rsidR="0026076C" w:rsidRPr="004609FA" w:rsidRDefault="00A946FB" w:rsidP="00F76882">
      <w:pPr>
        <w:pStyle w:val="Tabletextleft"/>
      </w:pPr>
      <w:r w:rsidRPr="004609FA">
        <w:t xml:space="preserve">Observed prevalence: </w:t>
      </w:r>
      <w:r w:rsidR="0026076C" w:rsidRPr="004609FA">
        <w:t xml:space="preserve">The </w:t>
      </w:r>
      <w:r w:rsidR="00951C8A" w:rsidRPr="004609FA">
        <w:t>proportion</w:t>
      </w:r>
      <w:r w:rsidR="000E429A" w:rsidRPr="004609FA">
        <w:t xml:space="preserve"> of cases of </w:t>
      </w:r>
      <w:r w:rsidR="006936BC" w:rsidRPr="004609FA">
        <w:t>tr</w:t>
      </w:r>
      <w:r w:rsidR="008478BA" w:rsidRPr="004609FA">
        <w:t>achomatous inflammation – follicular and</w:t>
      </w:r>
      <w:r w:rsidR="007E06A9" w:rsidRPr="004609FA">
        <w:t>/or</w:t>
      </w:r>
      <w:r w:rsidR="008478BA" w:rsidRPr="004609FA">
        <w:t xml:space="preserve"> </w:t>
      </w:r>
      <w:r w:rsidR="006936BC" w:rsidRPr="004609FA">
        <w:t>t</w:t>
      </w:r>
      <w:r w:rsidR="008478BA" w:rsidRPr="004609FA">
        <w:t xml:space="preserve">rachomatous </w:t>
      </w:r>
      <w:r w:rsidR="009144A4" w:rsidRPr="004609FA">
        <w:t>inflammation ─</w:t>
      </w:r>
      <w:r w:rsidR="008C1183" w:rsidRPr="004609FA">
        <w:t xml:space="preserve"> </w:t>
      </w:r>
      <w:r w:rsidR="008478BA" w:rsidRPr="004609FA">
        <w:t>intense</w:t>
      </w:r>
      <w:r w:rsidR="000E429A" w:rsidRPr="004609FA">
        <w:t xml:space="preserve"> identified in children aged 5</w:t>
      </w:r>
      <w:r w:rsidR="003D00CE" w:rsidRPr="004609FA">
        <w:t>–</w:t>
      </w:r>
      <w:r w:rsidR="000E429A" w:rsidRPr="004609FA">
        <w:t>9 years in communities</w:t>
      </w:r>
      <w:r w:rsidR="00E2052B" w:rsidRPr="004609FA">
        <w:t xml:space="preserve"> currently classified as </w:t>
      </w:r>
      <w:r w:rsidR="00A603DB" w:rsidRPr="004609FA">
        <w:t>at risk</w:t>
      </w:r>
      <w:r w:rsidR="00E2052B" w:rsidRPr="004609FA">
        <w:t xml:space="preserve"> and</w:t>
      </w:r>
      <w:r w:rsidR="000E429A" w:rsidRPr="004609FA">
        <w:t xml:space="preserve"> screened during the </w:t>
      </w:r>
      <w:r w:rsidR="00162C22" w:rsidRPr="004609FA">
        <w:t xml:space="preserve">current </w:t>
      </w:r>
      <w:r w:rsidR="000E429A" w:rsidRPr="004609FA">
        <w:t>calendar year.</w:t>
      </w:r>
    </w:p>
    <w:p w14:paraId="3D3F33C0" w14:textId="31FE8BA5" w:rsidR="00B04A00" w:rsidRPr="004609FA" w:rsidRDefault="00B04A00" w:rsidP="00F76882">
      <w:pPr>
        <w:pStyle w:val="Tabletextleft"/>
      </w:pPr>
      <w:r w:rsidRPr="004609FA">
        <w:t xml:space="preserve">Estimated prevalence: The </w:t>
      </w:r>
      <w:r w:rsidR="00A16D37" w:rsidRPr="004609FA">
        <w:t>proportion</w:t>
      </w:r>
      <w:r w:rsidRPr="004609FA">
        <w:t xml:space="preserve"> of cases of </w:t>
      </w:r>
      <w:r w:rsidR="006936BC" w:rsidRPr="004609FA">
        <w:t>t</w:t>
      </w:r>
      <w:r w:rsidR="00DA6182" w:rsidRPr="004609FA">
        <w:t xml:space="preserve">rachomatous inflammation – follicular and </w:t>
      </w:r>
      <w:r w:rsidR="006936BC" w:rsidRPr="004609FA">
        <w:t>t</w:t>
      </w:r>
      <w:r w:rsidR="00DA6182" w:rsidRPr="004609FA">
        <w:t xml:space="preserve">rachomatous </w:t>
      </w:r>
      <w:r w:rsidR="009144A4" w:rsidRPr="004609FA">
        <w:t>inflammation ─</w:t>
      </w:r>
      <w:r w:rsidR="008C1183" w:rsidRPr="004609FA">
        <w:t xml:space="preserve"> </w:t>
      </w:r>
      <w:r w:rsidR="00DA6182" w:rsidRPr="004609FA">
        <w:t>intense</w:t>
      </w:r>
      <w:r w:rsidRPr="004609FA">
        <w:t xml:space="preserve"> identified in children aged 5</w:t>
      </w:r>
      <w:r w:rsidR="003D00CE" w:rsidRPr="004609FA">
        <w:t>–</w:t>
      </w:r>
      <w:r w:rsidRPr="004609FA">
        <w:t xml:space="preserve">9 in </w:t>
      </w:r>
      <w:r w:rsidR="00162C22" w:rsidRPr="004609FA">
        <w:t xml:space="preserve">all </w:t>
      </w:r>
      <w:r w:rsidRPr="004609FA">
        <w:t xml:space="preserve">communities currently classified as </w:t>
      </w:r>
      <w:r w:rsidR="00A603DB" w:rsidRPr="004609FA">
        <w:t>at risk</w:t>
      </w:r>
      <w:r w:rsidR="00162C22" w:rsidRPr="004609FA">
        <w:t xml:space="preserve">, according to the </w:t>
      </w:r>
      <w:r w:rsidR="0081605B" w:rsidRPr="004609FA">
        <w:t xml:space="preserve">most recent </w:t>
      </w:r>
      <w:r w:rsidR="00162C22" w:rsidRPr="004609FA">
        <w:t xml:space="preserve">screening </w:t>
      </w:r>
      <w:r w:rsidR="0081605B" w:rsidRPr="004609FA">
        <w:t>conducted</w:t>
      </w:r>
      <w:r w:rsidR="00162C22" w:rsidRPr="004609FA">
        <w:t>.</w:t>
      </w:r>
    </w:p>
    <w:p w14:paraId="1770FC13" w14:textId="1360F683" w:rsidR="00E2052B" w:rsidRPr="004609FA" w:rsidRDefault="003A1C7B" w:rsidP="00F76882">
      <w:pPr>
        <w:pStyle w:val="Tabletextleft"/>
      </w:pPr>
      <w:r w:rsidRPr="004609FA">
        <w:t>Overall prevalence</w:t>
      </w:r>
      <w:r w:rsidR="00A946FB" w:rsidRPr="004609FA">
        <w:t xml:space="preserve">: </w:t>
      </w:r>
      <w:r w:rsidR="00E2052B" w:rsidRPr="004609FA">
        <w:t xml:space="preserve">The </w:t>
      </w:r>
      <w:r w:rsidR="00A16D37" w:rsidRPr="004609FA">
        <w:t>proportion</w:t>
      </w:r>
      <w:r w:rsidR="00E2052B" w:rsidRPr="004609FA">
        <w:t xml:space="preserve"> of cases of </w:t>
      </w:r>
      <w:r w:rsidR="006D39C2" w:rsidRPr="004609FA">
        <w:t xml:space="preserve">trachoma </w:t>
      </w:r>
      <w:r w:rsidR="00E2052B" w:rsidRPr="004609FA">
        <w:t>identified in children aged 5</w:t>
      </w:r>
      <w:r w:rsidR="003D00CE" w:rsidRPr="004609FA">
        <w:t>–</w:t>
      </w:r>
      <w:r w:rsidR="00E2052B" w:rsidRPr="004609FA">
        <w:t xml:space="preserve">9 years in </w:t>
      </w:r>
      <w:r w:rsidR="00ED077E" w:rsidRPr="004609FA">
        <w:t xml:space="preserve">all </w:t>
      </w:r>
      <w:r w:rsidR="00E2052B" w:rsidRPr="004609FA">
        <w:t>communities</w:t>
      </w:r>
      <w:r w:rsidR="0061029F" w:rsidRPr="004609FA">
        <w:t xml:space="preserve"> ever </w:t>
      </w:r>
      <w:r w:rsidR="00E2052B" w:rsidRPr="004609FA">
        <w:t xml:space="preserve">classified as </w:t>
      </w:r>
      <w:r w:rsidR="00A603DB" w:rsidRPr="004609FA">
        <w:t>at risk</w:t>
      </w:r>
      <w:r w:rsidR="00ED077E" w:rsidRPr="004609FA">
        <w:t xml:space="preserve">, according to the </w:t>
      </w:r>
      <w:r w:rsidR="0081605B" w:rsidRPr="004609FA">
        <w:t>most recent</w:t>
      </w:r>
      <w:r w:rsidR="0093577B" w:rsidRPr="004609FA">
        <w:t xml:space="preserve"> screening recorded.</w:t>
      </w:r>
      <w:r w:rsidR="001E229E" w:rsidRPr="004609FA">
        <w:t xml:space="preserve"> This is the measure use for assessing Australia’s progress against </w:t>
      </w:r>
      <w:r w:rsidR="00D86656" w:rsidRPr="004609FA">
        <w:t>WHO</w:t>
      </w:r>
      <w:r w:rsidR="001E229E" w:rsidRPr="004609FA">
        <w:t xml:space="preserve"> targets.</w:t>
      </w:r>
    </w:p>
    <w:p w14:paraId="7DEC6D21" w14:textId="216D41E5" w:rsidR="006A2CF3" w:rsidRPr="004609FA" w:rsidRDefault="006A2CF3" w:rsidP="00F76882">
      <w:pPr>
        <w:pStyle w:val="Heading2"/>
      </w:pPr>
      <w:bookmarkStart w:id="52" w:name="_Toc215236938"/>
      <w:r w:rsidRPr="004609FA">
        <w:t>Screening coverage</w:t>
      </w:r>
      <w:bookmarkEnd w:id="52"/>
    </w:p>
    <w:p w14:paraId="7223827F" w14:textId="4492EE1D" w:rsidR="006A2CF3" w:rsidRPr="003D3BBA" w:rsidRDefault="00523A7F" w:rsidP="00F76882">
      <w:r w:rsidRPr="003D3BBA">
        <w:t>The proportion</w:t>
      </w:r>
      <w:r w:rsidR="006A2CF3" w:rsidRPr="003D3BBA">
        <w:t xml:space="preserve"> of Aboriginal and Torres Strait Islander</w:t>
      </w:r>
      <w:r w:rsidR="40BF0D4D" w:rsidRPr="003D3BBA">
        <w:t xml:space="preserve"> </w:t>
      </w:r>
      <w:r w:rsidR="006A2CF3" w:rsidRPr="003D3BBA">
        <w:t>chil</w:t>
      </w:r>
      <w:r w:rsidR="70E1C3FF" w:rsidRPr="003D3BBA">
        <w:t>dren</w:t>
      </w:r>
      <w:r w:rsidR="6BE542B8" w:rsidRPr="003D3BBA">
        <w:t xml:space="preserve"> </w:t>
      </w:r>
      <w:r w:rsidR="5C642CD7" w:rsidRPr="003D3BBA">
        <w:t xml:space="preserve">aged </w:t>
      </w:r>
      <w:r w:rsidR="006A2CF3" w:rsidRPr="003D3BBA">
        <w:t>5</w:t>
      </w:r>
      <w:r w:rsidR="003D00CE" w:rsidRPr="003D3BBA">
        <w:t>–</w:t>
      </w:r>
      <w:r w:rsidR="006A2CF3" w:rsidRPr="003D3BBA">
        <w:t>9 years</w:t>
      </w:r>
      <w:r w:rsidR="00F106E8" w:rsidRPr="003D3BBA">
        <w:t xml:space="preserve"> residing in the community who were screened for trachoma. </w:t>
      </w:r>
    </w:p>
    <w:p w14:paraId="23AACBFE" w14:textId="686EC9BC" w:rsidR="006A2CF3" w:rsidRPr="004609FA" w:rsidRDefault="006A2CF3" w:rsidP="00F76882">
      <w:pPr>
        <w:pStyle w:val="Heading2"/>
      </w:pPr>
      <w:bookmarkStart w:id="53" w:name="_Toc215236939"/>
      <w:r w:rsidRPr="004609FA">
        <w:t xml:space="preserve">Trachomatous </w:t>
      </w:r>
      <w:r w:rsidR="009144A4" w:rsidRPr="004609FA">
        <w:t>inflammation ─</w:t>
      </w:r>
      <w:r w:rsidR="008C1183" w:rsidRPr="004609FA">
        <w:t xml:space="preserve"> </w:t>
      </w:r>
      <w:r w:rsidRPr="004609FA">
        <w:t>follicular (TF)</w:t>
      </w:r>
      <w:bookmarkEnd w:id="53"/>
    </w:p>
    <w:p w14:paraId="6A60A3CA" w14:textId="3A95AC0D" w:rsidR="006A2CF3" w:rsidRPr="004609FA" w:rsidRDefault="00523A7F" w:rsidP="00F76882">
      <w:pPr>
        <w:pStyle w:val="Tabletextleft"/>
      </w:pPr>
      <w:r w:rsidRPr="004609FA">
        <w:t>The presence</w:t>
      </w:r>
      <w:r w:rsidR="006A2CF3" w:rsidRPr="004609FA">
        <w:t xml:space="preserve"> of </w:t>
      </w:r>
      <w:r w:rsidR="009D516B" w:rsidRPr="004609FA">
        <w:t xml:space="preserve">5 </w:t>
      </w:r>
      <w:r w:rsidR="006A2CF3" w:rsidRPr="004609FA">
        <w:t>or more follicles in the central part of the upper tarsal conjunctiva, each at least 0.5 mm in diameter,</w:t>
      </w:r>
      <w:r w:rsidR="00B90B45" w:rsidRPr="004609FA">
        <w:t xml:space="preserve"> in the central part of the upper tarsal conjunctiva</w:t>
      </w:r>
    </w:p>
    <w:p w14:paraId="18787864" w14:textId="558232BB" w:rsidR="006A2CF3" w:rsidRPr="004609FA" w:rsidRDefault="006A2CF3" w:rsidP="00F76882">
      <w:pPr>
        <w:pStyle w:val="Heading2"/>
      </w:pPr>
      <w:bookmarkStart w:id="54" w:name="_Toc215236940"/>
      <w:r w:rsidRPr="004609FA">
        <w:t xml:space="preserve">Trachomatous </w:t>
      </w:r>
      <w:r w:rsidR="009144A4" w:rsidRPr="004609FA">
        <w:t>inflammation ─</w:t>
      </w:r>
      <w:r w:rsidR="008C1183" w:rsidRPr="004609FA">
        <w:t xml:space="preserve"> </w:t>
      </w:r>
      <w:r w:rsidRPr="004609FA">
        <w:t>intense (TI)</w:t>
      </w:r>
      <w:bookmarkEnd w:id="54"/>
    </w:p>
    <w:p w14:paraId="60AF5F68" w14:textId="77777777" w:rsidR="006A2CF3" w:rsidRPr="003D3BBA" w:rsidRDefault="006A2CF3" w:rsidP="00F76882">
      <w:r w:rsidRPr="003D3BBA">
        <w:t>Pronounced inflammatory thickening of the upper tarsal conjunctiva that obscures more than half of the normal deep tarsal vessels.</w:t>
      </w:r>
    </w:p>
    <w:p w14:paraId="42EBF2C5" w14:textId="77777777" w:rsidR="006A2CF3" w:rsidRPr="004609FA" w:rsidRDefault="006A2CF3" w:rsidP="00F76882">
      <w:pPr>
        <w:pStyle w:val="Heading2"/>
      </w:pPr>
      <w:bookmarkStart w:id="55" w:name="_Toc215236941"/>
      <w:r w:rsidRPr="004609FA">
        <w:t>Trachomatous trichiasis (TT)</w:t>
      </w:r>
      <w:bookmarkEnd w:id="55"/>
    </w:p>
    <w:p w14:paraId="70CD4F2C" w14:textId="2AD56371" w:rsidR="006A2CF3" w:rsidRPr="003D3BBA" w:rsidRDefault="005C6522" w:rsidP="00F76882">
      <w:r w:rsidRPr="003D3BBA">
        <w:t>At least one eyelash from the upper eyelid touches the eyeball, or evidence of recent epilation of in-turned eyelashes from the upper eyelid</w:t>
      </w:r>
      <w:r w:rsidR="002C7D67" w:rsidRPr="003D3BBA">
        <w:t>.</w:t>
      </w:r>
    </w:p>
    <w:p w14:paraId="0F634280" w14:textId="77777777" w:rsidR="006A2CF3" w:rsidRPr="004609FA" w:rsidRDefault="006A2CF3" w:rsidP="00F76882">
      <w:pPr>
        <w:pStyle w:val="Heading2"/>
      </w:pPr>
      <w:bookmarkStart w:id="56" w:name="_Toc215236942"/>
      <w:r w:rsidRPr="004609FA">
        <w:t>Treatment coverage</w:t>
      </w:r>
      <w:bookmarkEnd w:id="56"/>
    </w:p>
    <w:p w14:paraId="6DFAD12F" w14:textId="52CE424A" w:rsidR="006A2CF3" w:rsidRPr="00495326" w:rsidRDefault="00523A7F" w:rsidP="00F76882">
      <w:pPr>
        <w:pStyle w:val="Tabletextleft"/>
      </w:pPr>
      <w:r w:rsidRPr="004609FA">
        <w:t>The proportion</w:t>
      </w:r>
      <w:r w:rsidR="006A2CF3" w:rsidRPr="004609FA">
        <w:t xml:space="preserve"> of Aboriginal and Torres Strait Islander people in a community who weigh more than 3 kg and who were treated for trachoma </w:t>
      </w:r>
      <w:r w:rsidR="001836D4" w:rsidRPr="004609FA">
        <w:t xml:space="preserve">within two weeks </w:t>
      </w:r>
      <w:r w:rsidR="000F5341" w:rsidRPr="004609FA">
        <w:t xml:space="preserve">of screening </w:t>
      </w:r>
      <w:r w:rsidR="001836D4" w:rsidRPr="004609FA">
        <w:t>relative</w:t>
      </w:r>
      <w:r w:rsidR="00D3190D" w:rsidRPr="004609FA">
        <w:t xml:space="preserve"> to the number of people identified as requiring treatment </w:t>
      </w:r>
      <w:r w:rsidR="005442B0" w:rsidRPr="004609FA">
        <w:t xml:space="preserve">under </w:t>
      </w:r>
      <w:r w:rsidR="00FC68C9" w:rsidRPr="004609FA">
        <w:t>public health guidelines</w:t>
      </w:r>
      <w:r w:rsidR="00D3190D" w:rsidRPr="004609FA">
        <w:t>.</w:t>
      </w:r>
      <w:r w:rsidR="006A2CF3" w:rsidRPr="004609FA">
        <w:t xml:space="preserve"> </w:t>
      </w:r>
      <w:r w:rsidR="006A2CF3" w:rsidRPr="004609FA">
        <w:br w:type="page"/>
      </w:r>
    </w:p>
    <w:p w14:paraId="4A37EA1D" w14:textId="77777777" w:rsidR="008034BA" w:rsidRPr="004609FA" w:rsidRDefault="008034BA" w:rsidP="00F76882">
      <w:pPr>
        <w:pStyle w:val="Heading1"/>
      </w:pPr>
      <w:bookmarkStart w:id="57" w:name="_Toc160544979"/>
      <w:bookmarkStart w:id="58" w:name="_Toc203986533"/>
      <w:bookmarkStart w:id="59" w:name="_Toc215236943"/>
      <w:r w:rsidRPr="004609FA">
        <w:t>Abbreviations</w:t>
      </w:r>
      <w:bookmarkEnd w:id="38"/>
      <w:bookmarkEnd w:id="39"/>
      <w:bookmarkEnd w:id="40"/>
      <w:bookmarkEnd w:id="41"/>
      <w:bookmarkEnd w:id="57"/>
      <w:bookmarkEnd w:id="58"/>
      <w:bookmarkEnd w:id="59"/>
    </w:p>
    <w:p w14:paraId="24157A07" w14:textId="77777777" w:rsidR="008034BA" w:rsidRPr="00FC1E83" w:rsidRDefault="008034BA" w:rsidP="00F76882">
      <w:r w:rsidRPr="00F57624">
        <w:t>APY</w:t>
      </w:r>
      <w:r w:rsidRPr="00F57624">
        <w:tab/>
        <w:t xml:space="preserve">Anangu </w:t>
      </w:r>
      <w:r w:rsidRPr="00FC1E83">
        <w:t>Pitjantjatjara Yankunytjatjara</w:t>
      </w:r>
    </w:p>
    <w:p w14:paraId="70CC35B7" w14:textId="4DF542F7" w:rsidR="00261999" w:rsidRPr="00FC1E83" w:rsidRDefault="006D2ADA" w:rsidP="00F76882">
      <w:r w:rsidRPr="00FC1E83">
        <w:t xml:space="preserve">ACCHS </w:t>
      </w:r>
      <w:r w:rsidRPr="00FC1E83">
        <w:tab/>
        <w:t xml:space="preserve">Aboriginal Community Controlled Health Service </w:t>
      </w:r>
    </w:p>
    <w:p w14:paraId="28619FCD" w14:textId="77777777" w:rsidR="008034BA" w:rsidRPr="00FC1E83" w:rsidRDefault="008034BA" w:rsidP="00F76882">
      <w:r w:rsidRPr="00FC1E83">
        <w:t>CDNA</w:t>
      </w:r>
      <w:r w:rsidRPr="00FC1E83">
        <w:tab/>
        <w:t>Communicable Diseases Network Australia</w:t>
      </w:r>
    </w:p>
    <w:p w14:paraId="4D7B3C0A" w14:textId="5B5C2831" w:rsidR="001F2456" w:rsidRPr="00FC1E83" w:rsidRDefault="001F2456" w:rsidP="00F76882">
      <w:r w:rsidRPr="00FC1E83">
        <w:t>IEHU</w:t>
      </w:r>
      <w:r w:rsidRPr="00FC1E83">
        <w:tab/>
        <w:t>Indigenous Eye Health Unit</w:t>
      </w:r>
    </w:p>
    <w:p w14:paraId="0D9D8D17" w14:textId="41B81144" w:rsidR="008034BA" w:rsidRPr="00FC1E83" w:rsidRDefault="008034BA" w:rsidP="00F76882">
      <w:r w:rsidRPr="00FC1E83">
        <w:t>NSW</w:t>
      </w:r>
      <w:r w:rsidRPr="00FC1E83">
        <w:tab/>
        <w:t>New South Wales</w:t>
      </w:r>
    </w:p>
    <w:p w14:paraId="703A67BF" w14:textId="77777777" w:rsidR="008034BA" w:rsidRPr="00FC1E83" w:rsidRDefault="008034BA" w:rsidP="00F76882">
      <w:r w:rsidRPr="00FC1E83">
        <w:t>NT</w:t>
      </w:r>
      <w:r w:rsidRPr="00FC1E83">
        <w:tab/>
        <w:t>Northern Territory</w:t>
      </w:r>
    </w:p>
    <w:p w14:paraId="0BAAF3AA" w14:textId="77777777" w:rsidR="008034BA" w:rsidRPr="00FC1E83" w:rsidRDefault="008034BA" w:rsidP="00F76882">
      <w:r w:rsidRPr="00FC1E83">
        <w:t>NTSCRG</w:t>
      </w:r>
      <w:r w:rsidRPr="00FC1E83">
        <w:tab/>
        <w:t>National Trachoma Surveillance and Control Reference Group</w:t>
      </w:r>
    </w:p>
    <w:p w14:paraId="38527C2D" w14:textId="77777777" w:rsidR="008034BA" w:rsidRPr="00FC1E83" w:rsidRDefault="008034BA" w:rsidP="00F76882">
      <w:r w:rsidRPr="00FC1E83">
        <w:t>NTSRU</w:t>
      </w:r>
      <w:r w:rsidRPr="00FC1E83">
        <w:tab/>
        <w:t>National Trachoma Surveillance and Reporting Unit</w:t>
      </w:r>
    </w:p>
    <w:p w14:paraId="4F72A5C2" w14:textId="77777777" w:rsidR="008034BA" w:rsidRPr="00FC1E83" w:rsidRDefault="008034BA" w:rsidP="00F76882">
      <w:r w:rsidRPr="00FC1E83">
        <w:t>PCR</w:t>
      </w:r>
      <w:r w:rsidRPr="00FC1E83">
        <w:tab/>
        <w:t>Polymerase chain reaction</w:t>
      </w:r>
    </w:p>
    <w:p w14:paraId="7C4DF464" w14:textId="2EEF96B6" w:rsidR="008034BA" w:rsidRPr="00FC1E83" w:rsidRDefault="00C93F39" w:rsidP="00F76882">
      <w:r w:rsidRPr="00FC1E83">
        <w:t>Qld</w:t>
      </w:r>
      <w:r w:rsidR="008034BA" w:rsidRPr="00FC1E83">
        <w:tab/>
        <w:t>Queensland</w:t>
      </w:r>
    </w:p>
    <w:p w14:paraId="55A59644" w14:textId="77777777" w:rsidR="008034BA" w:rsidRPr="00FC1E83" w:rsidRDefault="008034BA" w:rsidP="00F76882">
      <w:r w:rsidRPr="00FC1E83">
        <w:t>SA</w:t>
      </w:r>
      <w:r w:rsidRPr="00FC1E83">
        <w:tab/>
        <w:t>South Australia</w:t>
      </w:r>
    </w:p>
    <w:p w14:paraId="4C8284F2" w14:textId="0DE15B6C" w:rsidR="008034BA" w:rsidRPr="00FC1E83" w:rsidRDefault="008034BA" w:rsidP="00F76882">
      <w:r w:rsidRPr="00FC1E83">
        <w:t>SAFE</w:t>
      </w:r>
      <w:r w:rsidRPr="00FC1E83">
        <w:tab/>
        <w:t xml:space="preserve">Surgery, Antibiotics, Facial </w:t>
      </w:r>
      <w:r w:rsidR="00C50DD3" w:rsidRPr="00FC1E83">
        <w:t>cleanliness,</w:t>
      </w:r>
      <w:r w:rsidRPr="00FC1E83">
        <w:t xml:space="preserve"> and Environment</w:t>
      </w:r>
      <w:r w:rsidR="000530A6" w:rsidRPr="00FC1E83">
        <w:t>al improvement</w:t>
      </w:r>
    </w:p>
    <w:p w14:paraId="414301E0" w14:textId="3112261A" w:rsidR="00CE5556" w:rsidRPr="00FC1E83" w:rsidRDefault="00CE5556" w:rsidP="00F76882">
      <w:r w:rsidRPr="00FC1E83">
        <w:t>TF</w:t>
      </w:r>
      <w:r w:rsidRPr="00FC1E83">
        <w:tab/>
        <w:t xml:space="preserve">Trachomatous </w:t>
      </w:r>
      <w:r w:rsidR="009144A4" w:rsidRPr="00FC1E83">
        <w:t>inflammation ─</w:t>
      </w:r>
      <w:r w:rsidR="008C1183" w:rsidRPr="00FC1E83">
        <w:t xml:space="preserve"> </w:t>
      </w:r>
      <w:r w:rsidRPr="00FC1E83">
        <w:t>follicular</w:t>
      </w:r>
    </w:p>
    <w:p w14:paraId="55CA63E1" w14:textId="33B55C9D" w:rsidR="00CE5556" w:rsidRPr="00FC1E83" w:rsidRDefault="00CE5556" w:rsidP="00F76882">
      <w:r w:rsidRPr="00FC1E83">
        <w:t>TI</w:t>
      </w:r>
      <w:r w:rsidRPr="00FC1E83">
        <w:tab/>
        <w:t xml:space="preserve">Trachomatous </w:t>
      </w:r>
      <w:r w:rsidR="009144A4" w:rsidRPr="00FC1E83">
        <w:t>inflammation ─</w:t>
      </w:r>
      <w:r w:rsidR="008C1183" w:rsidRPr="00FC1E83">
        <w:t xml:space="preserve"> </w:t>
      </w:r>
      <w:r w:rsidRPr="00FC1E83">
        <w:t>intense</w:t>
      </w:r>
    </w:p>
    <w:p w14:paraId="7563F8CD" w14:textId="72F5D0A8" w:rsidR="00CE5556" w:rsidRPr="00FC1E83" w:rsidRDefault="00CE5556" w:rsidP="00F76882">
      <w:r w:rsidRPr="00FC1E83">
        <w:t>TT</w:t>
      </w:r>
      <w:r w:rsidR="008A2657" w:rsidRPr="00FC1E83">
        <w:tab/>
        <w:t>Trachomatous trichiasis</w:t>
      </w:r>
    </w:p>
    <w:p w14:paraId="46331460" w14:textId="118BF502" w:rsidR="008034BA" w:rsidRPr="00FC1E83" w:rsidRDefault="008034BA" w:rsidP="00F76882">
      <w:r w:rsidRPr="00FC1E83">
        <w:t>WA</w:t>
      </w:r>
      <w:r w:rsidRPr="00FC1E83">
        <w:tab/>
        <w:t>Western Australia</w:t>
      </w:r>
    </w:p>
    <w:p w14:paraId="30A18643" w14:textId="77777777" w:rsidR="008034BA" w:rsidRPr="00FC1E83" w:rsidRDefault="008034BA" w:rsidP="00F76882">
      <w:r w:rsidRPr="00FC1E83">
        <w:t>WACHS</w:t>
      </w:r>
      <w:r w:rsidRPr="00FC1E83">
        <w:tab/>
        <w:t>WA Country Health Service</w:t>
      </w:r>
    </w:p>
    <w:p w14:paraId="0B4816F9" w14:textId="75C9B0D3" w:rsidR="00E568FE" w:rsidRPr="00FC1E83" w:rsidRDefault="00E568FE" w:rsidP="00F76882">
      <w:r w:rsidRPr="00FC1E83">
        <w:t>WASH</w:t>
      </w:r>
      <w:r w:rsidRPr="00FC1E83">
        <w:tab/>
      </w:r>
      <w:r w:rsidR="00B9106F" w:rsidRPr="00FC1E83">
        <w:t>W</w:t>
      </w:r>
      <w:r w:rsidRPr="00FC1E83">
        <w:t>ater, sanitation</w:t>
      </w:r>
      <w:r w:rsidR="00841F8C" w:rsidRPr="00FC1E83">
        <w:t>,</w:t>
      </w:r>
      <w:r w:rsidRPr="00FC1E83">
        <w:t xml:space="preserve"> and hygiene</w:t>
      </w:r>
    </w:p>
    <w:p w14:paraId="3FA87495" w14:textId="79A6B3AE" w:rsidR="008034BA" w:rsidRPr="00FC1E83" w:rsidRDefault="008034BA" w:rsidP="00F76882">
      <w:r w:rsidRPr="00FC1E83">
        <w:t>WHO</w:t>
      </w:r>
      <w:r w:rsidRPr="00FC1E83">
        <w:tab/>
        <w:t>World Health Organization</w:t>
      </w:r>
    </w:p>
    <w:p w14:paraId="3C8D5378" w14:textId="77777777" w:rsidR="008034BA" w:rsidRPr="00FC1E83" w:rsidRDefault="008034BA" w:rsidP="00F76882">
      <w:r w:rsidRPr="00FC1E83">
        <w:br w:type="page"/>
      </w:r>
    </w:p>
    <w:p w14:paraId="14C7E62F" w14:textId="77777777" w:rsidR="003C4ED0" w:rsidRPr="004609FA" w:rsidRDefault="003C4ED0" w:rsidP="00F76882">
      <w:pPr>
        <w:pStyle w:val="Heading1"/>
      </w:pPr>
      <w:bookmarkStart w:id="60" w:name="_Toc520298287"/>
      <w:bookmarkStart w:id="61" w:name="_Toc520298366"/>
      <w:bookmarkStart w:id="62" w:name="_Toc160544980"/>
      <w:bookmarkStart w:id="63" w:name="_Toc203986534"/>
      <w:bookmarkStart w:id="64" w:name="_Hlk169106039"/>
      <w:bookmarkStart w:id="65" w:name="_Toc215236944"/>
      <w:r w:rsidRPr="004609FA">
        <w:t>Executive summary</w:t>
      </w:r>
      <w:bookmarkEnd w:id="60"/>
      <w:bookmarkEnd w:id="61"/>
      <w:bookmarkEnd w:id="62"/>
      <w:bookmarkEnd w:id="63"/>
      <w:bookmarkEnd w:id="65"/>
    </w:p>
    <w:p w14:paraId="72F68039" w14:textId="6CE99023" w:rsidR="009E0495" w:rsidRPr="0093303D" w:rsidRDefault="006302C2" w:rsidP="00F76882">
      <w:r w:rsidRPr="0093303D">
        <w:t>Trachoma is the world’s leading infectious cause of preventable blindness and is linked to poor living conditions.</w:t>
      </w:r>
      <w:r w:rsidR="002E4FF5" w:rsidRPr="0093303D">
        <w:t xml:space="preserve"> </w:t>
      </w:r>
      <w:bookmarkStart w:id="66" w:name="_Hlk210212033"/>
      <w:r w:rsidR="00B51938" w:rsidRPr="0093303D">
        <w:t xml:space="preserve">Infection with ocular strains of the bacterium </w:t>
      </w:r>
      <w:r w:rsidR="00B51938" w:rsidRPr="00A33DD2">
        <w:rPr>
          <w:rStyle w:val="Emphasis"/>
        </w:rPr>
        <w:t>Chlamydia trachomatis</w:t>
      </w:r>
      <w:r w:rsidR="002E4FF5" w:rsidRPr="0093303D">
        <w:t xml:space="preserve"> leads </w:t>
      </w:r>
      <w:r w:rsidR="00AA411A" w:rsidRPr="0093303D">
        <w:t xml:space="preserve">to </w:t>
      </w:r>
      <w:r w:rsidR="008E3B1F" w:rsidRPr="0093303D">
        <w:t>inflammation</w:t>
      </w:r>
      <w:r w:rsidR="00AA411A" w:rsidRPr="0093303D">
        <w:t xml:space="preserve"> of</w:t>
      </w:r>
      <w:r w:rsidR="0016771C" w:rsidRPr="0093303D">
        <w:t xml:space="preserve"> the conjunctiva under the upper eyelid </w:t>
      </w:r>
      <w:r w:rsidR="003A18E5" w:rsidRPr="00F57624">
        <w:t>—</w:t>
      </w:r>
      <w:r w:rsidR="003A18E5" w:rsidRPr="0093303D">
        <w:t xml:space="preserve"> </w:t>
      </w:r>
      <w:r w:rsidR="00033960" w:rsidRPr="0093303D">
        <w:t xml:space="preserve">most commonly </w:t>
      </w:r>
      <w:r w:rsidR="008E3B1F" w:rsidRPr="0093303D">
        <w:t xml:space="preserve">trachomatous inflammation – follicular </w:t>
      </w:r>
      <w:r w:rsidR="003A18E5" w:rsidRPr="0093303D">
        <w:t>(</w:t>
      </w:r>
      <w:r w:rsidR="008E3B1F" w:rsidRPr="0093303D">
        <w:t>TF</w:t>
      </w:r>
      <w:r w:rsidR="003A18E5" w:rsidRPr="0093303D">
        <w:t>)</w:t>
      </w:r>
      <w:r w:rsidR="008E3B1F" w:rsidRPr="0093303D">
        <w:t xml:space="preserve"> and</w:t>
      </w:r>
      <w:r w:rsidR="00033960" w:rsidRPr="0093303D">
        <w:t>/or</w:t>
      </w:r>
      <w:r w:rsidR="008E3B1F" w:rsidRPr="0093303D">
        <w:t xml:space="preserve"> trachomatous inflammation – intense </w:t>
      </w:r>
      <w:r w:rsidR="003A18E5" w:rsidRPr="0093303D">
        <w:t>(</w:t>
      </w:r>
      <w:r w:rsidR="008E3B1F" w:rsidRPr="0093303D">
        <w:t>TI)</w:t>
      </w:r>
      <w:r w:rsidR="003A18E5" w:rsidRPr="0093303D">
        <w:t xml:space="preserve"> </w:t>
      </w:r>
      <w:r w:rsidR="003A18E5" w:rsidRPr="00F57624">
        <w:t>—</w:t>
      </w:r>
      <w:r w:rsidR="00B50991" w:rsidRPr="0093303D">
        <w:t xml:space="preserve"> known as active trachoma</w:t>
      </w:r>
      <w:r w:rsidR="008E3B1F" w:rsidRPr="0093303D">
        <w:t>.</w:t>
      </w:r>
      <w:r w:rsidR="008E3B1F" w:rsidRPr="00A33DD2">
        <w:rPr>
          <w:rStyle w:val="Emphasis"/>
        </w:rPr>
        <w:t xml:space="preserve"> </w:t>
      </w:r>
      <w:bookmarkEnd w:id="66"/>
      <w:r w:rsidR="00004BF8" w:rsidRPr="0093303D">
        <w:t>Repeated</w:t>
      </w:r>
      <w:r w:rsidRPr="0093303D">
        <w:t xml:space="preserve"> infections</w:t>
      </w:r>
      <w:r w:rsidR="00004BF8" w:rsidRPr="0093303D">
        <w:t xml:space="preserve"> </w:t>
      </w:r>
      <w:r w:rsidRPr="0093303D">
        <w:t xml:space="preserve">can lead to scarring </w:t>
      </w:r>
      <w:r w:rsidR="00E156D0" w:rsidRPr="0093303D">
        <w:t>of the</w:t>
      </w:r>
      <w:r w:rsidRPr="0093303D">
        <w:t xml:space="preserve"> </w:t>
      </w:r>
      <w:r w:rsidR="0062258D" w:rsidRPr="0093303D">
        <w:t xml:space="preserve">upper </w:t>
      </w:r>
      <w:r w:rsidR="00E156D0" w:rsidRPr="0093303D">
        <w:t xml:space="preserve">eyelid, causing the </w:t>
      </w:r>
      <w:r w:rsidRPr="0093303D">
        <w:t>eyelashes to turn inward (trachomatous trichiasis</w:t>
      </w:r>
      <w:r w:rsidR="00A67DC9" w:rsidRPr="0093303D">
        <w:t xml:space="preserve"> or TT</w:t>
      </w:r>
      <w:r w:rsidRPr="0093303D">
        <w:t>)</w:t>
      </w:r>
      <w:r w:rsidR="00CA4E25" w:rsidRPr="0093303D">
        <w:t xml:space="preserve"> to </w:t>
      </w:r>
      <w:r w:rsidR="00ED1010" w:rsidRPr="0093303D">
        <w:t xml:space="preserve">scratch </w:t>
      </w:r>
      <w:r w:rsidR="00CA4E25" w:rsidRPr="0093303D">
        <w:t>the cornea</w:t>
      </w:r>
      <w:r w:rsidRPr="0093303D">
        <w:t xml:space="preserve">, </w:t>
      </w:r>
      <w:r w:rsidR="00ED1010" w:rsidRPr="0093303D">
        <w:t>eventually resulting</w:t>
      </w:r>
      <w:r w:rsidRPr="0093303D">
        <w:t xml:space="preserve"> in vision loss or blindness.</w:t>
      </w:r>
      <w:r w:rsidR="001636EF" w:rsidRPr="0093303D">
        <w:fldChar w:fldCharType="begin">
          <w:fldData xml:space="preserve">PEVuZE5vdGU+PENpdGU+PEF1dGhvcj5Tb2xvbW9uPC9BdXRob3I+PFllYXI+MjAyMjwvWWVhcj48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</w:fldData>
        </w:fldChar>
      </w:r>
      <w:r w:rsidR="004D77AB" w:rsidRPr="0093303D">
        <w:instrText xml:space="preserve"> ADDIN EN.CITE </w:instrText>
      </w:r>
      <w:r w:rsidR="004D77AB" w:rsidRPr="0093303D">
        <w:fldChar w:fldCharType="begin">
          <w:fldData xml:space="preserve">PEVuZE5vdGU+PENpdGU+PEF1dGhvcj5Tb2xvbW9uPC9BdXRob3I+PFllYXI+MjAyMjwvWWVhcj48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</w:fldData>
        </w:fldChar>
      </w:r>
      <w:r w:rsidR="004D77AB" w:rsidRPr="0093303D">
        <w:instrText xml:space="preserve"> ADDIN EN.CITE.DATA </w:instrText>
      </w:r>
      <w:r w:rsidR="004D77AB" w:rsidRPr="0093303D">
        <w:fldChar w:fldCharType="end"/>
      </w:r>
      <w:r w:rsidR="001636EF" w:rsidRPr="0093303D">
        <w:fldChar w:fldCharType="separate"/>
      </w:r>
      <w:r w:rsidR="00522D3E" w:rsidRPr="0093303D">
        <w:t>1, 2</w:t>
      </w:r>
      <w:r w:rsidR="001636EF" w:rsidRPr="0093303D">
        <w:fldChar w:fldCharType="end"/>
      </w:r>
      <w:r w:rsidRPr="0093303D">
        <w:t xml:space="preserve"> </w:t>
      </w:r>
      <w:bookmarkStart w:id="67" w:name="_Hlk210211720"/>
      <w:r w:rsidR="005C581C" w:rsidRPr="0093303D">
        <w:t xml:space="preserve">The </w:t>
      </w:r>
      <w:r w:rsidR="00885DD2" w:rsidRPr="0093303D">
        <w:t>World Health Organization (</w:t>
      </w:r>
      <w:r w:rsidR="009E0495" w:rsidRPr="0093303D">
        <w:t>WHO</w:t>
      </w:r>
      <w:r w:rsidR="00885DD2" w:rsidRPr="0093303D">
        <w:t>)</w:t>
      </w:r>
      <w:r w:rsidR="009E0495" w:rsidRPr="0093303D">
        <w:t xml:space="preserve"> through the Alliance for the Global Elimination of Trachoma advocates the SAFE strategy for trachoma control.</w:t>
      </w:r>
      <w:r w:rsidR="009E0495" w:rsidRPr="0093303D">
        <w:fldChar w:fldCharType="begin"/>
      </w:r>
      <w:r w:rsidR="00572114" w:rsidRPr="0093303D">
        <w:instrText xml:space="preserve"> ADDIN EN.CITE &lt;EndNote&gt;&lt;Cite&gt;&lt;Author&gt;World Health Organization&lt;/Author&gt;&lt;Year&gt;1997. 46p&lt;/Year&gt;&lt;RecNum&gt;84&lt;/RecNum&gt;&lt;DisplayText&gt;&lt;style face="superscript"&gt;3&lt;/style&gt;&lt;/DisplayText&gt;&lt;record&gt;&lt;rec-number&gt;84&lt;/rec-number&gt;&lt;foreign-keys&gt;&lt;key app="EN" db-id="52r9t20smsvp0rex9v1vsfe3tt9vxfdpvwsa" timestamp="1695690883"&gt;84&lt;/key&gt;&lt;/foreign-keys&gt;&lt;ref-type name="Report"&gt;27&lt;/ref-type&gt;&lt;contributors&gt;&lt;authors&gt;&lt;author&gt;World Health Organization,&lt;/author&gt;&lt;/authors&gt;&lt;/contributors&gt;&lt;titles&gt;&lt;title&gt;Future approaches to trachoma control: report of a global scientific meeting, Geneva, 17–20 June 1996 (WHO/PBL/96.56)&lt;/title&gt;&lt;/titles&gt;&lt;dates&gt;&lt;year&gt;1997. 46p&lt;/year&gt;&lt;/dates&gt;&lt;pub-location&gt;Geneva, Switzerland&lt;/pub-location&gt;&lt;publisher&gt;World Health Organization&lt;/publisher&gt;&lt;urls&gt;&lt;/urls&gt;&lt;/record&gt;&lt;/Cite&gt;&lt;/EndNote&gt;</w:instrText>
      </w:r>
      <w:r w:rsidR="009E0495" w:rsidRPr="0093303D">
        <w:fldChar w:fldCharType="separate"/>
      </w:r>
      <w:r w:rsidR="00572114" w:rsidRPr="0093303D">
        <w:t>3</w:t>
      </w:r>
      <w:r w:rsidR="009E0495" w:rsidRPr="0093303D">
        <w:fldChar w:fldCharType="end"/>
      </w:r>
      <w:bookmarkEnd w:id="67"/>
      <w:r w:rsidR="009E0495" w:rsidRPr="0093303D">
        <w:t xml:space="preserve"> The SAFE acronym highlights the key components of the strategy, which are </w:t>
      </w:r>
      <w:r w:rsidR="009E0495" w:rsidRPr="00A33DD2">
        <w:rPr>
          <w:rStyle w:val="Emphasis"/>
        </w:rPr>
        <w:t>Surgery</w:t>
      </w:r>
      <w:r w:rsidR="009E0495" w:rsidRPr="0093303D">
        <w:t xml:space="preserve"> for TT, </w:t>
      </w:r>
      <w:r w:rsidR="009E0495" w:rsidRPr="00A33DD2">
        <w:rPr>
          <w:rStyle w:val="Emphasis"/>
        </w:rPr>
        <w:t xml:space="preserve">Antibiotic </w:t>
      </w:r>
      <w:r w:rsidR="009E0495" w:rsidRPr="0093303D">
        <w:t xml:space="preserve">treatment for </w:t>
      </w:r>
      <w:r w:rsidR="009E0495" w:rsidRPr="00A33DD2">
        <w:rPr>
          <w:rStyle w:val="Emphasis"/>
        </w:rPr>
        <w:t>C. trachomatis</w:t>
      </w:r>
      <w:r w:rsidR="009E0495" w:rsidRPr="0093303D">
        <w:t xml:space="preserve"> infection, and the promotion of </w:t>
      </w:r>
      <w:r w:rsidR="009E0495" w:rsidRPr="00A33DD2">
        <w:rPr>
          <w:rStyle w:val="Emphasis"/>
        </w:rPr>
        <w:t>Facial cleanliness</w:t>
      </w:r>
      <w:r w:rsidR="009E0495" w:rsidRPr="0093303D">
        <w:t xml:space="preserve"> and </w:t>
      </w:r>
      <w:r w:rsidR="009E0495" w:rsidRPr="00A33DD2">
        <w:rPr>
          <w:rStyle w:val="Emphasis"/>
        </w:rPr>
        <w:t xml:space="preserve">Environmental </w:t>
      </w:r>
      <w:r w:rsidR="009E0495" w:rsidRPr="0093303D">
        <w:t xml:space="preserve">improvement to reduce transmission and prevent reinfection. </w:t>
      </w:r>
    </w:p>
    <w:p w14:paraId="2AD21ADB" w14:textId="0E8B3E3E" w:rsidR="00103D1C" w:rsidRPr="0036007C" w:rsidRDefault="006302C2" w:rsidP="00F76882">
      <w:r w:rsidRPr="0093303D">
        <w:t>Australia remains the only high-income country with endemic trachoma, primarily found in remote Indigenous communities</w:t>
      </w:r>
      <w:r w:rsidR="00F44E3C" w:rsidRPr="0093303D">
        <w:t xml:space="preserve"> within</w:t>
      </w:r>
      <w:r w:rsidRPr="0093303D">
        <w:t xml:space="preserve"> </w:t>
      </w:r>
      <w:r w:rsidR="00E54D8B" w:rsidRPr="0093303D">
        <w:t>northern, central</w:t>
      </w:r>
      <w:r w:rsidR="002C17C7" w:rsidRPr="0093303D">
        <w:t>,</w:t>
      </w:r>
      <w:r w:rsidR="00E54D8B" w:rsidRPr="0093303D">
        <w:t xml:space="preserve"> and western regions</w:t>
      </w:r>
      <w:r w:rsidRPr="0093303D">
        <w:t>. WHO criteria for elimination of trachoma as a public health problem include maintaining</w:t>
      </w:r>
      <w:r w:rsidR="000E1249" w:rsidRPr="0093303D">
        <w:t xml:space="preserve"> for at least two years </w:t>
      </w:r>
      <w:r w:rsidRPr="0093303D">
        <w:t xml:space="preserve">prevalence of </w:t>
      </w:r>
      <w:r w:rsidR="00A67DC9" w:rsidRPr="0093303D">
        <w:t>TF</w:t>
      </w:r>
      <w:r w:rsidRPr="0093303D">
        <w:t xml:space="preserve"> </w:t>
      </w:r>
      <w:r w:rsidR="00C15295" w:rsidRPr="0093303D">
        <w:t xml:space="preserve">under </w:t>
      </w:r>
      <w:r w:rsidRPr="0093303D">
        <w:t xml:space="preserve">5% in children and </w:t>
      </w:r>
      <w:r w:rsidR="00836AC8" w:rsidRPr="0093303D">
        <w:t>TT</w:t>
      </w:r>
      <w:r w:rsidR="00A67DC9" w:rsidRPr="0093303D">
        <w:t xml:space="preserve"> ‘previously unknown to the health system’</w:t>
      </w:r>
      <w:r w:rsidR="00836AC8" w:rsidRPr="0093303D">
        <w:t xml:space="preserve"> </w:t>
      </w:r>
      <w:r w:rsidR="00C15295" w:rsidRPr="0093303D">
        <w:t xml:space="preserve">under </w:t>
      </w:r>
      <w:r w:rsidRPr="0093303D">
        <w:t xml:space="preserve">0.2% in </w:t>
      </w:r>
      <w:r w:rsidR="00C15295" w:rsidRPr="0093303D">
        <w:t>the population aged 15 years and older</w:t>
      </w:r>
      <w:r w:rsidR="000E1249" w:rsidRPr="0093303D">
        <w:t>.</w:t>
      </w:r>
      <w:r w:rsidR="00B37BF4" w:rsidRPr="0093303D">
        <w:fldChar w:fldCharType="begin"/>
      </w:r>
      <w:r w:rsidR="00886F09" w:rsidRPr="0093303D">
        <w:instrText xml:space="preserve"> ADDIN EN.CITE &lt;EndNote&gt;&lt;Cite&gt;&lt;Author&gt;World Health Organization&lt;/Author&gt;&lt;Year&gt;2021 Jan 28&lt;/Year&gt;&lt;RecNum&gt;1&lt;/RecNum&gt;&lt;DisplayText&gt;&lt;style face="superscript"&gt;4&lt;/style&gt;&lt;/DisplayText&gt;&lt;record&gt;&lt;rec-number&gt;1&lt;/rec-number&gt;&lt;foreign-keys&gt;&lt;key app="EN" db-id="52r9t20smsvp0rex9v1vsfe3tt9vxfdpvwsa" timestamp="1690171017"&gt;1&lt;/key&gt;&lt;/foreign-keys&gt;&lt;ref-type name="Report"&gt;27&lt;/ref-type&gt;&lt;contributors&gt;&lt;authors&gt;&lt;author&gt;World Health Organization,&lt;/author&gt;&lt;/authors&gt;&lt;/contributors&gt;&lt;titles&gt;&lt;title&gt;Ending the neglect to attain the Sustainable Development Goals: a road map for neglected tropical diseases 2021–2030&lt;/title&gt;&lt;/titles&gt;&lt;dates&gt;&lt;year&gt;2021 Jan 28&lt;/year&gt;&lt;/dates&gt;&lt;pub-location&gt;Geneva, Switzerland&lt;/pub-location&gt;&lt;publisher&gt;World Health Organization&lt;/publisher&gt;&lt;urls&gt;&lt;related-urls&gt;&lt;url&gt;https://www.who.int/publications/i/item/9789240010352&lt;/url&gt;&lt;/related-urls&gt;&lt;/urls&gt;&lt;/record&gt;&lt;/Cite&gt;&lt;/EndNote&gt;</w:instrText>
      </w:r>
      <w:r w:rsidR="00B37BF4" w:rsidRPr="0093303D">
        <w:fldChar w:fldCharType="separate"/>
      </w:r>
      <w:r w:rsidR="00886F09" w:rsidRPr="0093303D">
        <w:t>4</w:t>
      </w:r>
      <w:r w:rsidR="00B37BF4" w:rsidRPr="0093303D">
        <w:fldChar w:fldCharType="end"/>
      </w:r>
      <w:r w:rsidRPr="0093303D">
        <w:t xml:space="preserve"> Australia first reached these </w:t>
      </w:r>
      <w:r w:rsidR="00951AF9" w:rsidRPr="0093303D">
        <w:t xml:space="preserve">targets in each formerly endemic jurisdiction (state/territory) </w:t>
      </w:r>
      <w:r w:rsidRPr="0093303D">
        <w:t>in 2022.</w:t>
      </w:r>
      <w:r w:rsidR="00103D1C" w:rsidRPr="0093303D">
        <w:t xml:space="preserve"> </w:t>
      </w:r>
      <w:r w:rsidR="00D52948" w:rsidRPr="0093303D">
        <w:t xml:space="preserve">The 2024 surveillance data show that </w:t>
      </w:r>
      <w:r w:rsidR="00D52948" w:rsidRPr="0036007C">
        <w:t>Australia remains under</w:t>
      </w:r>
      <w:r w:rsidR="00D02D42" w:rsidRPr="0036007C">
        <w:t xml:space="preserve"> the</w:t>
      </w:r>
      <w:r w:rsidR="00D52948" w:rsidRPr="0036007C">
        <w:t xml:space="preserve"> thresholds for elimination of trachoma as a public health problem and is</w:t>
      </w:r>
      <w:r w:rsidR="00527695" w:rsidRPr="0036007C">
        <w:t xml:space="preserve"> therefore</w:t>
      </w:r>
      <w:r w:rsidR="00D52948" w:rsidRPr="0036007C">
        <w:t xml:space="preserve"> eligible to apply</w:t>
      </w:r>
      <w:r w:rsidR="004D39F6" w:rsidRPr="0036007C">
        <w:t xml:space="preserve"> to WHO</w:t>
      </w:r>
      <w:r w:rsidR="00D52948" w:rsidRPr="0036007C">
        <w:t xml:space="preserve"> for global recognition of this status from 2025. </w:t>
      </w:r>
      <w:r w:rsidR="00E0494B" w:rsidRPr="0036007C">
        <w:t>A dossier documenting these achievements is currently in preparation.</w:t>
      </w:r>
    </w:p>
    <w:p w14:paraId="78E0F5C0" w14:textId="2F2CD84C" w:rsidR="00757DBE" w:rsidRPr="003D3BBA" w:rsidRDefault="001F7C57" w:rsidP="00F76882">
      <w:r w:rsidRPr="003D3BBA">
        <w:t>The Australian Government implemented the National Trachoma Management Program in 2006. The Communicable Diseases Network of Australia promulgated guidelines</w:t>
      </w:r>
      <w:r w:rsidR="004317CE" w:rsidRPr="003D3BBA">
        <w:t xml:space="preserve"> (CDNA Guidelines)</w:t>
      </w:r>
      <w:r w:rsidRPr="003D3BBA">
        <w:t xml:space="preserve"> for trachoma control </w:t>
      </w:r>
      <w:r w:rsidR="004317CE" w:rsidRPr="003D3BBA">
        <w:t xml:space="preserve">(2006, updated 2014) </w:t>
      </w:r>
      <w:r w:rsidRPr="003D3BBA">
        <w:t xml:space="preserve">and the National Trachoma Surveillance and Control Reference Group (NTSCRG) was formed in </w:t>
      </w:r>
      <w:r w:rsidR="006369C0" w:rsidRPr="003D3BBA">
        <w:t>2</w:t>
      </w:r>
      <w:r w:rsidRPr="003D3BBA">
        <w:t>011, to provide technical guidance and an integrated approach to the program.</w:t>
      </w:r>
      <w:r w:rsidR="005123B6" w:rsidRPr="003D3BBA">
        <w:t xml:space="preserve"> </w:t>
      </w:r>
      <w:r w:rsidR="00164241" w:rsidRPr="003D3BBA">
        <w:t>Based on previous epidemiological surveys, the National Trachoma Management Program initially focussed on remote and very remote Indigenous communities in the Northern Territory (NT), South Australia (SA)</w:t>
      </w:r>
      <w:r w:rsidR="00886F09" w:rsidRPr="003D3BBA">
        <w:t>,</w:t>
      </w:r>
      <w:r w:rsidR="00164241" w:rsidRPr="003D3BBA">
        <w:t xml:space="preserve"> and Western Australia (WA)</w:t>
      </w:r>
      <w:r w:rsidR="004132FF" w:rsidRPr="003D3BBA">
        <w:t>.</w:t>
      </w:r>
      <w:r w:rsidR="00D731FB" w:rsidRPr="003D3BBA">
        <w:fldChar w:fldCharType="begin"/>
      </w:r>
      <w:r w:rsidR="00886F09" w:rsidRPr="003D3BBA">
        <w:instrText xml:space="preserve"> ADDIN EN.CITE &lt;EndNote&gt;&lt;Cite&gt;&lt;Author&gt;Royal Australian College of Ophthalmologists&lt;/Author&gt;&lt;Year&gt;1980. 246p&lt;/Year&gt;&lt;RecNum&gt;254&lt;/RecNum&gt;&lt;DisplayText&gt;&lt;style face="superscript"&gt;5, 6&lt;/style&gt;&lt;/DisplayText&gt;&lt;record&gt;&lt;rec-number&gt;254&lt;/rec-number&gt;&lt;foreign-keys&gt;&lt;key app="EN" db-id="52r9t20smsvp0rex9v1vsfe3tt9vxfdpvwsa" timestamp="1722577479"&gt;254&lt;/key&gt;&lt;/foreign-keys&gt;&lt;ref-type name="Report"&gt;27&lt;/ref-type&gt;&lt;contributors&gt;&lt;authors&gt;&lt;author&gt;Royal Australian College of Ophthalmologists,&lt;/author&gt;&lt;/authors&gt;&lt;/contributors&gt;&lt;titles&gt;&lt;title&gt;The National Trachoma and Eye Health Program of the Royal Australian College of Ophthalmologists&lt;/title&gt;&lt;/titles&gt;&lt;dates&gt;&lt;year&gt;1980. 246p&lt;/year&gt;&lt;/dates&gt;&lt;pub-location&gt;Sydney&lt;/pub-location&gt;&lt;publisher&gt;Royal Australian College of Ophthalmologists&lt;/publisher&gt;&lt;urls&gt;&lt;/urls&gt;&lt;/record&gt;&lt;/Cite&gt;&lt;Cite&gt;&lt;Author&gt;Taylor&lt;/Author&gt;&lt;Year&gt;2008&lt;/Year&gt;&lt;RecNum&gt;51&lt;/RecNum&gt;&lt;record&gt;&lt;rec-number&gt;51&lt;/rec-number&gt;&lt;foreign-keys&gt;&lt;key app="EN" db-id="52r9t20smsvp0rex9v1vsfe3tt9vxfdpvwsa" timestamp="1690520824"&gt;51&lt;/key&gt;&lt;/foreign-keys&gt;&lt;ref-type name="Book"&gt;6&lt;/ref-type&gt;&lt;contributors&gt;&lt;authors&gt;&lt;author&gt;Taylor, H.&lt;/author&gt;&lt;/authors&gt;&lt;/contributors&gt;&lt;titles&gt;&lt;title&gt;Trachoma: A Blinding Scourge from the Bronze Age to the Twenty-first Century&lt;/title&gt;&lt;/titles&gt;&lt;dates&gt;&lt;year&gt;2008&lt;/year&gt;&lt;/dates&gt;&lt;pub-location&gt;East Melbourne, Vic&lt;/pub-location&gt;&lt;publisher&gt;Centre for Eye Research Australia&lt;/publisher&gt;&lt;urls&gt;&lt;/urls&gt;&lt;/record&gt;&lt;/Cite&gt;&lt;/EndNote&gt;</w:instrText>
      </w:r>
      <w:r w:rsidR="00D731FB" w:rsidRPr="003D3BBA">
        <w:fldChar w:fldCharType="separate"/>
      </w:r>
      <w:r w:rsidR="00886F09" w:rsidRPr="003D3BBA">
        <w:t>5, 6</w:t>
      </w:r>
      <w:r w:rsidR="00D731FB" w:rsidRPr="003D3BBA">
        <w:fldChar w:fldCharType="end"/>
      </w:r>
      <w:r w:rsidR="00D731FB" w:rsidRPr="003D3BBA">
        <w:t xml:space="preserve"> </w:t>
      </w:r>
      <w:r w:rsidR="00164241" w:rsidRPr="003D3BBA">
        <w:t xml:space="preserve">New South Wales (NSW) and Queensland (Qld), the two other jurisdictions with historical evidence of trachoma endemicity, undertook mapping exercises to determine whether trachoma still existed as a public health </w:t>
      </w:r>
      <w:r w:rsidR="000A70E4" w:rsidRPr="003D3BBA">
        <w:t>problem</w:t>
      </w:r>
      <w:r w:rsidR="00164241" w:rsidRPr="003D3BBA">
        <w:t xml:space="preserve"> (NSW from 2013–2015 and Qld from 2012–2021). </w:t>
      </w:r>
      <w:r w:rsidR="00CB3B22" w:rsidRPr="003D3BBA">
        <w:t>Following</w:t>
      </w:r>
      <w:r w:rsidR="00164241" w:rsidRPr="003D3BBA">
        <w:t xml:space="preserve"> data received from these mapping exercises, the NTSCRG endorsed NSW and Qld as </w:t>
      </w:r>
      <w:r w:rsidR="00A51620" w:rsidRPr="003D3BBA">
        <w:t>no</w:t>
      </w:r>
      <w:r w:rsidR="00BF1C00" w:rsidRPr="003D3BBA">
        <w:t>t</w:t>
      </w:r>
      <w:r w:rsidR="00A51620" w:rsidRPr="003D3BBA">
        <w:t xml:space="preserve"> </w:t>
      </w:r>
      <w:r w:rsidR="00BB0D76" w:rsidRPr="003D3BBA">
        <w:t xml:space="preserve">at risk of </w:t>
      </w:r>
      <w:r w:rsidR="00A51620" w:rsidRPr="003D3BBA">
        <w:t xml:space="preserve">endemic </w:t>
      </w:r>
      <w:r w:rsidR="00164241" w:rsidRPr="003D3BBA">
        <w:t>trachoma in 2017 and 2022</w:t>
      </w:r>
      <w:r w:rsidR="0048724B" w:rsidRPr="003D3BBA">
        <w:t>,</w:t>
      </w:r>
      <w:r w:rsidR="00164241" w:rsidRPr="003D3BBA">
        <w:t xml:space="preserve"> respectively.</w:t>
      </w:r>
    </w:p>
    <w:p w14:paraId="276E2CA5" w14:textId="292E14F6" w:rsidR="00347647" w:rsidRPr="003D3BBA" w:rsidRDefault="00A768FD" w:rsidP="00F76882">
      <w:r w:rsidRPr="003D3BBA">
        <w:t>With the receipt of 2024 surveillance data,</w:t>
      </w:r>
      <w:r w:rsidR="002E30A0" w:rsidRPr="003D3BBA">
        <w:t xml:space="preserve"> the </w:t>
      </w:r>
      <w:r w:rsidR="00D96CD8" w:rsidRPr="003D3BBA">
        <w:t>NTSCRG</w:t>
      </w:r>
      <w:r w:rsidR="002E30A0" w:rsidRPr="003D3BBA">
        <w:t xml:space="preserve"> agreed </w:t>
      </w:r>
      <w:r w:rsidR="00D050A3" w:rsidRPr="003D3BBA">
        <w:t xml:space="preserve">in June 2025 </w:t>
      </w:r>
      <w:r w:rsidR="002E30A0" w:rsidRPr="003D3BBA">
        <w:t>to</w:t>
      </w:r>
      <w:r w:rsidR="009C1747" w:rsidRPr="003D3BBA">
        <w:t xml:space="preserve"> also</w:t>
      </w:r>
      <w:r w:rsidR="002E30A0" w:rsidRPr="003D3BBA">
        <w:t xml:space="preserve"> </w:t>
      </w:r>
      <w:r w:rsidR="00D96CD8" w:rsidRPr="003D3BBA">
        <w:t>e</w:t>
      </w:r>
      <w:r w:rsidR="00723230" w:rsidRPr="003D3BBA">
        <w:t xml:space="preserve">ndorse </w:t>
      </w:r>
      <w:r w:rsidR="006646A4" w:rsidRPr="003D3BBA">
        <w:t>SA</w:t>
      </w:r>
      <w:r w:rsidR="00185673" w:rsidRPr="003D3BBA">
        <w:t>’s</w:t>
      </w:r>
      <w:r w:rsidR="00723230" w:rsidRPr="003D3BBA">
        <w:t xml:space="preserve"> </w:t>
      </w:r>
      <w:r w:rsidR="006E3EA2" w:rsidRPr="003D3BBA">
        <w:br/>
      </w:r>
      <w:r w:rsidR="00723230" w:rsidRPr="003D3BBA">
        <w:t>re</w:t>
      </w:r>
      <w:r w:rsidR="006E3EA2" w:rsidRPr="003D3BBA">
        <w:t>-</w:t>
      </w:r>
      <w:r w:rsidR="00723230" w:rsidRPr="003D3BBA">
        <w:t xml:space="preserve">classification </w:t>
      </w:r>
      <w:r w:rsidR="00E222AD" w:rsidRPr="003D3BBA">
        <w:t>as free of endemic trachoma</w:t>
      </w:r>
      <w:r w:rsidR="009C1747" w:rsidRPr="003D3BBA">
        <w:t xml:space="preserve">. </w:t>
      </w:r>
      <w:r w:rsidR="001039A8" w:rsidRPr="003D3BBA">
        <w:t xml:space="preserve">No cases of </w:t>
      </w:r>
      <w:r w:rsidR="00EB4FB6" w:rsidRPr="003D3BBA">
        <w:t xml:space="preserve">active </w:t>
      </w:r>
      <w:r w:rsidR="001039A8" w:rsidRPr="003D3BBA">
        <w:t xml:space="preserve">trachoma have been reported in </w:t>
      </w:r>
      <w:r w:rsidR="006646A4" w:rsidRPr="003D3BBA">
        <w:t>SA</w:t>
      </w:r>
      <w:r w:rsidR="001039A8" w:rsidRPr="003D3BBA">
        <w:t xml:space="preserve"> since 2022</w:t>
      </w:r>
      <w:r w:rsidR="003A6201" w:rsidRPr="003D3BBA">
        <w:t xml:space="preserve">, whilst </w:t>
      </w:r>
      <w:r w:rsidR="006F3E55" w:rsidRPr="003D3BBA">
        <w:t>total cumulative screened prevalence</w:t>
      </w:r>
      <w:r w:rsidR="008640D8" w:rsidRPr="003D3BBA">
        <w:t xml:space="preserve"> of previously unidentified TT cases was 0.1% </w:t>
      </w:r>
      <w:r w:rsidR="006F3E55" w:rsidRPr="003D3BBA">
        <w:t>during this period</w:t>
      </w:r>
      <w:r w:rsidR="008640D8" w:rsidRPr="003D3BBA">
        <w:t>.</w:t>
      </w:r>
      <w:r w:rsidR="006F3E55" w:rsidRPr="003D3BBA">
        <w:t xml:space="preserve"> </w:t>
      </w:r>
      <w:r w:rsidR="006646A4" w:rsidRPr="003D3BBA">
        <w:t>SA</w:t>
      </w:r>
      <w:r w:rsidR="00A14361" w:rsidRPr="003D3BBA">
        <w:t xml:space="preserve"> joins </w:t>
      </w:r>
      <w:r w:rsidR="006646A4" w:rsidRPr="003D3BBA">
        <w:t>NSW</w:t>
      </w:r>
      <w:r w:rsidR="00A14361" w:rsidRPr="003D3BBA">
        <w:t xml:space="preserve"> and </w:t>
      </w:r>
      <w:r w:rsidR="00C93F39" w:rsidRPr="003D3BBA">
        <w:t>Qld</w:t>
      </w:r>
      <w:r w:rsidR="00A14361" w:rsidRPr="003D3BBA">
        <w:t xml:space="preserve"> in no longer requiring active trachoma screening as per </w:t>
      </w:r>
      <w:r w:rsidR="00D71CFC" w:rsidRPr="003D3BBA">
        <w:t>CDNA</w:t>
      </w:r>
      <w:r w:rsidR="00A14361" w:rsidRPr="003D3BBA">
        <w:t xml:space="preserve"> Guidelines.</w:t>
      </w:r>
      <w:r w:rsidR="002E1FC0" w:rsidRPr="003D3BBA">
        <w:t xml:space="preserve"> </w:t>
      </w:r>
      <w:r w:rsidR="00347647" w:rsidRPr="003D3BBA">
        <w:t xml:space="preserve">In the two other jurisdictions, WA and the NT, surveillance and treatment activities will continue in remaining </w:t>
      </w:r>
      <w:r w:rsidR="00A00ED2" w:rsidRPr="003D3BBA">
        <w:t>at-risk</w:t>
      </w:r>
      <w:r w:rsidR="00347647" w:rsidRPr="003D3BBA">
        <w:t xml:space="preserve"> communities during the peri</w:t>
      </w:r>
      <w:r w:rsidR="00EB39C8" w:rsidRPr="003D3BBA">
        <w:t>-</w:t>
      </w:r>
      <w:r w:rsidR="00347647" w:rsidRPr="003D3BBA">
        <w:t>elimination period.</w:t>
      </w:r>
    </w:p>
    <w:p w14:paraId="2EFFAEF3" w14:textId="2CF23ED1" w:rsidR="00360824" w:rsidRPr="003D3BBA" w:rsidRDefault="00347647" w:rsidP="00F76882">
      <w:bookmarkStart w:id="68" w:name="_Hlk210219415"/>
      <w:r w:rsidRPr="003D3BBA">
        <w:t xml:space="preserve">As Australia moves towards recognition of elimination of trachoma as a public health problem, </w:t>
      </w:r>
      <w:bookmarkEnd w:id="68"/>
      <w:r w:rsidRPr="003D3BBA">
        <w:t>further action to address environmental risk-factors is needed to sustain achievements, particularly in housing quality to support health outcomes in remote communities.</w:t>
      </w:r>
      <w:r w:rsidR="00027699" w:rsidRPr="003D3BBA">
        <w:t xml:space="preserve"> </w:t>
      </w:r>
      <w:r w:rsidR="00C65C9F" w:rsidRPr="003D3BBA">
        <w:t xml:space="preserve">Ongoing surveillance is required to track and respond to </w:t>
      </w:r>
      <w:r w:rsidR="00EA159D" w:rsidRPr="003D3BBA">
        <w:t xml:space="preserve">any </w:t>
      </w:r>
      <w:r w:rsidR="00C65C9F" w:rsidRPr="003D3BBA">
        <w:t xml:space="preserve">resurgence of trachoma, and accessible TT diagnosis and surgery pathways must remain in place to address long-term disease impacts. </w:t>
      </w:r>
      <w:r w:rsidR="00C0042A" w:rsidRPr="003D3BBA">
        <w:t xml:space="preserve">Aboriginal and Torres Strait Islander leadership </w:t>
      </w:r>
      <w:r w:rsidR="002F3FDC" w:rsidRPr="003D3BBA">
        <w:t xml:space="preserve">must underpin future </w:t>
      </w:r>
      <w:r w:rsidR="003513B4" w:rsidRPr="003D3BBA">
        <w:t xml:space="preserve">strategies </w:t>
      </w:r>
      <w:r w:rsidR="002F3FDC" w:rsidRPr="003D3BBA">
        <w:t xml:space="preserve">developed to </w:t>
      </w:r>
      <w:r w:rsidR="00C0042A" w:rsidRPr="003D3BBA">
        <w:t xml:space="preserve">ensure local ownership and accountability to </w:t>
      </w:r>
      <w:r w:rsidR="00E379A7" w:rsidRPr="003D3BBA">
        <w:t>communities</w:t>
      </w:r>
      <w:r w:rsidR="00C0042A" w:rsidRPr="003D3BBA">
        <w:t>.</w:t>
      </w:r>
    </w:p>
    <w:p w14:paraId="6B3FD58B" w14:textId="58FCD1F9" w:rsidR="003C4ED0" w:rsidRPr="00FC1E83" w:rsidRDefault="003C4ED0" w:rsidP="00F76882">
      <w:pPr>
        <w:pStyle w:val="Heading2"/>
      </w:pPr>
      <w:bookmarkStart w:id="69" w:name="_Toc203986535"/>
      <w:bookmarkStart w:id="70" w:name="_Toc215236945"/>
      <w:r w:rsidRPr="0036007C">
        <w:t>Summary of findings</w:t>
      </w:r>
      <w:bookmarkEnd w:id="69"/>
      <w:bookmarkEnd w:id="70"/>
    </w:p>
    <w:p w14:paraId="5E38C478" w14:textId="77777777" w:rsidR="00400D89" w:rsidRPr="00FC1E83" w:rsidRDefault="003C4ED0" w:rsidP="00F76882">
      <w:pPr>
        <w:pStyle w:val="Heading3"/>
      </w:pPr>
      <w:r w:rsidRPr="0036007C">
        <w:t>Trachoma program coverage</w:t>
      </w:r>
    </w:p>
    <w:p w14:paraId="15902F3E" w14:textId="3D0DB7EC" w:rsidR="00220041" w:rsidRPr="0036007C" w:rsidRDefault="0048782D" w:rsidP="00F76882">
      <w:pPr>
        <w:pStyle w:val="TableofFigures"/>
      </w:pPr>
      <w:r w:rsidRPr="0036007C">
        <w:t>In 2024</w:t>
      </w:r>
      <w:r w:rsidR="003372DC" w:rsidRPr="0036007C">
        <w:t>,</w:t>
      </w:r>
      <w:r w:rsidRPr="0036007C">
        <w:t xml:space="preserve"> three jurisdictions</w:t>
      </w:r>
      <w:r w:rsidR="00B3578F" w:rsidRPr="0036007C">
        <w:t xml:space="preserve"> (NT, SA</w:t>
      </w:r>
      <w:r w:rsidR="002F3FDC" w:rsidRPr="0036007C">
        <w:t>,</w:t>
      </w:r>
      <w:r w:rsidR="00B3578F" w:rsidRPr="0036007C">
        <w:t xml:space="preserve"> and WA)</w:t>
      </w:r>
      <w:r w:rsidRPr="0036007C">
        <w:t xml:space="preserve"> </w:t>
      </w:r>
      <w:r w:rsidR="00B93E2F" w:rsidRPr="0036007C">
        <w:t xml:space="preserve">identified communities across 11 sub-regions </w:t>
      </w:r>
      <w:r w:rsidR="00E63FF3" w:rsidRPr="0036007C">
        <w:t xml:space="preserve">as </w:t>
      </w:r>
      <w:r w:rsidRPr="0036007C">
        <w:t>at risk of trachoma and requiring screening as per CDNA Guidelines</w:t>
      </w:r>
      <w:r w:rsidR="00E63FF3" w:rsidRPr="0036007C">
        <w:t xml:space="preserve"> (Figure 1.1)</w:t>
      </w:r>
      <w:r w:rsidR="0009343A" w:rsidRPr="0036007C">
        <w:t>.</w:t>
      </w:r>
      <w:r w:rsidRPr="0036007C">
        <w:t xml:space="preserve"> </w:t>
      </w:r>
    </w:p>
    <w:p w14:paraId="2A11E08A" w14:textId="6F486A1C" w:rsidR="0048782D" w:rsidRPr="0036007C" w:rsidRDefault="0017546F" w:rsidP="00F76882">
      <w:pPr>
        <w:pStyle w:val="TableofFigures"/>
      </w:pPr>
      <w:r w:rsidRPr="0036007C">
        <w:t xml:space="preserve">Within </w:t>
      </w:r>
      <w:r w:rsidR="00EE67C4" w:rsidRPr="0036007C">
        <w:t>these</w:t>
      </w:r>
      <w:r w:rsidRPr="0036007C">
        <w:t xml:space="preserve"> jurisdictions</w:t>
      </w:r>
      <w:r w:rsidR="00310CE7" w:rsidRPr="0036007C">
        <w:t>,</w:t>
      </w:r>
      <w:r w:rsidR="00EE67C4" w:rsidRPr="0036007C">
        <w:t xml:space="preserve"> </w:t>
      </w:r>
      <w:r w:rsidR="0048782D" w:rsidRPr="0036007C">
        <w:t xml:space="preserve">35 </w:t>
      </w:r>
      <w:r w:rsidR="000519DB" w:rsidRPr="0036007C">
        <w:t>at</w:t>
      </w:r>
      <w:r w:rsidR="00B4212B" w:rsidRPr="0036007C">
        <w:t>-</w:t>
      </w:r>
      <w:r w:rsidR="000519DB" w:rsidRPr="0036007C">
        <w:t xml:space="preserve">risk </w:t>
      </w:r>
      <w:r w:rsidR="0048782D" w:rsidRPr="0036007C">
        <w:t xml:space="preserve">communities </w:t>
      </w:r>
      <w:r w:rsidR="000519DB" w:rsidRPr="0036007C">
        <w:t xml:space="preserve">were </w:t>
      </w:r>
      <w:r w:rsidR="0048782D" w:rsidRPr="0036007C">
        <w:t>identified in the NT, 11 in SA</w:t>
      </w:r>
      <w:r w:rsidR="00041064" w:rsidRPr="0036007C">
        <w:t>,</w:t>
      </w:r>
      <w:r w:rsidR="0048782D" w:rsidRPr="0036007C">
        <w:t xml:space="preserve"> and 26 in</w:t>
      </w:r>
      <w:r w:rsidR="00586759" w:rsidRPr="0036007C">
        <w:t xml:space="preserve"> WA</w:t>
      </w:r>
      <w:r w:rsidR="0048782D" w:rsidRPr="0036007C">
        <w:t>.</w:t>
      </w:r>
    </w:p>
    <w:p w14:paraId="0ADFDEC2" w14:textId="0F9C2A88" w:rsidR="0048782D" w:rsidRPr="001B4458" w:rsidRDefault="00E103E3" w:rsidP="00F76882">
      <w:pPr>
        <w:pStyle w:val="TableofFigures"/>
      </w:pPr>
      <w:r w:rsidRPr="0036007C">
        <w:t>Jurisdictional</w:t>
      </w:r>
      <w:r w:rsidR="002B3F32" w:rsidRPr="0036007C">
        <w:t xml:space="preserve"> trachoma control programs in NT and SA</w:t>
      </w:r>
      <w:r w:rsidR="0048782D" w:rsidRPr="0036007C">
        <w:t xml:space="preserve"> undertook additional screening as part of evidence confirmation for </w:t>
      </w:r>
      <w:r w:rsidR="007026E7" w:rsidRPr="0036007C">
        <w:t xml:space="preserve">WHO </w:t>
      </w:r>
      <w:r w:rsidR="0048782D" w:rsidRPr="0036007C">
        <w:t xml:space="preserve">dossier validation. This additional screening included 13 communities previously removed from the at-risk register with </w:t>
      </w:r>
      <w:r w:rsidR="006F190F" w:rsidRPr="0036007C">
        <w:t>geographic and cultural</w:t>
      </w:r>
      <w:r w:rsidR="0048782D" w:rsidRPr="0036007C">
        <w:t xml:space="preserve"> linkages to current at-risk communities</w:t>
      </w:r>
      <w:r w:rsidR="00254F43" w:rsidRPr="0036007C">
        <w:t xml:space="preserve">, plus </w:t>
      </w:r>
      <w:r w:rsidR="0048782D" w:rsidRPr="0036007C">
        <w:t xml:space="preserve">five at-risk communities not due for screening in 2024 under CDNA Guidelines. </w:t>
      </w:r>
      <w:r w:rsidR="00D842F8" w:rsidRPr="0036007C">
        <w:t xml:space="preserve">For the purposes of simplicity, results from these 18 communities that would not normally require screening in 2024 are counted as at-risk communities and included in 2024 results. </w:t>
      </w:r>
    </w:p>
    <w:p w14:paraId="49717D09" w14:textId="182889A6" w:rsidR="0048782D" w:rsidRPr="001B4458" w:rsidRDefault="00783A06" w:rsidP="00F76882">
      <w:pPr>
        <w:pStyle w:val="TableofFigures"/>
      </w:pPr>
      <w:r w:rsidRPr="0036007C">
        <w:t xml:space="preserve">This gives a </w:t>
      </w:r>
      <w:r w:rsidR="00F3497F" w:rsidRPr="0036007C">
        <w:t>sum</w:t>
      </w:r>
      <w:r w:rsidRPr="0036007C">
        <w:t xml:space="preserve"> of</w:t>
      </w:r>
      <w:r w:rsidR="0048782D" w:rsidRPr="0036007C">
        <w:t xml:space="preserve"> 90 remote Indigenous communities designated as at risk of trachoma and requiring screening in 2024. </w:t>
      </w:r>
    </w:p>
    <w:p w14:paraId="21D6A3D4" w14:textId="2958D466" w:rsidR="0048782D" w:rsidRPr="001B4458" w:rsidRDefault="0048782D" w:rsidP="00F76882">
      <w:pPr>
        <w:pStyle w:val="TableofFigures"/>
      </w:pPr>
      <w:r w:rsidRPr="0036007C">
        <w:rPr>
          <w:lang w:val="en-AU"/>
        </w:rPr>
        <w:t xml:space="preserve">WA </w:t>
      </w:r>
      <w:r w:rsidR="00600390" w:rsidRPr="0036007C">
        <w:rPr>
          <w:lang w:val="en-AU"/>
        </w:rPr>
        <w:t>reported</w:t>
      </w:r>
      <w:r w:rsidRPr="001B4458">
        <w:t xml:space="preserve"> </w:t>
      </w:r>
      <w:r w:rsidRPr="0036007C">
        <w:rPr>
          <w:lang w:val="en-AU"/>
        </w:rPr>
        <w:t>seven other communities as at risk of trachoma</w:t>
      </w:r>
      <w:r w:rsidR="00BB3449" w:rsidRPr="0036007C">
        <w:rPr>
          <w:lang w:val="en-AU"/>
        </w:rPr>
        <w:t xml:space="preserve"> yet</w:t>
      </w:r>
      <w:r w:rsidRPr="0036007C">
        <w:rPr>
          <w:lang w:val="en-AU"/>
        </w:rPr>
        <w:t xml:space="preserve"> not due for screening in 2024 under CDNA Guidelines. This </w:t>
      </w:r>
      <w:r w:rsidRPr="001B4458">
        <w:t xml:space="preserve">brings </w:t>
      </w:r>
      <w:r w:rsidR="0025473F" w:rsidRPr="001B4458">
        <w:t xml:space="preserve">to 97 </w:t>
      </w:r>
      <w:r w:rsidRPr="001B4458">
        <w:t xml:space="preserve">the </w:t>
      </w:r>
      <w:r w:rsidR="00551D98" w:rsidRPr="001B4458">
        <w:t xml:space="preserve">total </w:t>
      </w:r>
      <w:r w:rsidRPr="001B4458">
        <w:t xml:space="preserve">number of </w:t>
      </w:r>
      <w:r w:rsidR="00B71532" w:rsidRPr="001B4458">
        <w:t xml:space="preserve">all </w:t>
      </w:r>
      <w:r w:rsidRPr="001B4458">
        <w:t>communities designated as at risk of trachoma in 2024 (</w:t>
      </w:r>
      <w:r w:rsidRPr="001B4458">
        <w:fldChar w:fldCharType="begin"/>
      </w:r>
      <w:r w:rsidRPr="001B4458">
        <w:instrText xml:space="preserve"> REF _Ref58328952 \h  \* MERGEFORMAT </w:instrText>
      </w:r>
      <w:r w:rsidRPr="001B4458">
        <w:fldChar w:fldCharType="separate"/>
      </w:r>
      <w:r w:rsidRPr="001B4458">
        <w:t>Table 1.1</w:t>
      </w:r>
      <w:r w:rsidRPr="001B4458">
        <w:fldChar w:fldCharType="end"/>
      </w:r>
      <w:r w:rsidRPr="001B4458">
        <w:t xml:space="preserve">). </w:t>
      </w:r>
    </w:p>
    <w:p w14:paraId="1B35FBD2" w14:textId="7DFF108A" w:rsidR="00920AA1" w:rsidRPr="003D3BBA" w:rsidRDefault="0048782D" w:rsidP="00F76882">
      <w:pPr>
        <w:pStyle w:val="TableofFigures"/>
      </w:pPr>
      <w:r w:rsidRPr="0036007C">
        <w:t>The number of communities at risk of trachoma in Australia has declined across all jurisdictions,</w:t>
      </w:r>
      <w:r w:rsidRPr="00F57624">
        <w:t> </w:t>
      </w:r>
      <w:r w:rsidRPr="0036007C">
        <w:t>even when including the additional communities screened in 2024. Between 2010 and 2024, the number of at-risk communities fell by 43% in the NT (84 in 2010 to 48 in 2024), by 78% in SA (72 in 2010 to 16 in 2024)</w:t>
      </w:r>
      <w:r w:rsidR="00041064" w:rsidRPr="0036007C">
        <w:t xml:space="preserve">, and </w:t>
      </w:r>
      <w:r w:rsidRPr="0036007C">
        <w:t>by 62% in WA (86 in 2010 to 33 in 2024) (</w:t>
      </w:r>
      <w:r w:rsidRPr="0036007C">
        <w:fldChar w:fldCharType="begin"/>
      </w:r>
      <w:r w:rsidRPr="0036007C">
        <w:instrText xml:space="preserve"> REF _Ref58328719 \h  \* MERGEFORMAT </w:instrText>
      </w:r>
      <w:r w:rsidRPr="0036007C">
        <w:fldChar w:fldCharType="separate"/>
      </w:r>
      <w:r w:rsidRPr="0036007C">
        <w:t>Figure 1.2</w:t>
      </w:r>
      <w:r w:rsidRPr="0036007C">
        <w:fldChar w:fldCharType="end"/>
      </w:r>
      <w:r w:rsidRPr="0036007C">
        <w:t>).</w:t>
      </w:r>
    </w:p>
    <w:p w14:paraId="53EDD5AD" w14:textId="77777777" w:rsidR="003C4ED0" w:rsidRPr="0036007C" w:rsidRDefault="003C4ED0" w:rsidP="00F76882">
      <w:pPr>
        <w:pStyle w:val="Heading3"/>
      </w:pPr>
      <w:r w:rsidRPr="0036007C">
        <w:t>Screening coverage</w:t>
      </w:r>
    </w:p>
    <w:p w14:paraId="2651BD20" w14:textId="77777777" w:rsidR="008E6F07" w:rsidRPr="0036007C" w:rsidRDefault="008E6F07" w:rsidP="00F76882">
      <w:pPr>
        <w:pStyle w:val="TableofFigures"/>
      </w:pPr>
      <w:bookmarkStart w:id="71" w:name="_Hlk114840044"/>
      <w:r w:rsidRPr="0036007C">
        <w:t xml:space="preserve">Screening is conducted during a dedicated visit by jurisdictional control programs or primary health services. </w:t>
      </w:r>
    </w:p>
    <w:p w14:paraId="1626B9C0" w14:textId="1E5DB29F" w:rsidR="00B96816" w:rsidRPr="0036007C" w:rsidRDefault="00D5385A" w:rsidP="00F76882">
      <w:pPr>
        <w:pStyle w:val="TableofFigures"/>
      </w:pPr>
      <w:r w:rsidRPr="0036007C">
        <w:t xml:space="preserve">Jurisdictional trachoma control programs screened </w:t>
      </w:r>
      <w:r w:rsidR="00781506" w:rsidRPr="0036007C">
        <w:t xml:space="preserve">86 of </w:t>
      </w:r>
      <w:r w:rsidR="00841D65" w:rsidRPr="0036007C">
        <w:t xml:space="preserve">the 90 communities designated for screening in 2024 (96%) </w:t>
      </w:r>
      <w:r w:rsidR="00B96816" w:rsidRPr="0036007C">
        <w:t>(</w:t>
      </w:r>
      <w:r w:rsidR="00B96816" w:rsidRPr="0036007C">
        <w:fldChar w:fldCharType="begin"/>
      </w:r>
      <w:r w:rsidR="00B96816" w:rsidRPr="0036007C">
        <w:instrText xml:space="preserve"> REF _Ref58328952 \h  \* MERGEFORMAT </w:instrText>
      </w:r>
      <w:r w:rsidR="00B96816" w:rsidRPr="0036007C">
        <w:fldChar w:fldCharType="separate"/>
      </w:r>
      <w:r w:rsidR="00B96816" w:rsidRPr="0036007C">
        <w:t>Table 1.1</w:t>
      </w:r>
      <w:r w:rsidR="00B96816" w:rsidRPr="0036007C">
        <w:fldChar w:fldCharType="end"/>
      </w:r>
      <w:r w:rsidR="00B96816" w:rsidRPr="0036007C">
        <w:t>).</w:t>
      </w:r>
    </w:p>
    <w:p w14:paraId="21E04E21" w14:textId="7207F433" w:rsidR="00957F2C" w:rsidRPr="0036007C" w:rsidRDefault="003C4ED0" w:rsidP="00F76882">
      <w:pPr>
        <w:pStyle w:val="TableofFigures"/>
      </w:pPr>
      <w:r w:rsidRPr="0036007C">
        <w:t xml:space="preserve">Within </w:t>
      </w:r>
      <w:r w:rsidR="007336FA" w:rsidRPr="0036007C">
        <w:t xml:space="preserve">these </w:t>
      </w:r>
      <w:r w:rsidRPr="0036007C">
        <w:t xml:space="preserve">communities, </w:t>
      </w:r>
      <w:r w:rsidR="00F26556" w:rsidRPr="0036007C">
        <w:t>1,885</w:t>
      </w:r>
      <w:r w:rsidR="0008223A" w:rsidRPr="0036007C">
        <w:t xml:space="preserve"> of</w:t>
      </w:r>
      <w:r w:rsidRPr="0036007C">
        <w:t xml:space="preserve"> an estimated </w:t>
      </w:r>
      <w:r w:rsidR="005D0C9D" w:rsidRPr="0036007C">
        <w:t>2,119</w:t>
      </w:r>
      <w:r w:rsidRPr="0036007C">
        <w:t xml:space="preserve"> resident children aged 5</w:t>
      </w:r>
      <w:r w:rsidR="003D00CE" w:rsidRPr="0036007C">
        <w:t>–</w:t>
      </w:r>
      <w:r w:rsidRPr="0036007C">
        <w:t>9 years were screened</w:t>
      </w:r>
      <w:r w:rsidR="00BB72D1" w:rsidRPr="0036007C">
        <w:t xml:space="preserve"> for trachoma</w:t>
      </w:r>
      <w:r w:rsidR="008D6EDA" w:rsidRPr="0036007C">
        <w:t xml:space="preserve"> in </w:t>
      </w:r>
      <w:r w:rsidR="00C3405D" w:rsidRPr="0036007C">
        <w:t>2024</w:t>
      </w:r>
      <w:r w:rsidR="006C0B2F" w:rsidRPr="0036007C">
        <w:t xml:space="preserve"> (</w:t>
      </w:r>
      <w:r w:rsidR="005D0C9D" w:rsidRPr="0036007C">
        <w:t>89</w:t>
      </w:r>
      <w:r w:rsidR="006C0B2F" w:rsidRPr="0036007C">
        <w:t>%)</w:t>
      </w:r>
      <w:r w:rsidRPr="0036007C">
        <w:t xml:space="preserve"> </w:t>
      </w:r>
      <w:bookmarkEnd w:id="71"/>
      <w:r w:rsidRPr="0036007C">
        <w:t>(</w:t>
      </w:r>
      <w:r w:rsidR="008233BF" w:rsidRPr="0036007C">
        <w:fldChar w:fldCharType="begin"/>
      </w:r>
      <w:r w:rsidR="008233BF" w:rsidRPr="0036007C">
        <w:instrText xml:space="preserve"> REF _Ref58332105 \h </w:instrText>
      </w:r>
      <w:r w:rsidR="00A36C6D" w:rsidRPr="0036007C">
        <w:instrText xml:space="preserve"> \* MERGEFORMAT </w:instrText>
      </w:r>
      <w:r w:rsidR="008233BF" w:rsidRPr="0036007C">
        <w:fldChar w:fldCharType="separate"/>
      </w:r>
      <w:r w:rsidR="008233BF" w:rsidRPr="0036007C">
        <w:t>Table 1.2</w:t>
      </w:r>
      <w:r w:rsidR="008233BF" w:rsidRPr="0036007C">
        <w:fldChar w:fldCharType="end"/>
      </w:r>
      <w:r w:rsidRPr="0036007C">
        <w:t>).</w:t>
      </w:r>
      <w:r w:rsidR="00350499" w:rsidRPr="0036007C">
        <w:t xml:space="preserve"> </w:t>
      </w:r>
      <w:r w:rsidR="0020046B" w:rsidRPr="0036007C">
        <w:t xml:space="preserve">This is </w:t>
      </w:r>
      <w:proofErr w:type="gramStart"/>
      <w:r w:rsidR="00B653D4" w:rsidRPr="0036007C">
        <w:t>similar to</w:t>
      </w:r>
      <w:proofErr w:type="gramEnd"/>
      <w:r w:rsidR="00B653D4" w:rsidRPr="0036007C">
        <w:t xml:space="preserve"> the</w:t>
      </w:r>
      <w:r w:rsidR="0020046B" w:rsidRPr="0036007C">
        <w:t xml:space="preserve"> </w:t>
      </w:r>
      <w:r w:rsidR="00976AB1" w:rsidRPr="0036007C">
        <w:t xml:space="preserve">national </w:t>
      </w:r>
      <w:r w:rsidR="0020046B" w:rsidRPr="0036007C">
        <w:t xml:space="preserve">screening </w:t>
      </w:r>
      <w:r w:rsidR="00333C14" w:rsidRPr="0036007C">
        <w:t xml:space="preserve">coverage </w:t>
      </w:r>
      <w:r w:rsidR="005C1ED6" w:rsidRPr="0036007C">
        <w:t xml:space="preserve">for at-risk communities </w:t>
      </w:r>
      <w:r w:rsidR="00B653D4" w:rsidRPr="0036007C">
        <w:t>in 2023 (91%)</w:t>
      </w:r>
      <w:r w:rsidR="0020046B" w:rsidRPr="0036007C">
        <w:t>.</w:t>
      </w:r>
    </w:p>
    <w:p w14:paraId="6109256A" w14:textId="4A8A7003" w:rsidR="00A17FA8" w:rsidRPr="0036007C" w:rsidRDefault="00246673" w:rsidP="00F76882">
      <w:pPr>
        <w:pStyle w:val="TableofFigures"/>
      </w:pPr>
      <w:r w:rsidRPr="0036007C">
        <w:t>S</w:t>
      </w:r>
      <w:r w:rsidR="003C4ED0" w:rsidRPr="0036007C">
        <w:t xml:space="preserve">creening coverage </w:t>
      </w:r>
      <w:r w:rsidR="00DF62CF" w:rsidRPr="0036007C">
        <w:t xml:space="preserve">at the jurisdictional level </w:t>
      </w:r>
      <w:r w:rsidR="003C4ED0" w:rsidRPr="0036007C">
        <w:t xml:space="preserve">was </w:t>
      </w:r>
      <w:proofErr w:type="gramStart"/>
      <w:r w:rsidR="00696559" w:rsidRPr="0036007C">
        <w:t>fairly uniform</w:t>
      </w:r>
      <w:proofErr w:type="gramEnd"/>
      <w:r w:rsidR="008431A7" w:rsidRPr="0036007C">
        <w:t xml:space="preserve"> at 87</w:t>
      </w:r>
      <w:r w:rsidR="003C4ED0" w:rsidRPr="0036007C">
        <w:t xml:space="preserve">% </w:t>
      </w:r>
      <w:r w:rsidR="00E54578" w:rsidRPr="0036007C">
        <w:t>in</w:t>
      </w:r>
      <w:r w:rsidR="003C4ED0" w:rsidRPr="0036007C">
        <w:t xml:space="preserve"> the </w:t>
      </w:r>
      <w:r w:rsidR="0048728D" w:rsidRPr="0036007C">
        <w:t>N</w:t>
      </w:r>
      <w:r w:rsidR="003C4ED0" w:rsidRPr="0036007C">
        <w:t>T</w:t>
      </w:r>
      <w:r w:rsidR="00130088" w:rsidRPr="0036007C">
        <w:t xml:space="preserve">, </w:t>
      </w:r>
      <w:r w:rsidR="008431A7" w:rsidRPr="0036007C">
        <w:t>91</w:t>
      </w:r>
      <w:r w:rsidR="00ED3D26" w:rsidRPr="0036007C">
        <w:t xml:space="preserve">% </w:t>
      </w:r>
      <w:r w:rsidR="00DF62CF" w:rsidRPr="0036007C">
        <w:t>in</w:t>
      </w:r>
      <w:r w:rsidR="00ED3D26" w:rsidRPr="0036007C">
        <w:t xml:space="preserve"> </w:t>
      </w:r>
      <w:r w:rsidR="00EF692D" w:rsidRPr="0036007C">
        <w:t>S</w:t>
      </w:r>
      <w:r w:rsidR="00ED3D26" w:rsidRPr="0036007C">
        <w:t>A</w:t>
      </w:r>
      <w:r w:rsidR="00041064" w:rsidRPr="0036007C">
        <w:t xml:space="preserve">, and </w:t>
      </w:r>
      <w:r w:rsidR="00ED3D26" w:rsidRPr="0036007C">
        <w:t>9</w:t>
      </w:r>
      <w:r w:rsidR="008431A7" w:rsidRPr="0036007C">
        <w:t>2</w:t>
      </w:r>
      <w:r w:rsidR="003C4ED0" w:rsidRPr="0036007C">
        <w:t xml:space="preserve">% </w:t>
      </w:r>
      <w:r w:rsidR="00DF62CF" w:rsidRPr="0036007C">
        <w:t>in</w:t>
      </w:r>
      <w:r w:rsidR="003C4ED0" w:rsidRPr="0036007C">
        <w:t xml:space="preserve"> </w:t>
      </w:r>
      <w:r w:rsidR="00EF692D" w:rsidRPr="0036007C">
        <w:t>WA</w:t>
      </w:r>
      <w:r w:rsidR="00830854" w:rsidRPr="0036007C">
        <w:t xml:space="preserve"> in </w:t>
      </w:r>
      <w:r w:rsidR="00C3405D" w:rsidRPr="0036007C">
        <w:t>2024</w:t>
      </w:r>
      <w:r w:rsidR="0048728D" w:rsidRPr="0036007C">
        <w:t xml:space="preserve"> </w:t>
      </w:r>
      <w:r w:rsidR="003C4ED0" w:rsidRPr="0036007C">
        <w:t>(</w:t>
      </w:r>
      <w:r w:rsidR="008233BF" w:rsidRPr="0036007C">
        <w:fldChar w:fldCharType="begin"/>
      </w:r>
      <w:r w:rsidR="008233BF" w:rsidRPr="0036007C">
        <w:instrText xml:space="preserve"> REF _Ref58332105 \h </w:instrText>
      </w:r>
      <w:r w:rsidR="00A36C6D" w:rsidRPr="0036007C">
        <w:instrText xml:space="preserve"> \* MERGEFORMAT </w:instrText>
      </w:r>
      <w:r w:rsidR="008233BF" w:rsidRPr="0036007C">
        <w:fldChar w:fldCharType="separate"/>
      </w:r>
      <w:r w:rsidR="008233BF" w:rsidRPr="0036007C">
        <w:t>Table 1.2</w:t>
      </w:r>
      <w:r w:rsidR="008233BF" w:rsidRPr="0036007C">
        <w:fldChar w:fldCharType="end"/>
      </w:r>
      <w:r w:rsidR="008D6EDA" w:rsidRPr="0036007C">
        <w:t>)</w:t>
      </w:r>
      <w:r w:rsidR="003C4ED0" w:rsidRPr="0036007C">
        <w:t>.</w:t>
      </w:r>
      <w:r w:rsidR="00074527" w:rsidRPr="0036007C">
        <w:t xml:space="preserve"> </w:t>
      </w:r>
    </w:p>
    <w:p w14:paraId="3521F9D1" w14:textId="2AD69EAD" w:rsidR="003C4ED0" w:rsidRPr="0036007C" w:rsidRDefault="006F4DF8" w:rsidP="00F76882">
      <w:pPr>
        <w:pStyle w:val="TableofFigures"/>
      </w:pPr>
      <w:r w:rsidRPr="0036007C">
        <w:t>A</w:t>
      </w:r>
      <w:r w:rsidR="00074527" w:rsidRPr="0036007C">
        <w:t>t the regional</w:t>
      </w:r>
      <w:r w:rsidR="006734BC" w:rsidRPr="0036007C">
        <w:t xml:space="preserve"> (sub-jurisdictional)</w:t>
      </w:r>
      <w:r w:rsidR="00074527" w:rsidRPr="0036007C">
        <w:t xml:space="preserve"> level</w:t>
      </w:r>
      <w:r w:rsidRPr="0036007C">
        <w:t>, screening coverage</w:t>
      </w:r>
      <w:r w:rsidR="00074527" w:rsidRPr="0036007C">
        <w:t xml:space="preserve"> ranged from 86% in </w:t>
      </w:r>
      <w:r w:rsidR="006A6C78" w:rsidRPr="003D3BBA">
        <w:t xml:space="preserve">Anangu </w:t>
      </w:r>
      <w:proofErr w:type="spellStart"/>
      <w:r w:rsidR="006A6C78" w:rsidRPr="003D3BBA">
        <w:t>Pitjantjatjara</w:t>
      </w:r>
      <w:proofErr w:type="spellEnd"/>
      <w:r w:rsidR="006A6C78" w:rsidRPr="003D3BBA">
        <w:t xml:space="preserve"> Yankunytjatjara (</w:t>
      </w:r>
      <w:r w:rsidR="00074527" w:rsidRPr="0036007C">
        <w:t>APY</w:t>
      </w:r>
      <w:r w:rsidR="006A6C78" w:rsidRPr="0036007C">
        <w:t>)</w:t>
      </w:r>
      <w:r w:rsidR="00074527" w:rsidRPr="0036007C">
        <w:t xml:space="preserve"> Lands</w:t>
      </w:r>
      <w:r w:rsidR="00BA23A4" w:rsidRPr="0036007C">
        <w:t xml:space="preserve"> (SA)</w:t>
      </w:r>
      <w:r w:rsidR="00074527" w:rsidRPr="0036007C">
        <w:t xml:space="preserve"> and Kimberley </w:t>
      </w:r>
      <w:r w:rsidR="00BA23A4" w:rsidRPr="0036007C">
        <w:t xml:space="preserve">(WA) </w:t>
      </w:r>
      <w:r w:rsidR="00074527" w:rsidRPr="0036007C">
        <w:t xml:space="preserve">to 99% in Eyre and Far Western region </w:t>
      </w:r>
      <w:r w:rsidR="00BA23A4" w:rsidRPr="0036007C">
        <w:t xml:space="preserve">(SA) </w:t>
      </w:r>
      <w:r w:rsidR="00074527" w:rsidRPr="0036007C">
        <w:t>(Tables 2.2, 4.2</w:t>
      </w:r>
      <w:r w:rsidR="00041064" w:rsidRPr="0036007C">
        <w:t xml:space="preserve">, </w:t>
      </w:r>
      <w:r w:rsidR="00074527" w:rsidRPr="0036007C">
        <w:t>5.2)</w:t>
      </w:r>
      <w:r w:rsidR="00A21F87" w:rsidRPr="0036007C">
        <w:rPr>
          <w:rStyle w:val="FootnoteReference"/>
          <w:lang w:val="en-AU"/>
        </w:rPr>
        <w:t xml:space="preserve"> </w:t>
      </w:r>
      <w:r w:rsidR="00A21F87" w:rsidRPr="0036007C">
        <w:rPr>
          <w:rStyle w:val="FootnoteReference"/>
          <w:lang w:val="en-AU"/>
        </w:rPr>
        <w:footnoteReference w:id="3"/>
      </w:r>
      <w:r w:rsidR="00074527" w:rsidRPr="0036007C">
        <w:t>.</w:t>
      </w:r>
    </w:p>
    <w:p w14:paraId="737998BF" w14:textId="77777777" w:rsidR="00957F2C" w:rsidRPr="0036007C" w:rsidRDefault="003C4ED0" w:rsidP="00F76882">
      <w:pPr>
        <w:pStyle w:val="Heading3"/>
      </w:pPr>
      <w:r w:rsidRPr="0036007C">
        <w:t>Facial cleanliness</w:t>
      </w:r>
    </w:p>
    <w:p w14:paraId="1AE5BEB7" w14:textId="2B0162FB" w:rsidR="003C4ED0" w:rsidRPr="0036007C" w:rsidRDefault="00DF0788" w:rsidP="00F76882">
      <w:pPr>
        <w:pStyle w:val="TableofFigures"/>
      </w:pPr>
      <w:r w:rsidRPr="0036007C">
        <w:t xml:space="preserve">Jurisdictional trachoma control programs also examined a </w:t>
      </w:r>
      <w:r w:rsidR="003C4ED0" w:rsidRPr="0036007C">
        <w:t xml:space="preserve">total of </w:t>
      </w:r>
      <w:r w:rsidR="002149EF" w:rsidRPr="0036007C">
        <w:t>1,984</w:t>
      </w:r>
      <w:r w:rsidR="00EF5A13" w:rsidRPr="0036007C">
        <w:t xml:space="preserve"> </w:t>
      </w:r>
      <w:r w:rsidR="003C4ED0" w:rsidRPr="0036007C">
        <w:t>children aged 5</w:t>
      </w:r>
      <w:r w:rsidR="003D00CE" w:rsidRPr="0036007C">
        <w:t>–</w:t>
      </w:r>
      <w:r w:rsidR="003C4ED0" w:rsidRPr="0036007C">
        <w:t>9 years</w:t>
      </w:r>
      <w:r w:rsidR="00877B06" w:rsidRPr="0036007C">
        <w:t xml:space="preserve"> </w:t>
      </w:r>
      <w:r w:rsidR="005C4269" w:rsidRPr="0036007C">
        <w:t xml:space="preserve">for facial cleanliness </w:t>
      </w:r>
      <w:r w:rsidRPr="0036007C">
        <w:t>during trachoma screening</w:t>
      </w:r>
      <w:r w:rsidR="003C4ED0" w:rsidRPr="0036007C">
        <w:t xml:space="preserve"> (</w:t>
      </w:r>
      <w:r w:rsidR="008233BF" w:rsidRPr="0036007C">
        <w:fldChar w:fldCharType="begin"/>
      </w:r>
      <w:r w:rsidR="008233BF" w:rsidRPr="0036007C">
        <w:instrText xml:space="preserve"> REF _Ref58332105 \h </w:instrText>
      </w:r>
      <w:r w:rsidR="00A36C6D" w:rsidRPr="0036007C">
        <w:instrText xml:space="preserve"> \* MERGEFORMAT </w:instrText>
      </w:r>
      <w:r w:rsidR="008233BF" w:rsidRPr="0036007C">
        <w:fldChar w:fldCharType="separate"/>
      </w:r>
      <w:r w:rsidR="008233BF" w:rsidRPr="0036007C">
        <w:t>Table 1.2</w:t>
      </w:r>
      <w:r w:rsidR="008233BF" w:rsidRPr="0036007C">
        <w:fldChar w:fldCharType="end"/>
      </w:r>
      <w:r w:rsidR="003C4ED0" w:rsidRPr="0036007C">
        <w:t>).</w:t>
      </w:r>
    </w:p>
    <w:p w14:paraId="7AD23889" w14:textId="586BA563" w:rsidR="0083115E" w:rsidRPr="0036007C" w:rsidRDefault="003C4ED0" w:rsidP="00F76882">
      <w:pPr>
        <w:pStyle w:val="TableofFigures"/>
      </w:pPr>
      <w:bookmarkStart w:id="72" w:name="_Hlk114840085"/>
      <w:r w:rsidRPr="0036007C">
        <w:t xml:space="preserve">The </w:t>
      </w:r>
      <w:r w:rsidR="008D762C" w:rsidRPr="0036007C">
        <w:t xml:space="preserve">national </w:t>
      </w:r>
      <w:r w:rsidR="0016408A" w:rsidRPr="0036007C">
        <w:t>proportion</w:t>
      </w:r>
      <w:r w:rsidRPr="0036007C">
        <w:t xml:space="preserve"> of clean faces i</w:t>
      </w:r>
      <w:r w:rsidR="004E209A" w:rsidRPr="0036007C">
        <w:t>n child</w:t>
      </w:r>
      <w:r w:rsidR="00C70B0D" w:rsidRPr="0036007C">
        <w:t>ren</w:t>
      </w:r>
      <w:r w:rsidR="004A1BF8" w:rsidRPr="0036007C">
        <w:t xml:space="preserve"> screened</w:t>
      </w:r>
      <w:r w:rsidR="003D5021" w:rsidRPr="0036007C">
        <w:t xml:space="preserve"> </w:t>
      </w:r>
      <w:r w:rsidR="004A1BF8" w:rsidRPr="0036007C">
        <w:t xml:space="preserve">in </w:t>
      </w:r>
      <w:r w:rsidR="00C3405D" w:rsidRPr="0036007C">
        <w:t>2024</w:t>
      </w:r>
      <w:r w:rsidR="004A1BF8" w:rsidRPr="0036007C">
        <w:t xml:space="preserve"> </w:t>
      </w:r>
      <w:r w:rsidR="00C70B0D" w:rsidRPr="0036007C">
        <w:t xml:space="preserve">was </w:t>
      </w:r>
      <w:r w:rsidR="001C2657" w:rsidRPr="0036007C">
        <w:t>7</w:t>
      </w:r>
      <w:r w:rsidR="00BB136F" w:rsidRPr="0036007C">
        <w:t>9</w:t>
      </w:r>
      <w:r w:rsidRPr="0036007C">
        <w:t xml:space="preserve">%, </w:t>
      </w:r>
      <w:r w:rsidR="00E55B26" w:rsidRPr="0036007C">
        <w:t>with</w:t>
      </w:r>
      <w:r w:rsidR="0083115E" w:rsidRPr="0036007C">
        <w:t xml:space="preserve"> </w:t>
      </w:r>
      <w:r w:rsidR="00314203" w:rsidRPr="0036007C">
        <w:t xml:space="preserve">clean face </w:t>
      </w:r>
      <w:r w:rsidR="0016408A" w:rsidRPr="0036007C">
        <w:t>proportions</w:t>
      </w:r>
      <w:r w:rsidR="00233B83" w:rsidRPr="0036007C">
        <w:t xml:space="preserve"> </w:t>
      </w:r>
      <w:r w:rsidR="00254292" w:rsidRPr="0036007C">
        <w:t>7</w:t>
      </w:r>
      <w:r w:rsidR="00BB136F" w:rsidRPr="0036007C">
        <w:t>6</w:t>
      </w:r>
      <w:r w:rsidRPr="0036007C">
        <w:t>% in the NT,</w:t>
      </w:r>
      <w:r w:rsidR="005259FB" w:rsidRPr="0036007C">
        <w:t xml:space="preserve"> </w:t>
      </w:r>
      <w:r w:rsidR="00233B83" w:rsidRPr="0036007C">
        <w:t>8</w:t>
      </w:r>
      <w:r w:rsidR="00BB136F" w:rsidRPr="0036007C">
        <w:t>9</w:t>
      </w:r>
      <w:r w:rsidR="004E209A" w:rsidRPr="0036007C">
        <w:t>% in SA</w:t>
      </w:r>
      <w:r w:rsidR="00D474E3" w:rsidRPr="0036007C">
        <w:t>, and 7</w:t>
      </w:r>
      <w:r w:rsidR="00BB136F" w:rsidRPr="0036007C">
        <w:t>6</w:t>
      </w:r>
      <w:r w:rsidR="00D474E3" w:rsidRPr="0036007C">
        <w:t>% in WA</w:t>
      </w:r>
      <w:r w:rsidR="004E209A" w:rsidRPr="0036007C">
        <w:t xml:space="preserve"> </w:t>
      </w:r>
      <w:bookmarkEnd w:id="72"/>
      <w:r w:rsidR="002A3889" w:rsidRPr="0036007C">
        <w:t>(</w:t>
      </w:r>
      <w:r w:rsidRPr="0036007C">
        <w:fldChar w:fldCharType="begin"/>
      </w:r>
      <w:r w:rsidRPr="0036007C">
        <w:instrText xml:space="preserve"> REF _Ref58332105 \h  \* MERGEFORMAT </w:instrText>
      </w:r>
      <w:r w:rsidRPr="0036007C">
        <w:fldChar w:fldCharType="separate"/>
      </w:r>
      <w:r w:rsidR="002A3889" w:rsidRPr="0036007C">
        <w:t>Table 1.2</w:t>
      </w:r>
      <w:r w:rsidRPr="0036007C">
        <w:fldChar w:fldCharType="end"/>
      </w:r>
      <w:r w:rsidR="002A3889" w:rsidRPr="0036007C">
        <w:t>)</w:t>
      </w:r>
      <w:r w:rsidR="0083115E" w:rsidRPr="0036007C">
        <w:t>.</w:t>
      </w:r>
    </w:p>
    <w:p w14:paraId="59DBD045" w14:textId="67D1CC72" w:rsidR="003C4ED0" w:rsidRPr="0036007C" w:rsidRDefault="00FA1A0F" w:rsidP="00F76882">
      <w:pPr>
        <w:pStyle w:val="TableofFigures"/>
      </w:pPr>
      <w:r w:rsidRPr="0036007C">
        <w:t>C</w:t>
      </w:r>
      <w:r w:rsidR="002758A0" w:rsidRPr="0036007C">
        <w:t xml:space="preserve">lean face </w:t>
      </w:r>
      <w:r w:rsidR="006B5B99" w:rsidRPr="0036007C">
        <w:t>proportion</w:t>
      </w:r>
      <w:r w:rsidR="004E209A" w:rsidRPr="0036007C">
        <w:t xml:space="preserve"> rang</w:t>
      </w:r>
      <w:r w:rsidR="002758A0" w:rsidRPr="0036007C">
        <w:t>ed</w:t>
      </w:r>
      <w:r w:rsidR="004E209A" w:rsidRPr="0036007C">
        <w:t xml:space="preserve"> from </w:t>
      </w:r>
      <w:r w:rsidR="002B60EF" w:rsidRPr="0036007C">
        <w:t>44</w:t>
      </w:r>
      <w:r w:rsidR="003C4ED0" w:rsidRPr="0036007C">
        <w:t xml:space="preserve">% </w:t>
      </w:r>
      <w:r w:rsidR="0055130F" w:rsidRPr="0036007C">
        <w:t>in</w:t>
      </w:r>
      <w:r w:rsidR="0018658D" w:rsidRPr="0036007C">
        <w:t xml:space="preserve"> </w:t>
      </w:r>
      <w:r w:rsidR="00BE5E7F" w:rsidRPr="0036007C">
        <w:t>the</w:t>
      </w:r>
      <w:r w:rsidR="0055130F" w:rsidRPr="0036007C">
        <w:t xml:space="preserve"> </w:t>
      </w:r>
      <w:r w:rsidR="002B60EF" w:rsidRPr="0036007C">
        <w:t xml:space="preserve">Pilbara </w:t>
      </w:r>
      <w:r w:rsidR="00BE5E7F" w:rsidRPr="0036007C">
        <w:t>(WA)</w:t>
      </w:r>
      <w:r w:rsidR="0055130F" w:rsidRPr="0036007C">
        <w:t xml:space="preserve"> </w:t>
      </w:r>
      <w:r w:rsidR="003C4ED0" w:rsidRPr="0036007C">
        <w:t xml:space="preserve">to </w:t>
      </w:r>
      <w:r w:rsidR="00BA23A4" w:rsidRPr="0036007C">
        <w:t>99</w:t>
      </w:r>
      <w:r w:rsidR="003C4ED0" w:rsidRPr="0036007C">
        <w:t>%</w:t>
      </w:r>
      <w:r w:rsidR="0055130F" w:rsidRPr="0036007C">
        <w:t xml:space="preserve"> in </w:t>
      </w:r>
      <w:r w:rsidR="00BA23A4" w:rsidRPr="0036007C">
        <w:t>S</w:t>
      </w:r>
      <w:r w:rsidR="00A644BB" w:rsidRPr="0036007C">
        <w:t xml:space="preserve">A’s </w:t>
      </w:r>
      <w:r w:rsidR="00BA23A4" w:rsidRPr="0036007C">
        <w:t>Far North</w:t>
      </w:r>
      <w:r w:rsidR="00A644BB" w:rsidRPr="0036007C">
        <w:t xml:space="preserve"> </w:t>
      </w:r>
      <w:r w:rsidR="003C4ED0" w:rsidRPr="0036007C">
        <w:t>(Tables 2.2, 4.2</w:t>
      </w:r>
      <w:r w:rsidR="00041064" w:rsidRPr="0036007C">
        <w:t xml:space="preserve">, </w:t>
      </w:r>
      <w:r w:rsidR="003C4ED0" w:rsidRPr="0036007C">
        <w:t>5.</w:t>
      </w:r>
      <w:r w:rsidR="00C17724" w:rsidRPr="0036007C">
        <w:t>2</w:t>
      </w:r>
      <w:r w:rsidR="003C4ED0" w:rsidRPr="0036007C">
        <w:t>)</w:t>
      </w:r>
      <w:r w:rsidRPr="0036007C">
        <w:rPr>
          <w:rStyle w:val="FootnoteReference"/>
          <w:lang w:val="en-AU"/>
        </w:rPr>
        <w:footnoteReference w:id="4"/>
      </w:r>
      <w:r w:rsidR="003C4ED0" w:rsidRPr="0036007C">
        <w:t>.</w:t>
      </w:r>
    </w:p>
    <w:p w14:paraId="60D1D37C" w14:textId="77777777" w:rsidR="003C4ED0" w:rsidRPr="0036007C" w:rsidRDefault="003C4ED0" w:rsidP="00F76882">
      <w:pPr>
        <w:pStyle w:val="Heading3"/>
      </w:pPr>
      <w:r w:rsidRPr="0036007C">
        <w:t>Trachoma prevalence</w:t>
      </w:r>
    </w:p>
    <w:p w14:paraId="311411B7" w14:textId="769D1571" w:rsidR="00FD0936" w:rsidRPr="0036007C" w:rsidRDefault="00F92CAC" w:rsidP="00F76882">
      <w:pPr>
        <w:pStyle w:val="TableofFigures"/>
      </w:pPr>
      <w:r w:rsidRPr="0036007C">
        <w:t>The</w:t>
      </w:r>
      <w:r w:rsidR="00EC17EB" w:rsidRPr="0036007C">
        <w:t xml:space="preserve"> observed prevalence of</w:t>
      </w:r>
      <w:r w:rsidR="00FD0936" w:rsidRPr="0036007C">
        <w:t xml:space="preserve"> active trachoma </w:t>
      </w:r>
      <w:r w:rsidRPr="0036007C">
        <w:t xml:space="preserve">is defined </w:t>
      </w:r>
      <w:r w:rsidR="00FD0936" w:rsidRPr="0036007C">
        <w:t>as the</w:t>
      </w:r>
      <w:r w:rsidR="00DE1053" w:rsidRPr="0036007C">
        <w:t xml:space="preserve"> </w:t>
      </w:r>
      <w:r w:rsidR="006C560C" w:rsidRPr="0036007C">
        <w:t>proportion</w:t>
      </w:r>
      <w:r w:rsidR="00DE1053" w:rsidRPr="0036007C">
        <w:t xml:space="preserve"> of TF or TI </w:t>
      </w:r>
      <w:r w:rsidR="00970809" w:rsidRPr="0036007C">
        <w:t>(</w:t>
      </w:r>
      <w:r w:rsidR="007904C9" w:rsidRPr="0036007C">
        <w:t xml:space="preserve">classified </w:t>
      </w:r>
      <w:r w:rsidR="00DE1053" w:rsidRPr="0036007C">
        <w:t>according to WHO simplified grading criteria</w:t>
      </w:r>
      <w:r w:rsidR="00970809" w:rsidRPr="0036007C">
        <w:t>)</w:t>
      </w:r>
      <w:r w:rsidR="00EC17EB" w:rsidRPr="0036007C">
        <w:t xml:space="preserve"> amongst children screened in 2024</w:t>
      </w:r>
      <w:r w:rsidR="00DE1053" w:rsidRPr="0036007C">
        <w:t>.</w:t>
      </w:r>
    </w:p>
    <w:p w14:paraId="205A94E5" w14:textId="6B5FAF24" w:rsidR="00B5119F" w:rsidRPr="0036007C" w:rsidRDefault="00B5119F" w:rsidP="00F76882">
      <w:pPr>
        <w:pStyle w:val="TableofFigures"/>
      </w:pPr>
      <w:r w:rsidRPr="0036007C">
        <w:t>Among the 86 communities screened in 2024, 25 communities (29%) reported at least one case of active trachoma</w:t>
      </w:r>
      <w:r w:rsidR="00542AB0" w:rsidRPr="0036007C">
        <w:t>. There were</w:t>
      </w:r>
      <w:r w:rsidR="00877B06" w:rsidRPr="0036007C">
        <w:t xml:space="preserve"> </w:t>
      </w:r>
      <w:r w:rsidRPr="0036007C">
        <w:t xml:space="preserve">18 communities (21%) </w:t>
      </w:r>
      <w:r w:rsidR="00D82983" w:rsidRPr="0036007C">
        <w:t>that had an observed prevalence of active trachoma</w:t>
      </w:r>
      <w:r w:rsidRPr="0036007C">
        <w:t xml:space="preserve"> at or above 5% in children aged 5</w:t>
      </w:r>
      <w:r w:rsidR="000B3179" w:rsidRPr="0036007C">
        <w:t>–</w:t>
      </w:r>
      <w:r w:rsidRPr="0036007C">
        <w:t>9 years (</w:t>
      </w:r>
      <w:r w:rsidRPr="0036007C">
        <w:fldChar w:fldCharType="begin"/>
      </w:r>
      <w:r w:rsidRPr="0036007C">
        <w:instrText xml:space="preserve"> REF _Ref58336064 \h  \* MERGEFORMAT </w:instrText>
      </w:r>
      <w:r w:rsidRPr="0036007C">
        <w:fldChar w:fldCharType="separate"/>
      </w:r>
      <w:r w:rsidRPr="0036007C">
        <w:t>Table 1.3</w:t>
      </w:r>
      <w:r w:rsidRPr="0036007C">
        <w:fldChar w:fldCharType="end"/>
      </w:r>
      <w:r w:rsidRPr="0036007C">
        <w:t xml:space="preserve">). </w:t>
      </w:r>
    </w:p>
    <w:p w14:paraId="4E0EE417" w14:textId="42BEB8F5" w:rsidR="00B5119F" w:rsidRPr="0036007C" w:rsidRDefault="00B5119F" w:rsidP="00F76882">
      <w:pPr>
        <w:pStyle w:val="TableofFigures"/>
      </w:pPr>
      <w:r w:rsidRPr="0036007C">
        <w:t>The proportion of communities with hyperendemic trachoma (observed prevalence at or above 20%</w:t>
      </w:r>
      <w:r w:rsidR="004011BE" w:rsidRPr="0036007C">
        <w:t xml:space="preserve"> active trachoma</w:t>
      </w:r>
      <w:r w:rsidRPr="0036007C">
        <w:t>) was 6% (5/86) of all communities screened in 2024, similar to the rate of 7% in 2023 (</w:t>
      </w:r>
      <w:r w:rsidRPr="0036007C">
        <w:fldChar w:fldCharType="begin"/>
      </w:r>
      <w:r w:rsidRPr="0036007C">
        <w:instrText xml:space="preserve"> REF _Ref58336064 \h  \* MERGEFORMAT </w:instrText>
      </w:r>
      <w:r w:rsidRPr="0036007C">
        <w:fldChar w:fldCharType="separate"/>
      </w:r>
      <w:r w:rsidRPr="0036007C">
        <w:t>Table 1.3</w:t>
      </w:r>
      <w:r w:rsidRPr="0036007C">
        <w:fldChar w:fldCharType="end"/>
      </w:r>
      <w:r w:rsidRPr="0036007C">
        <w:t>).</w:t>
      </w:r>
    </w:p>
    <w:p w14:paraId="74E4992E" w14:textId="513F64C2" w:rsidR="00C065E5" w:rsidRPr="0036007C" w:rsidRDefault="00C065E5" w:rsidP="00F76882">
      <w:pPr>
        <w:pStyle w:val="TableofFigures"/>
      </w:pPr>
      <w:r w:rsidRPr="0036007C">
        <w:t xml:space="preserve">The </w:t>
      </w:r>
      <w:r w:rsidR="00A5128B" w:rsidRPr="0036007C">
        <w:t xml:space="preserve">varying and often </w:t>
      </w:r>
      <w:r w:rsidRPr="0036007C">
        <w:t xml:space="preserve">small size of communities screened </w:t>
      </w:r>
      <w:r w:rsidR="00A76169" w:rsidRPr="0036007C">
        <w:t>should be considered in interpretations of observed trachoma prevalence.</w:t>
      </w:r>
    </w:p>
    <w:p w14:paraId="14485351" w14:textId="6B2C9730" w:rsidR="00A5128B" w:rsidRPr="0036007C" w:rsidRDefault="007713F8" w:rsidP="00F76882">
      <w:pPr>
        <w:pStyle w:val="TableofFigures"/>
      </w:pPr>
      <w:r w:rsidRPr="0036007C">
        <w:t>The overall prev</w:t>
      </w:r>
      <w:r w:rsidR="005B2CF2" w:rsidRPr="0036007C">
        <w:t>alence of</w:t>
      </w:r>
      <w:r w:rsidR="00AC4243" w:rsidRPr="0036007C">
        <w:t xml:space="preserve"> trachoma</w:t>
      </w:r>
      <w:r w:rsidR="007E6EFD" w:rsidRPr="0036007C">
        <w:t xml:space="preserve"> in 5</w:t>
      </w:r>
      <w:r w:rsidR="003D00CE" w:rsidRPr="0036007C">
        <w:t>–</w:t>
      </w:r>
      <w:r w:rsidR="007E6EFD" w:rsidRPr="0036007C">
        <w:t>9-year-olds</w:t>
      </w:r>
      <w:r w:rsidR="00EB1E80" w:rsidRPr="0036007C">
        <w:t xml:space="preserve"> </w:t>
      </w:r>
      <w:r w:rsidR="00D93407" w:rsidRPr="0036007C">
        <w:t xml:space="preserve">includes </w:t>
      </w:r>
      <w:r w:rsidR="00EB1E80" w:rsidRPr="0036007C">
        <w:t xml:space="preserve">the last recorded active trachoma prevalence in all </w:t>
      </w:r>
      <w:r w:rsidR="00580B04" w:rsidRPr="0036007C">
        <w:t>communities ever considered at risk of trachoma</w:t>
      </w:r>
      <w:r w:rsidR="00610880" w:rsidRPr="0036007C">
        <w:t xml:space="preserve">, and is the </w:t>
      </w:r>
      <w:r w:rsidR="00C80F99" w:rsidRPr="0036007C">
        <w:t>measure</w:t>
      </w:r>
      <w:r w:rsidR="00610880" w:rsidRPr="0036007C">
        <w:t xml:space="preserve"> used to </w:t>
      </w:r>
      <w:r w:rsidR="00083F2C" w:rsidRPr="0036007C">
        <w:t>assess progress towards WHO benchmarks</w:t>
      </w:r>
      <w:r w:rsidR="00EB1E80" w:rsidRPr="0036007C">
        <w:t>.</w:t>
      </w:r>
      <w:r w:rsidR="007E6EFD" w:rsidRPr="0036007C">
        <w:t xml:space="preserve"> </w:t>
      </w:r>
    </w:p>
    <w:p w14:paraId="7E9AD77F" w14:textId="4AF42BFD" w:rsidR="00580B04" w:rsidRPr="0036007C" w:rsidRDefault="00580B04" w:rsidP="00F76882">
      <w:pPr>
        <w:pStyle w:val="TableofFigures"/>
      </w:pPr>
      <w:r w:rsidRPr="0036007C">
        <w:t>The overall prevalence of trachoma in children aged 5–9 years was 2.1% in the NT, 0% in SA, and 1.3% in WA (</w:t>
      </w:r>
      <w:r w:rsidRPr="0036007C">
        <w:fldChar w:fldCharType="begin"/>
      </w:r>
      <w:r w:rsidRPr="0036007C">
        <w:instrText xml:space="preserve"> REF _Ref58332105 \h  \* MERGEFORMAT </w:instrText>
      </w:r>
      <w:r w:rsidRPr="0036007C">
        <w:fldChar w:fldCharType="separate"/>
      </w:r>
      <w:r w:rsidRPr="0036007C">
        <w:t>Table 1.2</w:t>
      </w:r>
      <w:r w:rsidRPr="0036007C">
        <w:fldChar w:fldCharType="end"/>
      </w:r>
      <w:r w:rsidRPr="0036007C">
        <w:t>).</w:t>
      </w:r>
    </w:p>
    <w:p w14:paraId="7F3EDFE9" w14:textId="7F9D83CD" w:rsidR="003C4ED0" w:rsidRPr="0036007C" w:rsidRDefault="00582C9E" w:rsidP="00F76882">
      <w:pPr>
        <w:pStyle w:val="TableofFigures"/>
      </w:pPr>
      <w:r w:rsidRPr="0036007C">
        <w:t xml:space="preserve">Overall trachoma prevalence </w:t>
      </w:r>
      <w:r w:rsidR="007E6EFD" w:rsidRPr="0036007C">
        <w:t>among all current and former at</w:t>
      </w:r>
      <w:r w:rsidR="00A2643B" w:rsidRPr="0036007C">
        <w:t>-</w:t>
      </w:r>
      <w:r w:rsidR="007E6EFD" w:rsidRPr="0036007C">
        <w:t>risk</w:t>
      </w:r>
      <w:r w:rsidR="00AC4243" w:rsidRPr="0036007C">
        <w:t xml:space="preserve"> </w:t>
      </w:r>
      <w:r w:rsidR="00A2643B" w:rsidRPr="0036007C">
        <w:t xml:space="preserve">communities </w:t>
      </w:r>
      <w:r w:rsidR="00121F39" w:rsidRPr="0036007C">
        <w:t xml:space="preserve">nationally </w:t>
      </w:r>
      <w:r w:rsidR="004E209A" w:rsidRPr="0036007C">
        <w:t>decreased</w:t>
      </w:r>
      <w:r w:rsidR="003C4ED0" w:rsidRPr="0036007C">
        <w:t xml:space="preserve"> </w:t>
      </w:r>
      <w:r w:rsidR="006B6DFF" w:rsidRPr="0036007C">
        <w:t>slightly from</w:t>
      </w:r>
      <w:r w:rsidR="004E209A" w:rsidRPr="0036007C">
        <w:t xml:space="preserve"> </w:t>
      </w:r>
      <w:r w:rsidR="003D1C96" w:rsidRPr="0036007C">
        <w:t>1.8</w:t>
      </w:r>
      <w:r w:rsidR="006B6DFF" w:rsidRPr="0036007C">
        <w:t xml:space="preserve">% </w:t>
      </w:r>
      <w:r w:rsidR="00EF7C9D" w:rsidRPr="0036007C">
        <w:t xml:space="preserve">in 2023 to 1.5% </w:t>
      </w:r>
      <w:r w:rsidR="006B6DFF" w:rsidRPr="0036007C">
        <w:t xml:space="preserve">in </w:t>
      </w:r>
      <w:r w:rsidR="00C3405D" w:rsidRPr="0036007C">
        <w:t>2024</w:t>
      </w:r>
      <w:r w:rsidR="006B6DFF" w:rsidRPr="0036007C">
        <w:t xml:space="preserve"> </w:t>
      </w:r>
      <w:r w:rsidR="003C4ED0" w:rsidRPr="0036007C">
        <w:t>(Figure 1.</w:t>
      </w:r>
      <w:r w:rsidR="00CC16F6" w:rsidRPr="0036007C">
        <w:t>5</w:t>
      </w:r>
      <w:r w:rsidR="003C4ED0" w:rsidRPr="0036007C">
        <w:t>c</w:t>
      </w:r>
      <w:r w:rsidR="00EC7162" w:rsidRPr="0036007C">
        <w:t xml:space="preserve">, </w:t>
      </w:r>
      <w:r w:rsidR="007713F8" w:rsidRPr="0036007C">
        <w:fldChar w:fldCharType="begin"/>
      </w:r>
      <w:r w:rsidR="007713F8" w:rsidRPr="0036007C">
        <w:instrText xml:space="preserve"> REF _Ref58332105 \h  \* MERGEFORMAT </w:instrText>
      </w:r>
      <w:r w:rsidR="007713F8" w:rsidRPr="0036007C">
        <w:fldChar w:fldCharType="separate"/>
      </w:r>
      <w:r w:rsidR="00EC7162" w:rsidRPr="0036007C">
        <w:t>Table 1.2</w:t>
      </w:r>
      <w:r w:rsidR="007713F8" w:rsidRPr="0036007C">
        <w:fldChar w:fldCharType="end"/>
      </w:r>
      <w:r w:rsidR="003C4ED0" w:rsidRPr="0036007C">
        <w:t>).</w:t>
      </w:r>
    </w:p>
    <w:p w14:paraId="14789551" w14:textId="58371F58" w:rsidR="00235417" w:rsidRPr="0036007C" w:rsidRDefault="002A684A" w:rsidP="00F76882">
      <w:pPr>
        <w:pStyle w:val="TableofFigures"/>
      </w:pPr>
      <w:r w:rsidRPr="0036007C">
        <w:t xml:space="preserve">In 2024, </w:t>
      </w:r>
      <w:r w:rsidR="00D728D7" w:rsidRPr="0036007C">
        <w:t xml:space="preserve">four </w:t>
      </w:r>
      <w:r w:rsidR="00061150" w:rsidRPr="0036007C">
        <w:t>out of the 11 sub-jurisdictional</w:t>
      </w:r>
      <w:r w:rsidR="003770AB" w:rsidRPr="0036007C">
        <w:t xml:space="preserve"> regions </w:t>
      </w:r>
      <w:r w:rsidRPr="0036007C">
        <w:t>had</w:t>
      </w:r>
      <w:r w:rsidR="003770AB" w:rsidRPr="0036007C">
        <w:t xml:space="preserve"> an overall prevalence of trachoma of 0%: APY Lands (SA), Eyre and Western (SA), Far North (SA)</w:t>
      </w:r>
      <w:r w:rsidR="00041064" w:rsidRPr="0036007C">
        <w:t xml:space="preserve">, and </w:t>
      </w:r>
      <w:r w:rsidR="0072619A" w:rsidRPr="0036007C">
        <w:t>Midwest (WA)</w:t>
      </w:r>
      <w:r w:rsidR="003770AB" w:rsidRPr="0036007C">
        <w:t>. In the remaining regions, t</w:t>
      </w:r>
      <w:r w:rsidR="00235417" w:rsidRPr="0036007C">
        <w:t xml:space="preserve">he overall prevalence of trachoma ranged from </w:t>
      </w:r>
      <w:r w:rsidR="00B821EA" w:rsidRPr="0036007C">
        <w:t xml:space="preserve">0.4% in the </w:t>
      </w:r>
      <w:r w:rsidR="00D728D7" w:rsidRPr="0036007C">
        <w:t xml:space="preserve">Darwin </w:t>
      </w:r>
      <w:r w:rsidR="001E3614">
        <w:t>R</w:t>
      </w:r>
      <w:r w:rsidR="00D728D7" w:rsidRPr="0036007C">
        <w:t xml:space="preserve">ural </w:t>
      </w:r>
      <w:r w:rsidR="00B821EA" w:rsidRPr="0036007C">
        <w:t xml:space="preserve">region (NT) </w:t>
      </w:r>
      <w:r w:rsidR="00235417" w:rsidRPr="0036007C">
        <w:t xml:space="preserve">to </w:t>
      </w:r>
      <w:r w:rsidR="000B45F8" w:rsidRPr="0036007C">
        <w:t>5.0</w:t>
      </w:r>
      <w:r w:rsidR="00235417" w:rsidRPr="0036007C">
        <w:t>%</w:t>
      </w:r>
      <w:r w:rsidR="000B45F8" w:rsidRPr="0036007C">
        <w:t xml:space="preserve"> in the Alice Springs Remote region (NT)</w:t>
      </w:r>
      <w:r w:rsidR="00235417" w:rsidRPr="0036007C">
        <w:t xml:space="preserve"> (</w:t>
      </w:r>
      <w:r w:rsidR="00213D2C" w:rsidRPr="0036007C">
        <w:t>Figure</w:t>
      </w:r>
      <w:r w:rsidR="00594219">
        <w:t>s</w:t>
      </w:r>
      <w:r w:rsidR="00213D2C" w:rsidRPr="0036007C">
        <w:t xml:space="preserve"> 1.1, </w:t>
      </w:r>
      <w:r w:rsidR="00F37E4D">
        <w:t>2.1, 4.1, 5.1</w:t>
      </w:r>
      <w:r w:rsidR="00235417" w:rsidRPr="0036007C">
        <w:t>).</w:t>
      </w:r>
    </w:p>
    <w:p w14:paraId="62C944F0" w14:textId="49091630" w:rsidR="003C4ED0" w:rsidRPr="0036007C" w:rsidRDefault="002E70D0" w:rsidP="00F76882">
      <w:pPr>
        <w:pStyle w:val="Heading3"/>
      </w:pPr>
      <w:r w:rsidRPr="0036007C">
        <w:t>Antibiotic</w:t>
      </w:r>
      <w:r w:rsidR="003C4ED0" w:rsidRPr="0036007C">
        <w:t xml:space="preserve"> distribution and coverage</w:t>
      </w:r>
    </w:p>
    <w:p w14:paraId="5E668E77" w14:textId="160231E3" w:rsidR="003C4ED0" w:rsidRPr="0036007C" w:rsidRDefault="003C4ED0" w:rsidP="00F76882">
      <w:pPr>
        <w:pStyle w:val="TableofFigures"/>
      </w:pPr>
      <w:r w:rsidRPr="0036007C">
        <w:t>Antibiotic d</w:t>
      </w:r>
      <w:r w:rsidR="004E209A" w:rsidRPr="0036007C">
        <w:t xml:space="preserve">istribution took place in </w:t>
      </w:r>
      <w:r w:rsidR="0078084C" w:rsidRPr="0036007C">
        <w:t>all 25 communities</w:t>
      </w:r>
      <w:r w:rsidRPr="0036007C">
        <w:t xml:space="preserve"> </w:t>
      </w:r>
      <w:r w:rsidR="00C57C4A" w:rsidRPr="0036007C">
        <w:t>where</w:t>
      </w:r>
      <w:r w:rsidRPr="0036007C">
        <w:t xml:space="preserve"> </w:t>
      </w:r>
      <w:r w:rsidR="005C3691" w:rsidRPr="0036007C">
        <w:t>treatment</w:t>
      </w:r>
      <w:r w:rsidRPr="0036007C">
        <w:t xml:space="preserve"> </w:t>
      </w:r>
      <w:r w:rsidR="00C57C4A" w:rsidRPr="0036007C">
        <w:t>was required based on</w:t>
      </w:r>
      <w:r w:rsidRPr="0036007C">
        <w:t xml:space="preserve"> the </w:t>
      </w:r>
      <w:r w:rsidR="00AB2B46" w:rsidRPr="0036007C">
        <w:t xml:space="preserve">CDNA </w:t>
      </w:r>
      <w:r w:rsidR="00AB2B46" w:rsidRPr="00A33DD2">
        <w:t>Guidelines</w:t>
      </w:r>
      <w:r w:rsidRPr="0036007C">
        <w:t xml:space="preserve"> (</w:t>
      </w:r>
      <w:r w:rsidR="00756F4F" w:rsidRPr="0036007C">
        <w:fldChar w:fldCharType="begin"/>
      </w:r>
      <w:r w:rsidR="00756F4F" w:rsidRPr="0036007C">
        <w:instrText xml:space="preserve"> REF _Ref58336093 \h </w:instrText>
      </w:r>
      <w:r w:rsidR="00A36C6D" w:rsidRPr="0036007C">
        <w:instrText xml:space="preserve"> \* MERGEFORMAT </w:instrText>
      </w:r>
      <w:r w:rsidR="00756F4F" w:rsidRPr="0036007C">
        <w:fldChar w:fldCharType="separate"/>
      </w:r>
      <w:r w:rsidR="00756F4F" w:rsidRPr="0036007C">
        <w:t>Table 1.4</w:t>
      </w:r>
      <w:r w:rsidR="00756F4F" w:rsidRPr="0036007C">
        <w:fldChar w:fldCharType="end"/>
      </w:r>
      <w:r w:rsidRPr="0036007C">
        <w:t>).</w:t>
      </w:r>
    </w:p>
    <w:p w14:paraId="288DC7FA" w14:textId="1CFD5259" w:rsidR="00A8308E" w:rsidRPr="00A33DD2" w:rsidRDefault="008A0DAF" w:rsidP="00F76882">
      <w:pPr>
        <w:pStyle w:val="TableofFigures"/>
      </w:pPr>
      <w:proofErr w:type="spellStart"/>
      <w:r w:rsidRPr="0036007C">
        <w:rPr>
          <w:lang w:val="en-AU"/>
        </w:rPr>
        <w:t>Jurisdicti</w:t>
      </w:r>
      <w:r w:rsidRPr="00A33DD2">
        <w:t>onal</w:t>
      </w:r>
      <w:proofErr w:type="spellEnd"/>
      <w:r w:rsidRPr="00A33DD2">
        <w:t xml:space="preserve"> trachoma </w:t>
      </w:r>
      <w:r w:rsidR="00A8308E" w:rsidRPr="00A33DD2">
        <w:t xml:space="preserve">programs </w:t>
      </w:r>
      <w:r w:rsidR="00FF607B" w:rsidRPr="00A33DD2">
        <w:t>distributed</w:t>
      </w:r>
      <w:r w:rsidR="00F642DA" w:rsidRPr="00A33DD2">
        <w:t xml:space="preserve"> a total of</w:t>
      </w:r>
      <w:r w:rsidR="00A8308E" w:rsidRPr="00A33DD2">
        <w:t xml:space="preserve"> </w:t>
      </w:r>
      <w:bookmarkStart w:id="73" w:name="_Hlk134184909"/>
      <w:r w:rsidR="00A8308E" w:rsidRPr="00A33DD2">
        <w:t xml:space="preserve">1674 </w:t>
      </w:r>
      <w:bookmarkEnd w:id="73"/>
      <w:r w:rsidR="00A8308E" w:rsidRPr="00A33DD2">
        <w:t xml:space="preserve">doses of azithromycin in 2024. As in previous years, </w:t>
      </w:r>
      <w:proofErr w:type="gramStart"/>
      <w:r w:rsidR="00A8308E" w:rsidRPr="00A33DD2">
        <w:t>the majority of</w:t>
      </w:r>
      <w:proofErr w:type="gramEnd"/>
      <w:r w:rsidR="00A8308E" w:rsidRPr="00A33DD2">
        <w:t xml:space="preserve"> antibiotic distribution took place in the NT (Figure 1.9, </w:t>
      </w:r>
      <w:r w:rsidR="00A8308E" w:rsidRPr="00A33DD2">
        <w:fldChar w:fldCharType="begin"/>
      </w:r>
      <w:r w:rsidR="00A8308E" w:rsidRPr="00A33DD2">
        <w:instrText xml:space="preserve"> REF _Ref58336115 \h  \* MERGEFORMAT </w:instrText>
      </w:r>
      <w:r w:rsidR="00A8308E" w:rsidRPr="00A33DD2">
        <w:fldChar w:fldCharType="separate"/>
      </w:r>
      <w:r w:rsidR="00A8308E" w:rsidRPr="00A33DD2">
        <w:t>Table 1.5</w:t>
      </w:r>
      <w:r w:rsidR="00A8308E" w:rsidRPr="00A33DD2">
        <w:fldChar w:fldCharType="end"/>
      </w:r>
      <w:r w:rsidR="00A8308E" w:rsidRPr="00A33DD2">
        <w:t>).</w:t>
      </w:r>
    </w:p>
    <w:p w14:paraId="1F745EEC" w14:textId="4682F214" w:rsidR="003C4ED0" w:rsidRPr="00A33DD2" w:rsidRDefault="003C4ED0" w:rsidP="00F76882">
      <w:pPr>
        <w:pStyle w:val="TableofFigures"/>
      </w:pPr>
      <w:r w:rsidRPr="00A33DD2">
        <w:t xml:space="preserve">Treatment coverage </w:t>
      </w:r>
      <w:r w:rsidR="006F2DBF" w:rsidRPr="00A33DD2">
        <w:t>for</w:t>
      </w:r>
      <w:r w:rsidR="00A64BD6" w:rsidRPr="00A33DD2">
        <w:t xml:space="preserve"> active</w:t>
      </w:r>
      <w:r w:rsidR="006F2DBF" w:rsidRPr="00A33DD2">
        <w:t xml:space="preserve"> cases</w:t>
      </w:r>
      <w:r w:rsidRPr="00A33DD2">
        <w:t xml:space="preserve"> detected in screening activities was </w:t>
      </w:r>
      <w:r w:rsidR="00A51B19" w:rsidRPr="00A33DD2">
        <w:t>96</w:t>
      </w:r>
      <w:r w:rsidR="00766B9E" w:rsidRPr="00A33DD2">
        <w:t xml:space="preserve">% </w:t>
      </w:r>
      <w:r w:rsidRPr="00A33DD2">
        <w:t xml:space="preserve">with </w:t>
      </w:r>
      <w:r w:rsidR="00874090" w:rsidRPr="00A33DD2">
        <w:t>69</w:t>
      </w:r>
      <w:r w:rsidR="00EF4884" w:rsidRPr="00A33DD2">
        <w:t xml:space="preserve"> out of 7</w:t>
      </w:r>
      <w:r w:rsidR="00874090" w:rsidRPr="00A33DD2">
        <w:t>2</w:t>
      </w:r>
      <w:r w:rsidR="006F2DBF" w:rsidRPr="00A33DD2">
        <w:t xml:space="preserve"> cases</w:t>
      </w:r>
      <w:r w:rsidRPr="00A33DD2">
        <w:t xml:space="preserve"> </w:t>
      </w:r>
      <w:r w:rsidR="007944C2" w:rsidRPr="00A33DD2">
        <w:t>receiving</w:t>
      </w:r>
      <w:r w:rsidR="003C7B4C" w:rsidRPr="00A33DD2">
        <w:t xml:space="preserve"> azithromycin </w:t>
      </w:r>
      <w:r w:rsidRPr="00A33DD2">
        <w:t>(</w:t>
      </w:r>
      <w:r w:rsidR="00756F4F" w:rsidRPr="00A33DD2">
        <w:fldChar w:fldCharType="begin"/>
      </w:r>
      <w:r w:rsidR="00756F4F" w:rsidRPr="00A33DD2">
        <w:instrText xml:space="preserve"> REF _Ref58336115 \h </w:instrText>
      </w:r>
      <w:r w:rsidR="00A36C6D" w:rsidRPr="00A33DD2">
        <w:instrText xml:space="preserve"> \* MERGEFORMAT </w:instrText>
      </w:r>
      <w:r w:rsidR="00756F4F" w:rsidRPr="00A33DD2">
        <w:fldChar w:fldCharType="separate"/>
      </w:r>
      <w:r w:rsidR="00756F4F" w:rsidRPr="00A33DD2">
        <w:t>Table 1.5</w:t>
      </w:r>
      <w:r w:rsidR="00756F4F" w:rsidRPr="00A33DD2">
        <w:fldChar w:fldCharType="end"/>
      </w:r>
      <w:r w:rsidRPr="00A33DD2">
        <w:t>)</w:t>
      </w:r>
      <w:r w:rsidR="00766B9E" w:rsidRPr="00A33DD2">
        <w:t xml:space="preserve">, </w:t>
      </w:r>
      <w:r w:rsidR="00874090" w:rsidRPr="00A33DD2">
        <w:t>slightly</w:t>
      </w:r>
      <w:r w:rsidR="00766B9E" w:rsidRPr="00A33DD2">
        <w:t xml:space="preserve"> under </w:t>
      </w:r>
      <w:r w:rsidR="00874090" w:rsidRPr="00A33DD2">
        <w:t xml:space="preserve">the coverage of </w:t>
      </w:r>
      <w:r w:rsidR="00766B9E" w:rsidRPr="00A33DD2">
        <w:t xml:space="preserve">99% </w:t>
      </w:r>
      <w:r w:rsidR="00B22693" w:rsidRPr="00A33DD2">
        <w:t xml:space="preserve">for active cases </w:t>
      </w:r>
      <w:r w:rsidR="00766B9E" w:rsidRPr="00A33DD2">
        <w:t>in 2023</w:t>
      </w:r>
      <w:r w:rsidRPr="00A33DD2">
        <w:t>.</w:t>
      </w:r>
    </w:p>
    <w:p w14:paraId="4E6A4898" w14:textId="324657BE" w:rsidR="003C4ED0" w:rsidRPr="0036007C" w:rsidRDefault="007912F1" w:rsidP="00F76882">
      <w:pPr>
        <w:pStyle w:val="TableofFigures"/>
        <w:rPr>
          <w:lang w:val="en-AU"/>
        </w:rPr>
      </w:pPr>
      <w:r w:rsidRPr="00A33DD2">
        <w:t>C</w:t>
      </w:r>
      <w:r w:rsidR="003C4ED0" w:rsidRPr="00A33DD2">
        <w:t>overage for</w:t>
      </w:r>
      <w:r w:rsidR="00B35FA6" w:rsidRPr="00A33DD2">
        <w:t xml:space="preserve"> household and</w:t>
      </w:r>
      <w:r w:rsidR="003C4ED0" w:rsidRPr="00A33DD2">
        <w:t xml:space="preserve"> community</w:t>
      </w:r>
      <w:r w:rsidR="00313451" w:rsidRPr="00A33DD2">
        <w:t xml:space="preserve"> contacts</w:t>
      </w:r>
      <w:r w:rsidR="003C4ED0" w:rsidRPr="00A33DD2">
        <w:t xml:space="preserve"> requiring treatment </w:t>
      </w:r>
      <w:r w:rsidRPr="00A33DD2">
        <w:t xml:space="preserve">under CDNA </w:t>
      </w:r>
      <w:r w:rsidR="004A23ED" w:rsidRPr="00A33DD2">
        <w:t>G</w:t>
      </w:r>
      <w:r w:rsidRPr="00A33DD2">
        <w:t xml:space="preserve">uidelines </w:t>
      </w:r>
      <w:r w:rsidR="003C4ED0" w:rsidRPr="00A33DD2">
        <w:t xml:space="preserve">was </w:t>
      </w:r>
      <w:r w:rsidR="00F85FDC" w:rsidRPr="00A33DD2">
        <w:t>53</w:t>
      </w:r>
      <w:r w:rsidR="003C4ED0" w:rsidRPr="00A33DD2">
        <w:t>%</w:t>
      </w:r>
      <w:r w:rsidRPr="00A33DD2">
        <w:t xml:space="preserve"> </w:t>
      </w:r>
      <w:r w:rsidR="00E13665" w:rsidRPr="00A33DD2">
        <w:t>(</w:t>
      </w:r>
      <w:r w:rsidR="00E13665" w:rsidRPr="00A33DD2">
        <w:fldChar w:fldCharType="begin"/>
      </w:r>
      <w:r w:rsidR="00E13665" w:rsidRPr="00A33DD2">
        <w:instrText xml:space="preserve"> REF _Ref58336115 \h  \* MERGEFORMAT </w:instrText>
      </w:r>
      <w:r w:rsidR="00E13665" w:rsidRPr="00A33DD2">
        <w:fldChar w:fldCharType="separate"/>
      </w:r>
      <w:r w:rsidR="00E13665" w:rsidRPr="00A33DD2">
        <w:t>Table 1.5</w:t>
      </w:r>
      <w:r w:rsidR="00E13665" w:rsidRPr="00A33DD2">
        <w:fldChar w:fldCharType="end"/>
      </w:r>
      <w:r w:rsidR="00E13665" w:rsidRPr="0036007C">
        <w:rPr>
          <w:lang w:val="en-AU"/>
        </w:rPr>
        <w:t>)</w:t>
      </w:r>
      <w:r w:rsidR="00B53D94" w:rsidRPr="0036007C">
        <w:rPr>
          <w:lang w:val="en-AU"/>
        </w:rPr>
        <w:t>, notably lower than</w:t>
      </w:r>
      <w:r w:rsidR="001C55FA" w:rsidRPr="0036007C">
        <w:rPr>
          <w:lang w:val="en-AU"/>
        </w:rPr>
        <w:t xml:space="preserve"> </w:t>
      </w:r>
      <w:r w:rsidR="00F85FDC" w:rsidRPr="0036007C">
        <w:rPr>
          <w:lang w:val="en-AU"/>
        </w:rPr>
        <w:t>81</w:t>
      </w:r>
      <w:r w:rsidR="001C55FA" w:rsidRPr="0036007C">
        <w:rPr>
          <w:lang w:val="en-AU"/>
        </w:rPr>
        <w:t>% in 202</w:t>
      </w:r>
      <w:r w:rsidR="00F85FDC" w:rsidRPr="0036007C">
        <w:rPr>
          <w:lang w:val="en-AU"/>
        </w:rPr>
        <w:t>3</w:t>
      </w:r>
      <w:r w:rsidR="003C4ED0" w:rsidRPr="0036007C">
        <w:rPr>
          <w:lang w:val="en-AU"/>
        </w:rPr>
        <w:t xml:space="preserve">. </w:t>
      </w:r>
    </w:p>
    <w:p w14:paraId="0994994E" w14:textId="55BA623C" w:rsidR="00C55754" w:rsidRPr="0036007C" w:rsidRDefault="00C55754" w:rsidP="00F76882">
      <w:pPr>
        <w:pStyle w:val="Heading3"/>
      </w:pPr>
      <w:bookmarkStart w:id="74" w:name="_Toc485747780"/>
      <w:bookmarkStart w:id="75" w:name="_Toc490035352"/>
      <w:bookmarkStart w:id="76" w:name="_Toc497062628"/>
      <w:r w:rsidRPr="0036007C">
        <w:t xml:space="preserve">Trachomatous </w:t>
      </w:r>
      <w:r w:rsidR="00704415">
        <w:t>T</w:t>
      </w:r>
      <w:r w:rsidRPr="0036007C">
        <w:t>richiasis</w:t>
      </w:r>
      <w:bookmarkEnd w:id="74"/>
      <w:bookmarkEnd w:id="75"/>
      <w:bookmarkEnd w:id="76"/>
      <w:r w:rsidRPr="0036007C">
        <w:t xml:space="preserve"> (TT)</w:t>
      </w:r>
    </w:p>
    <w:p w14:paraId="7445677B" w14:textId="525F938C" w:rsidR="009779AD" w:rsidRPr="00A33DD2" w:rsidRDefault="009F62B0" w:rsidP="00F76882">
      <w:pPr>
        <w:pStyle w:val="TableofFigures"/>
      </w:pPr>
      <w:r w:rsidRPr="00A33DD2">
        <w:t>Screening f</w:t>
      </w:r>
      <w:r w:rsidR="001F2BC0" w:rsidRPr="00A33DD2">
        <w:t>or</w:t>
      </w:r>
      <w:r w:rsidRPr="00A33DD2">
        <w:t xml:space="preserve"> </w:t>
      </w:r>
      <w:r w:rsidR="00B8536F" w:rsidRPr="00A33DD2">
        <w:t>TT</w:t>
      </w:r>
      <w:r w:rsidRPr="00A33DD2">
        <w:t xml:space="preserve"> </w:t>
      </w:r>
      <w:r w:rsidR="001F2BC0" w:rsidRPr="00A33DD2">
        <w:t>wa</w:t>
      </w:r>
      <w:r w:rsidRPr="00A33DD2">
        <w:t xml:space="preserve">s undertaken </w:t>
      </w:r>
      <w:r w:rsidR="00D76D4E" w:rsidRPr="00A33DD2">
        <w:t>by various methods including</w:t>
      </w:r>
      <w:r w:rsidR="005523A6" w:rsidRPr="00A33DD2">
        <w:t xml:space="preserve"> by trachoma control teams</w:t>
      </w:r>
      <w:r w:rsidR="000E55FA" w:rsidRPr="00A33DD2">
        <w:t xml:space="preserve"> during trachoma screening</w:t>
      </w:r>
      <w:r w:rsidR="00787FBF" w:rsidRPr="00A33DD2">
        <w:t xml:space="preserve"> activities</w:t>
      </w:r>
      <w:r w:rsidR="005523A6" w:rsidRPr="00A33DD2">
        <w:t>,</w:t>
      </w:r>
      <w:r w:rsidR="00056FE6" w:rsidRPr="00A33DD2">
        <w:t xml:space="preserve"> </w:t>
      </w:r>
      <w:r w:rsidR="002C59BF" w:rsidRPr="00A33DD2">
        <w:t xml:space="preserve">by </w:t>
      </w:r>
      <w:r w:rsidR="00056FE6" w:rsidRPr="00A33DD2">
        <w:t>regional optometrist service</w:t>
      </w:r>
      <w:r w:rsidR="001F2BC0" w:rsidRPr="00A33DD2">
        <w:t>s</w:t>
      </w:r>
      <w:r w:rsidR="00D76D4E" w:rsidRPr="00A33DD2">
        <w:t>, and</w:t>
      </w:r>
      <w:r w:rsidR="005523A6" w:rsidRPr="00A33DD2">
        <w:t xml:space="preserve"> </w:t>
      </w:r>
      <w:r w:rsidR="009779AD" w:rsidRPr="00A33DD2">
        <w:t xml:space="preserve">opportunistic screening during the </w:t>
      </w:r>
      <w:r w:rsidR="00CD7125" w:rsidRPr="00A33DD2">
        <w:t xml:space="preserve">Aboriginal </w:t>
      </w:r>
      <w:r w:rsidR="00775E89" w:rsidRPr="00A33DD2">
        <w:t>a</w:t>
      </w:r>
      <w:r w:rsidR="00CD7125" w:rsidRPr="00A33DD2">
        <w:t>nd Torres Strait Islander Peoples Health Assessment</w:t>
      </w:r>
      <w:r w:rsidR="00775E89" w:rsidRPr="00A33DD2">
        <w:t xml:space="preserve"> (also called the </w:t>
      </w:r>
      <w:proofErr w:type="gramStart"/>
      <w:r w:rsidR="00775E89" w:rsidRPr="00A33DD2">
        <w:t>715 health</w:t>
      </w:r>
      <w:proofErr w:type="gramEnd"/>
      <w:r w:rsidR="00775E89" w:rsidRPr="00A33DD2">
        <w:t xml:space="preserve"> check)</w:t>
      </w:r>
      <w:r w:rsidR="004F288A" w:rsidRPr="00A33DD2">
        <w:t xml:space="preserve">, which is </w:t>
      </w:r>
      <w:r w:rsidR="001E7274" w:rsidRPr="00A33DD2">
        <w:t>covered by Medicare</w:t>
      </w:r>
      <w:r w:rsidR="009779AD" w:rsidRPr="00A33DD2">
        <w:t xml:space="preserve">. </w:t>
      </w:r>
    </w:p>
    <w:p w14:paraId="74C54964" w14:textId="163B7734" w:rsidR="003C4ED0" w:rsidRPr="00A33DD2" w:rsidRDefault="00B95DE8" w:rsidP="00F76882">
      <w:pPr>
        <w:pStyle w:val="TableofFigures"/>
      </w:pPr>
      <w:r w:rsidRPr="00A33DD2">
        <w:t>A total of</w:t>
      </w:r>
      <w:r w:rsidR="003C4ED0" w:rsidRPr="00A33DD2">
        <w:t xml:space="preserve"> </w:t>
      </w:r>
      <w:r w:rsidR="003E02E3" w:rsidRPr="00A33DD2">
        <w:t>18,</w:t>
      </w:r>
      <w:r w:rsidR="00344319" w:rsidRPr="00A33DD2">
        <w:t xml:space="preserve">931 </w:t>
      </w:r>
      <w:r w:rsidR="00EA2D82" w:rsidRPr="00A33DD2">
        <w:t>people</w:t>
      </w:r>
      <w:r w:rsidR="00046C9F" w:rsidRPr="00A33DD2">
        <w:t xml:space="preserve"> aged 15</w:t>
      </w:r>
      <w:r w:rsidR="003C4ED0" w:rsidRPr="00A33DD2">
        <w:t xml:space="preserve"> years and over </w:t>
      </w:r>
      <w:r w:rsidR="001A463D" w:rsidRPr="00A33DD2">
        <w:t>in</w:t>
      </w:r>
      <w:r w:rsidR="00FF4601" w:rsidRPr="00A33DD2">
        <w:t xml:space="preserve"> </w:t>
      </w:r>
      <w:r w:rsidR="00F65C4B" w:rsidRPr="00A33DD2">
        <w:t>1</w:t>
      </w:r>
      <w:r w:rsidR="003E02E3" w:rsidRPr="00A33DD2">
        <w:t>6</w:t>
      </w:r>
      <w:r w:rsidR="00344319" w:rsidRPr="00A33DD2">
        <w:t>5</w:t>
      </w:r>
      <w:r w:rsidR="00FF4601" w:rsidRPr="00A33DD2">
        <w:t xml:space="preserve"> communities</w:t>
      </w:r>
      <w:r w:rsidR="00BB6019" w:rsidRPr="00A33DD2">
        <w:t xml:space="preserve"> or services</w:t>
      </w:r>
      <w:r w:rsidR="00FF4601" w:rsidRPr="00A33DD2">
        <w:t xml:space="preserve"> </w:t>
      </w:r>
      <w:r w:rsidR="003C4ED0" w:rsidRPr="00A33DD2">
        <w:t xml:space="preserve">were </w:t>
      </w:r>
      <w:r w:rsidR="007944C2" w:rsidRPr="00A33DD2">
        <w:t xml:space="preserve">reported as </w:t>
      </w:r>
      <w:r w:rsidR="003C4ED0" w:rsidRPr="00A33DD2">
        <w:t xml:space="preserve">screened for </w:t>
      </w:r>
      <w:r w:rsidR="00B8536F" w:rsidRPr="00A33DD2">
        <w:t>TT</w:t>
      </w:r>
      <w:r w:rsidR="008A0B11" w:rsidRPr="00A33DD2">
        <w:t xml:space="preserve"> in 2024</w:t>
      </w:r>
      <w:r w:rsidR="003C4ED0" w:rsidRPr="00A33DD2">
        <w:t xml:space="preserve"> (</w:t>
      </w:r>
      <w:r w:rsidR="00756F4F" w:rsidRPr="00A33DD2">
        <w:fldChar w:fldCharType="begin"/>
      </w:r>
      <w:r w:rsidR="00756F4F" w:rsidRPr="00A33DD2">
        <w:instrText xml:space="preserve"> REF _Ref58336134 \h </w:instrText>
      </w:r>
      <w:r w:rsidR="00A36C6D" w:rsidRPr="00A33DD2">
        <w:instrText xml:space="preserve"> \* MERGEFORMAT </w:instrText>
      </w:r>
      <w:r w:rsidR="00756F4F" w:rsidRPr="00A33DD2">
        <w:fldChar w:fldCharType="separate"/>
      </w:r>
      <w:r w:rsidR="00756F4F" w:rsidRPr="00A33DD2">
        <w:t>Table 1.6</w:t>
      </w:r>
      <w:r w:rsidR="00756F4F" w:rsidRPr="00A33DD2">
        <w:fldChar w:fldCharType="end"/>
      </w:r>
      <w:r w:rsidR="003C4ED0" w:rsidRPr="00A33DD2">
        <w:t>).</w:t>
      </w:r>
    </w:p>
    <w:p w14:paraId="4F9D67C1" w14:textId="36B1C295" w:rsidR="00A91D78" w:rsidRPr="00A33DD2" w:rsidRDefault="008A30CA" w:rsidP="00F76882">
      <w:pPr>
        <w:pStyle w:val="TableofFigures"/>
      </w:pPr>
      <w:r w:rsidRPr="00A33DD2">
        <w:t>Among</w:t>
      </w:r>
      <w:r w:rsidR="00D26AD4" w:rsidRPr="00A33DD2">
        <w:t>st pe</w:t>
      </w:r>
      <w:r w:rsidR="00087F94" w:rsidRPr="00A33DD2">
        <w:t>ople</w:t>
      </w:r>
      <w:r w:rsidRPr="00A33DD2">
        <w:t xml:space="preserve"> screened in </w:t>
      </w:r>
      <w:r w:rsidR="00C3405D" w:rsidRPr="00A33DD2">
        <w:t>2024</w:t>
      </w:r>
      <w:r w:rsidRPr="00A33DD2">
        <w:t xml:space="preserve">, </w:t>
      </w:r>
      <w:r w:rsidR="00DD276C" w:rsidRPr="00A33DD2">
        <w:t>9</w:t>
      </w:r>
      <w:r w:rsidRPr="00A33DD2">
        <w:t xml:space="preserve"> (0.0</w:t>
      </w:r>
      <w:r w:rsidR="00DD276C" w:rsidRPr="00A33DD2">
        <w:t>5</w:t>
      </w:r>
      <w:r w:rsidRPr="00A33DD2">
        <w:t xml:space="preserve">%) were found to have </w:t>
      </w:r>
      <w:r w:rsidR="00B8536F" w:rsidRPr="00A33DD2">
        <w:t>TT</w:t>
      </w:r>
      <w:r w:rsidR="00611C6E" w:rsidRPr="00A33DD2">
        <w:t xml:space="preserve">. All cases were identified </w:t>
      </w:r>
      <w:r w:rsidRPr="00A33DD2">
        <w:t xml:space="preserve">in </w:t>
      </w:r>
      <w:r w:rsidR="00544343" w:rsidRPr="00A33DD2">
        <w:t xml:space="preserve">those </w:t>
      </w:r>
      <w:r w:rsidRPr="00A33DD2">
        <w:t xml:space="preserve">aged 40 years or older </w:t>
      </w:r>
      <w:r w:rsidR="00A91D78" w:rsidRPr="00A33DD2">
        <w:t>(</w:t>
      </w:r>
      <w:r w:rsidR="00A91D78" w:rsidRPr="00A33DD2">
        <w:fldChar w:fldCharType="begin"/>
      </w:r>
      <w:r w:rsidR="00A91D78" w:rsidRPr="00A33DD2">
        <w:instrText xml:space="preserve"> REF _Ref58336134 \h </w:instrText>
      </w:r>
      <w:r w:rsidR="00A36C6D" w:rsidRPr="00A33DD2">
        <w:instrText xml:space="preserve"> \* MERGEFORMAT </w:instrText>
      </w:r>
      <w:r w:rsidR="00A91D78" w:rsidRPr="00A33DD2">
        <w:fldChar w:fldCharType="separate"/>
      </w:r>
      <w:r w:rsidR="00A91D78" w:rsidRPr="00A33DD2">
        <w:t>Table 1.6</w:t>
      </w:r>
      <w:r w:rsidR="00A91D78" w:rsidRPr="00A33DD2">
        <w:fldChar w:fldCharType="end"/>
      </w:r>
      <w:r w:rsidR="00A91D78" w:rsidRPr="00A33DD2">
        <w:t>).</w:t>
      </w:r>
    </w:p>
    <w:p w14:paraId="1445A766" w14:textId="7A21C147" w:rsidR="003C4ED0" w:rsidRPr="00A33DD2" w:rsidRDefault="003C4ED0" w:rsidP="00F76882">
      <w:pPr>
        <w:pStyle w:val="TableofFigures"/>
      </w:pPr>
      <w:r w:rsidRPr="00A33DD2">
        <w:t xml:space="preserve">Surgery for </w:t>
      </w:r>
      <w:r w:rsidR="00B8536F" w:rsidRPr="00A33DD2">
        <w:t>TT</w:t>
      </w:r>
      <w:r w:rsidRPr="00A33DD2">
        <w:t xml:space="preserve"> in the past 12 months was reported to have been undertaken for </w:t>
      </w:r>
      <w:r w:rsidR="00BB6E31" w:rsidRPr="00A33DD2">
        <w:t>six</w:t>
      </w:r>
      <w:r w:rsidR="001A463D" w:rsidRPr="00A33DD2">
        <w:t xml:space="preserve"> </w:t>
      </w:r>
      <w:r w:rsidR="000B3103" w:rsidRPr="00A33DD2">
        <w:t>adults</w:t>
      </w:r>
      <w:r w:rsidRPr="00A33DD2">
        <w:t xml:space="preserve"> (</w:t>
      </w:r>
      <w:r w:rsidR="00756F4F" w:rsidRPr="00A33DD2">
        <w:fldChar w:fldCharType="begin"/>
      </w:r>
      <w:r w:rsidR="00756F4F" w:rsidRPr="00A33DD2">
        <w:instrText xml:space="preserve"> REF _Ref58336134 \h </w:instrText>
      </w:r>
      <w:r w:rsidR="00A36C6D" w:rsidRPr="00A33DD2">
        <w:instrText xml:space="preserve"> \* MERGEFORMAT </w:instrText>
      </w:r>
      <w:r w:rsidR="00756F4F" w:rsidRPr="00A33DD2">
        <w:fldChar w:fldCharType="separate"/>
      </w:r>
      <w:r w:rsidR="00756F4F" w:rsidRPr="00A33DD2">
        <w:t>Table 1.6</w:t>
      </w:r>
      <w:r w:rsidR="00756F4F" w:rsidRPr="00A33DD2">
        <w:fldChar w:fldCharType="end"/>
      </w:r>
      <w:r w:rsidRPr="00A33DD2">
        <w:t>).</w:t>
      </w:r>
    </w:p>
    <w:p w14:paraId="0CF3AF78" w14:textId="0A265E6B" w:rsidR="003C4ED0" w:rsidRPr="0036007C" w:rsidRDefault="00EF301C" w:rsidP="00F76882">
      <w:pPr>
        <w:pStyle w:val="Heading3"/>
      </w:pPr>
      <w:bookmarkStart w:id="77" w:name="_Toc485747781"/>
      <w:bookmarkStart w:id="78" w:name="_Toc490035353"/>
      <w:bookmarkStart w:id="79" w:name="_Toc497062629"/>
      <w:r w:rsidRPr="0036007C">
        <w:t>Facial cleanliness</w:t>
      </w:r>
      <w:r w:rsidR="003C4ED0" w:rsidRPr="0036007C">
        <w:t xml:space="preserve"> and environmental improvement activities</w:t>
      </w:r>
      <w:bookmarkEnd w:id="77"/>
      <w:bookmarkEnd w:id="78"/>
      <w:bookmarkEnd w:id="79"/>
    </w:p>
    <w:p w14:paraId="3E6F47F7" w14:textId="07575D4B" w:rsidR="00543452" w:rsidRPr="00A33DD2" w:rsidRDefault="006464D4" w:rsidP="00F76882">
      <w:pPr>
        <w:pStyle w:val="TableofFigures"/>
      </w:pPr>
      <w:r w:rsidRPr="00A33DD2">
        <w:t>Narrative i</w:t>
      </w:r>
      <w:r w:rsidR="00543452" w:rsidRPr="00A33DD2">
        <w:t xml:space="preserve">nformation on </w:t>
      </w:r>
      <w:r w:rsidR="004C636D" w:rsidRPr="00A33DD2">
        <w:t>facial cleanliness</w:t>
      </w:r>
      <w:r w:rsidR="00C32AA7" w:rsidRPr="00A33DD2">
        <w:t xml:space="preserve"> and</w:t>
      </w:r>
      <w:r w:rsidR="004C636D" w:rsidRPr="00A33DD2">
        <w:t xml:space="preserve"> environmental health improvement activities</w:t>
      </w:r>
      <w:r w:rsidR="00392E10" w:rsidRPr="00A33DD2">
        <w:t xml:space="preserve"> is</w:t>
      </w:r>
      <w:r w:rsidR="004C636D" w:rsidRPr="00A33DD2">
        <w:t xml:space="preserve"> </w:t>
      </w:r>
      <w:r w:rsidR="004519D5" w:rsidRPr="00A33DD2">
        <w:t xml:space="preserve">provided by </w:t>
      </w:r>
      <w:r w:rsidR="0044477B" w:rsidRPr="00A33DD2">
        <w:t>jurisdictional</w:t>
      </w:r>
      <w:r w:rsidR="00206B5D" w:rsidRPr="00A33DD2">
        <w:t xml:space="preserve"> health</w:t>
      </w:r>
      <w:r w:rsidR="004C636D" w:rsidRPr="00A33DD2">
        <w:t xml:space="preserve"> </w:t>
      </w:r>
      <w:r w:rsidR="00206B5D" w:rsidRPr="00A33DD2">
        <w:t xml:space="preserve">departments, </w:t>
      </w:r>
      <w:r w:rsidR="00BE0EB6" w:rsidRPr="00A33DD2">
        <w:t>community-controlled</w:t>
      </w:r>
      <w:r w:rsidR="00206B5D" w:rsidRPr="00A33DD2">
        <w:t xml:space="preserve"> </w:t>
      </w:r>
      <w:r w:rsidR="00BE0EB6" w:rsidRPr="00A33DD2">
        <w:t>organisations</w:t>
      </w:r>
      <w:r w:rsidR="00206B5D" w:rsidRPr="00A33DD2">
        <w:t xml:space="preserve"> and non-govern</w:t>
      </w:r>
      <w:r w:rsidR="003A1005" w:rsidRPr="00A33DD2">
        <w:t>ment partners.</w:t>
      </w:r>
    </w:p>
    <w:p w14:paraId="0727907F" w14:textId="6A578DE2" w:rsidR="00147883" w:rsidRPr="00A33DD2" w:rsidRDefault="00E70D33" w:rsidP="00F76882">
      <w:pPr>
        <w:pStyle w:val="TableofFigures"/>
      </w:pPr>
      <w:r w:rsidRPr="00A33DD2">
        <w:t xml:space="preserve">Activities to promote facial cleanliness also </w:t>
      </w:r>
      <w:r w:rsidR="00F006AB" w:rsidRPr="00A33DD2">
        <w:t>incorporate health promotion to enhance</w:t>
      </w:r>
      <w:r w:rsidRPr="00A33DD2">
        <w:t xml:space="preserve"> general hygiene-related behaviours in children</w:t>
      </w:r>
      <w:r w:rsidR="00F006AB" w:rsidRPr="00A33DD2">
        <w:t>.</w:t>
      </w:r>
      <w:r w:rsidRPr="00A33DD2">
        <w:t xml:space="preserve"> </w:t>
      </w:r>
      <w:r w:rsidR="00EF0297" w:rsidRPr="00A33DD2">
        <w:t xml:space="preserve">There were </w:t>
      </w:r>
      <w:r w:rsidR="00C55754" w:rsidRPr="00A33DD2">
        <w:t>2</w:t>
      </w:r>
      <w:r w:rsidR="007A3EBF" w:rsidRPr="00A33DD2">
        <w:t>10</w:t>
      </w:r>
      <w:r w:rsidR="00DE0EF6" w:rsidRPr="00A33DD2">
        <w:t xml:space="preserve"> </w:t>
      </w:r>
      <w:r w:rsidR="00D06987" w:rsidRPr="00A33DD2">
        <w:t>related</w:t>
      </w:r>
      <w:r w:rsidR="00F006AB" w:rsidRPr="00A33DD2">
        <w:t xml:space="preserve"> </w:t>
      </w:r>
      <w:r w:rsidR="00DE0EF6" w:rsidRPr="00A33DD2">
        <w:t>activities undertaken in at-risk and previously at-risk communities in</w:t>
      </w:r>
      <w:r w:rsidR="00ED5FF0" w:rsidRPr="00A33DD2">
        <w:t xml:space="preserve"> the NT, </w:t>
      </w:r>
      <w:r w:rsidR="00C93F39" w:rsidRPr="00A33DD2">
        <w:t>Qld</w:t>
      </w:r>
      <w:r w:rsidR="00ED5FF0" w:rsidRPr="00A33DD2">
        <w:t>, SA</w:t>
      </w:r>
      <w:r w:rsidR="00041064" w:rsidRPr="00A33DD2">
        <w:t xml:space="preserve">, and </w:t>
      </w:r>
      <w:r w:rsidR="00ED5FF0" w:rsidRPr="00A33DD2">
        <w:t>WA</w:t>
      </w:r>
      <w:r w:rsidR="00F006AB" w:rsidRPr="00A33DD2">
        <w:t xml:space="preserve"> in 2024</w:t>
      </w:r>
      <w:r w:rsidR="00ED5FF0" w:rsidRPr="00A33DD2">
        <w:t>.</w:t>
      </w:r>
      <w:r w:rsidR="00F47760" w:rsidRPr="00A33DD2">
        <w:t xml:space="preserve"> </w:t>
      </w:r>
      <w:r w:rsidR="00A9290B" w:rsidRPr="00A33DD2">
        <w:t>(Table</w:t>
      </w:r>
      <w:r w:rsidR="00F33D15" w:rsidRPr="00A33DD2">
        <w:t>s</w:t>
      </w:r>
      <w:r w:rsidR="00A9290B" w:rsidRPr="00A33DD2">
        <w:t xml:space="preserve"> </w:t>
      </w:r>
      <w:r w:rsidR="002A0F43" w:rsidRPr="00A33DD2">
        <w:t>2.7</w:t>
      </w:r>
      <w:r w:rsidR="00F33D15" w:rsidRPr="00A33DD2">
        <w:t>,</w:t>
      </w:r>
      <w:r w:rsidR="00CF5A91" w:rsidRPr="00A33DD2">
        <w:t xml:space="preserve"> 3.1, </w:t>
      </w:r>
      <w:r w:rsidR="009F6C55" w:rsidRPr="00A33DD2">
        <w:t>4.6, 5.7</w:t>
      </w:r>
      <w:r w:rsidR="004853E3" w:rsidRPr="00A33DD2">
        <w:t>).</w:t>
      </w:r>
    </w:p>
    <w:p w14:paraId="341B1A42" w14:textId="574B4569" w:rsidR="00147883" w:rsidRPr="00A33DD2" w:rsidRDefault="00F217AE" w:rsidP="00F76882">
      <w:pPr>
        <w:pStyle w:val="TableofFigures"/>
      </w:pPr>
      <w:r w:rsidRPr="00A33DD2">
        <w:t xml:space="preserve">Environmental </w:t>
      </w:r>
      <w:r w:rsidR="00696003" w:rsidRPr="00A33DD2">
        <w:t xml:space="preserve">health </w:t>
      </w:r>
      <w:r w:rsidRPr="00A33DD2">
        <w:t xml:space="preserve">improvement </w:t>
      </w:r>
      <w:r w:rsidR="004A1C2B" w:rsidRPr="00A33DD2">
        <w:t>programs</w:t>
      </w:r>
      <w:r w:rsidR="00BD5099" w:rsidRPr="00A33DD2">
        <w:t xml:space="preserve"> </w:t>
      </w:r>
      <w:r w:rsidR="004A1C2B" w:rsidRPr="00A33DD2">
        <w:t>are jurisdictionally specific, although</w:t>
      </w:r>
      <w:r w:rsidRPr="00A33DD2">
        <w:t xml:space="preserve"> </w:t>
      </w:r>
      <w:r w:rsidR="004A1C2B" w:rsidRPr="00A33DD2">
        <w:t>typically involve some combination of the following:</w:t>
      </w:r>
      <w:r w:rsidR="00C93B75" w:rsidRPr="00A33DD2">
        <w:t xml:space="preserve"> routine home assessments</w:t>
      </w:r>
      <w:r w:rsidR="004A1C2B" w:rsidRPr="00A33DD2">
        <w:t xml:space="preserve"> and maintenance</w:t>
      </w:r>
      <w:r w:rsidR="00DD6124" w:rsidRPr="00A33DD2">
        <w:t>;</w:t>
      </w:r>
      <w:r w:rsidR="004A1C2B" w:rsidRPr="00A33DD2">
        <w:t xml:space="preserve"> procurement and distribution of home health hardware and related supplies</w:t>
      </w:r>
      <w:r w:rsidR="00DD6124" w:rsidRPr="00A33DD2">
        <w:t>;</w:t>
      </w:r>
      <w:r w:rsidR="004A1C2B" w:rsidRPr="00A33DD2">
        <w:t xml:space="preserve"> </w:t>
      </w:r>
      <w:r w:rsidR="00F92969" w:rsidRPr="00A33DD2">
        <w:t>workforce development and policy advice.</w:t>
      </w:r>
      <w:bookmarkEnd w:id="64"/>
    </w:p>
    <w:p w14:paraId="7B9F3C4C" w14:textId="603A002A" w:rsidR="000F1DDB" w:rsidRPr="00A33DD2" w:rsidRDefault="000F1DDB" w:rsidP="00F76882">
      <w:r w:rsidRPr="00A33DD2">
        <w:br w:type="page"/>
      </w:r>
    </w:p>
    <w:p w14:paraId="26D9282C" w14:textId="66B9C55A" w:rsidR="001717DE" w:rsidRPr="004609FA" w:rsidRDefault="001717DE" w:rsidP="00F76882">
      <w:pPr>
        <w:pStyle w:val="Heading1"/>
      </w:pPr>
      <w:bookmarkStart w:id="80" w:name="_Toc360460771"/>
      <w:bookmarkStart w:id="81" w:name="_Toc392153871"/>
      <w:bookmarkStart w:id="82" w:name="_Toc490035354"/>
      <w:bookmarkStart w:id="83" w:name="_Toc520298289"/>
      <w:bookmarkStart w:id="84" w:name="_Toc520298368"/>
      <w:bookmarkStart w:id="85" w:name="_Toc160544981"/>
      <w:bookmarkStart w:id="86" w:name="_Toc203986536"/>
      <w:bookmarkStart w:id="87" w:name="_Toc215236946"/>
      <w:bookmarkEnd w:id="2"/>
      <w:bookmarkEnd w:id="3"/>
      <w:r w:rsidRPr="004609FA">
        <w:t>Background</w:t>
      </w:r>
      <w:bookmarkEnd w:id="80"/>
      <w:bookmarkEnd w:id="81"/>
      <w:bookmarkEnd w:id="82"/>
      <w:bookmarkEnd w:id="83"/>
      <w:bookmarkEnd w:id="84"/>
      <w:bookmarkEnd w:id="85"/>
      <w:bookmarkEnd w:id="86"/>
      <w:bookmarkEnd w:id="87"/>
    </w:p>
    <w:p w14:paraId="4C40181C" w14:textId="1B66311F" w:rsidR="00863C8E" w:rsidRPr="0093303D" w:rsidRDefault="001717DE" w:rsidP="00F76882">
      <w:r w:rsidRPr="0093303D">
        <w:t>Trachoma</w:t>
      </w:r>
      <w:r w:rsidR="00937E23" w:rsidRPr="0093303D">
        <w:t xml:space="preserve"> is </w:t>
      </w:r>
      <w:r w:rsidR="0081659F" w:rsidRPr="0093303D">
        <w:t>the world’s leading infectious cause of preventable blindness</w:t>
      </w:r>
      <w:r w:rsidR="002742C7" w:rsidRPr="0093303D">
        <w:t>.</w:t>
      </w:r>
      <w:r w:rsidR="00256FC4" w:rsidRPr="00F71130">
        <w:rPr>
          <w:rStyle w:val="SuperscriptChar"/>
        </w:rPr>
        <w:fldChar w:fldCharType="begin"/>
      </w:r>
      <w:r w:rsidR="00256FC4" w:rsidRPr="00F71130">
        <w:rPr>
          <w:rStyle w:val="SuperscriptChar"/>
        </w:rPr>
        <w:instrText xml:space="preserve"> ADDIN EN.CITE &lt;EndNote&gt;&lt;Cite&gt;&lt;Author&gt;WHO Alliance for the Global Elimination of Trachoma&lt;/Author&gt;&lt;Year&gt;2025 Jul 18&lt;/Year&gt;&lt;RecNum&gt;416&lt;/RecNum&gt;&lt;DisplayText&gt;&lt;style face="superscript"&gt;7&lt;/style&gt;&lt;/DisplayText&gt;&lt;record&gt;&lt;rec-number&gt;416&lt;/rec-number&gt;&lt;foreign-keys&gt;&lt;key app="EN" db-id="52r9t20smsvp0rex9v1vsfe3tt9vxfdpvwsa" timestamp="1753057124"&gt;416&lt;/key&gt;&lt;/foreign-keys&gt;&lt;ref-type name="Journal Article"&gt;17&lt;/ref-type&gt;&lt;contributors&gt;&lt;authors&gt;&lt;author&gt;WHO Alliance for the Global Elimination of Trachoma,&lt;/author&gt;&lt;/authors&gt;&lt;/contributors&gt;&lt;titles&gt;&lt;title&gt;Progress report on elimination of trachoma, 2024-2025&lt;/title&gt;&lt;secondary-title&gt;Wkly Epidemiol Rec&lt;/secondary-title&gt;&lt;alt-title&gt;Weekly Epidemiological Record&lt;/alt-title&gt;&lt;/titles&gt;&lt;periodical&gt;&lt;full-title&gt;Wkly Epidemiol Rec&lt;/full-title&gt;&lt;/periodical&gt;&lt;alt-periodical&gt;&lt;full-title&gt;Weekly Epidemiological Record&lt;/full-title&gt;&lt;/alt-periodical&gt;&lt;pages&gt;285-302&lt;/pages&gt;&lt;volume&gt;100&lt;/volume&gt;&lt;number&gt;29/30&lt;/number&gt;&lt;dates&gt;&lt;year&gt;2025 Jul 18&lt;/year&gt;&lt;/dates&gt;&lt;urls&gt;&lt;/urls&gt;&lt;/record&gt;&lt;/Cite&gt;&lt;/EndNote&gt;</w:instrText>
      </w:r>
      <w:r w:rsidR="00256FC4" w:rsidRPr="00F71130">
        <w:rPr>
          <w:rStyle w:val="SuperscriptChar"/>
        </w:rPr>
        <w:fldChar w:fldCharType="separate"/>
      </w:r>
      <w:r w:rsidR="00256FC4" w:rsidRPr="00F71130">
        <w:rPr>
          <w:rStyle w:val="SuperscriptChar"/>
        </w:rPr>
        <w:t>7</w:t>
      </w:r>
      <w:r w:rsidR="00256FC4" w:rsidRPr="00F71130">
        <w:rPr>
          <w:rStyle w:val="SuperscriptChar"/>
        </w:rPr>
        <w:fldChar w:fldCharType="end"/>
      </w:r>
      <w:r w:rsidR="0089252C" w:rsidRPr="0093303D">
        <w:t xml:space="preserve"> </w:t>
      </w:r>
      <w:r w:rsidR="00D9790F" w:rsidRPr="00F57624">
        <w:t>It</w:t>
      </w:r>
      <w:r w:rsidR="00952B6D" w:rsidRPr="00F57624">
        <w:t xml:space="preserve"> is characterised by two linked processes.</w:t>
      </w:r>
      <w:r w:rsidR="00971AFC" w:rsidRPr="00F57624">
        <w:t xml:space="preserve"> </w:t>
      </w:r>
      <w:r w:rsidR="00337986" w:rsidRPr="0093303D">
        <w:t>Infection with serovars A-C of the bacterium</w:t>
      </w:r>
      <w:r w:rsidR="00337986" w:rsidRPr="00A33DD2">
        <w:rPr>
          <w:rStyle w:val="Emphasis"/>
        </w:rPr>
        <w:t xml:space="preserve"> Chlamydia trachomatis </w:t>
      </w:r>
      <w:r w:rsidR="00337986" w:rsidRPr="0093303D">
        <w:t xml:space="preserve">leads to inflammation of the conjunctiva known as active trachoma, characterised by the presence of multiple follicles or lumps (TF) on the upper tarsal conjunctiva (upper inner eyelid), or pronounced thickening </w:t>
      </w:r>
      <w:r w:rsidR="008663B3" w:rsidRPr="0093303D">
        <w:t>obscuring more than half the normal deep tarsal vessels</w:t>
      </w:r>
      <w:r w:rsidR="00337986" w:rsidRPr="0093303D">
        <w:t xml:space="preserve"> (TI).</w:t>
      </w:r>
      <w:r w:rsidR="00337986" w:rsidRPr="00A33DD2">
        <w:rPr>
          <w:rStyle w:val="Emphasis"/>
        </w:rPr>
        <w:t xml:space="preserve"> </w:t>
      </w:r>
      <w:r w:rsidR="000435C0" w:rsidRPr="0093303D">
        <w:t>Repeated infection, particularly during childhood, drives</w:t>
      </w:r>
      <w:r w:rsidR="007237C5" w:rsidRPr="0093303D">
        <w:t xml:space="preserve"> chronic scarring and</w:t>
      </w:r>
      <w:r w:rsidR="000435C0" w:rsidRPr="0093303D">
        <w:t xml:space="preserve"> t</w:t>
      </w:r>
      <w:r w:rsidR="00C74ED7" w:rsidRPr="0093303D">
        <w:t>he second, non-communicable stage</w:t>
      </w:r>
      <w:r w:rsidR="006741C2" w:rsidRPr="0093303D">
        <w:t>.</w:t>
      </w:r>
      <w:r w:rsidR="0038765C" w:rsidRPr="0093303D">
        <w:t xml:space="preserve"> Scarring can </w:t>
      </w:r>
      <w:r w:rsidR="003E4E09" w:rsidRPr="0093303D">
        <w:t>cause</w:t>
      </w:r>
      <w:r w:rsidR="0038765C" w:rsidRPr="0093303D">
        <w:t xml:space="preserve"> </w:t>
      </w:r>
      <w:r w:rsidR="00905F92" w:rsidRPr="0093303D">
        <w:t>eyelashes</w:t>
      </w:r>
      <w:r w:rsidR="003E4E09" w:rsidRPr="0093303D">
        <w:t xml:space="preserve"> to rotate </w:t>
      </w:r>
      <w:r w:rsidR="0038765C" w:rsidRPr="0093303D">
        <w:t>inward to scratch the outer surface of the cornea.</w:t>
      </w:r>
      <w:r w:rsidR="000435C0" w:rsidRPr="0093303D">
        <w:t xml:space="preserve"> </w:t>
      </w:r>
      <w:r w:rsidR="00971AFC" w:rsidRPr="00F57624">
        <w:t xml:space="preserve">The resulting damage to the cornea by </w:t>
      </w:r>
      <w:r w:rsidR="00C2290F" w:rsidRPr="00F57624">
        <w:t>TT</w:t>
      </w:r>
      <w:r w:rsidR="00971AFC" w:rsidRPr="00F57624">
        <w:t xml:space="preserve"> is the main pathway by which trachoma leads to vision loss and blindness.</w:t>
      </w:r>
      <w:r w:rsidR="00971AFC" w:rsidRPr="00F71130">
        <w:rPr>
          <w:rStyle w:val="SuperscriptChar"/>
        </w:rPr>
        <w:fldChar w:fldCharType="begin">
          <w:fldData xml:space="preserve">PEVuZE5vdGU+PENpdGU+PEF1dGhvcj5Xb2xsZTwvQXV0aG9yPjxZZWFyPjIwMDk8L1llYXI+PFJl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</w:fldData>
        </w:fldChar>
      </w:r>
      <w:r w:rsidR="00256FC4" w:rsidRPr="00F71130">
        <w:rPr>
          <w:rStyle w:val="SuperscriptChar"/>
        </w:rPr>
        <w:instrText xml:space="preserve"> ADDIN EN.CITE </w:instrText>
      </w:r>
      <w:r w:rsidR="00256FC4" w:rsidRPr="00F71130">
        <w:rPr>
          <w:rStyle w:val="SuperscriptChar"/>
        </w:rPr>
        <w:fldChar w:fldCharType="begin">
          <w:fldData xml:space="preserve">PEVuZE5vdGU+PENpdGU+PEF1dGhvcj5Xb2xsZTwvQXV0aG9yPjxZZWFyPjIwMDk8L1llYXI+PFJl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</w:fldData>
        </w:fldChar>
      </w:r>
      <w:r w:rsidR="00256FC4" w:rsidRPr="00F71130">
        <w:rPr>
          <w:rStyle w:val="SuperscriptChar"/>
        </w:rPr>
        <w:instrText xml:space="preserve"> ADDIN EN.CITE.DATA </w:instrText>
      </w:r>
      <w:r w:rsidR="00256FC4" w:rsidRPr="00F71130">
        <w:rPr>
          <w:rStyle w:val="SuperscriptChar"/>
        </w:rPr>
      </w:r>
      <w:r w:rsidR="00256FC4" w:rsidRPr="00F71130">
        <w:rPr>
          <w:rStyle w:val="SuperscriptChar"/>
        </w:rPr>
        <w:fldChar w:fldCharType="end"/>
      </w:r>
      <w:r w:rsidR="00971AFC" w:rsidRPr="00F71130">
        <w:rPr>
          <w:rStyle w:val="SuperscriptChar"/>
        </w:rPr>
      </w:r>
      <w:r w:rsidR="00971AFC" w:rsidRPr="00F71130">
        <w:rPr>
          <w:rStyle w:val="SuperscriptChar"/>
        </w:rPr>
        <w:fldChar w:fldCharType="separate"/>
      </w:r>
      <w:r w:rsidR="00256FC4" w:rsidRPr="00F71130">
        <w:rPr>
          <w:rStyle w:val="SuperscriptChar"/>
        </w:rPr>
        <w:t>1, 8-10</w:t>
      </w:r>
      <w:r w:rsidR="00971AFC" w:rsidRPr="00F71130">
        <w:rPr>
          <w:rStyle w:val="SuperscriptChar"/>
        </w:rPr>
        <w:fldChar w:fldCharType="end"/>
      </w:r>
      <w:r w:rsidR="00971AFC" w:rsidRPr="00F71130">
        <w:rPr>
          <w:rStyle w:val="SuperscriptChar"/>
        </w:rPr>
        <w:t xml:space="preserve"> </w:t>
      </w:r>
      <w:r w:rsidR="00EB0010" w:rsidRPr="00F57624">
        <w:t>S</w:t>
      </w:r>
      <w:r w:rsidR="00971AFC" w:rsidRPr="00F57624">
        <w:t>carring is irreversible but if early signs of in-turned eyelashes are found, surgery to the eyelid is usually effective in preventing further damage to the cornea.</w:t>
      </w:r>
      <w:r w:rsidR="007D010D" w:rsidRPr="00F71130">
        <w:rPr>
          <w:rStyle w:val="SuperscriptChar"/>
        </w:rPr>
        <w:fldChar w:fldCharType="begin"/>
      </w:r>
      <w:r w:rsidR="00256FC4" w:rsidRPr="00F71130">
        <w:rPr>
          <w:rStyle w:val="SuperscriptChar"/>
        </w:rPr>
        <w:instrText xml:space="preserve"> ADDIN EN.CITE &lt;EndNote&gt;&lt;Cite&gt;&lt;Author&gt;Gower&lt;/Author&gt;&lt;Year&gt;2024&lt;/Year&gt;&lt;RecNum&gt;338&lt;/RecNum&gt;&lt;DisplayText&gt;&lt;style face="superscript"&gt;11&lt;/style&gt;&lt;/DisplayText&gt;&lt;record&gt;&lt;rec-number&gt;338&lt;/rec-number&gt;&lt;foreign-keys&gt;&lt;key app="EN" db-id="52r9t20smsvp0rex9v1vsfe3tt9vxfdpvwsa" timestamp="1732684862"&gt;338&lt;/key&gt;&lt;/foreign-keys&gt;&lt;ref-type name="Journal Article"&gt;17&lt;/ref-type&gt;&lt;contributors&gt;&lt;authors&gt;&lt;author&gt;Gower, Emily W.&lt;/author&gt;&lt;author&gt;Sisay, Alemayehu&lt;/author&gt;&lt;author&gt;Bayissasse, Belay&lt;/author&gt;&lt;author&gt;Seyum, Dawit&lt;/author&gt;&lt;author&gt;Weaver, Jerusha&lt;/author&gt;&lt;author&gt;Munoz, Beatriz&lt;/author&gt;&lt;author&gt;Keil, Alexander P.&lt;/author&gt;&lt;author&gt;Bankoski, Andrea&lt;/author&gt;&lt;author&gt;Sullivan, Kristin M.&lt;/author&gt;&lt;author&gt;Kana, Hashiya&lt;/author&gt;&lt;author&gt;Admassu, Fisseha&lt;/author&gt;&lt;author&gt;Tadesse, Demissie&lt;/author&gt;&lt;author&gt;Merbs, Shannath L.&lt;/author&gt;&lt;/authors&gt;&lt;/contributors&gt;&lt;titles&gt;&lt;title&gt;The impact of modified incision height and surgical procedure on trichiasis surgery outcomes: Results of the maximizing trichiasis surgery success (MTSS) randomized trial&lt;/title&gt;&lt;secondary-title&gt;PLOS Neglected Tropical Diseases&lt;/secondary-title&gt;&lt;/titles&gt;&lt;periodical&gt;&lt;full-title&gt;PLOS Neglected Tropical Diseases&lt;/full-title&gt;&lt;/periodical&gt;&lt;pages&gt;e0012034&lt;/pages&gt;&lt;volume&gt;18&lt;/volume&gt;&lt;number&gt;9&lt;/number&gt;&lt;dates&gt;&lt;year&gt;2024&lt;/year&gt;&lt;/dates&gt;&lt;publisher&gt;Public Library of Science&lt;/publisher&gt;&lt;urls&gt;&lt;related-urls&gt;&lt;url&gt;https://doi.org/10.1371/journal.pntd.0012034&lt;/url&gt;&lt;/related-urls&gt;&lt;/urls&gt;&lt;electronic-resource-num&gt;https://doi.org/10.1371/journal.pntd.0012034&lt;/electronic-resource-num&gt;&lt;/record&gt;&lt;/Cite&gt;&lt;/EndNote&gt;</w:instrText>
      </w:r>
      <w:r w:rsidR="007D010D" w:rsidRPr="00F71130">
        <w:rPr>
          <w:rStyle w:val="SuperscriptChar"/>
        </w:rPr>
        <w:fldChar w:fldCharType="separate"/>
      </w:r>
      <w:r w:rsidR="00256FC4" w:rsidRPr="00F71130">
        <w:rPr>
          <w:rStyle w:val="SuperscriptChar"/>
        </w:rPr>
        <w:t>11</w:t>
      </w:r>
      <w:r w:rsidR="007D010D" w:rsidRPr="00F71130">
        <w:rPr>
          <w:rStyle w:val="SuperscriptChar"/>
        </w:rPr>
        <w:fldChar w:fldCharType="end"/>
      </w:r>
      <w:r w:rsidR="00971AFC" w:rsidRPr="00F57624">
        <w:t xml:space="preserve"> </w:t>
      </w:r>
      <w:r w:rsidR="0082351A" w:rsidRPr="0093303D">
        <w:t>As of</w:t>
      </w:r>
      <w:r w:rsidR="00BA20DA" w:rsidRPr="0093303D">
        <w:t xml:space="preserve"> </w:t>
      </w:r>
      <w:r w:rsidR="00F678F3" w:rsidRPr="0093303D">
        <w:t>July 2025</w:t>
      </w:r>
      <w:r w:rsidR="00BA20DA" w:rsidRPr="0093303D">
        <w:t>, trachoma</w:t>
      </w:r>
      <w:r w:rsidR="001A7DE1" w:rsidRPr="0093303D">
        <w:t xml:space="preserve"> was considered to be</w:t>
      </w:r>
      <w:r w:rsidR="0082351A" w:rsidRPr="0093303D">
        <w:t xml:space="preserve"> endemic in at least</w:t>
      </w:r>
      <w:r w:rsidR="00C948A0" w:rsidRPr="0093303D">
        <w:t xml:space="preserve"> part of</w:t>
      </w:r>
      <w:r w:rsidR="0082351A" w:rsidRPr="0093303D">
        <w:t xml:space="preserve"> </w:t>
      </w:r>
      <w:r w:rsidR="0065735C" w:rsidRPr="0093303D">
        <w:t>32</w:t>
      </w:r>
      <w:r w:rsidR="0082351A" w:rsidRPr="0093303D">
        <w:t xml:space="preserve"> countries</w:t>
      </w:r>
      <w:r w:rsidR="00035ED1" w:rsidRPr="0093303D">
        <w:t xml:space="preserve">, with an estimated </w:t>
      </w:r>
      <w:r w:rsidR="00A11F94" w:rsidRPr="0093303D">
        <w:t>1.</w:t>
      </w:r>
      <w:r w:rsidR="0065735C" w:rsidRPr="0093303D">
        <w:t>2</w:t>
      </w:r>
      <w:r w:rsidR="00A11F94" w:rsidRPr="0093303D">
        <w:t xml:space="preserve"> million persons experiencing the most severe forms of vision impairment related to the disease</w:t>
      </w:r>
      <w:r w:rsidR="00345798" w:rsidRPr="0093303D">
        <w:t>.</w:t>
      </w:r>
      <w:r w:rsidR="00AA7F13" w:rsidRPr="00F71130">
        <w:rPr>
          <w:rStyle w:val="SuperscriptChar"/>
        </w:rPr>
        <w:fldChar w:fldCharType="begin"/>
      </w:r>
      <w:r w:rsidR="00256FC4" w:rsidRPr="00F71130">
        <w:rPr>
          <w:rStyle w:val="SuperscriptChar"/>
        </w:rPr>
        <w:instrText xml:space="preserve"> ADDIN EN.CITE &lt;EndNote&gt;&lt;Cite&gt;&lt;Author&gt;WHO Alliance for the Global Elimination of Trachoma&lt;/Author&gt;&lt;Year&gt;2025 Jul 18&lt;/Year&gt;&lt;RecNum&gt;416&lt;/RecNum&gt;&lt;DisplayText&gt;&lt;style face="superscript"&gt;7&lt;/style&gt;&lt;/DisplayText&gt;&lt;record&gt;&lt;rec-number&gt;416&lt;/rec-number&gt;&lt;foreign-keys&gt;&lt;key app="EN" db-id="52r9t20smsvp0rex9v1vsfe3tt9vxfdpvwsa" timestamp="1753057124"&gt;416&lt;/key&gt;&lt;/foreign-keys&gt;&lt;ref-type name="Journal Article"&gt;17&lt;/ref-type&gt;&lt;contributors&gt;&lt;authors&gt;&lt;author&gt;WHO Alliance for the Global Elimination of Trachoma,&lt;/author&gt;&lt;/authors&gt;&lt;/contributors&gt;&lt;titles&gt;&lt;title&gt;Progress report on elimination of trachoma, 2024-2025&lt;/title&gt;&lt;secondary-title&gt;Wkly Epidemiol Rec&lt;/secondary-title&gt;&lt;alt-title&gt;Weekly Epidemiological Record&lt;/alt-title&gt;&lt;/titles&gt;&lt;periodical&gt;&lt;full-title&gt;Wkly Epidemiol Rec&lt;/full-title&gt;&lt;/periodical&gt;&lt;alt-periodical&gt;&lt;full-title&gt;Weekly Epidemiological Record&lt;/full-title&gt;&lt;/alt-periodical&gt;&lt;pages&gt;285-302&lt;/pages&gt;&lt;volume&gt;100&lt;/volume&gt;&lt;number&gt;29/30&lt;/number&gt;&lt;dates&gt;&lt;year&gt;2025 Jul 18&lt;/year&gt;&lt;/dates&gt;&lt;urls&gt;&lt;/urls&gt;&lt;/record&gt;&lt;/Cite&gt;&lt;/EndNote&gt;</w:instrText>
      </w:r>
      <w:r w:rsidR="00AA7F13" w:rsidRPr="00F71130">
        <w:rPr>
          <w:rStyle w:val="SuperscriptChar"/>
        </w:rPr>
        <w:fldChar w:fldCharType="separate"/>
      </w:r>
      <w:r w:rsidR="00256FC4" w:rsidRPr="00F71130">
        <w:rPr>
          <w:rStyle w:val="SuperscriptChar"/>
        </w:rPr>
        <w:t>7</w:t>
      </w:r>
      <w:r w:rsidR="00AA7F13" w:rsidRPr="00F71130">
        <w:rPr>
          <w:rStyle w:val="SuperscriptChar"/>
        </w:rPr>
        <w:fldChar w:fldCharType="end"/>
      </w:r>
      <w:r w:rsidR="00A11F94" w:rsidRPr="0093303D">
        <w:t xml:space="preserve"> </w:t>
      </w:r>
      <w:r w:rsidR="00B81707" w:rsidRPr="0093303D">
        <w:t>Australia has remained the only high-income country where trachoma is considered a public health problem.</w:t>
      </w:r>
    </w:p>
    <w:p w14:paraId="64E0BA12" w14:textId="70CA56F9" w:rsidR="003D4809" w:rsidRPr="00A33DD2" w:rsidRDefault="006F76C1" w:rsidP="00F76882">
      <w:r w:rsidRPr="0093303D">
        <w:t xml:space="preserve">Transmission </w:t>
      </w:r>
      <w:r w:rsidR="005E27D2" w:rsidRPr="0093303D">
        <w:t xml:space="preserve">of ocular </w:t>
      </w:r>
      <w:r w:rsidR="005E27D2" w:rsidRPr="00A33DD2">
        <w:rPr>
          <w:rStyle w:val="Emphasis"/>
        </w:rPr>
        <w:t>C</w:t>
      </w:r>
      <w:r w:rsidR="009A30EB" w:rsidRPr="00A33DD2">
        <w:rPr>
          <w:rStyle w:val="Emphasis"/>
        </w:rPr>
        <w:t>.</w:t>
      </w:r>
      <w:r w:rsidR="005E27D2" w:rsidRPr="00A33DD2">
        <w:rPr>
          <w:rStyle w:val="Emphasis"/>
        </w:rPr>
        <w:t xml:space="preserve"> trachomatis </w:t>
      </w:r>
      <w:r w:rsidRPr="0093303D">
        <w:t>occurs</w:t>
      </w:r>
      <w:r w:rsidR="001717DE" w:rsidRPr="0093303D">
        <w:t xml:space="preserve"> through close facial contact, hand-to-eye contact, </w:t>
      </w:r>
      <w:r w:rsidR="00EE34BE" w:rsidRPr="0093303D">
        <w:t xml:space="preserve">via contamination of personal items </w:t>
      </w:r>
      <w:r w:rsidR="005216AA" w:rsidRPr="0093303D">
        <w:t>(</w:t>
      </w:r>
      <w:r w:rsidR="00EE34BE" w:rsidRPr="0093303D">
        <w:t xml:space="preserve">such as </w:t>
      </w:r>
      <w:r w:rsidR="001717DE" w:rsidRPr="0093303D">
        <w:t xml:space="preserve">towels, </w:t>
      </w:r>
      <w:r w:rsidR="00511FA2" w:rsidRPr="0093303D">
        <w:t>clothing,</w:t>
      </w:r>
      <w:r w:rsidR="001717DE" w:rsidRPr="0093303D">
        <w:t xml:space="preserve"> and bedding</w:t>
      </w:r>
      <w:r w:rsidR="005216AA" w:rsidRPr="0093303D">
        <w:t>)</w:t>
      </w:r>
      <w:r w:rsidR="001717DE" w:rsidRPr="0093303D">
        <w:t xml:space="preserve"> </w:t>
      </w:r>
      <w:r w:rsidR="00EE34BE" w:rsidRPr="0093303D">
        <w:t xml:space="preserve">and </w:t>
      </w:r>
      <w:r w:rsidR="00586E71" w:rsidRPr="0093303D">
        <w:t xml:space="preserve">possibly by </w:t>
      </w:r>
      <w:r w:rsidR="00F82768" w:rsidRPr="0093303D">
        <w:t>flies</w:t>
      </w:r>
      <w:r w:rsidR="008E7502" w:rsidRPr="00F71130">
        <w:rPr>
          <w:rStyle w:val="SuperscriptChar"/>
        </w:rPr>
        <w:t>.</w:t>
      </w:r>
      <w:r w:rsidR="00DB7C8A" w:rsidRPr="00F71130">
        <w:rPr>
          <w:rStyle w:val="SuperscriptChar"/>
        </w:rPr>
        <w:fldChar w:fldCharType="begin">
          <w:fldData xml:space="preserve">PEVuZE5vdGU+PENpdGU+PEF1dGhvcj5WZXJzdGVlZzwvQXV0aG9yPjxZZWFyPjIwMjA8L1llYXI+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</w:fldData>
        </w:fldChar>
      </w:r>
      <w:r w:rsidR="00256FC4" w:rsidRPr="00F71130">
        <w:rPr>
          <w:rStyle w:val="SuperscriptChar"/>
        </w:rPr>
        <w:instrText xml:space="preserve"> ADDIN EN.CITE </w:instrText>
      </w:r>
      <w:r w:rsidR="00256FC4" w:rsidRPr="00F71130">
        <w:rPr>
          <w:rStyle w:val="SuperscriptChar"/>
        </w:rPr>
        <w:fldChar w:fldCharType="begin">
          <w:fldData xml:space="preserve">PEVuZE5vdGU+PENpdGU+PEF1dGhvcj5WZXJzdGVlZzwvQXV0aG9yPjxZZWFyPjIwMjA8L1llYXI+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</w:fldData>
        </w:fldChar>
      </w:r>
      <w:r w:rsidR="00256FC4" w:rsidRPr="00F71130">
        <w:rPr>
          <w:rStyle w:val="SuperscriptChar"/>
        </w:rPr>
        <w:instrText xml:space="preserve"> ADDIN EN.CITE.DATA </w:instrText>
      </w:r>
      <w:r w:rsidR="00256FC4" w:rsidRPr="00F71130">
        <w:rPr>
          <w:rStyle w:val="SuperscriptChar"/>
        </w:rPr>
      </w:r>
      <w:r w:rsidR="00256FC4" w:rsidRPr="00F71130">
        <w:rPr>
          <w:rStyle w:val="SuperscriptChar"/>
        </w:rPr>
        <w:fldChar w:fldCharType="end"/>
      </w:r>
      <w:r w:rsidR="00DB7C8A" w:rsidRPr="00F71130">
        <w:rPr>
          <w:rStyle w:val="SuperscriptChar"/>
        </w:rPr>
      </w:r>
      <w:r w:rsidR="00DB7C8A" w:rsidRPr="00F71130">
        <w:rPr>
          <w:rStyle w:val="SuperscriptChar"/>
        </w:rPr>
        <w:fldChar w:fldCharType="separate"/>
      </w:r>
      <w:r w:rsidR="00256FC4" w:rsidRPr="00F71130">
        <w:rPr>
          <w:rStyle w:val="SuperscriptChar"/>
        </w:rPr>
        <w:t>12, 13</w:t>
      </w:r>
      <w:r w:rsidR="00DB7C8A" w:rsidRPr="00F71130">
        <w:rPr>
          <w:rStyle w:val="SuperscriptChar"/>
        </w:rPr>
        <w:fldChar w:fldCharType="end"/>
      </w:r>
      <w:r w:rsidR="001717DE" w:rsidRPr="0093303D">
        <w:t xml:space="preserve"> Trachoma generally occurs in dry, dusty environments and is </w:t>
      </w:r>
      <w:r w:rsidR="00EE34BE" w:rsidRPr="0093303D">
        <w:t xml:space="preserve">strongly associated </w:t>
      </w:r>
      <w:r w:rsidR="00F82768" w:rsidRPr="0093303D">
        <w:t xml:space="preserve">with </w:t>
      </w:r>
      <w:r w:rsidR="00586E71" w:rsidRPr="0093303D">
        <w:t xml:space="preserve">poor </w:t>
      </w:r>
      <w:r w:rsidR="00F82768" w:rsidRPr="0093303D">
        <w:t>living</w:t>
      </w:r>
      <w:r w:rsidR="001717DE" w:rsidRPr="0093303D">
        <w:t xml:space="preserve"> conditions. </w:t>
      </w:r>
      <w:r w:rsidR="00EE34BE" w:rsidRPr="0093303D">
        <w:t xml:space="preserve">Crowding </w:t>
      </w:r>
      <w:r w:rsidR="00D803E7" w:rsidRPr="0093303D">
        <w:t>in</w:t>
      </w:r>
      <w:r w:rsidR="001717DE" w:rsidRPr="0093303D">
        <w:t xml:space="preserve"> households, limited water supply for bathing and general hygiene</w:t>
      </w:r>
      <w:r w:rsidR="00721CEF" w:rsidRPr="0093303D">
        <w:t>,</w:t>
      </w:r>
      <w:r w:rsidR="005A6A23" w:rsidRPr="0093303D">
        <w:t xml:space="preserve"> and </w:t>
      </w:r>
      <w:r w:rsidR="001717DE" w:rsidRPr="0093303D">
        <w:t xml:space="preserve">poor waste disposal systems </w:t>
      </w:r>
      <w:r w:rsidR="006C2676" w:rsidRPr="0093303D">
        <w:t xml:space="preserve">have </w:t>
      </w:r>
      <w:r w:rsidR="001717DE" w:rsidRPr="0093303D">
        <w:t>all been associated with trachoma</w:t>
      </w:r>
      <w:r w:rsidR="00EE34BE" w:rsidRPr="0093303D">
        <w:t xml:space="preserve"> prevalence</w:t>
      </w:r>
      <w:r w:rsidR="008E7502" w:rsidRPr="0093303D">
        <w:t>.</w:t>
      </w:r>
      <w:r w:rsidR="00DB7C8A" w:rsidRPr="0093303D">
        <w:fldChar w:fldCharType="begin"/>
      </w:r>
      <w:r w:rsidR="00886F09" w:rsidRPr="0093303D">
        <w:instrText xml:space="preserve"> ADDIN EN.CITE &lt;EndNote&gt;&lt;Cite&gt;&lt;Author&gt;Taylor&lt;/Author&gt;&lt;Year&gt;2008&lt;/Year&gt;&lt;RecNum&gt;51&lt;/RecNum&gt;&lt;DisplayText&gt;&lt;style face="superscript"&gt;6&lt;/style&gt;&lt;/DisplayText&gt;&lt;record&gt;&lt;rec-number&gt;51&lt;/rec-number&gt;&lt;foreign-keys&gt;&lt;key app="EN" db-id="52r9t20smsvp0rex9v1vsfe3tt9vxfdpvwsa" timestamp="1690520824"&gt;51&lt;/key&gt;&lt;/foreign-keys&gt;&lt;ref-type name="Book"&gt;6&lt;/ref-type&gt;&lt;contributors&gt;&lt;authors&gt;&lt;author&gt;Taylor, H.&lt;/author&gt;&lt;/authors&gt;&lt;/contributors&gt;&lt;titles&gt;&lt;title&gt;Trachoma: A Blinding Scourge from the Bronze Age to the Twenty-first Century&lt;/title&gt;&lt;/titles&gt;&lt;dates&gt;&lt;year&gt;2008&lt;/year&gt;&lt;/dates&gt;&lt;pub-location&gt;East Melbourne, Vic&lt;/pub-location&gt;&lt;publisher&gt;Centre for Eye Research Australia&lt;/publisher&gt;&lt;urls&gt;&lt;/urls&gt;&lt;/record&gt;&lt;/Cite&gt;&lt;/EndNote&gt;</w:instrText>
      </w:r>
      <w:r w:rsidR="00DB7C8A" w:rsidRPr="0093303D">
        <w:fldChar w:fldCharType="separate"/>
      </w:r>
      <w:r w:rsidR="00886F09" w:rsidRPr="0093303D">
        <w:t>6</w:t>
      </w:r>
      <w:r w:rsidR="00DB7C8A" w:rsidRPr="0093303D">
        <w:fldChar w:fldCharType="end"/>
      </w:r>
      <w:r w:rsidR="001717DE" w:rsidRPr="0093303D">
        <w:t xml:space="preserve"> Children </w:t>
      </w:r>
      <w:r w:rsidR="00F235E6" w:rsidRPr="0093303D">
        <w:t>have more frequent and longer-lasting episodes of infection tha</w:t>
      </w:r>
      <w:r w:rsidR="009A30EB" w:rsidRPr="0093303D">
        <w:t>n</w:t>
      </w:r>
      <w:r w:rsidR="00F235E6" w:rsidRPr="0093303D">
        <w:t xml:space="preserve"> adults</w:t>
      </w:r>
      <w:r w:rsidR="00716E76" w:rsidRPr="0093303D">
        <w:t xml:space="preserve"> </w:t>
      </w:r>
      <w:r w:rsidR="001717DE" w:rsidRPr="0093303D">
        <w:t xml:space="preserve">and are </w:t>
      </w:r>
      <w:r w:rsidR="00DB7C8A" w:rsidRPr="0093303D">
        <w:t xml:space="preserve">generally </w:t>
      </w:r>
      <w:r w:rsidR="001717DE" w:rsidRPr="0093303D">
        <w:t>believed to be the main</w:t>
      </w:r>
      <w:r w:rsidR="00EE34BE" w:rsidRPr="0093303D">
        <w:t xml:space="preserve"> community</w:t>
      </w:r>
      <w:r w:rsidR="001717DE" w:rsidRPr="0093303D">
        <w:t xml:space="preserve"> reservoirs of infection</w:t>
      </w:r>
      <w:r w:rsidR="00DD42AC" w:rsidRPr="0093303D">
        <w:t>.</w:t>
      </w:r>
      <w:r w:rsidR="00EC3702" w:rsidRPr="00F71130">
        <w:rPr>
          <w:rStyle w:val="SuperscriptChar"/>
        </w:rPr>
        <w:fldChar w:fldCharType="begin">
          <w:fldData xml:space="preserve">PEVuZE5vdGU+PENpdGU+PEF1dGhvcj5Tb2xvbW9uPC9BdXRob3I+PFllYXI+MjAwMzwvWWVhcj48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</w:fldData>
        </w:fldChar>
      </w:r>
      <w:r w:rsidR="00256FC4" w:rsidRPr="00F71130">
        <w:rPr>
          <w:rStyle w:val="SuperscriptChar"/>
        </w:rPr>
        <w:instrText xml:space="preserve"> ADDIN EN.CITE </w:instrText>
      </w:r>
      <w:r w:rsidR="00256FC4" w:rsidRPr="00F71130">
        <w:rPr>
          <w:rStyle w:val="SuperscriptChar"/>
        </w:rPr>
        <w:fldChar w:fldCharType="begin">
          <w:fldData xml:space="preserve">PEVuZE5vdGU+PENpdGU+PEF1dGhvcj5Tb2xvbW9uPC9BdXRob3I+PFllYXI+MjAwMzwvWWVhcj48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</w:fldData>
        </w:fldChar>
      </w:r>
      <w:r w:rsidR="00256FC4" w:rsidRPr="00F71130">
        <w:rPr>
          <w:rStyle w:val="SuperscriptChar"/>
        </w:rPr>
        <w:instrText xml:space="preserve"> ADDIN EN.CITE.DATA </w:instrText>
      </w:r>
      <w:r w:rsidR="00256FC4" w:rsidRPr="00F71130">
        <w:rPr>
          <w:rStyle w:val="SuperscriptChar"/>
        </w:rPr>
      </w:r>
      <w:r w:rsidR="00256FC4" w:rsidRPr="00F71130">
        <w:rPr>
          <w:rStyle w:val="SuperscriptChar"/>
        </w:rPr>
        <w:fldChar w:fldCharType="end"/>
      </w:r>
      <w:r w:rsidR="00EC3702" w:rsidRPr="00F71130">
        <w:rPr>
          <w:rStyle w:val="SuperscriptChar"/>
        </w:rPr>
      </w:r>
      <w:r w:rsidR="00EC3702" w:rsidRPr="00F71130">
        <w:rPr>
          <w:rStyle w:val="SuperscriptChar"/>
        </w:rPr>
        <w:fldChar w:fldCharType="separate"/>
      </w:r>
      <w:r w:rsidR="00256FC4" w:rsidRPr="00F71130">
        <w:rPr>
          <w:rStyle w:val="SuperscriptChar"/>
        </w:rPr>
        <w:t>14</w:t>
      </w:r>
      <w:r w:rsidR="00EC3702" w:rsidRPr="00F71130">
        <w:rPr>
          <w:rStyle w:val="SuperscriptChar"/>
        </w:rPr>
        <w:fldChar w:fldCharType="end"/>
      </w:r>
    </w:p>
    <w:p w14:paraId="63A85324" w14:textId="5D584085" w:rsidR="00E55B26" w:rsidRPr="003D3BBA" w:rsidRDefault="004D6497" w:rsidP="00F76882">
      <w:r w:rsidRPr="003D3BBA">
        <w:t xml:space="preserve">The World Health Organisation has set technical benchmarks for the elimination of trachoma as a public health problem, that is, </w:t>
      </w:r>
      <w:bookmarkStart w:id="88" w:name="_Hlk210213472"/>
      <w:r w:rsidRPr="003D3BBA">
        <w:t>the reduction in trachoma disease prevalence to such a level that it no longer contributes significantly to morbidity at the population level</w:t>
      </w:r>
      <w:bookmarkEnd w:id="88"/>
      <w:r w:rsidRPr="003D3BBA">
        <w:t>.</w:t>
      </w:r>
      <w:r w:rsidRPr="003D3BBA">
        <w:fldChar w:fldCharType="begin">
          <w:fldData xml:space="preserve">PEVuZE5vdGU+PENpdGU+PEF1dGhvcj5Cb2RpbWVhZGU8L0F1dGhvcj48WWVhcj4yMDE5PC9ZZWFy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</w:fldData>
        </w:fldChar>
      </w:r>
      <w:r w:rsidR="00256FC4" w:rsidRPr="003D3BBA">
        <w:instrText xml:space="preserve"> ADDIN EN.CITE </w:instrText>
      </w:r>
      <w:r w:rsidR="00256FC4" w:rsidRPr="003D3BBA">
        <w:fldChar w:fldCharType="begin">
          <w:fldData xml:space="preserve">PEVuZE5vdGU+PENpdGU+PEF1dGhvcj5Cb2RpbWVhZGU8L0F1dGhvcj48WWVhcj4yMDE5PC9ZZWFy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</w:fldData>
        </w:fldChar>
      </w:r>
      <w:r w:rsidR="00256FC4" w:rsidRPr="003D3BBA">
        <w:instrText xml:space="preserve"> ADDIN EN.CITE.DATA </w:instrText>
      </w:r>
      <w:r w:rsidR="00256FC4" w:rsidRPr="003D3BBA">
        <w:fldChar w:fldCharType="end"/>
      </w:r>
      <w:r w:rsidRPr="003D3BBA">
        <w:fldChar w:fldCharType="separate"/>
      </w:r>
      <w:r w:rsidR="00256FC4" w:rsidRPr="003D3BBA">
        <w:t>4, 15</w:t>
      </w:r>
      <w:r w:rsidRPr="003D3BBA">
        <w:fldChar w:fldCharType="end"/>
      </w:r>
      <w:r w:rsidR="005A4699" w:rsidRPr="003D3BBA">
        <w:t xml:space="preserve"> </w:t>
      </w:r>
      <w:r w:rsidR="001346C1" w:rsidRPr="003D3BBA">
        <w:t>This requires:</w:t>
      </w:r>
      <w:r w:rsidR="001B4B1E" w:rsidRPr="003D3BBA">
        <w:t xml:space="preserve"> </w:t>
      </w:r>
      <w:r w:rsidR="00A20D32" w:rsidRPr="003D3BBA">
        <w:t>(</w:t>
      </w:r>
      <w:proofErr w:type="spellStart"/>
      <w:r w:rsidR="00A20D32" w:rsidRPr="003D3BBA">
        <w:t>i</w:t>
      </w:r>
      <w:proofErr w:type="spellEnd"/>
      <w:r w:rsidR="00A20D32" w:rsidRPr="003D3BBA">
        <w:t xml:space="preserve">) a prevalence of </w:t>
      </w:r>
      <w:r w:rsidR="00EB0010" w:rsidRPr="003D3BBA">
        <w:t>TT</w:t>
      </w:r>
      <w:r w:rsidR="00A20D32" w:rsidRPr="003D3BBA">
        <w:t xml:space="preserve"> </w:t>
      </w:r>
      <w:r w:rsidR="001B3AB2" w:rsidRPr="003D3BBA">
        <w:t>‘</w:t>
      </w:r>
      <w:r w:rsidR="00A20D32" w:rsidRPr="003D3BBA">
        <w:t>unknown to the health system</w:t>
      </w:r>
      <w:r w:rsidR="001B3AB2" w:rsidRPr="003D3BBA">
        <w:t>’</w:t>
      </w:r>
      <w:r w:rsidR="00A20D32" w:rsidRPr="003D3BBA">
        <w:t xml:space="preserve"> of </w:t>
      </w:r>
      <w:r w:rsidR="001B3AB2" w:rsidRPr="003D3BBA">
        <w:t xml:space="preserve">less than </w:t>
      </w:r>
      <w:r w:rsidR="00A20D32" w:rsidRPr="003D3BBA">
        <w:t>0.2%</w:t>
      </w:r>
      <w:r w:rsidR="00AD7140" w:rsidRPr="003D3BBA">
        <w:t xml:space="preserve"> </w:t>
      </w:r>
      <w:r w:rsidR="00A20D32" w:rsidRPr="003D3BBA">
        <w:t>in</w:t>
      </w:r>
      <w:r w:rsidR="001B3AB2" w:rsidRPr="003D3BBA">
        <w:t xml:space="preserve"> </w:t>
      </w:r>
      <w:r w:rsidR="24570C0C" w:rsidRPr="003D3BBA">
        <w:t>pe</w:t>
      </w:r>
      <w:r w:rsidR="00167A7B" w:rsidRPr="003D3BBA">
        <w:t>ople</w:t>
      </w:r>
      <w:r w:rsidR="001B4B1E" w:rsidRPr="003D3BBA">
        <w:t xml:space="preserve"> </w:t>
      </w:r>
      <w:r w:rsidR="00A20D32" w:rsidRPr="003D3BBA">
        <w:t>15</w:t>
      </w:r>
      <w:r w:rsidR="001B3AB2" w:rsidRPr="003D3BBA">
        <w:t xml:space="preserve"> </w:t>
      </w:r>
      <w:r w:rsidR="00A20D32" w:rsidRPr="003D3BBA">
        <w:t>year</w:t>
      </w:r>
      <w:r w:rsidR="001B3AB2" w:rsidRPr="003D3BBA">
        <w:t>s or older</w:t>
      </w:r>
      <w:r w:rsidR="00A20D32" w:rsidRPr="003D3BBA">
        <w:t xml:space="preserve"> in each formerly endemic district; (ii) a prevalence of </w:t>
      </w:r>
      <w:r w:rsidR="00CA7E86" w:rsidRPr="003D3BBA">
        <w:t>TF</w:t>
      </w:r>
      <w:r w:rsidR="007A7240" w:rsidRPr="003D3BBA">
        <w:t xml:space="preserve"> </w:t>
      </w:r>
      <w:r w:rsidR="001B3AB2" w:rsidRPr="003D3BBA">
        <w:t xml:space="preserve">of less than 5% </w:t>
      </w:r>
      <w:r w:rsidR="00A20D32" w:rsidRPr="003D3BBA">
        <w:t xml:space="preserve">in children aged </w:t>
      </w:r>
      <w:r w:rsidR="00FB5AB2" w:rsidRPr="003D3BBA">
        <w:t>1</w:t>
      </w:r>
      <w:r w:rsidR="003D00CE" w:rsidRPr="003D3BBA">
        <w:t>–</w:t>
      </w:r>
      <w:r w:rsidR="00FB5AB2" w:rsidRPr="003D3BBA">
        <w:t>9</w:t>
      </w:r>
      <w:r w:rsidR="00A20D32" w:rsidRPr="003D3BBA">
        <w:t xml:space="preserve"> years </w:t>
      </w:r>
      <w:r w:rsidR="00834468" w:rsidRPr="003D3BBA">
        <w:t xml:space="preserve">maintained for at least two years </w:t>
      </w:r>
      <w:r w:rsidR="00A20D32" w:rsidRPr="003D3BBA">
        <w:t>in each formerly endemic</w:t>
      </w:r>
      <w:r w:rsidR="00AD7140" w:rsidRPr="003D3BBA">
        <w:t xml:space="preserve"> </w:t>
      </w:r>
      <w:r w:rsidR="00A20D32" w:rsidRPr="003D3BBA">
        <w:t xml:space="preserve">district; and (iii) written evidence that the health system </w:t>
      </w:r>
      <w:r w:rsidR="00523A7F" w:rsidRPr="003D3BBA">
        <w:t>can</w:t>
      </w:r>
      <w:r w:rsidR="00A20D32" w:rsidRPr="003D3BBA">
        <w:t xml:space="preserve"> identify and manage</w:t>
      </w:r>
      <w:r w:rsidR="00AD7140" w:rsidRPr="003D3BBA">
        <w:t xml:space="preserve"> </w:t>
      </w:r>
      <w:r w:rsidR="00A20D32" w:rsidRPr="003D3BBA">
        <w:t xml:space="preserve">incident cases of </w:t>
      </w:r>
      <w:r w:rsidR="00EB0010" w:rsidRPr="003D3BBA">
        <w:t>TT</w:t>
      </w:r>
      <w:r w:rsidR="00A20D32" w:rsidRPr="003D3BBA">
        <w:t>, with evidence of</w:t>
      </w:r>
      <w:r w:rsidR="00AD7140" w:rsidRPr="003D3BBA">
        <w:t xml:space="preserve"> </w:t>
      </w:r>
      <w:r w:rsidR="00A20D32" w:rsidRPr="003D3BBA">
        <w:t>appropriate financial resources to implement those strategies</w:t>
      </w:r>
      <w:r w:rsidR="00AD7140" w:rsidRPr="003D3BBA">
        <w:t>.</w:t>
      </w:r>
      <w:r w:rsidR="00AC5DCF" w:rsidRPr="003D3BBA">
        <w:t xml:space="preserve"> </w:t>
      </w:r>
      <w:r w:rsidR="00F3705F" w:rsidRPr="003D3BBA">
        <w:t xml:space="preserve">Formal </w:t>
      </w:r>
      <w:r w:rsidR="002A4128" w:rsidRPr="003D3BBA">
        <w:t xml:space="preserve">validation </w:t>
      </w:r>
      <w:r w:rsidR="00F3705F" w:rsidRPr="003D3BBA">
        <w:t>of elimination</w:t>
      </w:r>
      <w:r w:rsidR="00834468" w:rsidRPr="003D3BBA">
        <w:t xml:space="preserve"> as a public health problem</w:t>
      </w:r>
      <w:r w:rsidR="00F3705F" w:rsidRPr="003D3BBA">
        <w:t xml:space="preserve"> is sought </w:t>
      </w:r>
      <w:r w:rsidR="00332848" w:rsidRPr="003D3BBA">
        <w:t xml:space="preserve">from WHO </w:t>
      </w:r>
      <w:r w:rsidR="00F3705F" w:rsidRPr="003D3BBA">
        <w:t xml:space="preserve">through the </w:t>
      </w:r>
      <w:r w:rsidR="00F83B4A" w:rsidRPr="003D3BBA">
        <w:t>submission</w:t>
      </w:r>
      <w:r w:rsidR="00F3705F" w:rsidRPr="003D3BBA">
        <w:t xml:space="preserve"> of a dossier</w:t>
      </w:r>
      <w:r w:rsidR="00345798" w:rsidRPr="003D3BBA">
        <w:t>.</w:t>
      </w:r>
      <w:r w:rsidR="00EF56DC" w:rsidRPr="00F71130">
        <w:rPr>
          <w:rStyle w:val="SuperscriptChar"/>
        </w:rPr>
        <w:fldChar w:fldCharType="begin"/>
      </w:r>
      <w:r w:rsidR="00256FC4" w:rsidRPr="00F71130">
        <w:rPr>
          <w:rStyle w:val="SuperscriptChar"/>
        </w:rPr>
        <w:instrText xml:space="preserve"> ADDIN EN.CITE &lt;EndNote&gt;&lt;Cite&gt;&lt;Author&gt;World Health Organization&lt;/Author&gt;&lt;Year&gt;2016 Jun 4&lt;/Year&gt;&lt;RecNum&gt;26&lt;/RecNum&gt;&lt;DisplayText&gt;&lt;style face="superscript"&gt;16&lt;/style&gt;&lt;/DisplayText&gt;&lt;record&gt;&lt;rec-number&gt;26&lt;/rec-number&gt;&lt;foreign-keys&gt;&lt;key app="EN" db-id="p0re9swzsaww2fe22x2xs906r5wwfpxaf0sr" timestamp="1690769058"&gt;26&lt;/key&gt;&lt;/foreign-keys&gt;&lt;ref-type name="Report"&gt;27&lt;/ref-type&gt;&lt;contributors&gt;&lt;authors&gt;&lt;author&gt;World Health Organization,&lt;/author&gt;&lt;/authors&gt;&lt;/contributors&gt;&lt;titles&gt;&lt;title&gt;Validation of elimination of trachoma as a public health problem (WHO/HTM/NTD/2016.8)&lt;/title&gt;&lt;/titles&gt;&lt;dates&gt;&lt;year&gt;2016 Jun 4&lt;/year&gt;&lt;/dates&gt;&lt;pub-location&gt;Geneva, Switzerland&lt;/pub-location&gt;&lt;publisher&gt;World Health Organization&lt;/publisher&gt;&lt;urls&gt;&lt;related-urls&gt;&lt;url&gt;https://www.who.int/publications/i/item/who-htm-ntd-2016.8&lt;/url&gt;&lt;/related-urls&gt;&lt;/urls&gt;&lt;/record&gt;&lt;/Cite&gt;&lt;/EndNote&gt;</w:instrText>
      </w:r>
      <w:r w:rsidR="00EF56DC" w:rsidRPr="00F71130">
        <w:rPr>
          <w:rStyle w:val="SuperscriptChar"/>
        </w:rPr>
        <w:fldChar w:fldCharType="separate"/>
      </w:r>
      <w:r w:rsidR="00256FC4" w:rsidRPr="00F71130">
        <w:rPr>
          <w:rStyle w:val="SuperscriptChar"/>
        </w:rPr>
        <w:t>16</w:t>
      </w:r>
      <w:r w:rsidR="00EF56DC" w:rsidRPr="00F71130">
        <w:rPr>
          <w:rStyle w:val="SuperscriptChar"/>
        </w:rPr>
        <w:fldChar w:fldCharType="end"/>
      </w:r>
    </w:p>
    <w:p w14:paraId="3159D0C0" w14:textId="3168C527" w:rsidR="001717DE" w:rsidRPr="0036007C" w:rsidRDefault="001717DE" w:rsidP="00F76882">
      <w:pPr>
        <w:pStyle w:val="Heading2"/>
      </w:pPr>
      <w:bookmarkStart w:id="89" w:name="_Toc485747783"/>
      <w:bookmarkStart w:id="90" w:name="_Toc490035355"/>
      <w:bookmarkStart w:id="91" w:name="_Toc497062631"/>
      <w:bookmarkStart w:id="92" w:name="_Toc203986537"/>
      <w:bookmarkStart w:id="93" w:name="_Toc215236947"/>
      <w:r w:rsidRPr="0036007C">
        <w:t xml:space="preserve">Trachoma control in </w:t>
      </w:r>
      <w:r w:rsidRPr="00FC1E83">
        <w:t>Australia</w:t>
      </w:r>
      <w:bookmarkEnd w:id="89"/>
      <w:bookmarkEnd w:id="90"/>
      <w:bookmarkEnd w:id="91"/>
      <w:bookmarkEnd w:id="92"/>
      <w:bookmarkEnd w:id="93"/>
    </w:p>
    <w:p w14:paraId="48BB3D61" w14:textId="77777777" w:rsidR="00706E72" w:rsidRPr="003D3BBA" w:rsidRDefault="00706E72" w:rsidP="00F76882">
      <w:r w:rsidRPr="003D3BBA">
        <w:t>The Australian Government established the National Trachoma Management Program in 2006. This provides a federally funded, nationally consistent approach to trachoma control in accordance with Australia’s global commitments through:</w:t>
      </w:r>
    </w:p>
    <w:p w14:paraId="522E803D" w14:textId="7F2D7FC9" w:rsidR="00706E72" w:rsidRPr="00F71130" w:rsidRDefault="00706E72" w:rsidP="00F76882">
      <w:pPr>
        <w:pStyle w:val="TableofFigures"/>
        <w:rPr>
          <w:rStyle w:val="SuperscriptChar"/>
        </w:rPr>
      </w:pPr>
      <w:r w:rsidRPr="0036007C">
        <w:t>The development of Australia’s first national guidelines for the public health management of trachoma (updated in 2014), under the guidance of CDNA and in accordance with the SAFE strategy.</w:t>
      </w:r>
      <w:r w:rsidRPr="0036007C">
        <w:fldChar w:fldCharType="begin"/>
      </w:r>
      <w:r w:rsidR="00256FC4" w:rsidRPr="0036007C">
        <w:instrText xml:space="preserve"> ADDIN EN.CITE &lt;EndNote&gt;&lt;Cite&gt;&lt;Author&gt;Communicable Diseases Network Australia&lt;/Author&gt;&lt;Year&gt;2014 Jan&lt;/Year&gt;&lt;RecNum&gt;6&lt;/RecNum&gt;&lt;DisplayText&gt;&lt;style face="superscript"&gt;17&lt;/style&gt;&lt;/DisplayText&gt;&lt;record&gt;&lt;rec-number&gt;6&lt;/rec-number&gt;&lt;foreign-keys&gt;&lt;key app="EN" db-id="52r9t20smsvp0rex9v1vsfe3tt9vxfdpvwsa" timestamp="1690337276"&gt;6&lt;/key&gt;&lt;/foreign-keys&gt;&lt;ref-type name="Report"&gt;27&lt;/ref-type&gt;&lt;contributors&gt;&lt;authors&gt;&lt;author&gt;Communicable Diseases Network Australia,&lt;/author&gt;&lt;/authors&gt;&lt;/contributors&gt;&lt;titles&gt;&lt;title&gt;CDNA National Guidelines for the Public Health Management of Trachoma&lt;/title&gt;&lt;/titles&gt;&lt;dates&gt;&lt;year&gt;2014 Jan&lt;/year&gt;&lt;/dates&gt;&lt;pub-location&gt;Canberra&lt;/pub-location&gt;&lt;publisher&gt;Department of Health and Aged Care&lt;/publisher&gt;&lt;urls&gt;&lt;related-urls&gt;&lt;url&gt;https://www.health.gov.au/resources/publications/trachoma-cdna-national-guidelines-for-public-health-units?language=en&lt;/url&gt;&lt;/related-urls&gt;&lt;/urls&gt;&lt;/record&gt;&lt;/Cite&gt;&lt;/EndNote&gt;</w:instrText>
      </w:r>
      <w:r w:rsidRPr="0036007C">
        <w:fldChar w:fldCharType="separate"/>
      </w:r>
      <w:r w:rsidR="00256FC4" w:rsidRPr="00F71130">
        <w:rPr>
          <w:rStyle w:val="SuperscriptChar"/>
        </w:rPr>
        <w:t>17</w:t>
      </w:r>
      <w:r w:rsidRPr="0036007C">
        <w:fldChar w:fldCharType="end"/>
      </w:r>
      <w:r w:rsidRPr="00F71130">
        <w:rPr>
          <w:rStyle w:val="SuperscriptChar"/>
        </w:rPr>
        <w:t xml:space="preserve"> </w:t>
      </w:r>
    </w:p>
    <w:p w14:paraId="5CFA815F" w14:textId="77777777" w:rsidR="00706E72" w:rsidRPr="0036007C" w:rsidRDefault="00706E72" w:rsidP="00F76882">
      <w:pPr>
        <w:pStyle w:val="TableofFigures"/>
      </w:pPr>
      <w:r w:rsidRPr="0036007C">
        <w:t>The establishment of National Trachoma Surveillance and Reporting Unit (NTSRU) to provide a national mechanism for monitoring trachoma prevalence and related control activities.</w:t>
      </w:r>
    </w:p>
    <w:p w14:paraId="1141F1DB" w14:textId="0E14F220" w:rsidR="00706E72" w:rsidRPr="003D3BBA" w:rsidRDefault="00706E72" w:rsidP="00F76882">
      <w:pPr>
        <w:pStyle w:val="TableofFigures"/>
      </w:pPr>
      <w:r w:rsidRPr="003D3BBA">
        <w:t xml:space="preserve">The formation (in 2011) of the NTSCRG as the entity responsible for guiding Australia’s effort to eliminate trachoma as a public health problem. The NTSCRG comprises federal and state/territory jurisdictional government </w:t>
      </w:r>
      <w:proofErr w:type="spellStart"/>
      <w:r w:rsidRPr="003D3BBA">
        <w:t>health,</w:t>
      </w:r>
      <w:proofErr w:type="spellEnd"/>
      <w:r w:rsidRPr="003D3BBA">
        <w:t xml:space="preserve"> housing and environmental health representatives, epidemiological and public health experts, and key non-governmental partners with expertise in Aboriginal and Torres Strait Islander health across all components of the SAFE strategy</w:t>
      </w:r>
      <w:r w:rsidR="00CD3C13" w:rsidRPr="003D3BBA">
        <w:t xml:space="preserve">, including </w:t>
      </w:r>
      <w:r w:rsidR="00D11AF3" w:rsidRPr="003D3BBA">
        <w:t xml:space="preserve">representatives of the Aboriginal Community Controlled Health </w:t>
      </w:r>
      <w:r w:rsidR="00547783" w:rsidRPr="003D3BBA">
        <w:t xml:space="preserve">(ACCH) </w:t>
      </w:r>
      <w:r w:rsidR="00D11AF3" w:rsidRPr="003D3BBA">
        <w:t>sector</w:t>
      </w:r>
      <w:r w:rsidRPr="003D3BBA">
        <w:t xml:space="preserve">. </w:t>
      </w:r>
    </w:p>
    <w:p w14:paraId="75C9F873" w14:textId="797FA98B" w:rsidR="00A763F6" w:rsidRPr="003D3BBA" w:rsidRDefault="004765B9" w:rsidP="00F76882">
      <w:r w:rsidRPr="003D3BBA">
        <w:t xml:space="preserve">Most recently, the Australian Government has invested $23.6 million from 2021-22 to 2024-25 </w:t>
      </w:r>
      <w:r w:rsidR="001717DE" w:rsidRPr="003D3BBA">
        <w:t>towards eli</w:t>
      </w:r>
      <w:r w:rsidR="00A6405C" w:rsidRPr="003D3BBA">
        <w:t>minating trachoma</w:t>
      </w:r>
      <w:r w:rsidR="00D60984" w:rsidRPr="003D3BBA">
        <w:t xml:space="preserve"> as a public health problem</w:t>
      </w:r>
      <w:r w:rsidR="00A6405C" w:rsidRPr="003D3BBA">
        <w:t xml:space="preserve"> through the continua</w:t>
      </w:r>
      <w:r w:rsidR="005129D5" w:rsidRPr="003D3BBA">
        <w:t>tion</w:t>
      </w:r>
      <w:r w:rsidR="001717DE" w:rsidRPr="003D3BBA">
        <w:t xml:space="preserve"> </w:t>
      </w:r>
      <w:r w:rsidR="000321CD" w:rsidRPr="003D3BBA">
        <w:t xml:space="preserve">and </w:t>
      </w:r>
      <w:r w:rsidR="00A6405C" w:rsidRPr="003D3BBA">
        <w:t>development</w:t>
      </w:r>
      <w:r w:rsidR="001717DE" w:rsidRPr="003D3BBA">
        <w:t xml:space="preserve"> </w:t>
      </w:r>
      <w:r w:rsidR="00A6405C" w:rsidRPr="003D3BBA">
        <w:t xml:space="preserve">of </w:t>
      </w:r>
      <w:r w:rsidR="000321CD" w:rsidRPr="003D3BBA">
        <w:t>trachoma</w:t>
      </w:r>
      <w:r w:rsidR="001717DE" w:rsidRPr="003D3BBA">
        <w:t xml:space="preserve"> </w:t>
      </w:r>
      <w:r w:rsidR="009778BD" w:rsidRPr="003D3BBA">
        <w:t>surveillance</w:t>
      </w:r>
      <w:r w:rsidR="007C5180" w:rsidRPr="003D3BBA">
        <w:t>,</w:t>
      </w:r>
      <w:r w:rsidR="004111B7" w:rsidRPr="003D3BBA">
        <w:t xml:space="preserve"> health promotion</w:t>
      </w:r>
      <w:r w:rsidR="00041064" w:rsidRPr="003D3BBA">
        <w:t xml:space="preserve">, and </w:t>
      </w:r>
      <w:r w:rsidR="007C5180" w:rsidRPr="003D3BBA">
        <w:t>environmental improvement</w:t>
      </w:r>
      <w:r w:rsidR="001717DE" w:rsidRPr="003D3BBA">
        <w:t xml:space="preserve"> </w:t>
      </w:r>
      <w:r w:rsidR="000321CD" w:rsidRPr="003D3BBA">
        <w:t xml:space="preserve">initiatives in </w:t>
      </w:r>
      <w:r w:rsidR="002954B2" w:rsidRPr="003D3BBA">
        <w:t>the NT, Qld, SA</w:t>
      </w:r>
      <w:r w:rsidR="00041064" w:rsidRPr="003D3BBA">
        <w:t xml:space="preserve">, and </w:t>
      </w:r>
      <w:r w:rsidR="002954B2" w:rsidRPr="003D3BBA">
        <w:t>WA</w:t>
      </w:r>
      <w:r w:rsidR="004826B1" w:rsidRPr="003D3BBA">
        <w:t xml:space="preserve">. </w:t>
      </w:r>
    </w:p>
    <w:p w14:paraId="15571BE5" w14:textId="580565E5" w:rsidR="00E977FA" w:rsidRPr="0036007C" w:rsidRDefault="001717DE" w:rsidP="00F76882">
      <w:pPr>
        <w:pStyle w:val="Heading2"/>
      </w:pPr>
      <w:bookmarkStart w:id="94" w:name="_Toc485747784"/>
      <w:bookmarkStart w:id="95" w:name="_Toc490035356"/>
      <w:bookmarkStart w:id="96" w:name="_Toc497062632"/>
      <w:bookmarkStart w:id="97" w:name="_Toc203986538"/>
      <w:bookmarkStart w:id="98" w:name="_Toc215236948"/>
      <w:r w:rsidRPr="0036007C">
        <w:t>The National Trachoma Surveillance and Reporting Unit</w:t>
      </w:r>
      <w:bookmarkEnd w:id="94"/>
      <w:bookmarkEnd w:id="95"/>
      <w:bookmarkEnd w:id="96"/>
      <w:r w:rsidR="00706E72" w:rsidRPr="0036007C">
        <w:t xml:space="preserve"> (NTSRU)</w:t>
      </w:r>
      <w:bookmarkEnd w:id="97"/>
      <w:bookmarkEnd w:id="98"/>
    </w:p>
    <w:p w14:paraId="49D5D1DE" w14:textId="001BDD0F" w:rsidR="007E1280" w:rsidRPr="003D3BBA" w:rsidRDefault="000A0BCB" w:rsidP="00F76882">
      <w:r w:rsidRPr="003D3BBA">
        <w:t>The NTSRU is responsible for data collection, analysis</w:t>
      </w:r>
      <w:r w:rsidR="00041064" w:rsidRPr="003D3BBA">
        <w:t xml:space="preserve">, and </w:t>
      </w:r>
      <w:r w:rsidRPr="003D3BBA">
        <w:t>annual reporting of surveillance and SAFE activities</w:t>
      </w:r>
      <w:r w:rsidR="0036018B" w:rsidRPr="003D3BBA">
        <w:t xml:space="preserve"> in collaboration with relevant jurisdictions and health services</w:t>
      </w:r>
      <w:r w:rsidR="001717DE" w:rsidRPr="003D3BBA">
        <w:t>.</w:t>
      </w:r>
      <w:r w:rsidR="00D20769" w:rsidRPr="003D3BBA">
        <w:t xml:space="preserve"> </w:t>
      </w:r>
      <w:r w:rsidR="00C2688B" w:rsidRPr="003D3BBA">
        <w:t>T</w:t>
      </w:r>
      <w:r w:rsidR="00D20769" w:rsidRPr="003D3BBA">
        <w:t xml:space="preserve">he </w:t>
      </w:r>
      <w:r w:rsidR="005A0BCA" w:rsidRPr="003D3BBA">
        <w:t xml:space="preserve">Kirby </w:t>
      </w:r>
      <w:r w:rsidR="00D20769" w:rsidRPr="003D3BBA">
        <w:t xml:space="preserve">Institute, UNSW </w:t>
      </w:r>
      <w:r w:rsidR="00C2688B" w:rsidRPr="003D3BBA">
        <w:t xml:space="preserve">Sydney </w:t>
      </w:r>
      <w:r w:rsidR="005A0BCA" w:rsidRPr="003D3BBA">
        <w:t xml:space="preserve">has managed the NTSRU </w:t>
      </w:r>
      <w:r w:rsidR="00C2688B" w:rsidRPr="003D3BBA">
        <w:t>since 2010</w:t>
      </w:r>
      <w:r w:rsidR="00BA559C" w:rsidRPr="003D3BBA">
        <w:t>,</w:t>
      </w:r>
      <w:r w:rsidR="00092E0D" w:rsidRPr="003D3BBA">
        <w:fldChar w:fldCharType="begin">
          <w:fldData xml:space="preserve">PEVuZE5vdGU+PENpdGU+PEF1dGhvcj5UaGUgTmF0aW9uYWwgVHJhY2hvbWEgU3VydmVpbGxhbmNl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</w:fldData>
        </w:fldChar>
      </w:r>
      <w:r w:rsidR="00256FC4" w:rsidRPr="003D3BBA">
        <w:instrText xml:space="preserve"> ADDIN EN.CITE </w:instrText>
      </w:r>
      <w:r w:rsidR="00256FC4" w:rsidRPr="003D3BBA">
        <w:fldChar w:fldCharType="begin">
          <w:fldData xml:space="preserve">PEVuZE5vdGU+PENpdGU+PEF1dGhvcj5UaGUgTmF0aW9uYWwgVHJhY2hvbWEgU3VydmVpbGxhbmNl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</w:fldData>
        </w:fldChar>
      </w:r>
      <w:r w:rsidR="00256FC4" w:rsidRPr="003D3BBA">
        <w:instrText xml:space="preserve"> ADDIN EN.CITE.DATA </w:instrText>
      </w:r>
      <w:r w:rsidR="00256FC4" w:rsidRPr="003D3BBA">
        <w:fldChar w:fldCharType="end"/>
      </w:r>
      <w:r w:rsidR="00092E0D" w:rsidRPr="003D3BBA">
        <w:fldChar w:fldCharType="separate"/>
      </w:r>
      <w:r w:rsidR="00256FC4" w:rsidRPr="003D3BBA">
        <w:t>18-30</w:t>
      </w:r>
      <w:r w:rsidR="00092E0D" w:rsidRPr="003D3BBA">
        <w:fldChar w:fldCharType="end"/>
      </w:r>
      <w:r w:rsidR="00BA559C" w:rsidRPr="003D3BBA">
        <w:t xml:space="preserve"> </w:t>
      </w:r>
      <w:r w:rsidR="00C2688B" w:rsidRPr="003D3BBA">
        <w:t>with</w:t>
      </w:r>
      <w:r w:rsidR="004111B7" w:rsidRPr="003D3BBA">
        <w:t xml:space="preserve"> </w:t>
      </w:r>
      <w:r w:rsidR="00C2688B" w:rsidRPr="003D3BBA">
        <w:t>t</w:t>
      </w:r>
      <w:r w:rsidR="00D20769" w:rsidRPr="003D3BBA">
        <w:t>he Centre for Eye Research Australia</w:t>
      </w:r>
      <w:r w:rsidR="00EC69A4" w:rsidRPr="003D3BBA">
        <w:fldChar w:fldCharType="begin">
          <w:fldData xml:space="preserve">PEVuZE5vdGU+PENpdGU+PEF1dGhvcj5UZWxsaXM8L0F1dGhvcj48WWVhcj4yMDA3PC9ZZWFyPjxS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</w:fldData>
        </w:fldChar>
      </w:r>
      <w:r w:rsidR="00256FC4" w:rsidRPr="003D3BBA">
        <w:instrText xml:space="preserve"> ADDIN EN.CITE </w:instrText>
      </w:r>
      <w:r w:rsidR="00256FC4" w:rsidRPr="003D3BBA">
        <w:fldChar w:fldCharType="begin">
          <w:fldData xml:space="preserve">PEVuZE5vdGU+PENpdGU+PEF1dGhvcj5UZWxsaXM8L0F1dGhvcj48WWVhcj4yMDA3PC9ZZWFyPjxS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</w:fldData>
        </w:fldChar>
      </w:r>
      <w:r w:rsidR="00256FC4" w:rsidRPr="003D3BBA">
        <w:instrText xml:space="preserve"> ADDIN EN.CITE.DATA </w:instrText>
      </w:r>
      <w:r w:rsidR="00256FC4" w:rsidRPr="003D3BBA">
        <w:fldChar w:fldCharType="end"/>
      </w:r>
      <w:r w:rsidR="00EC69A4" w:rsidRPr="003D3BBA">
        <w:fldChar w:fldCharType="separate"/>
      </w:r>
      <w:r w:rsidR="00256FC4" w:rsidRPr="003D3BBA">
        <w:t>31-33</w:t>
      </w:r>
      <w:r w:rsidR="00EC69A4" w:rsidRPr="003D3BBA">
        <w:fldChar w:fldCharType="end"/>
      </w:r>
      <w:r w:rsidR="00BA559C" w:rsidRPr="003D3BBA">
        <w:t xml:space="preserve"> </w:t>
      </w:r>
      <w:r w:rsidR="00D20769" w:rsidRPr="003D3BBA">
        <w:t>and the Centre for Molecular, Environmental, Genetic and Analytic Epidemiology</w:t>
      </w:r>
      <w:r w:rsidR="00A864C1" w:rsidRPr="003D3BBA">
        <w:t xml:space="preserve"> at </w:t>
      </w:r>
      <w:r w:rsidR="002753A1" w:rsidRPr="003D3BBA">
        <w:t>T</w:t>
      </w:r>
      <w:r w:rsidR="00D20769" w:rsidRPr="003D3BBA">
        <w:t>he University of Melbourne</w:t>
      </w:r>
      <w:r w:rsidR="00EC69A4" w:rsidRPr="003D3BBA">
        <w:fldChar w:fldCharType="begin">
          <w:fldData xml:space="preserve">PEVuZE5vdGU+PENpdGU+PEF1dGhvcj5BZGFtczwvQXV0aG9yPjxZZWFyPjIwMTA8L1llYXI+PFJl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==
</w:fldData>
        </w:fldChar>
      </w:r>
      <w:r w:rsidR="00256FC4" w:rsidRPr="003D3BBA">
        <w:instrText xml:space="preserve"> ADDIN EN.CITE </w:instrText>
      </w:r>
      <w:r w:rsidR="00256FC4" w:rsidRPr="003D3BBA">
        <w:fldChar w:fldCharType="begin">
          <w:fldData xml:space="preserve">PEVuZE5vdGU+PENpdGU+PEF1dGhvcj5BZGFtczwvQXV0aG9yPjxZZWFyPjIwMTA8L1llYXI+PFJl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==
</w:fldData>
        </w:fldChar>
      </w:r>
      <w:r w:rsidR="00256FC4" w:rsidRPr="003D3BBA">
        <w:instrText xml:space="preserve"> ADDIN EN.CITE.DATA </w:instrText>
      </w:r>
      <w:r w:rsidR="00256FC4" w:rsidRPr="003D3BBA">
        <w:fldChar w:fldCharType="end"/>
      </w:r>
      <w:r w:rsidR="00EC69A4" w:rsidRPr="003D3BBA">
        <w:fldChar w:fldCharType="separate"/>
      </w:r>
      <w:r w:rsidR="00256FC4" w:rsidRPr="003D3BBA">
        <w:t>34</w:t>
      </w:r>
      <w:r w:rsidR="00EC69A4" w:rsidRPr="003D3BBA">
        <w:fldChar w:fldCharType="end"/>
      </w:r>
      <w:r w:rsidR="00D224C0" w:rsidRPr="003D3BBA">
        <w:t xml:space="preserve"> </w:t>
      </w:r>
      <w:r w:rsidR="00C2688B" w:rsidRPr="003D3BBA">
        <w:t xml:space="preserve">responsible </w:t>
      </w:r>
      <w:r w:rsidR="00DA7BF0" w:rsidRPr="003D3BBA">
        <w:t>during 2006–2010</w:t>
      </w:r>
      <w:r w:rsidR="00C2688B" w:rsidRPr="003D3BBA">
        <w:t xml:space="preserve">. </w:t>
      </w:r>
    </w:p>
    <w:p w14:paraId="2AE11BE6" w14:textId="77777777" w:rsidR="007E1280" w:rsidRPr="003D3BBA" w:rsidRDefault="007E1280" w:rsidP="00F76882">
      <w:r w:rsidRPr="003D3BBA">
        <w:br w:type="page"/>
      </w:r>
    </w:p>
    <w:p w14:paraId="18F80FC3" w14:textId="77777777" w:rsidR="006A2CF3" w:rsidRPr="004609FA" w:rsidRDefault="006A2CF3" w:rsidP="00F76882">
      <w:pPr>
        <w:pStyle w:val="Heading1"/>
      </w:pPr>
      <w:bookmarkStart w:id="99" w:name="_Toc160544982"/>
      <w:bookmarkStart w:id="100" w:name="_Toc203986539"/>
      <w:bookmarkStart w:id="101" w:name="_Toc360460773"/>
      <w:bookmarkStart w:id="102" w:name="_Toc392153874"/>
      <w:bookmarkStart w:id="103" w:name="_Toc490035365"/>
      <w:bookmarkStart w:id="104" w:name="_Toc520298292"/>
      <w:bookmarkStart w:id="105" w:name="_Toc520298371"/>
      <w:bookmarkStart w:id="106" w:name="_Toc215236949"/>
      <w:r w:rsidRPr="004609FA">
        <w:t>Methodology</w:t>
      </w:r>
      <w:bookmarkEnd w:id="99"/>
      <w:bookmarkEnd w:id="100"/>
      <w:bookmarkEnd w:id="106"/>
    </w:p>
    <w:p w14:paraId="338D94F0" w14:textId="2421EA7B" w:rsidR="00E667B5" w:rsidRPr="0093303D" w:rsidRDefault="00E667B5" w:rsidP="00F76882">
      <w:r w:rsidRPr="0093303D">
        <w:t xml:space="preserve">The surveillance and management of trachoma </w:t>
      </w:r>
      <w:r w:rsidR="00F5120F" w:rsidRPr="0093303D">
        <w:t>are</w:t>
      </w:r>
      <w:r w:rsidRPr="0093303D">
        <w:t xml:space="preserve"> guided by the CDNA</w:t>
      </w:r>
      <w:r w:rsidRPr="00A33DD2">
        <w:rPr>
          <w:rStyle w:val="Emphasis"/>
        </w:rPr>
        <w:t xml:space="preserve"> </w:t>
      </w:r>
      <w:r w:rsidRPr="0093303D">
        <w:t>2014</w:t>
      </w:r>
      <w:r w:rsidRPr="00A33DD2">
        <w:rPr>
          <w:rStyle w:val="Emphasis"/>
        </w:rPr>
        <w:t xml:space="preserve"> </w:t>
      </w:r>
      <w:r w:rsidR="00697492" w:rsidRPr="00A33DD2">
        <w:rPr>
          <w:rStyle w:val="Emphasis"/>
        </w:rPr>
        <w:t xml:space="preserve">National Guidelines for the Public Health Management of Trachoma in Australia </w:t>
      </w:r>
      <w:r w:rsidRPr="0093303D">
        <w:t>(</w:t>
      </w:r>
      <w:r w:rsidR="006E2EDA" w:rsidRPr="0093303D">
        <w:t xml:space="preserve">CDNA </w:t>
      </w:r>
      <w:r w:rsidRPr="0093303D">
        <w:t>Guidelines)</w:t>
      </w:r>
      <w:r w:rsidRPr="0093303D">
        <w:fldChar w:fldCharType="begin"/>
      </w:r>
      <w:r w:rsidR="00256FC4" w:rsidRPr="0093303D">
        <w:instrText xml:space="preserve"> ADDIN EN.CITE &lt;EndNote&gt;&lt;Cite&gt;&lt;Author&gt;Communicable Diseases Network Australia&lt;/Author&gt;&lt;Year&gt;2014 Jan&lt;/Year&gt;&lt;RecNum&gt;6&lt;/RecNum&gt;&lt;DisplayText&gt;&lt;style face="superscript"&gt;17&lt;/style&gt;&lt;/DisplayText&gt;&lt;record&gt;&lt;rec-number&gt;6&lt;/rec-number&gt;&lt;foreign-keys&gt;&lt;key app="EN" db-id="52r9t20smsvp0rex9v1vsfe3tt9vxfdpvwsa" timestamp="1690337276"&gt;6&lt;/key&gt;&lt;/foreign-keys&gt;&lt;ref-type name="Report"&gt;27&lt;/ref-type&gt;&lt;contributors&gt;&lt;authors&gt;&lt;author&gt;Communicable Diseases Network Australia,&lt;/author&gt;&lt;/authors&gt;&lt;/contributors&gt;&lt;titles&gt;&lt;title&gt;CDNA National Guidelines for the Public Health Management of Trachoma&lt;/title&gt;&lt;/titles&gt;&lt;dates&gt;&lt;year&gt;2014 Jan&lt;/year&gt;&lt;/dates&gt;&lt;pub-location&gt;Canberra&lt;/pub-location&gt;&lt;publisher&gt;Department of Health and Aged Care&lt;/publisher&gt;&lt;urls&gt;&lt;related-urls&gt;&lt;url&gt;https://www.health.gov.au/resources/publications/trachoma-cdna-national-guidelines-for-public-health-units?language=en&lt;/url&gt;&lt;/related-urls&gt;&lt;/urls&gt;&lt;/record&gt;&lt;/Cite&gt;&lt;/EndNote&gt;</w:instrText>
      </w:r>
      <w:r w:rsidRPr="0093303D">
        <w:fldChar w:fldCharType="separate"/>
      </w:r>
      <w:r w:rsidR="00256FC4" w:rsidRPr="0093303D">
        <w:t>17</w:t>
      </w:r>
      <w:r w:rsidRPr="0093303D">
        <w:fldChar w:fldCharType="end"/>
      </w:r>
      <w:r w:rsidRPr="0093303D">
        <w:t xml:space="preserve">. </w:t>
      </w:r>
      <w:r w:rsidR="006E2EDA" w:rsidRPr="0093303D">
        <w:t xml:space="preserve">CDNA </w:t>
      </w:r>
      <w:r w:rsidR="00B45EBA" w:rsidRPr="0093303D">
        <w:t>G</w:t>
      </w:r>
      <w:r w:rsidR="00A70D45" w:rsidRPr="0093303D">
        <w:t xml:space="preserve">uidelines were developed in the context of the WHO SAFE strategy and </w:t>
      </w:r>
      <w:r w:rsidR="00114D4F" w:rsidRPr="0093303D">
        <w:t>address</w:t>
      </w:r>
      <w:r w:rsidR="00A70D45" w:rsidRPr="0093303D">
        <w:t xml:space="preserve"> control strategies</w:t>
      </w:r>
      <w:r w:rsidR="00114D4F" w:rsidRPr="0093303D">
        <w:t xml:space="preserve"> as well as</w:t>
      </w:r>
      <w:r w:rsidR="00A70D45" w:rsidRPr="0093303D">
        <w:t xml:space="preserve"> data collection, reporting</w:t>
      </w:r>
      <w:r w:rsidR="00041064" w:rsidRPr="0093303D">
        <w:t xml:space="preserve">, and </w:t>
      </w:r>
      <w:r w:rsidR="00A70D45" w:rsidRPr="0093303D">
        <w:t>analysis.</w:t>
      </w:r>
    </w:p>
    <w:p w14:paraId="4350E7A8" w14:textId="6E66ECC1" w:rsidR="005D35ED" w:rsidRPr="00F57624" w:rsidRDefault="005D35ED" w:rsidP="00F76882">
      <w:r w:rsidRPr="0093303D">
        <w:t xml:space="preserve">The primary source of the data presented in this report is programmatic reporting from Australian </w:t>
      </w:r>
      <w:r w:rsidR="0044477B" w:rsidRPr="0093303D">
        <w:t>jurisdictions (states/territories)</w:t>
      </w:r>
      <w:r w:rsidRPr="0093303D">
        <w:t xml:space="preserve"> which undertook trachoma</w:t>
      </w:r>
      <w:r w:rsidR="009D11AD" w:rsidRPr="0093303D">
        <w:t xml:space="preserve"> control initiatives</w:t>
      </w:r>
      <w:r w:rsidRPr="0093303D">
        <w:t xml:space="preserve"> in </w:t>
      </w:r>
      <w:r w:rsidR="00C3405D" w:rsidRPr="0093303D">
        <w:t>2024</w:t>
      </w:r>
      <w:r w:rsidRPr="0093303D">
        <w:t xml:space="preserve">. Data </w:t>
      </w:r>
      <w:r w:rsidR="004E07CA" w:rsidRPr="0093303D">
        <w:t>are</w:t>
      </w:r>
      <w:r w:rsidR="00A81A08" w:rsidRPr="0093303D">
        <w:t xml:space="preserve"> collected</w:t>
      </w:r>
      <w:r w:rsidRPr="0093303D">
        <w:t xml:space="preserve"> at the community level, </w:t>
      </w:r>
      <w:r w:rsidR="00A81A08" w:rsidRPr="0093303D">
        <w:t xml:space="preserve">using forms </w:t>
      </w:r>
      <w:r w:rsidRPr="0093303D">
        <w:t>developed by the NTSRU based on CDNA Guidelines</w:t>
      </w:r>
      <w:r w:rsidR="00AE5752" w:rsidRPr="0093303D">
        <w:t xml:space="preserve">. Completed forms are </w:t>
      </w:r>
      <w:r w:rsidR="00B54CB2" w:rsidRPr="0093303D">
        <w:t xml:space="preserve">forwarded </w:t>
      </w:r>
      <w:r w:rsidR="006934DE" w:rsidRPr="0093303D">
        <w:t>each calendar year</w:t>
      </w:r>
      <w:r w:rsidR="00AE5752" w:rsidRPr="0093303D">
        <w:t xml:space="preserve"> </w:t>
      </w:r>
      <w:r w:rsidRPr="0093303D">
        <w:t>by jurisdictional coordinators to the NTSRU for analysis. Information provided includes:</w:t>
      </w:r>
    </w:p>
    <w:p w14:paraId="0A96CDD3" w14:textId="2D05CCEB" w:rsidR="005D35ED" w:rsidRPr="00A33DD2" w:rsidRDefault="005D35ED" w:rsidP="00F76882">
      <w:pPr>
        <w:pStyle w:val="TableofFigures"/>
      </w:pPr>
      <w:r w:rsidRPr="00A33DD2">
        <w:t>Number of Indigenous children aged 5</w:t>
      </w:r>
      <w:r w:rsidR="003D00CE" w:rsidRPr="00A33DD2">
        <w:t>–</w:t>
      </w:r>
      <w:r w:rsidRPr="00A33DD2">
        <w:t xml:space="preserve">9 years screened for </w:t>
      </w:r>
      <w:r w:rsidR="00F71AA7" w:rsidRPr="00A33DD2">
        <w:t xml:space="preserve">active </w:t>
      </w:r>
      <w:r w:rsidRPr="00A33DD2">
        <w:t>trachoma</w:t>
      </w:r>
      <w:r w:rsidR="006B58D7" w:rsidRPr="00A33DD2">
        <w:t xml:space="preserve"> </w:t>
      </w:r>
      <w:r w:rsidRPr="00A33DD2">
        <w:t xml:space="preserve">and the number with </w:t>
      </w:r>
      <w:r w:rsidR="00102CD2" w:rsidRPr="00A33DD2">
        <w:t xml:space="preserve">active </w:t>
      </w:r>
      <w:r w:rsidRPr="00A33DD2">
        <w:t>trachoma.</w:t>
      </w:r>
    </w:p>
    <w:p w14:paraId="5662DB76" w14:textId="515CB77A" w:rsidR="005D35ED" w:rsidRPr="00A33DD2" w:rsidRDefault="005D35ED" w:rsidP="00F76882">
      <w:pPr>
        <w:pStyle w:val="TableofFigures"/>
      </w:pPr>
      <w:r w:rsidRPr="00A33DD2">
        <w:t xml:space="preserve">Number of episodes of treatment for </w:t>
      </w:r>
      <w:r w:rsidR="00102CD2" w:rsidRPr="00A33DD2">
        <w:t xml:space="preserve">active </w:t>
      </w:r>
      <w:r w:rsidRPr="00A33DD2">
        <w:t>trachoma, household contacts</w:t>
      </w:r>
      <w:r w:rsidR="00041064" w:rsidRPr="00A33DD2">
        <w:t xml:space="preserve">, and </w:t>
      </w:r>
      <w:r w:rsidRPr="00A33DD2">
        <w:t>other community members, by age group.</w:t>
      </w:r>
    </w:p>
    <w:p w14:paraId="298A2678" w14:textId="5CD515BF" w:rsidR="005D35ED" w:rsidRPr="00A33DD2" w:rsidRDefault="005D35ED" w:rsidP="00F76882">
      <w:pPr>
        <w:pStyle w:val="TableofFigures"/>
      </w:pPr>
      <w:r w:rsidRPr="00A33DD2">
        <w:t xml:space="preserve">Number of Indigenous </w:t>
      </w:r>
      <w:r w:rsidR="00B45EBA" w:rsidRPr="00A33DD2">
        <w:t>p</w:t>
      </w:r>
      <w:r w:rsidR="004E07CA" w:rsidRPr="00A33DD2">
        <w:t>eople</w:t>
      </w:r>
      <w:r w:rsidR="00B45EBA" w:rsidRPr="00A33DD2">
        <w:t xml:space="preserve"> aged 15 years and over </w:t>
      </w:r>
      <w:r w:rsidRPr="00A33DD2">
        <w:t xml:space="preserve">screened for </w:t>
      </w:r>
      <w:r w:rsidR="00B8536F" w:rsidRPr="00A33DD2">
        <w:t>TT</w:t>
      </w:r>
      <w:r w:rsidRPr="00A33DD2">
        <w:t xml:space="preserve">, number with </w:t>
      </w:r>
      <w:r w:rsidR="00B8536F" w:rsidRPr="00A33DD2">
        <w:t>TT</w:t>
      </w:r>
      <w:r w:rsidR="0031782D" w:rsidRPr="00A33DD2">
        <w:t xml:space="preserve"> ‘unknown to the health system’</w:t>
      </w:r>
      <w:r w:rsidRPr="00A33DD2">
        <w:t xml:space="preserve">, and the number who had surgery for </w:t>
      </w:r>
      <w:r w:rsidR="00B8536F" w:rsidRPr="00A33DD2">
        <w:t>TT</w:t>
      </w:r>
      <w:r w:rsidRPr="00A33DD2">
        <w:t>.</w:t>
      </w:r>
    </w:p>
    <w:p w14:paraId="42D5FCFE" w14:textId="4FE0D896" w:rsidR="007D010D" w:rsidRPr="00A33DD2" w:rsidRDefault="007D010D" w:rsidP="00F76882">
      <w:pPr>
        <w:pStyle w:val="TableofFigures"/>
      </w:pPr>
      <w:r w:rsidRPr="00A33DD2">
        <w:t>Number of Indigenous children aged 5–9 years screened for clean faces and the number with clean faces.</w:t>
      </w:r>
    </w:p>
    <w:p w14:paraId="00F7B553" w14:textId="01DF8D96" w:rsidR="003C2A50" w:rsidRPr="00A33DD2" w:rsidRDefault="005D35ED" w:rsidP="00F76882">
      <w:pPr>
        <w:pStyle w:val="TableofFigures"/>
      </w:pPr>
      <w:r w:rsidRPr="00A33DD2">
        <w:t>Community-level implementation of health promotion activities.</w:t>
      </w:r>
    </w:p>
    <w:p w14:paraId="10307155" w14:textId="2D78794F" w:rsidR="00E752A4" w:rsidRPr="003D3BBA" w:rsidRDefault="00204E5E" w:rsidP="00F76882">
      <w:r w:rsidRPr="003D3BBA">
        <w:t xml:space="preserve">Narrative information about environmental health improvement activities is also provided </w:t>
      </w:r>
      <w:proofErr w:type="gramStart"/>
      <w:r w:rsidRPr="003D3BBA">
        <w:t>at this time</w:t>
      </w:r>
      <w:proofErr w:type="gramEnd"/>
      <w:r w:rsidRPr="003D3BBA">
        <w:t>.</w:t>
      </w:r>
      <w:r w:rsidR="00E752A4" w:rsidRPr="003D3BBA">
        <w:t xml:space="preserve"> </w:t>
      </w:r>
    </w:p>
    <w:p w14:paraId="1880501D" w14:textId="3D1A8F11" w:rsidR="005A7745" w:rsidRPr="0093303D" w:rsidRDefault="005A7745" w:rsidP="00F76882">
      <w:bookmarkStart w:id="107" w:name="_Hlk114838652"/>
      <w:bookmarkStart w:id="108" w:name="_Toc485747786"/>
      <w:bookmarkStart w:id="109" w:name="_Toc490035358"/>
      <w:bookmarkStart w:id="110" w:name="_Toc497062634"/>
      <w:r w:rsidRPr="0093303D">
        <w:t>WHO simplified trachoma grading criteria</w:t>
      </w:r>
      <w:r w:rsidRPr="0093303D">
        <w:fldChar w:fldCharType="begin">
          <w:fldData xml:space="preserve">PEVuZE5vdGU+PENpdGU+PEF1dGhvcj5Tb2xvbW9uPC9BdXRob3I+PFllYXI+MjAyMDwvWWVhcj48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</w:fldData>
        </w:fldChar>
      </w:r>
      <w:r w:rsidR="00AA7F13" w:rsidRPr="0093303D">
        <w:instrText xml:space="preserve"> ADDIN EN.CITE </w:instrText>
      </w:r>
      <w:r w:rsidR="00AA7F13" w:rsidRPr="0093303D">
        <w:fldChar w:fldCharType="begin">
          <w:fldData xml:space="preserve">PEVuZE5vdGU+PENpdGU+PEF1dGhvcj5Tb2xvbW9uPC9BdXRob3I+PFllYXI+MjAyMDwvWWVhcj48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</w:fldData>
        </w:fldChar>
      </w:r>
      <w:r w:rsidR="00AA7F13" w:rsidRPr="0093303D">
        <w:instrText xml:space="preserve"> ADDIN EN.CITE.DATA </w:instrText>
      </w:r>
      <w:r w:rsidR="00AA7F13" w:rsidRPr="0093303D">
        <w:fldChar w:fldCharType="end"/>
      </w:r>
      <w:r w:rsidRPr="0093303D">
        <w:fldChar w:fldCharType="separate"/>
      </w:r>
      <w:r w:rsidR="00AA7F13" w:rsidRPr="0093303D">
        <w:t>2</w:t>
      </w:r>
      <w:r w:rsidRPr="0093303D">
        <w:fldChar w:fldCharType="end"/>
      </w:r>
      <w:r w:rsidRPr="0093303D">
        <w:t xml:space="preserve"> form the basis of identification of cases of </w:t>
      </w:r>
      <w:r w:rsidR="00FF4F06" w:rsidRPr="0093303D">
        <w:t xml:space="preserve">active </w:t>
      </w:r>
      <w:r w:rsidRPr="0093303D">
        <w:t>trachoma</w:t>
      </w:r>
      <w:bookmarkStart w:id="111" w:name="_Hlk114838780"/>
      <w:bookmarkEnd w:id="107"/>
      <w:r w:rsidRPr="0093303D">
        <w:t xml:space="preserve"> in Australia. </w:t>
      </w:r>
      <w:bookmarkEnd w:id="111"/>
      <w:r w:rsidRPr="0093303D">
        <w:t xml:space="preserve">Trachoma is defined by the NT, SA, and WA as the presence of TF and/or TI. </w:t>
      </w:r>
      <w:r w:rsidR="00AE4C1D" w:rsidRPr="0093303D">
        <w:t xml:space="preserve">In Qld, trachoma </w:t>
      </w:r>
      <w:r w:rsidR="00CD548C" w:rsidRPr="0093303D">
        <w:t>screening</w:t>
      </w:r>
      <w:r w:rsidR="00AE4C1D" w:rsidRPr="0093303D">
        <w:t xml:space="preserve"> is based upon a detailed clinical assessment performed by an </w:t>
      </w:r>
      <w:r w:rsidR="009D2BDD" w:rsidRPr="0093303D">
        <w:t>experienced</w:t>
      </w:r>
      <w:r w:rsidR="00AE4C1D" w:rsidRPr="0093303D">
        <w:t xml:space="preserve"> ophthalmologist</w:t>
      </w:r>
      <w:r w:rsidR="00EB290E" w:rsidRPr="0093303D">
        <w:t xml:space="preserve"> beyond that required by the WHO simplified grading system</w:t>
      </w:r>
      <w:r w:rsidR="00AE4C1D" w:rsidRPr="0093303D">
        <w:t>, including examination for Herbert’s pits and corneal pannus</w:t>
      </w:r>
      <w:r w:rsidR="009D2BDD" w:rsidRPr="0093303D">
        <w:t xml:space="preserve"> that</w:t>
      </w:r>
      <w:r w:rsidR="00AE4C1D" w:rsidRPr="0093303D">
        <w:t xml:space="preserve"> are considered highly specific for trachoma</w:t>
      </w:r>
      <w:r w:rsidR="00EB290E" w:rsidRPr="0093303D">
        <w:t>,</w:t>
      </w:r>
      <w:r w:rsidR="009D2BDD" w:rsidRPr="0093303D">
        <w:t xml:space="preserve"> as well as laboratory confirmation of </w:t>
      </w:r>
      <w:r w:rsidR="009D2BDD" w:rsidRPr="00A33DD2">
        <w:rPr>
          <w:rStyle w:val="Emphasis"/>
        </w:rPr>
        <w:t>C. trachomatis</w:t>
      </w:r>
      <w:r w:rsidR="009D2BDD" w:rsidRPr="0093303D">
        <w:t xml:space="preserve"> infection biomarkers.</w:t>
      </w:r>
    </w:p>
    <w:p w14:paraId="0D8E1C9D" w14:textId="129F2D95" w:rsidR="005A7745" w:rsidRPr="0093303D" w:rsidRDefault="005A7745" w:rsidP="00F76882">
      <w:bookmarkStart w:id="112" w:name="_Hlk210217664"/>
      <w:r w:rsidRPr="0093303D">
        <w:t>Trachoma control programs in Australia undertake trachoma grader training based on the Tropical Data training system</w:t>
      </w:r>
      <w:r w:rsidR="005809EA" w:rsidRPr="0093303D">
        <w:t xml:space="preserve">, </w:t>
      </w:r>
      <w:r w:rsidR="008934E1" w:rsidRPr="0093303D">
        <w:t xml:space="preserve">an international consortium that supports the conduct of trachoma prevalence surveys in </w:t>
      </w:r>
      <w:r w:rsidR="00DF0E9B" w:rsidRPr="0093303D">
        <w:t>accordance</w:t>
      </w:r>
      <w:r w:rsidR="008934E1" w:rsidRPr="0093303D">
        <w:t xml:space="preserve"> with World Health Organization recommendations.</w:t>
      </w:r>
      <w:r w:rsidR="00B83F96" w:rsidRPr="0093303D">
        <w:fldChar w:fldCharType="begin">
          <w:fldData xml:space="preserve">PEVuZE5vdGU+PENpdGU+PEF1dGhvcj5IYXJkaW5nLUVzY2g8L0F1dGhvcj48WWVhcj4yMDIzPC9Z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</w:fldData>
        </w:fldChar>
      </w:r>
      <w:r w:rsidR="00256FC4" w:rsidRPr="0093303D">
        <w:instrText xml:space="preserve"> ADDIN EN.CITE </w:instrText>
      </w:r>
      <w:r w:rsidR="00256FC4" w:rsidRPr="0093303D">
        <w:fldChar w:fldCharType="begin">
          <w:fldData xml:space="preserve">PEVuZE5vdGU+PENpdGU+PEF1dGhvcj5IYXJkaW5nLUVzY2g8L0F1dGhvcj48WWVhcj4yMDIzPC9Z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</w:fldData>
        </w:fldChar>
      </w:r>
      <w:r w:rsidR="00256FC4" w:rsidRPr="0093303D">
        <w:instrText xml:space="preserve"> ADDIN EN.CITE.DATA </w:instrText>
      </w:r>
      <w:r w:rsidR="00256FC4" w:rsidRPr="0093303D">
        <w:fldChar w:fldCharType="end"/>
      </w:r>
      <w:r w:rsidR="00B83F96" w:rsidRPr="0093303D">
        <w:fldChar w:fldCharType="separate"/>
      </w:r>
      <w:r w:rsidR="00256FC4" w:rsidRPr="0093303D">
        <w:t>35</w:t>
      </w:r>
      <w:r w:rsidR="00B83F96" w:rsidRPr="0093303D">
        <w:fldChar w:fldCharType="end"/>
      </w:r>
    </w:p>
    <w:bookmarkEnd w:id="112"/>
    <w:p w14:paraId="54CB8BEB" w14:textId="4D886B7B" w:rsidR="0078461A" w:rsidRPr="0093303D" w:rsidRDefault="004757D6" w:rsidP="00F76882">
      <w:r w:rsidRPr="0093303D">
        <w:t xml:space="preserve">WHO criteria </w:t>
      </w:r>
      <w:r w:rsidR="00613ED8" w:rsidRPr="0093303D">
        <w:t>relate to</w:t>
      </w:r>
      <w:r w:rsidRPr="0093303D">
        <w:t xml:space="preserve"> trachoma</w:t>
      </w:r>
      <w:r w:rsidR="00D41D93" w:rsidRPr="0093303D">
        <w:t xml:space="preserve"> </w:t>
      </w:r>
      <w:r w:rsidRPr="0093303D">
        <w:t>prevalence</w:t>
      </w:r>
      <w:r w:rsidR="002B5612" w:rsidRPr="0093303D">
        <w:t xml:space="preserve"> in</w:t>
      </w:r>
      <w:r w:rsidRPr="0093303D">
        <w:t xml:space="preserve"> </w:t>
      </w:r>
      <w:r w:rsidR="006A2CF3" w:rsidRPr="0093303D">
        <w:t>children aged 1</w:t>
      </w:r>
      <w:r w:rsidR="003D00CE" w:rsidRPr="0093303D">
        <w:t>–</w:t>
      </w:r>
      <w:r w:rsidR="006A2CF3" w:rsidRPr="0093303D">
        <w:t>9 years. However, the target group for screening activities in Australia since 2006 has been children aged 5</w:t>
      </w:r>
      <w:r w:rsidR="003D00CE" w:rsidRPr="0093303D">
        <w:t>–</w:t>
      </w:r>
      <w:r w:rsidR="006A2CF3" w:rsidRPr="0093303D">
        <w:t xml:space="preserve">9 years. This narrower age group was chosen because of accessibility through schools, </w:t>
      </w:r>
      <w:r w:rsidR="00586352" w:rsidRPr="0093303D">
        <w:t>greater acceptability</w:t>
      </w:r>
      <w:r w:rsidR="006A2CF3" w:rsidRPr="0093303D">
        <w:t xml:space="preserve"> of eye examination and a presumption that prevalence in </w:t>
      </w:r>
      <w:r w:rsidR="00312387" w:rsidRPr="0093303D">
        <w:t>5</w:t>
      </w:r>
      <w:r w:rsidR="003D00CE" w:rsidRPr="0093303D">
        <w:t>–</w:t>
      </w:r>
      <w:r w:rsidR="00312387" w:rsidRPr="0093303D">
        <w:t>9-year-olds</w:t>
      </w:r>
      <w:r w:rsidR="006A2CF3" w:rsidRPr="0093303D">
        <w:t xml:space="preserve"> would be </w:t>
      </w:r>
      <w:proofErr w:type="gramStart"/>
      <w:r w:rsidR="006A2CF3" w:rsidRPr="0093303D">
        <w:t>similar</w:t>
      </w:r>
      <w:r w:rsidR="00FF308C" w:rsidRPr="0093303D">
        <w:t xml:space="preserve"> to</w:t>
      </w:r>
      <w:proofErr w:type="gramEnd"/>
      <w:r w:rsidR="00FF308C" w:rsidRPr="0093303D">
        <w:t xml:space="preserve"> </w:t>
      </w:r>
      <w:r w:rsidR="00523A7F" w:rsidRPr="0093303D">
        <w:t xml:space="preserve">the </w:t>
      </w:r>
      <w:r w:rsidR="006A2CF3" w:rsidRPr="0093303D">
        <w:t>prevalence in 1</w:t>
      </w:r>
      <w:r w:rsidR="003D00CE" w:rsidRPr="0093303D">
        <w:t>–</w:t>
      </w:r>
      <w:r w:rsidR="006A2CF3" w:rsidRPr="0093303D">
        <w:t>4-year</w:t>
      </w:r>
      <w:r w:rsidR="00312387" w:rsidRPr="0093303D">
        <w:t>-</w:t>
      </w:r>
      <w:r w:rsidR="00E6140A" w:rsidRPr="0093303D">
        <w:t>olds</w:t>
      </w:r>
      <w:r w:rsidR="006A2CF3" w:rsidRPr="0093303D">
        <w:t xml:space="preserve">. </w:t>
      </w:r>
      <w:r w:rsidR="00E033CD" w:rsidRPr="0093303D">
        <w:t>In 2018, in anticipation of WHO dossier preparation, a concerted effort was made to achieve high screening coverage in the 1</w:t>
      </w:r>
      <w:r w:rsidR="003D00CE" w:rsidRPr="0093303D">
        <w:t>–</w:t>
      </w:r>
      <w:r w:rsidR="00E033CD" w:rsidRPr="0093303D">
        <w:t>4-year age group, to check th</w:t>
      </w:r>
      <w:r w:rsidR="00410326" w:rsidRPr="0093303D">
        <w:t>is</w:t>
      </w:r>
      <w:r w:rsidR="00E033CD" w:rsidRPr="0093303D">
        <w:t xml:space="preserve"> assumption. The results</w:t>
      </w:r>
      <w:r w:rsidR="00D92C5D" w:rsidRPr="0093303D">
        <w:t xml:space="preserve"> </w:t>
      </w:r>
      <w:r w:rsidR="00E033CD" w:rsidRPr="0093303D">
        <w:t xml:space="preserve">showed that there was no evidence of higher prevalence in the younger age </w:t>
      </w:r>
      <w:proofErr w:type="gramStart"/>
      <w:r w:rsidR="00E033CD" w:rsidRPr="0093303D">
        <w:t>group</w:t>
      </w:r>
      <w:proofErr w:type="gramEnd"/>
      <w:r w:rsidR="00E033CD" w:rsidRPr="0093303D">
        <w:t xml:space="preserve"> and this finding was consistent between jurisdictions. Furthermore, the finding of </w:t>
      </w:r>
      <w:r w:rsidR="00AA4C2D" w:rsidRPr="0093303D">
        <w:t xml:space="preserve">no significant difference in </w:t>
      </w:r>
      <w:r w:rsidR="00E033CD" w:rsidRPr="0093303D">
        <w:t xml:space="preserve">prevalence in the </w:t>
      </w:r>
      <w:r w:rsidR="002E63A9" w:rsidRPr="0093303D">
        <w:t>two</w:t>
      </w:r>
      <w:r w:rsidR="00E033CD" w:rsidRPr="0093303D">
        <w:t xml:space="preserve"> age groups was observed both in communities that achieved high levels of screening in 1</w:t>
      </w:r>
      <w:r w:rsidR="003D00CE" w:rsidRPr="0093303D">
        <w:t>–</w:t>
      </w:r>
      <w:r w:rsidR="00E033CD" w:rsidRPr="0093303D">
        <w:t>4-year-olds, and those that did not.</w:t>
      </w:r>
      <w:r w:rsidR="00256D38" w:rsidRPr="0093303D">
        <w:fldChar w:fldCharType="begin"/>
      </w:r>
      <w:r w:rsidR="00256D38" w:rsidRPr="0093303D">
        <w:instrText xml:space="preserve"> ADDIN EN.CITE &lt;EndNote&gt;&lt;Cite&gt;&lt;Author&gt;The National Trachoma Surveillance and Reporting Unit for the Australian Government Department of Health&lt;/Author&gt;&lt;Year&gt;2020&lt;/Year&gt;&lt;RecNum&gt;29&lt;/RecNum&gt;&lt;DisplayText&gt;&lt;style face="superscript"&gt;27&lt;/style&gt;&lt;/DisplayText&gt;&lt;record&gt;&lt;rec-number&gt;29&lt;/rec-number&gt;&lt;foreign-keys&gt;&lt;key app="EN" db-id="52r9t20smsvp0rex9v1vsfe3tt9vxfdpvwsa" timestamp="1690515058"&gt;29&lt;/key&gt;&lt;/foreign-keys&gt;&lt;ref-type name="Report"&gt;27&lt;/ref-type&gt;&lt;contributors&gt;&lt;authors&gt;&lt;author&gt;The National Trachoma Surveillance and Reporting Unit for the Australian Government Department of Health,&lt;/author&gt;&lt;/authors&gt;&lt;/contributors&gt;&lt;titles&gt;&lt;title&gt;Australian Trachoma Surveillance Report 2019&lt;/title&gt;&lt;/titles&gt;&lt;dates&gt;&lt;year&gt;2020&lt;/year&gt;&lt;/dates&gt;&lt;pub-location&gt;Sydney, New South Wales&lt;/pub-location&gt;&lt;publisher&gt;The Kirby Institute, UNSW Sydney&lt;/publisher&gt;&lt;urls&gt;&lt;related-urls&gt;&lt;url&gt;https://www.kirby.unsw.edu.au/research/reports/australian-trachoma-surveillance-report-2021&lt;/url&gt;&lt;/related-urls&gt;&lt;/urls&gt;&lt;/record&gt;&lt;/Cite&gt;&lt;/EndNote&gt;</w:instrText>
      </w:r>
      <w:r w:rsidR="00256D38" w:rsidRPr="0093303D">
        <w:fldChar w:fldCharType="separate"/>
      </w:r>
      <w:r w:rsidR="00256D38" w:rsidRPr="0093303D">
        <w:t>27</w:t>
      </w:r>
      <w:r w:rsidR="00256D38" w:rsidRPr="0093303D">
        <w:fldChar w:fldCharType="end"/>
      </w:r>
      <w:r w:rsidR="00E033CD" w:rsidRPr="0093303D">
        <w:t xml:space="preserve"> Based on these results, </w:t>
      </w:r>
      <w:r w:rsidR="00B475CB" w:rsidRPr="0093303D">
        <w:t>screening has continued</w:t>
      </w:r>
      <w:r w:rsidR="00E033CD" w:rsidRPr="0093303D">
        <w:t xml:space="preserve"> to focus on the </w:t>
      </w:r>
      <w:r w:rsidR="00FB5AB2" w:rsidRPr="0093303D">
        <w:t>5</w:t>
      </w:r>
      <w:r w:rsidR="003D00CE" w:rsidRPr="0093303D">
        <w:t>–</w:t>
      </w:r>
      <w:r w:rsidR="00FB5AB2" w:rsidRPr="0093303D">
        <w:t>9</w:t>
      </w:r>
      <w:r w:rsidR="00E033CD" w:rsidRPr="0093303D">
        <w:t>-year age group</w:t>
      </w:r>
      <w:r w:rsidR="00667AEE" w:rsidRPr="0093303D">
        <w:t>, although</w:t>
      </w:r>
      <w:r w:rsidR="00147529" w:rsidRPr="0093303D">
        <w:t xml:space="preserve"> </w:t>
      </w:r>
      <w:r w:rsidR="006A2CF3" w:rsidRPr="0093303D">
        <w:t>children</w:t>
      </w:r>
      <w:r w:rsidR="00147529" w:rsidRPr="0093303D">
        <w:t xml:space="preserve"> aged</w:t>
      </w:r>
      <w:r w:rsidR="006A2CF3" w:rsidRPr="0093303D">
        <w:t xml:space="preserve"> 1</w:t>
      </w:r>
      <w:r w:rsidR="003D00CE" w:rsidRPr="0093303D">
        <w:t>–</w:t>
      </w:r>
      <w:r w:rsidR="006A2CF3" w:rsidRPr="0093303D">
        <w:t>4</w:t>
      </w:r>
      <w:r w:rsidR="00C932C5" w:rsidRPr="0093303D">
        <w:t xml:space="preserve"> </w:t>
      </w:r>
      <w:r w:rsidR="00147529" w:rsidRPr="0093303D">
        <w:t>years</w:t>
      </w:r>
      <w:r w:rsidR="006A2CF3" w:rsidRPr="0093303D">
        <w:t xml:space="preserve"> </w:t>
      </w:r>
      <w:r w:rsidR="00147529" w:rsidRPr="0093303D">
        <w:t xml:space="preserve">and </w:t>
      </w:r>
      <w:r w:rsidR="006A2CF3" w:rsidRPr="0093303D">
        <w:t>10</w:t>
      </w:r>
      <w:r w:rsidR="003D00CE" w:rsidRPr="0093303D">
        <w:t>–</w:t>
      </w:r>
      <w:r w:rsidR="006A2CF3" w:rsidRPr="0093303D">
        <w:t>14 years</w:t>
      </w:r>
      <w:r w:rsidR="00667AEE" w:rsidRPr="0093303D">
        <w:t xml:space="preserve"> may still be screened opportunistically</w:t>
      </w:r>
      <w:r w:rsidR="006A2CF3" w:rsidRPr="0093303D">
        <w:t>.</w:t>
      </w:r>
      <w:r w:rsidR="00343AEE" w:rsidRPr="0093303D">
        <w:t xml:space="preserve"> </w:t>
      </w:r>
    </w:p>
    <w:p w14:paraId="4DB95473" w14:textId="1AC4652C" w:rsidR="006460DA" w:rsidRPr="003D3BBA" w:rsidRDefault="006460DA" w:rsidP="00F76882">
      <w:r w:rsidRPr="003D3BBA">
        <w:t>WHO guidelines recommend that trachoma is treated with a single dose of the antibiotic azithromycin. When prevalence exceeds 5% in children aged 1</w:t>
      </w:r>
      <w:r w:rsidR="003D00CE" w:rsidRPr="003D3BBA">
        <w:t>–</w:t>
      </w:r>
      <w:r w:rsidRPr="003D3BBA">
        <w:t xml:space="preserve">9 years, </w:t>
      </w:r>
      <w:r w:rsidR="00BF3FBC" w:rsidRPr="003D3BBA">
        <w:t xml:space="preserve">WHO </w:t>
      </w:r>
      <w:r w:rsidRPr="003D3BBA">
        <w:t xml:space="preserve">guidelines recommend mass drug administration to the entire </w:t>
      </w:r>
      <w:r w:rsidR="001223A6" w:rsidRPr="003D3BBA">
        <w:t>region or district</w:t>
      </w:r>
      <w:r w:rsidRPr="003D3BBA">
        <w:t xml:space="preserve">. </w:t>
      </w:r>
      <w:r w:rsidR="00AB2B46" w:rsidRPr="003D3BBA">
        <w:t>CDNA Guidelines</w:t>
      </w:r>
      <w:r w:rsidRPr="003D3BBA">
        <w:t xml:space="preserve"> differ from WHO recommendations in </w:t>
      </w:r>
      <w:r w:rsidR="000E6AAF" w:rsidRPr="003D3BBA">
        <w:t xml:space="preserve">several respects. </w:t>
      </w:r>
      <w:r w:rsidRPr="003D3BBA">
        <w:t xml:space="preserve">Australia uses the </w:t>
      </w:r>
      <w:r w:rsidR="001223A6" w:rsidRPr="003D3BBA">
        <w:t xml:space="preserve">community </w:t>
      </w:r>
      <w:r w:rsidRPr="003D3BBA">
        <w:t xml:space="preserve">trachoma prevalence of the </w:t>
      </w:r>
      <w:r w:rsidR="00FB5AB2" w:rsidRPr="003D3BBA">
        <w:t>5</w:t>
      </w:r>
      <w:r w:rsidR="003D00CE" w:rsidRPr="003D3BBA">
        <w:t>–</w:t>
      </w:r>
      <w:r w:rsidR="00FB5AB2" w:rsidRPr="003D3BBA">
        <w:t>9</w:t>
      </w:r>
      <w:r w:rsidRPr="003D3BBA">
        <w:t>-year age group as a basis for treatment</w:t>
      </w:r>
      <w:r w:rsidR="00785EA1" w:rsidRPr="003D3BBA">
        <w:t>, rather than the 1–9</w:t>
      </w:r>
      <w:r w:rsidR="00771200" w:rsidRPr="003D3BBA">
        <w:t>-</w:t>
      </w:r>
      <w:r w:rsidR="00785EA1" w:rsidRPr="003D3BBA">
        <w:t>year age group</w:t>
      </w:r>
      <w:r w:rsidRPr="003D3BBA">
        <w:t xml:space="preserve">. </w:t>
      </w:r>
      <w:r w:rsidR="00065F5D" w:rsidRPr="003D3BBA">
        <w:t>In communities with prevalence</w:t>
      </w:r>
      <w:r w:rsidRPr="003D3BBA">
        <w:t xml:space="preserve"> less than 5%, treatment is provided to the active case/s</w:t>
      </w:r>
      <w:r w:rsidR="00065F5D" w:rsidRPr="003D3BBA">
        <w:t xml:space="preserve"> (children with TF and/or TI)</w:t>
      </w:r>
      <w:r w:rsidRPr="003D3BBA">
        <w:t xml:space="preserve"> and their household only. </w:t>
      </w:r>
      <w:r w:rsidR="001C1FD6" w:rsidRPr="003D3BBA">
        <w:t>If prevalence is greater than or equal to 5%, treatment may be offered to all households in the community with at least one child aged 15 year</w:t>
      </w:r>
      <w:r w:rsidR="00C029BF" w:rsidRPr="003D3BBA">
        <w:t>s</w:t>
      </w:r>
      <w:r w:rsidR="001C1FD6" w:rsidRPr="003D3BBA">
        <w:t xml:space="preserve"> or under</w:t>
      </w:r>
      <w:r w:rsidR="00C029BF" w:rsidRPr="003D3BBA">
        <w:t xml:space="preserve"> </w:t>
      </w:r>
      <w:r w:rsidR="00364A66" w:rsidRPr="003D3BBA">
        <w:t xml:space="preserve">– known as community-wide treatment – </w:t>
      </w:r>
      <w:r w:rsidR="00ED5C23" w:rsidRPr="003D3BBA">
        <w:t xml:space="preserve">in the absence of </w:t>
      </w:r>
      <w:r w:rsidR="001C1FD6" w:rsidRPr="003D3BBA">
        <w:t>case clustering</w:t>
      </w:r>
      <w:r w:rsidR="0077223B" w:rsidRPr="003D3BBA">
        <w:t xml:space="preserve"> (cases </w:t>
      </w:r>
      <w:r w:rsidR="00914533" w:rsidRPr="003D3BBA">
        <w:t xml:space="preserve">concentrated in </w:t>
      </w:r>
      <w:r w:rsidR="00840851" w:rsidRPr="003D3BBA">
        <w:t xml:space="preserve">distinct </w:t>
      </w:r>
      <w:r w:rsidR="00CB75E4" w:rsidRPr="003D3BBA">
        <w:t>households</w:t>
      </w:r>
      <w:r w:rsidR="00673610" w:rsidRPr="003D3BBA">
        <w:t xml:space="preserve"> </w:t>
      </w:r>
      <w:r w:rsidR="001F1598" w:rsidRPr="003D3BBA">
        <w:t>and where health staff can clearly identify all contacts</w:t>
      </w:r>
      <w:r w:rsidR="00914533" w:rsidRPr="003D3BBA">
        <w:t>)</w:t>
      </w:r>
      <w:r w:rsidR="001C1FD6" w:rsidRPr="003D3BBA">
        <w:t xml:space="preserve">. </w:t>
      </w:r>
      <w:r w:rsidR="009B73E0" w:rsidRPr="003D3BBA">
        <w:t xml:space="preserve">Mass drug administration </w:t>
      </w:r>
      <w:r w:rsidR="00364A66" w:rsidRPr="003D3BBA">
        <w:t xml:space="preserve">of the whole population </w:t>
      </w:r>
      <w:r w:rsidR="009B73E0" w:rsidRPr="003D3BBA">
        <w:t>across entire regions or jurisdictions is not undertaken in Australia.</w:t>
      </w:r>
    </w:p>
    <w:p w14:paraId="7ABB480E" w14:textId="05E112B4" w:rsidR="0041703C" w:rsidRPr="0036007C" w:rsidRDefault="0041703C" w:rsidP="00F76882">
      <w:pPr>
        <w:pStyle w:val="Heading2"/>
      </w:pPr>
      <w:bookmarkStart w:id="113" w:name="_Toc203986540"/>
      <w:bookmarkStart w:id="114" w:name="_Toc215236950"/>
      <w:r w:rsidRPr="0036007C">
        <w:t xml:space="preserve">Data </w:t>
      </w:r>
      <w:r w:rsidRPr="00FC1E83">
        <w:t>analysis</w:t>
      </w:r>
      <w:bookmarkEnd w:id="113"/>
      <w:bookmarkEnd w:id="114"/>
    </w:p>
    <w:p w14:paraId="7DC8422F" w14:textId="4831BE82" w:rsidR="0041703C" w:rsidRPr="003D3BBA" w:rsidRDefault="0041703C" w:rsidP="00F76882">
      <w:bookmarkStart w:id="115" w:name="_Ref58404474"/>
      <w:bookmarkStart w:id="116" w:name="_Ref58404476"/>
      <w:bookmarkStart w:id="117" w:name="_Ref58404479"/>
      <w:bookmarkStart w:id="118" w:name="_Ref58404875"/>
      <w:bookmarkStart w:id="119" w:name="_Ref58406097"/>
      <w:bookmarkStart w:id="120" w:name="_Ref58407811"/>
      <w:r w:rsidRPr="003D3BBA">
        <w:t xml:space="preserve">A community is defined as a geographic location where people reside and there is at least one school. </w:t>
      </w:r>
      <w:r w:rsidR="006C0565" w:rsidRPr="003D3BBA">
        <w:t xml:space="preserve">Data </w:t>
      </w:r>
      <w:r w:rsidR="009158CE" w:rsidRPr="003D3BBA">
        <w:t>are</w:t>
      </w:r>
      <w:r w:rsidR="006C0565" w:rsidRPr="003D3BBA">
        <w:t xml:space="preserve"> aggregated to the regional level to protect</w:t>
      </w:r>
      <w:r w:rsidR="009158CE" w:rsidRPr="003D3BBA">
        <w:t xml:space="preserve"> community confidentiality</w:t>
      </w:r>
      <w:r w:rsidR="00C51DA9" w:rsidRPr="003D3BBA">
        <w:t>. Regions are aligned with state/territory</w:t>
      </w:r>
      <w:r w:rsidR="0039007D" w:rsidRPr="003D3BBA">
        <w:t xml:space="preserve"> health department public health administration </w:t>
      </w:r>
      <w:r w:rsidR="00514927" w:rsidRPr="003D3BBA">
        <w:t>zones.</w:t>
      </w:r>
    </w:p>
    <w:p w14:paraId="06A00415" w14:textId="5A4669B7" w:rsidR="0041703C" w:rsidRPr="003D3BBA" w:rsidRDefault="0041703C" w:rsidP="00F76882">
      <w:r w:rsidRPr="003D3BBA">
        <w:t>Trachoma screening coverage is the proportion of resident children aged 5</w:t>
      </w:r>
      <w:r w:rsidR="003D00CE" w:rsidRPr="003D3BBA">
        <w:t>–</w:t>
      </w:r>
      <w:r w:rsidRPr="003D3BBA">
        <w:t xml:space="preserve">9 years </w:t>
      </w:r>
      <w:r w:rsidR="00C60897" w:rsidRPr="003D3BBA">
        <w:t xml:space="preserve">in identified at-risk communities </w:t>
      </w:r>
      <w:r w:rsidRPr="003D3BBA">
        <w:t>who were screened</w:t>
      </w:r>
      <w:r w:rsidR="00C60897" w:rsidRPr="003D3BBA">
        <w:t xml:space="preserve"> in the calendar year</w:t>
      </w:r>
      <w:r w:rsidRPr="003D3BBA">
        <w:t xml:space="preserve">. </w:t>
      </w:r>
      <w:r w:rsidR="007A0297" w:rsidRPr="003D3BBA">
        <w:t xml:space="preserve">Since 2012, estimates of </w:t>
      </w:r>
      <w:r w:rsidRPr="003D3BBA">
        <w:t>resident population numbers in each community are derived by each jurisdiction using enrolment lists from schools and health clinics, supplemented by local advice on movement into and out of communities. For 2007 to 2011</w:t>
      </w:r>
      <w:r w:rsidR="00584F7B" w:rsidRPr="003D3BBA">
        <w:t>,</w:t>
      </w:r>
      <w:r w:rsidRPr="003D3BBA">
        <w:t xml:space="preserve"> estimates were based on projections from the 2006 Australian census using the Australian Bureau of Statistics standard estimates of annual population increase (1.6%, 1.8%</w:t>
      </w:r>
      <w:r w:rsidR="00041064" w:rsidRPr="003D3BBA">
        <w:t xml:space="preserve">, and </w:t>
      </w:r>
      <w:r w:rsidRPr="003D3BBA">
        <w:t>2.1% in the NT, WA</w:t>
      </w:r>
      <w:r w:rsidR="00041064" w:rsidRPr="003D3BBA">
        <w:t xml:space="preserve">, and </w:t>
      </w:r>
      <w:r w:rsidRPr="003D3BBA">
        <w:t xml:space="preserve">SA respectively). </w:t>
      </w:r>
    </w:p>
    <w:p w14:paraId="663263E3" w14:textId="551CABB3" w:rsidR="00EC2F46" w:rsidRPr="003D3BBA" w:rsidRDefault="00EC2F46" w:rsidP="00F76882">
      <w:r w:rsidRPr="003D3BBA">
        <w:t xml:space="preserve">Treatment coverage is defined as the proportion of active cases plus household/community contacts requiring treatment according to </w:t>
      </w:r>
      <w:r w:rsidR="00AB2B46" w:rsidRPr="003D3BBA">
        <w:t>CDNA Guidelines</w:t>
      </w:r>
      <w:r w:rsidR="00CF0B31" w:rsidRPr="003D3BBA">
        <w:t xml:space="preserve"> and</w:t>
      </w:r>
      <w:r w:rsidRPr="003D3BBA">
        <w:t xml:space="preserve"> who received azithromycin</w:t>
      </w:r>
      <w:r w:rsidR="001F1598" w:rsidRPr="003D3BBA">
        <w:t xml:space="preserve"> within two weeks of screening</w:t>
      </w:r>
      <w:r w:rsidRPr="003D3BBA">
        <w:t>.</w:t>
      </w:r>
      <w:r w:rsidRPr="003D3BBA">
        <w:fldChar w:fldCharType="begin"/>
      </w:r>
      <w:r w:rsidR="00256FC4" w:rsidRPr="003D3BBA">
        <w:instrText xml:space="preserve"> ADDIN EN.CITE &lt;EndNote&gt;&lt;Cite&gt;&lt;Author&gt;Communicable Diseases Network Australia&lt;/Author&gt;&lt;Year&gt;2014 Jan&lt;/Year&gt;&lt;RecNum&gt;6&lt;/RecNum&gt;&lt;DisplayText&gt;&lt;style face="superscript"&gt;17&lt;/style&gt;&lt;/DisplayText&gt;&lt;record&gt;&lt;rec-number&gt;6&lt;/rec-number&gt;&lt;foreign-keys&gt;&lt;key app="EN" db-id="52r9t20smsvp0rex9v1vsfe3tt9vxfdpvwsa" timestamp="1690337276"&gt;6&lt;/key&gt;&lt;/foreign-keys&gt;&lt;ref-type name="Report"&gt;27&lt;/ref-type&gt;&lt;contributors&gt;&lt;authors&gt;&lt;author&gt;Communicable Diseases Network Australia,&lt;/author&gt;&lt;/authors&gt;&lt;/contributors&gt;&lt;titles&gt;&lt;title&gt;CDNA National Guidelines for the Public Health Management of Trachoma&lt;/title&gt;&lt;/titles&gt;&lt;dates&gt;&lt;year&gt;2014 Jan&lt;/year&gt;&lt;/dates&gt;&lt;pub-location&gt;Canberra&lt;/pub-location&gt;&lt;publisher&gt;Department of Health and Aged Care&lt;/publisher&gt;&lt;urls&gt;&lt;related-urls&gt;&lt;url&gt;https://www.health.gov.au/resources/publications/trachoma-cdna-national-guidelines-for-public-health-units?language=en&lt;/url&gt;&lt;/related-urls&gt;&lt;/urls&gt;&lt;/record&gt;&lt;/Cite&gt;&lt;/EndNote&gt;</w:instrText>
      </w:r>
      <w:r w:rsidRPr="003D3BBA">
        <w:fldChar w:fldCharType="separate"/>
      </w:r>
      <w:r w:rsidR="00256FC4" w:rsidRPr="003D3BBA">
        <w:t>17</w:t>
      </w:r>
      <w:r w:rsidRPr="003D3BBA">
        <w:fldChar w:fldCharType="end"/>
      </w:r>
    </w:p>
    <w:p w14:paraId="43C9489C" w14:textId="729A8239" w:rsidR="0041703C" w:rsidRPr="003D3BBA" w:rsidRDefault="0041703C" w:rsidP="00F76882">
      <w:r w:rsidRPr="003D3BBA">
        <w:t xml:space="preserve">Data from 2006 </w:t>
      </w:r>
      <w:r w:rsidR="0093555C" w:rsidRPr="003D3BBA">
        <w:t>are</w:t>
      </w:r>
      <w:r w:rsidRPr="003D3BBA">
        <w:t xml:space="preserve"> excluded from the assessments of time trends as collection methods in this first year of the control program differed substantially from those subsequently adopted.</w:t>
      </w:r>
    </w:p>
    <w:p w14:paraId="1BF35E3E" w14:textId="77777777" w:rsidR="0041703C" w:rsidRPr="0036007C" w:rsidRDefault="0041703C" w:rsidP="00F76882">
      <w:pPr>
        <w:pStyle w:val="Heading3"/>
      </w:pPr>
      <w:r w:rsidRPr="0036007C">
        <w:t>Calculations for trachoma prevalence</w:t>
      </w:r>
      <w:bookmarkEnd w:id="115"/>
      <w:bookmarkEnd w:id="116"/>
      <w:bookmarkEnd w:id="117"/>
      <w:bookmarkEnd w:id="118"/>
      <w:bookmarkEnd w:id="119"/>
      <w:bookmarkEnd w:id="120"/>
    </w:p>
    <w:p w14:paraId="0DE6445D" w14:textId="568FF4C7" w:rsidR="00EE279C" w:rsidRPr="003D3BBA" w:rsidRDefault="005D44CB" w:rsidP="00F76882">
      <w:r w:rsidRPr="003D3BBA">
        <w:t xml:space="preserve">Australia’s CDNA guidelines, first </w:t>
      </w:r>
      <w:r w:rsidR="005573D8" w:rsidRPr="003D3BBA">
        <w:t xml:space="preserve">released </w:t>
      </w:r>
      <w:r w:rsidRPr="003D3BBA">
        <w:t>in 2006, called for annual examination of children in communities designated as at risk and used the results of these examinations to calculate prevalence.</w:t>
      </w:r>
      <w:r w:rsidR="00E12ECD" w:rsidRPr="003D3BBA">
        <w:t xml:space="preserve"> </w:t>
      </w:r>
      <w:r w:rsidRPr="003D3BBA">
        <w:t>The 2014 revision of the CDNA Guidelines provided the option not to screen all at-risk communities every year, with jurisdictions instead able to allocate resources for antibiotic distribution and health promotion activities</w:t>
      </w:r>
      <w:r w:rsidR="00460C53" w:rsidRPr="003D3BBA">
        <w:t xml:space="preserve">. </w:t>
      </w:r>
      <w:r w:rsidR="00C27F0D" w:rsidRPr="003D3BBA">
        <w:t>C</w:t>
      </w:r>
      <w:r w:rsidR="00405AD2" w:rsidRPr="003D3BBA">
        <w:t>ommunities</w:t>
      </w:r>
      <w:r w:rsidR="0032389D" w:rsidRPr="003D3BBA">
        <w:t xml:space="preserve"> </w:t>
      </w:r>
      <w:r w:rsidR="00405AD2" w:rsidRPr="003D3BBA">
        <w:t xml:space="preserve">with less than 5% prevalence for 5 years or more </w:t>
      </w:r>
      <w:r w:rsidR="008F2CCD" w:rsidRPr="003D3BBA">
        <w:t>may be</w:t>
      </w:r>
      <w:r w:rsidR="00405AD2" w:rsidRPr="003D3BBA">
        <w:t xml:space="preserve"> reclassified by jurisdictional health departments as no longer at risk of trachoma and </w:t>
      </w:r>
      <w:r w:rsidR="0032389D" w:rsidRPr="003D3BBA">
        <w:t>remov</w:t>
      </w:r>
      <w:r w:rsidR="00AE2413" w:rsidRPr="003D3BBA">
        <w:t>ed</w:t>
      </w:r>
      <w:r w:rsidR="0032389D" w:rsidRPr="003D3BBA">
        <w:t xml:space="preserve"> from</w:t>
      </w:r>
      <w:r w:rsidR="00405AD2" w:rsidRPr="003D3BBA">
        <w:t xml:space="preserve"> screening</w:t>
      </w:r>
      <w:r w:rsidR="00A92869" w:rsidRPr="003D3BBA">
        <w:t xml:space="preserve"> requirements</w:t>
      </w:r>
      <w:r w:rsidR="00405AD2" w:rsidRPr="003D3BBA">
        <w:t xml:space="preserve">. Consequently, </w:t>
      </w:r>
      <w:r w:rsidR="00195F5B" w:rsidRPr="003D3BBA">
        <w:t>t</w:t>
      </w:r>
      <w:r w:rsidR="0041703C" w:rsidRPr="003D3BBA">
        <w:t xml:space="preserve">hree methods </w:t>
      </w:r>
      <w:r w:rsidR="00693AF7" w:rsidRPr="003D3BBA">
        <w:t>of</w:t>
      </w:r>
      <w:r w:rsidR="0041703C" w:rsidRPr="003D3BBA">
        <w:t xml:space="preserve"> calculat</w:t>
      </w:r>
      <w:r w:rsidR="00693AF7" w:rsidRPr="003D3BBA">
        <w:t>ing</w:t>
      </w:r>
      <w:r w:rsidR="0041703C" w:rsidRPr="003D3BBA">
        <w:t xml:space="preserve"> trachoma prevalence</w:t>
      </w:r>
      <w:r w:rsidR="00693AF7" w:rsidRPr="003D3BBA">
        <w:t xml:space="preserve"> are presented in this report</w:t>
      </w:r>
      <w:r w:rsidR="0041703C" w:rsidRPr="003D3BBA">
        <w:t xml:space="preserve">. </w:t>
      </w:r>
    </w:p>
    <w:p w14:paraId="5105EFE3" w14:textId="310CECD0" w:rsidR="00BC4F58" w:rsidRPr="0036007C" w:rsidRDefault="0041703C" w:rsidP="00F76882">
      <w:pPr>
        <w:pStyle w:val="ListNumber"/>
      </w:pPr>
      <w:r w:rsidRPr="0036007C">
        <w:t xml:space="preserve">The </w:t>
      </w:r>
      <w:r w:rsidRPr="00F57624">
        <w:rPr>
          <w:rStyle w:val="Emphasis"/>
        </w:rPr>
        <w:t>observed prevalence</w:t>
      </w:r>
      <w:r w:rsidRPr="0036007C">
        <w:t xml:space="preserve"> of trachoma </w:t>
      </w:r>
      <w:r w:rsidR="00EA6378" w:rsidRPr="0036007C">
        <w:t>i</w:t>
      </w:r>
      <w:r w:rsidRPr="0036007C">
        <w:t xml:space="preserve">s calculated using only the data from screening activities undertaken during the reporting year. </w:t>
      </w:r>
    </w:p>
    <w:p w14:paraId="43C0E5E2" w14:textId="2FDEF749" w:rsidR="00BC4F58" w:rsidRPr="0036007C" w:rsidRDefault="00CD3965" w:rsidP="00F76882">
      <w:pPr>
        <w:pStyle w:val="ListNumber"/>
      </w:pPr>
      <w:r w:rsidRPr="00F57624">
        <w:rPr>
          <w:rStyle w:val="LineNumber"/>
        </w:rPr>
        <w:t xml:space="preserve">The </w:t>
      </w:r>
      <w:r w:rsidR="0041703C" w:rsidRPr="00F57624">
        <w:rPr>
          <w:rStyle w:val="Emphasis"/>
        </w:rPr>
        <w:t>estimated prevalence</w:t>
      </w:r>
      <w:r w:rsidR="0041703C" w:rsidRPr="0036007C">
        <w:t xml:space="preserve"> of trachoma </w:t>
      </w:r>
      <w:r w:rsidR="00EA6378" w:rsidRPr="0036007C">
        <w:t>i</w:t>
      </w:r>
      <w:r w:rsidR="0041703C" w:rsidRPr="0036007C">
        <w:t xml:space="preserve">s calculated </w:t>
      </w:r>
      <w:r w:rsidR="00307B65" w:rsidRPr="0036007C">
        <w:t>by combining</w:t>
      </w:r>
      <w:r w:rsidR="0041703C" w:rsidRPr="0036007C">
        <w:t xml:space="preserve"> </w:t>
      </w:r>
      <w:r w:rsidR="00934ED9" w:rsidRPr="0036007C">
        <w:t xml:space="preserve">observed prevalence with </w:t>
      </w:r>
      <w:r w:rsidR="0041703C" w:rsidRPr="0036007C">
        <w:t xml:space="preserve">the most recent prevalence data </w:t>
      </w:r>
      <w:r w:rsidR="00781B57" w:rsidRPr="0036007C">
        <w:t xml:space="preserve">carried forward from </w:t>
      </w:r>
      <w:r w:rsidR="0041703C" w:rsidRPr="0036007C">
        <w:t xml:space="preserve">communities </w:t>
      </w:r>
      <w:r w:rsidR="00DF0166" w:rsidRPr="0036007C">
        <w:t xml:space="preserve">designated at risk in the reporting year and </w:t>
      </w:r>
      <w:r w:rsidR="0041703C" w:rsidRPr="0036007C">
        <w:t xml:space="preserve">not screened, following a method endorsed by the NTSCRG. This method may result in an over-estimation of </w:t>
      </w:r>
      <w:r w:rsidR="00F16A94" w:rsidRPr="0036007C">
        <w:t>prevalence</w:t>
      </w:r>
      <w:r w:rsidR="009B2095" w:rsidRPr="0036007C">
        <w:t>, particularly for communities not screened but which received community-wide treatment with antibiotics during the previous year</w:t>
      </w:r>
      <w:r w:rsidR="0041703C" w:rsidRPr="0036007C">
        <w:t>.</w:t>
      </w:r>
      <w:r w:rsidR="00750158" w:rsidRPr="0036007C">
        <w:t xml:space="preserve"> </w:t>
      </w:r>
    </w:p>
    <w:p w14:paraId="627334A2" w14:textId="31F8495E" w:rsidR="0041703C" w:rsidRPr="0036007C" w:rsidRDefault="00435777" w:rsidP="00F76882">
      <w:pPr>
        <w:pStyle w:val="ListNumber"/>
      </w:pPr>
      <w:r w:rsidRPr="0036007C">
        <w:t>Th</w:t>
      </w:r>
      <w:r w:rsidR="00307B65" w:rsidRPr="0036007C">
        <w:t>e</w:t>
      </w:r>
      <w:r w:rsidR="0041703C" w:rsidRPr="0036007C">
        <w:t xml:space="preserve"> </w:t>
      </w:r>
      <w:r w:rsidR="0041703C" w:rsidRPr="00F57624">
        <w:rPr>
          <w:rStyle w:val="Emphasis"/>
        </w:rPr>
        <w:t>overall prevalence</w:t>
      </w:r>
      <w:r w:rsidR="0041703C" w:rsidRPr="0036007C">
        <w:t xml:space="preserve"> of trachoma </w:t>
      </w:r>
      <w:r w:rsidR="0021083B" w:rsidRPr="0036007C">
        <w:t>i</w:t>
      </w:r>
      <w:r w:rsidR="0041703C" w:rsidRPr="0036007C">
        <w:t xml:space="preserve">s calculated by combining prevalence from at-risk communities screened during </w:t>
      </w:r>
      <w:r w:rsidR="005009F0" w:rsidRPr="0036007C">
        <w:t>the reporting year</w:t>
      </w:r>
      <w:r w:rsidR="0041703C" w:rsidRPr="0036007C">
        <w:t xml:space="preserve">, the most recent prevalence carried forward from at-risk communities that were not screened in </w:t>
      </w:r>
      <w:r w:rsidR="005009F0" w:rsidRPr="0036007C">
        <w:t>the reporting year</w:t>
      </w:r>
      <w:r w:rsidR="0041703C" w:rsidRPr="0036007C">
        <w:t xml:space="preserve"> (estimated prevalence)</w:t>
      </w:r>
      <w:r w:rsidR="009831BD" w:rsidRPr="0036007C">
        <w:t xml:space="preserve">, and </w:t>
      </w:r>
      <w:r w:rsidR="0041703C" w:rsidRPr="0036007C">
        <w:t xml:space="preserve">the most recent prevalence carried forward from all communities previously classified as </w:t>
      </w:r>
      <w:r w:rsidR="0003428A" w:rsidRPr="0036007C">
        <w:t>at risk</w:t>
      </w:r>
      <w:r w:rsidR="0041703C" w:rsidRPr="0036007C">
        <w:t xml:space="preserve"> but judged by jurisdictions to </w:t>
      </w:r>
      <w:r w:rsidR="00652F06" w:rsidRPr="0036007C">
        <w:t xml:space="preserve">no longer have endemic trachoma </w:t>
      </w:r>
      <w:r w:rsidR="0041703C" w:rsidRPr="0036007C">
        <w:t xml:space="preserve">and therefore removed from the </w:t>
      </w:r>
      <w:r w:rsidR="0003428A" w:rsidRPr="0036007C">
        <w:t>at</w:t>
      </w:r>
      <w:r w:rsidR="002D045A" w:rsidRPr="0036007C">
        <w:t>-</w:t>
      </w:r>
      <w:r w:rsidR="0003428A" w:rsidRPr="0036007C">
        <w:t>risk</w:t>
      </w:r>
      <w:r w:rsidR="0041703C" w:rsidRPr="0036007C">
        <w:t xml:space="preserve"> register.</w:t>
      </w:r>
      <w:r w:rsidR="00877B06" w:rsidRPr="0036007C">
        <w:t xml:space="preserve"> </w:t>
      </w:r>
      <w:r w:rsidR="00D34D74" w:rsidRPr="0036007C">
        <w:t>National overall prevalence calculations do not include data from NSW and Qld as these jurisdictions</w:t>
      </w:r>
      <w:r w:rsidR="009C3AF2" w:rsidRPr="0036007C">
        <w:t xml:space="preserve"> undertook</w:t>
      </w:r>
      <w:r w:rsidR="00B44822" w:rsidRPr="0036007C">
        <w:t xml:space="preserve"> targeted</w:t>
      </w:r>
      <w:r w:rsidR="009C3AF2" w:rsidRPr="0036007C">
        <w:t xml:space="preserve"> mapping exercises</w:t>
      </w:r>
      <w:r w:rsidR="008848CB" w:rsidRPr="0036007C">
        <w:t xml:space="preserve"> rather than </w:t>
      </w:r>
      <w:r w:rsidR="001B11A5" w:rsidRPr="0036007C">
        <w:t>a sustained screening program.</w:t>
      </w:r>
      <w:r w:rsidR="00D34D74" w:rsidRPr="0036007C">
        <w:t xml:space="preserve"> </w:t>
      </w:r>
      <w:r w:rsidR="00804A0A" w:rsidRPr="0036007C">
        <w:t>Overall prevalence is the measure used to assess Australia’s progress towards</w:t>
      </w:r>
      <w:r w:rsidR="00F72E4E" w:rsidRPr="0036007C">
        <w:t xml:space="preserve"> elimination of trachoma as a public health problem.</w:t>
      </w:r>
    </w:p>
    <w:p w14:paraId="3F673EF3" w14:textId="2B7384D2" w:rsidR="00D86E74" w:rsidRPr="003D3BBA" w:rsidRDefault="0089704C" w:rsidP="00F76882">
      <w:r w:rsidRPr="003D3BBA">
        <w:t xml:space="preserve">During the evolution of the National Trachoma Management Program, </w:t>
      </w:r>
      <w:r w:rsidR="005A4B5B" w:rsidRPr="003D3BBA">
        <w:t>two</w:t>
      </w:r>
      <w:r w:rsidRPr="003D3BBA">
        <w:t xml:space="preserve"> jurisdictions have</w:t>
      </w:r>
      <w:r w:rsidR="00342C91" w:rsidRPr="003D3BBA">
        <w:t xml:space="preserve"> amalgamated </w:t>
      </w:r>
      <w:r w:rsidR="00942ACA" w:rsidRPr="003D3BBA">
        <w:t xml:space="preserve">data from communities with very small populations and </w:t>
      </w:r>
      <w:r w:rsidR="00A11C2C" w:rsidRPr="003D3BBA">
        <w:t>high inter-community mobility</w:t>
      </w:r>
      <w:r w:rsidR="00942ACA" w:rsidRPr="003D3BBA">
        <w:t xml:space="preserve"> </w:t>
      </w:r>
      <w:r w:rsidR="008C1FFC" w:rsidRPr="003D3BBA">
        <w:t>to ensure confidentiality and enhance</w:t>
      </w:r>
      <w:r w:rsidR="00942ACA" w:rsidRPr="003D3BBA">
        <w:t xml:space="preserve"> </w:t>
      </w:r>
      <w:r w:rsidR="003B0A87" w:rsidRPr="003D3BBA">
        <w:t>programmatic decision-making</w:t>
      </w:r>
      <w:r w:rsidR="00942ACA" w:rsidRPr="003D3BBA">
        <w:t xml:space="preserve">. </w:t>
      </w:r>
      <w:r w:rsidR="00E40813" w:rsidRPr="003D3BBA">
        <w:t>In</w:t>
      </w:r>
      <w:r w:rsidR="00E40813" w:rsidRPr="003D3BBA" w:rsidDel="00E02590">
        <w:t xml:space="preserve"> </w:t>
      </w:r>
      <w:r w:rsidR="00E40813" w:rsidRPr="003D3BBA">
        <w:t>WA, 10 communities in the Goldfields region</w:t>
      </w:r>
      <w:r w:rsidR="00E40813" w:rsidRPr="003D3BBA" w:rsidDel="00E02590">
        <w:t xml:space="preserve"> </w:t>
      </w:r>
      <w:r w:rsidR="00E40813" w:rsidRPr="003D3BBA">
        <w:t>have been reported as a single unit since 2011 and four</w:t>
      </w:r>
      <w:r w:rsidR="00E40813" w:rsidRPr="003D3BBA" w:rsidDel="00E02590">
        <w:t xml:space="preserve"> communities in </w:t>
      </w:r>
      <w:r w:rsidR="00E40813" w:rsidRPr="003D3BBA">
        <w:t>the</w:t>
      </w:r>
      <w:r w:rsidR="00E40813" w:rsidRPr="003D3BBA" w:rsidDel="00E02590">
        <w:t xml:space="preserve"> Pilbara region</w:t>
      </w:r>
      <w:r w:rsidR="00E40813" w:rsidRPr="003D3BBA">
        <w:t xml:space="preserve"> have been reported together from 2016. The nine communities of SA’s APY Lands have been reported as a single unit from 2014</w:t>
      </w:r>
      <w:r w:rsidR="00E40813" w:rsidRPr="003D3BBA" w:rsidDel="00E02590">
        <w:t>.</w:t>
      </w:r>
      <w:r w:rsidR="00E40813" w:rsidRPr="003D3BBA">
        <w:t xml:space="preserve"> </w:t>
      </w:r>
      <w:r w:rsidR="008270D6" w:rsidRPr="003D3BBA">
        <w:t>Community-specific data for communities subsequently amalgamated were used (or carried forward) until the year of amalgamation.</w:t>
      </w:r>
      <w:r w:rsidR="00CB2655" w:rsidRPr="003D3BBA">
        <w:t xml:space="preserve"> </w:t>
      </w:r>
      <w:r w:rsidR="00CD7515" w:rsidRPr="003D3BBA">
        <w:t xml:space="preserve">These changes need to be considered in the interpretation of </w:t>
      </w:r>
      <w:r w:rsidR="00603423" w:rsidRPr="003D3BBA">
        <w:t>data patterns</w:t>
      </w:r>
      <w:r w:rsidR="00CD7515" w:rsidRPr="003D3BBA">
        <w:t xml:space="preserve"> for SA </w:t>
      </w:r>
      <w:r w:rsidR="00552DA6" w:rsidRPr="003D3BBA">
        <w:t>and WA</w:t>
      </w:r>
      <w:r w:rsidR="00CD7515" w:rsidRPr="003D3BBA">
        <w:t>.</w:t>
      </w:r>
    </w:p>
    <w:p w14:paraId="324533AF" w14:textId="6E73AAF0" w:rsidR="00C33306" w:rsidRPr="0036007C" w:rsidRDefault="00C33306" w:rsidP="00F76882">
      <w:pPr>
        <w:pStyle w:val="Heading3"/>
      </w:pPr>
      <w:r w:rsidRPr="0036007C">
        <w:t>T</w:t>
      </w:r>
      <w:r w:rsidR="0062377B" w:rsidRPr="0036007C">
        <w:t xml:space="preserve">rachomatous </w:t>
      </w:r>
      <w:r w:rsidR="00704415">
        <w:t>T</w:t>
      </w:r>
      <w:r w:rsidRPr="0036007C">
        <w:t>richiasis</w:t>
      </w:r>
      <w:r w:rsidR="001F754F" w:rsidRPr="0036007C">
        <w:t xml:space="preserve"> (TT)</w:t>
      </w:r>
    </w:p>
    <w:p w14:paraId="5922AC88" w14:textId="2B11717F" w:rsidR="000B3C04" w:rsidRPr="003D3BBA" w:rsidRDefault="000C3B5F" w:rsidP="00F76882">
      <w:r w:rsidRPr="003D3BBA">
        <w:t>TT</w:t>
      </w:r>
      <w:r w:rsidR="000B3C04" w:rsidRPr="003D3BBA">
        <w:t xml:space="preserve"> is reported as </w:t>
      </w:r>
      <w:r w:rsidR="00514FBA" w:rsidRPr="003D3BBA">
        <w:t>the crude</w:t>
      </w:r>
      <w:r w:rsidR="000B3C04" w:rsidRPr="003D3BBA">
        <w:t xml:space="preserve"> proportion of</w:t>
      </w:r>
      <w:r w:rsidR="007C2C48" w:rsidRPr="003D3BBA">
        <w:t xml:space="preserve"> </w:t>
      </w:r>
      <w:r w:rsidR="00A527D1" w:rsidRPr="003D3BBA">
        <w:t>cases</w:t>
      </w:r>
      <w:r w:rsidR="007C2C48" w:rsidRPr="003D3BBA">
        <w:t xml:space="preserve"> ‘unknown to the health system’</w:t>
      </w:r>
      <w:r w:rsidR="00D631D6" w:rsidRPr="003D3BBA">
        <w:t xml:space="preserve"> identified in the calendar year</w:t>
      </w:r>
      <w:r w:rsidR="00F36B25" w:rsidRPr="003D3BBA">
        <w:t>, in line with WHO criteria.</w:t>
      </w:r>
      <w:r w:rsidR="00F36B25" w:rsidRPr="003D3BBA">
        <w:fldChar w:fldCharType="begin"/>
      </w:r>
      <w:r w:rsidR="00256FC4" w:rsidRPr="003D3BBA">
        <w:instrText xml:space="preserve"> ADDIN EN.CITE &lt;EndNote&gt;&lt;Cite&gt;&lt;Author&gt;World Health Organization&lt;/Author&gt;&lt;Year&gt;2016 Jun. 15p&lt;/Year&gt;&lt;RecNum&gt;13&lt;/RecNum&gt;&lt;DisplayText&gt;&lt;style face="superscript"&gt;36&lt;/style&gt;&lt;/DisplayText&gt;&lt;record&gt;&lt;rec-number&gt;13&lt;/rec-number&gt;&lt;foreign-keys&gt;&lt;key app="EN" db-id="52r9t20smsvp0rex9v1vsfe3tt9vxfdpvwsa" timestamp="1690350758"&gt;13&lt;/key&gt;&lt;/foreign-keys&gt;&lt;ref-type name="Report"&gt;27&lt;/ref-type&gt;&lt;contributors&gt;&lt;authors&gt;&lt;author&gt;World Health Organization,&lt;/author&gt;&lt;/authors&gt;&lt;/contributors&gt;&lt;titles&gt;&lt;title&gt;Validation of elimination of trachoma as a public health problem (WHO/HTM/NTD/2016.8)&lt;/title&gt;&lt;/titles&gt;&lt;dates&gt;&lt;year&gt;2016 Jun. 15p&lt;/year&gt;&lt;/dates&gt;&lt;pub-location&gt;Geneva, Switzerland&lt;/pub-location&gt;&lt;publisher&gt;World Health Organization&lt;/publisher&gt;&lt;urls&gt;&lt;related-urls&gt;&lt;url&gt;https://www.who.int/publications/i/item/who-htm-ntd-2016.8&lt;/url&gt;&lt;/related-urls&gt;&lt;/urls&gt;&lt;/record&gt;&lt;/Cite&gt;&lt;/EndNote&gt;</w:instrText>
      </w:r>
      <w:r w:rsidR="00F36B25" w:rsidRPr="003D3BBA">
        <w:fldChar w:fldCharType="separate"/>
      </w:r>
      <w:r w:rsidR="00256FC4" w:rsidRPr="003D3BBA">
        <w:t>36</w:t>
      </w:r>
      <w:r w:rsidR="00F36B25" w:rsidRPr="003D3BBA">
        <w:fldChar w:fldCharType="end"/>
      </w:r>
      <w:r w:rsidR="000B3C04" w:rsidRPr="003D3BBA">
        <w:t xml:space="preserve"> </w:t>
      </w:r>
      <w:r w:rsidR="00B45798" w:rsidRPr="003D3BBA">
        <w:t>This excludes cases detected in previous years, people on surgical waiting lists or who have refused surgery, and TT in individuals with post-surgical recurrence</w:t>
      </w:r>
      <w:r w:rsidR="00517E1D" w:rsidRPr="003D3BBA">
        <w:t>.</w:t>
      </w:r>
      <w:r w:rsidR="00B45798" w:rsidRPr="003D3BBA">
        <w:t xml:space="preserve"> </w:t>
      </w:r>
    </w:p>
    <w:p w14:paraId="62F1FF61" w14:textId="3411388A" w:rsidR="001A5F47" w:rsidRPr="00174EA5" w:rsidRDefault="001A5F47" w:rsidP="00F76882">
      <w:pPr>
        <w:pStyle w:val="Heading2"/>
      </w:pPr>
      <w:bookmarkStart w:id="121" w:name="_Toc203986541"/>
      <w:bookmarkStart w:id="122" w:name="_Toc215236951"/>
      <w:r w:rsidRPr="00174EA5">
        <w:t>Jurisdictional screening programs</w:t>
      </w:r>
      <w:bookmarkEnd w:id="121"/>
      <w:bookmarkEnd w:id="122"/>
    </w:p>
    <w:p w14:paraId="4CAFC090" w14:textId="11256720" w:rsidR="006A2CF3" w:rsidRPr="0036007C" w:rsidRDefault="006A2CF3" w:rsidP="00F76882">
      <w:pPr>
        <w:pStyle w:val="Heading3"/>
      </w:pPr>
      <w:r w:rsidRPr="0036007C">
        <w:t>New South Wales</w:t>
      </w:r>
    </w:p>
    <w:p w14:paraId="0D7B2803" w14:textId="2A6B1F80" w:rsidR="006A2CF3" w:rsidRPr="003D3BBA" w:rsidRDefault="006A2CF3" w:rsidP="00F76882">
      <w:r w:rsidRPr="003D3BBA">
        <w:t xml:space="preserve">There were no </w:t>
      </w:r>
      <w:r w:rsidR="00E90041" w:rsidRPr="003D3BBA">
        <w:t xml:space="preserve">regions </w:t>
      </w:r>
      <w:r w:rsidRPr="003D3BBA">
        <w:t xml:space="preserve">designated </w:t>
      </w:r>
      <w:r w:rsidR="0003428A" w:rsidRPr="003D3BBA">
        <w:t>at risk</w:t>
      </w:r>
      <w:r w:rsidR="00FD61D6" w:rsidRPr="003D3BBA">
        <w:t xml:space="preserve"> of trachoma</w:t>
      </w:r>
      <w:r w:rsidRPr="003D3BBA">
        <w:t xml:space="preserve"> in NSW in </w:t>
      </w:r>
      <w:r w:rsidR="00C3405D" w:rsidRPr="003D3BBA">
        <w:t>2024</w:t>
      </w:r>
      <w:r w:rsidRPr="003D3BBA">
        <w:t xml:space="preserve">. </w:t>
      </w:r>
      <w:r w:rsidR="00CD23E1" w:rsidRPr="003D3BBA">
        <w:t xml:space="preserve">Mapping </w:t>
      </w:r>
      <w:r w:rsidR="002C3ABE" w:rsidRPr="003D3BBA">
        <w:t xml:space="preserve">was </w:t>
      </w:r>
      <w:r w:rsidR="00CD23E1" w:rsidRPr="003D3BBA">
        <w:t xml:space="preserve">undertaken by NSW Health </w:t>
      </w:r>
      <w:r w:rsidR="000917DE" w:rsidRPr="003D3BBA">
        <w:t>between 2013 to 2015 in north</w:t>
      </w:r>
      <w:r w:rsidR="002E7054" w:rsidRPr="003D3BBA">
        <w:t>-western and far-western</w:t>
      </w:r>
      <w:r w:rsidR="00F41694" w:rsidRPr="003D3BBA">
        <w:t xml:space="preserve"> regions </w:t>
      </w:r>
      <w:r w:rsidR="005353C5" w:rsidRPr="003D3BBA">
        <w:t xml:space="preserve">that had historical evidence of trachoma endemicity </w:t>
      </w:r>
      <w:r w:rsidR="007464A2" w:rsidRPr="003D3BBA">
        <w:t>or</w:t>
      </w:r>
      <w:r w:rsidR="005353C5" w:rsidRPr="003D3BBA">
        <w:t xml:space="preserve"> share borders with at-risk regions in NT and SA. The NSW mapping</w:t>
      </w:r>
      <w:r w:rsidR="009D434E" w:rsidRPr="003D3BBA">
        <w:t xml:space="preserve"> did not identify any</w:t>
      </w:r>
      <w:r w:rsidR="00243F26" w:rsidRPr="003D3BBA">
        <w:t xml:space="preserve"> r</w:t>
      </w:r>
      <w:r w:rsidR="000722B4" w:rsidRPr="003D3BBA">
        <w:t>egions with endemic trachoma</w:t>
      </w:r>
      <w:r w:rsidRPr="003D3BBA">
        <w:t xml:space="preserve">. </w:t>
      </w:r>
    </w:p>
    <w:p w14:paraId="48BAAA72" w14:textId="77777777" w:rsidR="006A2CF3" w:rsidRPr="0036007C" w:rsidRDefault="006A2CF3" w:rsidP="00F76882">
      <w:pPr>
        <w:pStyle w:val="Heading3"/>
      </w:pPr>
      <w:r w:rsidRPr="0036007C">
        <w:t>Northern Territory</w:t>
      </w:r>
      <w:bookmarkEnd w:id="108"/>
      <w:bookmarkEnd w:id="109"/>
      <w:bookmarkEnd w:id="110"/>
    </w:p>
    <w:p w14:paraId="34187F24" w14:textId="265EAFAC" w:rsidR="00E55B26" w:rsidRPr="003D3BBA" w:rsidRDefault="005728F1" w:rsidP="00F76882">
      <w:r w:rsidRPr="003D3BBA">
        <w:t>In 2024</w:t>
      </w:r>
      <w:r w:rsidR="005F63BC" w:rsidRPr="003D3BBA">
        <w:t>,</w:t>
      </w:r>
      <w:r w:rsidR="00484817" w:rsidRPr="003D3BBA">
        <w:t xml:space="preserve"> four regions in the NT</w:t>
      </w:r>
      <w:r w:rsidR="001E152C" w:rsidRPr="003D3BBA">
        <w:t xml:space="preserve"> identified communities</w:t>
      </w:r>
      <w:r w:rsidR="00484817" w:rsidRPr="003D3BBA">
        <w:t xml:space="preserve"> at risk of trachoma. </w:t>
      </w:r>
      <w:r w:rsidR="00F31099" w:rsidRPr="003D3BBA">
        <w:t xml:space="preserve">Since 2009, the </w:t>
      </w:r>
      <w:r w:rsidR="00657035" w:rsidRPr="003D3BBA">
        <w:t xml:space="preserve">NT’s </w:t>
      </w:r>
      <w:r w:rsidR="00F31099" w:rsidRPr="003D3BBA">
        <w:t xml:space="preserve">Trachoma Control Program has been </w:t>
      </w:r>
      <w:r w:rsidR="009E586A" w:rsidRPr="003D3BBA">
        <w:t xml:space="preserve">located within the Centre for Disease Control in the </w:t>
      </w:r>
      <w:r w:rsidR="00F31099" w:rsidRPr="003D3BBA">
        <w:t xml:space="preserve">NT Department of Health (NT </w:t>
      </w:r>
      <w:r w:rsidR="00407156" w:rsidRPr="003D3BBA">
        <w:t>Health</w:t>
      </w:r>
      <w:r w:rsidR="00F31099" w:rsidRPr="003D3BBA">
        <w:t>)</w:t>
      </w:r>
      <w:r w:rsidR="00D62C3E" w:rsidRPr="003D3BBA">
        <w:t xml:space="preserve">. </w:t>
      </w:r>
      <w:r w:rsidR="00CA695A" w:rsidRPr="003D3BBA">
        <w:t>Activities are</w:t>
      </w:r>
      <w:r w:rsidR="00F31099" w:rsidRPr="003D3BBA">
        <w:t xml:space="preserve"> delivered in partnership with </w:t>
      </w:r>
      <w:r w:rsidR="008B3296" w:rsidRPr="003D3BBA">
        <w:t>the Aboriginal Medical Services Alliance N</w:t>
      </w:r>
      <w:r w:rsidR="001A5C07" w:rsidRPr="003D3BBA">
        <w:t xml:space="preserve">orthern </w:t>
      </w:r>
      <w:r w:rsidR="00F76882" w:rsidRPr="00F76882">
        <w:t xml:space="preserve">Territory, the peak body for NT’s Aboriginal Community Controlled Health Services (ACCHS), and its member organisations. In Alice Springs Remote, Barkly, Darwin Rural, and (formerly) East Arnhem regions, NT Health Trachoma Control Program staff coordinate </w:t>
      </w:r>
      <w:r w:rsidR="003E1CD5" w:rsidRPr="003D3BBA">
        <w:t>annual trachoma screening, antibiotic treatment</w:t>
      </w:r>
      <w:r w:rsidR="009831BD" w:rsidRPr="003D3BBA">
        <w:t xml:space="preserve">, and </w:t>
      </w:r>
      <w:r w:rsidR="003E1CD5" w:rsidRPr="003D3BBA">
        <w:t>facial cleanliness</w:t>
      </w:r>
      <w:r w:rsidR="0099221A" w:rsidRPr="003D3BBA">
        <w:t xml:space="preserve"> health promotion</w:t>
      </w:r>
      <w:r w:rsidR="003E1CD5" w:rsidRPr="003D3BBA">
        <w:t xml:space="preserve"> activities</w:t>
      </w:r>
      <w:r w:rsidR="00EF0921" w:rsidRPr="003D3BBA">
        <w:t>. These a</w:t>
      </w:r>
      <w:r w:rsidR="004241DE" w:rsidRPr="003D3BBA">
        <w:t xml:space="preserve">ctivities in the Katherine region are undertaken by Katherine West Health Board Aboriginal Corporation and </w:t>
      </w:r>
      <w:r w:rsidR="00A715F8" w:rsidRPr="003D3BBA">
        <w:t>(</w:t>
      </w:r>
      <w:r w:rsidR="00CA695A" w:rsidRPr="003D3BBA">
        <w:t>formerly</w:t>
      </w:r>
      <w:r w:rsidR="00A715F8" w:rsidRPr="003D3BBA">
        <w:t xml:space="preserve">) </w:t>
      </w:r>
      <w:r w:rsidR="004241DE" w:rsidRPr="003D3BBA">
        <w:t xml:space="preserve">Sunrise Health Service Aboriginal Corporation under service agreements with NT </w:t>
      </w:r>
      <w:r w:rsidR="00407156" w:rsidRPr="003D3BBA">
        <w:t>Health</w:t>
      </w:r>
      <w:r w:rsidR="004241DE" w:rsidRPr="003D3BBA">
        <w:t xml:space="preserve">. </w:t>
      </w:r>
    </w:p>
    <w:p w14:paraId="2556E9BD" w14:textId="509F104F" w:rsidR="006A2CF3" w:rsidRPr="003D3BBA" w:rsidRDefault="006A2CF3" w:rsidP="00F76882">
      <w:r w:rsidRPr="003D3BBA">
        <w:t xml:space="preserve">In </w:t>
      </w:r>
      <w:r w:rsidR="00C3405D" w:rsidRPr="003D3BBA">
        <w:t>2024</w:t>
      </w:r>
      <w:r w:rsidRPr="003D3BBA">
        <w:t xml:space="preserve">, screening for </w:t>
      </w:r>
      <w:r w:rsidR="000C3B5F" w:rsidRPr="003D3BBA">
        <w:t>TT</w:t>
      </w:r>
      <w:r w:rsidR="006831E0" w:rsidRPr="003D3BBA">
        <w:t xml:space="preserve"> across the NT</w:t>
      </w:r>
      <w:r w:rsidRPr="003D3BBA">
        <w:t xml:space="preserve"> was undertaken opportunistically</w:t>
      </w:r>
      <w:r w:rsidR="00C3799A" w:rsidRPr="003D3BBA">
        <w:t>,</w:t>
      </w:r>
      <w:r w:rsidRPr="003D3BBA">
        <w:t xml:space="preserve"> primarily by clinic</w:t>
      </w:r>
      <w:r w:rsidR="0081347C" w:rsidRPr="003D3BBA">
        <w:t xml:space="preserve">ians </w:t>
      </w:r>
      <w:r w:rsidRPr="003D3BBA">
        <w:t>during</w:t>
      </w:r>
      <w:r w:rsidR="00D518BC" w:rsidRPr="003D3BBA">
        <w:t xml:space="preserve"> the annual health assessment for Aboriginal and Torres Strait Islander people (also called the </w:t>
      </w:r>
      <w:proofErr w:type="gramStart"/>
      <w:r w:rsidR="00D518BC" w:rsidRPr="003D3BBA">
        <w:t>715 health</w:t>
      </w:r>
      <w:proofErr w:type="gramEnd"/>
      <w:r w:rsidR="00D518BC" w:rsidRPr="003D3BBA">
        <w:t xml:space="preserve"> check)</w:t>
      </w:r>
      <w:r w:rsidRPr="003D3BBA">
        <w:t xml:space="preserve"> or </w:t>
      </w:r>
      <w:r w:rsidR="007531E5" w:rsidRPr="003D3BBA">
        <w:t xml:space="preserve">by </w:t>
      </w:r>
      <w:r w:rsidRPr="003D3BBA">
        <w:t xml:space="preserve">optometrists </w:t>
      </w:r>
      <w:r w:rsidR="00C3799A" w:rsidRPr="003D3BBA">
        <w:t xml:space="preserve">and </w:t>
      </w:r>
      <w:r w:rsidRPr="003D3BBA">
        <w:t xml:space="preserve">ophthalmologists </w:t>
      </w:r>
      <w:r w:rsidR="00C3799A" w:rsidRPr="003D3BBA">
        <w:t>based with</w:t>
      </w:r>
      <w:r w:rsidRPr="003D3BBA">
        <w:t xml:space="preserve"> regional eye health services.</w:t>
      </w:r>
    </w:p>
    <w:p w14:paraId="643DE74D" w14:textId="77777777" w:rsidR="00704ACE" w:rsidRPr="0036007C" w:rsidRDefault="00704ACE" w:rsidP="00F76882">
      <w:pPr>
        <w:pStyle w:val="Heading3"/>
      </w:pPr>
      <w:bookmarkStart w:id="123" w:name="_Toc485747787"/>
      <w:bookmarkStart w:id="124" w:name="_Toc490035359"/>
      <w:bookmarkStart w:id="125" w:name="_Toc497062635"/>
      <w:r w:rsidRPr="0036007C">
        <w:t>Queensland</w:t>
      </w:r>
    </w:p>
    <w:p w14:paraId="35DF6E5C" w14:textId="7AB3918A" w:rsidR="00704ACE" w:rsidRPr="003D3BBA" w:rsidRDefault="00704ACE" w:rsidP="00F76882">
      <w:r w:rsidRPr="003D3BBA">
        <w:t xml:space="preserve">There were no </w:t>
      </w:r>
      <w:r w:rsidR="000722B4" w:rsidRPr="003D3BBA">
        <w:t xml:space="preserve">regions </w:t>
      </w:r>
      <w:r w:rsidRPr="003D3BBA">
        <w:t xml:space="preserve">designated </w:t>
      </w:r>
      <w:r w:rsidR="0003428A" w:rsidRPr="003D3BBA">
        <w:t>at risk</w:t>
      </w:r>
      <w:r w:rsidRPr="003D3BBA">
        <w:t xml:space="preserve"> of trachoma in </w:t>
      </w:r>
      <w:r w:rsidR="00C93F39" w:rsidRPr="003D3BBA">
        <w:t>Qld</w:t>
      </w:r>
      <w:r w:rsidRPr="003D3BBA">
        <w:t xml:space="preserve"> in </w:t>
      </w:r>
      <w:r w:rsidR="00C3405D" w:rsidRPr="003D3BBA">
        <w:t>2024</w:t>
      </w:r>
      <w:r w:rsidR="002C4599" w:rsidRPr="003D3BBA">
        <w:t xml:space="preserve"> and no communities screened. </w:t>
      </w:r>
      <w:r w:rsidR="0006266F" w:rsidRPr="003D3BBA">
        <w:t>Trichiasis</w:t>
      </w:r>
      <w:r w:rsidR="00483995" w:rsidRPr="003D3BBA">
        <w:t xml:space="preserve"> screening and facial cleanliness h</w:t>
      </w:r>
      <w:r w:rsidRPr="003D3BBA">
        <w:t xml:space="preserve">ealth promotion activities </w:t>
      </w:r>
      <w:r w:rsidR="009831BD" w:rsidRPr="003D3BBA">
        <w:t xml:space="preserve">to prevent recrudescence </w:t>
      </w:r>
      <w:r w:rsidRPr="003D3BBA">
        <w:t xml:space="preserve">were undertaken in one community in North-West </w:t>
      </w:r>
      <w:r w:rsidR="00C93F39" w:rsidRPr="003D3BBA">
        <w:t>Qld</w:t>
      </w:r>
      <w:r w:rsidRPr="003D3BBA">
        <w:t>.</w:t>
      </w:r>
      <w:r w:rsidR="00D34F05" w:rsidRPr="003D3BBA">
        <w:t xml:space="preserve"> </w:t>
      </w:r>
    </w:p>
    <w:p w14:paraId="57997CC9" w14:textId="66719C51" w:rsidR="00704ACE" w:rsidRPr="003D3BBA" w:rsidRDefault="00FD4F53" w:rsidP="00F76882">
      <w:r w:rsidRPr="003D3BBA">
        <w:t xml:space="preserve">Enhanced trachoma mapping was undertaken in </w:t>
      </w:r>
      <w:r w:rsidR="00252424" w:rsidRPr="003D3BBA">
        <w:t xml:space="preserve">Qld </w:t>
      </w:r>
      <w:r w:rsidRPr="003D3BBA">
        <w:t xml:space="preserve">from 2016 to 2021 due to the disparity between prevalence of TF which would indicate continuing endemicity and the absence of end-stage trachomatous disease. </w:t>
      </w:r>
      <w:r w:rsidR="00704ACE" w:rsidRPr="003D3BBA">
        <w:t>In November 2019, cumulative data from the Torres Strait Islands</w:t>
      </w:r>
      <w:r w:rsidR="004B3D26" w:rsidRPr="003D3BBA">
        <w:t xml:space="preserve"> </w:t>
      </w:r>
      <w:r w:rsidR="00D768B9" w:rsidRPr="003D3BBA">
        <w:t xml:space="preserve">that showed no </w:t>
      </w:r>
      <w:r w:rsidR="004B3D26" w:rsidRPr="003D3BBA">
        <w:t>ocular C. trachomatis detection by</w:t>
      </w:r>
      <w:r w:rsidR="00C97989" w:rsidRPr="003D3BBA">
        <w:t xml:space="preserve"> polymerase chain reaction</w:t>
      </w:r>
      <w:r w:rsidR="004B3D26" w:rsidRPr="003D3BBA">
        <w:t xml:space="preserve"> </w:t>
      </w:r>
      <w:r w:rsidR="00C97989" w:rsidRPr="003D3BBA">
        <w:t>(</w:t>
      </w:r>
      <w:r w:rsidR="004B3D26" w:rsidRPr="003D3BBA">
        <w:t>PCR</w:t>
      </w:r>
      <w:r w:rsidR="00C97989" w:rsidRPr="003D3BBA">
        <w:t>)</w:t>
      </w:r>
      <w:r w:rsidR="00D768B9" w:rsidRPr="003D3BBA">
        <w:t xml:space="preserve"> from 2016</w:t>
      </w:r>
      <w:r w:rsidR="003D00CE" w:rsidRPr="003D3BBA">
        <w:t>–</w:t>
      </w:r>
      <w:r w:rsidR="00D768B9" w:rsidRPr="003D3BBA">
        <w:t>2019</w:t>
      </w:r>
      <w:r w:rsidRPr="003D3BBA">
        <w:t xml:space="preserve">, evidence of other pathogens that can produce follicular trachoma, and confirmation of no presentations of </w:t>
      </w:r>
      <w:r w:rsidRPr="00F76882">
        <w:t>trachoma-related corneal opacity, trachoma-related trichiasis or resultant visual impairment within the previous 30 years</w:t>
      </w:r>
      <w:r w:rsidR="002C2F0F" w:rsidRPr="003D3BBA">
        <w:t xml:space="preserve"> </w:t>
      </w:r>
      <w:r w:rsidR="00704ACE" w:rsidRPr="003D3BBA">
        <w:fldChar w:fldCharType="begin">
          <w:fldData xml:space="preserve">PEVuZE5vdGU+PENpdGU+PEF1dGhvcj5MeW5jaDwvQXV0aG9yPjxZZWFyPjIwMjI8L1llYXI+PFJl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==
</w:fldData>
        </w:fldChar>
      </w:r>
      <w:r w:rsidR="00256FC4" w:rsidRPr="003D3BBA">
        <w:instrText xml:space="preserve"> ADDIN EN.CITE </w:instrText>
      </w:r>
      <w:r w:rsidR="00256FC4" w:rsidRPr="003D3BBA">
        <w:fldChar w:fldCharType="begin">
          <w:fldData xml:space="preserve">PEVuZE5vdGU+PENpdGU+PEF1dGhvcj5MeW5jaDwvQXV0aG9yPjxZZWFyPjIwMjI8L1llYXI+PFJl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==
</w:fldData>
        </w:fldChar>
      </w:r>
      <w:r w:rsidR="00256FC4" w:rsidRPr="003D3BBA">
        <w:instrText xml:space="preserve"> ADDIN EN.CITE.DATA </w:instrText>
      </w:r>
      <w:r w:rsidR="00256FC4" w:rsidRPr="003D3BBA">
        <w:fldChar w:fldCharType="end"/>
      </w:r>
      <w:r w:rsidR="00704ACE" w:rsidRPr="003D3BBA">
        <w:fldChar w:fldCharType="separate"/>
      </w:r>
      <w:r w:rsidR="00256FC4" w:rsidRPr="003D3BBA">
        <w:t>37, 38</w:t>
      </w:r>
      <w:r w:rsidR="00704ACE" w:rsidRPr="003D3BBA">
        <w:fldChar w:fldCharType="end"/>
      </w:r>
      <w:r w:rsidR="00704ACE" w:rsidRPr="003D3BBA">
        <w:t xml:space="preserve"> </w:t>
      </w:r>
      <w:r w:rsidR="006631B8" w:rsidRPr="003D3BBA">
        <w:t>w</w:t>
      </w:r>
      <w:r w:rsidR="00C36D06" w:rsidRPr="003D3BBA">
        <w:t xml:space="preserve">ere </w:t>
      </w:r>
      <w:r w:rsidR="00A656A9" w:rsidRPr="003D3BBA">
        <w:t>presented to the NTSCRG</w:t>
      </w:r>
      <w:r w:rsidR="006631B8" w:rsidRPr="003D3BBA">
        <w:t xml:space="preserve">, which </w:t>
      </w:r>
      <w:r w:rsidR="00C36D06" w:rsidRPr="003D3BBA">
        <w:t>agreed</w:t>
      </w:r>
      <w:r w:rsidR="00FB247F" w:rsidRPr="003D3BBA">
        <w:t xml:space="preserve"> </w:t>
      </w:r>
      <w:r w:rsidR="00A656A9" w:rsidRPr="003D3BBA">
        <w:t xml:space="preserve">that these communities should no longer be </w:t>
      </w:r>
      <w:r w:rsidR="00142EE8" w:rsidRPr="003D3BBA">
        <w:t>considered</w:t>
      </w:r>
      <w:r w:rsidR="00C36D06" w:rsidRPr="003D3BBA">
        <w:t xml:space="preserve"> as</w:t>
      </w:r>
      <w:r w:rsidR="00A656A9" w:rsidRPr="003D3BBA">
        <w:t xml:space="preserve"> </w:t>
      </w:r>
      <w:r w:rsidR="0003428A" w:rsidRPr="003D3BBA">
        <w:t>at risk</w:t>
      </w:r>
      <w:r w:rsidR="00A656A9" w:rsidRPr="003D3BBA">
        <w:t xml:space="preserve"> of </w:t>
      </w:r>
      <w:r w:rsidR="005A1DDA" w:rsidRPr="003D3BBA">
        <w:t xml:space="preserve">endemic </w:t>
      </w:r>
      <w:r w:rsidR="00A656A9" w:rsidRPr="003D3BBA">
        <w:t xml:space="preserve">trachoma. </w:t>
      </w:r>
      <w:r w:rsidR="00BC79B3" w:rsidRPr="003D3BBA">
        <w:t xml:space="preserve">Further </w:t>
      </w:r>
      <w:r w:rsidR="00BE17A4" w:rsidRPr="003D3BBA">
        <w:t>data</w:t>
      </w:r>
      <w:r w:rsidR="00BC79B3" w:rsidRPr="003D3BBA">
        <w:t xml:space="preserve"> </w:t>
      </w:r>
      <w:r w:rsidR="00704ACE" w:rsidRPr="003D3BBA">
        <w:t>from the North-West region</w:t>
      </w:r>
      <w:r w:rsidR="00BC79B3" w:rsidRPr="003D3BBA">
        <w:t xml:space="preserve"> </w:t>
      </w:r>
      <w:r w:rsidR="00771669" w:rsidRPr="003D3BBA">
        <w:t xml:space="preserve">collected </w:t>
      </w:r>
      <w:r w:rsidR="0030183D" w:rsidRPr="003D3BBA">
        <w:t xml:space="preserve">between </w:t>
      </w:r>
      <w:r w:rsidR="00BC79B3" w:rsidRPr="003D3BBA">
        <w:t>2019</w:t>
      </w:r>
      <w:r w:rsidR="003D00CE" w:rsidRPr="003D3BBA">
        <w:t>–</w:t>
      </w:r>
      <w:r w:rsidR="00BC79B3" w:rsidRPr="003D3BBA">
        <w:t>2021</w:t>
      </w:r>
      <w:r w:rsidR="0030183D" w:rsidRPr="003D3BBA">
        <w:t xml:space="preserve"> identified no or very low rates of ocular C. trachomatis</w:t>
      </w:r>
      <w:r w:rsidR="0030408E" w:rsidRPr="003D3BBA">
        <w:t xml:space="preserve"> detected by PCR</w:t>
      </w:r>
      <w:r w:rsidR="00551684" w:rsidRPr="003D3BBA">
        <w:t xml:space="preserve">, </w:t>
      </w:r>
      <w:r w:rsidR="00896225" w:rsidRPr="003D3BBA">
        <w:t xml:space="preserve">limited signs of chronic sequalae, </w:t>
      </w:r>
      <w:r w:rsidR="00551684" w:rsidRPr="003D3BBA">
        <w:t xml:space="preserve">as well as </w:t>
      </w:r>
      <w:r w:rsidR="00BC79B3" w:rsidRPr="003D3BBA">
        <w:t xml:space="preserve">serological </w:t>
      </w:r>
      <w:r w:rsidR="00551684" w:rsidRPr="003D3BBA">
        <w:t>prevalence of antibodies to chlamydial infection (</w:t>
      </w:r>
      <w:r w:rsidR="00BC79B3" w:rsidRPr="003D3BBA">
        <w:t>anti-Pgp3</w:t>
      </w:r>
      <w:r w:rsidR="00551684" w:rsidRPr="003D3BBA">
        <w:t>)</w:t>
      </w:r>
      <w:r w:rsidR="00704ACE" w:rsidRPr="003D3BBA">
        <w:t xml:space="preserve"> </w:t>
      </w:r>
      <w:r w:rsidR="00532ACB" w:rsidRPr="003D3BBA">
        <w:t>consistent with limited exposure to infection in young children</w:t>
      </w:r>
      <w:r w:rsidR="00B35467" w:rsidRPr="003D3BBA">
        <w:t>.</w:t>
      </w:r>
      <w:r w:rsidR="00704ACE" w:rsidRPr="003D3BBA">
        <w:t xml:space="preserve"> </w:t>
      </w:r>
      <w:r w:rsidR="00B35467" w:rsidRPr="003D3BBA">
        <w:t>Th</w:t>
      </w:r>
      <w:r w:rsidR="0006266F" w:rsidRPr="003D3BBA">
        <w:t>ese</w:t>
      </w:r>
      <w:r w:rsidR="00B35467" w:rsidRPr="003D3BBA">
        <w:t xml:space="preserve"> data </w:t>
      </w:r>
      <w:r w:rsidR="00C864DB" w:rsidRPr="003D3BBA">
        <w:t>w</w:t>
      </w:r>
      <w:r w:rsidR="0006266F" w:rsidRPr="003D3BBA">
        <w:t>ere</w:t>
      </w:r>
      <w:r w:rsidR="00C864DB" w:rsidRPr="003D3BBA">
        <w:t xml:space="preserve"> reviewed</w:t>
      </w:r>
      <w:r w:rsidR="0006266F" w:rsidRPr="003D3BBA">
        <w:t xml:space="preserve"> in 2022</w:t>
      </w:r>
      <w:r w:rsidR="00C864DB" w:rsidRPr="003D3BBA">
        <w:t xml:space="preserve"> by the NTSCRG, which also endorsed</w:t>
      </w:r>
      <w:r w:rsidR="00E12ECD" w:rsidRPr="003D3BBA">
        <w:t xml:space="preserve"> </w:t>
      </w:r>
      <w:r w:rsidR="00C864DB" w:rsidRPr="003D3BBA">
        <w:t>this region</w:t>
      </w:r>
      <w:r w:rsidR="004535AA" w:rsidRPr="003D3BBA">
        <w:t xml:space="preserve">, and thus </w:t>
      </w:r>
      <w:r w:rsidR="00655C3B" w:rsidRPr="003D3BBA">
        <w:t>all</w:t>
      </w:r>
      <w:r w:rsidR="004535AA" w:rsidRPr="003D3BBA">
        <w:t xml:space="preserve"> of Qld,</w:t>
      </w:r>
      <w:r w:rsidR="00E12ECD" w:rsidRPr="003D3BBA">
        <w:t xml:space="preserve"> </w:t>
      </w:r>
      <w:r w:rsidR="000D06A5" w:rsidRPr="003D3BBA">
        <w:t xml:space="preserve">as not </w:t>
      </w:r>
      <w:r w:rsidR="006753F5" w:rsidRPr="003D3BBA">
        <w:t>at risk of endemic</w:t>
      </w:r>
      <w:r w:rsidR="000D06A5" w:rsidRPr="003D3BBA">
        <w:t xml:space="preserve"> trachoma</w:t>
      </w:r>
      <w:r w:rsidR="00C864DB" w:rsidRPr="003D3BBA">
        <w:t>.</w:t>
      </w:r>
    </w:p>
    <w:p w14:paraId="1251B148" w14:textId="5517E4FB" w:rsidR="006A2CF3" w:rsidRPr="0036007C" w:rsidRDefault="006A2CF3" w:rsidP="00F76882">
      <w:pPr>
        <w:pStyle w:val="Heading3"/>
      </w:pPr>
      <w:r w:rsidRPr="0036007C">
        <w:t>South Australia</w:t>
      </w:r>
      <w:bookmarkEnd w:id="123"/>
      <w:bookmarkEnd w:id="124"/>
      <w:bookmarkEnd w:id="125"/>
    </w:p>
    <w:p w14:paraId="1B2BF38C" w14:textId="74E78EF6" w:rsidR="00301220" w:rsidRPr="003D3BBA" w:rsidRDefault="00D359CC" w:rsidP="00F76882">
      <w:bookmarkStart w:id="126" w:name="_Hlk79585465"/>
      <w:bookmarkStart w:id="127" w:name="_Toc485747790"/>
      <w:bookmarkStart w:id="128" w:name="_Toc490035362"/>
      <w:bookmarkStart w:id="129" w:name="_Toc497062638"/>
      <w:bookmarkStart w:id="130" w:name="_Toc485747788"/>
      <w:bookmarkStart w:id="131" w:name="_Toc490035360"/>
      <w:bookmarkStart w:id="132" w:name="_Toc497062636"/>
      <w:r w:rsidRPr="003D3BBA">
        <w:t xml:space="preserve">SA’s </w:t>
      </w:r>
      <w:r w:rsidR="00CD6ADA" w:rsidRPr="003D3BBA">
        <w:t>Trachoma Elimination Program</w:t>
      </w:r>
      <w:r w:rsidR="005F679C" w:rsidRPr="003D3BBA">
        <w:t xml:space="preserve"> </w:t>
      </w:r>
      <w:r w:rsidR="00CD6ADA" w:rsidRPr="003D3BBA">
        <w:t xml:space="preserve">is implemented by </w:t>
      </w:r>
      <w:r w:rsidR="006E2F5A" w:rsidRPr="003D3BBA">
        <w:t xml:space="preserve">the </w:t>
      </w:r>
      <w:r w:rsidR="00CD6ADA" w:rsidRPr="003D3BBA">
        <w:t xml:space="preserve">Eyre and Far North Local Health Network on behalf of the </w:t>
      </w:r>
      <w:r w:rsidR="0048436C" w:rsidRPr="003D3BBA">
        <w:t>SA</w:t>
      </w:r>
      <w:r w:rsidR="00CD6ADA" w:rsidRPr="003D3BBA">
        <w:t xml:space="preserve"> </w:t>
      </w:r>
      <w:r w:rsidR="0048436C" w:rsidRPr="003D3BBA">
        <w:t>G</w:t>
      </w:r>
      <w:r w:rsidR="00C3799A" w:rsidRPr="003D3BBA">
        <w:t>overnment</w:t>
      </w:r>
      <w:r w:rsidR="00CD6ADA" w:rsidRPr="003D3BBA">
        <w:t xml:space="preserve">. The </w:t>
      </w:r>
      <w:r w:rsidR="00C3799A" w:rsidRPr="003D3BBA">
        <w:t xml:space="preserve">program </w:t>
      </w:r>
      <w:r w:rsidR="00CD6ADA" w:rsidRPr="003D3BBA">
        <w:t xml:space="preserve">is overseen by the </w:t>
      </w:r>
      <w:r w:rsidR="0048436C" w:rsidRPr="003D3BBA">
        <w:t xml:space="preserve">SA </w:t>
      </w:r>
      <w:r w:rsidR="00CD6ADA" w:rsidRPr="003D3BBA">
        <w:t>Trachoma Elimination Strategy Committee</w:t>
      </w:r>
      <w:r w:rsidR="00FC307E" w:rsidRPr="003D3BBA">
        <w:t>, jointly</w:t>
      </w:r>
      <w:r w:rsidR="00CD6ADA" w:rsidRPr="003D3BBA">
        <w:t xml:space="preserve"> chaired by the Aboriginal Health Council of South Australia and</w:t>
      </w:r>
      <w:r w:rsidR="006E2F5A" w:rsidRPr="003D3BBA">
        <w:t xml:space="preserve"> the</w:t>
      </w:r>
      <w:r w:rsidR="00CD6ADA" w:rsidRPr="003D3BBA">
        <w:t xml:space="preserve"> Eyre and Far North Local Health Network</w:t>
      </w:r>
      <w:r w:rsidR="00C3799A" w:rsidRPr="003D3BBA">
        <w:t xml:space="preserve">. </w:t>
      </w:r>
      <w:bookmarkStart w:id="133" w:name="_Hlk79585634"/>
      <w:bookmarkEnd w:id="126"/>
    </w:p>
    <w:bookmarkEnd w:id="133"/>
    <w:p w14:paraId="42CD0CC6" w14:textId="433A63B7" w:rsidR="001B2CD9" w:rsidRPr="00C03D0E" w:rsidRDefault="005D0053" w:rsidP="00F76882">
      <w:r w:rsidRPr="00C03D0E">
        <w:t>In 2024</w:t>
      </w:r>
      <w:r w:rsidR="00241AEB" w:rsidRPr="00C03D0E">
        <w:t xml:space="preserve"> there were three</w:t>
      </w:r>
      <w:r w:rsidR="00FB3E10" w:rsidRPr="00C03D0E">
        <w:t xml:space="preserve"> regions in </w:t>
      </w:r>
      <w:r w:rsidR="00666ECB" w:rsidRPr="00C03D0E">
        <w:t>SA</w:t>
      </w:r>
      <w:r w:rsidR="00FB3E10" w:rsidRPr="00C03D0E">
        <w:t xml:space="preserve"> with communities considered as </w:t>
      </w:r>
      <w:r w:rsidR="0003428A" w:rsidRPr="00C03D0E">
        <w:t>at risk</w:t>
      </w:r>
      <w:r w:rsidR="00FB3E10" w:rsidRPr="00C03D0E">
        <w:t xml:space="preserve"> of trachoma</w:t>
      </w:r>
      <w:r w:rsidR="00241AEB" w:rsidRPr="00C03D0E">
        <w:t>;</w:t>
      </w:r>
      <w:r w:rsidR="00E03355" w:rsidRPr="00C03D0E">
        <w:t xml:space="preserve"> </w:t>
      </w:r>
      <w:r w:rsidR="00241AEB" w:rsidRPr="00C03D0E">
        <w:t>the APY Lands situated in the Eyre and Far North Region is considered for the purpose of this report as its own region</w:t>
      </w:r>
      <w:r w:rsidR="00FB3E10" w:rsidRPr="00C03D0E">
        <w:t xml:space="preserve">. </w:t>
      </w:r>
      <w:r w:rsidR="001B2CD9" w:rsidRPr="00C03D0E">
        <w:t>Due to no evidence of</w:t>
      </w:r>
      <w:r w:rsidR="001513EA" w:rsidRPr="00C03D0E">
        <w:t xml:space="preserve"> active</w:t>
      </w:r>
      <w:r w:rsidR="001B2CD9" w:rsidRPr="00C03D0E">
        <w:t xml:space="preserve"> trachoma since 2013, the Yorke and Mid North region is </w:t>
      </w:r>
      <w:r w:rsidR="00250C7C" w:rsidRPr="00C03D0E">
        <w:t>not</w:t>
      </w:r>
      <w:r w:rsidR="001B2CD9" w:rsidRPr="00C03D0E">
        <w:t xml:space="preserve"> considered </w:t>
      </w:r>
      <w:r w:rsidR="0003428A" w:rsidRPr="00C03D0E">
        <w:t>at risk</w:t>
      </w:r>
      <w:r w:rsidR="001B2CD9" w:rsidRPr="00C03D0E">
        <w:t xml:space="preserve"> of trachoma.</w:t>
      </w:r>
    </w:p>
    <w:p w14:paraId="7B4E0CB6" w14:textId="752FA771" w:rsidR="00026412" w:rsidRPr="003D3BBA" w:rsidRDefault="008B64DE" w:rsidP="00F76882">
      <w:r w:rsidRPr="003D3BBA">
        <w:t>Routine screening for TT is undertaken by ACCH</w:t>
      </w:r>
      <w:r w:rsidR="004967E6" w:rsidRPr="003D3BBA">
        <w:t>S</w:t>
      </w:r>
      <w:r w:rsidRPr="003D3BBA">
        <w:t>s vi</w:t>
      </w:r>
      <w:r w:rsidR="00FD15D5" w:rsidRPr="003D3BBA">
        <w:t>a</w:t>
      </w:r>
      <w:r w:rsidRPr="003D3BBA">
        <w:t xml:space="preserve"> the </w:t>
      </w:r>
      <w:proofErr w:type="gramStart"/>
      <w:r w:rsidRPr="003D3BBA">
        <w:t>715 health</w:t>
      </w:r>
      <w:proofErr w:type="gramEnd"/>
      <w:r w:rsidRPr="003D3BBA">
        <w:t xml:space="preserve"> check</w:t>
      </w:r>
      <w:r w:rsidR="00E16F66" w:rsidRPr="003D3BBA">
        <w:t>. T</w:t>
      </w:r>
      <w:r w:rsidR="00053443" w:rsidRPr="00C03D0E">
        <w:t>he</w:t>
      </w:r>
      <w:r w:rsidR="00053443" w:rsidRPr="003D3BBA">
        <w:t xml:space="preserve"> Eye Health and Chronic Disease Specialist Support Program coordinated by </w:t>
      </w:r>
      <w:r w:rsidR="00C562D8" w:rsidRPr="003D3BBA">
        <w:t>the Aboriginal Health Council of South Australia</w:t>
      </w:r>
      <w:r w:rsidR="00E16F66" w:rsidRPr="003D3BBA">
        <w:t xml:space="preserve"> also</w:t>
      </w:r>
      <w:r w:rsidR="00053443" w:rsidRPr="003D3BBA">
        <w:t xml:space="preserve"> provides opportunistic screening by visiting optometrists and ophthalmologists</w:t>
      </w:r>
      <w:r w:rsidR="0025399F" w:rsidRPr="00F57624">
        <w:t xml:space="preserve"> twice yearly to remote Aboriginal communities</w:t>
      </w:r>
      <w:r w:rsidR="00053443" w:rsidRPr="003D3BBA">
        <w:t>.</w:t>
      </w:r>
    </w:p>
    <w:bookmarkEnd w:id="127"/>
    <w:bookmarkEnd w:id="128"/>
    <w:bookmarkEnd w:id="129"/>
    <w:p w14:paraId="19C42BC1" w14:textId="77777777" w:rsidR="006A2CF3" w:rsidRPr="0036007C" w:rsidRDefault="006A2CF3" w:rsidP="00F76882">
      <w:pPr>
        <w:pStyle w:val="Heading3"/>
      </w:pPr>
      <w:r w:rsidRPr="0036007C">
        <w:t>Western Australia</w:t>
      </w:r>
      <w:bookmarkEnd w:id="130"/>
      <w:bookmarkEnd w:id="131"/>
      <w:bookmarkEnd w:id="132"/>
    </w:p>
    <w:p w14:paraId="1E1DA5E9" w14:textId="6712A11D" w:rsidR="00301220" w:rsidRPr="003D3BBA" w:rsidRDefault="00AD477F" w:rsidP="00F76882">
      <w:bookmarkStart w:id="134" w:name="_Toc392153873"/>
      <w:bookmarkStart w:id="135" w:name="_Toc417534547"/>
      <w:bookmarkStart w:id="136" w:name="_Toc485747791"/>
      <w:bookmarkStart w:id="137" w:name="_Toc490035363"/>
      <w:bookmarkStart w:id="138" w:name="_Toc497062639"/>
      <w:r w:rsidRPr="003D3BBA">
        <w:t xml:space="preserve">Trachoma screening and management in WA </w:t>
      </w:r>
      <w:r w:rsidR="005F679C" w:rsidRPr="003D3BBA">
        <w:t xml:space="preserve">are </w:t>
      </w:r>
      <w:r w:rsidRPr="003D3BBA">
        <w:t>the responsibility of the WA Country Health Service (WACHS)</w:t>
      </w:r>
      <w:r w:rsidR="00B83F42" w:rsidRPr="003D3BBA">
        <w:t>, in collaboration with</w:t>
      </w:r>
      <w:r w:rsidRPr="003D3BBA">
        <w:t xml:space="preserve"> </w:t>
      </w:r>
      <w:r w:rsidR="009F11B1" w:rsidRPr="003D3BBA">
        <w:t>P</w:t>
      </w:r>
      <w:r w:rsidRPr="003D3BBA">
        <w:t xml:space="preserve">opulation </w:t>
      </w:r>
      <w:r w:rsidR="009F11B1" w:rsidRPr="003D3BBA">
        <w:t>H</w:t>
      </w:r>
      <w:r w:rsidRPr="003D3BBA">
        <w:t xml:space="preserve">ealth </w:t>
      </w:r>
      <w:r w:rsidR="002F0456" w:rsidRPr="003D3BBA">
        <w:t xml:space="preserve">Units </w:t>
      </w:r>
      <w:r w:rsidRPr="003D3BBA">
        <w:t>in the</w:t>
      </w:r>
      <w:r w:rsidR="007D4190" w:rsidRPr="003D3BBA">
        <w:t xml:space="preserve"> four regions</w:t>
      </w:r>
      <w:r w:rsidR="00C114BB" w:rsidRPr="003D3BBA">
        <w:t xml:space="preserve"> with communities </w:t>
      </w:r>
      <w:r w:rsidR="001950C4" w:rsidRPr="003D3BBA">
        <w:t xml:space="preserve">identified as </w:t>
      </w:r>
      <w:r w:rsidR="0003428A" w:rsidRPr="003D3BBA">
        <w:t>at risk</w:t>
      </w:r>
      <w:r w:rsidR="00C114BB" w:rsidRPr="003D3BBA">
        <w:t xml:space="preserve"> of trachoma</w:t>
      </w:r>
      <w:r w:rsidR="00216565" w:rsidRPr="003D3BBA">
        <w:t>: Kimberley, Goldfields, Pilbara</w:t>
      </w:r>
      <w:r w:rsidR="009831BD" w:rsidRPr="003D3BBA">
        <w:t xml:space="preserve">, and </w:t>
      </w:r>
      <w:r w:rsidR="00216565" w:rsidRPr="003D3BBA">
        <w:t>Midwest</w:t>
      </w:r>
      <w:r w:rsidRPr="003D3BBA">
        <w:t xml:space="preserve">. </w:t>
      </w:r>
      <w:r w:rsidR="005F679C" w:rsidRPr="003D3BBA">
        <w:t xml:space="preserve">The </w:t>
      </w:r>
      <w:r w:rsidR="00F960AB" w:rsidRPr="003D3BBA">
        <w:t xml:space="preserve">WA </w:t>
      </w:r>
      <w:r w:rsidRPr="003D3BBA">
        <w:t>Trachoma Reference Group provide</w:t>
      </w:r>
      <w:r w:rsidR="005F679C" w:rsidRPr="003D3BBA">
        <w:t>s</w:t>
      </w:r>
      <w:r w:rsidRPr="003D3BBA">
        <w:t xml:space="preserve"> program oversight</w:t>
      </w:r>
      <w:r w:rsidR="002B6757" w:rsidRPr="003D3BBA">
        <w:t xml:space="preserve"> and</w:t>
      </w:r>
      <w:r w:rsidRPr="003D3BBA">
        <w:t xml:space="preserve"> has established operational principles which guide the program and provide consisten</w:t>
      </w:r>
      <w:r w:rsidR="007C3DBC" w:rsidRPr="003D3BBA">
        <w:t>cy in</w:t>
      </w:r>
      <w:r w:rsidRPr="003D3BBA">
        <w:t xml:space="preserve"> practice across the </w:t>
      </w:r>
      <w:r w:rsidR="007C3DBC" w:rsidRPr="003D3BBA">
        <w:t>four</w:t>
      </w:r>
      <w:r w:rsidR="00F342CA" w:rsidRPr="003D3BBA">
        <w:t xml:space="preserve"> </w:t>
      </w:r>
      <w:r w:rsidRPr="003D3BBA">
        <w:t>regions.</w:t>
      </w:r>
    </w:p>
    <w:p w14:paraId="4998846D" w14:textId="08C3DD79" w:rsidR="00AD477F" w:rsidRPr="003D3BBA" w:rsidRDefault="00AD477F" w:rsidP="00F76882">
      <w:r w:rsidRPr="003D3BBA">
        <w:t xml:space="preserve">In collaboration with local primary </w:t>
      </w:r>
      <w:r w:rsidR="003524BE" w:rsidRPr="003D3BBA">
        <w:t>healthcare</w:t>
      </w:r>
      <w:r w:rsidRPr="003D3BBA">
        <w:t xml:space="preserve"> providers, WACHS </w:t>
      </w:r>
      <w:r w:rsidR="00CD5026" w:rsidRPr="003D3BBA">
        <w:t>and P</w:t>
      </w:r>
      <w:r w:rsidRPr="003D3BBA">
        <w:t xml:space="preserve">opulation </w:t>
      </w:r>
      <w:r w:rsidR="00CD5026" w:rsidRPr="003D3BBA">
        <w:t>H</w:t>
      </w:r>
      <w:r w:rsidRPr="003D3BBA">
        <w:t>ealth</w:t>
      </w:r>
      <w:r w:rsidR="00CD5026" w:rsidRPr="003D3BBA">
        <w:t xml:space="preserve"> </w:t>
      </w:r>
      <w:r w:rsidR="00911453" w:rsidRPr="003D3BBA">
        <w:t xml:space="preserve">Unit </w:t>
      </w:r>
      <w:r w:rsidR="00CD5026" w:rsidRPr="003D3BBA">
        <w:t>staff</w:t>
      </w:r>
      <w:r w:rsidRPr="003D3BBA">
        <w:t xml:space="preserve"> </w:t>
      </w:r>
      <w:r w:rsidR="00BE4ACF" w:rsidRPr="003D3BBA">
        <w:t xml:space="preserve">undertake </w:t>
      </w:r>
      <w:r w:rsidRPr="003D3BBA">
        <w:t>screen</w:t>
      </w:r>
      <w:r w:rsidR="00BE4ACF" w:rsidRPr="003D3BBA">
        <w:t>ing activities in</w:t>
      </w:r>
      <w:r w:rsidRPr="003D3BBA">
        <w:t xml:space="preserve"> communities in each region </w:t>
      </w:r>
      <w:r w:rsidR="00B84821" w:rsidRPr="003D3BBA">
        <w:t>over</w:t>
      </w:r>
      <w:r w:rsidRPr="003D3BBA">
        <w:t xml:space="preserve"> </w:t>
      </w:r>
      <w:r w:rsidR="00130235" w:rsidRPr="003D3BBA">
        <w:t xml:space="preserve">a </w:t>
      </w:r>
      <w:r w:rsidR="004C55B8" w:rsidRPr="003D3BBA">
        <w:t>four</w:t>
      </w:r>
      <w:r w:rsidR="00130235" w:rsidRPr="003D3BBA">
        <w:t>-week period</w:t>
      </w:r>
      <w:r w:rsidR="00FF308C" w:rsidRPr="003D3BBA">
        <w:t xml:space="preserve"> </w:t>
      </w:r>
      <w:r w:rsidRPr="003D3BBA">
        <w:t xml:space="preserve">in August and September. </w:t>
      </w:r>
      <w:r w:rsidR="00DD0CD2" w:rsidRPr="003D3BBA">
        <w:t xml:space="preserve">Facial cleanliness health promotion activities are conducted in conjunction with screening. </w:t>
      </w:r>
      <w:r w:rsidR="001778BC" w:rsidRPr="003D3BBA">
        <w:t xml:space="preserve">WA </w:t>
      </w:r>
      <w:r w:rsidR="00086C9A" w:rsidRPr="003D3BBA">
        <w:t xml:space="preserve">Environmental </w:t>
      </w:r>
      <w:r w:rsidR="00B84821" w:rsidRPr="003D3BBA">
        <w:t>H</w:t>
      </w:r>
      <w:r w:rsidR="00086C9A" w:rsidRPr="003D3BBA">
        <w:t xml:space="preserve">ealth </w:t>
      </w:r>
      <w:r w:rsidR="00B84821" w:rsidRPr="003D3BBA">
        <w:t>D</w:t>
      </w:r>
      <w:r w:rsidR="00086C9A" w:rsidRPr="003D3BBA">
        <w:t xml:space="preserve">irectorate representatives also attend </w:t>
      </w:r>
      <w:r w:rsidR="00163F1D" w:rsidRPr="003D3BBA">
        <w:t xml:space="preserve">during screening visits </w:t>
      </w:r>
      <w:r w:rsidR="00086C9A" w:rsidRPr="003D3BBA">
        <w:t>to carry out environmental health assessments.</w:t>
      </w:r>
    </w:p>
    <w:p w14:paraId="3547C307" w14:textId="626BC280" w:rsidR="00AD477F" w:rsidRPr="003D3BBA" w:rsidRDefault="00E07F59" w:rsidP="00F76882">
      <w:r w:rsidRPr="003D3BBA">
        <w:t xml:space="preserve">The priority target group for </w:t>
      </w:r>
      <w:r w:rsidR="00293CEF" w:rsidRPr="003D3BBA">
        <w:t>TT</w:t>
      </w:r>
      <w:r w:rsidRPr="003D3BBA">
        <w:t xml:space="preserve"> screening </w:t>
      </w:r>
      <w:r w:rsidR="00776746" w:rsidRPr="003D3BBA">
        <w:t xml:space="preserve">in WA </w:t>
      </w:r>
      <w:r w:rsidRPr="003D3BBA">
        <w:t xml:space="preserve">is Aboriginal and Torres Strait Islander </w:t>
      </w:r>
      <w:r w:rsidR="00F53CDB" w:rsidRPr="003D3BBA">
        <w:t>persons</w:t>
      </w:r>
      <w:r w:rsidRPr="003D3BBA">
        <w:t xml:space="preserve"> aged 40 years and over. </w:t>
      </w:r>
      <w:r w:rsidR="002333D3" w:rsidRPr="003D3BBA">
        <w:t>J</w:t>
      </w:r>
      <w:r w:rsidR="00CB6200" w:rsidRPr="003D3BBA">
        <w:t>urisdictional program</w:t>
      </w:r>
      <w:r w:rsidR="002333D3" w:rsidRPr="003D3BBA">
        <w:t>s</w:t>
      </w:r>
      <w:r w:rsidR="00AD477F" w:rsidRPr="003D3BBA">
        <w:t xml:space="preserve"> identif</w:t>
      </w:r>
      <w:r w:rsidR="00C77CD1" w:rsidRPr="003D3BBA">
        <w:t>y</w:t>
      </w:r>
      <w:r w:rsidR="00AD477F" w:rsidRPr="003D3BBA">
        <w:t xml:space="preserve"> communities</w:t>
      </w:r>
      <w:r w:rsidR="009D6213" w:rsidRPr="003D3BBA">
        <w:t xml:space="preserve"> </w:t>
      </w:r>
      <w:r w:rsidR="0003428A" w:rsidRPr="003D3BBA">
        <w:t>at risk</w:t>
      </w:r>
      <w:r w:rsidR="00AD477F" w:rsidRPr="003D3BBA">
        <w:t xml:space="preserve"> of </w:t>
      </w:r>
      <w:r w:rsidR="00293CEF" w:rsidRPr="003D3BBA">
        <w:t>TT</w:t>
      </w:r>
      <w:r w:rsidR="00AD477F" w:rsidRPr="003D3BBA">
        <w:t xml:space="preserve"> based on</w:t>
      </w:r>
      <w:r w:rsidR="00CB6200" w:rsidRPr="003D3BBA">
        <w:t xml:space="preserve"> current and historical</w:t>
      </w:r>
      <w:r w:rsidRPr="003D3BBA">
        <w:t xml:space="preserve"> trachoma prevalence data</w:t>
      </w:r>
      <w:r w:rsidR="00AD477F" w:rsidRPr="003D3BBA">
        <w:t xml:space="preserve">. Screening </w:t>
      </w:r>
      <w:r w:rsidR="00CB6200" w:rsidRPr="003D3BBA">
        <w:t xml:space="preserve">for </w:t>
      </w:r>
      <w:r w:rsidR="00293CEF" w:rsidRPr="003D3BBA">
        <w:t>TT</w:t>
      </w:r>
      <w:r w:rsidR="00CB6200" w:rsidRPr="003D3BBA">
        <w:t xml:space="preserve"> </w:t>
      </w:r>
      <w:r w:rsidR="00AC1CA9" w:rsidRPr="003D3BBA">
        <w:t xml:space="preserve">by regional </w:t>
      </w:r>
      <w:r w:rsidR="00AB4577" w:rsidRPr="003D3BBA">
        <w:t>P</w:t>
      </w:r>
      <w:r w:rsidR="00AC1CA9" w:rsidRPr="003D3BBA">
        <w:t xml:space="preserve">opulation </w:t>
      </w:r>
      <w:r w:rsidR="00AB4577" w:rsidRPr="003D3BBA">
        <w:t>H</w:t>
      </w:r>
      <w:r w:rsidR="00AC1CA9" w:rsidRPr="003D3BBA">
        <w:t>ealth</w:t>
      </w:r>
      <w:r w:rsidR="00474BB6" w:rsidRPr="003D3BBA">
        <w:t xml:space="preserve"> staff</w:t>
      </w:r>
      <w:r w:rsidR="00AC1CA9" w:rsidRPr="003D3BBA">
        <w:t xml:space="preserve"> </w:t>
      </w:r>
      <w:r w:rsidR="00AD477F" w:rsidRPr="003D3BBA">
        <w:t xml:space="preserve">is </w:t>
      </w:r>
      <w:r w:rsidR="00CB6200" w:rsidRPr="003D3BBA">
        <w:t xml:space="preserve">integrated </w:t>
      </w:r>
      <w:r w:rsidR="004737E5" w:rsidRPr="003D3BBA">
        <w:t>into</w:t>
      </w:r>
      <w:r w:rsidR="00AD477F" w:rsidRPr="003D3BBA">
        <w:t xml:space="preserve"> other community</w:t>
      </w:r>
      <w:r w:rsidR="00CB6200" w:rsidRPr="003D3BBA">
        <w:t xml:space="preserve"> and public health</w:t>
      </w:r>
      <w:r w:rsidR="00AD477F" w:rsidRPr="003D3BBA">
        <w:t xml:space="preserve"> programs such </w:t>
      </w:r>
      <w:r w:rsidR="003524BE" w:rsidRPr="003D3BBA">
        <w:t xml:space="preserve">as </w:t>
      </w:r>
      <w:r w:rsidR="00AD477F" w:rsidRPr="003D3BBA">
        <w:t xml:space="preserve">the </w:t>
      </w:r>
      <w:bookmarkStart w:id="139" w:name="_Hlk79405609"/>
      <w:r w:rsidR="00AD477F" w:rsidRPr="003D3BBA">
        <w:t>annual influenza vaccination program</w:t>
      </w:r>
      <w:bookmarkEnd w:id="139"/>
      <w:r w:rsidR="00AD477F" w:rsidRPr="003D3BBA">
        <w:t xml:space="preserve">. </w:t>
      </w:r>
      <w:r w:rsidR="003C41F3" w:rsidRPr="003D3BBA">
        <w:t xml:space="preserve">TT screening also takes place at </w:t>
      </w:r>
      <w:r w:rsidR="00AD477F" w:rsidRPr="003D3BBA">
        <w:t>Aboriginal Medical Service</w:t>
      </w:r>
      <w:r w:rsidR="00564C4A" w:rsidRPr="003D3BBA">
        <w:t>s</w:t>
      </w:r>
      <w:r w:rsidR="00AD477F" w:rsidRPr="003D3BBA">
        <w:t xml:space="preserve"> </w:t>
      </w:r>
      <w:r w:rsidR="003C41F3" w:rsidRPr="003D3BBA">
        <w:t>during</w:t>
      </w:r>
      <w:r w:rsidR="00E12ECD" w:rsidRPr="003D3BBA">
        <w:t xml:space="preserve"> </w:t>
      </w:r>
      <w:r w:rsidR="003C41F3" w:rsidRPr="003D3BBA">
        <w:t xml:space="preserve">the </w:t>
      </w:r>
      <w:r w:rsidR="00B03DBD" w:rsidRPr="003D3BBA">
        <w:t>715 a</w:t>
      </w:r>
      <w:r w:rsidR="00AD477F" w:rsidRPr="003D3BBA">
        <w:t xml:space="preserve">dult </w:t>
      </w:r>
      <w:r w:rsidR="00B03DBD" w:rsidRPr="003D3BBA">
        <w:t>h</w:t>
      </w:r>
      <w:r w:rsidR="00AD477F" w:rsidRPr="003D3BBA">
        <w:t xml:space="preserve">ealth </w:t>
      </w:r>
      <w:r w:rsidR="00B03DBD" w:rsidRPr="003D3BBA">
        <w:t>check</w:t>
      </w:r>
      <w:r w:rsidR="00AD477F" w:rsidRPr="003D3BBA">
        <w:t xml:space="preserve"> and </w:t>
      </w:r>
      <w:r w:rsidR="003C41F3" w:rsidRPr="003D3BBA">
        <w:t xml:space="preserve">by the </w:t>
      </w:r>
      <w:r w:rsidR="00AD477F" w:rsidRPr="003D3BBA">
        <w:t>Visiting Optometrist Service</w:t>
      </w:r>
      <w:r w:rsidR="00941BE1" w:rsidRPr="003D3BBA">
        <w:t xml:space="preserve">. </w:t>
      </w:r>
    </w:p>
    <w:bookmarkEnd w:id="134"/>
    <w:bookmarkEnd w:id="135"/>
    <w:bookmarkEnd w:id="136"/>
    <w:bookmarkEnd w:id="137"/>
    <w:bookmarkEnd w:id="138"/>
    <w:p w14:paraId="37CB3279" w14:textId="77777777" w:rsidR="006A2CF3" w:rsidRPr="00F76882" w:rsidRDefault="006A2CF3" w:rsidP="00F76882">
      <w:r w:rsidRPr="00F76882">
        <w:br w:type="page"/>
      </w:r>
    </w:p>
    <w:p w14:paraId="095C1936" w14:textId="77777777" w:rsidR="00957F2C" w:rsidRPr="00174EA5" w:rsidRDefault="00144783" w:rsidP="00F76882">
      <w:pPr>
        <w:pStyle w:val="Heading2"/>
      </w:pPr>
      <w:bookmarkStart w:id="140" w:name="_Toc160544983"/>
      <w:bookmarkStart w:id="141" w:name="_Toc203986542"/>
      <w:bookmarkStart w:id="142" w:name="_Hlk103775067"/>
      <w:bookmarkStart w:id="143" w:name="_Hlk169106268"/>
      <w:bookmarkStart w:id="144" w:name="_Hlk103764967"/>
      <w:bookmarkStart w:id="145" w:name="_Toc215236952"/>
      <w:r w:rsidRPr="00174EA5">
        <w:t>Findings and interpretation</w:t>
      </w:r>
      <w:bookmarkEnd w:id="140"/>
      <w:bookmarkEnd w:id="141"/>
      <w:bookmarkEnd w:id="145"/>
    </w:p>
    <w:p w14:paraId="173495B8" w14:textId="2D025DB4" w:rsidR="00D35B1B" w:rsidRPr="003D3BBA" w:rsidRDefault="00D35B1B" w:rsidP="00F76882">
      <w:bookmarkStart w:id="146" w:name="_Ref520726823"/>
      <w:bookmarkEnd w:id="142"/>
      <w:r w:rsidRPr="003D3BBA">
        <w:t xml:space="preserve">In 2022, overall trachoma prevalence fell below the 5% endemicity threshold in Indigenous children aged 5–9 years in each jurisdiction or state/territory (Australia’s units for evaluating trachoma control). </w:t>
      </w:r>
      <w:r w:rsidR="007B6890" w:rsidRPr="003D3BBA">
        <w:t>To</w:t>
      </w:r>
      <w:r w:rsidR="00FB4B7C" w:rsidRPr="003D3BBA">
        <w:t xml:space="preserve"> seek formal validation by WHO that Australia has eliminated trachoma as a public health problem</w:t>
      </w:r>
      <w:r w:rsidR="0009517F" w:rsidRPr="003D3BBA">
        <w:t>,</w:t>
      </w:r>
      <w:r w:rsidR="00FB4B7C" w:rsidRPr="003D3BBA">
        <w:t xml:space="preserve"> </w:t>
      </w:r>
      <w:r w:rsidRPr="003D3BBA">
        <w:t>Australia has needed to maintain levels of overall trachoma prevalence</w:t>
      </w:r>
      <w:r w:rsidR="00FB4B7C" w:rsidRPr="003D3BBA">
        <w:t xml:space="preserve"> below 5%</w:t>
      </w:r>
      <w:r w:rsidRPr="003D3BBA">
        <w:t xml:space="preserve"> as well as demonstrate that the prevalence of previously undiagnosed TT remains below 0.2% in people aged 15 years and over for a further two years.</w:t>
      </w:r>
      <w:r w:rsidR="0092595F" w:rsidRPr="003D3BBA">
        <w:t xml:space="preserve"> </w:t>
      </w:r>
      <w:r w:rsidR="00963A5A" w:rsidRPr="003D3BBA">
        <w:t xml:space="preserve">As this report shows, 2024 surveillance data </w:t>
      </w:r>
      <w:r w:rsidR="002E6292" w:rsidRPr="003D3BBA">
        <w:t>demonstrates</w:t>
      </w:r>
      <w:r w:rsidR="007C4A3C" w:rsidRPr="003D3BBA">
        <w:t xml:space="preserve"> that prevalences </w:t>
      </w:r>
      <w:r w:rsidR="00963A5A" w:rsidRPr="003D3BBA">
        <w:t xml:space="preserve">remain below these thresholds at the jurisdictional level. </w:t>
      </w:r>
      <w:r w:rsidRPr="003D3BBA">
        <w:t xml:space="preserve">Based on these results, </w:t>
      </w:r>
      <w:bookmarkStart w:id="147" w:name="_Hlk210219041"/>
      <w:r w:rsidRPr="003D3BBA">
        <w:t xml:space="preserve">Australia is eligible to apply for validation of elimination as a public health problem </w:t>
      </w:r>
      <w:bookmarkEnd w:id="147"/>
      <w:r w:rsidRPr="003D3BBA">
        <w:t xml:space="preserve">from 2025. </w:t>
      </w:r>
    </w:p>
    <w:p w14:paraId="1545B03D" w14:textId="77777777" w:rsidR="00414CD6" w:rsidRPr="0036007C" w:rsidRDefault="00414CD6" w:rsidP="00F76882">
      <w:pPr>
        <w:pStyle w:val="Heading3"/>
      </w:pPr>
      <w:r w:rsidRPr="0036007C">
        <w:t>Screening coverage</w:t>
      </w:r>
    </w:p>
    <w:p w14:paraId="1898BF10" w14:textId="254D0A59" w:rsidR="00C2360D" w:rsidRPr="009F1E7A" w:rsidRDefault="00B1048A" w:rsidP="00F76882">
      <w:r w:rsidRPr="0036007C">
        <w:t xml:space="preserve">There were 72 </w:t>
      </w:r>
      <w:r w:rsidRPr="009F1E7A">
        <w:t xml:space="preserve">remote Indigenous communities designated as at risk of trachoma and requiring screening in 2024. NT and SA undertook additional screening as part of </w:t>
      </w:r>
      <w:r w:rsidRPr="0036007C">
        <w:t>evidence confirmation for final-year dossier validation surveillance.</w:t>
      </w:r>
      <w:r w:rsidR="00650D6D" w:rsidRPr="0036007C">
        <w:t xml:space="preserve"> </w:t>
      </w:r>
      <w:r w:rsidR="00A17189" w:rsidRPr="0036007C">
        <w:t xml:space="preserve">These jurisdictions screened 13 communities previously removed from the at-risk register with population linkages to current at-risk communities as well as five at-risk communities not due for screening in 2024 under CDNA Guidelines. </w:t>
      </w:r>
      <w:r w:rsidRPr="009F1E7A">
        <w:t>All 90 communities are included in report calculations.</w:t>
      </w:r>
    </w:p>
    <w:p w14:paraId="3A9F62B6" w14:textId="3842FEA6" w:rsidR="004340D7" w:rsidRPr="009F1E7A" w:rsidRDefault="00D57112" w:rsidP="00F76882">
      <w:r w:rsidRPr="00F57624">
        <w:t xml:space="preserve">The proportion of communities that received </w:t>
      </w:r>
      <w:r w:rsidRPr="009F1E7A">
        <w:t>screening</w:t>
      </w:r>
      <w:r w:rsidR="00197DCB" w:rsidRPr="009F1E7A">
        <w:t xml:space="preserve"> in 2024 </w:t>
      </w:r>
      <w:r w:rsidR="0010657D" w:rsidRPr="009F1E7A">
        <w:t>(</w:t>
      </w:r>
      <w:r w:rsidR="00015982" w:rsidRPr="009F1E7A">
        <w:t>86/90, 96%)</w:t>
      </w:r>
      <w:r w:rsidR="005D3D5F" w:rsidRPr="009F1E7A">
        <w:t xml:space="preserve"> </w:t>
      </w:r>
      <w:r w:rsidR="00CC375A" w:rsidRPr="009F1E7A">
        <w:t>was</w:t>
      </w:r>
      <w:r w:rsidR="005D3D5F" w:rsidRPr="009F1E7A">
        <w:t xml:space="preserve"> slightly higher than the previous year (67/74, 91%)</w:t>
      </w:r>
      <w:r w:rsidR="00EA74BC" w:rsidRPr="009F1E7A">
        <w:t xml:space="preserve">, </w:t>
      </w:r>
      <w:r w:rsidR="00EB4514" w:rsidRPr="009F1E7A">
        <w:t>largely due to an improvement in the NT</w:t>
      </w:r>
      <w:r w:rsidR="005D3D5F" w:rsidRPr="009F1E7A">
        <w:t>.</w:t>
      </w:r>
      <w:r w:rsidR="003E394E" w:rsidRPr="009F1E7A">
        <w:t xml:space="preserve"> The remaining communities </w:t>
      </w:r>
      <w:r w:rsidR="005E4E49" w:rsidRPr="009F1E7A">
        <w:t>could not</w:t>
      </w:r>
      <w:r w:rsidR="003E394E" w:rsidRPr="009F1E7A">
        <w:t xml:space="preserve"> be screened for a variety of reasons including staff/resourcing pressures and community factors.</w:t>
      </w:r>
      <w:r w:rsidR="00176276" w:rsidRPr="009F1E7A">
        <w:t xml:space="preserve"> </w:t>
      </w:r>
    </w:p>
    <w:p w14:paraId="5426E2CC" w14:textId="47F73FCA" w:rsidR="00E956E4" w:rsidRPr="00F57624" w:rsidRDefault="00AB2B46" w:rsidP="00F76882">
      <w:r w:rsidRPr="009F1E7A">
        <w:t>CDNA Guidelines</w:t>
      </w:r>
      <w:r w:rsidR="00E956E4" w:rsidRPr="009F1E7A">
        <w:t xml:space="preserve"> have a </w:t>
      </w:r>
      <w:r w:rsidR="006D5D77" w:rsidRPr="009F1E7A">
        <w:t>target</w:t>
      </w:r>
      <w:r w:rsidR="00E956E4" w:rsidRPr="009F1E7A">
        <w:t xml:space="preserve"> of 85% of children aged </w:t>
      </w:r>
      <w:r w:rsidR="00E956E4" w:rsidRPr="00F57624">
        <w:t>5</w:t>
      </w:r>
      <w:r w:rsidR="003D00CE" w:rsidRPr="00F57624">
        <w:t>–</w:t>
      </w:r>
      <w:r w:rsidR="00E956E4" w:rsidRPr="00F57624">
        <w:t xml:space="preserve">9 years examined for trachoma in each community screened. Of the </w:t>
      </w:r>
      <w:r w:rsidR="00895C1F" w:rsidRPr="00F57624">
        <w:t>86</w:t>
      </w:r>
      <w:r w:rsidR="00E956E4" w:rsidRPr="00F57624">
        <w:t xml:space="preserve"> communities screened in </w:t>
      </w:r>
      <w:r w:rsidR="00C3405D" w:rsidRPr="00F57624">
        <w:t>2024</w:t>
      </w:r>
      <w:r w:rsidR="00E956E4" w:rsidRPr="00F57624">
        <w:t xml:space="preserve">, </w:t>
      </w:r>
      <w:r w:rsidR="00895C1F" w:rsidRPr="00F57624">
        <w:t>76</w:t>
      </w:r>
      <w:r w:rsidR="00E956E4" w:rsidRPr="00F57624">
        <w:t xml:space="preserve"> (</w:t>
      </w:r>
      <w:r w:rsidR="00895C1F" w:rsidRPr="00F57624">
        <w:t>88</w:t>
      </w:r>
      <w:r w:rsidR="00E956E4" w:rsidRPr="00F57624">
        <w:t>%) achieved this target</w:t>
      </w:r>
      <w:r w:rsidR="002D051C" w:rsidRPr="00F57624">
        <w:t xml:space="preserve"> </w:t>
      </w:r>
      <w:r w:rsidR="002D051C" w:rsidRPr="009F1E7A">
        <w:t>(data not shown)</w:t>
      </w:r>
      <w:r w:rsidR="00E956E4" w:rsidRPr="00F57624">
        <w:t xml:space="preserve">. </w:t>
      </w:r>
      <w:r w:rsidR="0019682D" w:rsidRPr="00F57624">
        <w:t>Children not screened have either refused, did not have caregiver/parent consent, or were not available on the day of screening.</w:t>
      </w:r>
    </w:p>
    <w:p w14:paraId="322CAE39" w14:textId="77777777" w:rsidR="00780A7C" w:rsidRPr="0036007C" w:rsidRDefault="00780A7C" w:rsidP="00F76882">
      <w:pPr>
        <w:pStyle w:val="Heading3"/>
      </w:pPr>
      <w:r w:rsidRPr="0036007C">
        <w:t>Facial cleanliness</w:t>
      </w:r>
      <w:bookmarkEnd w:id="146"/>
    </w:p>
    <w:p w14:paraId="7BEE812B" w14:textId="0296CD19" w:rsidR="00AE4190" w:rsidRPr="003D3BBA" w:rsidRDefault="00227972" w:rsidP="00F76882">
      <w:r w:rsidRPr="00F76882">
        <w:t>Facial cleanliness reduces</w:t>
      </w:r>
      <w:r w:rsidR="00780A7C" w:rsidRPr="00F76882">
        <w:t xml:space="preserve"> </w:t>
      </w:r>
      <w:r w:rsidR="00990A7B" w:rsidRPr="00F76882">
        <w:t xml:space="preserve">the risk of </w:t>
      </w:r>
      <w:r w:rsidR="00780A7C" w:rsidRPr="00F76882">
        <w:t xml:space="preserve">sharing infected ocular and nasal secretions between children, </w:t>
      </w:r>
      <w:r w:rsidR="004B6C90" w:rsidRPr="00F76882">
        <w:t>thereby interrupting</w:t>
      </w:r>
      <w:r w:rsidR="00780A7C" w:rsidRPr="00F76882">
        <w:t xml:space="preserve"> transmission of </w:t>
      </w:r>
      <w:r w:rsidR="001C6D58" w:rsidRPr="00F76882">
        <w:t>chlamydial infection</w:t>
      </w:r>
      <w:r w:rsidR="00547C25" w:rsidRPr="00F76882">
        <w:t>.</w:t>
      </w:r>
      <w:r w:rsidR="00BF7007" w:rsidRPr="00F76882">
        <w:fldChar w:fldCharType="begin">
          <w:fldData xml:space="preserve">PEVuZE5vdGU+PENpdGU+PEF1dGhvcj5LdXBlcjwvQXV0aG9yPjxZZWFyPjIwMDM8L1llYXI+PFJl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==
</w:fldData>
        </w:fldChar>
      </w:r>
      <w:r w:rsidR="00256FC4" w:rsidRPr="00F76882">
        <w:instrText xml:space="preserve"> ADDIN EN.CITE </w:instrText>
      </w:r>
      <w:r w:rsidR="00256FC4" w:rsidRPr="00F76882">
        <w:fldChar w:fldCharType="begin">
          <w:fldData xml:space="preserve">PEVuZE5vdGU+PENpdGU+PEF1dGhvcj5LdXBlcjwvQXV0aG9yPjxZZWFyPjIwMDM8L1llYXI+PFJl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==
</w:fldData>
        </w:fldChar>
      </w:r>
      <w:r w:rsidR="00256FC4" w:rsidRPr="00F76882">
        <w:instrText xml:space="preserve"> ADDIN EN.CITE.DATA </w:instrText>
      </w:r>
      <w:r w:rsidR="00256FC4" w:rsidRPr="00F76882">
        <w:fldChar w:fldCharType="end"/>
      </w:r>
      <w:r w:rsidR="00BF7007" w:rsidRPr="00F76882">
        <w:fldChar w:fldCharType="separate"/>
      </w:r>
      <w:r w:rsidR="00256FC4" w:rsidRPr="00F76882">
        <w:t>39</w:t>
      </w:r>
      <w:r w:rsidR="00BF7007" w:rsidRPr="00F76882">
        <w:fldChar w:fldCharType="end"/>
      </w:r>
      <w:r w:rsidR="00780A7C" w:rsidRPr="003D3BBA">
        <w:t xml:space="preserve"> </w:t>
      </w:r>
      <w:r w:rsidR="00AD5D2C" w:rsidRPr="003D3BBA">
        <w:t>From</w:t>
      </w:r>
      <w:r w:rsidR="00780A7C" w:rsidRPr="003D3BBA">
        <w:t xml:space="preserve"> 202</w:t>
      </w:r>
      <w:r w:rsidR="00895E2E" w:rsidRPr="003D3BBA">
        <w:t>3</w:t>
      </w:r>
      <w:r w:rsidR="00780A7C" w:rsidRPr="003D3BBA">
        <w:t xml:space="preserve"> to </w:t>
      </w:r>
      <w:r w:rsidR="00C3405D" w:rsidRPr="003D3BBA">
        <w:t>2024</w:t>
      </w:r>
      <w:r w:rsidR="00780A7C" w:rsidRPr="003D3BBA">
        <w:t>, the pr</w:t>
      </w:r>
      <w:r w:rsidRPr="003D3BBA">
        <w:t>oportion of children</w:t>
      </w:r>
      <w:r w:rsidR="00780A7C" w:rsidRPr="003D3BBA">
        <w:t xml:space="preserve"> </w:t>
      </w:r>
      <w:r w:rsidR="00405687" w:rsidRPr="003D3BBA">
        <w:t>with</w:t>
      </w:r>
      <w:r w:rsidR="00780A7C" w:rsidRPr="003D3BBA">
        <w:t xml:space="preserve"> clean faces increased</w:t>
      </w:r>
      <w:r w:rsidR="000C01DB" w:rsidRPr="003D3BBA">
        <w:t xml:space="preserve"> slightly</w:t>
      </w:r>
      <w:r w:rsidR="00780A7C" w:rsidRPr="003D3BBA">
        <w:t xml:space="preserve"> in</w:t>
      </w:r>
      <w:r w:rsidR="00964DCE" w:rsidRPr="003D3BBA">
        <w:t xml:space="preserve"> all three jurisdictions (NT: 74% to 76%; </w:t>
      </w:r>
      <w:r w:rsidR="00780A7C" w:rsidRPr="003D3BBA">
        <w:t>SA</w:t>
      </w:r>
      <w:r w:rsidR="00964DCE" w:rsidRPr="003D3BBA">
        <w:t>:</w:t>
      </w:r>
      <w:r w:rsidR="00780A7C" w:rsidRPr="003D3BBA">
        <w:t xml:space="preserve"> 85%</w:t>
      </w:r>
      <w:r w:rsidR="003E1298" w:rsidRPr="003D3BBA">
        <w:t xml:space="preserve"> to 89%</w:t>
      </w:r>
      <w:r w:rsidR="00964DCE" w:rsidRPr="003D3BBA">
        <w:t>;</w:t>
      </w:r>
      <w:r w:rsidR="00780A7C" w:rsidRPr="003D3BBA">
        <w:t xml:space="preserve"> WA</w:t>
      </w:r>
      <w:r w:rsidR="00964DCE" w:rsidRPr="003D3BBA">
        <w:t xml:space="preserve">: </w:t>
      </w:r>
      <w:r w:rsidR="00780A7C" w:rsidRPr="003D3BBA">
        <w:t>70%</w:t>
      </w:r>
      <w:r w:rsidR="003E1298" w:rsidRPr="003D3BBA">
        <w:t xml:space="preserve"> to 76%</w:t>
      </w:r>
      <w:r w:rsidR="00780A7C" w:rsidRPr="003D3BBA">
        <w:t>).</w:t>
      </w:r>
      <w:r w:rsidR="00082352" w:rsidRPr="003D3BBA">
        <w:t xml:space="preserve"> </w:t>
      </w:r>
      <w:r w:rsidR="00AB2B46" w:rsidRPr="003D3BBA">
        <w:t>CDNA Guidelines</w:t>
      </w:r>
      <w:r w:rsidR="00E0231D" w:rsidRPr="003D3BBA">
        <w:t xml:space="preserve"> have </w:t>
      </w:r>
      <w:r w:rsidR="00065513" w:rsidRPr="003D3BBA">
        <w:t xml:space="preserve">a </w:t>
      </w:r>
      <w:r w:rsidR="00082352" w:rsidRPr="003D3BBA">
        <w:t>target of 85% of children aged 5</w:t>
      </w:r>
      <w:r w:rsidR="003D00CE" w:rsidRPr="003D3BBA">
        <w:t>–</w:t>
      </w:r>
      <w:r w:rsidR="00082352" w:rsidRPr="003D3BBA">
        <w:t>9 years with clean faces at the time of screening</w:t>
      </w:r>
      <w:r w:rsidR="00065513" w:rsidRPr="003D3BBA">
        <w:t xml:space="preserve">. </w:t>
      </w:r>
      <w:r w:rsidR="00333C14" w:rsidRPr="003D3BBA">
        <w:t xml:space="preserve">In </w:t>
      </w:r>
      <w:r w:rsidR="00C3405D" w:rsidRPr="003D3BBA">
        <w:t>2024</w:t>
      </w:r>
      <w:r w:rsidR="00333C14" w:rsidRPr="003D3BBA">
        <w:t xml:space="preserve">, </w:t>
      </w:r>
      <w:r w:rsidR="002E23CD" w:rsidRPr="003D3BBA">
        <w:t>42</w:t>
      </w:r>
      <w:r w:rsidR="00333C14" w:rsidRPr="003D3BBA">
        <w:t>% (3</w:t>
      </w:r>
      <w:r w:rsidR="00581475" w:rsidRPr="003D3BBA">
        <w:t>6</w:t>
      </w:r>
      <w:r w:rsidR="00333C14" w:rsidRPr="003D3BBA">
        <w:t>/</w:t>
      </w:r>
      <w:r w:rsidR="00581475" w:rsidRPr="003D3BBA">
        <w:t>86</w:t>
      </w:r>
      <w:r w:rsidR="00333C14" w:rsidRPr="003D3BBA">
        <w:t xml:space="preserve">) of </w:t>
      </w:r>
      <w:r w:rsidR="00AE4190" w:rsidRPr="003D3BBA">
        <w:t xml:space="preserve">screened </w:t>
      </w:r>
      <w:r w:rsidR="00333C14" w:rsidRPr="003D3BBA">
        <w:t>communities reached th</w:t>
      </w:r>
      <w:r w:rsidR="00065513" w:rsidRPr="003D3BBA">
        <w:t>is target</w:t>
      </w:r>
      <w:r w:rsidR="00333C14" w:rsidRPr="003D3BBA">
        <w:t xml:space="preserve"> (data not shown).</w:t>
      </w:r>
    </w:p>
    <w:p w14:paraId="505874E7" w14:textId="73F780F6" w:rsidR="00780A7C" w:rsidRPr="009C2F78" w:rsidRDefault="00780A7C" w:rsidP="00F76882">
      <w:r w:rsidRPr="009C2F78">
        <w:t xml:space="preserve">Since 2007, there has been considerable variation in the </w:t>
      </w:r>
      <w:r w:rsidR="0034106B" w:rsidRPr="009C2F78">
        <w:t>proportion</w:t>
      </w:r>
      <w:r w:rsidRPr="009C2F78">
        <w:t xml:space="preserve"> of </w:t>
      </w:r>
      <w:r w:rsidR="006F70B4" w:rsidRPr="009C2F78">
        <w:t>children screened with clean faces</w:t>
      </w:r>
      <w:r w:rsidRPr="009C2F78">
        <w:t xml:space="preserve"> in jurisdictions and regions. This may reflect the complexity of facilitating sustainable behavioural change and indicates the importance of </w:t>
      </w:r>
      <w:r w:rsidR="001A719B" w:rsidRPr="009C2F78">
        <w:t xml:space="preserve">reducing </w:t>
      </w:r>
      <w:r w:rsidR="00155F1E" w:rsidRPr="009C2F78">
        <w:t xml:space="preserve">ongoing </w:t>
      </w:r>
      <w:r w:rsidRPr="009C2F78">
        <w:t xml:space="preserve">environmental barriers to facial cleanliness, </w:t>
      </w:r>
      <w:r w:rsidR="001A719B" w:rsidRPr="009C2F78">
        <w:t xml:space="preserve">through improved </w:t>
      </w:r>
      <w:r w:rsidRPr="009C2F78">
        <w:t xml:space="preserve">access to safe and functional washing facilities, prompt repair and </w:t>
      </w:r>
      <w:r w:rsidR="00786C34" w:rsidRPr="009C2F78">
        <w:t>systemic</w:t>
      </w:r>
      <w:r w:rsidRPr="009C2F78">
        <w:t xml:space="preserve"> maintenance of housing hardware </w:t>
      </w:r>
      <w:r w:rsidR="002A54F0" w:rsidRPr="009C2F78">
        <w:t>as well as reducing</w:t>
      </w:r>
      <w:r w:rsidR="00786C34" w:rsidRPr="009C2F78">
        <w:t xml:space="preserve"> </w:t>
      </w:r>
      <w:r w:rsidRPr="009C2F78">
        <w:t xml:space="preserve">crowding in homes. </w:t>
      </w:r>
    </w:p>
    <w:p w14:paraId="0D7DE9CE" w14:textId="77777777" w:rsidR="00B819C3" w:rsidRPr="0036007C" w:rsidRDefault="00B819C3" w:rsidP="00F76882">
      <w:pPr>
        <w:pStyle w:val="Heading3"/>
      </w:pPr>
      <w:r w:rsidRPr="0036007C">
        <w:t>Trachoma prevalence</w:t>
      </w:r>
    </w:p>
    <w:p w14:paraId="327F2E8C" w14:textId="7B91725D" w:rsidR="00B819C3" w:rsidRPr="003D3BBA" w:rsidRDefault="00096A65" w:rsidP="00F76882">
      <w:r w:rsidRPr="003D3BBA">
        <w:t>Between 2023 and 2024 the overall prevalence of trachoma in children aged 5–9 years has remained at 0% in SA, declined by 0.3 percentage points in WA (1.6% to 1.3%)</w:t>
      </w:r>
      <w:r w:rsidR="009831BD" w:rsidRPr="003D3BBA">
        <w:t xml:space="preserve">, and </w:t>
      </w:r>
      <w:r w:rsidRPr="003D3BBA">
        <w:t xml:space="preserve">declined by 0.2 percentage points in the NT (2.3% to 2.1%). </w:t>
      </w:r>
      <w:r w:rsidR="00090E85" w:rsidRPr="003D3BBA">
        <w:t>Overall trachoma prevalence in</w:t>
      </w:r>
      <w:r w:rsidR="00E72D67" w:rsidRPr="003D3BBA">
        <w:t xml:space="preserve"> all current and formerly endemic jurisdictions</w:t>
      </w:r>
      <w:r w:rsidR="00090E85" w:rsidRPr="003D3BBA">
        <w:t xml:space="preserve"> remains below the threshold of 5% defined for elimination</w:t>
      </w:r>
      <w:r w:rsidR="009F4F46" w:rsidRPr="003D3BBA">
        <w:t xml:space="preserve"> as a public health problem</w:t>
      </w:r>
      <w:r w:rsidR="00090E85" w:rsidRPr="003D3BBA">
        <w:t>.</w:t>
      </w:r>
      <w:r w:rsidR="00173A4C" w:rsidRPr="003D3BBA">
        <w:t xml:space="preserve"> Within these jurisdictions, 10 out of 1</w:t>
      </w:r>
      <w:r w:rsidR="00F574ED" w:rsidRPr="003D3BBA">
        <w:t>1</w:t>
      </w:r>
      <w:r w:rsidR="00173A4C" w:rsidRPr="003D3BBA">
        <w:t xml:space="preserve"> regions with </w:t>
      </w:r>
      <w:r w:rsidR="0003428A" w:rsidRPr="003D3BBA">
        <w:t>at-risk</w:t>
      </w:r>
      <w:r w:rsidR="00173A4C" w:rsidRPr="003D3BBA">
        <w:t xml:space="preserve"> communities</w:t>
      </w:r>
      <w:r w:rsidR="001C1E72" w:rsidRPr="003D3BBA">
        <w:t xml:space="preserve"> also</w:t>
      </w:r>
      <w:r w:rsidR="00173A4C" w:rsidRPr="003D3BBA">
        <w:t xml:space="preserve"> recorded overall prevalences below 5%.</w:t>
      </w:r>
    </w:p>
    <w:p w14:paraId="542978DD" w14:textId="7A997898" w:rsidR="00B819C3" w:rsidRPr="00A33DD2" w:rsidRDefault="0052215F" w:rsidP="00F76882">
      <w:r w:rsidRPr="00A33DD2">
        <w:t xml:space="preserve">At least one case of </w:t>
      </w:r>
      <w:r w:rsidR="00505A8E" w:rsidRPr="00A33DD2">
        <w:t xml:space="preserve">active </w:t>
      </w:r>
      <w:r w:rsidRPr="00A33DD2">
        <w:t>t</w:t>
      </w:r>
      <w:r w:rsidR="00B819C3" w:rsidRPr="00A33DD2">
        <w:t>rachoma was reported among children aged 5</w:t>
      </w:r>
      <w:r w:rsidR="003D00CE" w:rsidRPr="00A33DD2">
        <w:t>–</w:t>
      </w:r>
      <w:r w:rsidR="00B819C3" w:rsidRPr="00A33DD2">
        <w:t>9 years in 2</w:t>
      </w:r>
      <w:r w:rsidR="00E414B4" w:rsidRPr="00A33DD2">
        <w:t>9</w:t>
      </w:r>
      <w:r w:rsidR="00B819C3" w:rsidRPr="00A33DD2">
        <w:t xml:space="preserve">% of communities screened in </w:t>
      </w:r>
      <w:r w:rsidR="00C3405D" w:rsidRPr="00A33DD2">
        <w:t>2024</w:t>
      </w:r>
      <w:r w:rsidR="008B4675" w:rsidRPr="00A33DD2">
        <w:t xml:space="preserve">, </w:t>
      </w:r>
      <w:r w:rsidR="00E06067" w:rsidRPr="00A33DD2">
        <w:t xml:space="preserve">although </w:t>
      </w:r>
      <w:r w:rsidR="001C22C0" w:rsidRPr="00A33DD2">
        <w:t xml:space="preserve">it should be noted that numbers </w:t>
      </w:r>
      <w:r w:rsidR="00C1730B" w:rsidRPr="00A33DD2">
        <w:t xml:space="preserve">of communities </w:t>
      </w:r>
      <w:r w:rsidR="001C22C0" w:rsidRPr="00A33DD2">
        <w:t>are</w:t>
      </w:r>
      <w:r w:rsidR="00E74992" w:rsidRPr="00A33DD2">
        <w:t xml:space="preserve"> low</w:t>
      </w:r>
      <w:r w:rsidR="00457915" w:rsidRPr="00A33DD2">
        <w:t xml:space="preserve"> (</w:t>
      </w:r>
      <w:r w:rsidR="008208BE" w:rsidRPr="00A33DD2">
        <w:t>2</w:t>
      </w:r>
      <w:r w:rsidR="00457915" w:rsidRPr="00A33DD2">
        <w:t>5/86)</w:t>
      </w:r>
      <w:r w:rsidR="00B819C3" w:rsidRPr="00A33DD2">
        <w:t>.</w:t>
      </w:r>
      <w:r w:rsidR="0085597E" w:rsidRPr="00A33DD2">
        <w:t xml:space="preserve"> </w:t>
      </w:r>
      <w:bookmarkStart w:id="148" w:name="_Hlk210223441"/>
      <w:r w:rsidR="00267336" w:rsidRPr="00A33DD2">
        <w:t>T</w:t>
      </w:r>
      <w:r w:rsidR="00B819C3" w:rsidRPr="00A33DD2">
        <w:t xml:space="preserve">he proportion of screened communities reporting any trachoma has been declining since 2020, when trachoma was reported in </w:t>
      </w:r>
      <w:r w:rsidR="004B1847" w:rsidRPr="00A33DD2">
        <w:t>71</w:t>
      </w:r>
      <w:r w:rsidR="00B819C3" w:rsidRPr="00A33DD2">
        <w:t>% (6</w:t>
      </w:r>
      <w:r w:rsidR="004B1847" w:rsidRPr="00A33DD2">
        <w:t>7</w:t>
      </w:r>
      <w:r w:rsidR="00B819C3" w:rsidRPr="00A33DD2">
        <w:t>/9</w:t>
      </w:r>
      <w:r w:rsidR="004B1847" w:rsidRPr="00A33DD2">
        <w:t>4</w:t>
      </w:r>
      <w:r w:rsidR="00B819C3" w:rsidRPr="00A33DD2">
        <w:t xml:space="preserve">) of communities screened. </w:t>
      </w:r>
      <w:bookmarkEnd w:id="148"/>
      <w:r w:rsidR="00B819C3" w:rsidRPr="00A33DD2">
        <w:t>A similar pattern has been seen in communities reporting endemic levels of trachoma (≥5%),</w:t>
      </w:r>
      <w:r w:rsidR="00F45232" w:rsidRPr="00A33DD2">
        <w:t xml:space="preserve"> </w:t>
      </w:r>
      <w:r w:rsidR="00236D05" w:rsidRPr="00A33DD2">
        <w:t xml:space="preserve">which has declined </w:t>
      </w:r>
      <w:r w:rsidR="00C83E75" w:rsidRPr="00A33DD2">
        <w:t>from</w:t>
      </w:r>
      <w:r w:rsidR="002563AA" w:rsidRPr="00A33DD2">
        <w:t xml:space="preserve"> 5</w:t>
      </w:r>
      <w:r w:rsidR="0043541B" w:rsidRPr="00A33DD2">
        <w:t>9</w:t>
      </w:r>
      <w:r w:rsidR="002563AA" w:rsidRPr="00A33DD2">
        <w:t>% (5</w:t>
      </w:r>
      <w:r w:rsidR="0043541B" w:rsidRPr="00A33DD2">
        <w:t>5</w:t>
      </w:r>
      <w:r w:rsidR="002563AA" w:rsidRPr="00A33DD2">
        <w:t>/9</w:t>
      </w:r>
      <w:r w:rsidR="004B1847" w:rsidRPr="00A33DD2">
        <w:t>4</w:t>
      </w:r>
      <w:r w:rsidR="002563AA" w:rsidRPr="00A33DD2">
        <w:t>) of screened communities in 2020</w:t>
      </w:r>
      <w:r w:rsidR="00C83E75" w:rsidRPr="00A33DD2">
        <w:t xml:space="preserve"> </w:t>
      </w:r>
      <w:r w:rsidR="00236D05" w:rsidRPr="00A33DD2">
        <w:t xml:space="preserve">to </w:t>
      </w:r>
      <w:r w:rsidR="00474886" w:rsidRPr="00A33DD2">
        <w:t>21% (18/86)</w:t>
      </w:r>
      <w:r w:rsidR="005F10C3" w:rsidRPr="00A33DD2">
        <w:t xml:space="preserve"> in 2024</w:t>
      </w:r>
      <w:r w:rsidR="00B819C3" w:rsidRPr="00A33DD2">
        <w:t xml:space="preserve">. </w:t>
      </w:r>
      <w:r w:rsidR="00CB6AE2" w:rsidRPr="00A33DD2">
        <w:t xml:space="preserve">However, </w:t>
      </w:r>
      <w:bookmarkStart w:id="149" w:name="_Hlk210222865"/>
      <w:r w:rsidR="00CB6AE2" w:rsidRPr="00A33DD2">
        <w:t>a</w:t>
      </w:r>
      <w:r w:rsidR="00B819C3" w:rsidRPr="00A33DD2">
        <w:t xml:space="preserve"> </w:t>
      </w:r>
      <w:r w:rsidR="000C7592" w:rsidRPr="00A33DD2">
        <w:t xml:space="preserve">minor </w:t>
      </w:r>
      <w:r w:rsidR="00B819C3" w:rsidRPr="00A33DD2">
        <w:t>number of communities</w:t>
      </w:r>
      <w:r w:rsidR="00992268" w:rsidRPr="00A33DD2">
        <w:t xml:space="preserve"> screened</w:t>
      </w:r>
      <w:r w:rsidR="00B819C3" w:rsidRPr="00A33DD2">
        <w:t xml:space="preserve"> </w:t>
      </w:r>
      <w:r w:rsidR="00992268" w:rsidRPr="00A33DD2">
        <w:t xml:space="preserve">in </w:t>
      </w:r>
      <w:r w:rsidR="00C3405D" w:rsidRPr="00A33DD2">
        <w:t>2024</w:t>
      </w:r>
      <w:r w:rsidR="00992268" w:rsidRPr="00A33DD2">
        <w:t xml:space="preserve"> </w:t>
      </w:r>
      <w:r w:rsidR="00B819C3" w:rsidRPr="00A33DD2">
        <w:t>(</w:t>
      </w:r>
      <w:r w:rsidR="00CC2104" w:rsidRPr="00A33DD2">
        <w:t>6</w:t>
      </w:r>
      <w:r w:rsidR="00B819C3" w:rsidRPr="00A33DD2">
        <w:t>% or 5/</w:t>
      </w:r>
      <w:r w:rsidR="009406EC" w:rsidRPr="00A33DD2">
        <w:t>86</w:t>
      </w:r>
      <w:r w:rsidR="00B819C3" w:rsidRPr="00A33DD2">
        <w:t>) report</w:t>
      </w:r>
      <w:r w:rsidR="00320A87" w:rsidRPr="00A33DD2">
        <w:t>ed</w:t>
      </w:r>
      <w:r w:rsidR="00B819C3" w:rsidRPr="00A33DD2">
        <w:t xml:space="preserve"> hyperendemic trachoma (</w:t>
      </w:r>
      <w:r w:rsidR="00C56052" w:rsidRPr="00A33DD2">
        <w:t>≥</w:t>
      </w:r>
      <w:r w:rsidR="00B819C3" w:rsidRPr="00A33DD2">
        <w:t xml:space="preserve"> 20% prevalence)</w:t>
      </w:r>
      <w:r w:rsidR="005B47BA" w:rsidRPr="00A33DD2">
        <w:t xml:space="preserve">. </w:t>
      </w:r>
      <w:r w:rsidR="00D41F0A" w:rsidRPr="00A33DD2">
        <w:t>The small size of communities (</w:t>
      </w:r>
      <w:r w:rsidR="00FA1817" w:rsidRPr="00A33DD2">
        <w:t>a</w:t>
      </w:r>
      <w:r w:rsidR="00614828" w:rsidRPr="00A33DD2">
        <w:t xml:space="preserve">n average of 24 </w:t>
      </w:r>
      <w:r w:rsidR="00FA1817" w:rsidRPr="00A33DD2">
        <w:t xml:space="preserve">children were examined per community in 2024) should be considered in interpretations of observed </w:t>
      </w:r>
      <w:r w:rsidR="000C4C19" w:rsidRPr="00A33DD2">
        <w:t xml:space="preserve">screened </w:t>
      </w:r>
      <w:r w:rsidR="00FA1817" w:rsidRPr="00A33DD2">
        <w:t>prevalence</w:t>
      </w:r>
      <w:r w:rsidR="00B819C3" w:rsidRPr="00A33DD2">
        <w:t xml:space="preserve">. </w:t>
      </w:r>
      <w:bookmarkEnd w:id="149"/>
    </w:p>
    <w:p w14:paraId="4B84F909" w14:textId="77777777" w:rsidR="0060099B" w:rsidRPr="0036007C" w:rsidRDefault="0060099B" w:rsidP="00F76882">
      <w:pPr>
        <w:pStyle w:val="Heading3"/>
      </w:pPr>
      <w:r w:rsidRPr="0036007C">
        <w:t>Antibiotic distribution and coverage</w:t>
      </w:r>
    </w:p>
    <w:p w14:paraId="4783FD4D" w14:textId="1938B8E6" w:rsidR="0060099B" w:rsidRPr="003D3BBA" w:rsidRDefault="0060099B" w:rsidP="00F76882">
      <w:r w:rsidRPr="003D3BBA">
        <w:t xml:space="preserve">Antibiotic treatment with azithromycin was indicated under </w:t>
      </w:r>
      <w:r w:rsidR="00AB2B46" w:rsidRPr="003D3BBA">
        <w:t>CDNA Guidelines</w:t>
      </w:r>
      <w:r w:rsidR="008739FE" w:rsidRPr="003D3BBA">
        <w:fldChar w:fldCharType="begin"/>
      </w:r>
      <w:r w:rsidR="00256FC4" w:rsidRPr="003D3BBA">
        <w:instrText xml:space="preserve"> ADDIN EN.CITE &lt;EndNote&gt;&lt;Cite&gt;&lt;Author&gt;Communicable Diseases Network Australia&lt;/Author&gt;&lt;Year&gt;2014 Jan&lt;/Year&gt;&lt;RecNum&gt;6&lt;/RecNum&gt;&lt;DisplayText&gt;&lt;style face="superscript"&gt;17&lt;/style&gt;&lt;/DisplayText&gt;&lt;record&gt;&lt;rec-number&gt;6&lt;/rec-number&gt;&lt;foreign-keys&gt;&lt;key app="EN" db-id="52r9t20smsvp0rex9v1vsfe3tt9vxfdpvwsa" timestamp="1690337276"&gt;6&lt;/key&gt;&lt;/foreign-keys&gt;&lt;ref-type name="Report"&gt;27&lt;/ref-type&gt;&lt;contributors&gt;&lt;authors&gt;&lt;author&gt;Communicable Diseases Network Australia,&lt;/author&gt;&lt;/authors&gt;&lt;/contributors&gt;&lt;titles&gt;&lt;title&gt;CDNA National Guidelines for the Public Health Management of Trachoma&lt;/title&gt;&lt;/titles&gt;&lt;dates&gt;&lt;year&gt;2014 Jan&lt;/year&gt;&lt;/dates&gt;&lt;pub-location&gt;Canberra&lt;/pub-location&gt;&lt;publisher&gt;Department of Health and Aged Care&lt;/publisher&gt;&lt;urls&gt;&lt;related-urls&gt;&lt;url&gt;https://www.health.gov.au/resources/publications/trachoma-cdna-national-guidelines-for-public-health-units?language=en&lt;/url&gt;&lt;/related-urls&gt;&lt;/urls&gt;&lt;/record&gt;&lt;/Cite&gt;&lt;/EndNote&gt;</w:instrText>
      </w:r>
      <w:r w:rsidR="008739FE" w:rsidRPr="003D3BBA">
        <w:fldChar w:fldCharType="separate"/>
      </w:r>
      <w:r w:rsidR="00256FC4" w:rsidRPr="003D3BBA">
        <w:t>17</w:t>
      </w:r>
      <w:r w:rsidR="008739FE" w:rsidRPr="003D3BBA">
        <w:fldChar w:fldCharType="end"/>
      </w:r>
      <w:r w:rsidRPr="003D3BBA">
        <w:t xml:space="preserve"> for </w:t>
      </w:r>
      <w:r w:rsidR="000019BA" w:rsidRPr="003D3BBA">
        <w:t>3,104</w:t>
      </w:r>
      <w:r w:rsidRPr="003D3BBA">
        <w:t xml:space="preserve"> people in </w:t>
      </w:r>
      <w:r w:rsidR="00C3405D" w:rsidRPr="003D3BBA">
        <w:t>2024</w:t>
      </w:r>
      <w:r w:rsidR="003261DD" w:rsidRPr="003D3BBA">
        <w:t>, with 1,67</w:t>
      </w:r>
      <w:r w:rsidR="00612FA3" w:rsidRPr="003D3BBA">
        <w:t>4</w:t>
      </w:r>
      <w:r w:rsidR="003261DD" w:rsidRPr="003D3BBA">
        <w:t xml:space="preserve"> doses distributed</w:t>
      </w:r>
      <w:r w:rsidR="00F45DF4" w:rsidRPr="003D3BBA">
        <w:t xml:space="preserve"> </w:t>
      </w:r>
      <w:r w:rsidR="00D60681" w:rsidRPr="003D3BBA">
        <w:t xml:space="preserve">or </w:t>
      </w:r>
      <w:r w:rsidR="00612FA3" w:rsidRPr="003D3BBA">
        <w:t>54</w:t>
      </w:r>
      <w:r w:rsidR="00F45DF4" w:rsidRPr="003D3BBA">
        <w:t>%</w:t>
      </w:r>
      <w:r w:rsidR="00D60681" w:rsidRPr="003D3BBA">
        <w:t xml:space="preserve"> treatment coverage</w:t>
      </w:r>
      <w:r w:rsidRPr="003D3BBA">
        <w:t xml:space="preserve">. </w:t>
      </w:r>
      <w:r w:rsidR="001C0BE0" w:rsidRPr="003D3BBA">
        <w:t xml:space="preserve">Treatment coverage </w:t>
      </w:r>
      <w:r w:rsidR="004D5402" w:rsidRPr="003D3BBA">
        <w:t xml:space="preserve">was generally higher in communities that only undertook case and contact treatment (90%), compared to community-wide treatment (51%, data not shown). </w:t>
      </w:r>
      <w:r w:rsidR="00B41B9B" w:rsidRPr="003D3BBA">
        <w:t xml:space="preserve">Low levels of treatment coverage are likely due to a combination of factors, </w:t>
      </w:r>
      <w:r w:rsidR="00E95C82" w:rsidRPr="003D3BBA">
        <w:t xml:space="preserve">including </w:t>
      </w:r>
      <w:r w:rsidR="005348FF" w:rsidRPr="003D3BBA">
        <w:t xml:space="preserve">reports of </w:t>
      </w:r>
      <w:r w:rsidR="00B41B9B" w:rsidRPr="003D3BBA">
        <w:t>treatment fatigue after many years of community-wide distribution</w:t>
      </w:r>
      <w:r w:rsidR="008B68E0" w:rsidRPr="003D3BBA">
        <w:t xml:space="preserve"> and population movements</w:t>
      </w:r>
      <w:r w:rsidR="00B41B9B" w:rsidRPr="003D3BBA">
        <w:t xml:space="preserve">. </w:t>
      </w:r>
    </w:p>
    <w:p w14:paraId="1FBA9DC1" w14:textId="1B44D5C6" w:rsidR="00EC7117" w:rsidRPr="0036007C" w:rsidRDefault="00EC7117" w:rsidP="00F76882">
      <w:pPr>
        <w:pStyle w:val="Heading3"/>
      </w:pPr>
      <w:r w:rsidRPr="0036007C">
        <w:t>Trachoma</w:t>
      </w:r>
      <w:r w:rsidR="00607260" w:rsidRPr="0036007C">
        <w:t>tous</w:t>
      </w:r>
      <w:r w:rsidRPr="0036007C">
        <w:t xml:space="preserve"> </w:t>
      </w:r>
      <w:r w:rsidR="00704415">
        <w:t>T</w:t>
      </w:r>
      <w:r w:rsidRPr="0036007C">
        <w:t>richiasis</w:t>
      </w:r>
      <w:r w:rsidR="0034128D" w:rsidRPr="0036007C">
        <w:t xml:space="preserve"> (TT)</w:t>
      </w:r>
      <w:r w:rsidR="006F6F1E" w:rsidRPr="0036007C">
        <w:t xml:space="preserve"> </w:t>
      </w:r>
    </w:p>
    <w:p w14:paraId="5542AA89" w14:textId="20B4C9AF" w:rsidR="00EC7117" w:rsidRDefault="006B5766" w:rsidP="00F76882">
      <w:r w:rsidRPr="003D3BBA">
        <w:t>A total of</w:t>
      </w:r>
      <w:r w:rsidR="00EC7117" w:rsidRPr="003D3BBA">
        <w:t xml:space="preserve"> </w:t>
      </w:r>
      <w:r w:rsidR="00A4531A" w:rsidRPr="003D3BBA">
        <w:t>1</w:t>
      </w:r>
      <w:r w:rsidR="00B61DC4" w:rsidRPr="003D3BBA">
        <w:t>8</w:t>
      </w:r>
      <w:r w:rsidR="000B12F5" w:rsidRPr="003D3BBA">
        <w:t>,</w:t>
      </w:r>
      <w:r w:rsidR="0016698E" w:rsidRPr="003D3BBA">
        <w:t>931</w:t>
      </w:r>
      <w:r w:rsidR="00A4531A" w:rsidRPr="003D3BBA">
        <w:t xml:space="preserve"> </w:t>
      </w:r>
      <w:r w:rsidR="005348FF" w:rsidRPr="003D3BBA">
        <w:t>people</w:t>
      </w:r>
      <w:r w:rsidR="00046C9F" w:rsidRPr="003D3BBA">
        <w:t xml:space="preserve"> aged 15</w:t>
      </w:r>
      <w:r w:rsidR="00EC7117" w:rsidRPr="003D3BBA">
        <w:t xml:space="preserve"> years and older were reported to have been screened for </w:t>
      </w:r>
      <w:r w:rsidR="00607260" w:rsidRPr="003D3BBA">
        <w:t>TT</w:t>
      </w:r>
      <w:r w:rsidR="00EC7117" w:rsidRPr="003D3BBA">
        <w:t xml:space="preserve"> </w:t>
      </w:r>
      <w:r w:rsidR="009C532B" w:rsidRPr="003D3BBA">
        <w:t>in</w:t>
      </w:r>
      <w:r w:rsidR="00031766" w:rsidRPr="003D3BBA">
        <w:t xml:space="preserve"> the NT, </w:t>
      </w:r>
      <w:r w:rsidR="00C93F39" w:rsidRPr="003D3BBA">
        <w:t>Qld,</w:t>
      </w:r>
      <w:r w:rsidR="00804AA7" w:rsidRPr="003D3BBA">
        <w:t xml:space="preserve"> </w:t>
      </w:r>
      <w:r w:rsidR="00031766" w:rsidRPr="003D3BBA">
        <w:t>SA</w:t>
      </w:r>
      <w:r w:rsidR="009831BD" w:rsidRPr="003D3BBA">
        <w:t xml:space="preserve">, and </w:t>
      </w:r>
      <w:r w:rsidR="00031766" w:rsidRPr="003D3BBA">
        <w:t>WA</w:t>
      </w:r>
      <w:r w:rsidR="007E4D25" w:rsidRPr="003D3BBA">
        <w:t xml:space="preserve">, with </w:t>
      </w:r>
      <w:r w:rsidR="0016698E" w:rsidRPr="003D3BBA">
        <w:t>nine</w:t>
      </w:r>
      <w:r w:rsidR="007E4D25" w:rsidRPr="003D3BBA">
        <w:t xml:space="preserve"> cases ‘unknown to the health system’ identified</w:t>
      </w:r>
      <w:r w:rsidR="00031766" w:rsidRPr="003D3BBA">
        <w:t xml:space="preserve"> </w:t>
      </w:r>
      <w:r w:rsidR="00EC7117" w:rsidRPr="003D3BBA">
        <w:t xml:space="preserve">in </w:t>
      </w:r>
      <w:r w:rsidR="00C3405D" w:rsidRPr="003D3BBA">
        <w:t>2024</w:t>
      </w:r>
      <w:r w:rsidR="005348FF" w:rsidRPr="003D3BBA">
        <w:t>.</w:t>
      </w:r>
      <w:r w:rsidR="00B103D0" w:rsidRPr="003D3BBA">
        <w:t xml:space="preserve"> </w:t>
      </w:r>
      <w:bookmarkStart w:id="150" w:name="_Hlk160525988"/>
      <w:r w:rsidR="008A30CA" w:rsidRPr="003D3BBA">
        <w:t xml:space="preserve">The </w:t>
      </w:r>
      <w:r w:rsidR="00DD702B" w:rsidRPr="003D3BBA">
        <w:t xml:space="preserve">total </w:t>
      </w:r>
      <w:r w:rsidR="008A30CA" w:rsidRPr="003D3BBA">
        <w:t>pr</w:t>
      </w:r>
      <w:r w:rsidR="00414BFD" w:rsidRPr="003D3BBA">
        <w:t>oportion</w:t>
      </w:r>
      <w:r w:rsidR="008A30CA" w:rsidRPr="003D3BBA">
        <w:t xml:space="preserve"> of </w:t>
      </w:r>
      <w:r w:rsidR="00A9557B" w:rsidRPr="003D3BBA">
        <w:t>TT</w:t>
      </w:r>
      <w:r w:rsidR="00F742B1" w:rsidRPr="003D3BBA">
        <w:t xml:space="preserve"> </w:t>
      </w:r>
      <w:r w:rsidR="008A30CA" w:rsidRPr="003D3BBA">
        <w:t>in screened pe</w:t>
      </w:r>
      <w:r w:rsidR="00940444" w:rsidRPr="003D3BBA">
        <w:t>ople</w:t>
      </w:r>
      <w:r w:rsidR="008A30CA" w:rsidRPr="003D3BBA">
        <w:t xml:space="preserve"> aged 15 years and older was 0.0</w:t>
      </w:r>
      <w:r w:rsidR="000A0358" w:rsidRPr="003D3BBA">
        <w:t>5</w:t>
      </w:r>
      <w:r w:rsidR="008A30CA" w:rsidRPr="003D3BBA">
        <w:t xml:space="preserve">% and in </w:t>
      </w:r>
      <w:r w:rsidR="00940444" w:rsidRPr="003D3BBA">
        <w:t xml:space="preserve">those </w:t>
      </w:r>
      <w:r w:rsidR="008A30CA" w:rsidRPr="003D3BBA">
        <w:t>aged 40 years and older was 0.</w:t>
      </w:r>
      <w:r w:rsidR="00C0091A" w:rsidRPr="003D3BBA">
        <w:t>0</w:t>
      </w:r>
      <w:r w:rsidR="000A0358" w:rsidRPr="003D3BBA">
        <w:t>9</w:t>
      </w:r>
      <w:r w:rsidR="008A30CA" w:rsidRPr="003D3BBA">
        <w:t>%.</w:t>
      </w:r>
      <w:bookmarkEnd w:id="150"/>
      <w:r w:rsidR="008A30CA" w:rsidRPr="003D3BBA">
        <w:t xml:space="preserve"> </w:t>
      </w:r>
      <w:r w:rsidR="001B1995" w:rsidRPr="003D3BBA">
        <w:t>By j</w:t>
      </w:r>
      <w:r w:rsidR="00DD7002" w:rsidRPr="003D3BBA">
        <w:t>urisdictio</w:t>
      </w:r>
      <w:r w:rsidR="001B1995" w:rsidRPr="003D3BBA">
        <w:t>n, the proportion of TT in screened persons was</w:t>
      </w:r>
      <w:r w:rsidR="00DD7002" w:rsidRPr="003D3BBA">
        <w:t xml:space="preserve"> </w:t>
      </w:r>
      <w:r w:rsidR="00E73D19" w:rsidRPr="003D3BBA">
        <w:t>0.0</w:t>
      </w:r>
      <w:r w:rsidR="00407636" w:rsidRPr="003D3BBA">
        <w:t>3</w:t>
      </w:r>
      <w:r w:rsidR="00E73D19" w:rsidRPr="003D3BBA">
        <w:t>% in the NT,</w:t>
      </w:r>
      <w:r w:rsidR="00F24FEE" w:rsidRPr="003D3BBA">
        <w:t xml:space="preserve"> </w:t>
      </w:r>
      <w:r w:rsidR="00CF60EF" w:rsidRPr="003D3BBA">
        <w:t>0.3%</w:t>
      </w:r>
      <w:r w:rsidR="00F24FEE" w:rsidRPr="003D3BBA">
        <w:t xml:space="preserve"> in </w:t>
      </w:r>
      <w:r w:rsidR="00C93F39" w:rsidRPr="003D3BBA">
        <w:t>Qld</w:t>
      </w:r>
      <w:r w:rsidR="009307D1" w:rsidRPr="003D3BBA">
        <w:t>,</w:t>
      </w:r>
      <w:r w:rsidR="00147583" w:rsidRPr="003D3BBA">
        <w:t xml:space="preserve"> 0</w:t>
      </w:r>
      <w:r w:rsidR="00407636" w:rsidRPr="003D3BBA">
        <w:t>.3</w:t>
      </w:r>
      <w:r w:rsidR="00147583" w:rsidRPr="003D3BBA">
        <w:t>%</w:t>
      </w:r>
      <w:r w:rsidR="00E73D19" w:rsidRPr="003D3BBA">
        <w:t xml:space="preserve"> in SA,</w:t>
      </w:r>
      <w:r w:rsidR="00E245A4" w:rsidRPr="003D3BBA">
        <w:t xml:space="preserve"> and</w:t>
      </w:r>
      <w:r w:rsidR="00E73D19" w:rsidRPr="003D3BBA">
        <w:t xml:space="preserve"> </w:t>
      </w:r>
      <w:r w:rsidR="00614907" w:rsidRPr="003D3BBA">
        <w:t>0% in WA.</w:t>
      </w:r>
      <w:r w:rsidR="00DD7002" w:rsidRPr="003D3BBA">
        <w:t xml:space="preserve"> </w:t>
      </w:r>
      <w:r w:rsidR="00A834BA" w:rsidRPr="003D3BBA">
        <w:t>A total of</w:t>
      </w:r>
      <w:r w:rsidR="00EE0EFA" w:rsidRPr="003D3BBA">
        <w:t xml:space="preserve"> s</w:t>
      </w:r>
      <w:r w:rsidR="00C0091A" w:rsidRPr="003D3BBA">
        <w:t>ix</w:t>
      </w:r>
      <w:r w:rsidR="00104C22" w:rsidRPr="003D3BBA">
        <w:t xml:space="preserve"> pe</w:t>
      </w:r>
      <w:r w:rsidR="006A6E24" w:rsidRPr="003D3BBA">
        <w:t>ople</w:t>
      </w:r>
      <w:r w:rsidR="00373335" w:rsidRPr="003D3BBA">
        <w:t xml:space="preserve"> from t</w:t>
      </w:r>
      <w:r w:rsidR="006F6F1E" w:rsidRPr="003D3BBA">
        <w:t>wo</w:t>
      </w:r>
      <w:r w:rsidR="00373335" w:rsidRPr="003D3BBA">
        <w:t xml:space="preserve"> </w:t>
      </w:r>
      <w:r w:rsidR="00455732" w:rsidRPr="003D3BBA">
        <w:t>jurisdictions</w:t>
      </w:r>
      <w:r w:rsidR="006A6E24" w:rsidRPr="003D3BBA">
        <w:t xml:space="preserve"> were reported to have had </w:t>
      </w:r>
      <w:r w:rsidR="006F6F1E" w:rsidRPr="003D3BBA">
        <w:t>TT</w:t>
      </w:r>
      <w:r w:rsidR="006A6E24" w:rsidRPr="003D3BBA">
        <w:t xml:space="preserve"> surgery</w:t>
      </w:r>
      <w:r w:rsidR="008D4688" w:rsidRPr="003D3BBA">
        <w:t xml:space="preserve"> in 2024</w:t>
      </w:r>
      <w:r w:rsidR="00EC7117" w:rsidRPr="003D3BBA">
        <w:t>.</w:t>
      </w:r>
    </w:p>
    <w:p w14:paraId="64986961" w14:textId="61C6C55A" w:rsidR="00F76882" w:rsidRPr="00F76882" w:rsidRDefault="00F76882" w:rsidP="00F76882">
      <w:pPr>
        <w:rPr>
          <w:rFonts w:eastAsia="Times New Roman"/>
        </w:rPr>
      </w:pPr>
      <w:r w:rsidRPr="00F76882">
        <w:t>WHO thresholds for elimination as a public health problem refer to TT at a population level. Due to the relatively small number of locations in which trachoma has remained a public health issue, population wide assessments of TT at the state/territory level have not been considered appropriate</w:t>
      </w:r>
      <w:bookmarkStart w:id="151" w:name="_Hlk191049575"/>
      <w:r w:rsidR="00630C09" w:rsidRPr="00F76882">
        <w:rPr>
          <w:rStyle w:val="SuperscriptChar"/>
        </w:rPr>
        <w:fldChar w:fldCharType="begin">
          <w:fldData xml:space="preserve">PEVuZE5vdGU+PENpdGU+PEF1dGhvcj5Tb2xvbW9uPC9BdXRob3I+PFllYXI+MjAxNTwvWWVhcj48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=
</w:fldData>
        </w:fldChar>
      </w:r>
      <w:r w:rsidR="00256FC4" w:rsidRPr="00F76882">
        <w:rPr>
          <w:rStyle w:val="SuperscriptChar"/>
        </w:rPr>
        <w:instrText xml:space="preserve"> ADDIN EN.CITE </w:instrText>
      </w:r>
      <w:r w:rsidR="00256FC4" w:rsidRPr="00F76882">
        <w:rPr>
          <w:rStyle w:val="SuperscriptChar"/>
        </w:rPr>
        <w:fldChar w:fldCharType="begin">
          <w:fldData xml:space="preserve">PEVuZE5vdGU+PENpdGU+PEF1dGhvcj5Tb2xvbW9uPC9BdXRob3I+PFllYXI+MjAxNTwvWWVhcj48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=
</w:fldData>
        </w:fldChar>
      </w:r>
      <w:r w:rsidR="00256FC4" w:rsidRPr="00F76882">
        <w:rPr>
          <w:rStyle w:val="SuperscriptChar"/>
        </w:rPr>
        <w:instrText xml:space="preserve"> ADDIN EN.CITE.DATA </w:instrText>
      </w:r>
      <w:r w:rsidR="00256FC4" w:rsidRPr="00F76882">
        <w:rPr>
          <w:rStyle w:val="SuperscriptChar"/>
        </w:rPr>
      </w:r>
      <w:r w:rsidR="00256FC4" w:rsidRPr="00F76882">
        <w:rPr>
          <w:rStyle w:val="SuperscriptChar"/>
        </w:rPr>
        <w:fldChar w:fldCharType="end"/>
      </w:r>
      <w:r w:rsidR="00630C09" w:rsidRPr="00F76882">
        <w:rPr>
          <w:rStyle w:val="SuperscriptChar"/>
        </w:rPr>
      </w:r>
      <w:r w:rsidR="00630C09" w:rsidRPr="00F76882">
        <w:rPr>
          <w:rStyle w:val="SuperscriptChar"/>
        </w:rPr>
        <w:fldChar w:fldCharType="separate"/>
      </w:r>
      <w:r w:rsidR="00256FC4" w:rsidRPr="00F76882">
        <w:rPr>
          <w:rStyle w:val="SuperscriptChar"/>
        </w:rPr>
        <w:t>40</w:t>
      </w:r>
      <w:r w:rsidR="00630C09" w:rsidRPr="00F76882">
        <w:rPr>
          <w:rStyle w:val="SuperscriptChar"/>
        </w:rPr>
        <w:fldChar w:fldCharType="end"/>
      </w:r>
      <w:bookmarkEnd w:id="151"/>
      <w:r>
        <w:t xml:space="preserve"> Reporting TT </w:t>
      </w:r>
      <w:r w:rsidRPr="00F76882">
        <w:t>as the crude proportion among population screened, with screening linked to current and former trachoma endemic regions, is likely to over-estimate the true population level prevalence of TT in Australian jurisdictions, as the broader Indigenous population does not have the same exposure risk. The continuing low overall rate of new TT cases indicates Australia has met this benchmark.</w:t>
      </w:r>
    </w:p>
    <w:p w14:paraId="79953729" w14:textId="5B0CB240" w:rsidR="00EC7117" w:rsidRPr="0036007C" w:rsidRDefault="00EC7117" w:rsidP="00F76882">
      <w:pPr>
        <w:pStyle w:val="Heading3"/>
      </w:pPr>
      <w:r w:rsidRPr="0036007C">
        <w:t xml:space="preserve">Health promotion </w:t>
      </w:r>
      <w:r w:rsidR="00750272" w:rsidRPr="0036007C">
        <w:t>activities</w:t>
      </w:r>
    </w:p>
    <w:p w14:paraId="620B8AB8" w14:textId="3B3981B0" w:rsidR="001E69F5" w:rsidRPr="003D3BBA" w:rsidRDefault="001E69F5" w:rsidP="00F76882">
      <w:r w:rsidRPr="003D3BBA">
        <w:t xml:space="preserve">Jurisdictional </w:t>
      </w:r>
      <w:r w:rsidR="00D91EF5" w:rsidRPr="003D3BBA">
        <w:t>trachoma control teams, ACCH</w:t>
      </w:r>
      <w:r w:rsidR="00571A47" w:rsidRPr="003D3BBA">
        <w:t>S</w:t>
      </w:r>
      <w:r w:rsidR="00D91EF5" w:rsidRPr="003D3BBA">
        <w:t xml:space="preserve">s, </w:t>
      </w:r>
      <w:r w:rsidRPr="003D3BBA">
        <w:t xml:space="preserve">and </w:t>
      </w:r>
      <w:r w:rsidR="00D91EF5" w:rsidRPr="003D3BBA">
        <w:t>other</w:t>
      </w:r>
      <w:r w:rsidRPr="003D3BBA">
        <w:t xml:space="preserve"> organisations continue to deliver a wide range of health promotion activities to </w:t>
      </w:r>
      <w:r w:rsidR="003A7150" w:rsidRPr="003D3BBA">
        <w:t>support</w:t>
      </w:r>
      <w:r w:rsidRPr="003D3BBA">
        <w:t xml:space="preserve"> facial cleanliness</w:t>
      </w:r>
      <w:r w:rsidR="00012F0B" w:rsidRPr="003D3BBA">
        <w:t xml:space="preserve"> and related hygiene behaviours</w:t>
      </w:r>
      <w:r w:rsidR="006954BE" w:rsidRPr="003D3BBA">
        <w:t xml:space="preserve"> (for further details see jurisdictional results)</w:t>
      </w:r>
      <w:r w:rsidRPr="003D3BBA">
        <w:t>. Health promotion activities target diverse groups in the community to improve uptake, including children, young people, parents/caregivers, other community members</w:t>
      </w:r>
      <w:r w:rsidR="00FD38AE" w:rsidRPr="003D3BBA">
        <w:t xml:space="preserve">, and </w:t>
      </w:r>
      <w:r w:rsidRPr="003D3BBA">
        <w:t>local service providers.</w:t>
      </w:r>
      <w:r w:rsidR="00D34F05" w:rsidRPr="003D3BBA">
        <w:t xml:space="preserve"> </w:t>
      </w:r>
      <w:r w:rsidRPr="003D3BBA">
        <w:t>Knowledge and skills building activities are delivered via interactive school programs, teacher and community health worker training, social/mass media campaigns</w:t>
      </w:r>
      <w:r w:rsidR="00FD38AE" w:rsidRPr="003D3BBA">
        <w:t xml:space="preserve">, and </w:t>
      </w:r>
      <w:r w:rsidRPr="003D3BBA">
        <w:t>at local community events.</w:t>
      </w:r>
      <w:r w:rsidR="00D34F05" w:rsidRPr="003D3BBA">
        <w:t xml:space="preserve"> </w:t>
      </w:r>
      <w:r w:rsidRPr="003D3BBA">
        <w:t xml:space="preserve">Programs incorporate the distribution of hygiene resources (e.g. soap, towels) and home cleaning supplies to translate knowledge into action. </w:t>
      </w:r>
    </w:p>
    <w:p w14:paraId="6FD5AC21" w14:textId="7A91FAE5" w:rsidR="001E69F5" w:rsidRPr="003D3BBA" w:rsidRDefault="001E69F5" w:rsidP="00F76882">
      <w:r w:rsidRPr="003D3BBA">
        <w:t xml:space="preserve">Health promotion messages and materials are culturally tailored and developed in partnership with targeted communities. Facial cleanliness messages have been integrated in education curriculum in </w:t>
      </w:r>
      <w:r w:rsidR="00934487" w:rsidRPr="003D3BBA">
        <w:t xml:space="preserve">some </w:t>
      </w:r>
      <w:r w:rsidRPr="003D3BBA">
        <w:t>remote schools, as well as in other family programs</w:t>
      </w:r>
      <w:r w:rsidR="00212E25" w:rsidRPr="003D3BBA">
        <w:t xml:space="preserve"> and early learning settings</w:t>
      </w:r>
      <w:r w:rsidRPr="003D3BBA">
        <w:t xml:space="preserve"> (e.g. </w:t>
      </w:r>
      <w:r w:rsidR="00BF770E" w:rsidRPr="003D3BBA">
        <w:t xml:space="preserve">the </w:t>
      </w:r>
      <w:r w:rsidR="00666ECB" w:rsidRPr="003D3BBA">
        <w:t>NT</w:t>
      </w:r>
      <w:r w:rsidR="001B1E4F" w:rsidRPr="003D3BBA">
        <w:t xml:space="preserve">’s </w:t>
      </w:r>
      <w:r w:rsidRPr="003D3BBA">
        <w:t xml:space="preserve">Families as First </w:t>
      </w:r>
      <w:r w:rsidR="00D34F05" w:rsidRPr="003D3BBA">
        <w:t>T</w:t>
      </w:r>
      <w:r w:rsidRPr="003D3BBA">
        <w:t>eachers</w:t>
      </w:r>
      <w:r w:rsidR="001B1E4F" w:rsidRPr="003D3BBA">
        <w:t xml:space="preserve"> program</w:t>
      </w:r>
      <w:r w:rsidRPr="003D3BBA">
        <w:t>) to sustain messaging outside of screening and treatment programs. Co</w:t>
      </w:r>
      <w:r w:rsidR="00DF1502" w:rsidRPr="003D3BBA">
        <w:t>llaboration is increasing</w:t>
      </w:r>
      <w:r w:rsidR="00091DA5" w:rsidRPr="003D3BBA">
        <w:t>ly</w:t>
      </w:r>
      <w:r w:rsidR="00DF1502" w:rsidRPr="003D3BBA">
        <w:t xml:space="preserve"> occurring with other environmental-related disease programs (e.g. ear</w:t>
      </w:r>
      <w:r w:rsidR="00FA72D0" w:rsidRPr="003D3BBA">
        <w:t>, dental</w:t>
      </w:r>
      <w:r w:rsidR="00FD38AE" w:rsidRPr="003D3BBA">
        <w:t xml:space="preserve">, and </w:t>
      </w:r>
      <w:r w:rsidR="00DF1502" w:rsidRPr="003D3BBA">
        <w:t>skin health)</w:t>
      </w:r>
      <w:r w:rsidR="00C81B0A" w:rsidRPr="003D3BBA">
        <w:t>, enabling holistic approaches to</w:t>
      </w:r>
      <w:r w:rsidR="0039549F" w:rsidRPr="003D3BBA">
        <w:t xml:space="preserve"> health promotion</w:t>
      </w:r>
      <w:r w:rsidRPr="003D3BBA">
        <w:t>.</w:t>
      </w:r>
    </w:p>
    <w:p w14:paraId="70DF7735" w14:textId="248898D1" w:rsidR="00750272" w:rsidRPr="0036007C" w:rsidRDefault="00750272" w:rsidP="00F76882">
      <w:pPr>
        <w:pStyle w:val="Heading3"/>
      </w:pPr>
      <w:r w:rsidRPr="0036007C">
        <w:t>Environmental improvement activities</w:t>
      </w:r>
    </w:p>
    <w:p w14:paraId="599FDB7E" w14:textId="0AAF7DCA" w:rsidR="00543452" w:rsidRPr="003D3BBA" w:rsidRDefault="00CA3F67" w:rsidP="00F76882">
      <w:r w:rsidRPr="003D3BBA">
        <w:t>Information available on environmental improvement activities is based on narrative reporting of program activities</w:t>
      </w:r>
      <w:r w:rsidR="00057A80" w:rsidRPr="003D3BBA">
        <w:t xml:space="preserve"> by jurisdictions and local partners</w:t>
      </w:r>
      <w:r w:rsidRPr="003D3BBA">
        <w:t>. There is currently no agreed national/international monitoring and evaluation framework to support a more systematic approach to reporting of environmental health and housing conditions, interventions and</w:t>
      </w:r>
      <w:r w:rsidR="005D0D5D" w:rsidRPr="003D3BBA">
        <w:t xml:space="preserve"> </w:t>
      </w:r>
      <w:r w:rsidR="001844A1" w:rsidRPr="003D3BBA">
        <w:t>impacts</w:t>
      </w:r>
      <w:r w:rsidRPr="003D3BBA">
        <w:t xml:space="preserve"> at the community, regional</w:t>
      </w:r>
      <w:r w:rsidR="00FD38AE" w:rsidRPr="003D3BBA">
        <w:t xml:space="preserve">, and </w:t>
      </w:r>
      <w:r w:rsidRPr="003D3BBA">
        <w:t>national levels. Jurisdictional-level trachoma programs collaborate with environmental and housing program</w:t>
      </w:r>
      <w:r w:rsidR="0072662C" w:rsidRPr="003D3BBA">
        <w:t>s</w:t>
      </w:r>
      <w:r w:rsidRPr="003D3BBA">
        <w:t xml:space="preserve"> but are not </w:t>
      </w:r>
      <w:proofErr w:type="gramStart"/>
      <w:r w:rsidRPr="003D3BBA">
        <w:t xml:space="preserve">in </w:t>
      </w:r>
      <w:r w:rsidR="00DE7148" w:rsidRPr="003D3BBA">
        <w:t xml:space="preserve">a </w:t>
      </w:r>
      <w:r w:rsidRPr="003D3BBA">
        <w:t>position</w:t>
      </w:r>
      <w:proofErr w:type="gramEnd"/>
      <w:r w:rsidRPr="003D3BBA">
        <w:t xml:space="preserve"> to comprehensively monitor their activities.</w:t>
      </w:r>
    </w:p>
    <w:p w14:paraId="66BFDE0A" w14:textId="77777777" w:rsidR="002825C1" w:rsidRPr="003D3BBA" w:rsidRDefault="002825C1" w:rsidP="00F76882">
      <w:r w:rsidRPr="003D3BBA">
        <w:t>Reported activities undertaken in 2024 to improve environmental conditions in trachoma endemic regions have included:</w:t>
      </w:r>
    </w:p>
    <w:bookmarkEnd w:id="143"/>
    <w:p w14:paraId="3373B5D1" w14:textId="6A657640" w:rsidR="00AE779C" w:rsidRPr="0036007C" w:rsidRDefault="00AE779C" w:rsidP="00F76882">
      <w:pPr>
        <w:pStyle w:val="TableofFigures"/>
      </w:pPr>
      <w:r w:rsidRPr="0036007C">
        <w:t>Inspections of home health hardware by environmental health workers in remote communities</w:t>
      </w:r>
      <w:r w:rsidR="00A64D30" w:rsidRPr="0036007C">
        <w:t>,</w:t>
      </w:r>
      <w:r w:rsidRPr="0036007C">
        <w:t xml:space="preserve"> also known as ‘Healthy Homes </w:t>
      </w:r>
      <w:proofErr w:type="gramStart"/>
      <w:r w:rsidRPr="0036007C">
        <w:t>assessments’</w:t>
      </w:r>
      <w:proofErr w:type="gramEnd"/>
      <w:r w:rsidRPr="0036007C">
        <w:t>. Assessments are accompanied by home environment remediation activities including the distribution of hygiene resources, hard rubbish removal, the provision of plumbing, electrical and carpentry maintenance</w:t>
      </w:r>
      <w:r w:rsidR="00FD38AE" w:rsidRPr="0036007C">
        <w:t xml:space="preserve">, and </w:t>
      </w:r>
      <w:r w:rsidRPr="0036007C">
        <w:t xml:space="preserve">pest management, or referral for these services as required. Collaboration between environmental health and trachoma control/clinical programs to co-deliver interventions ensures that improvements address underlying contributors </w:t>
      </w:r>
      <w:r w:rsidR="00FA3C8E" w:rsidRPr="0036007C">
        <w:t>to</w:t>
      </w:r>
      <w:r w:rsidRPr="0036007C">
        <w:t xml:space="preserve"> disease.</w:t>
      </w:r>
    </w:p>
    <w:p w14:paraId="7912DBC1" w14:textId="047D3F8D" w:rsidR="00AE779C" w:rsidRPr="003D3BBA" w:rsidRDefault="00AE779C" w:rsidP="00F76882">
      <w:pPr>
        <w:pStyle w:val="TableofFigures"/>
      </w:pPr>
      <w:r w:rsidRPr="003D3BBA">
        <w:t>Installation and refurbishment of hygiene equipment in local schools</w:t>
      </w:r>
      <w:r w:rsidR="00885676" w:rsidRPr="003D3BBA">
        <w:t xml:space="preserve"> and communities</w:t>
      </w:r>
      <w:r w:rsidR="005D0D5D" w:rsidRPr="003D3BBA">
        <w:t xml:space="preserve"> (e.g. handwashing stations)</w:t>
      </w:r>
      <w:r w:rsidRPr="003D3BBA">
        <w:t xml:space="preserve"> in trachoma affected regions to </w:t>
      </w:r>
      <w:r w:rsidR="00885676" w:rsidRPr="003D3BBA">
        <w:t>support</w:t>
      </w:r>
      <w:r w:rsidRPr="003D3BBA">
        <w:t xml:space="preserve"> regular practice.</w:t>
      </w:r>
    </w:p>
    <w:p w14:paraId="63856A3B" w14:textId="77777777" w:rsidR="00AE779C" w:rsidRPr="003D3BBA" w:rsidRDefault="00AE779C" w:rsidP="00F76882">
      <w:pPr>
        <w:pStyle w:val="TableofFigures"/>
      </w:pPr>
      <w:r w:rsidRPr="003D3BBA">
        <w:t>Workforce capacity building such as training/upskilling of Aboriginal Environmental Health Workers and development of environmental health positions in primary healthcare settings to enhance joined-up care.</w:t>
      </w:r>
    </w:p>
    <w:p w14:paraId="104941A9" w14:textId="517669FD" w:rsidR="00AE779C" w:rsidRPr="003D3BBA" w:rsidRDefault="00AE779C" w:rsidP="00F76882">
      <w:pPr>
        <w:pStyle w:val="TableofFigures"/>
      </w:pPr>
      <w:r w:rsidRPr="003D3BBA">
        <w:t>Environmental health policy advice, strategic planning, guidance</w:t>
      </w:r>
      <w:r w:rsidR="00FD38AE" w:rsidRPr="003D3BBA">
        <w:t xml:space="preserve">, and </w:t>
      </w:r>
      <w:r w:rsidRPr="003D3BBA">
        <w:t xml:space="preserve">resource development continues to be undertaken by the Expert Reference Panel on Aboriginal and Torres Strait Islander Environmental Health under the Environmental Health Standing Committee (enHealth) of the Australian Health Protection Committee, as well as by other </w:t>
      </w:r>
      <w:r w:rsidR="002915CF" w:rsidRPr="003D3BBA">
        <w:t>jurisdiction</w:t>
      </w:r>
      <w:r w:rsidR="007F3074" w:rsidRPr="003D3BBA">
        <w:t>al</w:t>
      </w:r>
      <w:r w:rsidR="002915CF" w:rsidRPr="003D3BBA">
        <w:t xml:space="preserve"> </w:t>
      </w:r>
      <w:r w:rsidRPr="003D3BBA">
        <w:t>and regionally based committees.</w:t>
      </w:r>
    </w:p>
    <w:p w14:paraId="5F1F406E" w14:textId="6568BD45" w:rsidR="00F25D08" w:rsidRPr="003D3BBA" w:rsidRDefault="00F25D08" w:rsidP="00F76882"/>
    <w:p w14:paraId="42AB959C" w14:textId="68CA1FFC" w:rsidR="00C82AFB" w:rsidRPr="0036007C" w:rsidRDefault="006C10C1" w:rsidP="00F76882">
      <w:pPr>
        <w:pStyle w:val="Heading3"/>
      </w:pPr>
      <w:bookmarkStart w:id="152" w:name="_Toc160544984"/>
      <w:bookmarkEnd w:id="144"/>
      <w:r w:rsidRPr="0036007C">
        <w:t>Future considerations</w:t>
      </w:r>
    </w:p>
    <w:p w14:paraId="4023D39A" w14:textId="39AB9E8B" w:rsidR="00814C8A" w:rsidRPr="0036007C" w:rsidRDefault="00317B6E" w:rsidP="00F76882">
      <w:r w:rsidRPr="0036007C">
        <w:t xml:space="preserve">It is important to note that ‘elimination as a public health problem’ as defined by WHO does not equate to the complete absence of new infections. Trachoma prevalence remains well above 5% in several communities and indicates both ongoing risk and the potential for resurgence of infection elsewhere. Should Australia’s elimination dossier be approved by WHO, ongoing surveillance and treatment activities for trachoma management will need to continue. </w:t>
      </w:r>
      <w:r w:rsidR="00CD68E3" w:rsidRPr="0093303D">
        <w:t>Systems for</w:t>
      </w:r>
      <w:r w:rsidR="0010123C" w:rsidRPr="0093303D">
        <w:t xml:space="preserve"> trachoma </w:t>
      </w:r>
      <w:r w:rsidR="00CD68E3" w:rsidRPr="0093303D">
        <w:t>surveillance</w:t>
      </w:r>
      <w:r w:rsidR="0010123C" w:rsidRPr="0093303D">
        <w:t xml:space="preserve"> post-validation are currently being explored. The current </w:t>
      </w:r>
      <w:r w:rsidR="00185007" w:rsidRPr="0093303D">
        <w:t>method</w:t>
      </w:r>
      <w:r w:rsidR="00FC467E" w:rsidRPr="0093303D">
        <w:t xml:space="preserve"> </w:t>
      </w:r>
      <w:r w:rsidR="0010123C" w:rsidRPr="0093303D">
        <w:t>of training internationally accredited graders may not be sustainable as prevalence continues to decline. In addition, TF correlates poorly with current infection in low prevalence settings</w:t>
      </w:r>
      <w:r w:rsidR="000E5B67" w:rsidRPr="0093303D">
        <w:t>.</w:t>
      </w:r>
      <w:r w:rsidR="0010123C" w:rsidRPr="0093303D">
        <w:fldChar w:fldCharType="begin"/>
      </w:r>
      <w:r w:rsidR="00256FC4" w:rsidRPr="0093303D">
        <w:instrText xml:space="preserve"> ADDIN EN.CITE &lt;EndNote&gt;&lt;Cite&gt;&lt;Author&gt;Ramadhani&lt;/Author&gt;&lt;Year&gt;2016&lt;/Year&gt;&lt;RecNum&gt;378&lt;/RecNum&gt;&lt;DisplayText&gt;&lt;style face="superscript"&gt;41&lt;/style&gt;&lt;/DisplayText&gt;&lt;record&gt;&lt;rec-number&gt;378&lt;/rec-number&gt;&lt;foreign-keys&gt;&lt;key app="EN" db-id="52r9t20smsvp0rex9v1vsfe3tt9vxfdpvwsa" timestamp="1741930559"&gt;378&lt;/key&gt;&lt;/foreign-keys&gt;&lt;ref-type name="Journal Article"&gt;17&lt;/ref-type&gt;&lt;contributors&gt;&lt;authors&gt;&lt;author&gt;Ramadhani, Athumani M.&lt;/author&gt;&lt;author&gt;Derrick, Tamsyn&lt;/author&gt;&lt;author&gt;Macleod, David&lt;/author&gt;&lt;author&gt;Holland, Martin J.&lt;/author&gt;&lt;author&gt;Burton, Matthew J.&lt;/author&gt;&lt;/authors&gt;&lt;/contributors&gt;&lt;titles&gt;&lt;title&gt;The relationship between active trachoma and ocular Chlamydia trachomatis infection before and after mass antibiotic treatment&lt;/title&gt;&lt;secondary-title&gt;PLOS Neglected Tropical Diseases&lt;/secondary-title&gt;&lt;/titles&gt;&lt;periodical&gt;&lt;full-title&gt;PLOS Neglected Tropical Diseases&lt;/full-title&gt;&lt;/periodical&gt;&lt;pages&gt;e0005080&lt;/pages&gt;&lt;volume&gt;10&lt;/volume&gt;&lt;number&gt;10&lt;/number&gt;&lt;dates&gt;&lt;year&gt;2016&lt;/year&gt;&lt;/dates&gt;&lt;publisher&gt;Public Library of Science&lt;/publisher&gt;&lt;urls&gt;&lt;related-urls&gt;&lt;url&gt;https://doi.org/10.1371/journal.pntd.0005080&lt;/url&gt;&lt;/related-urls&gt;&lt;/urls&gt;&lt;electronic-resource-num&gt;https://doi.org/10.1371/journal.pntd.0005080&lt;/electronic-resource-num&gt;&lt;/record&gt;&lt;/Cite&gt;&lt;/EndNote&gt;</w:instrText>
      </w:r>
      <w:r w:rsidR="0010123C" w:rsidRPr="0093303D">
        <w:fldChar w:fldCharType="separate"/>
      </w:r>
      <w:r w:rsidR="00256FC4" w:rsidRPr="0093303D">
        <w:t>41</w:t>
      </w:r>
      <w:r w:rsidR="0010123C" w:rsidRPr="0093303D">
        <w:fldChar w:fldCharType="end"/>
      </w:r>
      <w:r w:rsidR="0010123C" w:rsidRPr="0093303D">
        <w:t xml:space="preserve"> O</w:t>
      </w:r>
      <w:r w:rsidR="0010123C" w:rsidRPr="0093303D" w:rsidDel="00690850">
        <w:t>ptions for</w:t>
      </w:r>
      <w:r w:rsidR="0010123C" w:rsidRPr="0093303D">
        <w:t xml:space="preserve"> supplementary</w:t>
      </w:r>
      <w:r w:rsidR="0010123C" w:rsidRPr="0093303D" w:rsidDel="00690850">
        <w:t xml:space="preserve"> laboratory-based surveillance</w:t>
      </w:r>
      <w:r w:rsidR="00C478BF" w:rsidRPr="0093303D">
        <w:t xml:space="preserve"> such as via serological markers</w:t>
      </w:r>
      <w:r w:rsidR="0010123C" w:rsidRPr="0093303D" w:rsidDel="00690850">
        <w:t xml:space="preserve"> are currently being investigated for suitability in </w:t>
      </w:r>
      <w:r w:rsidR="0010123C" w:rsidRPr="0093303D">
        <w:t>Australian contexts</w:t>
      </w:r>
      <w:r w:rsidR="0010123C" w:rsidRPr="0093303D" w:rsidDel="00690850">
        <w:t>.</w:t>
      </w:r>
      <w:r w:rsidR="00814C8A" w:rsidRPr="0093303D">
        <w:t xml:space="preserve"> </w:t>
      </w:r>
      <w:bookmarkStart w:id="153" w:name="_Hlk210219529"/>
      <w:r w:rsidR="00814C8A" w:rsidRPr="0093303D">
        <w:t>Crucially,</w:t>
      </w:r>
      <w:bookmarkStart w:id="154" w:name="_Hlk210219519"/>
      <w:r w:rsidR="00814C8A" w:rsidRPr="0093303D">
        <w:t xml:space="preserve"> </w:t>
      </w:r>
      <w:bookmarkEnd w:id="153"/>
      <w:r w:rsidR="00814C8A" w:rsidRPr="0093303D">
        <w:t>t</w:t>
      </w:r>
      <w:r w:rsidR="00B133D0" w:rsidRPr="0036007C">
        <w:t>hese activities must be conducted under the guidance and with direct involvement of the affected communities and community-controlled health services.</w:t>
      </w:r>
      <w:r w:rsidR="00E12ECD" w:rsidRPr="0036007C">
        <w:t xml:space="preserve"> </w:t>
      </w:r>
      <w:bookmarkEnd w:id="154"/>
    </w:p>
    <w:p w14:paraId="7CE8A1F6" w14:textId="799D1907" w:rsidR="0010123C" w:rsidRPr="00F76882" w:rsidRDefault="00814C8A" w:rsidP="00F76882">
      <w:r w:rsidRPr="0036007C">
        <w:t>S</w:t>
      </w:r>
      <w:r w:rsidR="00B133D0" w:rsidRPr="0036007C">
        <w:t xml:space="preserve">ustaining elimination of trachoma </w:t>
      </w:r>
      <w:r w:rsidR="00B133D0" w:rsidRPr="0093303D">
        <w:t xml:space="preserve">as a public health problem </w:t>
      </w:r>
      <w:r w:rsidR="00B133D0" w:rsidRPr="0036007C">
        <w:t xml:space="preserve">relies on strengthening health promoting environments, </w:t>
      </w:r>
      <w:r w:rsidR="00FC467E" w:rsidRPr="0036007C">
        <w:t>particularly</w:t>
      </w:r>
      <w:r w:rsidR="00B133D0" w:rsidRPr="0036007C">
        <w:t xml:space="preserve"> improving the provision of appropriate housing in remote areas and ongoing maintenance of home health hardware, including water and sanitation facilities. </w:t>
      </w:r>
      <w:bookmarkStart w:id="155" w:name="_Hlk210219337"/>
      <w:r w:rsidR="00B133D0" w:rsidRPr="0036007C">
        <w:t>Environmental health improvements have health benefits that go well beyond trachoma control, but require a multi-sectoral effort</w:t>
      </w:r>
      <w:bookmarkEnd w:id="155"/>
      <w:r w:rsidR="00B133D0" w:rsidRPr="0036007C">
        <w:t>, involving agencies beyond the public health units and teams that traditionally have been assigned responsibility for trachoma control activities.</w:t>
      </w:r>
      <w:r w:rsidR="00F6515F" w:rsidRPr="0036007C">
        <w:t xml:space="preserve"> The NTSCRG has extended the number of environmental health and housing representatives in its membership </w:t>
      </w:r>
      <w:r w:rsidR="007B6890" w:rsidRPr="0036007C">
        <w:t>to</w:t>
      </w:r>
      <w:r w:rsidR="00315CDC" w:rsidRPr="0036007C">
        <w:t xml:space="preserve"> advance ongoing cross-sectoral collaboration.</w:t>
      </w:r>
    </w:p>
    <w:p w14:paraId="4CF793DA" w14:textId="11D5920C" w:rsidR="008E7434" w:rsidRPr="004609FA" w:rsidRDefault="005C1AAC" w:rsidP="00F76882">
      <w:pPr>
        <w:pStyle w:val="Heading1"/>
      </w:pPr>
      <w:bookmarkStart w:id="156" w:name="_Toc203986543"/>
      <w:bookmarkStart w:id="157" w:name="_Toc215236953"/>
      <w:r w:rsidRPr="004609FA">
        <w:t>National results</w:t>
      </w:r>
      <w:bookmarkEnd w:id="101"/>
      <w:bookmarkEnd w:id="102"/>
      <w:bookmarkEnd w:id="103"/>
      <w:bookmarkEnd w:id="104"/>
      <w:bookmarkEnd w:id="105"/>
      <w:bookmarkEnd w:id="152"/>
      <w:bookmarkEnd w:id="156"/>
      <w:bookmarkEnd w:id="157"/>
    </w:p>
    <w:p w14:paraId="50EFEE82" w14:textId="77777777" w:rsidR="004412A0" w:rsidRPr="00174EA5" w:rsidRDefault="004412A0" w:rsidP="00F76882">
      <w:pPr>
        <w:pStyle w:val="Heading2"/>
      </w:pPr>
      <w:bookmarkStart w:id="158" w:name="_Toc203986544"/>
      <w:bookmarkStart w:id="159" w:name="_Toc215236954"/>
      <w:r w:rsidRPr="00174EA5">
        <w:t>Figures and Tables</w:t>
      </w:r>
      <w:bookmarkStart w:id="160" w:name="Figure11"/>
      <w:bookmarkEnd w:id="158"/>
      <w:bookmarkEnd w:id="159"/>
    </w:p>
    <w:p w14:paraId="1F9DC2AD" w14:textId="09889C5B" w:rsidR="00A77BAE" w:rsidRPr="0036007C" w:rsidRDefault="00A77BAE" w:rsidP="00F76882">
      <w:pPr>
        <w:pStyle w:val="FigureHeadings"/>
      </w:pPr>
      <w:bookmarkStart w:id="161" w:name="_Toc215237039"/>
      <w:bookmarkEnd w:id="160"/>
      <w:r w:rsidRPr="0036007C">
        <w:t xml:space="preserve">Figure </w:t>
      </w:r>
      <w:r w:rsidR="00287DDB" w:rsidRPr="0036007C">
        <w:t>1.1</w:t>
      </w:r>
      <w:r w:rsidRPr="0036007C">
        <w:tab/>
      </w:r>
      <w:r w:rsidR="00E01DAC" w:rsidRPr="0036007C">
        <w:t>Overall trachoma prevalence in children aged 5</w:t>
      </w:r>
      <w:r w:rsidR="003D00CE" w:rsidRPr="0036007C">
        <w:t>–</w:t>
      </w:r>
      <w:r w:rsidR="00E01DAC" w:rsidRPr="0036007C">
        <w:t>9 years by jurisdiction</w:t>
      </w:r>
      <w:r w:rsidRPr="0036007C">
        <w:t>, Australia</w:t>
      </w:r>
      <w:r w:rsidR="002C7A5F" w:rsidRPr="0036007C">
        <w:t>,</w:t>
      </w:r>
      <w:r w:rsidRPr="0036007C">
        <w:t xml:space="preserve"> </w:t>
      </w:r>
      <w:r w:rsidR="00E76BB4" w:rsidRPr="0036007C">
        <w:t>202</w:t>
      </w:r>
      <w:r w:rsidR="00822461" w:rsidRPr="0036007C">
        <w:t>4</w:t>
      </w:r>
      <w:bookmarkEnd w:id="161"/>
    </w:p>
    <w:p w14:paraId="02422B56" w14:textId="67CBB382" w:rsidR="00F25D08" w:rsidRPr="003D3BBA" w:rsidRDefault="008536D5" w:rsidP="00F76882">
      <w:r w:rsidRPr="003D3BBA">
        <w:drawing>
          <wp:inline distT="0" distB="0" distL="0" distR="0" wp14:anchorId="77A3C053" wp14:editId="3FBF5F48">
            <wp:extent cx="6645910" cy="6645910"/>
            <wp:effectExtent l="0" t="0" r="2540" b="2540"/>
            <wp:docPr id="1668334426" name="Picture 4" descr="Overall trachoma prevalence in children aged 5–9 years by jurisdiction, Australia, 2024&#10;&#10;Figure 1.1 is a map of Australia that visualises regional overall trachoma prevalence in five categories: &#10;&#10;Regions not at-risk of trachoma are the East Arnhem region in the Northern Territory, the Yorke and Mid North region, Southeast corner of South Australia, Southwest corner of Western Australia and all Queensland, New South Wales, Victoria, and Tasmania.&#10;&#10;Overall trachoma prevalence is zero in the Anangu Pitjantjatjara Yankunytjatjara (APY) Lands, Eyre and Western, and Far North regions (South Australia) and Midwest region (Western Australia).&#10;&#10;The regions of Barkly, Darwin Rural, and Katherine (Northern Territory), Goldfields, Kimberly, and Pilbara (Western Australia) have greater than zero but less than 5% overall trachoma prevalence.&#10;&#10;Alice Springs Remote (Northern Territory) has greater than 5% but less than 10% overall trachoma prevalence. &#10;&#10;No regions recorded greater than 10% overall trachoma preva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34426" name="Picture 4" descr="Overall trachoma prevalence in children aged 5–9 years by jurisdiction, Australia, 2024&#10;&#10;Figure 1.1 is a map of Australia that visualises regional overall trachoma prevalence in five categories: &#10;&#10;Regions not at-risk of trachoma are the East Arnhem region in the Northern Territory, the Yorke and Mid North region, Southeast corner of South Australia, Southwest corner of Western Australia and all Queensland, New South Wales, Victoria, and Tasmania.&#10;&#10;Overall trachoma prevalence is zero in the Anangu Pitjantjatjara Yankunytjatjara (APY) Lands, Eyre and Western, and Far North regions (South Australia) and Midwest region (Western Australia).&#10;&#10;The regions of Barkly, Darwin Rural, and Katherine (Northern Territory), Goldfields, Kimberly, and Pilbara (Western Australia) have greater than zero but less than 5% overall trachoma prevalence.&#10;&#10;Alice Springs Remote (Northern Territory) has greater than 5% but less than 10% overall trachoma prevalence. &#10;&#10;No regions recorded greater than 10% overall trachoma prevalence.&#10;"/>
                    <pic:cNvPicPr/>
                  </pic:nvPicPr>
                  <pic:blipFill>
                    <a:blip r:embed="rId12"/>
                    <a:stretch>
                      <a:fillRect/>
                    </a:stretch>
                  </pic:blipFill>
                  <pic:spPr>
                    <a:xfrm>
                      <a:off x="0" y="0"/>
                      <a:ext cx="6645910" cy="6645910"/>
                    </a:xfrm>
                    <a:prstGeom prst="rect">
                      <a:avLst/>
                    </a:prstGeom>
                  </pic:spPr>
                </pic:pic>
              </a:graphicData>
            </a:graphic>
          </wp:inline>
        </w:drawing>
      </w:r>
    </w:p>
    <w:p w14:paraId="2B07D5D5" w14:textId="425C290E" w:rsidR="00046C9F" w:rsidRPr="00F76882" w:rsidRDefault="00046C9F" w:rsidP="00F76882">
      <w:bookmarkStart w:id="162" w:name="_Ref58328719"/>
      <w:r w:rsidRPr="0036007C">
        <w:br w:type="page"/>
      </w:r>
    </w:p>
    <w:p w14:paraId="33048FE1" w14:textId="05D3D191" w:rsidR="00E5196E" w:rsidRPr="0036007C" w:rsidRDefault="00A77BAE" w:rsidP="00F76882">
      <w:pPr>
        <w:pStyle w:val="FigureHeadings"/>
      </w:pPr>
      <w:bookmarkStart w:id="163" w:name="_Toc215237040"/>
      <w:r w:rsidRPr="0036007C">
        <w:t xml:space="preserve">Figure </w:t>
      </w:r>
      <w:bookmarkEnd w:id="162"/>
      <w:r w:rsidR="00287DDB" w:rsidRPr="0036007C">
        <w:t>1.2</w:t>
      </w:r>
      <w:r w:rsidRPr="0036007C">
        <w:tab/>
      </w:r>
      <w:r w:rsidR="005D69DB" w:rsidRPr="0036007C">
        <w:t>Number of at-risk communities</w:t>
      </w:r>
      <w:r w:rsidR="00CA1424" w:rsidRPr="0036007C">
        <w:t>*</w:t>
      </w:r>
      <w:r w:rsidR="005D69DB" w:rsidRPr="0036007C">
        <w:t xml:space="preserve"> </w:t>
      </w:r>
      <w:r w:rsidRPr="0036007C">
        <w:t>by jurisdiction, Australia</w:t>
      </w:r>
      <w:r w:rsidR="003B727D" w:rsidRPr="0036007C">
        <w:t>,</w:t>
      </w:r>
      <w:r w:rsidRPr="0036007C">
        <w:t xml:space="preserve"> 2007–</w:t>
      </w:r>
      <w:r w:rsidR="004D4B32" w:rsidRPr="0036007C">
        <w:t>2</w:t>
      </w:r>
      <w:r w:rsidR="00E76BB4" w:rsidRPr="0036007C">
        <w:t>02</w:t>
      </w:r>
      <w:r w:rsidR="00822461" w:rsidRPr="0036007C">
        <w:t>4</w:t>
      </w:r>
      <w:bookmarkEnd w:id="163"/>
    </w:p>
    <w:p w14:paraId="0BDDA816" w14:textId="77777777" w:rsidR="00C404B8" w:rsidRPr="00A33DD2" w:rsidRDefault="00C404B8" w:rsidP="00F76882">
      <w:r w:rsidRPr="00A33DD2">
        <w:drawing>
          <wp:inline distT="0" distB="0" distL="0" distR="0" wp14:anchorId="6D201A94" wp14:editId="4BA2A317">
            <wp:extent cx="6300000" cy="3456000"/>
            <wp:effectExtent l="0" t="0" r="0" b="0"/>
            <wp:docPr id="1350565021" name="Chart 1" descr="Number of at-risk communities by jurisdiction, Australia, 2007–2024&#10;&#10;Figure 1.2 is a line graph for five jurisdictions with number of communities on the Y-axis and year on the X-axis.&#10;&#10;New South Wales had 10 at-risk communities in 2013 and 2014, swiftly declining to zero from 2016 onwards.&#10;&#10;The number of at-risk communities in the Northern Territory declined overall from 85 communities in 2007 to 48 in 2024.&#10;&#10;Queensland had six at-risk communities in 2012, declining to zero from 2022.&#10;&#10;The number of at-risk communities in South Australia declined overall from 68 communities in 2007 to 16 in 2024.&#10;&#10;The number of at-risk communities in Western Australia declined overall from 72 communities in 2007 to 33 in 2024.&#10;">
              <a:extLst xmlns:a="http://schemas.openxmlformats.org/drawingml/2006/main">
                <a:ext uri="{FF2B5EF4-FFF2-40B4-BE49-F238E27FC236}">
                  <a16:creationId xmlns:a16="http://schemas.microsoft.com/office/drawing/2014/main" id="{A36C933B-E514-4644-BBD7-A393B15AD2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C8E350" w14:textId="27A54F3D" w:rsidR="004D06CF" w:rsidRPr="00A33DD2" w:rsidRDefault="00CA1424" w:rsidP="00F76882">
      <w:pPr>
        <w:pStyle w:val="tablefigfootnote"/>
      </w:pPr>
      <w:r w:rsidRPr="00A33DD2">
        <w:t xml:space="preserve">* 2024 data points include communities identified </w:t>
      </w:r>
      <w:r w:rsidR="00B95B52" w:rsidRPr="00A33DD2">
        <w:t xml:space="preserve">by selected jurisdictions </w:t>
      </w:r>
      <w:r w:rsidRPr="00A33DD2">
        <w:t>for evidence confirmation screening for final-year dossier validation surveillance (refer to Findings and interpretation).</w:t>
      </w:r>
    </w:p>
    <w:p w14:paraId="6C5D2F72" w14:textId="0903F16A" w:rsidR="008C1918" w:rsidRPr="0036007C" w:rsidRDefault="00A60EFD" w:rsidP="00F76882">
      <w:pPr>
        <w:pStyle w:val="FigureHeadings"/>
      </w:pPr>
      <w:bookmarkStart w:id="164" w:name="_Figure1.3_Number_of"/>
      <w:bookmarkStart w:id="165" w:name="_Figure_1.3_Number"/>
      <w:bookmarkStart w:id="166" w:name="_Toc360460777"/>
      <w:bookmarkStart w:id="167" w:name="_Toc392153878"/>
      <w:bookmarkStart w:id="168" w:name="_Toc215237041"/>
      <w:bookmarkEnd w:id="164"/>
      <w:bookmarkEnd w:id="165"/>
      <w:r w:rsidRPr="0036007C">
        <w:t xml:space="preserve">Figure </w:t>
      </w:r>
      <w:r w:rsidR="00287DDB" w:rsidRPr="0036007C">
        <w:t>1.3</w:t>
      </w:r>
      <w:r w:rsidRPr="0036007C">
        <w:t xml:space="preserve"> </w:t>
      </w:r>
      <w:r w:rsidR="004E0B12" w:rsidRPr="0036007C">
        <w:tab/>
      </w:r>
      <w:r w:rsidRPr="0036007C">
        <w:t>Number of at-risk communities according to trachoma control strategy implemented by jurisdiction, Australia</w:t>
      </w:r>
      <w:r w:rsidR="003B727D" w:rsidRPr="0036007C">
        <w:t>,</w:t>
      </w:r>
      <w:r w:rsidRPr="0036007C">
        <w:t xml:space="preserve"> </w:t>
      </w:r>
      <w:r w:rsidR="00E76BB4" w:rsidRPr="0036007C">
        <w:t>202</w:t>
      </w:r>
      <w:r w:rsidR="00822461" w:rsidRPr="0036007C">
        <w:t>4</w:t>
      </w:r>
      <w:bookmarkEnd w:id="168"/>
    </w:p>
    <w:p w14:paraId="4DF209BF" w14:textId="40D41394" w:rsidR="00C76B5E" w:rsidRPr="00C002DA" w:rsidRDefault="00420917" w:rsidP="00F76882">
      <w:r w:rsidRPr="00C002DA">
        <w:drawing>
          <wp:inline distT="0" distB="0" distL="0" distR="0" wp14:anchorId="22FFFB7F" wp14:editId="465544E3">
            <wp:extent cx="5897650" cy="4003676"/>
            <wp:effectExtent l="0" t="0" r="8255" b="0"/>
            <wp:docPr id="151822198" name="Chart 1" descr="Number of at-risk communities according to trachoma control strategy implemented by jurisdiction, Australia, 2024&#10;&#10;Figure 1.3 is a stacked bar graph with number of communities on the Y-axis and jurisdiction on the X-axis. &#10;&#10;The Northern Territory column indicates that of the 48 at-risk communities:&#10;Three were not screened or treated;&#10;27 were screened and no treatment was required; and&#10;18 were screened and treated.&#10;&#10;The South Australian column indicates that of the 16 at-risk communities:  &#10;One was not screened or treated;&#10;15 were screened and no treatment was required.&#10;&#10;The Western Australian column indicates that of the 33 at-risk communities: &#10;Seven did not require screening or treatment;&#10;19 were screened and no treatment was required; and&#10;Seven were screened and treated.&#10;">
              <a:extLst xmlns:a="http://schemas.openxmlformats.org/drawingml/2006/main">
                <a:ext uri="{FF2B5EF4-FFF2-40B4-BE49-F238E27FC236}">
                  <a16:creationId xmlns:a16="http://schemas.microsoft.com/office/drawing/2014/main" id="{21B15BCC-2C11-8054-B17F-6D1653D9E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154CFD" w14:textId="547F96BF" w:rsidR="00046C9F" w:rsidRPr="0036007C" w:rsidRDefault="004E7012" w:rsidP="00F76882">
      <w:pPr>
        <w:pStyle w:val="FigureHeadings"/>
      </w:pPr>
      <w:bookmarkStart w:id="169" w:name="_Figure1.4_Population_screening"/>
      <w:bookmarkStart w:id="170" w:name="_Figure_1.4_Population"/>
      <w:bookmarkStart w:id="171" w:name="_Figure1.5_Proportion_of"/>
      <w:bookmarkStart w:id="172" w:name="_Figure_1.5_Proportion"/>
      <w:bookmarkStart w:id="173" w:name="_Ref58329280"/>
      <w:bookmarkStart w:id="174" w:name="_Toc215237042"/>
      <w:bookmarkEnd w:id="166"/>
      <w:bookmarkEnd w:id="167"/>
      <w:bookmarkEnd w:id="169"/>
      <w:bookmarkEnd w:id="170"/>
      <w:bookmarkEnd w:id="171"/>
      <w:bookmarkEnd w:id="172"/>
      <w:r w:rsidRPr="0036007C">
        <w:t xml:space="preserve">Figure </w:t>
      </w:r>
      <w:bookmarkEnd w:id="173"/>
      <w:r w:rsidR="009B3144" w:rsidRPr="0036007C">
        <w:t>1.</w:t>
      </w:r>
      <w:r w:rsidR="008A586F" w:rsidRPr="0036007C">
        <w:t>4</w:t>
      </w:r>
      <w:r w:rsidRPr="0036007C">
        <w:t xml:space="preserve"> </w:t>
      </w:r>
      <w:r w:rsidRPr="0036007C">
        <w:tab/>
      </w:r>
      <w:r w:rsidR="00E27C15" w:rsidRPr="0036007C">
        <w:t>Proportion of screened children aged 5</w:t>
      </w:r>
      <w:r w:rsidR="003D00CE" w:rsidRPr="0036007C">
        <w:t>–</w:t>
      </w:r>
      <w:r w:rsidR="00E27C15" w:rsidRPr="0036007C">
        <w:t>9 years who had a clean face by jurisdiction, Australia 2007</w:t>
      </w:r>
      <w:r w:rsidR="003D00CE" w:rsidRPr="0036007C">
        <w:t>–</w:t>
      </w:r>
      <w:r w:rsidR="00E76BB4" w:rsidRPr="0036007C">
        <w:t>202</w:t>
      </w:r>
      <w:r w:rsidR="00822461" w:rsidRPr="0036007C">
        <w:t>4</w:t>
      </w:r>
      <w:bookmarkEnd w:id="174"/>
      <w:r w:rsidR="00E27C15" w:rsidRPr="0036007C">
        <w:t xml:space="preserve"> </w:t>
      </w:r>
      <w:bookmarkStart w:id="175" w:name="_Figure_1.6_a"/>
      <w:bookmarkEnd w:id="175"/>
    </w:p>
    <w:p w14:paraId="3EAFBE11" w14:textId="77777777" w:rsidR="00A760A5" w:rsidRPr="0036007C" w:rsidRDefault="0079039B" w:rsidP="00F76882">
      <w:r w:rsidRPr="00490CF4">
        <w:rPr>
          <w:noProof/>
        </w:rPr>
        <w:drawing>
          <wp:inline distT="0" distB="0" distL="0" distR="0" wp14:anchorId="2CE69D4D" wp14:editId="698EFB35">
            <wp:extent cx="6300000" cy="3456000"/>
            <wp:effectExtent l="0" t="0" r="0" b="0"/>
            <wp:docPr id="594576382" name="Chart 1" descr="Proportion of screened children aged 5–9 years who had a clean face by jurisdiction, Australia, 2007–2024&#10;&#10;Figure 1.4 is a line graph for five jurisdictions with proportion on the Y-axis and year on the X-axis.&#10;&#10;In New South Wales, the proportion of children with clean faces was 96% for 2013, increasing to 100% in 2014 then decreasing to 89% in 2015. &#10;&#10;In the Northern Territory, the proportion of children with clean faces has generally fluctuated between 70% to 90% from 2007 to 2024.&#10;&#10;In Queensland, the proportion of children with clean faces declined overall from 92% in 2016 to 75% in 2021.&#10;&#10; In South Australia, the proportion of children with clean faces has generally fluctuated between 70% to 90% from 2007 to 2024.&#10;&#10;In Western Australia, the proportion of children with clean faces declined slightly overall from 84% in 2007 to 76% in 2024, with a sharp dip to 43% in 2017.">
              <a:extLst xmlns:a="http://schemas.openxmlformats.org/drawingml/2006/main">
                <a:ext uri="{FF2B5EF4-FFF2-40B4-BE49-F238E27FC236}">
                  <a16:creationId xmlns:a16="http://schemas.microsoft.com/office/drawing/2014/main" id="{830D6D0D-C1B6-4A3A-8F24-6090D18F67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5DEF81" w14:textId="7BE942AC" w:rsidR="00820705" w:rsidRPr="0036007C" w:rsidRDefault="00745173" w:rsidP="00F76882">
      <w:pPr>
        <w:pStyle w:val="FigureHeadings"/>
      </w:pPr>
      <w:bookmarkStart w:id="176" w:name="_Toc215237043"/>
      <w:r w:rsidRPr="0036007C">
        <w:t xml:space="preserve">Figure </w:t>
      </w:r>
      <w:r w:rsidR="009B3144" w:rsidRPr="0036007C">
        <w:t>1.</w:t>
      </w:r>
      <w:r w:rsidR="008A586F" w:rsidRPr="0036007C">
        <w:t>5</w:t>
      </w:r>
      <w:r w:rsidRPr="0036007C">
        <w:t xml:space="preserve">a </w:t>
      </w:r>
      <w:r w:rsidRPr="0036007C">
        <w:tab/>
      </w:r>
      <w:r w:rsidR="005536A0" w:rsidRPr="0036007C">
        <w:t xml:space="preserve">Observed prevalence of clinical findings consistent with </w:t>
      </w:r>
      <w:r w:rsidR="004D4B32" w:rsidRPr="0036007C">
        <w:t>trachomatous inflammation—follicular/intense</w:t>
      </w:r>
      <w:r w:rsidR="00B4052E" w:rsidRPr="0036007C">
        <w:t>*</w:t>
      </w:r>
      <w:r w:rsidR="005536A0" w:rsidRPr="0036007C">
        <w:t xml:space="preserve"> among screened children aged 5</w:t>
      </w:r>
      <w:r w:rsidR="003D00CE" w:rsidRPr="0036007C">
        <w:t>–</w:t>
      </w:r>
      <w:r w:rsidR="005536A0" w:rsidRPr="0036007C">
        <w:t xml:space="preserve">9 years by </w:t>
      </w:r>
      <w:r w:rsidR="00772907" w:rsidRPr="0036007C">
        <w:t>jurisdiction</w:t>
      </w:r>
      <w:r w:rsidR="005536A0" w:rsidRPr="0036007C">
        <w:t>, Australia, 2007–202</w:t>
      </w:r>
      <w:r w:rsidR="00822461" w:rsidRPr="0036007C">
        <w:t>4</w:t>
      </w:r>
      <w:bookmarkStart w:id="177" w:name="_Figure_1.6_b"/>
      <w:bookmarkStart w:id="178" w:name="_Toc360460780"/>
      <w:bookmarkStart w:id="179" w:name="_Toc392153881"/>
      <w:bookmarkEnd w:id="176"/>
      <w:bookmarkEnd w:id="177"/>
    </w:p>
    <w:p w14:paraId="025C7B38" w14:textId="40613A53" w:rsidR="00B4052E" w:rsidRPr="0036007C" w:rsidRDefault="00944BD1" w:rsidP="00F76882">
      <w:r w:rsidRPr="00490CF4">
        <w:rPr>
          <w:noProof/>
        </w:rPr>
        <w:drawing>
          <wp:inline distT="0" distB="0" distL="0" distR="0" wp14:anchorId="6D075924" wp14:editId="4605651A">
            <wp:extent cx="6300000" cy="3456000"/>
            <wp:effectExtent l="0" t="0" r="5715" b="0"/>
            <wp:docPr id="622768397" name="Chart 1" descr="Observed prevalence of clinical findings consistent with trachomatous inflammation—follicular/intense among screened children aged 5–9 years by jurisdiction, Australia, 2007–2024&#10;&#10;Figure 1.5a is a line graph for five jurisdictions with proportion on the Y-axis and year on the X-axis.&#10;&#10;In New South Wales, observed trachoma prevalence declined from 0.5% in 2013 to 0% in 2014 and 2015.&#10;&#10;In the Northern Territory, there was a spike in observed trachoma prevalence from 14% in 2007 to 26% in 2008, after which observed prevalence declined sharply to 2.4% in 2013. Since then, yearly figures have fluctuated but generally risen, reaching 4.9% in 2024.&#10;&#10;Queensland recorded observed trachoma prevalence of 0% in 2012, followed by a three year gap in screening. Between 2016 and 2021 whilst observed prevalence did not change point to point at just over 9%, there was a sharp drop to 2.8% observed prevalence in 2018.&#10;&#10;In South Australia, observed trachoma prevalence fluctuated sharply between 14% and 2% from 2007 to 2012, followed by a pattern of smaller peaks and troughs, reaching 0% observed prevalence from 2022.&#10;&#10;In Western Australia, observed trachoma prevalence has declined to 4.1% in 2024, whilst following a wave-like pattern with two peaks at 15-16% in 2007-2009 and 2019, and a low of 2% in 2014.">
              <a:extLst xmlns:a="http://schemas.openxmlformats.org/drawingml/2006/main">
                <a:ext uri="{FF2B5EF4-FFF2-40B4-BE49-F238E27FC236}">
                  <a16:creationId xmlns:a16="http://schemas.microsoft.com/office/drawing/2014/main" id="{6DB2328B-7FDD-431D-8334-E9A0749233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D4E179" w14:textId="3FDD4E8A" w:rsidR="00C945EA" w:rsidRPr="0036007C" w:rsidRDefault="00B4052E" w:rsidP="00F76882">
      <w:pPr>
        <w:pStyle w:val="FootnoteText"/>
      </w:pPr>
      <w:r w:rsidRPr="0036007C">
        <w:t xml:space="preserve">*According to WHO </w:t>
      </w:r>
      <w:r w:rsidR="008426EA" w:rsidRPr="0036007C">
        <w:t>s</w:t>
      </w:r>
      <w:r w:rsidRPr="0036007C">
        <w:t xml:space="preserve">implified </w:t>
      </w:r>
      <w:r w:rsidR="008426EA" w:rsidRPr="0036007C">
        <w:t>trachoma g</w:t>
      </w:r>
      <w:r w:rsidRPr="0036007C">
        <w:t xml:space="preserve">rading </w:t>
      </w:r>
      <w:r w:rsidR="008426EA" w:rsidRPr="0036007C">
        <w:t>c</w:t>
      </w:r>
      <w:r w:rsidRPr="0036007C">
        <w:t>riteria</w:t>
      </w:r>
      <w:r w:rsidR="008426EA" w:rsidRPr="0036007C">
        <w:fldChar w:fldCharType="begin">
          <w:fldData xml:space="preserve">PEVuZE5vdGU+PENpdGU+PEF1dGhvcj5Tb2xvbW9uPC9BdXRob3I+PFllYXI+MjAyMDwvWWVhcj48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</w:fldData>
        </w:fldChar>
      </w:r>
      <w:r w:rsidR="00AA7F13" w:rsidRPr="0036007C">
        <w:instrText xml:space="preserve"> ADDIN EN.CITE </w:instrText>
      </w:r>
      <w:r w:rsidR="00AA7F13" w:rsidRPr="0036007C">
        <w:fldChar w:fldCharType="begin">
          <w:fldData xml:space="preserve">PEVuZE5vdGU+PENpdGU+PEF1dGhvcj5Tb2xvbW9uPC9BdXRob3I+PFllYXI+MjAyMDwvWWVhcj48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</w:fldData>
        </w:fldChar>
      </w:r>
      <w:r w:rsidR="00AA7F13" w:rsidRPr="0036007C">
        <w:instrText xml:space="preserve"> ADDIN EN.CITE.DATA </w:instrText>
      </w:r>
      <w:r w:rsidR="00AA7F13" w:rsidRPr="0036007C">
        <w:fldChar w:fldCharType="end"/>
      </w:r>
      <w:r w:rsidR="008426EA" w:rsidRPr="0036007C">
        <w:fldChar w:fldCharType="separate"/>
      </w:r>
      <w:r w:rsidR="00AA7F13" w:rsidRPr="00495326">
        <w:rPr>
          <w:rStyle w:val="SuperscriptChar"/>
        </w:rPr>
        <w:t>2</w:t>
      </w:r>
      <w:r w:rsidR="008426EA" w:rsidRPr="0036007C">
        <w:fldChar w:fldCharType="end"/>
      </w:r>
    </w:p>
    <w:p w14:paraId="79E07529" w14:textId="2B357F36" w:rsidR="00304D6F" w:rsidRPr="00C03D0E" w:rsidRDefault="00304D6F" w:rsidP="00F76882">
      <w:pPr>
        <w:pStyle w:val="FootnoteText"/>
      </w:pPr>
      <w:r w:rsidRPr="0036007C">
        <w:br w:type="page"/>
      </w:r>
    </w:p>
    <w:p w14:paraId="4430B834" w14:textId="2EFB4DB2" w:rsidR="00DB3932" w:rsidRPr="0036007C" w:rsidRDefault="00DB3932" w:rsidP="00F76882">
      <w:pPr>
        <w:pStyle w:val="FigureHeadings"/>
      </w:pPr>
      <w:bookmarkStart w:id="180" w:name="_Toc215237044"/>
      <w:r w:rsidRPr="0036007C">
        <w:t>Figure 1.</w:t>
      </w:r>
      <w:r w:rsidR="008A586F" w:rsidRPr="0036007C">
        <w:t>5</w:t>
      </w:r>
      <w:r w:rsidR="00CF269A" w:rsidRPr="0036007C">
        <w:t>b</w:t>
      </w:r>
      <w:r w:rsidR="004E0B12" w:rsidRPr="0036007C">
        <w:tab/>
      </w:r>
      <w:r w:rsidR="00C0716B" w:rsidRPr="0036007C">
        <w:t>Estimated prevalence of trachoma among children aged 5</w:t>
      </w:r>
      <w:r w:rsidR="003D00CE" w:rsidRPr="0036007C">
        <w:t>–</w:t>
      </w:r>
      <w:r w:rsidR="00C0716B" w:rsidRPr="0036007C">
        <w:t>9 years in all at-risk communities* by jurisdiction, Australia, 2007–202</w:t>
      </w:r>
      <w:r w:rsidR="006E3876" w:rsidRPr="0036007C">
        <w:t>4</w:t>
      </w:r>
      <w:bookmarkEnd w:id="180"/>
    </w:p>
    <w:p w14:paraId="304A6001" w14:textId="1B2D9C1B" w:rsidR="006D3B73" w:rsidRPr="00C002DA" w:rsidRDefault="0020028A" w:rsidP="00F76882">
      <w:r w:rsidRPr="00C002DA">
        <w:drawing>
          <wp:inline distT="0" distB="0" distL="0" distR="0" wp14:anchorId="3FCA7F4B" wp14:editId="0DD6A810">
            <wp:extent cx="6300000" cy="3456000"/>
            <wp:effectExtent l="0" t="0" r="5715" b="0"/>
            <wp:docPr id="647317786" name="Chart 1" descr="Estimated prevalence of trachoma among children aged 5–9 years in all at-risk communities by jurisdiction, Australia, 2007–2024&#10;Figure 1.5b is a line graph for five jurisdictions with proportion on the Y-axis and year on the X-axis.&#10;In New South Wales, estimated trachoma prevalence declined from 0.5% in 2013 to 0% in 2014 and 2015.&#10;In the Northern Territory, there was a spike in estimated trachoma prevalence from 14% in 2007 to 26% in 2008, after which yearly figures declined to 4.5% in 2012. Since then, yearly estimated prevalence has generally fluctuated between four to seven percent.&#10;Queensland recorded estimated trachoma prevalence of 0% in 2012, followed by a three year gap in screening. Between 2016 to 2021, estimated prevalence declined slightly from 9.2% to 8.3%.&#10;In South Australia, estimated trachoma prevalence fluctuated sharply between 14% and 1.6% between 2007 to 2012. This was followed by a pattern of smaller peaks and troughs, remaining at 0% estimated prevalence from 2022.&#10;In Western Australia, estimated trachoma prevalence generally declined from 15% in 2007 to 2.6% in 2015, before returning to 15% in 2019. Estimated prevalence continued to fluctuate until 2021, then declined to 2.9% in 2024.&#10;">
              <a:extLst xmlns:a="http://schemas.openxmlformats.org/drawingml/2006/main">
                <a:ext uri="{FF2B5EF4-FFF2-40B4-BE49-F238E27FC236}">
                  <a16:creationId xmlns:a16="http://schemas.microsoft.com/office/drawing/2014/main" id="{6AFB963D-52FB-474D-B5E4-BA6C08F78A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B63CBC1" w14:textId="216FD61C" w:rsidR="00C67DC6" w:rsidRPr="00A33DD2" w:rsidRDefault="005A5CD2" w:rsidP="00F76882">
      <w:pPr>
        <w:pStyle w:val="tablefigfootnote"/>
      </w:pPr>
      <w:r w:rsidRPr="00A33DD2">
        <w:t xml:space="preserve">* Most recent estimates carried forward in </w:t>
      </w:r>
      <w:r w:rsidR="00F16C34" w:rsidRPr="00A33DD2">
        <w:t xml:space="preserve">at-risk </w:t>
      </w:r>
      <w:r w:rsidRPr="00A33DD2">
        <w:t xml:space="preserve">communities that did not screen in </w:t>
      </w:r>
      <w:r w:rsidR="00C3405D" w:rsidRPr="00A33DD2">
        <w:t>2024</w:t>
      </w:r>
      <w:r w:rsidR="000B597D" w:rsidRPr="00A33DD2">
        <w:t>.</w:t>
      </w:r>
    </w:p>
    <w:p w14:paraId="7E6E067A" w14:textId="004DFB7D" w:rsidR="002E3A47" w:rsidRPr="0036007C" w:rsidRDefault="002E60CF" w:rsidP="00F76882">
      <w:pPr>
        <w:pStyle w:val="FigureHeadings"/>
      </w:pPr>
      <w:bookmarkStart w:id="181" w:name="_Figure_1.6_c"/>
      <w:bookmarkStart w:id="182" w:name="_Toc215237045"/>
      <w:bookmarkEnd w:id="181"/>
      <w:r w:rsidRPr="0036007C">
        <w:t>Figure 1.</w:t>
      </w:r>
      <w:r w:rsidR="008A586F" w:rsidRPr="0036007C">
        <w:t>5</w:t>
      </w:r>
      <w:r w:rsidRPr="0036007C">
        <w:fldChar w:fldCharType="begin"/>
      </w:r>
      <w:r w:rsidRPr="0036007C">
        <w:instrText>SEQ Figure_1.6 \* alphabetic</w:instrText>
      </w:r>
      <w:r w:rsidRPr="0036007C">
        <w:fldChar w:fldCharType="separate"/>
      </w:r>
      <w:r w:rsidRPr="0036007C">
        <w:t>c</w:t>
      </w:r>
      <w:r w:rsidRPr="0036007C">
        <w:fldChar w:fldCharType="end"/>
      </w:r>
      <w:r w:rsidRPr="0036007C">
        <w:tab/>
      </w:r>
      <w:r w:rsidR="00046C9F" w:rsidRPr="0036007C">
        <w:t>Overall prevalence of trachoma among children aged 5</w:t>
      </w:r>
      <w:r w:rsidR="003D00CE" w:rsidRPr="0036007C">
        <w:t>–</w:t>
      </w:r>
      <w:r w:rsidR="00046C9F" w:rsidRPr="0036007C">
        <w:t xml:space="preserve">9 years in all communities* </w:t>
      </w:r>
      <w:r w:rsidR="00220A76" w:rsidRPr="0036007C">
        <w:t xml:space="preserve">by jurisdiction, </w:t>
      </w:r>
      <w:r w:rsidR="00193506" w:rsidRPr="0036007C">
        <w:t xml:space="preserve">Australia, </w:t>
      </w:r>
      <w:r w:rsidR="00220A76" w:rsidRPr="0036007C">
        <w:t>2007</w:t>
      </w:r>
      <w:r w:rsidR="00220A76" w:rsidRPr="00F71130">
        <w:t>–</w:t>
      </w:r>
      <w:r w:rsidR="00220A76" w:rsidRPr="0036007C">
        <w:t>202</w:t>
      </w:r>
      <w:r w:rsidR="00822461" w:rsidRPr="0036007C">
        <w:t>4</w:t>
      </w:r>
      <w:bookmarkEnd w:id="182"/>
    </w:p>
    <w:p w14:paraId="284942E6" w14:textId="12771ABE" w:rsidR="00046C9F" w:rsidRPr="00A33DD2" w:rsidRDefault="009B2192" w:rsidP="00F76882">
      <w:r w:rsidRPr="00A33DD2">
        <w:drawing>
          <wp:inline distT="0" distB="0" distL="0" distR="0" wp14:anchorId="7E499DF9" wp14:editId="6DC82D76">
            <wp:extent cx="6300000" cy="3456000"/>
            <wp:effectExtent l="0" t="0" r="5715" b="0"/>
            <wp:docPr id="1486500906" name="Chart 1" descr="Overall prevalence of trachoma among children aged 5–9 years in all communities by jurisdiction, Australia, 2007–2024&#10;Figure 1.5c is a line graph for five jurisdictions and national estimates with proportion on the Y-axis and year on the X-axis. &#10;Nationally, after an initial spike in overall trachoma prevalence from 14% in 2007 to 18% in 2008, yearly figures steadily declined and remained relatively stable between 4.5% and 3.8% until 2020, then declining again to 1.5% in 2024.&#10;In New South Wales, overall trachoma prevalence has remained at 0.5% between 2013 to 2015. &#10;In the Northern Territory, there was an initial spike in overall trachoma prevalence from 14% in 2007 to 22% in 2008, after which yearly figures declined steadily, then generally remaining stable at around 4% to 6% between 2012 and 2020. Since then, overall prevalence has declined slightly to 2.1% in 2024.&#10;In Queensland, overall trachoma prevalence was 0% in 2012. When screening recommenced, overall prevalence declined from 9.2% in 2016 to 4.5% in 2021.&#10;In South Australia, overall trachoma prevalence fluctuated sharply between 14% in 2007 to 1.5% in 2012. This was followed by a pattern of smaller peaks and troughs, then generally remaining at 0% overall prevalence from 2019.&#10;In Western Australia, overall trachoma prevalence generally declined from 15% in 2007 to remain approximately between 4% to 6% from 2012 to 2021, then declining again to 1.3% overall prevalence in 2024.&#10;">
              <a:extLst xmlns:a="http://schemas.openxmlformats.org/drawingml/2006/main">
                <a:ext uri="{FF2B5EF4-FFF2-40B4-BE49-F238E27FC236}">
                  <a16:creationId xmlns:a16="http://schemas.microsoft.com/office/drawing/2014/main" id="{3FF0D248-1185-4B50-A625-05228BC6F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5D9AE8" w14:textId="22FD34DE" w:rsidR="00C878A4" w:rsidRPr="0036007C" w:rsidRDefault="00EC5848" w:rsidP="00F76882">
      <w:pPr>
        <w:pStyle w:val="tablefigfootnote"/>
        <w:rPr>
          <w:lang w:eastAsia="en-US"/>
        </w:rPr>
      </w:pPr>
      <w:r w:rsidRPr="0036007C">
        <w:t xml:space="preserve">* </w:t>
      </w:r>
      <w:r w:rsidR="00911038" w:rsidRPr="0036007C">
        <w:rPr>
          <w:lang w:eastAsia="en-US"/>
        </w:rPr>
        <w:t>Calculated carrying forward most recent data in all communities considered at risk of trachoma at any point since 2007.</w:t>
      </w:r>
    </w:p>
    <w:p w14:paraId="0FA34B06" w14:textId="4F123778" w:rsidR="00745173" w:rsidRPr="0036007C" w:rsidRDefault="00745173" w:rsidP="00F76882">
      <w:pPr>
        <w:pStyle w:val="FigureHeadings"/>
      </w:pPr>
      <w:bookmarkStart w:id="183" w:name="_Figure_1.7_Number"/>
      <w:bookmarkStart w:id="184" w:name="_Toc215237046"/>
      <w:bookmarkEnd w:id="178"/>
      <w:bookmarkEnd w:id="179"/>
      <w:bookmarkEnd w:id="183"/>
      <w:r w:rsidRPr="0036007C">
        <w:t xml:space="preserve">Figure </w:t>
      </w:r>
      <w:r w:rsidR="009B3144" w:rsidRPr="0036007C">
        <w:t>1.</w:t>
      </w:r>
      <w:r w:rsidR="008A586F" w:rsidRPr="0036007C">
        <w:t>6</w:t>
      </w:r>
      <w:r w:rsidRPr="0036007C">
        <w:tab/>
      </w:r>
      <w:r w:rsidR="005D69DB" w:rsidRPr="0036007C">
        <w:t xml:space="preserve">Number of </w:t>
      </w:r>
      <w:r w:rsidR="00B26A87" w:rsidRPr="0036007C">
        <w:t xml:space="preserve">screened </w:t>
      </w:r>
      <w:r w:rsidR="005D69DB" w:rsidRPr="0036007C">
        <w:t>at-risk communities according to the level of observed trachoma prevalence in children aged 5</w:t>
      </w:r>
      <w:r w:rsidR="003D00CE" w:rsidRPr="0036007C">
        <w:t>–</w:t>
      </w:r>
      <w:r w:rsidR="005D69DB" w:rsidRPr="0036007C">
        <w:t xml:space="preserve">9 years by </w:t>
      </w:r>
      <w:r w:rsidR="0062675C" w:rsidRPr="0036007C">
        <w:t>jurisdiction, Australia, 202</w:t>
      </w:r>
      <w:r w:rsidR="006E3876" w:rsidRPr="0036007C">
        <w:t>4</w:t>
      </w:r>
      <w:bookmarkEnd w:id="184"/>
    </w:p>
    <w:p w14:paraId="550792D1" w14:textId="5748D00C" w:rsidR="009151CA" w:rsidRPr="00C002DA" w:rsidRDefault="009151CA" w:rsidP="00F76882">
      <w:r w:rsidRPr="00C002DA">
        <w:drawing>
          <wp:inline distT="0" distB="0" distL="0" distR="0" wp14:anchorId="1F624663" wp14:editId="623E122F">
            <wp:extent cx="5940000" cy="4140000"/>
            <wp:effectExtent l="0" t="0" r="3810" b="0"/>
            <wp:docPr id="1421751488" name="Chart 1" descr="Number of screened at-risk communities according to the level of observed trachoma prevalence in children aged 5–9 years by jurisdiction, Australia, 2024 &#10;Figure 1.6 is a stacked bar graph with number of communities on the Y-axis and jurisdiction on the X-axis.&#10;The Northern Territory column indicates that of the 45 at-risk communities screened, observed trachoma prevalence was greater than or equal to 20% in four communities, greater than or equal to 10% but less than 20% in five communities, greater than or equal to 5% but less than 10% in three communities, greater than 0% but less than 5% in six communities, and 27 communities had no trachoma.&#10;The South Australia column indicates that of the 15 at-risk communities screened, all had no trachoma. &#10;The Western Australia column indicates that of the 26 at-risk communities screened,&#10;observed trachoma prevalence was greater than or equal to 20% in one community, greater than or equal to 10% but less than 20% in three communities, greater than or equal to 5% but less than 10% in two communities, greater than 0% but less than 5% in one community, and 19 communities had no trachoma.&#10;">
              <a:extLst xmlns:a="http://schemas.openxmlformats.org/drawingml/2006/main">
                <a:ext uri="{FF2B5EF4-FFF2-40B4-BE49-F238E27FC236}">
                  <a16:creationId xmlns:a16="http://schemas.microsoft.com/office/drawing/2014/main" id="{4718BE14-DFEB-4E5A-8A62-63650C1FB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8FF818" w14:textId="082F5998" w:rsidR="000E489C" w:rsidRPr="0036007C" w:rsidRDefault="004A19B3" w:rsidP="00F76882">
      <w:pPr>
        <w:pStyle w:val="FigureHeadings"/>
      </w:pPr>
      <w:bookmarkStart w:id="185" w:name="_Figure_1.8_Proportion"/>
      <w:bookmarkStart w:id="186" w:name="_Toc215237047"/>
      <w:bookmarkEnd w:id="185"/>
      <w:r w:rsidRPr="0036007C">
        <w:t xml:space="preserve">Figure </w:t>
      </w:r>
      <w:r w:rsidR="009B3144" w:rsidRPr="0036007C">
        <w:t>1.</w:t>
      </w:r>
      <w:r w:rsidR="008A586F" w:rsidRPr="0036007C">
        <w:t>7</w:t>
      </w:r>
      <w:r w:rsidRPr="0036007C">
        <w:tab/>
      </w:r>
      <w:r w:rsidR="00D06BF2" w:rsidRPr="0036007C">
        <w:t xml:space="preserve">Proportion of screened </w:t>
      </w:r>
      <w:proofErr w:type="spellStart"/>
      <w:r w:rsidR="00D06BF2" w:rsidRPr="0036007C">
        <w:t>atrisk</w:t>
      </w:r>
      <w:proofErr w:type="spellEnd"/>
      <w:r w:rsidR="00D06BF2" w:rsidRPr="0036007C">
        <w:t xml:space="preserve"> communities with no observed trachoma </w:t>
      </w:r>
      <w:r w:rsidRPr="0036007C">
        <w:t>by jurisdiction, Australia</w:t>
      </w:r>
      <w:r w:rsidR="001937AB" w:rsidRPr="0036007C">
        <w:t>,</w:t>
      </w:r>
      <w:r w:rsidRPr="0036007C">
        <w:t xml:space="preserve"> 2007</w:t>
      </w:r>
      <w:r w:rsidR="003D00CE" w:rsidRPr="0036007C">
        <w:t>–</w:t>
      </w:r>
      <w:r w:rsidR="00E76BB4" w:rsidRPr="0036007C">
        <w:t>202</w:t>
      </w:r>
      <w:r w:rsidR="006E3876" w:rsidRPr="0036007C">
        <w:t>4</w:t>
      </w:r>
      <w:bookmarkEnd w:id="186"/>
    </w:p>
    <w:p w14:paraId="0FD6F209" w14:textId="5A6B79B6" w:rsidR="008E7434" w:rsidRPr="00C002DA" w:rsidRDefault="00892187" w:rsidP="00F76882">
      <w:r w:rsidRPr="00C002DA">
        <w:drawing>
          <wp:inline distT="0" distB="0" distL="0" distR="0" wp14:anchorId="68291E52" wp14:editId="22472159">
            <wp:extent cx="6300000" cy="3456000"/>
            <wp:effectExtent l="0" t="0" r="5715" b="0"/>
            <wp:docPr id="650310061" name="Chart 1" descr="Proportion of screened at‑risk communities with no observed trachoma by jurisdiction, Australia, 2007–2024 &#10;Figure 1.7 is a line graph for five jurisdictions with proportion on the Y-axis and year on the X-axis.&#10;In New South Wales, the proportion of screened at-risk communities with no observed trachoma was 90% in 2013, rising to 100% in 2014 and 2015.&#10;In the Northern Territory, the proportion of screened at-risk communities with no observed trachoma generally hovered between 30% to 50% from 2007 to 2022, and has risen to 60% in 2024.&#10;In Queensland, the proportion of screened at-risk communities with no observed trachoma was 100% in 2012, followed by a three year gap in screening. Between 2016 to 2021, this proportion declined from 50% to 0%.&#10;In South Australia, the proportion of screened at-risk communities with no observed trachoma rose overall from 25% in 2007 to 100% from 2022, with yearly fluctuations becoming more pronounced as the overall number of at-risk communities declined over time. &#10;In Western Australia, the proportion of screened at-risk communities with no observed trachoma has generally risen and fallen in a wave-like pattern, with a low of 26% in 2008 and a high of 73% in 2015.&#10;">
              <a:extLst xmlns:a="http://schemas.openxmlformats.org/drawingml/2006/main">
                <a:ext uri="{FF2B5EF4-FFF2-40B4-BE49-F238E27FC236}">
                  <a16:creationId xmlns:a16="http://schemas.microsoft.com/office/drawing/2014/main" id="{64B0A4B9-F95B-444F-98CD-31D1AB421E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5E12F76" w14:textId="5C9576B0" w:rsidR="00D50458" w:rsidRPr="004609FA" w:rsidRDefault="00D50458" w:rsidP="00F76882">
      <w:pPr>
        <w:pStyle w:val="FigureHeadings"/>
      </w:pPr>
      <w:bookmarkStart w:id="187" w:name="_Figure_1.9_Proportion"/>
      <w:bookmarkStart w:id="188" w:name="_Figure_1._10"/>
      <w:bookmarkStart w:id="189" w:name="_Toc215237048"/>
      <w:bookmarkEnd w:id="187"/>
      <w:bookmarkEnd w:id="188"/>
      <w:r w:rsidRPr="0036007C">
        <w:t xml:space="preserve">Figure </w:t>
      </w:r>
      <w:r w:rsidR="009B3144" w:rsidRPr="0036007C">
        <w:t>1.</w:t>
      </w:r>
      <w:r w:rsidR="008A586F" w:rsidRPr="0036007C">
        <w:t>8</w:t>
      </w:r>
      <w:r w:rsidRPr="0036007C">
        <w:tab/>
      </w:r>
      <w:r w:rsidR="002B2932" w:rsidRPr="0036007C">
        <w:t xml:space="preserve">Proportion of screened </w:t>
      </w:r>
      <w:r w:rsidR="00495326" w:rsidRPr="0036007C">
        <w:t>at-risk</w:t>
      </w:r>
      <w:r w:rsidR="002B2932" w:rsidRPr="0036007C">
        <w:t xml:space="preserve"> communities with observed endemic levels of trachoma (</w:t>
      </w:r>
      <w:r w:rsidR="00195F38">
        <w:t>≥</w:t>
      </w:r>
      <w:r w:rsidR="002B2932" w:rsidRPr="0036007C">
        <w:t xml:space="preserve"> 5%) </w:t>
      </w:r>
      <w:r w:rsidRPr="0036007C">
        <w:t>by jurisdiction, Australia</w:t>
      </w:r>
      <w:r w:rsidR="001937AB" w:rsidRPr="0036007C">
        <w:t>,</w:t>
      </w:r>
      <w:r w:rsidRPr="0036007C">
        <w:t xml:space="preserve"> 2007</w:t>
      </w:r>
      <w:r w:rsidR="003D00CE" w:rsidRPr="0036007C">
        <w:t>–</w:t>
      </w:r>
      <w:r w:rsidR="00E76BB4" w:rsidRPr="0036007C">
        <w:t>202</w:t>
      </w:r>
      <w:r w:rsidR="006E3876" w:rsidRPr="0036007C">
        <w:t>4</w:t>
      </w:r>
      <w:bookmarkEnd w:id="189"/>
    </w:p>
    <w:p w14:paraId="4B5CF3D6" w14:textId="0052716E" w:rsidR="00561741" w:rsidRPr="00C002DA" w:rsidRDefault="003C1724" w:rsidP="00F76882">
      <w:r w:rsidRPr="00C002DA">
        <w:drawing>
          <wp:inline distT="0" distB="0" distL="0" distR="0" wp14:anchorId="75D64593" wp14:editId="32FF3879">
            <wp:extent cx="6300000" cy="3456000"/>
            <wp:effectExtent l="0" t="0" r="5715" b="0"/>
            <wp:docPr id="1117549649" name="Chart 1" descr="Proportion of screened at‑risk communities with observed endemic levels of trachoma (≥ 5%) by jurisdiction, Australia, 2007–2024&#10;Figure 1.8 is a line graph for five jurisdictions with proportion on the Y-axis and year on the X-axis.&#10;In New South Wales, 10% of screened at-risk communities in 2013 reported endemic trachoma, decreasing to 0% in 2014 and 2015.&#10;In the Northern Territory, the proportion of screened at-risk communities that reported endemic trachoma declined from a high of 74% in 2008 to 27% in 2024. &#10;In Queensland, the proportion of screened at-risk communities that reported endemic trachoma was 0% in 2012, followed by a three year gap in screening. Between 2016 to 2021, this proportion fluctuated sharply between 25% to 100%. &#10;In South Australia, there was a general decline in the proportion of screened at-risk communities that reported endemic trachoma from 75% in 2007 to 0% from 2022, albeit with wide yearly fluctuations until 2015.&#10;In Western Australia, the proportion of screened at-risk communities that reported endemic trachoma has followed a wave like pattern with peaks around 67% to 69% in 2008, 2020, and 2021 and lows around 23% to 25% in 2014 and 2024.&#10;">
              <a:extLst xmlns:a="http://schemas.openxmlformats.org/drawingml/2006/main">
                <a:ext uri="{FF2B5EF4-FFF2-40B4-BE49-F238E27FC236}">
                  <a16:creationId xmlns:a16="http://schemas.microsoft.com/office/drawing/2014/main" id="{F3149007-6083-4362-A3BE-511B03C7F4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D8D630A" w14:textId="5EFC9CD3" w:rsidR="00454A44" w:rsidRPr="0036007C" w:rsidRDefault="00607C90" w:rsidP="00F76882">
      <w:pPr>
        <w:pStyle w:val="FigureHeadings"/>
      </w:pPr>
      <w:bookmarkStart w:id="190" w:name="_Figure_1.11_Number"/>
      <w:bookmarkStart w:id="191" w:name="_Figure_1.10_Number"/>
      <w:bookmarkStart w:id="192" w:name="_Toc215237049"/>
      <w:bookmarkEnd w:id="190"/>
      <w:bookmarkEnd w:id="191"/>
      <w:r w:rsidRPr="0036007C">
        <w:t xml:space="preserve">Figure </w:t>
      </w:r>
      <w:r w:rsidR="009B3144" w:rsidRPr="0036007C">
        <w:t>1</w:t>
      </w:r>
      <w:r w:rsidR="007F0B51" w:rsidRPr="0036007C">
        <w:t>.</w:t>
      </w:r>
      <w:r w:rsidR="008A586F" w:rsidRPr="0036007C">
        <w:t>9</w:t>
      </w:r>
      <w:r w:rsidR="004E0B12" w:rsidRPr="0036007C">
        <w:tab/>
      </w:r>
      <w:r w:rsidRPr="0036007C">
        <w:t>Number of doses of azithromycin administered for the treatment of trachoma by jurisdiction, Australia</w:t>
      </w:r>
      <w:r w:rsidR="001937AB" w:rsidRPr="0036007C">
        <w:t>,</w:t>
      </w:r>
      <w:r w:rsidRPr="0036007C">
        <w:t xml:space="preserve"> 2007</w:t>
      </w:r>
      <w:r w:rsidR="003D00CE" w:rsidRPr="0036007C">
        <w:t>–</w:t>
      </w:r>
      <w:r w:rsidR="00E76BB4" w:rsidRPr="0036007C">
        <w:t>202</w:t>
      </w:r>
      <w:r w:rsidR="006E3876" w:rsidRPr="0036007C">
        <w:t>4</w:t>
      </w:r>
      <w:bookmarkEnd w:id="192"/>
    </w:p>
    <w:p w14:paraId="541D4229" w14:textId="77777777" w:rsidR="00E11E25" w:rsidRPr="003D3BBA" w:rsidRDefault="00E11E25" w:rsidP="00F76882"/>
    <w:p w14:paraId="017FFC56" w14:textId="30D87EEB" w:rsidR="00BD3579" w:rsidRPr="00C002DA" w:rsidRDefault="00B32D10" w:rsidP="00F76882">
      <w:pPr>
        <w:sectPr w:rsidR="00BD3579" w:rsidRPr="00C002DA" w:rsidSect="004F4954">
          <w:headerReference w:type="even" r:id="rId22"/>
          <w:footerReference w:type="even" r:id="rId23"/>
          <w:footerReference w:type="default" r:id="rId24"/>
          <w:headerReference w:type="first" r:id="rId25"/>
          <w:footerReference w:type="first" r:id="rId26"/>
          <w:footnotePr>
            <w:numFmt w:val="lowerRoman"/>
          </w:footnotePr>
          <w:endnotePr>
            <w:numFmt w:val="decimal"/>
          </w:endnotePr>
          <w:type w:val="continuous"/>
          <w:pgSz w:w="11906" w:h="16838"/>
          <w:pgMar w:top="1440" w:right="720" w:bottom="1440" w:left="720" w:header="709" w:footer="709" w:gutter="0"/>
          <w:cols w:space="708"/>
          <w:docGrid w:linePitch="360"/>
        </w:sectPr>
      </w:pPr>
      <w:r w:rsidRPr="00C002DA">
        <w:drawing>
          <wp:inline distT="0" distB="0" distL="0" distR="0" wp14:anchorId="7C89DC3A" wp14:editId="76B16C43">
            <wp:extent cx="6300000" cy="3420000"/>
            <wp:effectExtent l="0" t="0" r="5715" b="0"/>
            <wp:docPr id="867678583" name="Chart 1" descr="Number of doses of azithromycin administered for the treatment of trachoma by jurisdiction, Australia, 2007–2024 &#10;Figure 1.9 is a line graph for five jurisdictions with number of azithromycin doses on the Y-axis and year on the X-axis.&#10;New South Wales has only administered 25 azithromycin doses in 2013 for trachoma treatment.&#10;Doses administered in the Northern Territory rose sharply from 317 in 2007 to above 6,500 doses annually between 2012 to 2016, before generally declining to 1,582 doses in 2024.&#10;Doses administered in Queensland showed a steadily declining pattern  from 91 in 2016 to zero doses in 2020–2021.&#10;Doses administered in South Australia started low at 20 doses in 2007, fluctuated sharply between 100 to over 450 doses/year between 2011 to 2017, then declined to zero from 2022. &#10;The number of doses administered in Western Australia followed a wave-like pattern with peaks above 2400 yearly doses in 2008, 2016 and 2017, but overall declining from 1401 doses in 2007 to 92 doses in 2024.&#10;">
              <a:extLst xmlns:a="http://schemas.openxmlformats.org/drawingml/2006/main">
                <a:ext uri="{FF2B5EF4-FFF2-40B4-BE49-F238E27FC236}">
                  <a16:creationId xmlns:a16="http://schemas.microsoft.com/office/drawing/2014/main" id="{0CF56078-2ADF-4CD0-8F9E-A877CE5AB7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000FC3" w14:textId="7342A56B" w:rsidR="00005318" w:rsidRPr="0036007C" w:rsidRDefault="00005318" w:rsidP="00F76882">
      <w:pPr>
        <w:pStyle w:val="Tableheadings"/>
      </w:pPr>
      <w:bookmarkStart w:id="193" w:name="Table11"/>
      <w:bookmarkStart w:id="194" w:name="_Table_1.1_Trachoma"/>
      <w:bookmarkStart w:id="195" w:name="_Ref58328952"/>
      <w:bookmarkStart w:id="196" w:name="_Toc215224696"/>
      <w:bookmarkEnd w:id="193"/>
      <w:bookmarkEnd w:id="194"/>
      <w:r w:rsidRPr="0036007C">
        <w:t xml:space="preserve">Table </w:t>
      </w:r>
      <w:r w:rsidR="009B3144" w:rsidRPr="0036007C">
        <w:t>1</w:t>
      </w:r>
      <w:r w:rsidR="000B2552" w:rsidRPr="0036007C">
        <w:t>.</w:t>
      </w:r>
      <w:r w:rsidRPr="0036007C">
        <w:fldChar w:fldCharType="begin"/>
      </w:r>
      <w:r w:rsidRPr="0036007C">
        <w:instrText>SEQ Table \* ARABIC \s 1</w:instrText>
      </w:r>
      <w:r w:rsidRPr="0036007C">
        <w:fldChar w:fldCharType="separate"/>
      </w:r>
      <w:r w:rsidR="00D23948" w:rsidRPr="0036007C">
        <w:t>1</w:t>
      </w:r>
      <w:r w:rsidRPr="0036007C">
        <w:fldChar w:fldCharType="end"/>
      </w:r>
      <w:bookmarkEnd w:id="195"/>
      <w:r w:rsidRPr="0036007C">
        <w:tab/>
        <w:t xml:space="preserve">Trachoma control delivery in </w:t>
      </w:r>
      <w:r w:rsidR="00046C9F" w:rsidRPr="0036007C">
        <w:t>at-risk communities</w:t>
      </w:r>
      <w:r w:rsidRPr="0036007C">
        <w:t xml:space="preserve"> by jurisdiction, Australia</w:t>
      </w:r>
      <w:r w:rsidR="001937AB" w:rsidRPr="0036007C">
        <w:t>,</w:t>
      </w:r>
      <w:r w:rsidRPr="0036007C">
        <w:t xml:space="preserve"> </w:t>
      </w:r>
      <w:r w:rsidR="00E76BB4" w:rsidRPr="0036007C">
        <w:t>202</w:t>
      </w:r>
      <w:r w:rsidR="006E3876" w:rsidRPr="0036007C">
        <w:t>4</w:t>
      </w:r>
      <w:bookmarkEnd w:id="196"/>
    </w:p>
    <w:tbl>
      <w:tblPr>
        <w:tblW w:w="5000" w:type="pct"/>
        <w:tblLook w:val="04A0" w:firstRow="1" w:lastRow="0" w:firstColumn="1" w:lastColumn="0" w:noHBand="0" w:noVBand="1"/>
        <w:tblCaption w:val="Trachoma control delivery in at-risk communities by jurisdiction, Australia, 2024 "/>
        <w:tblDescription w:val="Table 1.1 compares the number of at-risk communities by the type of screening and/or treatment intervention. Data is presented for the Northern Territory, South Australia, Western Australia, and the cumulative total"/>
      </w:tblPr>
      <w:tblGrid>
        <w:gridCol w:w="3918"/>
        <w:gridCol w:w="1635"/>
        <w:gridCol w:w="1635"/>
        <w:gridCol w:w="1635"/>
        <w:gridCol w:w="1633"/>
      </w:tblGrid>
      <w:tr w:rsidR="007300E2" w:rsidRPr="0036007C" w14:paraId="2233958D" w14:textId="77777777" w:rsidTr="00117724">
        <w:trPr>
          <w:trHeight w:val="580"/>
        </w:trPr>
        <w:tc>
          <w:tcPr>
            <w:tcW w:w="1873"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456C7D5" w14:textId="77777777" w:rsidR="006F173E" w:rsidRPr="003D3BBA" w:rsidRDefault="006F173E" w:rsidP="00F76882">
            <w:r w:rsidRPr="003D3BBA">
              <w:t>Number of communities</w:t>
            </w:r>
          </w:p>
        </w:tc>
        <w:tc>
          <w:tcPr>
            <w:tcW w:w="782" w:type="pct"/>
            <w:tcBorders>
              <w:top w:val="single" w:sz="4" w:space="0" w:color="auto"/>
              <w:left w:val="nil"/>
              <w:bottom w:val="single" w:sz="4" w:space="0" w:color="auto"/>
              <w:right w:val="single" w:sz="4" w:space="0" w:color="auto"/>
            </w:tcBorders>
            <w:shd w:val="clear" w:color="000000" w:fill="BFBFBF"/>
            <w:vAlign w:val="bottom"/>
            <w:hideMark/>
          </w:tcPr>
          <w:p w14:paraId="503CFEFC" w14:textId="77777777" w:rsidR="006F173E" w:rsidRPr="003D3BBA" w:rsidRDefault="006F173E" w:rsidP="00F76882">
            <w:r w:rsidRPr="003D3BBA">
              <w:t>Northern Territory</w:t>
            </w:r>
          </w:p>
        </w:tc>
        <w:tc>
          <w:tcPr>
            <w:tcW w:w="782" w:type="pct"/>
            <w:tcBorders>
              <w:top w:val="single" w:sz="4" w:space="0" w:color="auto"/>
              <w:left w:val="nil"/>
              <w:bottom w:val="single" w:sz="4" w:space="0" w:color="auto"/>
              <w:right w:val="single" w:sz="4" w:space="0" w:color="auto"/>
            </w:tcBorders>
            <w:shd w:val="clear" w:color="000000" w:fill="BFBFBF"/>
            <w:vAlign w:val="bottom"/>
            <w:hideMark/>
          </w:tcPr>
          <w:p w14:paraId="4F0EE3C3" w14:textId="77777777" w:rsidR="006F173E" w:rsidRPr="003D3BBA" w:rsidRDefault="006F173E" w:rsidP="00F76882">
            <w:r w:rsidRPr="003D3BBA">
              <w:t>South Australia</w:t>
            </w:r>
          </w:p>
        </w:tc>
        <w:tc>
          <w:tcPr>
            <w:tcW w:w="782" w:type="pct"/>
            <w:tcBorders>
              <w:top w:val="single" w:sz="4" w:space="0" w:color="auto"/>
              <w:left w:val="nil"/>
              <w:bottom w:val="single" w:sz="4" w:space="0" w:color="auto"/>
              <w:right w:val="single" w:sz="4" w:space="0" w:color="auto"/>
            </w:tcBorders>
            <w:shd w:val="clear" w:color="000000" w:fill="BFBFBF"/>
            <w:vAlign w:val="bottom"/>
            <w:hideMark/>
          </w:tcPr>
          <w:p w14:paraId="09447DFE" w14:textId="77777777" w:rsidR="006F173E" w:rsidRPr="003D3BBA" w:rsidRDefault="006F173E" w:rsidP="00F76882">
            <w:r w:rsidRPr="003D3BBA">
              <w:t>Western Australia</w:t>
            </w:r>
          </w:p>
        </w:tc>
        <w:tc>
          <w:tcPr>
            <w:tcW w:w="782" w:type="pct"/>
            <w:tcBorders>
              <w:top w:val="single" w:sz="4" w:space="0" w:color="auto"/>
              <w:left w:val="nil"/>
              <w:bottom w:val="single" w:sz="4" w:space="0" w:color="auto"/>
              <w:right w:val="single" w:sz="4" w:space="0" w:color="auto"/>
            </w:tcBorders>
            <w:shd w:val="clear" w:color="000000" w:fill="BFBFBF"/>
            <w:noWrap/>
            <w:vAlign w:val="bottom"/>
            <w:hideMark/>
          </w:tcPr>
          <w:p w14:paraId="23A23E0F" w14:textId="77777777" w:rsidR="006F173E" w:rsidRPr="003D3BBA" w:rsidRDefault="006F173E" w:rsidP="00F76882">
            <w:r w:rsidRPr="003D3BBA">
              <w:t>Total</w:t>
            </w:r>
          </w:p>
        </w:tc>
      </w:tr>
      <w:tr w:rsidR="00117724" w:rsidRPr="0036007C" w14:paraId="2D350257" w14:textId="77777777" w:rsidTr="00117724">
        <w:trPr>
          <w:trHeight w:val="290"/>
        </w:trPr>
        <w:tc>
          <w:tcPr>
            <w:tcW w:w="1873" w:type="pct"/>
            <w:tcBorders>
              <w:top w:val="nil"/>
              <w:left w:val="single" w:sz="4" w:space="0" w:color="auto"/>
              <w:bottom w:val="single" w:sz="4" w:space="0" w:color="auto"/>
              <w:right w:val="single" w:sz="4" w:space="0" w:color="auto"/>
            </w:tcBorders>
            <w:vAlign w:val="bottom"/>
            <w:hideMark/>
          </w:tcPr>
          <w:p w14:paraId="2FFCFC5E" w14:textId="29E93929" w:rsidR="00117724" w:rsidRPr="003D3BBA" w:rsidRDefault="00117724" w:rsidP="00F76882">
            <w:r w:rsidRPr="003D3BBA">
              <w:t>At risk (A)</w:t>
            </w:r>
            <w:r w:rsidR="004323D3" w:rsidRPr="003D3BBA">
              <w:t>*</w:t>
            </w:r>
          </w:p>
        </w:tc>
        <w:tc>
          <w:tcPr>
            <w:tcW w:w="782" w:type="pct"/>
            <w:tcBorders>
              <w:top w:val="nil"/>
              <w:left w:val="nil"/>
              <w:bottom w:val="single" w:sz="4" w:space="0" w:color="auto"/>
              <w:right w:val="single" w:sz="4" w:space="0" w:color="auto"/>
            </w:tcBorders>
            <w:noWrap/>
            <w:vAlign w:val="bottom"/>
          </w:tcPr>
          <w:p w14:paraId="176A7A31" w14:textId="07F44A21" w:rsidR="00117724" w:rsidRPr="00A33DD2" w:rsidRDefault="00117724" w:rsidP="00F76882">
            <w:r w:rsidRPr="00A33DD2">
              <w:t>48</w:t>
            </w:r>
          </w:p>
        </w:tc>
        <w:tc>
          <w:tcPr>
            <w:tcW w:w="782" w:type="pct"/>
            <w:tcBorders>
              <w:top w:val="nil"/>
              <w:left w:val="nil"/>
              <w:bottom w:val="single" w:sz="4" w:space="0" w:color="auto"/>
              <w:right w:val="single" w:sz="4" w:space="0" w:color="auto"/>
            </w:tcBorders>
            <w:noWrap/>
            <w:vAlign w:val="bottom"/>
          </w:tcPr>
          <w:p w14:paraId="6ADE6DAF" w14:textId="41CC7C4D" w:rsidR="00117724" w:rsidRPr="00A33DD2" w:rsidRDefault="00117724" w:rsidP="00F76882">
            <w:r w:rsidRPr="00A33DD2">
              <w:t>16</w:t>
            </w:r>
          </w:p>
        </w:tc>
        <w:tc>
          <w:tcPr>
            <w:tcW w:w="782" w:type="pct"/>
            <w:tcBorders>
              <w:top w:val="nil"/>
              <w:left w:val="nil"/>
              <w:bottom w:val="single" w:sz="4" w:space="0" w:color="auto"/>
              <w:right w:val="single" w:sz="4" w:space="0" w:color="auto"/>
            </w:tcBorders>
            <w:noWrap/>
            <w:vAlign w:val="bottom"/>
          </w:tcPr>
          <w:p w14:paraId="7222C224" w14:textId="5CC9652C" w:rsidR="00117724" w:rsidRPr="00A33DD2" w:rsidRDefault="00117724" w:rsidP="00F76882">
            <w:r w:rsidRPr="00A33DD2">
              <w:t>33</w:t>
            </w:r>
          </w:p>
        </w:tc>
        <w:tc>
          <w:tcPr>
            <w:tcW w:w="782" w:type="pct"/>
            <w:tcBorders>
              <w:top w:val="nil"/>
              <w:left w:val="nil"/>
              <w:bottom w:val="single" w:sz="4" w:space="0" w:color="auto"/>
              <w:right w:val="single" w:sz="4" w:space="0" w:color="auto"/>
            </w:tcBorders>
            <w:noWrap/>
            <w:vAlign w:val="bottom"/>
          </w:tcPr>
          <w:p w14:paraId="3A7ECAC0" w14:textId="353B2299" w:rsidR="00117724" w:rsidRPr="00A33DD2" w:rsidRDefault="00117724" w:rsidP="00F76882">
            <w:r w:rsidRPr="00A33DD2">
              <w:t>97</w:t>
            </w:r>
          </w:p>
        </w:tc>
      </w:tr>
      <w:tr w:rsidR="00117724" w:rsidRPr="0036007C" w14:paraId="1D8D618A" w14:textId="77777777" w:rsidTr="00117724">
        <w:trPr>
          <w:trHeight w:val="580"/>
        </w:trPr>
        <w:tc>
          <w:tcPr>
            <w:tcW w:w="1873" w:type="pct"/>
            <w:tcBorders>
              <w:top w:val="nil"/>
              <w:left w:val="single" w:sz="4" w:space="0" w:color="auto"/>
              <w:bottom w:val="single" w:sz="4" w:space="0" w:color="auto"/>
              <w:right w:val="single" w:sz="4" w:space="0" w:color="auto"/>
            </w:tcBorders>
            <w:shd w:val="clear" w:color="000000" w:fill="BFBFBF"/>
            <w:vAlign w:val="bottom"/>
            <w:hideMark/>
          </w:tcPr>
          <w:p w14:paraId="65A78E3B" w14:textId="77777777" w:rsidR="00117724" w:rsidRPr="003D3BBA" w:rsidRDefault="00117724" w:rsidP="00F76882">
            <w:r w:rsidRPr="003D3BBA">
              <w:t>Requiring screening for trachoma (B)</w:t>
            </w:r>
          </w:p>
        </w:tc>
        <w:tc>
          <w:tcPr>
            <w:tcW w:w="782" w:type="pct"/>
            <w:tcBorders>
              <w:top w:val="nil"/>
              <w:left w:val="nil"/>
              <w:bottom w:val="single" w:sz="4" w:space="0" w:color="auto"/>
              <w:right w:val="single" w:sz="4" w:space="0" w:color="auto"/>
            </w:tcBorders>
            <w:shd w:val="clear" w:color="000000" w:fill="BFBFBF"/>
            <w:noWrap/>
            <w:vAlign w:val="bottom"/>
          </w:tcPr>
          <w:p w14:paraId="68086A56" w14:textId="38AB2AB7" w:rsidR="00117724" w:rsidRPr="00A33DD2" w:rsidRDefault="00117724" w:rsidP="00F76882">
            <w:r w:rsidRPr="00A33DD2">
              <w:t>48</w:t>
            </w:r>
          </w:p>
        </w:tc>
        <w:tc>
          <w:tcPr>
            <w:tcW w:w="782" w:type="pct"/>
            <w:tcBorders>
              <w:top w:val="nil"/>
              <w:left w:val="nil"/>
              <w:bottom w:val="single" w:sz="4" w:space="0" w:color="auto"/>
              <w:right w:val="single" w:sz="4" w:space="0" w:color="auto"/>
            </w:tcBorders>
            <w:shd w:val="clear" w:color="000000" w:fill="BFBFBF"/>
            <w:noWrap/>
            <w:vAlign w:val="bottom"/>
          </w:tcPr>
          <w:p w14:paraId="25E45D94" w14:textId="19926DDF" w:rsidR="00117724" w:rsidRPr="00A33DD2" w:rsidRDefault="00117724" w:rsidP="00F76882">
            <w:r w:rsidRPr="00A33DD2">
              <w:t>16</w:t>
            </w:r>
          </w:p>
        </w:tc>
        <w:tc>
          <w:tcPr>
            <w:tcW w:w="782" w:type="pct"/>
            <w:tcBorders>
              <w:top w:val="nil"/>
              <w:left w:val="nil"/>
              <w:bottom w:val="single" w:sz="4" w:space="0" w:color="auto"/>
              <w:right w:val="single" w:sz="4" w:space="0" w:color="auto"/>
            </w:tcBorders>
            <w:shd w:val="clear" w:color="000000" w:fill="BFBFBF"/>
            <w:noWrap/>
            <w:vAlign w:val="bottom"/>
          </w:tcPr>
          <w:p w14:paraId="44E6C5AA" w14:textId="218DD11D" w:rsidR="00117724" w:rsidRPr="00A33DD2" w:rsidRDefault="00117724" w:rsidP="00F76882">
            <w:r w:rsidRPr="00A33DD2">
              <w:t>26</w:t>
            </w:r>
          </w:p>
        </w:tc>
        <w:tc>
          <w:tcPr>
            <w:tcW w:w="782" w:type="pct"/>
            <w:tcBorders>
              <w:top w:val="nil"/>
              <w:left w:val="nil"/>
              <w:bottom w:val="single" w:sz="4" w:space="0" w:color="auto"/>
              <w:right w:val="single" w:sz="4" w:space="0" w:color="auto"/>
            </w:tcBorders>
            <w:shd w:val="clear" w:color="000000" w:fill="BFBFBF"/>
            <w:noWrap/>
            <w:vAlign w:val="bottom"/>
          </w:tcPr>
          <w:p w14:paraId="6439EEDC" w14:textId="589C1BDA" w:rsidR="00117724" w:rsidRPr="00A33DD2" w:rsidRDefault="00117724" w:rsidP="00F76882">
            <w:r w:rsidRPr="00A33DD2">
              <w:t>90</w:t>
            </w:r>
          </w:p>
        </w:tc>
      </w:tr>
      <w:tr w:rsidR="00117724" w:rsidRPr="0036007C" w14:paraId="691EC66C" w14:textId="77777777" w:rsidTr="00117724">
        <w:trPr>
          <w:trHeight w:val="290"/>
        </w:trPr>
        <w:tc>
          <w:tcPr>
            <w:tcW w:w="1873" w:type="pct"/>
            <w:tcBorders>
              <w:top w:val="nil"/>
              <w:left w:val="single" w:sz="4" w:space="0" w:color="auto"/>
              <w:bottom w:val="single" w:sz="4" w:space="0" w:color="auto"/>
              <w:right w:val="single" w:sz="4" w:space="0" w:color="auto"/>
            </w:tcBorders>
            <w:vAlign w:val="bottom"/>
            <w:hideMark/>
          </w:tcPr>
          <w:p w14:paraId="53E3A906" w14:textId="77777777" w:rsidR="00117724" w:rsidRPr="003D3BBA" w:rsidRDefault="00117724" w:rsidP="00F76882">
            <w:r w:rsidRPr="003D3BBA">
              <w:t>Screened for trachoma (C)</w:t>
            </w:r>
          </w:p>
        </w:tc>
        <w:tc>
          <w:tcPr>
            <w:tcW w:w="782" w:type="pct"/>
            <w:tcBorders>
              <w:top w:val="nil"/>
              <w:left w:val="nil"/>
              <w:bottom w:val="single" w:sz="4" w:space="0" w:color="auto"/>
              <w:right w:val="single" w:sz="4" w:space="0" w:color="auto"/>
            </w:tcBorders>
            <w:noWrap/>
            <w:vAlign w:val="bottom"/>
          </w:tcPr>
          <w:p w14:paraId="5FD8265E" w14:textId="77E55D9F" w:rsidR="00117724" w:rsidRPr="00A33DD2" w:rsidRDefault="00117724" w:rsidP="00F76882">
            <w:r w:rsidRPr="00A33DD2">
              <w:t>45</w:t>
            </w:r>
          </w:p>
        </w:tc>
        <w:tc>
          <w:tcPr>
            <w:tcW w:w="782" w:type="pct"/>
            <w:tcBorders>
              <w:top w:val="nil"/>
              <w:left w:val="nil"/>
              <w:bottom w:val="single" w:sz="4" w:space="0" w:color="auto"/>
              <w:right w:val="single" w:sz="4" w:space="0" w:color="auto"/>
            </w:tcBorders>
            <w:noWrap/>
            <w:vAlign w:val="bottom"/>
          </w:tcPr>
          <w:p w14:paraId="0244C02A" w14:textId="35459E63" w:rsidR="00117724" w:rsidRPr="00A33DD2" w:rsidRDefault="00117724" w:rsidP="00F76882">
            <w:r w:rsidRPr="00A33DD2">
              <w:t>15</w:t>
            </w:r>
          </w:p>
        </w:tc>
        <w:tc>
          <w:tcPr>
            <w:tcW w:w="782" w:type="pct"/>
            <w:tcBorders>
              <w:top w:val="nil"/>
              <w:left w:val="nil"/>
              <w:bottom w:val="single" w:sz="4" w:space="0" w:color="auto"/>
              <w:right w:val="single" w:sz="4" w:space="0" w:color="auto"/>
            </w:tcBorders>
            <w:noWrap/>
            <w:vAlign w:val="bottom"/>
          </w:tcPr>
          <w:p w14:paraId="228CC0D5" w14:textId="4ADA1F18" w:rsidR="00117724" w:rsidRPr="00A33DD2" w:rsidRDefault="00117724" w:rsidP="00F76882">
            <w:r w:rsidRPr="00A33DD2">
              <w:t>26</w:t>
            </w:r>
          </w:p>
        </w:tc>
        <w:tc>
          <w:tcPr>
            <w:tcW w:w="782" w:type="pct"/>
            <w:tcBorders>
              <w:top w:val="nil"/>
              <w:left w:val="nil"/>
              <w:bottom w:val="single" w:sz="4" w:space="0" w:color="auto"/>
              <w:right w:val="single" w:sz="4" w:space="0" w:color="auto"/>
            </w:tcBorders>
            <w:noWrap/>
            <w:vAlign w:val="bottom"/>
          </w:tcPr>
          <w:p w14:paraId="0CCE805A" w14:textId="2CE7C179" w:rsidR="00117724" w:rsidRPr="00A33DD2" w:rsidRDefault="00117724" w:rsidP="00F76882">
            <w:r w:rsidRPr="00A33DD2">
              <w:t>86</w:t>
            </w:r>
          </w:p>
        </w:tc>
      </w:tr>
      <w:tr w:rsidR="00117724" w:rsidRPr="0036007C" w14:paraId="40E4EA6B" w14:textId="77777777" w:rsidTr="00117724">
        <w:trPr>
          <w:trHeight w:val="580"/>
        </w:trPr>
        <w:tc>
          <w:tcPr>
            <w:tcW w:w="1873" w:type="pct"/>
            <w:tcBorders>
              <w:top w:val="nil"/>
              <w:left w:val="single" w:sz="4" w:space="0" w:color="auto"/>
              <w:bottom w:val="single" w:sz="4" w:space="0" w:color="auto"/>
              <w:right w:val="single" w:sz="4" w:space="0" w:color="auto"/>
            </w:tcBorders>
            <w:shd w:val="clear" w:color="000000" w:fill="BFBFBF"/>
            <w:vAlign w:val="bottom"/>
            <w:hideMark/>
          </w:tcPr>
          <w:p w14:paraId="5CAF133F" w14:textId="77777777" w:rsidR="00117724" w:rsidRPr="003D3BBA" w:rsidRDefault="00117724" w:rsidP="00F76882">
            <w:r w:rsidRPr="003D3BBA">
              <w:t>Requiring treatment without screening† (D)</w:t>
            </w:r>
          </w:p>
        </w:tc>
        <w:tc>
          <w:tcPr>
            <w:tcW w:w="782" w:type="pct"/>
            <w:tcBorders>
              <w:top w:val="nil"/>
              <w:left w:val="nil"/>
              <w:bottom w:val="single" w:sz="4" w:space="0" w:color="auto"/>
              <w:right w:val="single" w:sz="4" w:space="0" w:color="auto"/>
            </w:tcBorders>
            <w:shd w:val="clear" w:color="000000" w:fill="BFBFBF"/>
            <w:noWrap/>
            <w:vAlign w:val="bottom"/>
          </w:tcPr>
          <w:p w14:paraId="438234F3" w14:textId="51F60C0F" w:rsidR="00117724" w:rsidRPr="00A33DD2" w:rsidRDefault="00117724" w:rsidP="00F76882">
            <w:r w:rsidRPr="00A33DD2">
              <w:t>0</w:t>
            </w:r>
          </w:p>
        </w:tc>
        <w:tc>
          <w:tcPr>
            <w:tcW w:w="782" w:type="pct"/>
            <w:tcBorders>
              <w:top w:val="nil"/>
              <w:left w:val="nil"/>
              <w:bottom w:val="single" w:sz="4" w:space="0" w:color="auto"/>
              <w:right w:val="single" w:sz="4" w:space="0" w:color="auto"/>
            </w:tcBorders>
            <w:shd w:val="clear" w:color="000000" w:fill="BFBFBF"/>
            <w:noWrap/>
            <w:vAlign w:val="bottom"/>
          </w:tcPr>
          <w:p w14:paraId="753618AE" w14:textId="673971C4" w:rsidR="00117724" w:rsidRPr="00A33DD2" w:rsidRDefault="00117724" w:rsidP="00F76882">
            <w:r w:rsidRPr="00A33DD2">
              <w:t>0</w:t>
            </w:r>
          </w:p>
        </w:tc>
        <w:tc>
          <w:tcPr>
            <w:tcW w:w="782" w:type="pct"/>
            <w:tcBorders>
              <w:top w:val="nil"/>
              <w:left w:val="nil"/>
              <w:bottom w:val="single" w:sz="4" w:space="0" w:color="auto"/>
              <w:right w:val="single" w:sz="4" w:space="0" w:color="auto"/>
            </w:tcBorders>
            <w:shd w:val="clear" w:color="000000" w:fill="BFBFBF"/>
            <w:noWrap/>
            <w:vAlign w:val="bottom"/>
          </w:tcPr>
          <w:p w14:paraId="375DB336" w14:textId="21CE4FA3" w:rsidR="00117724" w:rsidRPr="00A33DD2" w:rsidRDefault="00117724" w:rsidP="00F76882">
            <w:r w:rsidRPr="00A33DD2">
              <w:t>0</w:t>
            </w:r>
          </w:p>
        </w:tc>
        <w:tc>
          <w:tcPr>
            <w:tcW w:w="782" w:type="pct"/>
            <w:tcBorders>
              <w:top w:val="nil"/>
              <w:left w:val="nil"/>
              <w:bottom w:val="single" w:sz="4" w:space="0" w:color="auto"/>
              <w:right w:val="single" w:sz="4" w:space="0" w:color="auto"/>
            </w:tcBorders>
            <w:shd w:val="clear" w:color="000000" w:fill="BFBFBF"/>
            <w:noWrap/>
            <w:vAlign w:val="bottom"/>
          </w:tcPr>
          <w:p w14:paraId="20B0FCF4" w14:textId="02D1D51E" w:rsidR="00117724" w:rsidRPr="00A33DD2" w:rsidRDefault="00117724" w:rsidP="00F76882">
            <w:r w:rsidRPr="00A33DD2">
              <w:t>0</w:t>
            </w:r>
          </w:p>
        </w:tc>
      </w:tr>
      <w:tr w:rsidR="00117724" w:rsidRPr="0036007C" w14:paraId="344D3164" w14:textId="77777777" w:rsidTr="00117724">
        <w:trPr>
          <w:trHeight w:val="580"/>
        </w:trPr>
        <w:tc>
          <w:tcPr>
            <w:tcW w:w="1873" w:type="pct"/>
            <w:tcBorders>
              <w:top w:val="nil"/>
              <w:left w:val="single" w:sz="4" w:space="0" w:color="auto"/>
              <w:bottom w:val="single" w:sz="4" w:space="0" w:color="auto"/>
              <w:right w:val="single" w:sz="4" w:space="0" w:color="auto"/>
            </w:tcBorders>
            <w:vAlign w:val="bottom"/>
            <w:hideMark/>
          </w:tcPr>
          <w:p w14:paraId="2901D32E" w14:textId="5983D9E5" w:rsidR="00117724" w:rsidRPr="003D3BBA" w:rsidRDefault="00117724" w:rsidP="00F76882">
            <w:r w:rsidRPr="003D3BBA">
              <w:t>Received treatment without screening (E)</w:t>
            </w:r>
          </w:p>
        </w:tc>
        <w:tc>
          <w:tcPr>
            <w:tcW w:w="782" w:type="pct"/>
            <w:tcBorders>
              <w:top w:val="nil"/>
              <w:left w:val="nil"/>
              <w:bottom w:val="single" w:sz="4" w:space="0" w:color="auto"/>
              <w:right w:val="single" w:sz="4" w:space="0" w:color="auto"/>
            </w:tcBorders>
            <w:noWrap/>
            <w:vAlign w:val="bottom"/>
          </w:tcPr>
          <w:p w14:paraId="460F4A0D" w14:textId="46E99C84" w:rsidR="00117724" w:rsidRPr="00A33DD2" w:rsidRDefault="00117724" w:rsidP="00F76882">
            <w:r w:rsidRPr="00A33DD2">
              <w:t>0</w:t>
            </w:r>
          </w:p>
        </w:tc>
        <w:tc>
          <w:tcPr>
            <w:tcW w:w="782" w:type="pct"/>
            <w:tcBorders>
              <w:top w:val="nil"/>
              <w:left w:val="nil"/>
              <w:bottom w:val="single" w:sz="4" w:space="0" w:color="auto"/>
              <w:right w:val="single" w:sz="4" w:space="0" w:color="auto"/>
            </w:tcBorders>
            <w:noWrap/>
            <w:vAlign w:val="bottom"/>
          </w:tcPr>
          <w:p w14:paraId="5398B35B" w14:textId="0B264BC6" w:rsidR="00117724" w:rsidRPr="00A33DD2" w:rsidRDefault="00117724" w:rsidP="00F76882">
            <w:r w:rsidRPr="00A33DD2">
              <w:t>0</w:t>
            </w:r>
          </w:p>
        </w:tc>
        <w:tc>
          <w:tcPr>
            <w:tcW w:w="782" w:type="pct"/>
            <w:tcBorders>
              <w:top w:val="nil"/>
              <w:left w:val="nil"/>
              <w:bottom w:val="single" w:sz="4" w:space="0" w:color="auto"/>
              <w:right w:val="single" w:sz="4" w:space="0" w:color="auto"/>
            </w:tcBorders>
            <w:noWrap/>
            <w:vAlign w:val="bottom"/>
          </w:tcPr>
          <w:p w14:paraId="242593B6" w14:textId="5735B0E9" w:rsidR="00117724" w:rsidRPr="00A33DD2" w:rsidRDefault="00117724" w:rsidP="00F76882">
            <w:r w:rsidRPr="00A33DD2">
              <w:t>0</w:t>
            </w:r>
          </w:p>
        </w:tc>
        <w:tc>
          <w:tcPr>
            <w:tcW w:w="782" w:type="pct"/>
            <w:tcBorders>
              <w:top w:val="nil"/>
              <w:left w:val="nil"/>
              <w:bottom w:val="single" w:sz="4" w:space="0" w:color="auto"/>
              <w:right w:val="single" w:sz="4" w:space="0" w:color="auto"/>
            </w:tcBorders>
            <w:noWrap/>
            <w:vAlign w:val="bottom"/>
          </w:tcPr>
          <w:p w14:paraId="50A064F0" w14:textId="41D0CD83" w:rsidR="00117724" w:rsidRPr="00A33DD2" w:rsidRDefault="00117724" w:rsidP="00F76882">
            <w:r w:rsidRPr="00A33DD2">
              <w:t>0</w:t>
            </w:r>
          </w:p>
        </w:tc>
      </w:tr>
      <w:tr w:rsidR="00117724" w:rsidRPr="0036007C" w14:paraId="1A742F7E" w14:textId="77777777" w:rsidTr="00117724">
        <w:trPr>
          <w:trHeight w:val="580"/>
        </w:trPr>
        <w:tc>
          <w:tcPr>
            <w:tcW w:w="1873" w:type="pct"/>
            <w:tcBorders>
              <w:top w:val="nil"/>
              <w:left w:val="single" w:sz="4" w:space="0" w:color="auto"/>
              <w:bottom w:val="single" w:sz="4" w:space="0" w:color="auto"/>
              <w:right w:val="single" w:sz="4" w:space="0" w:color="auto"/>
            </w:tcBorders>
            <w:shd w:val="clear" w:color="000000" w:fill="BFBFBF"/>
            <w:vAlign w:val="bottom"/>
            <w:hideMark/>
          </w:tcPr>
          <w:p w14:paraId="106C99E1" w14:textId="77777777" w:rsidR="00117724" w:rsidRPr="003D3BBA" w:rsidRDefault="00117724" w:rsidP="00F76882">
            <w:r w:rsidRPr="003D3BBA">
              <w:t>Screened and/or treated for trachoma (F=C+E)</w:t>
            </w:r>
          </w:p>
        </w:tc>
        <w:tc>
          <w:tcPr>
            <w:tcW w:w="782" w:type="pct"/>
            <w:tcBorders>
              <w:top w:val="nil"/>
              <w:left w:val="nil"/>
              <w:bottom w:val="single" w:sz="4" w:space="0" w:color="auto"/>
              <w:right w:val="single" w:sz="4" w:space="0" w:color="auto"/>
            </w:tcBorders>
            <w:shd w:val="clear" w:color="000000" w:fill="BFBFBF"/>
            <w:noWrap/>
            <w:vAlign w:val="bottom"/>
          </w:tcPr>
          <w:p w14:paraId="31580A55" w14:textId="0268DF87" w:rsidR="00117724" w:rsidRPr="00A33DD2" w:rsidRDefault="00117724" w:rsidP="00F76882">
            <w:r w:rsidRPr="00A33DD2">
              <w:t>45</w:t>
            </w:r>
          </w:p>
        </w:tc>
        <w:tc>
          <w:tcPr>
            <w:tcW w:w="782" w:type="pct"/>
            <w:tcBorders>
              <w:top w:val="nil"/>
              <w:left w:val="nil"/>
              <w:bottom w:val="single" w:sz="4" w:space="0" w:color="auto"/>
              <w:right w:val="single" w:sz="4" w:space="0" w:color="auto"/>
            </w:tcBorders>
            <w:shd w:val="clear" w:color="000000" w:fill="BFBFBF"/>
            <w:noWrap/>
            <w:vAlign w:val="bottom"/>
          </w:tcPr>
          <w:p w14:paraId="19911E32" w14:textId="0C53F5B8" w:rsidR="00117724" w:rsidRPr="00A33DD2" w:rsidRDefault="00117724" w:rsidP="00F76882">
            <w:r w:rsidRPr="00A33DD2">
              <w:t>15</w:t>
            </w:r>
          </w:p>
        </w:tc>
        <w:tc>
          <w:tcPr>
            <w:tcW w:w="782" w:type="pct"/>
            <w:tcBorders>
              <w:top w:val="nil"/>
              <w:left w:val="nil"/>
              <w:bottom w:val="single" w:sz="4" w:space="0" w:color="auto"/>
              <w:right w:val="single" w:sz="4" w:space="0" w:color="auto"/>
            </w:tcBorders>
            <w:shd w:val="clear" w:color="000000" w:fill="BFBFBF"/>
            <w:noWrap/>
            <w:vAlign w:val="bottom"/>
          </w:tcPr>
          <w:p w14:paraId="6F402A4B" w14:textId="0C0645C0" w:rsidR="00117724" w:rsidRPr="00A33DD2" w:rsidRDefault="00117724" w:rsidP="00F76882">
            <w:r w:rsidRPr="00A33DD2">
              <w:t>26</w:t>
            </w:r>
          </w:p>
        </w:tc>
        <w:tc>
          <w:tcPr>
            <w:tcW w:w="782" w:type="pct"/>
            <w:tcBorders>
              <w:top w:val="nil"/>
              <w:left w:val="nil"/>
              <w:bottom w:val="single" w:sz="4" w:space="0" w:color="auto"/>
              <w:right w:val="single" w:sz="4" w:space="0" w:color="auto"/>
            </w:tcBorders>
            <w:shd w:val="clear" w:color="000000" w:fill="BFBFBF"/>
            <w:noWrap/>
            <w:vAlign w:val="bottom"/>
          </w:tcPr>
          <w:p w14:paraId="0BA3800D" w14:textId="67AEA02B" w:rsidR="00117724" w:rsidRPr="00A33DD2" w:rsidRDefault="00117724" w:rsidP="00F76882">
            <w:r w:rsidRPr="00A33DD2">
              <w:t>86</w:t>
            </w:r>
          </w:p>
        </w:tc>
      </w:tr>
      <w:tr w:rsidR="00117724" w:rsidRPr="0036007C" w14:paraId="3E0C9695" w14:textId="77777777" w:rsidTr="00117724">
        <w:trPr>
          <w:trHeight w:val="580"/>
        </w:trPr>
        <w:tc>
          <w:tcPr>
            <w:tcW w:w="1873" w:type="pct"/>
            <w:tcBorders>
              <w:top w:val="nil"/>
              <w:left w:val="single" w:sz="4" w:space="0" w:color="auto"/>
              <w:bottom w:val="single" w:sz="4" w:space="0" w:color="auto"/>
              <w:right w:val="single" w:sz="4" w:space="0" w:color="auto"/>
            </w:tcBorders>
            <w:vAlign w:val="bottom"/>
            <w:hideMark/>
          </w:tcPr>
          <w:p w14:paraId="764EB429" w14:textId="2B9E1303" w:rsidR="00117724" w:rsidRPr="003D3BBA" w:rsidRDefault="00117724" w:rsidP="00F76882">
            <w:r w:rsidRPr="003D3BBA">
              <w:t>Requiring neither screening nor treatment for trachoma (G=A-B-D)</w:t>
            </w:r>
          </w:p>
        </w:tc>
        <w:tc>
          <w:tcPr>
            <w:tcW w:w="782" w:type="pct"/>
            <w:tcBorders>
              <w:top w:val="nil"/>
              <w:left w:val="nil"/>
              <w:bottom w:val="single" w:sz="4" w:space="0" w:color="auto"/>
              <w:right w:val="single" w:sz="4" w:space="0" w:color="auto"/>
            </w:tcBorders>
            <w:noWrap/>
            <w:vAlign w:val="bottom"/>
          </w:tcPr>
          <w:p w14:paraId="44627C5C" w14:textId="314382DE" w:rsidR="00117724" w:rsidRPr="00A33DD2" w:rsidRDefault="00117724" w:rsidP="00F76882">
            <w:r w:rsidRPr="00A33DD2">
              <w:t>0</w:t>
            </w:r>
          </w:p>
        </w:tc>
        <w:tc>
          <w:tcPr>
            <w:tcW w:w="782" w:type="pct"/>
            <w:tcBorders>
              <w:top w:val="nil"/>
              <w:left w:val="nil"/>
              <w:bottom w:val="single" w:sz="4" w:space="0" w:color="auto"/>
              <w:right w:val="single" w:sz="4" w:space="0" w:color="auto"/>
            </w:tcBorders>
            <w:noWrap/>
            <w:vAlign w:val="bottom"/>
          </w:tcPr>
          <w:p w14:paraId="1149ABD1" w14:textId="06004B27" w:rsidR="00117724" w:rsidRPr="00A33DD2" w:rsidRDefault="00117724" w:rsidP="00F76882">
            <w:r w:rsidRPr="00A33DD2">
              <w:t>0</w:t>
            </w:r>
          </w:p>
        </w:tc>
        <w:tc>
          <w:tcPr>
            <w:tcW w:w="782" w:type="pct"/>
            <w:tcBorders>
              <w:top w:val="nil"/>
              <w:left w:val="nil"/>
              <w:bottom w:val="single" w:sz="4" w:space="0" w:color="auto"/>
              <w:right w:val="single" w:sz="4" w:space="0" w:color="auto"/>
            </w:tcBorders>
            <w:noWrap/>
            <w:vAlign w:val="bottom"/>
          </w:tcPr>
          <w:p w14:paraId="525134F6" w14:textId="544FDC1A" w:rsidR="00117724" w:rsidRPr="00A33DD2" w:rsidRDefault="00117724" w:rsidP="00F76882">
            <w:r w:rsidRPr="00A33DD2">
              <w:t>7</w:t>
            </w:r>
          </w:p>
        </w:tc>
        <w:tc>
          <w:tcPr>
            <w:tcW w:w="782" w:type="pct"/>
            <w:tcBorders>
              <w:top w:val="nil"/>
              <w:left w:val="nil"/>
              <w:bottom w:val="single" w:sz="4" w:space="0" w:color="auto"/>
              <w:right w:val="single" w:sz="4" w:space="0" w:color="auto"/>
            </w:tcBorders>
            <w:noWrap/>
            <w:vAlign w:val="bottom"/>
          </w:tcPr>
          <w:p w14:paraId="10699883" w14:textId="16BBAF7C" w:rsidR="00117724" w:rsidRPr="00A33DD2" w:rsidRDefault="00117724" w:rsidP="00F76882">
            <w:r w:rsidRPr="00A33DD2">
              <w:t>7</w:t>
            </w:r>
          </w:p>
        </w:tc>
      </w:tr>
    </w:tbl>
    <w:p w14:paraId="7F0BA470" w14:textId="473024DC" w:rsidR="00D82C79" w:rsidRPr="00A33DD2" w:rsidRDefault="00D82C79" w:rsidP="00F76882">
      <w:pPr>
        <w:pStyle w:val="tablefigfootnote"/>
      </w:pPr>
      <w:r w:rsidRPr="00A33DD2">
        <w:t>* As defined by each jurisdiction</w:t>
      </w:r>
      <w:r w:rsidR="00126921" w:rsidRPr="00A33DD2">
        <w:t xml:space="preserve">, including </w:t>
      </w:r>
      <w:r w:rsidR="00712E62" w:rsidRPr="00A33DD2">
        <w:t xml:space="preserve">communities identified for </w:t>
      </w:r>
      <w:r w:rsidR="004323D3" w:rsidRPr="00A33DD2">
        <w:t xml:space="preserve">evidence confirmation screening for final-year dossier validation surveillance </w:t>
      </w:r>
      <w:r w:rsidR="00712E62" w:rsidRPr="00A33DD2">
        <w:t>(refer to Findings and interpretation).</w:t>
      </w:r>
    </w:p>
    <w:p w14:paraId="7CB04CDA" w14:textId="6AEF8967" w:rsidR="00CA7C50" w:rsidRPr="00A33DD2" w:rsidRDefault="00D82C79" w:rsidP="00F76882">
      <w:pPr>
        <w:pStyle w:val="tablefigfootnote"/>
      </w:pPr>
      <w:r w:rsidRPr="00A33DD2">
        <w:t xml:space="preserve">† </w:t>
      </w:r>
      <w:r w:rsidR="00BA7023" w:rsidRPr="00A33DD2">
        <w:t>As per CDNA Guidelines</w:t>
      </w:r>
      <w:r w:rsidR="000B705F" w:rsidRPr="00A33DD2">
        <w:t>.</w:t>
      </w:r>
    </w:p>
    <w:p w14:paraId="12814441" w14:textId="77777777" w:rsidR="008E7434" w:rsidRPr="007C3001" w:rsidRDefault="00CA7C50" w:rsidP="00F76882">
      <w:r w:rsidRPr="007C3001">
        <w:br w:type="page"/>
      </w:r>
    </w:p>
    <w:p w14:paraId="7D47576D" w14:textId="77777777" w:rsidR="003F287D" w:rsidRPr="0036007C" w:rsidRDefault="003F287D" w:rsidP="00F76882">
      <w:pPr>
        <w:pStyle w:val="Tableheadings"/>
        <w:sectPr w:rsidR="003F287D" w:rsidRPr="0036007C" w:rsidSect="00C04CBB">
          <w:pgSz w:w="11906" w:h="16838"/>
          <w:pgMar w:top="720" w:right="720" w:bottom="720" w:left="720" w:header="709" w:footer="709" w:gutter="0"/>
          <w:cols w:space="708"/>
          <w:docGrid w:linePitch="360"/>
        </w:sectPr>
      </w:pPr>
      <w:bookmarkStart w:id="197" w:name="_Table_1.2_Trachoma"/>
      <w:bookmarkStart w:id="198" w:name="_Ref58332105"/>
      <w:bookmarkStart w:id="199" w:name="_Toc392153885"/>
      <w:bookmarkEnd w:id="197"/>
    </w:p>
    <w:p w14:paraId="04242B3D" w14:textId="029C2C9F" w:rsidR="00DC04C4" w:rsidRPr="0036007C" w:rsidRDefault="00DC04C4" w:rsidP="00F76882">
      <w:pPr>
        <w:pStyle w:val="Tableheadings"/>
      </w:pPr>
      <w:bookmarkStart w:id="200" w:name="_Toc215224697"/>
      <w:r w:rsidRPr="0036007C">
        <w:t xml:space="preserve">Table </w:t>
      </w:r>
      <w:r w:rsidR="009B3144" w:rsidRPr="0036007C">
        <w:t>1</w:t>
      </w:r>
      <w:r w:rsidR="000B2552" w:rsidRPr="0036007C">
        <w:t>.</w:t>
      </w:r>
      <w:r w:rsidRPr="0036007C">
        <w:fldChar w:fldCharType="begin"/>
      </w:r>
      <w:r w:rsidRPr="0036007C">
        <w:instrText>SEQ Table \* ARABIC \s 1</w:instrText>
      </w:r>
      <w:r w:rsidRPr="0036007C">
        <w:fldChar w:fldCharType="separate"/>
      </w:r>
      <w:r w:rsidR="00D23948" w:rsidRPr="0036007C">
        <w:t>2</w:t>
      </w:r>
      <w:r w:rsidRPr="0036007C">
        <w:fldChar w:fldCharType="end"/>
      </w:r>
      <w:bookmarkEnd w:id="198"/>
      <w:r w:rsidR="008770BF" w:rsidRPr="0036007C">
        <w:tab/>
      </w:r>
      <w:r w:rsidRPr="0036007C">
        <w:t>Trachoma screening coverage, trachoma prevalence</w:t>
      </w:r>
      <w:r w:rsidR="00FD38AE" w:rsidRPr="0036007C">
        <w:t xml:space="preserve">, and </w:t>
      </w:r>
      <w:r w:rsidRPr="0036007C">
        <w:t xml:space="preserve">clean face </w:t>
      </w:r>
      <w:r w:rsidR="00AF726E" w:rsidRPr="0036007C">
        <w:t xml:space="preserve">proportion </w:t>
      </w:r>
      <w:r w:rsidRPr="0036007C">
        <w:t>in children aged 5</w:t>
      </w:r>
      <w:r w:rsidR="003D00CE" w:rsidRPr="0036007C">
        <w:t>–</w:t>
      </w:r>
      <w:r w:rsidRPr="0036007C">
        <w:t>9 years by jurisdiction, Australia</w:t>
      </w:r>
      <w:r w:rsidR="001937AB" w:rsidRPr="0036007C">
        <w:t>,</w:t>
      </w:r>
      <w:r w:rsidRPr="0036007C">
        <w:t xml:space="preserve"> </w:t>
      </w:r>
      <w:r w:rsidR="00E76BB4" w:rsidRPr="0036007C">
        <w:t>202</w:t>
      </w:r>
      <w:r w:rsidR="006E3876" w:rsidRPr="0036007C">
        <w:t>4</w:t>
      </w:r>
      <w:bookmarkEnd w:id="200"/>
    </w:p>
    <w:tbl>
      <w:tblPr>
        <w:tblW w:w="10660" w:type="dxa"/>
        <w:tblLook w:val="04A0" w:firstRow="1" w:lastRow="0" w:firstColumn="1" w:lastColumn="0" w:noHBand="0" w:noVBand="1"/>
        <w:tblCaption w:val="Trachoma screening coverage, trachoma prevalence, and clean face proportion in children aged 5–9 years by jurisdiction, Australia, 2024  "/>
        <w:tblDescription w:val="Table 1.2 compares the numbers and proportions of children in communities screened for trachoma and facial cleanliness. Data is presented for the Northern Territory, South Australia, Western Australia, and the cumulative total. &#10;"/>
      </w:tblPr>
      <w:tblGrid>
        <w:gridCol w:w="3300"/>
        <w:gridCol w:w="1840"/>
        <w:gridCol w:w="1840"/>
        <w:gridCol w:w="1840"/>
        <w:gridCol w:w="1840"/>
      </w:tblGrid>
      <w:tr w:rsidR="007300E2" w:rsidRPr="0036007C" w14:paraId="12750954" w14:textId="77777777" w:rsidTr="004609FA">
        <w:trPr>
          <w:trHeight w:val="290"/>
          <w:tblHeader/>
        </w:trPr>
        <w:tc>
          <w:tcPr>
            <w:tcW w:w="33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9A8D1A4" w14:textId="77777777" w:rsidR="002E1DF7" w:rsidRPr="004609FA" w:rsidRDefault="002E1DF7" w:rsidP="00F76882">
            <w:pPr>
              <w:pStyle w:val="Tableheading"/>
            </w:pPr>
            <w:r w:rsidRPr="004609FA">
              <w:t> </w:t>
            </w:r>
          </w:p>
        </w:tc>
        <w:tc>
          <w:tcPr>
            <w:tcW w:w="1840" w:type="dxa"/>
            <w:tcBorders>
              <w:top w:val="single" w:sz="4" w:space="0" w:color="auto"/>
              <w:left w:val="nil"/>
              <w:bottom w:val="single" w:sz="4" w:space="0" w:color="auto"/>
              <w:right w:val="single" w:sz="4" w:space="0" w:color="auto"/>
            </w:tcBorders>
            <w:shd w:val="clear" w:color="000000" w:fill="BFBFBF"/>
            <w:noWrap/>
            <w:vAlign w:val="bottom"/>
            <w:hideMark/>
          </w:tcPr>
          <w:p w14:paraId="5C7F7EFB" w14:textId="77777777" w:rsidR="002E1DF7" w:rsidRPr="004609FA" w:rsidRDefault="002E1DF7" w:rsidP="00F76882">
            <w:pPr>
              <w:pStyle w:val="Tableheading"/>
            </w:pPr>
            <w:r w:rsidRPr="004609FA">
              <w:t>Northern Territory</w:t>
            </w:r>
          </w:p>
        </w:tc>
        <w:tc>
          <w:tcPr>
            <w:tcW w:w="1840" w:type="dxa"/>
            <w:tcBorders>
              <w:top w:val="single" w:sz="4" w:space="0" w:color="auto"/>
              <w:left w:val="nil"/>
              <w:bottom w:val="single" w:sz="4" w:space="0" w:color="auto"/>
              <w:right w:val="single" w:sz="4" w:space="0" w:color="auto"/>
            </w:tcBorders>
            <w:shd w:val="clear" w:color="000000" w:fill="BFBFBF"/>
            <w:noWrap/>
            <w:vAlign w:val="bottom"/>
            <w:hideMark/>
          </w:tcPr>
          <w:p w14:paraId="22374D82" w14:textId="77777777" w:rsidR="002E1DF7" w:rsidRPr="004609FA" w:rsidRDefault="002E1DF7" w:rsidP="00F76882">
            <w:pPr>
              <w:pStyle w:val="Tableheading"/>
            </w:pPr>
            <w:r w:rsidRPr="004609FA">
              <w:t>South Australia</w:t>
            </w:r>
          </w:p>
        </w:tc>
        <w:tc>
          <w:tcPr>
            <w:tcW w:w="1840" w:type="dxa"/>
            <w:tcBorders>
              <w:top w:val="single" w:sz="4" w:space="0" w:color="auto"/>
              <w:left w:val="nil"/>
              <w:bottom w:val="single" w:sz="4" w:space="0" w:color="auto"/>
              <w:right w:val="single" w:sz="4" w:space="0" w:color="auto"/>
            </w:tcBorders>
            <w:shd w:val="clear" w:color="000000" w:fill="BFBFBF"/>
            <w:noWrap/>
            <w:vAlign w:val="bottom"/>
            <w:hideMark/>
          </w:tcPr>
          <w:p w14:paraId="3EA54466" w14:textId="77777777" w:rsidR="002E1DF7" w:rsidRPr="004609FA" w:rsidRDefault="002E1DF7" w:rsidP="00F76882">
            <w:pPr>
              <w:pStyle w:val="Tableheading"/>
            </w:pPr>
            <w:r w:rsidRPr="004609FA">
              <w:t>Western Australia</w:t>
            </w:r>
          </w:p>
        </w:tc>
        <w:tc>
          <w:tcPr>
            <w:tcW w:w="1840" w:type="dxa"/>
            <w:tcBorders>
              <w:top w:val="single" w:sz="4" w:space="0" w:color="auto"/>
              <w:left w:val="nil"/>
              <w:bottom w:val="single" w:sz="4" w:space="0" w:color="auto"/>
              <w:right w:val="single" w:sz="4" w:space="0" w:color="auto"/>
            </w:tcBorders>
            <w:shd w:val="clear" w:color="000000" w:fill="BFBFBF"/>
            <w:noWrap/>
            <w:vAlign w:val="bottom"/>
            <w:hideMark/>
          </w:tcPr>
          <w:p w14:paraId="653DE487" w14:textId="77777777" w:rsidR="002E1DF7" w:rsidRPr="004609FA" w:rsidRDefault="002E1DF7" w:rsidP="00F76882">
            <w:pPr>
              <w:pStyle w:val="Tableheading"/>
            </w:pPr>
            <w:r w:rsidRPr="004609FA">
              <w:t>Total</w:t>
            </w:r>
          </w:p>
        </w:tc>
      </w:tr>
      <w:tr w:rsidR="002075F6" w:rsidRPr="0036007C" w14:paraId="39F86932" w14:textId="77777777" w:rsidTr="006E3876">
        <w:trPr>
          <w:trHeight w:val="290"/>
        </w:trPr>
        <w:tc>
          <w:tcPr>
            <w:tcW w:w="3300" w:type="dxa"/>
            <w:tcBorders>
              <w:top w:val="nil"/>
              <w:left w:val="single" w:sz="4" w:space="0" w:color="auto"/>
              <w:bottom w:val="single" w:sz="4" w:space="0" w:color="auto"/>
              <w:right w:val="single" w:sz="4" w:space="0" w:color="auto"/>
            </w:tcBorders>
            <w:vAlign w:val="bottom"/>
            <w:hideMark/>
          </w:tcPr>
          <w:p w14:paraId="2EF39FC7" w14:textId="77777777" w:rsidR="002075F6" w:rsidRPr="003D3BBA" w:rsidRDefault="002075F6" w:rsidP="00F76882">
            <w:pPr>
              <w:pStyle w:val="Tabletextleft"/>
            </w:pPr>
            <w:r w:rsidRPr="003D3BBA">
              <w:t>Number of communities screened</w:t>
            </w:r>
          </w:p>
        </w:tc>
        <w:tc>
          <w:tcPr>
            <w:tcW w:w="1840" w:type="dxa"/>
            <w:tcBorders>
              <w:top w:val="nil"/>
              <w:left w:val="nil"/>
              <w:bottom w:val="single" w:sz="4" w:space="0" w:color="auto"/>
              <w:right w:val="single" w:sz="4" w:space="0" w:color="auto"/>
            </w:tcBorders>
            <w:noWrap/>
            <w:vAlign w:val="bottom"/>
          </w:tcPr>
          <w:p w14:paraId="53455AFA" w14:textId="73614267" w:rsidR="002075F6" w:rsidRPr="00A33DD2" w:rsidRDefault="002075F6" w:rsidP="00F76882">
            <w:pPr>
              <w:pStyle w:val="Tabletext"/>
            </w:pPr>
            <w:r w:rsidRPr="00A33DD2">
              <w:t>45</w:t>
            </w:r>
          </w:p>
        </w:tc>
        <w:tc>
          <w:tcPr>
            <w:tcW w:w="1840" w:type="dxa"/>
            <w:tcBorders>
              <w:top w:val="nil"/>
              <w:left w:val="nil"/>
              <w:bottom w:val="single" w:sz="4" w:space="0" w:color="auto"/>
              <w:right w:val="single" w:sz="4" w:space="0" w:color="auto"/>
            </w:tcBorders>
            <w:noWrap/>
            <w:vAlign w:val="bottom"/>
          </w:tcPr>
          <w:p w14:paraId="26BFFFD0" w14:textId="753D7010" w:rsidR="002075F6" w:rsidRPr="00A33DD2" w:rsidRDefault="002075F6" w:rsidP="00F76882">
            <w:pPr>
              <w:pStyle w:val="Tabletext"/>
            </w:pPr>
            <w:r w:rsidRPr="00A33DD2">
              <w:t>15</w:t>
            </w:r>
          </w:p>
        </w:tc>
        <w:tc>
          <w:tcPr>
            <w:tcW w:w="1840" w:type="dxa"/>
            <w:tcBorders>
              <w:top w:val="nil"/>
              <w:left w:val="nil"/>
              <w:bottom w:val="single" w:sz="4" w:space="0" w:color="auto"/>
              <w:right w:val="single" w:sz="4" w:space="0" w:color="auto"/>
            </w:tcBorders>
            <w:noWrap/>
            <w:vAlign w:val="bottom"/>
          </w:tcPr>
          <w:p w14:paraId="2EC5A3FB" w14:textId="5100FF63" w:rsidR="002075F6" w:rsidRPr="00A33DD2" w:rsidRDefault="002075F6" w:rsidP="00F76882">
            <w:pPr>
              <w:pStyle w:val="Tabletext"/>
            </w:pPr>
            <w:r w:rsidRPr="00A33DD2">
              <w:t>26</w:t>
            </w:r>
          </w:p>
        </w:tc>
        <w:tc>
          <w:tcPr>
            <w:tcW w:w="1840" w:type="dxa"/>
            <w:tcBorders>
              <w:top w:val="nil"/>
              <w:left w:val="nil"/>
              <w:bottom w:val="single" w:sz="4" w:space="0" w:color="auto"/>
              <w:right w:val="single" w:sz="4" w:space="0" w:color="auto"/>
            </w:tcBorders>
            <w:noWrap/>
            <w:vAlign w:val="bottom"/>
          </w:tcPr>
          <w:p w14:paraId="6F30B0B8" w14:textId="2E525042" w:rsidR="002075F6" w:rsidRPr="00A33DD2" w:rsidRDefault="002075F6" w:rsidP="00F76882">
            <w:pPr>
              <w:pStyle w:val="Tabletext"/>
            </w:pPr>
            <w:r w:rsidRPr="00A33DD2">
              <w:t>86</w:t>
            </w:r>
          </w:p>
        </w:tc>
      </w:tr>
      <w:tr w:rsidR="002075F6" w:rsidRPr="0036007C" w14:paraId="16A324F2" w14:textId="77777777" w:rsidTr="006E3876">
        <w:trPr>
          <w:trHeight w:val="580"/>
        </w:trPr>
        <w:tc>
          <w:tcPr>
            <w:tcW w:w="3300" w:type="dxa"/>
            <w:tcBorders>
              <w:top w:val="nil"/>
              <w:left w:val="single" w:sz="4" w:space="0" w:color="auto"/>
              <w:bottom w:val="single" w:sz="4" w:space="0" w:color="auto"/>
              <w:right w:val="single" w:sz="4" w:space="0" w:color="auto"/>
            </w:tcBorders>
            <w:shd w:val="clear" w:color="000000" w:fill="BFBFBF"/>
            <w:vAlign w:val="bottom"/>
            <w:hideMark/>
          </w:tcPr>
          <w:p w14:paraId="09E881CD" w14:textId="77777777" w:rsidR="002075F6" w:rsidRPr="003D3BBA" w:rsidRDefault="002075F6" w:rsidP="00F76882">
            <w:pPr>
              <w:pStyle w:val="Tabletextleft"/>
            </w:pPr>
            <w:r w:rsidRPr="003D3BBA">
              <w:t>Estimated number* of Aboriginal children in communities</w:t>
            </w:r>
          </w:p>
        </w:tc>
        <w:tc>
          <w:tcPr>
            <w:tcW w:w="1840" w:type="dxa"/>
            <w:tcBorders>
              <w:top w:val="nil"/>
              <w:left w:val="nil"/>
              <w:bottom w:val="single" w:sz="4" w:space="0" w:color="auto"/>
              <w:right w:val="single" w:sz="4" w:space="0" w:color="auto"/>
            </w:tcBorders>
            <w:shd w:val="clear" w:color="000000" w:fill="BFBFBF"/>
            <w:noWrap/>
            <w:vAlign w:val="bottom"/>
          </w:tcPr>
          <w:p w14:paraId="37C858C2" w14:textId="26DDBEE8" w:rsidR="002075F6" w:rsidRPr="00A33DD2" w:rsidRDefault="002075F6" w:rsidP="00F76882">
            <w:pPr>
              <w:pStyle w:val="Tabletext"/>
            </w:pPr>
            <w:r w:rsidRPr="00A33DD2">
              <w:t>1309</w:t>
            </w:r>
          </w:p>
        </w:tc>
        <w:tc>
          <w:tcPr>
            <w:tcW w:w="1840" w:type="dxa"/>
            <w:tcBorders>
              <w:top w:val="nil"/>
              <w:left w:val="nil"/>
              <w:bottom w:val="single" w:sz="4" w:space="0" w:color="auto"/>
              <w:right w:val="single" w:sz="4" w:space="0" w:color="auto"/>
            </w:tcBorders>
            <w:shd w:val="clear" w:color="000000" w:fill="BFBFBF"/>
            <w:noWrap/>
            <w:vAlign w:val="bottom"/>
          </w:tcPr>
          <w:p w14:paraId="1C01E8AA" w14:textId="23F19656" w:rsidR="002075F6" w:rsidRPr="00A33DD2" w:rsidRDefault="002075F6" w:rsidP="00F76882">
            <w:pPr>
              <w:pStyle w:val="Tabletext"/>
            </w:pPr>
            <w:r w:rsidRPr="00A33DD2">
              <w:t>490</w:t>
            </w:r>
          </w:p>
        </w:tc>
        <w:tc>
          <w:tcPr>
            <w:tcW w:w="1840" w:type="dxa"/>
            <w:tcBorders>
              <w:top w:val="nil"/>
              <w:left w:val="nil"/>
              <w:bottom w:val="single" w:sz="4" w:space="0" w:color="auto"/>
              <w:right w:val="single" w:sz="4" w:space="0" w:color="auto"/>
            </w:tcBorders>
            <w:shd w:val="clear" w:color="000000" w:fill="BFBFBF"/>
            <w:noWrap/>
            <w:vAlign w:val="bottom"/>
          </w:tcPr>
          <w:p w14:paraId="1047819A" w14:textId="062122BC" w:rsidR="002075F6" w:rsidRPr="00A33DD2" w:rsidRDefault="002075F6" w:rsidP="00F76882">
            <w:pPr>
              <w:pStyle w:val="Tabletext"/>
            </w:pPr>
            <w:r w:rsidRPr="00A33DD2">
              <w:t>320</w:t>
            </w:r>
          </w:p>
        </w:tc>
        <w:tc>
          <w:tcPr>
            <w:tcW w:w="1840" w:type="dxa"/>
            <w:tcBorders>
              <w:top w:val="nil"/>
              <w:left w:val="nil"/>
              <w:bottom w:val="single" w:sz="4" w:space="0" w:color="auto"/>
              <w:right w:val="single" w:sz="4" w:space="0" w:color="auto"/>
            </w:tcBorders>
            <w:shd w:val="clear" w:color="000000" w:fill="BFBFBF"/>
            <w:noWrap/>
            <w:vAlign w:val="bottom"/>
          </w:tcPr>
          <w:p w14:paraId="22439B22" w14:textId="403E3055" w:rsidR="002075F6" w:rsidRPr="00A33DD2" w:rsidRDefault="002075F6" w:rsidP="00F76882">
            <w:pPr>
              <w:pStyle w:val="Tabletext"/>
            </w:pPr>
            <w:r w:rsidRPr="00A33DD2">
              <w:t>2119</w:t>
            </w:r>
          </w:p>
        </w:tc>
      </w:tr>
      <w:tr w:rsidR="002075F6" w:rsidRPr="0036007C" w14:paraId="2FA7FB8B" w14:textId="77777777" w:rsidTr="006E3876">
        <w:trPr>
          <w:trHeight w:val="290"/>
        </w:trPr>
        <w:tc>
          <w:tcPr>
            <w:tcW w:w="3300" w:type="dxa"/>
            <w:tcBorders>
              <w:top w:val="nil"/>
              <w:left w:val="single" w:sz="4" w:space="0" w:color="auto"/>
              <w:bottom w:val="single" w:sz="4" w:space="0" w:color="auto"/>
              <w:right w:val="single" w:sz="4" w:space="0" w:color="auto"/>
            </w:tcBorders>
            <w:vAlign w:val="bottom"/>
            <w:hideMark/>
          </w:tcPr>
          <w:p w14:paraId="0BCD173B" w14:textId="77777777" w:rsidR="002075F6" w:rsidRPr="003D3BBA" w:rsidRDefault="002075F6" w:rsidP="00F76882">
            <w:pPr>
              <w:pStyle w:val="Tabletextleft"/>
            </w:pPr>
            <w:r w:rsidRPr="003D3BBA">
              <w:t>Children examined for clean face</w:t>
            </w:r>
          </w:p>
        </w:tc>
        <w:tc>
          <w:tcPr>
            <w:tcW w:w="1840" w:type="dxa"/>
            <w:tcBorders>
              <w:top w:val="nil"/>
              <w:left w:val="nil"/>
              <w:bottom w:val="single" w:sz="4" w:space="0" w:color="auto"/>
              <w:right w:val="single" w:sz="4" w:space="0" w:color="auto"/>
            </w:tcBorders>
            <w:noWrap/>
            <w:vAlign w:val="bottom"/>
          </w:tcPr>
          <w:p w14:paraId="5600F891" w14:textId="2CD102E6" w:rsidR="002075F6" w:rsidRPr="00A33DD2" w:rsidRDefault="002075F6" w:rsidP="00F76882">
            <w:pPr>
              <w:pStyle w:val="Tabletext"/>
            </w:pPr>
            <w:r w:rsidRPr="00A33DD2">
              <w:t>1252</w:t>
            </w:r>
          </w:p>
        </w:tc>
        <w:tc>
          <w:tcPr>
            <w:tcW w:w="1840" w:type="dxa"/>
            <w:tcBorders>
              <w:top w:val="nil"/>
              <w:left w:val="nil"/>
              <w:bottom w:val="single" w:sz="4" w:space="0" w:color="auto"/>
              <w:right w:val="single" w:sz="4" w:space="0" w:color="auto"/>
            </w:tcBorders>
            <w:noWrap/>
            <w:vAlign w:val="bottom"/>
          </w:tcPr>
          <w:p w14:paraId="7E4CAD1C" w14:textId="6968F91C" w:rsidR="002075F6" w:rsidRPr="00A33DD2" w:rsidRDefault="002075F6" w:rsidP="00F76882">
            <w:pPr>
              <w:pStyle w:val="Tabletext"/>
            </w:pPr>
            <w:r w:rsidRPr="00A33DD2">
              <w:t>436</w:t>
            </w:r>
          </w:p>
        </w:tc>
        <w:tc>
          <w:tcPr>
            <w:tcW w:w="1840" w:type="dxa"/>
            <w:tcBorders>
              <w:top w:val="nil"/>
              <w:left w:val="nil"/>
              <w:bottom w:val="single" w:sz="4" w:space="0" w:color="auto"/>
              <w:right w:val="single" w:sz="4" w:space="0" w:color="auto"/>
            </w:tcBorders>
            <w:noWrap/>
            <w:vAlign w:val="bottom"/>
          </w:tcPr>
          <w:p w14:paraId="5E9A1497" w14:textId="7B2992EA" w:rsidR="002075F6" w:rsidRPr="00A33DD2" w:rsidRDefault="002075F6" w:rsidP="00F76882">
            <w:pPr>
              <w:pStyle w:val="Tabletext"/>
            </w:pPr>
            <w:r w:rsidRPr="00A33DD2">
              <w:t>296</w:t>
            </w:r>
          </w:p>
        </w:tc>
        <w:tc>
          <w:tcPr>
            <w:tcW w:w="1840" w:type="dxa"/>
            <w:tcBorders>
              <w:top w:val="nil"/>
              <w:left w:val="nil"/>
              <w:bottom w:val="single" w:sz="4" w:space="0" w:color="auto"/>
              <w:right w:val="single" w:sz="4" w:space="0" w:color="auto"/>
            </w:tcBorders>
            <w:noWrap/>
            <w:vAlign w:val="bottom"/>
          </w:tcPr>
          <w:p w14:paraId="5814C3CA" w14:textId="04F622DB" w:rsidR="002075F6" w:rsidRPr="00A33DD2" w:rsidRDefault="002075F6" w:rsidP="00F76882">
            <w:pPr>
              <w:pStyle w:val="Tabletext"/>
            </w:pPr>
            <w:r w:rsidRPr="00A33DD2">
              <w:t>1984</w:t>
            </w:r>
          </w:p>
        </w:tc>
      </w:tr>
      <w:tr w:rsidR="002075F6" w:rsidRPr="0036007C" w14:paraId="45A6AEC7" w14:textId="77777777" w:rsidTr="00F85547">
        <w:trPr>
          <w:trHeight w:val="290"/>
        </w:trPr>
        <w:tc>
          <w:tcPr>
            <w:tcW w:w="3300" w:type="dxa"/>
            <w:tcBorders>
              <w:top w:val="nil"/>
              <w:left w:val="single" w:sz="4" w:space="0" w:color="auto"/>
              <w:bottom w:val="single" w:sz="4" w:space="0" w:color="auto"/>
              <w:right w:val="single" w:sz="4" w:space="0" w:color="auto"/>
            </w:tcBorders>
            <w:shd w:val="clear" w:color="000000" w:fill="BFBFBF"/>
            <w:vAlign w:val="bottom"/>
          </w:tcPr>
          <w:p w14:paraId="5A69D132" w14:textId="27E325EF" w:rsidR="002075F6" w:rsidRPr="004609FA" w:rsidRDefault="002075F6" w:rsidP="00F76882">
            <w:pPr>
              <w:pStyle w:val="Tabletextleft"/>
            </w:pPr>
            <w:r w:rsidRPr="004609FA">
              <w:t>Children with clean face</w:t>
            </w:r>
          </w:p>
        </w:tc>
        <w:tc>
          <w:tcPr>
            <w:tcW w:w="1840" w:type="dxa"/>
            <w:tcBorders>
              <w:top w:val="nil"/>
              <w:left w:val="nil"/>
              <w:bottom w:val="single" w:sz="4" w:space="0" w:color="auto"/>
              <w:right w:val="single" w:sz="4" w:space="0" w:color="auto"/>
            </w:tcBorders>
            <w:shd w:val="clear" w:color="000000" w:fill="BFBFBF"/>
            <w:noWrap/>
            <w:vAlign w:val="bottom"/>
          </w:tcPr>
          <w:p w14:paraId="288B52DE" w14:textId="71A3EB2C" w:rsidR="002075F6" w:rsidRPr="001B4458" w:rsidRDefault="002075F6" w:rsidP="00F76882">
            <w:pPr>
              <w:pStyle w:val="Tabletext"/>
            </w:pPr>
            <w:r w:rsidRPr="001B4458">
              <w:t>948</w:t>
            </w:r>
          </w:p>
        </w:tc>
        <w:tc>
          <w:tcPr>
            <w:tcW w:w="1840" w:type="dxa"/>
            <w:tcBorders>
              <w:top w:val="nil"/>
              <w:left w:val="nil"/>
              <w:bottom w:val="single" w:sz="4" w:space="0" w:color="auto"/>
              <w:right w:val="single" w:sz="4" w:space="0" w:color="auto"/>
            </w:tcBorders>
            <w:shd w:val="clear" w:color="000000" w:fill="BFBFBF"/>
            <w:noWrap/>
            <w:vAlign w:val="bottom"/>
          </w:tcPr>
          <w:p w14:paraId="03F6D11D" w14:textId="3881D8FE" w:rsidR="002075F6" w:rsidRPr="001B4458" w:rsidRDefault="002075F6" w:rsidP="00F76882">
            <w:pPr>
              <w:pStyle w:val="Tabletext"/>
            </w:pPr>
            <w:r w:rsidRPr="001B4458">
              <w:t>390</w:t>
            </w:r>
          </w:p>
        </w:tc>
        <w:tc>
          <w:tcPr>
            <w:tcW w:w="1840" w:type="dxa"/>
            <w:tcBorders>
              <w:top w:val="nil"/>
              <w:left w:val="nil"/>
              <w:bottom w:val="single" w:sz="4" w:space="0" w:color="auto"/>
              <w:right w:val="single" w:sz="4" w:space="0" w:color="auto"/>
            </w:tcBorders>
            <w:shd w:val="clear" w:color="000000" w:fill="BFBFBF"/>
            <w:noWrap/>
            <w:vAlign w:val="bottom"/>
          </w:tcPr>
          <w:p w14:paraId="2EC0FD6F" w14:textId="686E523A" w:rsidR="002075F6" w:rsidRPr="001B4458" w:rsidRDefault="002075F6" w:rsidP="00F76882">
            <w:pPr>
              <w:pStyle w:val="Tabletext"/>
            </w:pPr>
            <w:r w:rsidRPr="001B4458">
              <w:t>225</w:t>
            </w:r>
          </w:p>
        </w:tc>
        <w:tc>
          <w:tcPr>
            <w:tcW w:w="1840" w:type="dxa"/>
            <w:tcBorders>
              <w:top w:val="nil"/>
              <w:left w:val="nil"/>
              <w:bottom w:val="single" w:sz="4" w:space="0" w:color="auto"/>
              <w:right w:val="single" w:sz="4" w:space="0" w:color="auto"/>
            </w:tcBorders>
            <w:shd w:val="clear" w:color="000000" w:fill="BFBFBF"/>
            <w:noWrap/>
            <w:vAlign w:val="bottom"/>
          </w:tcPr>
          <w:p w14:paraId="3CC75222" w14:textId="6B555F9F" w:rsidR="002075F6" w:rsidRPr="001B4458" w:rsidRDefault="002075F6" w:rsidP="00F76882">
            <w:pPr>
              <w:pStyle w:val="Tabletext"/>
            </w:pPr>
            <w:r w:rsidRPr="001B4458">
              <w:t>1563</w:t>
            </w:r>
          </w:p>
        </w:tc>
      </w:tr>
      <w:tr w:rsidR="002075F6" w:rsidRPr="0036007C" w14:paraId="2D8A3DD4" w14:textId="77777777" w:rsidTr="002E1DF7">
        <w:trPr>
          <w:trHeight w:val="290"/>
        </w:trPr>
        <w:tc>
          <w:tcPr>
            <w:tcW w:w="3300" w:type="dxa"/>
            <w:tcBorders>
              <w:top w:val="nil"/>
              <w:left w:val="single" w:sz="4" w:space="0" w:color="auto"/>
              <w:bottom w:val="single" w:sz="4" w:space="0" w:color="auto"/>
              <w:right w:val="single" w:sz="4" w:space="0" w:color="auto"/>
            </w:tcBorders>
            <w:vAlign w:val="bottom"/>
          </w:tcPr>
          <w:p w14:paraId="4041C896" w14:textId="44CBEB4E" w:rsidR="002075F6" w:rsidRPr="003D3BBA" w:rsidRDefault="002075F6" w:rsidP="00F76882">
            <w:pPr>
              <w:pStyle w:val="Tabletextleft"/>
              <w:rPr>
                <w:rStyle w:val="Emphasis"/>
              </w:rPr>
            </w:pPr>
            <w:r w:rsidRPr="003D3BBA">
              <w:rPr>
                <w:rStyle w:val="Emphasis"/>
              </w:rPr>
              <w:t>Clean face (%)</w:t>
            </w:r>
          </w:p>
        </w:tc>
        <w:tc>
          <w:tcPr>
            <w:tcW w:w="1840" w:type="dxa"/>
            <w:tcBorders>
              <w:top w:val="nil"/>
              <w:left w:val="nil"/>
              <w:bottom w:val="single" w:sz="4" w:space="0" w:color="auto"/>
              <w:right w:val="single" w:sz="4" w:space="0" w:color="auto"/>
            </w:tcBorders>
            <w:noWrap/>
            <w:vAlign w:val="bottom"/>
          </w:tcPr>
          <w:p w14:paraId="36B8F18B" w14:textId="45424DD3" w:rsidR="002075F6" w:rsidRPr="003D3BBA" w:rsidRDefault="002075F6" w:rsidP="00F76882">
            <w:pPr>
              <w:pStyle w:val="Tabletext"/>
              <w:rPr>
                <w:rStyle w:val="Emphasis"/>
              </w:rPr>
            </w:pPr>
            <w:r w:rsidRPr="003D3BBA">
              <w:rPr>
                <w:rStyle w:val="Emphasis"/>
              </w:rPr>
              <w:t>76</w:t>
            </w:r>
          </w:p>
        </w:tc>
        <w:tc>
          <w:tcPr>
            <w:tcW w:w="1840" w:type="dxa"/>
            <w:tcBorders>
              <w:top w:val="nil"/>
              <w:left w:val="nil"/>
              <w:bottom w:val="single" w:sz="4" w:space="0" w:color="auto"/>
              <w:right w:val="single" w:sz="4" w:space="0" w:color="auto"/>
            </w:tcBorders>
            <w:noWrap/>
            <w:vAlign w:val="bottom"/>
          </w:tcPr>
          <w:p w14:paraId="70172D2C" w14:textId="1BB06342" w:rsidR="002075F6" w:rsidRPr="003D3BBA" w:rsidRDefault="002075F6" w:rsidP="00F76882">
            <w:pPr>
              <w:pStyle w:val="Tabletext"/>
              <w:rPr>
                <w:rStyle w:val="Emphasis"/>
              </w:rPr>
            </w:pPr>
            <w:r w:rsidRPr="003D3BBA">
              <w:rPr>
                <w:rStyle w:val="Emphasis"/>
              </w:rPr>
              <w:t>89</w:t>
            </w:r>
          </w:p>
        </w:tc>
        <w:tc>
          <w:tcPr>
            <w:tcW w:w="1840" w:type="dxa"/>
            <w:tcBorders>
              <w:top w:val="nil"/>
              <w:left w:val="nil"/>
              <w:bottom w:val="single" w:sz="4" w:space="0" w:color="auto"/>
              <w:right w:val="single" w:sz="4" w:space="0" w:color="auto"/>
            </w:tcBorders>
            <w:noWrap/>
            <w:vAlign w:val="bottom"/>
          </w:tcPr>
          <w:p w14:paraId="442CDC5B" w14:textId="58DC9904" w:rsidR="002075F6" w:rsidRPr="003D3BBA" w:rsidRDefault="002075F6" w:rsidP="00F76882">
            <w:pPr>
              <w:pStyle w:val="Tabletext"/>
              <w:rPr>
                <w:rStyle w:val="Emphasis"/>
              </w:rPr>
            </w:pPr>
            <w:r w:rsidRPr="003D3BBA">
              <w:rPr>
                <w:rStyle w:val="Emphasis"/>
              </w:rPr>
              <w:t>76</w:t>
            </w:r>
          </w:p>
        </w:tc>
        <w:tc>
          <w:tcPr>
            <w:tcW w:w="1840" w:type="dxa"/>
            <w:tcBorders>
              <w:top w:val="nil"/>
              <w:left w:val="nil"/>
              <w:bottom w:val="single" w:sz="4" w:space="0" w:color="auto"/>
              <w:right w:val="single" w:sz="4" w:space="0" w:color="auto"/>
            </w:tcBorders>
            <w:noWrap/>
            <w:vAlign w:val="bottom"/>
          </w:tcPr>
          <w:p w14:paraId="080E7424" w14:textId="21E71794" w:rsidR="002075F6" w:rsidRPr="003D3BBA" w:rsidRDefault="002075F6" w:rsidP="00F76882">
            <w:pPr>
              <w:pStyle w:val="Tabletext"/>
              <w:rPr>
                <w:rStyle w:val="Emphasis"/>
              </w:rPr>
            </w:pPr>
            <w:r w:rsidRPr="003D3BBA">
              <w:rPr>
                <w:rStyle w:val="Emphasis"/>
              </w:rPr>
              <w:t>79</w:t>
            </w:r>
          </w:p>
        </w:tc>
      </w:tr>
      <w:tr w:rsidR="002075F6" w:rsidRPr="0036007C" w14:paraId="462860AF" w14:textId="77777777" w:rsidTr="006E3876">
        <w:trPr>
          <w:trHeight w:val="290"/>
        </w:trPr>
        <w:tc>
          <w:tcPr>
            <w:tcW w:w="3300" w:type="dxa"/>
            <w:tcBorders>
              <w:top w:val="nil"/>
              <w:left w:val="single" w:sz="4" w:space="0" w:color="auto"/>
              <w:bottom w:val="single" w:sz="4" w:space="0" w:color="auto"/>
              <w:right w:val="single" w:sz="4" w:space="0" w:color="auto"/>
            </w:tcBorders>
            <w:shd w:val="clear" w:color="000000" w:fill="BFBFBF"/>
            <w:vAlign w:val="bottom"/>
            <w:hideMark/>
          </w:tcPr>
          <w:p w14:paraId="7A3AD330" w14:textId="77777777" w:rsidR="002075F6" w:rsidRPr="003D3BBA" w:rsidRDefault="002075F6" w:rsidP="00F76882">
            <w:pPr>
              <w:pStyle w:val="Tabletextleft"/>
            </w:pPr>
            <w:r w:rsidRPr="003D3BBA">
              <w:t>Children screened for trachoma</w:t>
            </w:r>
          </w:p>
        </w:tc>
        <w:tc>
          <w:tcPr>
            <w:tcW w:w="1840" w:type="dxa"/>
            <w:tcBorders>
              <w:top w:val="nil"/>
              <w:left w:val="nil"/>
              <w:bottom w:val="single" w:sz="4" w:space="0" w:color="auto"/>
              <w:right w:val="single" w:sz="4" w:space="0" w:color="auto"/>
            </w:tcBorders>
            <w:shd w:val="clear" w:color="000000" w:fill="BFBFBF"/>
            <w:noWrap/>
            <w:vAlign w:val="bottom"/>
          </w:tcPr>
          <w:p w14:paraId="3DC4C96E" w14:textId="39805C89" w:rsidR="002075F6" w:rsidRPr="00A33DD2" w:rsidRDefault="002075F6" w:rsidP="00F76882">
            <w:pPr>
              <w:pStyle w:val="Tabletext"/>
            </w:pPr>
            <w:r w:rsidRPr="00A33DD2">
              <w:t>1144</w:t>
            </w:r>
          </w:p>
        </w:tc>
        <w:tc>
          <w:tcPr>
            <w:tcW w:w="1840" w:type="dxa"/>
            <w:tcBorders>
              <w:top w:val="nil"/>
              <w:left w:val="nil"/>
              <w:bottom w:val="single" w:sz="4" w:space="0" w:color="auto"/>
              <w:right w:val="single" w:sz="4" w:space="0" w:color="auto"/>
            </w:tcBorders>
            <w:shd w:val="clear" w:color="000000" w:fill="BFBFBF"/>
            <w:noWrap/>
            <w:vAlign w:val="bottom"/>
          </w:tcPr>
          <w:p w14:paraId="41705781" w14:textId="0C6AD076" w:rsidR="002075F6" w:rsidRPr="00A33DD2" w:rsidRDefault="002075F6" w:rsidP="00F76882">
            <w:pPr>
              <w:pStyle w:val="Tabletext"/>
            </w:pPr>
            <w:r w:rsidRPr="00A33DD2">
              <w:t>446</w:t>
            </w:r>
          </w:p>
        </w:tc>
        <w:tc>
          <w:tcPr>
            <w:tcW w:w="1840" w:type="dxa"/>
            <w:tcBorders>
              <w:top w:val="nil"/>
              <w:left w:val="nil"/>
              <w:bottom w:val="single" w:sz="4" w:space="0" w:color="auto"/>
              <w:right w:val="single" w:sz="4" w:space="0" w:color="auto"/>
            </w:tcBorders>
            <w:shd w:val="clear" w:color="000000" w:fill="BFBFBF"/>
            <w:noWrap/>
            <w:vAlign w:val="bottom"/>
          </w:tcPr>
          <w:p w14:paraId="0DD9C1D7" w14:textId="78CBE66D" w:rsidR="002075F6" w:rsidRPr="00A33DD2" w:rsidRDefault="002075F6" w:rsidP="00F76882">
            <w:pPr>
              <w:pStyle w:val="Tabletext"/>
            </w:pPr>
            <w:r w:rsidRPr="00A33DD2">
              <w:t>295</w:t>
            </w:r>
          </w:p>
        </w:tc>
        <w:tc>
          <w:tcPr>
            <w:tcW w:w="1840" w:type="dxa"/>
            <w:tcBorders>
              <w:top w:val="nil"/>
              <w:left w:val="nil"/>
              <w:bottom w:val="single" w:sz="4" w:space="0" w:color="auto"/>
              <w:right w:val="single" w:sz="4" w:space="0" w:color="auto"/>
            </w:tcBorders>
            <w:shd w:val="clear" w:color="000000" w:fill="BFBFBF"/>
            <w:noWrap/>
            <w:vAlign w:val="bottom"/>
          </w:tcPr>
          <w:p w14:paraId="75EDFDA4" w14:textId="4153E034" w:rsidR="002075F6" w:rsidRPr="00A33DD2" w:rsidRDefault="002075F6" w:rsidP="00F76882">
            <w:pPr>
              <w:pStyle w:val="Tabletext"/>
            </w:pPr>
            <w:r w:rsidRPr="00A33DD2">
              <w:t>1885</w:t>
            </w:r>
          </w:p>
        </w:tc>
      </w:tr>
      <w:tr w:rsidR="002075F6" w:rsidRPr="0036007C" w14:paraId="53AC3DDB" w14:textId="77777777" w:rsidTr="006E3876">
        <w:trPr>
          <w:trHeight w:val="290"/>
        </w:trPr>
        <w:tc>
          <w:tcPr>
            <w:tcW w:w="3300" w:type="dxa"/>
            <w:tcBorders>
              <w:top w:val="nil"/>
              <w:left w:val="single" w:sz="4" w:space="0" w:color="auto"/>
              <w:bottom w:val="single" w:sz="4" w:space="0" w:color="auto"/>
              <w:right w:val="single" w:sz="4" w:space="0" w:color="auto"/>
            </w:tcBorders>
            <w:vAlign w:val="bottom"/>
            <w:hideMark/>
          </w:tcPr>
          <w:p w14:paraId="1611E6D4" w14:textId="77777777" w:rsidR="002075F6" w:rsidRPr="0063016C" w:rsidRDefault="002075F6" w:rsidP="00F76882">
            <w:pPr>
              <w:rPr>
                <w:rStyle w:val="Emphasis"/>
              </w:rPr>
            </w:pPr>
            <w:r w:rsidRPr="0063016C">
              <w:rPr>
                <w:rStyle w:val="Emphasis"/>
              </w:rPr>
              <w:t>Trachoma screening coverage (%)</w:t>
            </w:r>
          </w:p>
        </w:tc>
        <w:tc>
          <w:tcPr>
            <w:tcW w:w="1840" w:type="dxa"/>
            <w:tcBorders>
              <w:top w:val="nil"/>
              <w:left w:val="nil"/>
              <w:bottom w:val="single" w:sz="4" w:space="0" w:color="auto"/>
              <w:right w:val="single" w:sz="4" w:space="0" w:color="auto"/>
            </w:tcBorders>
            <w:noWrap/>
            <w:vAlign w:val="bottom"/>
          </w:tcPr>
          <w:p w14:paraId="47D110E8" w14:textId="49CD076D" w:rsidR="002075F6" w:rsidRPr="0063016C" w:rsidRDefault="002075F6" w:rsidP="00F76882">
            <w:pPr>
              <w:pStyle w:val="Tabletext"/>
              <w:rPr>
                <w:rStyle w:val="Emphasis"/>
              </w:rPr>
            </w:pPr>
            <w:r w:rsidRPr="0063016C">
              <w:rPr>
                <w:rStyle w:val="Emphasis"/>
              </w:rPr>
              <w:t>87</w:t>
            </w:r>
          </w:p>
        </w:tc>
        <w:tc>
          <w:tcPr>
            <w:tcW w:w="1840" w:type="dxa"/>
            <w:tcBorders>
              <w:top w:val="nil"/>
              <w:left w:val="nil"/>
              <w:bottom w:val="single" w:sz="4" w:space="0" w:color="auto"/>
              <w:right w:val="single" w:sz="4" w:space="0" w:color="auto"/>
            </w:tcBorders>
            <w:noWrap/>
            <w:vAlign w:val="bottom"/>
          </w:tcPr>
          <w:p w14:paraId="3A826F78" w14:textId="59A2C6F3" w:rsidR="002075F6" w:rsidRPr="0063016C" w:rsidRDefault="002075F6" w:rsidP="00F76882">
            <w:pPr>
              <w:pStyle w:val="Tabletext"/>
              <w:rPr>
                <w:rStyle w:val="Emphasis"/>
              </w:rPr>
            </w:pPr>
            <w:r w:rsidRPr="0063016C">
              <w:rPr>
                <w:rStyle w:val="Emphasis"/>
              </w:rPr>
              <w:t>91</w:t>
            </w:r>
          </w:p>
        </w:tc>
        <w:tc>
          <w:tcPr>
            <w:tcW w:w="1840" w:type="dxa"/>
            <w:tcBorders>
              <w:top w:val="nil"/>
              <w:left w:val="nil"/>
              <w:bottom w:val="single" w:sz="4" w:space="0" w:color="auto"/>
              <w:right w:val="single" w:sz="4" w:space="0" w:color="auto"/>
            </w:tcBorders>
            <w:noWrap/>
            <w:vAlign w:val="bottom"/>
          </w:tcPr>
          <w:p w14:paraId="38FB2A9B" w14:textId="54B736C3" w:rsidR="002075F6" w:rsidRPr="0063016C" w:rsidRDefault="002075F6" w:rsidP="00F76882">
            <w:pPr>
              <w:pStyle w:val="Tabletext"/>
              <w:rPr>
                <w:rStyle w:val="Emphasis"/>
              </w:rPr>
            </w:pPr>
            <w:r w:rsidRPr="0063016C">
              <w:rPr>
                <w:rStyle w:val="Emphasis"/>
              </w:rPr>
              <w:t>92</w:t>
            </w:r>
          </w:p>
        </w:tc>
        <w:tc>
          <w:tcPr>
            <w:tcW w:w="1840" w:type="dxa"/>
            <w:tcBorders>
              <w:top w:val="nil"/>
              <w:left w:val="nil"/>
              <w:bottom w:val="single" w:sz="4" w:space="0" w:color="auto"/>
              <w:right w:val="single" w:sz="4" w:space="0" w:color="auto"/>
            </w:tcBorders>
            <w:noWrap/>
            <w:vAlign w:val="bottom"/>
          </w:tcPr>
          <w:p w14:paraId="169E5840" w14:textId="13BCB28E" w:rsidR="002075F6" w:rsidRPr="0063016C" w:rsidRDefault="002075F6" w:rsidP="00F76882">
            <w:pPr>
              <w:pStyle w:val="Tabletext"/>
              <w:rPr>
                <w:rStyle w:val="Emphasis"/>
              </w:rPr>
            </w:pPr>
            <w:r w:rsidRPr="0063016C">
              <w:rPr>
                <w:rStyle w:val="Emphasis"/>
              </w:rPr>
              <w:t>89</w:t>
            </w:r>
          </w:p>
        </w:tc>
      </w:tr>
      <w:tr w:rsidR="002075F6" w:rsidRPr="0036007C" w14:paraId="703FA21C" w14:textId="77777777" w:rsidTr="006E3876">
        <w:trPr>
          <w:trHeight w:val="290"/>
        </w:trPr>
        <w:tc>
          <w:tcPr>
            <w:tcW w:w="3300" w:type="dxa"/>
            <w:tcBorders>
              <w:top w:val="nil"/>
              <w:left w:val="single" w:sz="4" w:space="0" w:color="auto"/>
              <w:bottom w:val="single" w:sz="4" w:space="0" w:color="auto"/>
              <w:right w:val="single" w:sz="4" w:space="0" w:color="auto"/>
            </w:tcBorders>
            <w:shd w:val="clear" w:color="000000" w:fill="BFBFBF"/>
            <w:vAlign w:val="bottom"/>
            <w:hideMark/>
          </w:tcPr>
          <w:p w14:paraId="11CDD3A7" w14:textId="77777777" w:rsidR="002075F6" w:rsidRPr="003D3BBA" w:rsidRDefault="002075F6" w:rsidP="00F76882">
            <w:pPr>
              <w:pStyle w:val="Tabletextleft"/>
            </w:pPr>
            <w:r w:rsidRPr="003D3BBA">
              <w:t>Children with active trachoma</w:t>
            </w:r>
          </w:p>
        </w:tc>
        <w:tc>
          <w:tcPr>
            <w:tcW w:w="1840" w:type="dxa"/>
            <w:tcBorders>
              <w:top w:val="nil"/>
              <w:left w:val="nil"/>
              <w:bottom w:val="single" w:sz="4" w:space="0" w:color="auto"/>
              <w:right w:val="single" w:sz="4" w:space="0" w:color="auto"/>
            </w:tcBorders>
            <w:shd w:val="clear" w:color="000000" w:fill="BFBFBF"/>
            <w:noWrap/>
            <w:vAlign w:val="bottom"/>
          </w:tcPr>
          <w:p w14:paraId="203D6006" w14:textId="491AB1A6" w:rsidR="002075F6" w:rsidRPr="00A33DD2" w:rsidRDefault="002075F6" w:rsidP="00F76882">
            <w:pPr>
              <w:pStyle w:val="Tabletext"/>
            </w:pPr>
            <w:r w:rsidRPr="00A33DD2">
              <w:t>56</w:t>
            </w:r>
          </w:p>
        </w:tc>
        <w:tc>
          <w:tcPr>
            <w:tcW w:w="1840" w:type="dxa"/>
            <w:tcBorders>
              <w:top w:val="nil"/>
              <w:left w:val="nil"/>
              <w:bottom w:val="single" w:sz="4" w:space="0" w:color="auto"/>
              <w:right w:val="single" w:sz="4" w:space="0" w:color="auto"/>
            </w:tcBorders>
            <w:shd w:val="clear" w:color="000000" w:fill="BFBFBF"/>
            <w:noWrap/>
            <w:vAlign w:val="bottom"/>
          </w:tcPr>
          <w:p w14:paraId="6D997C0D" w14:textId="201E12C3" w:rsidR="002075F6" w:rsidRPr="00A33DD2" w:rsidRDefault="002075F6" w:rsidP="00F76882">
            <w:pPr>
              <w:pStyle w:val="Tabletext"/>
            </w:pPr>
            <w:r w:rsidRPr="00A33DD2">
              <w:t>0</w:t>
            </w:r>
          </w:p>
        </w:tc>
        <w:tc>
          <w:tcPr>
            <w:tcW w:w="1840" w:type="dxa"/>
            <w:tcBorders>
              <w:top w:val="nil"/>
              <w:left w:val="nil"/>
              <w:bottom w:val="single" w:sz="4" w:space="0" w:color="auto"/>
              <w:right w:val="single" w:sz="4" w:space="0" w:color="auto"/>
            </w:tcBorders>
            <w:shd w:val="clear" w:color="000000" w:fill="BFBFBF"/>
            <w:noWrap/>
            <w:vAlign w:val="bottom"/>
          </w:tcPr>
          <w:p w14:paraId="3438EF91" w14:textId="3CC27411" w:rsidR="002075F6" w:rsidRPr="00A33DD2" w:rsidRDefault="002075F6" w:rsidP="00F76882">
            <w:pPr>
              <w:pStyle w:val="Tabletext"/>
            </w:pPr>
            <w:r w:rsidRPr="00A33DD2">
              <w:t>12</w:t>
            </w:r>
          </w:p>
        </w:tc>
        <w:tc>
          <w:tcPr>
            <w:tcW w:w="1840" w:type="dxa"/>
            <w:tcBorders>
              <w:top w:val="nil"/>
              <w:left w:val="nil"/>
              <w:bottom w:val="single" w:sz="4" w:space="0" w:color="auto"/>
              <w:right w:val="single" w:sz="4" w:space="0" w:color="auto"/>
            </w:tcBorders>
            <w:shd w:val="clear" w:color="000000" w:fill="BFBFBF"/>
            <w:noWrap/>
            <w:vAlign w:val="bottom"/>
          </w:tcPr>
          <w:p w14:paraId="074B566F" w14:textId="0AEB96FB" w:rsidR="002075F6" w:rsidRPr="00A33DD2" w:rsidRDefault="002075F6" w:rsidP="00F76882">
            <w:pPr>
              <w:pStyle w:val="Tabletext"/>
            </w:pPr>
            <w:r w:rsidRPr="00A33DD2">
              <w:t>68</w:t>
            </w:r>
          </w:p>
        </w:tc>
      </w:tr>
      <w:tr w:rsidR="002075F6" w:rsidRPr="0036007C" w14:paraId="4ABC3C23" w14:textId="77777777" w:rsidTr="006E3876">
        <w:trPr>
          <w:trHeight w:val="580"/>
        </w:trPr>
        <w:tc>
          <w:tcPr>
            <w:tcW w:w="3300" w:type="dxa"/>
            <w:tcBorders>
              <w:top w:val="nil"/>
              <w:left w:val="single" w:sz="4" w:space="0" w:color="auto"/>
              <w:bottom w:val="single" w:sz="4" w:space="0" w:color="auto"/>
              <w:right w:val="single" w:sz="4" w:space="0" w:color="auto"/>
            </w:tcBorders>
            <w:vAlign w:val="bottom"/>
            <w:hideMark/>
          </w:tcPr>
          <w:p w14:paraId="543AF871" w14:textId="77777777" w:rsidR="002075F6" w:rsidRPr="0063016C" w:rsidRDefault="002075F6" w:rsidP="00F76882">
            <w:pPr>
              <w:rPr>
                <w:rStyle w:val="Emphasis"/>
              </w:rPr>
            </w:pPr>
            <w:r w:rsidRPr="0063016C">
              <w:rPr>
                <w:rStyle w:val="Emphasis"/>
              </w:rPr>
              <w:t>Observed prevalence of active trachoma† (%)</w:t>
            </w:r>
          </w:p>
        </w:tc>
        <w:tc>
          <w:tcPr>
            <w:tcW w:w="1840" w:type="dxa"/>
            <w:tcBorders>
              <w:top w:val="nil"/>
              <w:left w:val="nil"/>
              <w:bottom w:val="single" w:sz="4" w:space="0" w:color="auto"/>
              <w:right w:val="single" w:sz="4" w:space="0" w:color="auto"/>
            </w:tcBorders>
            <w:noWrap/>
            <w:vAlign w:val="bottom"/>
          </w:tcPr>
          <w:p w14:paraId="7559F305" w14:textId="0B0BD6C1" w:rsidR="002075F6" w:rsidRPr="0063016C" w:rsidRDefault="002075F6" w:rsidP="00F76882">
            <w:pPr>
              <w:pStyle w:val="Tabletext"/>
              <w:rPr>
                <w:rStyle w:val="Emphasis"/>
              </w:rPr>
            </w:pPr>
            <w:r w:rsidRPr="0063016C">
              <w:rPr>
                <w:rStyle w:val="Emphasis"/>
              </w:rPr>
              <w:t>4.9</w:t>
            </w:r>
          </w:p>
        </w:tc>
        <w:tc>
          <w:tcPr>
            <w:tcW w:w="1840" w:type="dxa"/>
            <w:tcBorders>
              <w:top w:val="nil"/>
              <w:left w:val="nil"/>
              <w:bottom w:val="single" w:sz="4" w:space="0" w:color="auto"/>
              <w:right w:val="single" w:sz="4" w:space="0" w:color="auto"/>
            </w:tcBorders>
            <w:noWrap/>
            <w:vAlign w:val="bottom"/>
          </w:tcPr>
          <w:p w14:paraId="16CCFD35" w14:textId="603A6D19" w:rsidR="002075F6" w:rsidRPr="0063016C" w:rsidRDefault="002075F6" w:rsidP="00F76882">
            <w:pPr>
              <w:pStyle w:val="Tabletext"/>
              <w:rPr>
                <w:rStyle w:val="Emphasis"/>
              </w:rPr>
            </w:pPr>
            <w:r w:rsidRPr="0063016C">
              <w:rPr>
                <w:rStyle w:val="Emphasis"/>
              </w:rPr>
              <w:t>0</w:t>
            </w:r>
          </w:p>
        </w:tc>
        <w:tc>
          <w:tcPr>
            <w:tcW w:w="1840" w:type="dxa"/>
            <w:tcBorders>
              <w:top w:val="nil"/>
              <w:left w:val="nil"/>
              <w:bottom w:val="single" w:sz="4" w:space="0" w:color="auto"/>
              <w:right w:val="single" w:sz="4" w:space="0" w:color="auto"/>
            </w:tcBorders>
            <w:noWrap/>
            <w:vAlign w:val="bottom"/>
          </w:tcPr>
          <w:p w14:paraId="511A8D6E" w14:textId="3C7840C2" w:rsidR="002075F6" w:rsidRPr="0063016C" w:rsidRDefault="002075F6" w:rsidP="00F76882">
            <w:pPr>
              <w:pStyle w:val="Tabletext"/>
              <w:rPr>
                <w:rStyle w:val="Emphasis"/>
              </w:rPr>
            </w:pPr>
            <w:r w:rsidRPr="0063016C">
              <w:rPr>
                <w:rStyle w:val="Emphasis"/>
              </w:rPr>
              <w:t>4.1</w:t>
            </w:r>
          </w:p>
        </w:tc>
        <w:tc>
          <w:tcPr>
            <w:tcW w:w="1840" w:type="dxa"/>
            <w:tcBorders>
              <w:top w:val="nil"/>
              <w:left w:val="nil"/>
              <w:bottom w:val="single" w:sz="4" w:space="0" w:color="auto"/>
              <w:right w:val="single" w:sz="4" w:space="0" w:color="auto"/>
            </w:tcBorders>
            <w:noWrap/>
            <w:vAlign w:val="bottom"/>
          </w:tcPr>
          <w:p w14:paraId="02B09120" w14:textId="6C5922CC" w:rsidR="002075F6" w:rsidRPr="0063016C" w:rsidRDefault="002075F6" w:rsidP="00F76882">
            <w:pPr>
              <w:pStyle w:val="Tabletext"/>
              <w:rPr>
                <w:rStyle w:val="Emphasis"/>
              </w:rPr>
            </w:pPr>
            <w:r w:rsidRPr="0063016C">
              <w:rPr>
                <w:rStyle w:val="Emphasis"/>
              </w:rPr>
              <w:t>3.6</w:t>
            </w:r>
          </w:p>
        </w:tc>
      </w:tr>
      <w:tr w:rsidR="002075F6" w:rsidRPr="0036007C" w14:paraId="53C55E1F" w14:textId="77777777" w:rsidTr="006E3876">
        <w:trPr>
          <w:trHeight w:val="580"/>
        </w:trPr>
        <w:tc>
          <w:tcPr>
            <w:tcW w:w="3300" w:type="dxa"/>
            <w:tcBorders>
              <w:top w:val="nil"/>
              <w:left w:val="single" w:sz="4" w:space="0" w:color="auto"/>
              <w:bottom w:val="single" w:sz="4" w:space="0" w:color="auto"/>
              <w:right w:val="single" w:sz="4" w:space="0" w:color="auto"/>
            </w:tcBorders>
            <w:shd w:val="clear" w:color="000000" w:fill="BFBFBF"/>
            <w:vAlign w:val="bottom"/>
            <w:hideMark/>
          </w:tcPr>
          <w:p w14:paraId="325BD772" w14:textId="77777777" w:rsidR="002075F6" w:rsidRPr="0063016C" w:rsidRDefault="002075F6" w:rsidP="00F76882">
            <w:pPr>
              <w:rPr>
                <w:rStyle w:val="Emphasis"/>
              </w:rPr>
            </w:pPr>
            <w:r w:rsidRPr="0063016C">
              <w:rPr>
                <w:rStyle w:val="Emphasis"/>
              </w:rPr>
              <w:t>Estimated prevalence of active trachoma‡ (%)</w:t>
            </w:r>
          </w:p>
        </w:tc>
        <w:tc>
          <w:tcPr>
            <w:tcW w:w="1840" w:type="dxa"/>
            <w:tcBorders>
              <w:top w:val="nil"/>
              <w:left w:val="nil"/>
              <w:bottom w:val="single" w:sz="4" w:space="0" w:color="auto"/>
              <w:right w:val="single" w:sz="4" w:space="0" w:color="auto"/>
            </w:tcBorders>
            <w:shd w:val="clear" w:color="000000" w:fill="BFBFBF"/>
            <w:noWrap/>
            <w:vAlign w:val="bottom"/>
          </w:tcPr>
          <w:p w14:paraId="0864FAE6" w14:textId="3298E186" w:rsidR="002075F6" w:rsidRPr="0063016C" w:rsidRDefault="002075F6" w:rsidP="00F76882">
            <w:pPr>
              <w:pStyle w:val="Tabletext"/>
              <w:rPr>
                <w:rStyle w:val="Emphasis"/>
              </w:rPr>
            </w:pPr>
            <w:r w:rsidRPr="0063016C">
              <w:rPr>
                <w:rStyle w:val="Emphasis"/>
              </w:rPr>
              <w:t>5.0</w:t>
            </w:r>
          </w:p>
        </w:tc>
        <w:tc>
          <w:tcPr>
            <w:tcW w:w="1840" w:type="dxa"/>
            <w:tcBorders>
              <w:top w:val="nil"/>
              <w:left w:val="nil"/>
              <w:bottom w:val="single" w:sz="4" w:space="0" w:color="auto"/>
              <w:right w:val="single" w:sz="4" w:space="0" w:color="auto"/>
            </w:tcBorders>
            <w:shd w:val="clear" w:color="000000" w:fill="BFBFBF"/>
            <w:noWrap/>
            <w:vAlign w:val="bottom"/>
          </w:tcPr>
          <w:p w14:paraId="24F9EBCD" w14:textId="2E109D6F" w:rsidR="002075F6" w:rsidRPr="0063016C" w:rsidRDefault="002075F6" w:rsidP="00F76882">
            <w:pPr>
              <w:pStyle w:val="Tabletext"/>
              <w:rPr>
                <w:rStyle w:val="Emphasis"/>
              </w:rPr>
            </w:pPr>
            <w:r w:rsidRPr="0063016C">
              <w:rPr>
                <w:rStyle w:val="Emphasis"/>
              </w:rPr>
              <w:t>0</w:t>
            </w:r>
          </w:p>
        </w:tc>
        <w:tc>
          <w:tcPr>
            <w:tcW w:w="1840" w:type="dxa"/>
            <w:tcBorders>
              <w:top w:val="nil"/>
              <w:left w:val="nil"/>
              <w:bottom w:val="single" w:sz="4" w:space="0" w:color="auto"/>
              <w:right w:val="single" w:sz="4" w:space="0" w:color="auto"/>
            </w:tcBorders>
            <w:shd w:val="clear" w:color="000000" w:fill="BFBFBF"/>
            <w:noWrap/>
            <w:vAlign w:val="bottom"/>
          </w:tcPr>
          <w:p w14:paraId="22D7CB53" w14:textId="4E74774D" w:rsidR="002075F6" w:rsidRPr="0063016C" w:rsidRDefault="002075F6" w:rsidP="00F76882">
            <w:pPr>
              <w:pStyle w:val="Tabletext"/>
              <w:rPr>
                <w:rStyle w:val="Emphasis"/>
              </w:rPr>
            </w:pPr>
            <w:r w:rsidRPr="0063016C">
              <w:rPr>
                <w:rStyle w:val="Emphasis"/>
              </w:rPr>
              <w:t>2.9</w:t>
            </w:r>
          </w:p>
        </w:tc>
        <w:tc>
          <w:tcPr>
            <w:tcW w:w="1840" w:type="dxa"/>
            <w:tcBorders>
              <w:top w:val="nil"/>
              <w:left w:val="nil"/>
              <w:bottom w:val="single" w:sz="4" w:space="0" w:color="auto"/>
              <w:right w:val="single" w:sz="4" w:space="0" w:color="auto"/>
            </w:tcBorders>
            <w:shd w:val="clear" w:color="000000" w:fill="BFBFBF"/>
            <w:noWrap/>
            <w:vAlign w:val="bottom"/>
          </w:tcPr>
          <w:p w14:paraId="4B9FFD4D" w14:textId="6511A5DA" w:rsidR="002075F6" w:rsidRPr="0063016C" w:rsidRDefault="002075F6" w:rsidP="00F76882">
            <w:pPr>
              <w:pStyle w:val="Tabletext"/>
              <w:rPr>
                <w:rStyle w:val="Emphasis"/>
              </w:rPr>
            </w:pPr>
            <w:r w:rsidRPr="0063016C">
              <w:rPr>
                <w:rStyle w:val="Emphasis"/>
              </w:rPr>
              <w:t>3.5</w:t>
            </w:r>
          </w:p>
        </w:tc>
      </w:tr>
      <w:tr w:rsidR="002075F6" w:rsidRPr="0036007C" w14:paraId="6049EC3C" w14:textId="77777777" w:rsidTr="006E3876">
        <w:trPr>
          <w:trHeight w:val="580"/>
        </w:trPr>
        <w:tc>
          <w:tcPr>
            <w:tcW w:w="3300" w:type="dxa"/>
            <w:tcBorders>
              <w:top w:val="nil"/>
              <w:left w:val="single" w:sz="4" w:space="0" w:color="auto"/>
              <w:bottom w:val="single" w:sz="4" w:space="0" w:color="auto"/>
              <w:right w:val="single" w:sz="4" w:space="0" w:color="auto"/>
            </w:tcBorders>
            <w:vAlign w:val="bottom"/>
            <w:hideMark/>
          </w:tcPr>
          <w:p w14:paraId="55B89B5C" w14:textId="77777777" w:rsidR="002075F6" w:rsidRPr="0063016C" w:rsidRDefault="002075F6" w:rsidP="00F76882">
            <w:pPr>
              <w:rPr>
                <w:rStyle w:val="Emphasis"/>
              </w:rPr>
            </w:pPr>
            <w:r w:rsidRPr="0063016C">
              <w:rPr>
                <w:rStyle w:val="Emphasis"/>
              </w:rPr>
              <w:t>Overall prevalence of active trachoma (%)</w:t>
            </w:r>
          </w:p>
        </w:tc>
        <w:tc>
          <w:tcPr>
            <w:tcW w:w="1840" w:type="dxa"/>
            <w:tcBorders>
              <w:top w:val="nil"/>
              <w:left w:val="nil"/>
              <w:bottom w:val="single" w:sz="4" w:space="0" w:color="auto"/>
              <w:right w:val="single" w:sz="4" w:space="0" w:color="auto"/>
            </w:tcBorders>
            <w:noWrap/>
            <w:vAlign w:val="bottom"/>
          </w:tcPr>
          <w:p w14:paraId="262CF8EE" w14:textId="71149713" w:rsidR="002075F6" w:rsidRPr="0063016C" w:rsidRDefault="002075F6" w:rsidP="00F76882">
            <w:pPr>
              <w:pStyle w:val="Tabletext"/>
              <w:rPr>
                <w:rStyle w:val="Emphasis"/>
              </w:rPr>
            </w:pPr>
            <w:r w:rsidRPr="0063016C">
              <w:rPr>
                <w:rStyle w:val="Emphasis"/>
              </w:rPr>
              <w:t>2.1</w:t>
            </w:r>
          </w:p>
        </w:tc>
        <w:tc>
          <w:tcPr>
            <w:tcW w:w="1840" w:type="dxa"/>
            <w:tcBorders>
              <w:top w:val="nil"/>
              <w:left w:val="nil"/>
              <w:bottom w:val="single" w:sz="4" w:space="0" w:color="auto"/>
              <w:right w:val="single" w:sz="4" w:space="0" w:color="auto"/>
            </w:tcBorders>
            <w:noWrap/>
            <w:vAlign w:val="bottom"/>
          </w:tcPr>
          <w:p w14:paraId="26569A81" w14:textId="3DF4AFE9" w:rsidR="002075F6" w:rsidRPr="0063016C" w:rsidRDefault="002075F6" w:rsidP="00F76882">
            <w:pPr>
              <w:pStyle w:val="Tabletext"/>
              <w:rPr>
                <w:rStyle w:val="Emphasis"/>
              </w:rPr>
            </w:pPr>
            <w:r w:rsidRPr="0063016C">
              <w:rPr>
                <w:rStyle w:val="Emphasis"/>
              </w:rPr>
              <w:t>0</w:t>
            </w:r>
          </w:p>
        </w:tc>
        <w:tc>
          <w:tcPr>
            <w:tcW w:w="1840" w:type="dxa"/>
            <w:tcBorders>
              <w:top w:val="nil"/>
              <w:left w:val="nil"/>
              <w:bottom w:val="single" w:sz="4" w:space="0" w:color="auto"/>
              <w:right w:val="single" w:sz="4" w:space="0" w:color="auto"/>
            </w:tcBorders>
            <w:noWrap/>
            <w:vAlign w:val="bottom"/>
          </w:tcPr>
          <w:p w14:paraId="63720ABF" w14:textId="6F0D48CC" w:rsidR="002075F6" w:rsidRPr="0063016C" w:rsidRDefault="002075F6" w:rsidP="00F76882">
            <w:pPr>
              <w:pStyle w:val="Tabletext"/>
              <w:rPr>
                <w:rStyle w:val="Emphasis"/>
              </w:rPr>
            </w:pPr>
            <w:r w:rsidRPr="0063016C">
              <w:rPr>
                <w:rStyle w:val="Emphasis"/>
              </w:rPr>
              <w:t>1.3</w:t>
            </w:r>
          </w:p>
        </w:tc>
        <w:tc>
          <w:tcPr>
            <w:tcW w:w="1840" w:type="dxa"/>
            <w:tcBorders>
              <w:top w:val="nil"/>
              <w:left w:val="nil"/>
              <w:bottom w:val="single" w:sz="4" w:space="0" w:color="auto"/>
              <w:right w:val="single" w:sz="4" w:space="0" w:color="auto"/>
            </w:tcBorders>
            <w:noWrap/>
            <w:vAlign w:val="bottom"/>
          </w:tcPr>
          <w:p w14:paraId="291330F5" w14:textId="6BAE9B10" w:rsidR="002075F6" w:rsidRPr="0063016C" w:rsidRDefault="002075F6" w:rsidP="00F76882">
            <w:pPr>
              <w:pStyle w:val="Tabletext"/>
              <w:rPr>
                <w:rStyle w:val="Emphasis"/>
              </w:rPr>
            </w:pPr>
            <w:r w:rsidRPr="0063016C">
              <w:rPr>
                <w:rStyle w:val="Emphasis"/>
              </w:rPr>
              <w:t>1.5</w:t>
            </w:r>
          </w:p>
        </w:tc>
      </w:tr>
    </w:tbl>
    <w:p w14:paraId="6A8C8299" w14:textId="02771947" w:rsidR="006721B2" w:rsidRPr="00A33DD2" w:rsidRDefault="006721B2" w:rsidP="00F76882">
      <w:pPr>
        <w:pStyle w:val="tablefigfootnote"/>
      </w:pPr>
      <w:r w:rsidRPr="00A33DD2">
        <w:t xml:space="preserve">* </w:t>
      </w:r>
      <w:r w:rsidR="00E25C0C" w:rsidRPr="00A33DD2">
        <w:t>Jurisdictional estimate</w:t>
      </w:r>
      <w:r w:rsidR="000B705F" w:rsidRPr="00A33DD2">
        <w:t>.</w:t>
      </w:r>
    </w:p>
    <w:p w14:paraId="2B7B1A26" w14:textId="2E1158CA" w:rsidR="006721B2" w:rsidRPr="00A33DD2" w:rsidRDefault="006721B2" w:rsidP="00F76882">
      <w:pPr>
        <w:pStyle w:val="tablefigfootnote"/>
      </w:pPr>
      <w:bookmarkStart w:id="201" w:name="_Hlk108768321"/>
      <w:r w:rsidRPr="00A33DD2">
        <w:t>†</w:t>
      </w:r>
      <w:bookmarkEnd w:id="201"/>
      <w:r w:rsidRPr="00A33DD2">
        <w:t xml:space="preserve"> </w:t>
      </w:r>
      <w:r w:rsidR="00E25C0C" w:rsidRPr="00A33DD2">
        <w:t xml:space="preserve">Communities that were screened for trachoma in </w:t>
      </w:r>
      <w:r w:rsidR="00C3405D" w:rsidRPr="00A33DD2">
        <w:t>2024</w:t>
      </w:r>
      <w:r w:rsidR="000B705F" w:rsidRPr="00A33DD2">
        <w:t>.</w:t>
      </w:r>
    </w:p>
    <w:p w14:paraId="7AE4A32B" w14:textId="6A88065D" w:rsidR="00E25C0C" w:rsidRPr="00A33DD2" w:rsidRDefault="006721B2" w:rsidP="00F76882">
      <w:pPr>
        <w:pStyle w:val="tablefigfootnote"/>
        <w:sectPr w:rsidR="00E25C0C" w:rsidRPr="00A33DD2" w:rsidSect="00C04CBB">
          <w:pgSz w:w="11906" w:h="16838"/>
          <w:pgMar w:top="720" w:right="720" w:bottom="720" w:left="720" w:header="709" w:footer="709" w:gutter="0"/>
          <w:cols w:space="708"/>
          <w:docGrid w:linePitch="360"/>
        </w:sectPr>
      </w:pPr>
      <w:r w:rsidRPr="00A33DD2">
        <w:t xml:space="preserve">‡ </w:t>
      </w:r>
      <w:r w:rsidR="001E77E5" w:rsidRPr="00A33DD2">
        <w:t>P</w:t>
      </w:r>
      <w:r w:rsidR="00E25C0C" w:rsidRPr="00A33DD2">
        <w:t>revalence rate</w:t>
      </w:r>
      <w:r w:rsidR="001E77E5" w:rsidRPr="00A33DD2">
        <w:t xml:space="preserve"> calculation</w:t>
      </w:r>
      <w:r w:rsidR="00E25C0C" w:rsidRPr="00A33DD2">
        <w:t xml:space="preserve">s </w:t>
      </w:r>
      <w:bookmarkStart w:id="202" w:name="_Table_1.3_Number"/>
      <w:bookmarkStart w:id="203" w:name="_Ref58336064"/>
      <w:bookmarkStart w:id="204" w:name="Table14"/>
      <w:bookmarkEnd w:id="202"/>
      <w:r w:rsidR="00EC32F9" w:rsidRPr="00A33DD2">
        <w:t xml:space="preserve">are </w:t>
      </w:r>
      <w:r w:rsidR="001D0060" w:rsidRPr="00A33DD2">
        <w:t>described</w:t>
      </w:r>
      <w:r w:rsidR="00EC32F9" w:rsidRPr="00A33DD2">
        <w:t xml:space="preserve"> in the </w:t>
      </w:r>
      <w:r w:rsidR="00FB5AB2" w:rsidRPr="00A33DD2">
        <w:t>Methodology</w:t>
      </w:r>
      <w:r w:rsidR="00EC32F9" w:rsidRPr="00A33DD2">
        <w:t xml:space="preserve"> section</w:t>
      </w:r>
      <w:r w:rsidR="000B705F" w:rsidRPr="00A33DD2">
        <w:t>.</w:t>
      </w:r>
    </w:p>
    <w:p w14:paraId="2C288BA4" w14:textId="229F2565" w:rsidR="001C78FD" w:rsidRPr="006043C2" w:rsidRDefault="001C78FD" w:rsidP="00F76882">
      <w:pPr>
        <w:pStyle w:val="Tableheadings"/>
      </w:pPr>
      <w:bookmarkStart w:id="205" w:name="_Toc215224698"/>
      <w:r w:rsidRPr="006043C2">
        <w:t xml:space="preserve">Table </w:t>
      </w:r>
      <w:r w:rsidR="009B3144" w:rsidRPr="006043C2">
        <w:t>1</w:t>
      </w:r>
      <w:r w:rsidR="000B2552" w:rsidRPr="006043C2">
        <w:t>.</w:t>
      </w:r>
      <w:r w:rsidRPr="006043C2">
        <w:fldChar w:fldCharType="begin"/>
      </w:r>
      <w:r w:rsidRPr="006043C2">
        <w:instrText>SEQ Table \* ARABIC \s 1</w:instrText>
      </w:r>
      <w:r w:rsidRPr="006043C2">
        <w:fldChar w:fldCharType="separate"/>
      </w:r>
      <w:r w:rsidR="00D23948" w:rsidRPr="006043C2">
        <w:t>3</w:t>
      </w:r>
      <w:r w:rsidRPr="006043C2">
        <w:fldChar w:fldCharType="end"/>
      </w:r>
      <w:bookmarkEnd w:id="203"/>
      <w:r w:rsidR="008770BF" w:rsidRPr="006043C2">
        <w:tab/>
      </w:r>
      <w:r w:rsidRPr="006043C2">
        <w:t xml:space="preserve">Number and proportion of at-risk communities according to </w:t>
      </w:r>
      <w:r w:rsidR="003524BE" w:rsidRPr="006043C2">
        <w:t xml:space="preserve">the </w:t>
      </w:r>
      <w:r w:rsidRPr="006043C2">
        <w:t xml:space="preserve">level of </w:t>
      </w:r>
      <w:r w:rsidR="00C51CC9" w:rsidRPr="006043C2">
        <w:t>observed</w:t>
      </w:r>
      <w:r w:rsidR="00AF0623" w:rsidRPr="006043C2">
        <w:t xml:space="preserve"> </w:t>
      </w:r>
      <w:r w:rsidRPr="006043C2">
        <w:t>trachoma prevalence in children aged 5</w:t>
      </w:r>
      <w:r w:rsidR="003D00CE" w:rsidRPr="006043C2">
        <w:t>–</w:t>
      </w:r>
      <w:r w:rsidRPr="006043C2">
        <w:t>9 years, Australia</w:t>
      </w:r>
      <w:r w:rsidR="001937AB" w:rsidRPr="006043C2">
        <w:t>,</w:t>
      </w:r>
      <w:r w:rsidRPr="006043C2">
        <w:t xml:space="preserve"> 20</w:t>
      </w:r>
      <w:r w:rsidR="005C7B08" w:rsidRPr="006043C2">
        <w:t>14</w:t>
      </w:r>
      <w:r w:rsidR="003D00CE" w:rsidRPr="006043C2">
        <w:t>–</w:t>
      </w:r>
      <w:r w:rsidR="00E76BB4" w:rsidRPr="006043C2">
        <w:t>202</w:t>
      </w:r>
      <w:r w:rsidR="00000C77" w:rsidRPr="006043C2">
        <w:t>4</w:t>
      </w:r>
      <w:bookmarkEnd w:id="205"/>
    </w:p>
    <w:tbl>
      <w:tblPr>
        <w:tblW w:w="5000" w:type="pct"/>
        <w:tblLook w:val="04A0" w:firstRow="1" w:lastRow="0" w:firstColumn="1" w:lastColumn="0" w:noHBand="0" w:noVBand="1"/>
        <w:tblCaption w:val="Number and proportion of at-risk communities according to the level of observed trachoma prevalence in children aged 5–9 years, Australia, 2014–2024"/>
        <w:tblDescription w:val="Table 1.3 compares the breakdown of observed prevalence by year. Prevalence is categorised as either greater than or equal to 20%, 10% to less than 20%, 5% to less than 10%, less than 5%, and 0% prevalence.&#10;"/>
      </w:tblPr>
      <w:tblGrid>
        <w:gridCol w:w="1534"/>
        <w:gridCol w:w="371"/>
        <w:gridCol w:w="888"/>
        <w:gridCol w:w="371"/>
        <w:gridCol w:w="888"/>
        <w:gridCol w:w="370"/>
        <w:gridCol w:w="887"/>
        <w:gridCol w:w="393"/>
        <w:gridCol w:w="887"/>
        <w:gridCol w:w="370"/>
        <w:gridCol w:w="887"/>
        <w:gridCol w:w="370"/>
        <w:gridCol w:w="887"/>
        <w:gridCol w:w="370"/>
        <w:gridCol w:w="887"/>
        <w:gridCol w:w="370"/>
        <w:gridCol w:w="887"/>
        <w:gridCol w:w="370"/>
        <w:gridCol w:w="887"/>
        <w:gridCol w:w="370"/>
        <w:gridCol w:w="887"/>
        <w:gridCol w:w="370"/>
        <w:gridCol w:w="887"/>
      </w:tblGrid>
      <w:tr w:rsidR="00EC40BE" w:rsidRPr="0036007C" w14:paraId="5205D0B9" w14:textId="2EC731DD" w:rsidTr="00394190">
        <w:trPr>
          <w:trHeight w:val="900"/>
          <w:tblHeader/>
        </w:trPr>
        <w:tc>
          <w:tcPr>
            <w:tcW w:w="556" w:type="pct"/>
            <w:tcBorders>
              <w:top w:val="single" w:sz="4" w:space="0" w:color="auto"/>
              <w:left w:val="single" w:sz="4" w:space="0" w:color="auto"/>
              <w:bottom w:val="single" w:sz="4" w:space="0" w:color="auto"/>
              <w:right w:val="single" w:sz="4" w:space="0" w:color="auto"/>
            </w:tcBorders>
            <w:shd w:val="clear" w:color="000000" w:fill="BFBFBF"/>
            <w:noWrap/>
            <w:hideMark/>
          </w:tcPr>
          <w:p w14:paraId="253C5C34" w14:textId="77777777" w:rsidR="00EC40BE" w:rsidRPr="00A33DD2" w:rsidRDefault="00EC40BE" w:rsidP="00F76882">
            <w:pPr>
              <w:pStyle w:val="Tableheading"/>
            </w:pPr>
            <w:r w:rsidRPr="00A33DD2">
              <w:t> </w:t>
            </w:r>
          </w:p>
        </w:tc>
        <w:tc>
          <w:tcPr>
            <w:tcW w:w="403" w:type="pct"/>
            <w:gridSpan w:val="2"/>
            <w:tcBorders>
              <w:top w:val="single" w:sz="4" w:space="0" w:color="auto"/>
              <w:left w:val="nil"/>
              <w:bottom w:val="single" w:sz="4" w:space="0" w:color="auto"/>
              <w:right w:val="single" w:sz="4" w:space="0" w:color="auto"/>
            </w:tcBorders>
            <w:shd w:val="clear" w:color="000000" w:fill="BFBFBF"/>
            <w:noWrap/>
            <w:hideMark/>
          </w:tcPr>
          <w:p w14:paraId="17A9F36F" w14:textId="77777777" w:rsidR="00EC40BE" w:rsidRPr="00A33DD2" w:rsidRDefault="00EC40BE" w:rsidP="00F76882">
            <w:pPr>
              <w:pStyle w:val="Tableheading"/>
            </w:pPr>
            <w:r w:rsidRPr="00A33DD2">
              <w:t>2014</w:t>
            </w:r>
          </w:p>
        </w:tc>
        <w:tc>
          <w:tcPr>
            <w:tcW w:w="403" w:type="pct"/>
            <w:gridSpan w:val="2"/>
            <w:tcBorders>
              <w:top w:val="single" w:sz="4" w:space="0" w:color="auto"/>
              <w:left w:val="nil"/>
              <w:bottom w:val="single" w:sz="4" w:space="0" w:color="auto"/>
              <w:right w:val="single" w:sz="4" w:space="0" w:color="auto"/>
            </w:tcBorders>
            <w:shd w:val="clear" w:color="000000" w:fill="BFBFBF"/>
            <w:noWrap/>
            <w:hideMark/>
          </w:tcPr>
          <w:p w14:paraId="6DECBA2B" w14:textId="77777777" w:rsidR="00EC40BE" w:rsidRPr="00A33DD2" w:rsidRDefault="00EC40BE" w:rsidP="00F76882">
            <w:pPr>
              <w:pStyle w:val="Tableheading"/>
            </w:pPr>
            <w:r w:rsidRPr="00A33DD2">
              <w:t>2015</w:t>
            </w:r>
          </w:p>
        </w:tc>
        <w:tc>
          <w:tcPr>
            <w:tcW w:w="403" w:type="pct"/>
            <w:gridSpan w:val="2"/>
            <w:tcBorders>
              <w:top w:val="single" w:sz="4" w:space="0" w:color="auto"/>
              <w:left w:val="nil"/>
              <w:bottom w:val="single" w:sz="4" w:space="0" w:color="auto"/>
              <w:right w:val="single" w:sz="4" w:space="0" w:color="auto"/>
            </w:tcBorders>
            <w:shd w:val="clear" w:color="000000" w:fill="BFBFBF"/>
            <w:noWrap/>
            <w:hideMark/>
          </w:tcPr>
          <w:p w14:paraId="2DAF0373" w14:textId="77777777" w:rsidR="00EC40BE" w:rsidRPr="00A33DD2" w:rsidRDefault="00EC40BE" w:rsidP="00F76882">
            <w:pPr>
              <w:pStyle w:val="Tableheading"/>
            </w:pPr>
            <w:r w:rsidRPr="00A33DD2">
              <w:t>2016</w:t>
            </w:r>
          </w:p>
        </w:tc>
        <w:tc>
          <w:tcPr>
            <w:tcW w:w="406" w:type="pct"/>
            <w:gridSpan w:val="2"/>
            <w:tcBorders>
              <w:top w:val="single" w:sz="4" w:space="0" w:color="auto"/>
              <w:left w:val="nil"/>
              <w:bottom w:val="single" w:sz="4" w:space="0" w:color="auto"/>
              <w:right w:val="single" w:sz="4" w:space="0" w:color="auto"/>
            </w:tcBorders>
            <w:shd w:val="clear" w:color="000000" w:fill="BFBFBF"/>
            <w:noWrap/>
            <w:hideMark/>
          </w:tcPr>
          <w:p w14:paraId="2E24281F" w14:textId="77777777" w:rsidR="00EC40BE" w:rsidRPr="00A33DD2" w:rsidRDefault="00EC40BE" w:rsidP="00F76882">
            <w:pPr>
              <w:pStyle w:val="Tableheading"/>
            </w:pPr>
            <w:r w:rsidRPr="00A33DD2">
              <w:t>2017</w:t>
            </w:r>
          </w:p>
        </w:tc>
        <w:tc>
          <w:tcPr>
            <w:tcW w:w="406" w:type="pct"/>
            <w:gridSpan w:val="2"/>
            <w:tcBorders>
              <w:top w:val="single" w:sz="4" w:space="0" w:color="auto"/>
              <w:left w:val="nil"/>
              <w:bottom w:val="single" w:sz="4" w:space="0" w:color="auto"/>
              <w:right w:val="single" w:sz="4" w:space="0" w:color="auto"/>
            </w:tcBorders>
            <w:shd w:val="clear" w:color="000000" w:fill="BFBFBF"/>
            <w:noWrap/>
            <w:hideMark/>
          </w:tcPr>
          <w:p w14:paraId="3C2402D5" w14:textId="77777777" w:rsidR="00EC40BE" w:rsidRPr="00A33DD2" w:rsidRDefault="00EC40BE" w:rsidP="00F76882">
            <w:pPr>
              <w:pStyle w:val="Tableheading"/>
            </w:pPr>
            <w:r w:rsidRPr="00A33DD2">
              <w:t>2018</w:t>
            </w:r>
          </w:p>
        </w:tc>
        <w:tc>
          <w:tcPr>
            <w:tcW w:w="406" w:type="pct"/>
            <w:gridSpan w:val="2"/>
            <w:tcBorders>
              <w:top w:val="single" w:sz="4" w:space="0" w:color="auto"/>
              <w:left w:val="nil"/>
              <w:bottom w:val="single" w:sz="4" w:space="0" w:color="auto"/>
              <w:right w:val="single" w:sz="4" w:space="0" w:color="auto"/>
            </w:tcBorders>
            <w:shd w:val="clear" w:color="000000" w:fill="BFBFBF"/>
            <w:noWrap/>
            <w:hideMark/>
          </w:tcPr>
          <w:p w14:paraId="4C8D697D" w14:textId="77777777" w:rsidR="00EC40BE" w:rsidRPr="00A33DD2" w:rsidRDefault="00EC40BE" w:rsidP="00F76882">
            <w:pPr>
              <w:pStyle w:val="Tableheading"/>
            </w:pPr>
            <w:r w:rsidRPr="00A33DD2">
              <w:t>2019</w:t>
            </w:r>
          </w:p>
        </w:tc>
        <w:tc>
          <w:tcPr>
            <w:tcW w:w="406" w:type="pct"/>
            <w:gridSpan w:val="2"/>
            <w:tcBorders>
              <w:top w:val="single" w:sz="4" w:space="0" w:color="auto"/>
              <w:left w:val="nil"/>
              <w:bottom w:val="single" w:sz="4" w:space="0" w:color="auto"/>
              <w:right w:val="single" w:sz="4" w:space="0" w:color="auto"/>
            </w:tcBorders>
            <w:shd w:val="clear" w:color="000000" w:fill="BFBFBF"/>
            <w:noWrap/>
            <w:hideMark/>
          </w:tcPr>
          <w:p w14:paraId="6814BE85" w14:textId="77777777" w:rsidR="00EC40BE" w:rsidRPr="00A33DD2" w:rsidRDefault="00EC40BE" w:rsidP="00F76882">
            <w:pPr>
              <w:pStyle w:val="Tableheading"/>
            </w:pPr>
            <w:r w:rsidRPr="00A33DD2">
              <w:t>2020</w:t>
            </w:r>
          </w:p>
        </w:tc>
        <w:tc>
          <w:tcPr>
            <w:tcW w:w="406" w:type="pct"/>
            <w:gridSpan w:val="2"/>
            <w:tcBorders>
              <w:top w:val="single" w:sz="4" w:space="0" w:color="auto"/>
              <w:left w:val="nil"/>
              <w:bottom w:val="single" w:sz="4" w:space="0" w:color="auto"/>
              <w:right w:val="single" w:sz="4" w:space="0" w:color="auto"/>
            </w:tcBorders>
            <w:shd w:val="clear" w:color="000000" w:fill="BFBFBF"/>
            <w:noWrap/>
            <w:hideMark/>
          </w:tcPr>
          <w:p w14:paraId="7EDDD38C" w14:textId="77777777" w:rsidR="00EC40BE" w:rsidRPr="00A33DD2" w:rsidRDefault="00EC40BE" w:rsidP="00F76882">
            <w:pPr>
              <w:pStyle w:val="Tableheading"/>
            </w:pPr>
            <w:r w:rsidRPr="00A33DD2">
              <w:t>2021</w:t>
            </w:r>
          </w:p>
        </w:tc>
        <w:tc>
          <w:tcPr>
            <w:tcW w:w="403" w:type="pct"/>
            <w:gridSpan w:val="2"/>
            <w:tcBorders>
              <w:top w:val="single" w:sz="4" w:space="0" w:color="auto"/>
              <w:left w:val="nil"/>
              <w:bottom w:val="single" w:sz="4" w:space="0" w:color="auto"/>
              <w:right w:val="single" w:sz="4" w:space="0" w:color="000000"/>
            </w:tcBorders>
            <w:shd w:val="clear" w:color="000000" w:fill="BFBFBF"/>
            <w:noWrap/>
            <w:hideMark/>
          </w:tcPr>
          <w:p w14:paraId="1F099CE5" w14:textId="77777777" w:rsidR="00EC40BE" w:rsidRPr="00A33DD2" w:rsidRDefault="00EC40BE" w:rsidP="00F76882">
            <w:pPr>
              <w:pStyle w:val="Tableheading"/>
            </w:pPr>
            <w:r w:rsidRPr="00A33DD2">
              <w:t>2022</w:t>
            </w:r>
          </w:p>
        </w:tc>
        <w:tc>
          <w:tcPr>
            <w:tcW w:w="404" w:type="pct"/>
            <w:gridSpan w:val="2"/>
            <w:tcBorders>
              <w:top w:val="single" w:sz="4" w:space="0" w:color="auto"/>
              <w:left w:val="nil"/>
              <w:bottom w:val="single" w:sz="4" w:space="0" w:color="auto"/>
              <w:right w:val="single" w:sz="4" w:space="0" w:color="auto"/>
            </w:tcBorders>
            <w:shd w:val="clear" w:color="000000" w:fill="BFBFBF"/>
            <w:noWrap/>
            <w:hideMark/>
          </w:tcPr>
          <w:p w14:paraId="4ED4BA8F" w14:textId="77777777" w:rsidR="00EC40BE" w:rsidRPr="00A33DD2" w:rsidRDefault="00EC40BE" w:rsidP="00F76882">
            <w:pPr>
              <w:pStyle w:val="Tableheading"/>
            </w:pPr>
            <w:r w:rsidRPr="00A33DD2">
              <w:t>2023</w:t>
            </w:r>
          </w:p>
        </w:tc>
        <w:tc>
          <w:tcPr>
            <w:tcW w:w="395" w:type="pct"/>
            <w:gridSpan w:val="2"/>
            <w:tcBorders>
              <w:top w:val="single" w:sz="4" w:space="0" w:color="auto"/>
              <w:left w:val="nil"/>
              <w:bottom w:val="single" w:sz="4" w:space="0" w:color="auto"/>
              <w:right w:val="single" w:sz="4" w:space="0" w:color="auto"/>
            </w:tcBorders>
            <w:shd w:val="clear" w:color="000000" w:fill="BFBFBF"/>
          </w:tcPr>
          <w:p w14:paraId="2AD0AE6C" w14:textId="3887E9D6" w:rsidR="00EC40BE" w:rsidRPr="00A33DD2" w:rsidRDefault="00EC40BE" w:rsidP="00F76882">
            <w:pPr>
              <w:pStyle w:val="Tableheading"/>
            </w:pPr>
            <w:r w:rsidRPr="00A33DD2">
              <w:t>2024</w:t>
            </w:r>
          </w:p>
        </w:tc>
      </w:tr>
      <w:tr w:rsidR="00CD470D" w:rsidRPr="0036007C" w14:paraId="77ED8094" w14:textId="584F27C9" w:rsidTr="00394190">
        <w:trPr>
          <w:trHeight w:val="794"/>
        </w:trPr>
        <w:tc>
          <w:tcPr>
            <w:tcW w:w="556" w:type="pct"/>
            <w:tcBorders>
              <w:top w:val="single" w:sz="4" w:space="0" w:color="auto"/>
              <w:left w:val="single" w:sz="4" w:space="0" w:color="auto"/>
              <w:bottom w:val="single" w:sz="4" w:space="0" w:color="auto"/>
              <w:right w:val="single" w:sz="4" w:space="0" w:color="auto"/>
            </w:tcBorders>
            <w:noWrap/>
            <w:hideMark/>
          </w:tcPr>
          <w:p w14:paraId="44251BB4" w14:textId="532D32F0" w:rsidR="00CD470D" w:rsidRPr="003D3BBA" w:rsidRDefault="00CD470D" w:rsidP="00F76882">
            <w:pPr>
              <w:pStyle w:val="Tabletextleft"/>
            </w:pPr>
            <w:r w:rsidRPr="003D3BBA">
              <w:t xml:space="preserve">Communities at-risk* </w:t>
            </w:r>
          </w:p>
        </w:tc>
        <w:tc>
          <w:tcPr>
            <w:tcW w:w="403" w:type="pct"/>
            <w:gridSpan w:val="2"/>
            <w:tcBorders>
              <w:top w:val="single" w:sz="4" w:space="0" w:color="auto"/>
              <w:left w:val="nil"/>
              <w:bottom w:val="single" w:sz="4" w:space="0" w:color="auto"/>
              <w:right w:val="single" w:sz="4" w:space="0" w:color="auto"/>
            </w:tcBorders>
            <w:noWrap/>
          </w:tcPr>
          <w:p w14:paraId="5EA4A1B4" w14:textId="34C3CCF4" w:rsidR="00CD470D" w:rsidRPr="00A33DD2" w:rsidRDefault="00CD470D" w:rsidP="00F76882">
            <w:pPr>
              <w:pStyle w:val="Tabletext"/>
            </w:pPr>
            <w:r w:rsidRPr="00A33DD2">
              <w:t>175</w:t>
            </w:r>
          </w:p>
        </w:tc>
        <w:tc>
          <w:tcPr>
            <w:tcW w:w="403" w:type="pct"/>
            <w:gridSpan w:val="2"/>
            <w:tcBorders>
              <w:top w:val="single" w:sz="4" w:space="0" w:color="auto"/>
              <w:left w:val="nil"/>
              <w:bottom w:val="single" w:sz="4" w:space="0" w:color="auto"/>
              <w:right w:val="single" w:sz="4" w:space="0" w:color="auto"/>
            </w:tcBorders>
            <w:noWrap/>
          </w:tcPr>
          <w:p w14:paraId="6CDC6402" w14:textId="21A552FE" w:rsidR="00CD470D" w:rsidRPr="00A33DD2" w:rsidRDefault="00CD470D" w:rsidP="00F76882">
            <w:pPr>
              <w:pStyle w:val="Tabletext"/>
            </w:pPr>
            <w:r w:rsidRPr="00A33DD2">
              <w:t>156</w:t>
            </w:r>
          </w:p>
        </w:tc>
        <w:tc>
          <w:tcPr>
            <w:tcW w:w="403" w:type="pct"/>
            <w:gridSpan w:val="2"/>
            <w:tcBorders>
              <w:top w:val="single" w:sz="4" w:space="0" w:color="auto"/>
              <w:left w:val="nil"/>
              <w:bottom w:val="single" w:sz="4" w:space="0" w:color="auto"/>
              <w:right w:val="single" w:sz="4" w:space="0" w:color="auto"/>
            </w:tcBorders>
            <w:noWrap/>
          </w:tcPr>
          <w:p w14:paraId="5DF596F6" w14:textId="3CA8A55A" w:rsidR="00CD470D" w:rsidRPr="00A33DD2" w:rsidRDefault="00CD470D" w:rsidP="00F76882">
            <w:pPr>
              <w:pStyle w:val="Tabletext"/>
            </w:pPr>
            <w:r w:rsidRPr="00A33DD2">
              <w:t>154</w:t>
            </w:r>
          </w:p>
        </w:tc>
        <w:tc>
          <w:tcPr>
            <w:tcW w:w="406" w:type="pct"/>
            <w:gridSpan w:val="2"/>
            <w:tcBorders>
              <w:top w:val="single" w:sz="4" w:space="0" w:color="auto"/>
              <w:left w:val="nil"/>
              <w:bottom w:val="single" w:sz="4" w:space="0" w:color="auto"/>
              <w:right w:val="single" w:sz="4" w:space="0" w:color="auto"/>
            </w:tcBorders>
            <w:noWrap/>
          </w:tcPr>
          <w:p w14:paraId="31AD4D7C" w14:textId="6FF70CD3" w:rsidR="00CD470D" w:rsidRPr="00A33DD2" w:rsidRDefault="00CD470D" w:rsidP="00F76882">
            <w:pPr>
              <w:pStyle w:val="Tabletext"/>
            </w:pPr>
            <w:r w:rsidRPr="00A33DD2">
              <w:t>134</w:t>
            </w:r>
          </w:p>
        </w:tc>
        <w:tc>
          <w:tcPr>
            <w:tcW w:w="406" w:type="pct"/>
            <w:gridSpan w:val="2"/>
            <w:tcBorders>
              <w:top w:val="single" w:sz="4" w:space="0" w:color="auto"/>
              <w:left w:val="nil"/>
              <w:bottom w:val="single" w:sz="4" w:space="0" w:color="auto"/>
              <w:right w:val="single" w:sz="4" w:space="0" w:color="auto"/>
            </w:tcBorders>
            <w:noWrap/>
          </w:tcPr>
          <w:p w14:paraId="60825A06" w14:textId="620955AB" w:rsidR="00CD470D" w:rsidRPr="00A33DD2" w:rsidRDefault="00CD470D" w:rsidP="00F76882">
            <w:pPr>
              <w:pStyle w:val="Tabletext"/>
            </w:pPr>
            <w:r w:rsidRPr="00A33DD2">
              <w:t>12</w:t>
            </w:r>
            <w:r w:rsidR="007479AB" w:rsidRPr="00A33DD2">
              <w:t>9</w:t>
            </w:r>
          </w:p>
        </w:tc>
        <w:tc>
          <w:tcPr>
            <w:tcW w:w="406" w:type="pct"/>
            <w:gridSpan w:val="2"/>
            <w:tcBorders>
              <w:top w:val="single" w:sz="4" w:space="0" w:color="auto"/>
              <w:left w:val="nil"/>
              <w:bottom w:val="single" w:sz="4" w:space="0" w:color="auto"/>
              <w:right w:val="single" w:sz="4" w:space="0" w:color="auto"/>
            </w:tcBorders>
            <w:noWrap/>
          </w:tcPr>
          <w:p w14:paraId="03C47911" w14:textId="176BA5FB" w:rsidR="00CD470D" w:rsidRPr="00A33DD2" w:rsidRDefault="00CD470D" w:rsidP="00F76882">
            <w:pPr>
              <w:pStyle w:val="Tabletext"/>
            </w:pPr>
            <w:r w:rsidRPr="00A33DD2">
              <w:t>121</w:t>
            </w:r>
          </w:p>
        </w:tc>
        <w:tc>
          <w:tcPr>
            <w:tcW w:w="406" w:type="pct"/>
            <w:gridSpan w:val="2"/>
            <w:tcBorders>
              <w:top w:val="single" w:sz="4" w:space="0" w:color="auto"/>
              <w:left w:val="nil"/>
              <w:bottom w:val="single" w:sz="4" w:space="0" w:color="auto"/>
              <w:right w:val="single" w:sz="4" w:space="0" w:color="auto"/>
            </w:tcBorders>
            <w:noWrap/>
          </w:tcPr>
          <w:p w14:paraId="23652F55" w14:textId="61A14920" w:rsidR="00CD470D" w:rsidRPr="00A33DD2" w:rsidRDefault="00CD470D" w:rsidP="00F76882">
            <w:pPr>
              <w:pStyle w:val="Tabletext"/>
            </w:pPr>
            <w:r w:rsidRPr="00A33DD2">
              <w:t>100</w:t>
            </w:r>
          </w:p>
        </w:tc>
        <w:tc>
          <w:tcPr>
            <w:tcW w:w="406" w:type="pct"/>
            <w:gridSpan w:val="2"/>
            <w:tcBorders>
              <w:top w:val="single" w:sz="4" w:space="0" w:color="auto"/>
              <w:left w:val="nil"/>
              <w:bottom w:val="single" w:sz="4" w:space="0" w:color="auto"/>
              <w:right w:val="single" w:sz="4" w:space="0" w:color="auto"/>
            </w:tcBorders>
            <w:noWrap/>
          </w:tcPr>
          <w:p w14:paraId="7BD5A585" w14:textId="51F17451" w:rsidR="00CD470D" w:rsidRPr="00A33DD2" w:rsidRDefault="00CD470D" w:rsidP="00F76882">
            <w:pPr>
              <w:pStyle w:val="Tabletext"/>
            </w:pPr>
            <w:r w:rsidRPr="00A33DD2">
              <w:t>97</w:t>
            </w:r>
          </w:p>
        </w:tc>
        <w:tc>
          <w:tcPr>
            <w:tcW w:w="403" w:type="pct"/>
            <w:gridSpan w:val="2"/>
            <w:tcBorders>
              <w:top w:val="single" w:sz="4" w:space="0" w:color="auto"/>
              <w:left w:val="nil"/>
              <w:bottom w:val="single" w:sz="4" w:space="0" w:color="auto"/>
              <w:right w:val="single" w:sz="4" w:space="0" w:color="000000"/>
            </w:tcBorders>
            <w:noWrap/>
          </w:tcPr>
          <w:p w14:paraId="4E3BD0C2" w14:textId="7CDCE5C8" w:rsidR="00CD470D" w:rsidRPr="00A33DD2" w:rsidRDefault="00CD470D" w:rsidP="00F76882">
            <w:pPr>
              <w:pStyle w:val="Tabletext"/>
            </w:pPr>
            <w:r w:rsidRPr="00A33DD2">
              <w:t>87</w:t>
            </w:r>
          </w:p>
        </w:tc>
        <w:tc>
          <w:tcPr>
            <w:tcW w:w="404" w:type="pct"/>
            <w:gridSpan w:val="2"/>
            <w:tcBorders>
              <w:top w:val="single" w:sz="4" w:space="0" w:color="auto"/>
              <w:left w:val="nil"/>
              <w:bottom w:val="single" w:sz="4" w:space="0" w:color="auto"/>
              <w:right w:val="single" w:sz="4" w:space="0" w:color="auto"/>
            </w:tcBorders>
            <w:noWrap/>
          </w:tcPr>
          <w:p w14:paraId="67C47C9D" w14:textId="7EE206BB" w:rsidR="00CD470D" w:rsidRPr="00A33DD2" w:rsidRDefault="00CD470D" w:rsidP="00F76882">
            <w:pPr>
              <w:pStyle w:val="Tabletext"/>
            </w:pPr>
            <w:r w:rsidRPr="00A33DD2">
              <w:t>88</w:t>
            </w:r>
          </w:p>
        </w:tc>
        <w:tc>
          <w:tcPr>
            <w:tcW w:w="395" w:type="pct"/>
            <w:gridSpan w:val="2"/>
            <w:tcBorders>
              <w:top w:val="single" w:sz="4" w:space="0" w:color="auto"/>
              <w:left w:val="nil"/>
              <w:bottom w:val="single" w:sz="4" w:space="0" w:color="auto"/>
              <w:right w:val="single" w:sz="4" w:space="0" w:color="auto"/>
            </w:tcBorders>
          </w:tcPr>
          <w:p w14:paraId="6FB63504" w14:textId="6C71E189" w:rsidR="00CD470D" w:rsidRPr="00A33DD2" w:rsidRDefault="00CD470D" w:rsidP="00F76882">
            <w:pPr>
              <w:pStyle w:val="Tabletext"/>
            </w:pPr>
            <w:r w:rsidRPr="00A33DD2">
              <w:t>97</w:t>
            </w:r>
          </w:p>
        </w:tc>
      </w:tr>
      <w:tr w:rsidR="00CD470D" w:rsidRPr="0036007C" w14:paraId="24E7ABAE" w14:textId="225A6D34" w:rsidTr="00394190">
        <w:trPr>
          <w:trHeight w:val="900"/>
        </w:trPr>
        <w:tc>
          <w:tcPr>
            <w:tcW w:w="556" w:type="pct"/>
            <w:tcBorders>
              <w:top w:val="single" w:sz="4" w:space="0" w:color="auto"/>
              <w:left w:val="single" w:sz="4" w:space="0" w:color="auto"/>
              <w:bottom w:val="single" w:sz="4" w:space="0" w:color="auto"/>
              <w:right w:val="single" w:sz="4" w:space="0" w:color="auto"/>
            </w:tcBorders>
            <w:shd w:val="clear" w:color="000000" w:fill="BFBFBF"/>
            <w:hideMark/>
          </w:tcPr>
          <w:p w14:paraId="6D6A9D08" w14:textId="5E0EE294" w:rsidR="00CD470D" w:rsidRPr="003D3BBA" w:rsidRDefault="00D81E29" w:rsidP="00F76882">
            <w:pPr>
              <w:pStyle w:val="Tabletextleft"/>
            </w:pPr>
            <w:r w:rsidRPr="003D3BBA">
              <w:t xml:space="preserve">At-risk communities not screened or treated without screening </w:t>
            </w:r>
            <w:r w:rsidR="00CD470D" w:rsidRPr="003D3BBA">
              <w:t>†</w:t>
            </w:r>
          </w:p>
        </w:tc>
        <w:tc>
          <w:tcPr>
            <w:tcW w:w="403" w:type="pct"/>
            <w:gridSpan w:val="2"/>
            <w:tcBorders>
              <w:top w:val="single" w:sz="4" w:space="0" w:color="auto"/>
              <w:left w:val="nil"/>
              <w:bottom w:val="single" w:sz="4" w:space="0" w:color="auto"/>
              <w:right w:val="single" w:sz="4" w:space="0" w:color="auto"/>
            </w:tcBorders>
            <w:shd w:val="clear" w:color="000000" w:fill="BFBFBF"/>
            <w:noWrap/>
          </w:tcPr>
          <w:p w14:paraId="2E173212" w14:textId="569A7445" w:rsidR="00CD470D" w:rsidRPr="00A33DD2" w:rsidRDefault="00CD470D" w:rsidP="00F76882">
            <w:pPr>
              <w:pStyle w:val="Tabletext"/>
            </w:pPr>
            <w:r w:rsidRPr="00A33DD2">
              <w:t>41</w:t>
            </w:r>
          </w:p>
        </w:tc>
        <w:tc>
          <w:tcPr>
            <w:tcW w:w="403" w:type="pct"/>
            <w:gridSpan w:val="2"/>
            <w:tcBorders>
              <w:top w:val="single" w:sz="4" w:space="0" w:color="auto"/>
              <w:left w:val="nil"/>
              <w:bottom w:val="single" w:sz="4" w:space="0" w:color="auto"/>
              <w:right w:val="single" w:sz="4" w:space="0" w:color="auto"/>
            </w:tcBorders>
            <w:shd w:val="clear" w:color="000000" w:fill="BFBFBF"/>
            <w:noWrap/>
          </w:tcPr>
          <w:p w14:paraId="4AE8A13F" w14:textId="5E6D958A" w:rsidR="00CD470D" w:rsidRPr="00A33DD2" w:rsidRDefault="00CD470D" w:rsidP="00F76882">
            <w:pPr>
              <w:pStyle w:val="Tabletext"/>
            </w:pPr>
            <w:r w:rsidRPr="00A33DD2">
              <w:t>80</w:t>
            </w:r>
          </w:p>
        </w:tc>
        <w:tc>
          <w:tcPr>
            <w:tcW w:w="403" w:type="pct"/>
            <w:gridSpan w:val="2"/>
            <w:tcBorders>
              <w:top w:val="single" w:sz="4" w:space="0" w:color="auto"/>
              <w:left w:val="nil"/>
              <w:bottom w:val="single" w:sz="4" w:space="0" w:color="auto"/>
              <w:right w:val="single" w:sz="4" w:space="0" w:color="auto"/>
            </w:tcBorders>
            <w:shd w:val="clear" w:color="000000" w:fill="BFBFBF"/>
            <w:noWrap/>
          </w:tcPr>
          <w:p w14:paraId="597EDD61" w14:textId="2CDC3AA6" w:rsidR="00CD470D" w:rsidRPr="00A33DD2" w:rsidRDefault="00CD470D" w:rsidP="00F76882">
            <w:pPr>
              <w:pStyle w:val="Tabletext"/>
            </w:pPr>
            <w:r w:rsidRPr="00A33DD2">
              <w:t>46</w:t>
            </w:r>
          </w:p>
        </w:tc>
        <w:tc>
          <w:tcPr>
            <w:tcW w:w="406" w:type="pct"/>
            <w:gridSpan w:val="2"/>
            <w:tcBorders>
              <w:top w:val="single" w:sz="4" w:space="0" w:color="auto"/>
              <w:left w:val="nil"/>
              <w:bottom w:val="single" w:sz="4" w:space="0" w:color="auto"/>
              <w:right w:val="single" w:sz="4" w:space="0" w:color="auto"/>
            </w:tcBorders>
            <w:shd w:val="clear" w:color="000000" w:fill="BFBFBF"/>
            <w:noWrap/>
          </w:tcPr>
          <w:p w14:paraId="72FFB6DD" w14:textId="73B3E306" w:rsidR="00CD470D" w:rsidRPr="00A33DD2" w:rsidRDefault="00CD470D" w:rsidP="00F76882">
            <w:pPr>
              <w:pStyle w:val="Tabletext"/>
            </w:pPr>
            <w:r w:rsidRPr="00A33DD2">
              <w:t>49</w:t>
            </w:r>
          </w:p>
        </w:tc>
        <w:tc>
          <w:tcPr>
            <w:tcW w:w="406" w:type="pct"/>
            <w:gridSpan w:val="2"/>
            <w:tcBorders>
              <w:top w:val="single" w:sz="4" w:space="0" w:color="auto"/>
              <w:left w:val="nil"/>
              <w:bottom w:val="single" w:sz="4" w:space="0" w:color="auto"/>
              <w:right w:val="single" w:sz="4" w:space="0" w:color="auto"/>
            </w:tcBorders>
            <w:shd w:val="clear" w:color="000000" w:fill="BFBFBF"/>
            <w:noWrap/>
          </w:tcPr>
          <w:p w14:paraId="57173A50" w14:textId="3300FCEA" w:rsidR="00352EFA" w:rsidRPr="00A33DD2" w:rsidRDefault="00CD470D" w:rsidP="00F76882">
            <w:pPr>
              <w:pStyle w:val="Tabletext"/>
            </w:pPr>
            <w:r w:rsidRPr="00A33DD2">
              <w:t>3</w:t>
            </w:r>
            <w:r w:rsidR="00352EFA" w:rsidRPr="00A33DD2">
              <w:t>5</w:t>
            </w:r>
          </w:p>
        </w:tc>
        <w:tc>
          <w:tcPr>
            <w:tcW w:w="406" w:type="pct"/>
            <w:gridSpan w:val="2"/>
            <w:tcBorders>
              <w:top w:val="single" w:sz="4" w:space="0" w:color="auto"/>
              <w:left w:val="nil"/>
              <w:bottom w:val="single" w:sz="4" w:space="0" w:color="auto"/>
              <w:right w:val="single" w:sz="4" w:space="0" w:color="auto"/>
            </w:tcBorders>
            <w:shd w:val="clear" w:color="000000" w:fill="BFBFBF"/>
            <w:noWrap/>
          </w:tcPr>
          <w:p w14:paraId="3124FCFC" w14:textId="17CB5C90" w:rsidR="00CD470D" w:rsidRPr="00A33DD2" w:rsidRDefault="00CD470D" w:rsidP="00F76882">
            <w:pPr>
              <w:pStyle w:val="Tabletext"/>
            </w:pPr>
            <w:r w:rsidRPr="00A33DD2">
              <w:t>11</w:t>
            </w:r>
          </w:p>
        </w:tc>
        <w:tc>
          <w:tcPr>
            <w:tcW w:w="406" w:type="pct"/>
            <w:gridSpan w:val="2"/>
            <w:tcBorders>
              <w:top w:val="single" w:sz="4" w:space="0" w:color="auto"/>
              <w:left w:val="nil"/>
              <w:bottom w:val="single" w:sz="4" w:space="0" w:color="auto"/>
              <w:right w:val="single" w:sz="4" w:space="0" w:color="auto"/>
            </w:tcBorders>
            <w:shd w:val="clear" w:color="000000" w:fill="BFBFBF"/>
            <w:noWrap/>
          </w:tcPr>
          <w:p w14:paraId="730A14ED" w14:textId="037F3F26" w:rsidR="00CD470D" w:rsidRPr="00A33DD2" w:rsidRDefault="00CD470D" w:rsidP="00F76882">
            <w:pPr>
              <w:pStyle w:val="Tabletext"/>
            </w:pPr>
            <w:r w:rsidRPr="00A33DD2">
              <w:t>6</w:t>
            </w:r>
          </w:p>
        </w:tc>
        <w:tc>
          <w:tcPr>
            <w:tcW w:w="406" w:type="pct"/>
            <w:gridSpan w:val="2"/>
            <w:tcBorders>
              <w:top w:val="single" w:sz="4" w:space="0" w:color="auto"/>
              <w:left w:val="nil"/>
              <w:bottom w:val="single" w:sz="4" w:space="0" w:color="auto"/>
              <w:right w:val="single" w:sz="4" w:space="0" w:color="auto"/>
            </w:tcBorders>
            <w:shd w:val="clear" w:color="000000" w:fill="BFBFBF"/>
            <w:noWrap/>
          </w:tcPr>
          <w:p w14:paraId="64D1CFF1" w14:textId="37082B02" w:rsidR="00CD470D" w:rsidRPr="00A33DD2" w:rsidRDefault="00CD470D" w:rsidP="00F76882">
            <w:pPr>
              <w:pStyle w:val="Tabletext"/>
            </w:pPr>
            <w:r w:rsidRPr="00A33DD2">
              <w:t>15</w:t>
            </w:r>
          </w:p>
        </w:tc>
        <w:tc>
          <w:tcPr>
            <w:tcW w:w="403" w:type="pct"/>
            <w:gridSpan w:val="2"/>
            <w:tcBorders>
              <w:top w:val="single" w:sz="4" w:space="0" w:color="auto"/>
              <w:left w:val="nil"/>
              <w:bottom w:val="single" w:sz="4" w:space="0" w:color="auto"/>
              <w:right w:val="single" w:sz="4" w:space="0" w:color="000000"/>
            </w:tcBorders>
            <w:shd w:val="clear" w:color="000000" w:fill="BFBFBF"/>
            <w:noWrap/>
          </w:tcPr>
          <w:p w14:paraId="60233687" w14:textId="4168254A" w:rsidR="00CD470D" w:rsidRPr="00A33DD2" w:rsidRDefault="00CD470D" w:rsidP="00F76882">
            <w:pPr>
              <w:pStyle w:val="Tabletext"/>
            </w:pPr>
            <w:r w:rsidRPr="00A33DD2">
              <w:t>8</w:t>
            </w:r>
          </w:p>
        </w:tc>
        <w:tc>
          <w:tcPr>
            <w:tcW w:w="404" w:type="pct"/>
            <w:gridSpan w:val="2"/>
            <w:tcBorders>
              <w:top w:val="single" w:sz="4" w:space="0" w:color="auto"/>
              <w:left w:val="nil"/>
              <w:bottom w:val="single" w:sz="4" w:space="0" w:color="auto"/>
              <w:right w:val="single" w:sz="4" w:space="0" w:color="auto"/>
            </w:tcBorders>
            <w:shd w:val="clear" w:color="000000" w:fill="BFBFBF"/>
            <w:noWrap/>
          </w:tcPr>
          <w:p w14:paraId="41EFBB0D" w14:textId="4029229A" w:rsidR="00CD470D" w:rsidRPr="00A33DD2" w:rsidRDefault="00CD470D" w:rsidP="00F76882">
            <w:pPr>
              <w:pStyle w:val="Tabletext"/>
            </w:pPr>
            <w:r w:rsidRPr="00A33DD2">
              <w:t>21</w:t>
            </w:r>
          </w:p>
        </w:tc>
        <w:tc>
          <w:tcPr>
            <w:tcW w:w="395" w:type="pct"/>
            <w:gridSpan w:val="2"/>
            <w:tcBorders>
              <w:top w:val="single" w:sz="4" w:space="0" w:color="auto"/>
              <w:left w:val="nil"/>
              <w:bottom w:val="single" w:sz="4" w:space="0" w:color="auto"/>
              <w:right w:val="single" w:sz="4" w:space="0" w:color="auto"/>
            </w:tcBorders>
            <w:shd w:val="clear" w:color="000000" w:fill="BFBFBF"/>
          </w:tcPr>
          <w:p w14:paraId="021C2AB4" w14:textId="67E6444C" w:rsidR="00CD470D" w:rsidRPr="00A33DD2" w:rsidRDefault="00CD470D" w:rsidP="00F76882">
            <w:pPr>
              <w:pStyle w:val="Tabletext"/>
            </w:pPr>
            <w:r w:rsidRPr="00A33DD2">
              <w:t>11</w:t>
            </w:r>
          </w:p>
        </w:tc>
      </w:tr>
      <w:tr w:rsidR="00CD470D" w:rsidRPr="0036007C" w14:paraId="21064229" w14:textId="505E0BC1" w:rsidTr="00394190">
        <w:trPr>
          <w:trHeight w:val="794"/>
        </w:trPr>
        <w:tc>
          <w:tcPr>
            <w:tcW w:w="556" w:type="pct"/>
            <w:tcBorders>
              <w:top w:val="single" w:sz="4" w:space="0" w:color="auto"/>
              <w:left w:val="single" w:sz="4" w:space="0" w:color="auto"/>
              <w:bottom w:val="single" w:sz="4" w:space="0" w:color="auto"/>
              <w:right w:val="single" w:sz="4" w:space="0" w:color="auto"/>
            </w:tcBorders>
            <w:hideMark/>
          </w:tcPr>
          <w:p w14:paraId="66B1F066" w14:textId="2B5B1279" w:rsidR="00CD470D" w:rsidRPr="009C2F78" w:rsidRDefault="000A5B10" w:rsidP="00F76882">
            <w:pPr>
              <w:pStyle w:val="Tabletextleft"/>
            </w:pPr>
            <w:r w:rsidRPr="009C2F78">
              <w:t>At-risk communities screened</w:t>
            </w:r>
          </w:p>
        </w:tc>
        <w:tc>
          <w:tcPr>
            <w:tcW w:w="403" w:type="pct"/>
            <w:gridSpan w:val="2"/>
            <w:tcBorders>
              <w:top w:val="single" w:sz="4" w:space="0" w:color="auto"/>
              <w:left w:val="nil"/>
              <w:bottom w:val="single" w:sz="4" w:space="0" w:color="auto"/>
              <w:right w:val="single" w:sz="4" w:space="0" w:color="auto"/>
            </w:tcBorders>
            <w:noWrap/>
          </w:tcPr>
          <w:p w14:paraId="5360701D" w14:textId="7E6B6DC7" w:rsidR="00CD470D" w:rsidRPr="00A33DD2" w:rsidRDefault="00CD470D" w:rsidP="00F76882">
            <w:pPr>
              <w:pStyle w:val="Tabletext"/>
            </w:pPr>
            <w:r w:rsidRPr="00A33DD2">
              <w:t>134</w:t>
            </w:r>
          </w:p>
        </w:tc>
        <w:tc>
          <w:tcPr>
            <w:tcW w:w="403" w:type="pct"/>
            <w:gridSpan w:val="2"/>
            <w:tcBorders>
              <w:top w:val="single" w:sz="4" w:space="0" w:color="auto"/>
              <w:left w:val="nil"/>
              <w:bottom w:val="single" w:sz="4" w:space="0" w:color="auto"/>
              <w:right w:val="single" w:sz="4" w:space="0" w:color="auto"/>
            </w:tcBorders>
            <w:noWrap/>
          </w:tcPr>
          <w:p w14:paraId="35B9FA6D" w14:textId="2D0EC2F9" w:rsidR="00CD470D" w:rsidRPr="00A33DD2" w:rsidRDefault="00CD470D" w:rsidP="00F76882">
            <w:pPr>
              <w:pStyle w:val="Tabletext"/>
            </w:pPr>
            <w:r w:rsidRPr="00A33DD2">
              <w:t>76</w:t>
            </w:r>
          </w:p>
        </w:tc>
        <w:tc>
          <w:tcPr>
            <w:tcW w:w="403" w:type="pct"/>
            <w:gridSpan w:val="2"/>
            <w:tcBorders>
              <w:top w:val="single" w:sz="4" w:space="0" w:color="auto"/>
              <w:left w:val="nil"/>
              <w:bottom w:val="single" w:sz="4" w:space="0" w:color="auto"/>
              <w:right w:val="single" w:sz="4" w:space="0" w:color="auto"/>
            </w:tcBorders>
            <w:noWrap/>
          </w:tcPr>
          <w:p w14:paraId="3AC90509" w14:textId="17C2BAB0" w:rsidR="00CD470D" w:rsidRPr="00A33DD2" w:rsidRDefault="00CD470D" w:rsidP="00F76882">
            <w:pPr>
              <w:pStyle w:val="Tabletext"/>
            </w:pPr>
            <w:r w:rsidRPr="00A33DD2">
              <w:t>108</w:t>
            </w:r>
          </w:p>
        </w:tc>
        <w:tc>
          <w:tcPr>
            <w:tcW w:w="406" w:type="pct"/>
            <w:gridSpan w:val="2"/>
            <w:tcBorders>
              <w:top w:val="single" w:sz="4" w:space="0" w:color="auto"/>
              <w:left w:val="nil"/>
              <w:bottom w:val="single" w:sz="4" w:space="0" w:color="auto"/>
              <w:right w:val="single" w:sz="4" w:space="0" w:color="auto"/>
            </w:tcBorders>
            <w:noWrap/>
          </w:tcPr>
          <w:p w14:paraId="4CD2F127" w14:textId="57195E6E" w:rsidR="00CD470D" w:rsidRPr="00A33DD2" w:rsidRDefault="00CD470D" w:rsidP="00F76882">
            <w:pPr>
              <w:pStyle w:val="Tabletext"/>
            </w:pPr>
            <w:r w:rsidRPr="00A33DD2">
              <w:t>85</w:t>
            </w:r>
          </w:p>
        </w:tc>
        <w:tc>
          <w:tcPr>
            <w:tcW w:w="406" w:type="pct"/>
            <w:gridSpan w:val="2"/>
            <w:tcBorders>
              <w:top w:val="single" w:sz="4" w:space="0" w:color="auto"/>
              <w:left w:val="nil"/>
              <w:bottom w:val="single" w:sz="4" w:space="0" w:color="auto"/>
              <w:right w:val="single" w:sz="4" w:space="0" w:color="auto"/>
            </w:tcBorders>
            <w:noWrap/>
          </w:tcPr>
          <w:p w14:paraId="537A3890" w14:textId="1E76E50C" w:rsidR="00CD470D" w:rsidRPr="00A33DD2" w:rsidRDefault="00CD470D" w:rsidP="00F76882">
            <w:pPr>
              <w:pStyle w:val="Tabletext"/>
            </w:pPr>
            <w:r w:rsidRPr="00A33DD2">
              <w:t>94</w:t>
            </w:r>
          </w:p>
        </w:tc>
        <w:tc>
          <w:tcPr>
            <w:tcW w:w="406" w:type="pct"/>
            <w:gridSpan w:val="2"/>
            <w:tcBorders>
              <w:top w:val="single" w:sz="4" w:space="0" w:color="auto"/>
              <w:left w:val="nil"/>
              <w:bottom w:val="single" w:sz="4" w:space="0" w:color="auto"/>
              <w:right w:val="single" w:sz="4" w:space="0" w:color="auto"/>
            </w:tcBorders>
            <w:noWrap/>
          </w:tcPr>
          <w:p w14:paraId="12D8CC86" w14:textId="6FAAB3A3" w:rsidR="00CD470D" w:rsidRPr="00A33DD2" w:rsidRDefault="00CD470D" w:rsidP="00F76882">
            <w:pPr>
              <w:pStyle w:val="Tabletext"/>
            </w:pPr>
            <w:r w:rsidRPr="00A33DD2">
              <w:t>110</w:t>
            </w:r>
          </w:p>
        </w:tc>
        <w:tc>
          <w:tcPr>
            <w:tcW w:w="406" w:type="pct"/>
            <w:gridSpan w:val="2"/>
            <w:tcBorders>
              <w:top w:val="single" w:sz="4" w:space="0" w:color="auto"/>
              <w:left w:val="nil"/>
              <w:bottom w:val="single" w:sz="4" w:space="0" w:color="auto"/>
              <w:right w:val="single" w:sz="4" w:space="0" w:color="auto"/>
            </w:tcBorders>
            <w:noWrap/>
          </w:tcPr>
          <w:p w14:paraId="222AECD9" w14:textId="43A64535" w:rsidR="00CD470D" w:rsidRPr="00A33DD2" w:rsidRDefault="00CD470D" w:rsidP="00F76882">
            <w:pPr>
              <w:pStyle w:val="Tabletext"/>
            </w:pPr>
            <w:r w:rsidRPr="00A33DD2">
              <w:t>94</w:t>
            </w:r>
          </w:p>
        </w:tc>
        <w:tc>
          <w:tcPr>
            <w:tcW w:w="406" w:type="pct"/>
            <w:gridSpan w:val="2"/>
            <w:tcBorders>
              <w:top w:val="single" w:sz="4" w:space="0" w:color="auto"/>
              <w:left w:val="nil"/>
              <w:bottom w:val="single" w:sz="4" w:space="0" w:color="auto"/>
              <w:right w:val="single" w:sz="4" w:space="0" w:color="auto"/>
            </w:tcBorders>
            <w:noWrap/>
          </w:tcPr>
          <w:p w14:paraId="63CD1533" w14:textId="4F66AE90" w:rsidR="00CD470D" w:rsidRPr="00A33DD2" w:rsidRDefault="00CD470D" w:rsidP="00F76882">
            <w:pPr>
              <w:pStyle w:val="Tabletext"/>
            </w:pPr>
            <w:r w:rsidRPr="00A33DD2">
              <w:t>82</w:t>
            </w:r>
          </w:p>
        </w:tc>
        <w:tc>
          <w:tcPr>
            <w:tcW w:w="403" w:type="pct"/>
            <w:gridSpan w:val="2"/>
            <w:tcBorders>
              <w:top w:val="single" w:sz="4" w:space="0" w:color="auto"/>
              <w:left w:val="nil"/>
              <w:bottom w:val="single" w:sz="4" w:space="0" w:color="auto"/>
              <w:right w:val="single" w:sz="4" w:space="0" w:color="000000"/>
            </w:tcBorders>
            <w:noWrap/>
          </w:tcPr>
          <w:p w14:paraId="4DB33399" w14:textId="536B56A2" w:rsidR="00CD470D" w:rsidRPr="00A33DD2" w:rsidRDefault="00CD470D" w:rsidP="00F76882">
            <w:pPr>
              <w:pStyle w:val="Tabletext"/>
            </w:pPr>
            <w:r w:rsidRPr="00A33DD2">
              <w:t>79</w:t>
            </w:r>
          </w:p>
        </w:tc>
        <w:tc>
          <w:tcPr>
            <w:tcW w:w="404" w:type="pct"/>
            <w:gridSpan w:val="2"/>
            <w:tcBorders>
              <w:top w:val="single" w:sz="4" w:space="0" w:color="auto"/>
              <w:left w:val="nil"/>
              <w:bottom w:val="single" w:sz="4" w:space="0" w:color="auto"/>
              <w:right w:val="single" w:sz="4" w:space="0" w:color="auto"/>
            </w:tcBorders>
            <w:noWrap/>
          </w:tcPr>
          <w:p w14:paraId="6ECF47E6" w14:textId="052152BA" w:rsidR="00CD470D" w:rsidRPr="00A33DD2" w:rsidRDefault="00CD470D" w:rsidP="00F76882">
            <w:pPr>
              <w:pStyle w:val="Tabletext"/>
            </w:pPr>
            <w:r w:rsidRPr="00A33DD2">
              <w:t>67</w:t>
            </w:r>
          </w:p>
        </w:tc>
        <w:tc>
          <w:tcPr>
            <w:tcW w:w="395" w:type="pct"/>
            <w:gridSpan w:val="2"/>
            <w:tcBorders>
              <w:top w:val="single" w:sz="4" w:space="0" w:color="auto"/>
              <w:left w:val="nil"/>
              <w:bottom w:val="single" w:sz="4" w:space="0" w:color="auto"/>
              <w:right w:val="single" w:sz="4" w:space="0" w:color="auto"/>
            </w:tcBorders>
          </w:tcPr>
          <w:p w14:paraId="42F5B9F0" w14:textId="07D6F772" w:rsidR="00CD470D" w:rsidRPr="00A33DD2" w:rsidRDefault="00CD470D" w:rsidP="00F76882">
            <w:pPr>
              <w:pStyle w:val="Tabletext"/>
            </w:pPr>
            <w:r w:rsidRPr="00A33DD2">
              <w:t>86</w:t>
            </w:r>
          </w:p>
        </w:tc>
      </w:tr>
      <w:tr w:rsidR="00111289" w:rsidRPr="0036007C" w14:paraId="47C48482" w14:textId="0722A690" w:rsidTr="00394190">
        <w:trPr>
          <w:trHeight w:val="900"/>
        </w:trPr>
        <w:tc>
          <w:tcPr>
            <w:tcW w:w="556" w:type="pct"/>
            <w:tcBorders>
              <w:top w:val="single" w:sz="4" w:space="0" w:color="auto"/>
              <w:left w:val="single" w:sz="4" w:space="0" w:color="auto"/>
              <w:bottom w:val="single" w:sz="4" w:space="0" w:color="auto"/>
              <w:right w:val="single" w:sz="4" w:space="0" w:color="auto"/>
            </w:tcBorders>
            <w:shd w:val="clear" w:color="000000" w:fill="BFBFBF"/>
          </w:tcPr>
          <w:p w14:paraId="3CBC51F5" w14:textId="6D03D342" w:rsidR="00393B79" w:rsidRPr="003D3BBA" w:rsidRDefault="003E4CB7" w:rsidP="00F76882">
            <w:pPr>
              <w:pStyle w:val="Tabletextleft"/>
            </w:pPr>
            <w:r w:rsidRPr="003D3BBA">
              <w:t>Observed</w:t>
            </w:r>
            <w:r w:rsidR="008A0771" w:rsidRPr="003D3BBA">
              <w:t xml:space="preserve"> </w:t>
            </w:r>
            <w:r w:rsidR="00393B79" w:rsidRPr="003D3BBA">
              <w:t>prevalence</w:t>
            </w:r>
            <w:r w:rsidR="00E12ECD" w:rsidRPr="003D3BBA">
              <w:t xml:space="preserve"> </w:t>
            </w:r>
            <w:r w:rsidR="0080279D" w:rsidRPr="003D3BBA">
              <w:t>(screened communities only)</w:t>
            </w:r>
            <w:r w:rsidR="009552C2" w:rsidRPr="00495326">
              <w:t xml:space="preserve"> ‡</w:t>
            </w:r>
          </w:p>
        </w:tc>
        <w:tc>
          <w:tcPr>
            <w:tcW w:w="116" w:type="pct"/>
            <w:tcBorders>
              <w:top w:val="nil"/>
              <w:left w:val="nil"/>
              <w:bottom w:val="single" w:sz="4" w:space="0" w:color="auto"/>
              <w:right w:val="single" w:sz="4" w:space="0" w:color="auto"/>
            </w:tcBorders>
            <w:shd w:val="clear" w:color="000000" w:fill="BFBFBF"/>
            <w:noWrap/>
          </w:tcPr>
          <w:p w14:paraId="1FA0E951" w14:textId="5635484B" w:rsidR="00393B79" w:rsidRPr="0036007C" w:rsidRDefault="00393B79" w:rsidP="00F76882">
            <w:pPr>
              <w:pStyle w:val="Tabletext"/>
            </w:pPr>
            <w:r w:rsidRPr="0036007C">
              <w:t>n</w:t>
            </w:r>
          </w:p>
        </w:tc>
        <w:tc>
          <w:tcPr>
            <w:tcW w:w="287" w:type="pct"/>
            <w:tcBorders>
              <w:top w:val="nil"/>
              <w:left w:val="nil"/>
              <w:bottom w:val="single" w:sz="4" w:space="0" w:color="auto"/>
              <w:right w:val="single" w:sz="4" w:space="0" w:color="auto"/>
            </w:tcBorders>
            <w:shd w:val="clear" w:color="000000" w:fill="BFBFBF"/>
            <w:noWrap/>
          </w:tcPr>
          <w:p w14:paraId="7B237C93" w14:textId="55B924D6" w:rsidR="00393B79" w:rsidRPr="0036007C" w:rsidRDefault="00393B79" w:rsidP="00F76882">
            <w:pPr>
              <w:pStyle w:val="Tabletext"/>
            </w:pPr>
            <w:r w:rsidRPr="0036007C">
              <w:t>Proportion</w:t>
            </w:r>
          </w:p>
        </w:tc>
        <w:tc>
          <w:tcPr>
            <w:tcW w:w="116" w:type="pct"/>
            <w:tcBorders>
              <w:top w:val="nil"/>
              <w:left w:val="nil"/>
              <w:bottom w:val="single" w:sz="4" w:space="0" w:color="auto"/>
              <w:right w:val="single" w:sz="4" w:space="0" w:color="auto"/>
            </w:tcBorders>
            <w:shd w:val="clear" w:color="000000" w:fill="BFBFBF"/>
            <w:noWrap/>
          </w:tcPr>
          <w:p w14:paraId="1B6EFD6E" w14:textId="10D7E326" w:rsidR="00393B79" w:rsidRPr="0036007C" w:rsidRDefault="00393B79" w:rsidP="00F76882">
            <w:pPr>
              <w:pStyle w:val="Tabletext"/>
            </w:pPr>
            <w:r w:rsidRPr="0036007C">
              <w:t>n</w:t>
            </w:r>
          </w:p>
        </w:tc>
        <w:tc>
          <w:tcPr>
            <w:tcW w:w="287" w:type="pct"/>
            <w:tcBorders>
              <w:top w:val="nil"/>
              <w:left w:val="nil"/>
              <w:bottom w:val="single" w:sz="4" w:space="0" w:color="auto"/>
              <w:right w:val="single" w:sz="4" w:space="0" w:color="auto"/>
            </w:tcBorders>
            <w:shd w:val="clear" w:color="000000" w:fill="BFBFBF"/>
            <w:noWrap/>
          </w:tcPr>
          <w:p w14:paraId="0BFD1957" w14:textId="4531F276" w:rsidR="00393B79" w:rsidRPr="0036007C" w:rsidRDefault="00393B79" w:rsidP="00F76882">
            <w:pPr>
              <w:pStyle w:val="Tabletext"/>
            </w:pPr>
            <w:r w:rsidRPr="0036007C">
              <w:t>Proportion</w:t>
            </w:r>
          </w:p>
        </w:tc>
        <w:tc>
          <w:tcPr>
            <w:tcW w:w="116" w:type="pct"/>
            <w:tcBorders>
              <w:top w:val="nil"/>
              <w:left w:val="nil"/>
              <w:bottom w:val="single" w:sz="4" w:space="0" w:color="auto"/>
              <w:right w:val="single" w:sz="4" w:space="0" w:color="auto"/>
            </w:tcBorders>
            <w:shd w:val="clear" w:color="000000" w:fill="BFBFBF"/>
            <w:noWrap/>
          </w:tcPr>
          <w:p w14:paraId="07C1D0D0" w14:textId="282F618D" w:rsidR="00393B79" w:rsidRPr="0036007C" w:rsidRDefault="00393B79" w:rsidP="00F76882">
            <w:pPr>
              <w:pStyle w:val="Tabletext"/>
            </w:pPr>
            <w:r w:rsidRPr="0036007C">
              <w:t>n</w:t>
            </w:r>
          </w:p>
        </w:tc>
        <w:tc>
          <w:tcPr>
            <w:tcW w:w="287" w:type="pct"/>
            <w:tcBorders>
              <w:top w:val="nil"/>
              <w:left w:val="nil"/>
              <w:bottom w:val="single" w:sz="4" w:space="0" w:color="auto"/>
              <w:right w:val="single" w:sz="4" w:space="0" w:color="auto"/>
            </w:tcBorders>
            <w:shd w:val="clear" w:color="000000" w:fill="BFBFBF"/>
            <w:noWrap/>
          </w:tcPr>
          <w:p w14:paraId="31746380" w14:textId="3CBE190B" w:rsidR="00393B79" w:rsidRPr="0036007C" w:rsidRDefault="00393B79" w:rsidP="00F76882">
            <w:pPr>
              <w:pStyle w:val="Tabletext"/>
            </w:pPr>
            <w:r w:rsidRPr="0036007C">
              <w:t>Proportion</w:t>
            </w:r>
          </w:p>
        </w:tc>
        <w:tc>
          <w:tcPr>
            <w:tcW w:w="119" w:type="pct"/>
            <w:tcBorders>
              <w:top w:val="nil"/>
              <w:left w:val="nil"/>
              <w:bottom w:val="single" w:sz="4" w:space="0" w:color="auto"/>
              <w:right w:val="single" w:sz="4" w:space="0" w:color="auto"/>
            </w:tcBorders>
            <w:shd w:val="clear" w:color="000000" w:fill="BFBFBF"/>
            <w:noWrap/>
          </w:tcPr>
          <w:p w14:paraId="5919F838" w14:textId="63D38506" w:rsidR="00393B79" w:rsidRPr="0036007C" w:rsidRDefault="00393B79" w:rsidP="00F76882">
            <w:pPr>
              <w:pStyle w:val="Tabletext"/>
            </w:pPr>
            <w:r w:rsidRPr="0036007C">
              <w:t>n</w:t>
            </w:r>
          </w:p>
        </w:tc>
        <w:tc>
          <w:tcPr>
            <w:tcW w:w="287" w:type="pct"/>
            <w:tcBorders>
              <w:top w:val="nil"/>
              <w:left w:val="nil"/>
              <w:bottom w:val="single" w:sz="4" w:space="0" w:color="auto"/>
              <w:right w:val="single" w:sz="4" w:space="0" w:color="auto"/>
            </w:tcBorders>
            <w:shd w:val="clear" w:color="000000" w:fill="BFBFBF"/>
            <w:noWrap/>
          </w:tcPr>
          <w:p w14:paraId="54546A90" w14:textId="44A322B4" w:rsidR="00393B79" w:rsidRPr="0036007C" w:rsidRDefault="00393B79" w:rsidP="00F76882">
            <w:pPr>
              <w:pStyle w:val="Tabletext"/>
            </w:pPr>
            <w:r w:rsidRPr="0036007C">
              <w:t>Proportion</w:t>
            </w:r>
          </w:p>
        </w:tc>
        <w:tc>
          <w:tcPr>
            <w:tcW w:w="119" w:type="pct"/>
            <w:tcBorders>
              <w:top w:val="nil"/>
              <w:left w:val="nil"/>
              <w:bottom w:val="single" w:sz="4" w:space="0" w:color="auto"/>
              <w:right w:val="single" w:sz="4" w:space="0" w:color="auto"/>
            </w:tcBorders>
            <w:shd w:val="clear" w:color="000000" w:fill="BFBFBF"/>
            <w:noWrap/>
          </w:tcPr>
          <w:p w14:paraId="4588F792" w14:textId="41771FF8" w:rsidR="00393B79" w:rsidRPr="0036007C" w:rsidRDefault="00393B79" w:rsidP="00F76882">
            <w:pPr>
              <w:pStyle w:val="Tabletext"/>
            </w:pPr>
            <w:r w:rsidRPr="0036007C">
              <w:t>n</w:t>
            </w:r>
          </w:p>
        </w:tc>
        <w:tc>
          <w:tcPr>
            <w:tcW w:w="287" w:type="pct"/>
            <w:tcBorders>
              <w:top w:val="nil"/>
              <w:left w:val="nil"/>
              <w:bottom w:val="single" w:sz="4" w:space="0" w:color="auto"/>
              <w:right w:val="single" w:sz="4" w:space="0" w:color="auto"/>
            </w:tcBorders>
            <w:shd w:val="clear" w:color="000000" w:fill="BFBFBF"/>
            <w:noWrap/>
          </w:tcPr>
          <w:p w14:paraId="328E6D0A" w14:textId="12123900" w:rsidR="00393B79" w:rsidRPr="0036007C" w:rsidRDefault="00393B79" w:rsidP="00F76882">
            <w:pPr>
              <w:pStyle w:val="Tabletext"/>
            </w:pPr>
            <w:r w:rsidRPr="0036007C">
              <w:t>Proportion</w:t>
            </w:r>
          </w:p>
        </w:tc>
        <w:tc>
          <w:tcPr>
            <w:tcW w:w="119" w:type="pct"/>
            <w:tcBorders>
              <w:top w:val="nil"/>
              <w:left w:val="nil"/>
              <w:bottom w:val="single" w:sz="4" w:space="0" w:color="auto"/>
              <w:right w:val="single" w:sz="4" w:space="0" w:color="auto"/>
            </w:tcBorders>
            <w:shd w:val="clear" w:color="000000" w:fill="BFBFBF"/>
            <w:noWrap/>
          </w:tcPr>
          <w:p w14:paraId="1CF9D9AC" w14:textId="6021688D" w:rsidR="00393B79" w:rsidRPr="0036007C" w:rsidRDefault="00393B79" w:rsidP="00F76882">
            <w:pPr>
              <w:pStyle w:val="Tabletext"/>
            </w:pPr>
            <w:r w:rsidRPr="0036007C">
              <w:t>n</w:t>
            </w:r>
          </w:p>
        </w:tc>
        <w:tc>
          <w:tcPr>
            <w:tcW w:w="287" w:type="pct"/>
            <w:tcBorders>
              <w:top w:val="nil"/>
              <w:left w:val="nil"/>
              <w:bottom w:val="single" w:sz="4" w:space="0" w:color="auto"/>
              <w:right w:val="single" w:sz="4" w:space="0" w:color="auto"/>
            </w:tcBorders>
            <w:shd w:val="clear" w:color="000000" w:fill="BFBFBF"/>
            <w:noWrap/>
          </w:tcPr>
          <w:p w14:paraId="38206870" w14:textId="7CB4C1DC" w:rsidR="00393B79" w:rsidRPr="0036007C" w:rsidRDefault="00393B79" w:rsidP="00F76882">
            <w:pPr>
              <w:pStyle w:val="Tabletext"/>
            </w:pPr>
            <w:r w:rsidRPr="0036007C">
              <w:t>Proportion</w:t>
            </w:r>
          </w:p>
        </w:tc>
        <w:tc>
          <w:tcPr>
            <w:tcW w:w="119" w:type="pct"/>
            <w:tcBorders>
              <w:top w:val="nil"/>
              <w:left w:val="nil"/>
              <w:bottom w:val="single" w:sz="4" w:space="0" w:color="auto"/>
              <w:right w:val="single" w:sz="4" w:space="0" w:color="auto"/>
            </w:tcBorders>
            <w:shd w:val="clear" w:color="000000" w:fill="BFBFBF"/>
            <w:noWrap/>
          </w:tcPr>
          <w:p w14:paraId="4E535911" w14:textId="3D7E108E" w:rsidR="00393B79" w:rsidRPr="0036007C" w:rsidRDefault="00393B79" w:rsidP="00F76882">
            <w:pPr>
              <w:pStyle w:val="Tabletext"/>
            </w:pPr>
            <w:r w:rsidRPr="0036007C">
              <w:t>n</w:t>
            </w:r>
          </w:p>
        </w:tc>
        <w:tc>
          <w:tcPr>
            <w:tcW w:w="287" w:type="pct"/>
            <w:tcBorders>
              <w:top w:val="nil"/>
              <w:left w:val="nil"/>
              <w:bottom w:val="single" w:sz="4" w:space="0" w:color="auto"/>
              <w:right w:val="single" w:sz="4" w:space="0" w:color="auto"/>
            </w:tcBorders>
            <w:shd w:val="clear" w:color="000000" w:fill="BFBFBF"/>
            <w:noWrap/>
          </w:tcPr>
          <w:p w14:paraId="6E8CCCD8" w14:textId="284DE656" w:rsidR="00393B79" w:rsidRPr="0036007C" w:rsidRDefault="00393B79" w:rsidP="00F76882">
            <w:pPr>
              <w:pStyle w:val="Tabletext"/>
            </w:pPr>
            <w:r w:rsidRPr="0036007C">
              <w:t>Proportion</w:t>
            </w:r>
          </w:p>
        </w:tc>
        <w:tc>
          <w:tcPr>
            <w:tcW w:w="119" w:type="pct"/>
            <w:tcBorders>
              <w:top w:val="nil"/>
              <w:left w:val="nil"/>
              <w:bottom w:val="single" w:sz="4" w:space="0" w:color="auto"/>
              <w:right w:val="single" w:sz="4" w:space="0" w:color="auto"/>
            </w:tcBorders>
            <w:shd w:val="clear" w:color="000000" w:fill="BFBFBF"/>
            <w:noWrap/>
          </w:tcPr>
          <w:p w14:paraId="2A9B7B59" w14:textId="4F8A4769" w:rsidR="00393B79" w:rsidRPr="0036007C" w:rsidRDefault="00393B79" w:rsidP="00F76882">
            <w:pPr>
              <w:pStyle w:val="Tabletext"/>
            </w:pPr>
            <w:r w:rsidRPr="0036007C">
              <w:t>n</w:t>
            </w:r>
          </w:p>
        </w:tc>
        <w:tc>
          <w:tcPr>
            <w:tcW w:w="287" w:type="pct"/>
            <w:tcBorders>
              <w:top w:val="nil"/>
              <w:left w:val="nil"/>
              <w:bottom w:val="single" w:sz="4" w:space="0" w:color="auto"/>
              <w:right w:val="single" w:sz="4" w:space="0" w:color="auto"/>
            </w:tcBorders>
            <w:shd w:val="clear" w:color="000000" w:fill="BFBFBF"/>
            <w:noWrap/>
          </w:tcPr>
          <w:p w14:paraId="29D7C8FE" w14:textId="06E25CA4" w:rsidR="00393B79" w:rsidRPr="0036007C" w:rsidRDefault="00393B79" w:rsidP="00F76882">
            <w:pPr>
              <w:pStyle w:val="Tabletext"/>
            </w:pPr>
            <w:r w:rsidRPr="0036007C">
              <w:t>Proportion</w:t>
            </w:r>
          </w:p>
        </w:tc>
        <w:tc>
          <w:tcPr>
            <w:tcW w:w="116" w:type="pct"/>
            <w:tcBorders>
              <w:top w:val="nil"/>
              <w:left w:val="nil"/>
              <w:bottom w:val="single" w:sz="4" w:space="0" w:color="auto"/>
              <w:right w:val="single" w:sz="4" w:space="0" w:color="auto"/>
            </w:tcBorders>
            <w:shd w:val="clear" w:color="000000" w:fill="BFBFBF"/>
            <w:noWrap/>
          </w:tcPr>
          <w:p w14:paraId="564692F0" w14:textId="3508BCB8" w:rsidR="00393B79" w:rsidRPr="0036007C" w:rsidRDefault="00393B79" w:rsidP="00F76882">
            <w:pPr>
              <w:pStyle w:val="Tabletext"/>
            </w:pPr>
            <w:r w:rsidRPr="0036007C">
              <w:t>n</w:t>
            </w:r>
          </w:p>
        </w:tc>
        <w:tc>
          <w:tcPr>
            <w:tcW w:w="287" w:type="pct"/>
            <w:tcBorders>
              <w:top w:val="nil"/>
              <w:left w:val="nil"/>
              <w:bottom w:val="single" w:sz="4" w:space="0" w:color="auto"/>
              <w:right w:val="single" w:sz="4" w:space="0" w:color="auto"/>
            </w:tcBorders>
            <w:shd w:val="clear" w:color="000000" w:fill="BFBFBF"/>
            <w:noWrap/>
          </w:tcPr>
          <w:p w14:paraId="6C7FD2C8" w14:textId="2B3CC114" w:rsidR="00393B79" w:rsidRPr="0036007C" w:rsidRDefault="00393B79" w:rsidP="00F76882">
            <w:pPr>
              <w:pStyle w:val="Tabletext"/>
            </w:pPr>
            <w:r w:rsidRPr="0036007C">
              <w:t>Proportion</w:t>
            </w:r>
          </w:p>
        </w:tc>
        <w:tc>
          <w:tcPr>
            <w:tcW w:w="116" w:type="pct"/>
            <w:tcBorders>
              <w:top w:val="nil"/>
              <w:left w:val="nil"/>
              <w:bottom w:val="single" w:sz="4" w:space="0" w:color="auto"/>
              <w:right w:val="single" w:sz="4" w:space="0" w:color="auto"/>
            </w:tcBorders>
            <w:shd w:val="clear" w:color="000000" w:fill="BFBFBF"/>
            <w:noWrap/>
          </w:tcPr>
          <w:p w14:paraId="7EC63B70" w14:textId="54C7D4C3" w:rsidR="00393B79" w:rsidRPr="0036007C" w:rsidRDefault="00393B79" w:rsidP="00F76882">
            <w:pPr>
              <w:pStyle w:val="Tabletext"/>
            </w:pPr>
            <w:r w:rsidRPr="0036007C">
              <w:t>n</w:t>
            </w:r>
          </w:p>
        </w:tc>
        <w:tc>
          <w:tcPr>
            <w:tcW w:w="287" w:type="pct"/>
            <w:tcBorders>
              <w:top w:val="nil"/>
              <w:left w:val="nil"/>
              <w:bottom w:val="single" w:sz="4" w:space="0" w:color="auto"/>
              <w:right w:val="single" w:sz="4" w:space="0" w:color="auto"/>
            </w:tcBorders>
            <w:shd w:val="clear" w:color="000000" w:fill="BFBFBF"/>
            <w:noWrap/>
          </w:tcPr>
          <w:p w14:paraId="15E33066" w14:textId="113A1509" w:rsidR="00393B79" w:rsidRPr="0036007C" w:rsidRDefault="00393B79" w:rsidP="00F76882">
            <w:pPr>
              <w:pStyle w:val="Tabletext"/>
            </w:pPr>
            <w:r w:rsidRPr="0036007C">
              <w:t>Proportion</w:t>
            </w:r>
          </w:p>
        </w:tc>
        <w:tc>
          <w:tcPr>
            <w:tcW w:w="108" w:type="pct"/>
            <w:tcBorders>
              <w:top w:val="nil"/>
              <w:left w:val="nil"/>
              <w:bottom w:val="single" w:sz="4" w:space="0" w:color="auto"/>
              <w:right w:val="single" w:sz="4" w:space="0" w:color="auto"/>
            </w:tcBorders>
            <w:shd w:val="clear" w:color="000000" w:fill="BFBFBF"/>
          </w:tcPr>
          <w:p w14:paraId="077CB53B" w14:textId="4CDC0D3C" w:rsidR="00393B79" w:rsidRPr="0036007C" w:rsidRDefault="00393B79" w:rsidP="00F76882">
            <w:pPr>
              <w:pStyle w:val="Tabletext"/>
            </w:pPr>
            <w:r w:rsidRPr="0036007C">
              <w:t>n</w:t>
            </w:r>
          </w:p>
        </w:tc>
        <w:tc>
          <w:tcPr>
            <w:tcW w:w="287" w:type="pct"/>
            <w:tcBorders>
              <w:top w:val="nil"/>
              <w:left w:val="nil"/>
              <w:bottom w:val="single" w:sz="4" w:space="0" w:color="auto"/>
              <w:right w:val="single" w:sz="4" w:space="0" w:color="auto"/>
            </w:tcBorders>
            <w:shd w:val="clear" w:color="000000" w:fill="BFBFBF"/>
          </w:tcPr>
          <w:p w14:paraId="575C9AA8" w14:textId="30F49788" w:rsidR="00393B79" w:rsidRPr="0036007C" w:rsidRDefault="00393B79" w:rsidP="00F76882">
            <w:pPr>
              <w:pStyle w:val="Tabletext"/>
            </w:pPr>
            <w:r w:rsidRPr="0036007C">
              <w:t>Proportion</w:t>
            </w:r>
          </w:p>
        </w:tc>
      </w:tr>
      <w:tr w:rsidR="00F136A0" w:rsidRPr="0036007C" w14:paraId="49F9BB21" w14:textId="23E055BA" w:rsidTr="00394190">
        <w:trPr>
          <w:trHeight w:val="510"/>
        </w:trPr>
        <w:tc>
          <w:tcPr>
            <w:tcW w:w="5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24DF43" w14:textId="77777777" w:rsidR="00F136A0" w:rsidRPr="009C2F78" w:rsidRDefault="00F136A0" w:rsidP="00F76882">
            <w:pPr>
              <w:pStyle w:val="Tabletextleft"/>
            </w:pPr>
            <w:r w:rsidRPr="009C2F78">
              <w:t>≥20%</w:t>
            </w:r>
          </w:p>
        </w:tc>
        <w:tc>
          <w:tcPr>
            <w:tcW w:w="116" w:type="pct"/>
            <w:tcBorders>
              <w:top w:val="nil"/>
              <w:left w:val="nil"/>
              <w:bottom w:val="single" w:sz="4" w:space="0" w:color="auto"/>
              <w:right w:val="single" w:sz="4" w:space="0" w:color="auto"/>
            </w:tcBorders>
            <w:shd w:val="clear" w:color="auto" w:fill="FFFFFF" w:themeFill="background1"/>
            <w:noWrap/>
            <w:hideMark/>
          </w:tcPr>
          <w:p w14:paraId="0995C1F1" w14:textId="5345F369" w:rsidR="00F136A0" w:rsidRPr="0036007C" w:rsidRDefault="00F136A0" w:rsidP="00F76882">
            <w:pPr>
              <w:pStyle w:val="Tabletext"/>
              <w:rPr>
                <w:rFonts w:asciiTheme="minorHAnsi" w:hAnsiTheme="minorHAnsi" w:cstheme="minorHAnsi"/>
                <w:sz w:val="22"/>
                <w:szCs w:val="22"/>
              </w:rPr>
            </w:pPr>
            <w:r w:rsidRPr="0036007C">
              <w:t>13</w:t>
            </w:r>
          </w:p>
        </w:tc>
        <w:tc>
          <w:tcPr>
            <w:tcW w:w="287" w:type="pct"/>
            <w:tcBorders>
              <w:top w:val="nil"/>
              <w:left w:val="nil"/>
              <w:bottom w:val="single" w:sz="4" w:space="0" w:color="auto"/>
              <w:right w:val="single" w:sz="4" w:space="0" w:color="auto"/>
            </w:tcBorders>
            <w:shd w:val="clear" w:color="auto" w:fill="FFFFFF" w:themeFill="background1"/>
            <w:noWrap/>
            <w:hideMark/>
          </w:tcPr>
          <w:p w14:paraId="513E01A8" w14:textId="06BD78F2" w:rsidR="00F136A0" w:rsidRPr="0036007C" w:rsidRDefault="00F136A0" w:rsidP="00F76882">
            <w:pPr>
              <w:pStyle w:val="Tabletext"/>
              <w:rPr>
                <w:rFonts w:asciiTheme="minorHAnsi" w:hAnsiTheme="minorHAnsi" w:cstheme="minorHAnsi"/>
                <w:sz w:val="22"/>
                <w:szCs w:val="22"/>
              </w:rPr>
            </w:pPr>
            <w:r w:rsidRPr="0036007C">
              <w:t>10%</w:t>
            </w:r>
          </w:p>
        </w:tc>
        <w:tc>
          <w:tcPr>
            <w:tcW w:w="116" w:type="pct"/>
            <w:tcBorders>
              <w:top w:val="nil"/>
              <w:left w:val="nil"/>
              <w:bottom w:val="single" w:sz="4" w:space="0" w:color="auto"/>
              <w:right w:val="single" w:sz="4" w:space="0" w:color="auto"/>
            </w:tcBorders>
            <w:shd w:val="clear" w:color="auto" w:fill="FFFFFF" w:themeFill="background1"/>
            <w:noWrap/>
            <w:hideMark/>
          </w:tcPr>
          <w:p w14:paraId="52D27255" w14:textId="7591797F" w:rsidR="00F136A0" w:rsidRPr="0036007C" w:rsidRDefault="00F136A0" w:rsidP="00F76882">
            <w:pPr>
              <w:pStyle w:val="Tabletext"/>
              <w:rPr>
                <w:rFonts w:asciiTheme="minorHAnsi" w:hAnsiTheme="minorHAnsi" w:cstheme="minorHAnsi"/>
                <w:sz w:val="22"/>
                <w:szCs w:val="22"/>
              </w:rPr>
            </w:pPr>
            <w:r w:rsidRPr="0036007C">
              <w:t>9</w:t>
            </w:r>
          </w:p>
        </w:tc>
        <w:tc>
          <w:tcPr>
            <w:tcW w:w="287" w:type="pct"/>
            <w:tcBorders>
              <w:top w:val="nil"/>
              <w:left w:val="nil"/>
              <w:bottom w:val="single" w:sz="4" w:space="0" w:color="auto"/>
              <w:right w:val="single" w:sz="4" w:space="0" w:color="auto"/>
            </w:tcBorders>
            <w:shd w:val="clear" w:color="auto" w:fill="FFFFFF" w:themeFill="background1"/>
            <w:noWrap/>
            <w:hideMark/>
          </w:tcPr>
          <w:p w14:paraId="6E78FAB9" w14:textId="32155464" w:rsidR="00F136A0" w:rsidRPr="0036007C" w:rsidRDefault="00F136A0" w:rsidP="00F76882">
            <w:pPr>
              <w:pStyle w:val="Tabletext"/>
              <w:rPr>
                <w:rFonts w:asciiTheme="minorHAnsi" w:hAnsiTheme="minorHAnsi" w:cstheme="minorHAnsi"/>
                <w:sz w:val="22"/>
                <w:szCs w:val="22"/>
              </w:rPr>
            </w:pPr>
            <w:r w:rsidRPr="0036007C">
              <w:t>12%</w:t>
            </w:r>
          </w:p>
        </w:tc>
        <w:tc>
          <w:tcPr>
            <w:tcW w:w="116" w:type="pct"/>
            <w:tcBorders>
              <w:top w:val="nil"/>
              <w:left w:val="nil"/>
              <w:bottom w:val="single" w:sz="4" w:space="0" w:color="auto"/>
              <w:right w:val="single" w:sz="4" w:space="0" w:color="auto"/>
            </w:tcBorders>
            <w:shd w:val="clear" w:color="auto" w:fill="FFFFFF" w:themeFill="background1"/>
            <w:noWrap/>
            <w:hideMark/>
          </w:tcPr>
          <w:p w14:paraId="32376EDD" w14:textId="50C8B70C" w:rsidR="00F136A0" w:rsidRPr="0036007C" w:rsidRDefault="00F136A0" w:rsidP="00F76882">
            <w:pPr>
              <w:pStyle w:val="Tabletext"/>
              <w:rPr>
                <w:rFonts w:asciiTheme="minorHAnsi" w:hAnsiTheme="minorHAnsi" w:cstheme="minorHAnsi"/>
                <w:sz w:val="22"/>
                <w:szCs w:val="22"/>
              </w:rPr>
            </w:pPr>
            <w:r w:rsidRPr="0036007C">
              <w:t>10</w:t>
            </w:r>
          </w:p>
        </w:tc>
        <w:tc>
          <w:tcPr>
            <w:tcW w:w="287" w:type="pct"/>
            <w:tcBorders>
              <w:top w:val="nil"/>
              <w:left w:val="nil"/>
              <w:bottom w:val="single" w:sz="4" w:space="0" w:color="auto"/>
              <w:right w:val="single" w:sz="4" w:space="0" w:color="auto"/>
            </w:tcBorders>
            <w:shd w:val="clear" w:color="auto" w:fill="FFFFFF" w:themeFill="background1"/>
            <w:noWrap/>
            <w:hideMark/>
          </w:tcPr>
          <w:p w14:paraId="13A4DE3E" w14:textId="41E5B164" w:rsidR="00F136A0" w:rsidRPr="0036007C" w:rsidRDefault="00F136A0" w:rsidP="00F76882">
            <w:pPr>
              <w:pStyle w:val="Tabletext"/>
              <w:rPr>
                <w:rFonts w:asciiTheme="minorHAnsi" w:hAnsiTheme="minorHAnsi" w:cstheme="minorHAnsi"/>
                <w:sz w:val="22"/>
                <w:szCs w:val="22"/>
              </w:rPr>
            </w:pPr>
            <w:r w:rsidRPr="0036007C">
              <w:t>9%</w:t>
            </w:r>
          </w:p>
        </w:tc>
        <w:tc>
          <w:tcPr>
            <w:tcW w:w="119" w:type="pct"/>
            <w:tcBorders>
              <w:top w:val="nil"/>
              <w:left w:val="nil"/>
              <w:bottom w:val="single" w:sz="4" w:space="0" w:color="auto"/>
              <w:right w:val="single" w:sz="4" w:space="0" w:color="auto"/>
            </w:tcBorders>
            <w:shd w:val="clear" w:color="auto" w:fill="FFFFFF" w:themeFill="background1"/>
            <w:noWrap/>
            <w:hideMark/>
          </w:tcPr>
          <w:p w14:paraId="36EEAEB7" w14:textId="27C29A16" w:rsidR="00F136A0" w:rsidRPr="00A33DD2" w:rsidRDefault="00F136A0" w:rsidP="00F76882">
            <w:pPr>
              <w:pStyle w:val="Tabletext"/>
            </w:pPr>
            <w:r w:rsidRPr="00A33DD2">
              <w:t>9</w:t>
            </w:r>
          </w:p>
        </w:tc>
        <w:tc>
          <w:tcPr>
            <w:tcW w:w="287" w:type="pct"/>
            <w:tcBorders>
              <w:top w:val="nil"/>
              <w:left w:val="nil"/>
              <w:bottom w:val="single" w:sz="4" w:space="0" w:color="auto"/>
              <w:right w:val="single" w:sz="4" w:space="0" w:color="auto"/>
            </w:tcBorders>
            <w:shd w:val="clear" w:color="auto" w:fill="FFFFFF" w:themeFill="background1"/>
            <w:noWrap/>
            <w:hideMark/>
          </w:tcPr>
          <w:p w14:paraId="7DB1732D" w14:textId="19F79240" w:rsidR="00F136A0" w:rsidRPr="00A33DD2" w:rsidRDefault="00F136A0" w:rsidP="00F76882">
            <w:pPr>
              <w:pStyle w:val="Tabletext"/>
            </w:pPr>
            <w:r w:rsidRPr="00A33DD2">
              <w:t>11%</w:t>
            </w:r>
          </w:p>
        </w:tc>
        <w:tc>
          <w:tcPr>
            <w:tcW w:w="119" w:type="pct"/>
            <w:tcBorders>
              <w:top w:val="nil"/>
              <w:left w:val="nil"/>
              <w:bottom w:val="single" w:sz="4" w:space="0" w:color="auto"/>
              <w:right w:val="single" w:sz="4" w:space="0" w:color="auto"/>
            </w:tcBorders>
            <w:shd w:val="clear" w:color="auto" w:fill="FFFFFF" w:themeFill="background1"/>
            <w:noWrap/>
            <w:hideMark/>
          </w:tcPr>
          <w:p w14:paraId="1B9C773E" w14:textId="2CB28268" w:rsidR="00F136A0" w:rsidRPr="0036007C" w:rsidRDefault="00F136A0" w:rsidP="00F76882">
            <w:pPr>
              <w:pStyle w:val="Tabletext"/>
              <w:rPr>
                <w:rFonts w:asciiTheme="minorHAnsi" w:hAnsiTheme="minorHAnsi" w:cstheme="minorHAnsi"/>
                <w:sz w:val="22"/>
                <w:szCs w:val="22"/>
              </w:rPr>
            </w:pPr>
            <w:r w:rsidRPr="0036007C">
              <w:t>14</w:t>
            </w:r>
          </w:p>
        </w:tc>
        <w:tc>
          <w:tcPr>
            <w:tcW w:w="287" w:type="pct"/>
            <w:tcBorders>
              <w:top w:val="nil"/>
              <w:left w:val="nil"/>
              <w:bottom w:val="single" w:sz="4" w:space="0" w:color="auto"/>
              <w:right w:val="single" w:sz="4" w:space="0" w:color="auto"/>
            </w:tcBorders>
            <w:shd w:val="clear" w:color="auto" w:fill="FFFFFF" w:themeFill="background1"/>
            <w:noWrap/>
            <w:hideMark/>
          </w:tcPr>
          <w:p w14:paraId="5C973C98" w14:textId="0915B87A" w:rsidR="00F136A0" w:rsidRPr="0036007C" w:rsidRDefault="00F136A0" w:rsidP="00F76882">
            <w:pPr>
              <w:pStyle w:val="Tabletext"/>
              <w:rPr>
                <w:rFonts w:asciiTheme="minorHAnsi" w:hAnsiTheme="minorHAnsi" w:cstheme="minorHAnsi"/>
                <w:sz w:val="22"/>
                <w:szCs w:val="22"/>
              </w:rPr>
            </w:pPr>
            <w:r w:rsidRPr="0036007C">
              <w:t>15%</w:t>
            </w:r>
          </w:p>
        </w:tc>
        <w:tc>
          <w:tcPr>
            <w:tcW w:w="119" w:type="pct"/>
            <w:tcBorders>
              <w:top w:val="nil"/>
              <w:left w:val="nil"/>
              <w:bottom w:val="single" w:sz="4" w:space="0" w:color="auto"/>
              <w:right w:val="single" w:sz="4" w:space="0" w:color="auto"/>
            </w:tcBorders>
            <w:shd w:val="clear" w:color="auto" w:fill="FFFFFF" w:themeFill="background1"/>
            <w:noWrap/>
            <w:hideMark/>
          </w:tcPr>
          <w:p w14:paraId="30FC8077" w14:textId="02E73B86" w:rsidR="00F136A0" w:rsidRPr="0036007C" w:rsidRDefault="00F136A0" w:rsidP="00F76882">
            <w:pPr>
              <w:pStyle w:val="Tabletext"/>
              <w:rPr>
                <w:rFonts w:asciiTheme="minorHAnsi" w:hAnsiTheme="minorHAnsi" w:cstheme="minorHAnsi"/>
                <w:sz w:val="22"/>
                <w:szCs w:val="22"/>
              </w:rPr>
            </w:pPr>
            <w:r w:rsidRPr="0036007C">
              <w:t>24</w:t>
            </w:r>
          </w:p>
        </w:tc>
        <w:tc>
          <w:tcPr>
            <w:tcW w:w="287" w:type="pct"/>
            <w:tcBorders>
              <w:top w:val="nil"/>
              <w:left w:val="nil"/>
              <w:bottom w:val="single" w:sz="4" w:space="0" w:color="auto"/>
              <w:right w:val="single" w:sz="4" w:space="0" w:color="auto"/>
            </w:tcBorders>
            <w:shd w:val="clear" w:color="auto" w:fill="FFFFFF" w:themeFill="background1"/>
            <w:noWrap/>
            <w:hideMark/>
          </w:tcPr>
          <w:p w14:paraId="61D928A0" w14:textId="5893B683" w:rsidR="00F136A0" w:rsidRPr="0036007C" w:rsidRDefault="00F136A0" w:rsidP="00F76882">
            <w:pPr>
              <w:pStyle w:val="Tabletext"/>
              <w:rPr>
                <w:rFonts w:asciiTheme="minorHAnsi" w:hAnsiTheme="minorHAnsi" w:cstheme="minorHAnsi"/>
                <w:sz w:val="22"/>
                <w:szCs w:val="22"/>
              </w:rPr>
            </w:pPr>
            <w:r w:rsidRPr="0036007C">
              <w:t>22%</w:t>
            </w:r>
          </w:p>
        </w:tc>
        <w:tc>
          <w:tcPr>
            <w:tcW w:w="119" w:type="pct"/>
            <w:tcBorders>
              <w:top w:val="nil"/>
              <w:left w:val="nil"/>
              <w:bottom w:val="single" w:sz="4" w:space="0" w:color="auto"/>
              <w:right w:val="single" w:sz="4" w:space="0" w:color="auto"/>
            </w:tcBorders>
            <w:shd w:val="clear" w:color="auto" w:fill="FFFFFF" w:themeFill="background1"/>
            <w:noWrap/>
            <w:hideMark/>
          </w:tcPr>
          <w:p w14:paraId="62F86255" w14:textId="2DD407FE" w:rsidR="00F136A0" w:rsidRPr="0036007C" w:rsidRDefault="00F136A0" w:rsidP="00F76882">
            <w:pPr>
              <w:pStyle w:val="Tabletext"/>
              <w:rPr>
                <w:rFonts w:asciiTheme="minorHAnsi" w:hAnsiTheme="minorHAnsi" w:cstheme="minorHAnsi"/>
                <w:sz w:val="22"/>
                <w:szCs w:val="22"/>
              </w:rPr>
            </w:pPr>
            <w:r w:rsidRPr="0036007C">
              <w:t>17</w:t>
            </w:r>
          </w:p>
        </w:tc>
        <w:tc>
          <w:tcPr>
            <w:tcW w:w="287" w:type="pct"/>
            <w:tcBorders>
              <w:top w:val="nil"/>
              <w:left w:val="nil"/>
              <w:bottom w:val="single" w:sz="4" w:space="0" w:color="auto"/>
              <w:right w:val="single" w:sz="4" w:space="0" w:color="auto"/>
            </w:tcBorders>
            <w:shd w:val="clear" w:color="auto" w:fill="FFFFFF" w:themeFill="background1"/>
            <w:noWrap/>
            <w:hideMark/>
          </w:tcPr>
          <w:p w14:paraId="6DE13968" w14:textId="4821B485" w:rsidR="00F136A0" w:rsidRPr="0036007C" w:rsidRDefault="00F136A0" w:rsidP="00F76882">
            <w:pPr>
              <w:pStyle w:val="Tabletext"/>
              <w:rPr>
                <w:rFonts w:asciiTheme="minorHAnsi" w:hAnsiTheme="minorHAnsi" w:cstheme="minorHAnsi"/>
                <w:sz w:val="22"/>
                <w:szCs w:val="22"/>
              </w:rPr>
            </w:pPr>
            <w:r w:rsidRPr="0036007C">
              <w:t>18%</w:t>
            </w:r>
          </w:p>
        </w:tc>
        <w:tc>
          <w:tcPr>
            <w:tcW w:w="119" w:type="pct"/>
            <w:tcBorders>
              <w:top w:val="nil"/>
              <w:left w:val="nil"/>
              <w:bottom w:val="single" w:sz="4" w:space="0" w:color="auto"/>
              <w:right w:val="single" w:sz="4" w:space="0" w:color="auto"/>
            </w:tcBorders>
            <w:shd w:val="clear" w:color="auto" w:fill="FFFFFF" w:themeFill="background1"/>
            <w:noWrap/>
            <w:hideMark/>
          </w:tcPr>
          <w:p w14:paraId="74644583" w14:textId="226D9E92" w:rsidR="00F136A0" w:rsidRPr="0036007C" w:rsidRDefault="00F136A0" w:rsidP="00F76882">
            <w:pPr>
              <w:pStyle w:val="Tabletext"/>
              <w:rPr>
                <w:rFonts w:asciiTheme="minorHAnsi" w:hAnsiTheme="minorHAnsi" w:cstheme="minorHAnsi"/>
                <w:sz w:val="22"/>
                <w:szCs w:val="22"/>
              </w:rPr>
            </w:pPr>
            <w:r w:rsidRPr="0036007C">
              <w:t>10</w:t>
            </w:r>
          </w:p>
        </w:tc>
        <w:tc>
          <w:tcPr>
            <w:tcW w:w="287" w:type="pct"/>
            <w:tcBorders>
              <w:top w:val="nil"/>
              <w:left w:val="nil"/>
              <w:bottom w:val="single" w:sz="4" w:space="0" w:color="auto"/>
              <w:right w:val="single" w:sz="4" w:space="0" w:color="auto"/>
            </w:tcBorders>
            <w:shd w:val="clear" w:color="auto" w:fill="FFFFFF" w:themeFill="background1"/>
            <w:noWrap/>
            <w:hideMark/>
          </w:tcPr>
          <w:p w14:paraId="45CBA0CF" w14:textId="71C3DB96" w:rsidR="00F136A0" w:rsidRPr="0036007C" w:rsidRDefault="00F136A0" w:rsidP="00F76882">
            <w:pPr>
              <w:pStyle w:val="Tabletext"/>
              <w:rPr>
                <w:rFonts w:asciiTheme="minorHAnsi" w:hAnsiTheme="minorHAnsi" w:cstheme="minorHAnsi"/>
                <w:sz w:val="22"/>
                <w:szCs w:val="22"/>
              </w:rPr>
            </w:pPr>
            <w:r w:rsidRPr="0036007C">
              <w:t>12%</w:t>
            </w:r>
          </w:p>
        </w:tc>
        <w:tc>
          <w:tcPr>
            <w:tcW w:w="116" w:type="pct"/>
            <w:tcBorders>
              <w:top w:val="nil"/>
              <w:left w:val="nil"/>
              <w:bottom w:val="single" w:sz="4" w:space="0" w:color="auto"/>
              <w:right w:val="single" w:sz="4" w:space="0" w:color="auto"/>
            </w:tcBorders>
            <w:shd w:val="clear" w:color="auto" w:fill="FFFFFF" w:themeFill="background1"/>
            <w:noWrap/>
            <w:hideMark/>
          </w:tcPr>
          <w:p w14:paraId="2FE50688" w14:textId="09B41966" w:rsidR="00F136A0" w:rsidRPr="0036007C" w:rsidRDefault="00F136A0" w:rsidP="00F76882">
            <w:pPr>
              <w:pStyle w:val="Tabletext"/>
              <w:rPr>
                <w:rFonts w:asciiTheme="minorHAnsi" w:hAnsiTheme="minorHAnsi" w:cstheme="minorHAnsi"/>
                <w:sz w:val="22"/>
                <w:szCs w:val="22"/>
              </w:rPr>
            </w:pPr>
            <w:r w:rsidRPr="0036007C">
              <w:t>10</w:t>
            </w:r>
          </w:p>
        </w:tc>
        <w:tc>
          <w:tcPr>
            <w:tcW w:w="287" w:type="pct"/>
            <w:tcBorders>
              <w:top w:val="nil"/>
              <w:left w:val="nil"/>
              <w:bottom w:val="single" w:sz="4" w:space="0" w:color="auto"/>
              <w:right w:val="single" w:sz="4" w:space="0" w:color="auto"/>
            </w:tcBorders>
            <w:shd w:val="clear" w:color="auto" w:fill="FFFFFF" w:themeFill="background1"/>
            <w:noWrap/>
            <w:hideMark/>
          </w:tcPr>
          <w:p w14:paraId="00386760" w14:textId="5A0BBA7D" w:rsidR="00F136A0" w:rsidRPr="0036007C" w:rsidRDefault="00F136A0" w:rsidP="00F76882">
            <w:pPr>
              <w:pStyle w:val="Tabletext"/>
              <w:rPr>
                <w:rFonts w:asciiTheme="minorHAnsi" w:hAnsiTheme="minorHAnsi" w:cstheme="minorHAnsi"/>
                <w:sz w:val="22"/>
                <w:szCs w:val="22"/>
              </w:rPr>
            </w:pPr>
            <w:r w:rsidRPr="0036007C">
              <w:t>13%</w:t>
            </w:r>
          </w:p>
        </w:tc>
        <w:tc>
          <w:tcPr>
            <w:tcW w:w="116" w:type="pct"/>
            <w:tcBorders>
              <w:top w:val="nil"/>
              <w:left w:val="nil"/>
              <w:bottom w:val="single" w:sz="4" w:space="0" w:color="auto"/>
              <w:right w:val="single" w:sz="4" w:space="0" w:color="auto"/>
            </w:tcBorders>
            <w:shd w:val="clear" w:color="auto" w:fill="FFFFFF" w:themeFill="background1"/>
            <w:noWrap/>
            <w:hideMark/>
          </w:tcPr>
          <w:p w14:paraId="0EE28ACC" w14:textId="4ABB2B50" w:rsidR="00F136A0" w:rsidRPr="0036007C" w:rsidRDefault="00F136A0" w:rsidP="00F76882">
            <w:pPr>
              <w:pStyle w:val="Tabletext"/>
              <w:rPr>
                <w:rFonts w:asciiTheme="minorHAnsi" w:hAnsiTheme="minorHAnsi" w:cstheme="minorHAnsi"/>
                <w:sz w:val="22"/>
                <w:szCs w:val="22"/>
              </w:rPr>
            </w:pPr>
            <w:r w:rsidRPr="0036007C">
              <w:t>5</w:t>
            </w:r>
          </w:p>
        </w:tc>
        <w:tc>
          <w:tcPr>
            <w:tcW w:w="287" w:type="pct"/>
            <w:tcBorders>
              <w:top w:val="nil"/>
              <w:left w:val="nil"/>
              <w:bottom w:val="single" w:sz="4" w:space="0" w:color="auto"/>
              <w:right w:val="single" w:sz="4" w:space="0" w:color="auto"/>
            </w:tcBorders>
            <w:shd w:val="clear" w:color="auto" w:fill="FFFFFF" w:themeFill="background1"/>
            <w:noWrap/>
            <w:hideMark/>
          </w:tcPr>
          <w:p w14:paraId="23F35B13" w14:textId="15285F86" w:rsidR="00F136A0" w:rsidRPr="0036007C" w:rsidRDefault="00F136A0" w:rsidP="00F76882">
            <w:pPr>
              <w:pStyle w:val="Tabletext"/>
              <w:rPr>
                <w:rFonts w:asciiTheme="minorHAnsi" w:hAnsiTheme="minorHAnsi" w:cstheme="minorHAnsi"/>
                <w:sz w:val="22"/>
                <w:szCs w:val="22"/>
              </w:rPr>
            </w:pPr>
            <w:r w:rsidRPr="0036007C">
              <w:t>7%</w:t>
            </w:r>
          </w:p>
        </w:tc>
        <w:tc>
          <w:tcPr>
            <w:tcW w:w="108" w:type="pct"/>
            <w:tcBorders>
              <w:top w:val="nil"/>
              <w:left w:val="nil"/>
              <w:bottom w:val="single" w:sz="4" w:space="0" w:color="auto"/>
              <w:right w:val="single" w:sz="4" w:space="0" w:color="auto"/>
            </w:tcBorders>
            <w:shd w:val="clear" w:color="auto" w:fill="FFFFFF" w:themeFill="background1"/>
          </w:tcPr>
          <w:p w14:paraId="3F23E4B1" w14:textId="1E675BE1" w:rsidR="00F136A0" w:rsidRPr="0036007C" w:rsidRDefault="00F136A0" w:rsidP="00F76882">
            <w:pPr>
              <w:pStyle w:val="Tabletext"/>
              <w:rPr>
                <w:rFonts w:asciiTheme="minorHAnsi" w:hAnsiTheme="minorHAnsi" w:cstheme="minorHAnsi"/>
                <w:sz w:val="22"/>
                <w:szCs w:val="22"/>
              </w:rPr>
            </w:pPr>
            <w:r w:rsidRPr="0036007C">
              <w:t>5</w:t>
            </w:r>
          </w:p>
        </w:tc>
        <w:tc>
          <w:tcPr>
            <w:tcW w:w="287" w:type="pct"/>
            <w:tcBorders>
              <w:top w:val="nil"/>
              <w:left w:val="nil"/>
              <w:bottom w:val="single" w:sz="4" w:space="0" w:color="auto"/>
              <w:right w:val="single" w:sz="4" w:space="0" w:color="auto"/>
            </w:tcBorders>
            <w:shd w:val="clear" w:color="auto" w:fill="FFFFFF" w:themeFill="background1"/>
          </w:tcPr>
          <w:p w14:paraId="70458DAB" w14:textId="74203F82" w:rsidR="00F136A0" w:rsidRPr="0036007C" w:rsidRDefault="00F136A0" w:rsidP="00F76882">
            <w:pPr>
              <w:pStyle w:val="Tabletext"/>
              <w:rPr>
                <w:rFonts w:asciiTheme="minorHAnsi" w:hAnsiTheme="minorHAnsi" w:cstheme="minorHAnsi"/>
                <w:sz w:val="22"/>
                <w:szCs w:val="22"/>
              </w:rPr>
            </w:pPr>
            <w:r w:rsidRPr="0036007C">
              <w:t>6%</w:t>
            </w:r>
          </w:p>
        </w:tc>
      </w:tr>
      <w:tr w:rsidR="00F136A0" w:rsidRPr="0036007C" w14:paraId="20886923" w14:textId="6809052E" w:rsidTr="00394190">
        <w:trPr>
          <w:trHeight w:val="510"/>
        </w:trPr>
        <w:tc>
          <w:tcPr>
            <w:tcW w:w="556" w:type="pct"/>
            <w:tcBorders>
              <w:top w:val="single" w:sz="4" w:space="0" w:color="auto"/>
              <w:left w:val="single" w:sz="4" w:space="0" w:color="auto"/>
              <w:bottom w:val="single" w:sz="4" w:space="0" w:color="auto"/>
              <w:right w:val="single" w:sz="4" w:space="0" w:color="auto"/>
            </w:tcBorders>
            <w:shd w:val="clear" w:color="auto" w:fill="BFBFBF"/>
            <w:hideMark/>
          </w:tcPr>
          <w:p w14:paraId="0C8CBB21" w14:textId="53515994" w:rsidR="00F136A0" w:rsidRPr="009C2F78" w:rsidRDefault="00F136A0" w:rsidP="00F76882">
            <w:pPr>
              <w:pStyle w:val="Tabletextleft"/>
            </w:pPr>
            <w:r w:rsidRPr="009C2F78">
              <w:t xml:space="preserve">≥10% </w:t>
            </w:r>
            <w:r w:rsidR="00CE761D" w:rsidRPr="009C2F78">
              <w:t xml:space="preserve">to </w:t>
            </w:r>
            <w:r w:rsidRPr="009C2F78">
              <w:t>&lt;20%</w:t>
            </w:r>
          </w:p>
        </w:tc>
        <w:tc>
          <w:tcPr>
            <w:tcW w:w="116" w:type="pct"/>
            <w:tcBorders>
              <w:top w:val="nil"/>
              <w:left w:val="nil"/>
              <w:bottom w:val="single" w:sz="4" w:space="0" w:color="auto"/>
              <w:right w:val="single" w:sz="4" w:space="0" w:color="auto"/>
            </w:tcBorders>
            <w:shd w:val="clear" w:color="auto" w:fill="BFBFBF"/>
            <w:noWrap/>
            <w:hideMark/>
          </w:tcPr>
          <w:p w14:paraId="0DF3A82C" w14:textId="42E40C05" w:rsidR="00F136A0" w:rsidRPr="0036007C" w:rsidRDefault="00F136A0" w:rsidP="00F76882">
            <w:pPr>
              <w:pStyle w:val="Tabletext"/>
              <w:rPr>
                <w:rFonts w:asciiTheme="minorHAnsi" w:hAnsiTheme="minorHAnsi" w:cstheme="minorHAnsi"/>
                <w:sz w:val="22"/>
                <w:szCs w:val="22"/>
              </w:rPr>
            </w:pPr>
            <w:r w:rsidRPr="0036007C">
              <w:t>16</w:t>
            </w:r>
          </w:p>
        </w:tc>
        <w:tc>
          <w:tcPr>
            <w:tcW w:w="287" w:type="pct"/>
            <w:tcBorders>
              <w:top w:val="nil"/>
              <w:left w:val="nil"/>
              <w:bottom w:val="single" w:sz="4" w:space="0" w:color="auto"/>
              <w:right w:val="single" w:sz="4" w:space="0" w:color="auto"/>
            </w:tcBorders>
            <w:shd w:val="clear" w:color="auto" w:fill="BFBFBF"/>
            <w:noWrap/>
            <w:hideMark/>
          </w:tcPr>
          <w:p w14:paraId="578768E3" w14:textId="4BCF8785" w:rsidR="00F136A0" w:rsidRPr="0036007C" w:rsidRDefault="00F136A0" w:rsidP="00F76882">
            <w:pPr>
              <w:pStyle w:val="Tabletext"/>
              <w:rPr>
                <w:rFonts w:asciiTheme="minorHAnsi" w:hAnsiTheme="minorHAnsi" w:cstheme="minorHAnsi"/>
                <w:sz w:val="22"/>
                <w:szCs w:val="22"/>
              </w:rPr>
            </w:pPr>
            <w:r w:rsidRPr="0036007C">
              <w:t>12%</w:t>
            </w:r>
          </w:p>
        </w:tc>
        <w:tc>
          <w:tcPr>
            <w:tcW w:w="116" w:type="pct"/>
            <w:tcBorders>
              <w:top w:val="nil"/>
              <w:left w:val="nil"/>
              <w:bottom w:val="single" w:sz="4" w:space="0" w:color="auto"/>
              <w:right w:val="single" w:sz="4" w:space="0" w:color="auto"/>
            </w:tcBorders>
            <w:shd w:val="clear" w:color="auto" w:fill="BFBFBF"/>
            <w:noWrap/>
            <w:hideMark/>
          </w:tcPr>
          <w:p w14:paraId="00CFC28E" w14:textId="48B4DDCC" w:rsidR="00F136A0" w:rsidRPr="0036007C" w:rsidRDefault="00F136A0" w:rsidP="00F76882">
            <w:pPr>
              <w:pStyle w:val="Tabletext"/>
              <w:rPr>
                <w:rFonts w:asciiTheme="minorHAnsi" w:hAnsiTheme="minorHAnsi" w:cstheme="minorHAnsi"/>
                <w:sz w:val="22"/>
                <w:szCs w:val="22"/>
              </w:rPr>
            </w:pPr>
            <w:r w:rsidRPr="0036007C">
              <w:t>6</w:t>
            </w:r>
          </w:p>
        </w:tc>
        <w:tc>
          <w:tcPr>
            <w:tcW w:w="287" w:type="pct"/>
            <w:tcBorders>
              <w:top w:val="nil"/>
              <w:left w:val="nil"/>
              <w:bottom w:val="single" w:sz="4" w:space="0" w:color="auto"/>
              <w:right w:val="single" w:sz="4" w:space="0" w:color="auto"/>
            </w:tcBorders>
            <w:shd w:val="clear" w:color="auto" w:fill="BFBFBF"/>
            <w:noWrap/>
            <w:hideMark/>
          </w:tcPr>
          <w:p w14:paraId="3D677F41" w14:textId="6EB580E9" w:rsidR="00F136A0" w:rsidRPr="0036007C" w:rsidRDefault="00F136A0" w:rsidP="00F76882">
            <w:pPr>
              <w:pStyle w:val="Tabletext"/>
              <w:rPr>
                <w:rFonts w:asciiTheme="minorHAnsi" w:hAnsiTheme="minorHAnsi" w:cstheme="minorHAnsi"/>
                <w:sz w:val="22"/>
                <w:szCs w:val="22"/>
              </w:rPr>
            </w:pPr>
            <w:r w:rsidRPr="0036007C">
              <w:t>8%</w:t>
            </w:r>
          </w:p>
        </w:tc>
        <w:tc>
          <w:tcPr>
            <w:tcW w:w="116" w:type="pct"/>
            <w:tcBorders>
              <w:top w:val="nil"/>
              <w:left w:val="nil"/>
              <w:bottom w:val="single" w:sz="4" w:space="0" w:color="auto"/>
              <w:right w:val="single" w:sz="4" w:space="0" w:color="auto"/>
            </w:tcBorders>
            <w:shd w:val="clear" w:color="auto" w:fill="BFBFBF"/>
            <w:noWrap/>
            <w:hideMark/>
          </w:tcPr>
          <w:p w14:paraId="4689A6E6" w14:textId="7FC3CD15" w:rsidR="00F136A0" w:rsidRPr="0036007C" w:rsidRDefault="00F136A0" w:rsidP="00F76882">
            <w:pPr>
              <w:pStyle w:val="Tabletext"/>
              <w:rPr>
                <w:rFonts w:asciiTheme="minorHAnsi" w:hAnsiTheme="minorHAnsi" w:cstheme="minorHAnsi"/>
                <w:sz w:val="22"/>
                <w:szCs w:val="22"/>
              </w:rPr>
            </w:pPr>
            <w:r w:rsidRPr="0036007C">
              <w:t>15</w:t>
            </w:r>
          </w:p>
        </w:tc>
        <w:tc>
          <w:tcPr>
            <w:tcW w:w="287" w:type="pct"/>
            <w:tcBorders>
              <w:top w:val="nil"/>
              <w:left w:val="nil"/>
              <w:bottom w:val="single" w:sz="4" w:space="0" w:color="auto"/>
              <w:right w:val="single" w:sz="4" w:space="0" w:color="auto"/>
            </w:tcBorders>
            <w:shd w:val="clear" w:color="auto" w:fill="BFBFBF"/>
            <w:noWrap/>
            <w:hideMark/>
          </w:tcPr>
          <w:p w14:paraId="29D49308" w14:textId="265E1168" w:rsidR="00F136A0" w:rsidRPr="0036007C" w:rsidRDefault="00F136A0" w:rsidP="00F76882">
            <w:pPr>
              <w:pStyle w:val="Tabletext"/>
              <w:rPr>
                <w:rFonts w:asciiTheme="minorHAnsi" w:hAnsiTheme="minorHAnsi" w:cstheme="minorHAnsi"/>
                <w:sz w:val="22"/>
                <w:szCs w:val="22"/>
              </w:rPr>
            </w:pPr>
            <w:r w:rsidRPr="0036007C">
              <w:t>14%</w:t>
            </w:r>
          </w:p>
        </w:tc>
        <w:tc>
          <w:tcPr>
            <w:tcW w:w="119" w:type="pct"/>
            <w:tcBorders>
              <w:top w:val="nil"/>
              <w:left w:val="nil"/>
              <w:bottom w:val="single" w:sz="4" w:space="0" w:color="auto"/>
              <w:right w:val="single" w:sz="4" w:space="0" w:color="auto"/>
            </w:tcBorders>
            <w:shd w:val="clear" w:color="auto" w:fill="BFBFBF"/>
            <w:noWrap/>
            <w:hideMark/>
          </w:tcPr>
          <w:p w14:paraId="5B196CB3" w14:textId="5B4C1F84" w:rsidR="00F136A0" w:rsidRPr="00A33DD2" w:rsidRDefault="00F136A0" w:rsidP="00F76882">
            <w:pPr>
              <w:pStyle w:val="Tabletext"/>
            </w:pPr>
            <w:r w:rsidRPr="00A33DD2">
              <w:t>18</w:t>
            </w:r>
          </w:p>
        </w:tc>
        <w:tc>
          <w:tcPr>
            <w:tcW w:w="287" w:type="pct"/>
            <w:tcBorders>
              <w:top w:val="nil"/>
              <w:left w:val="nil"/>
              <w:bottom w:val="single" w:sz="4" w:space="0" w:color="auto"/>
              <w:right w:val="single" w:sz="4" w:space="0" w:color="auto"/>
            </w:tcBorders>
            <w:shd w:val="clear" w:color="auto" w:fill="BFBFBF"/>
            <w:noWrap/>
            <w:hideMark/>
          </w:tcPr>
          <w:p w14:paraId="796C0436" w14:textId="503CD54C" w:rsidR="00F136A0" w:rsidRPr="00A33DD2" w:rsidRDefault="00F136A0" w:rsidP="00F76882">
            <w:pPr>
              <w:pStyle w:val="Tabletext"/>
            </w:pPr>
            <w:r w:rsidRPr="00A33DD2">
              <w:t>21%</w:t>
            </w:r>
          </w:p>
        </w:tc>
        <w:tc>
          <w:tcPr>
            <w:tcW w:w="119" w:type="pct"/>
            <w:tcBorders>
              <w:top w:val="nil"/>
              <w:left w:val="nil"/>
              <w:bottom w:val="single" w:sz="4" w:space="0" w:color="auto"/>
              <w:right w:val="single" w:sz="4" w:space="0" w:color="auto"/>
            </w:tcBorders>
            <w:shd w:val="clear" w:color="auto" w:fill="BFBFBF"/>
            <w:noWrap/>
            <w:hideMark/>
          </w:tcPr>
          <w:p w14:paraId="3FEA8F1E" w14:textId="0A775BBE" w:rsidR="00F136A0" w:rsidRPr="0036007C" w:rsidRDefault="00F136A0" w:rsidP="00F76882">
            <w:pPr>
              <w:pStyle w:val="Tabletext"/>
              <w:rPr>
                <w:rFonts w:asciiTheme="minorHAnsi" w:hAnsiTheme="minorHAnsi" w:cstheme="minorHAnsi"/>
                <w:sz w:val="22"/>
                <w:szCs w:val="22"/>
              </w:rPr>
            </w:pPr>
            <w:r w:rsidRPr="0036007C">
              <w:t>18</w:t>
            </w:r>
          </w:p>
        </w:tc>
        <w:tc>
          <w:tcPr>
            <w:tcW w:w="287" w:type="pct"/>
            <w:tcBorders>
              <w:top w:val="nil"/>
              <w:left w:val="nil"/>
              <w:bottom w:val="single" w:sz="4" w:space="0" w:color="auto"/>
              <w:right w:val="single" w:sz="4" w:space="0" w:color="auto"/>
            </w:tcBorders>
            <w:shd w:val="clear" w:color="auto" w:fill="BFBFBF"/>
            <w:noWrap/>
            <w:hideMark/>
          </w:tcPr>
          <w:p w14:paraId="24814359" w14:textId="5079CF8F" w:rsidR="00F136A0" w:rsidRPr="0036007C" w:rsidRDefault="00F136A0" w:rsidP="00F76882">
            <w:pPr>
              <w:pStyle w:val="Tabletext"/>
              <w:rPr>
                <w:rFonts w:asciiTheme="minorHAnsi" w:hAnsiTheme="minorHAnsi" w:cstheme="minorHAnsi"/>
                <w:sz w:val="22"/>
                <w:szCs w:val="22"/>
              </w:rPr>
            </w:pPr>
            <w:r w:rsidRPr="0036007C">
              <w:t>19%</w:t>
            </w:r>
          </w:p>
        </w:tc>
        <w:tc>
          <w:tcPr>
            <w:tcW w:w="119" w:type="pct"/>
            <w:tcBorders>
              <w:top w:val="nil"/>
              <w:left w:val="nil"/>
              <w:bottom w:val="single" w:sz="4" w:space="0" w:color="auto"/>
              <w:right w:val="single" w:sz="4" w:space="0" w:color="auto"/>
            </w:tcBorders>
            <w:shd w:val="clear" w:color="auto" w:fill="BFBFBF"/>
            <w:noWrap/>
            <w:hideMark/>
          </w:tcPr>
          <w:p w14:paraId="0E0171D2" w14:textId="1D68747F" w:rsidR="00F136A0" w:rsidRPr="0036007C" w:rsidRDefault="00F136A0" w:rsidP="00F76882">
            <w:pPr>
              <w:pStyle w:val="Tabletext"/>
              <w:rPr>
                <w:rFonts w:asciiTheme="minorHAnsi" w:hAnsiTheme="minorHAnsi" w:cstheme="minorHAnsi"/>
                <w:sz w:val="22"/>
                <w:szCs w:val="22"/>
              </w:rPr>
            </w:pPr>
            <w:r w:rsidRPr="0036007C">
              <w:t>14</w:t>
            </w:r>
          </w:p>
        </w:tc>
        <w:tc>
          <w:tcPr>
            <w:tcW w:w="287" w:type="pct"/>
            <w:tcBorders>
              <w:top w:val="nil"/>
              <w:left w:val="nil"/>
              <w:bottom w:val="single" w:sz="4" w:space="0" w:color="auto"/>
              <w:right w:val="single" w:sz="4" w:space="0" w:color="auto"/>
            </w:tcBorders>
            <w:shd w:val="clear" w:color="auto" w:fill="BFBFBF"/>
            <w:noWrap/>
            <w:hideMark/>
          </w:tcPr>
          <w:p w14:paraId="68783983" w14:textId="6B9021A7" w:rsidR="00F136A0" w:rsidRPr="0036007C" w:rsidRDefault="00F136A0" w:rsidP="00F76882">
            <w:pPr>
              <w:pStyle w:val="Tabletext"/>
              <w:rPr>
                <w:rFonts w:asciiTheme="minorHAnsi" w:hAnsiTheme="minorHAnsi" w:cstheme="minorHAnsi"/>
                <w:sz w:val="22"/>
                <w:szCs w:val="22"/>
              </w:rPr>
            </w:pPr>
            <w:r w:rsidRPr="0036007C">
              <w:t>13%</w:t>
            </w:r>
          </w:p>
        </w:tc>
        <w:tc>
          <w:tcPr>
            <w:tcW w:w="119" w:type="pct"/>
            <w:tcBorders>
              <w:top w:val="nil"/>
              <w:left w:val="nil"/>
              <w:bottom w:val="single" w:sz="4" w:space="0" w:color="auto"/>
              <w:right w:val="single" w:sz="4" w:space="0" w:color="auto"/>
            </w:tcBorders>
            <w:shd w:val="clear" w:color="auto" w:fill="BFBFBF"/>
            <w:noWrap/>
            <w:hideMark/>
          </w:tcPr>
          <w:p w14:paraId="67434794" w14:textId="1801D86B" w:rsidR="00F136A0" w:rsidRPr="0036007C" w:rsidRDefault="00F136A0" w:rsidP="00F76882">
            <w:pPr>
              <w:pStyle w:val="Tabletext"/>
              <w:rPr>
                <w:rFonts w:asciiTheme="minorHAnsi" w:hAnsiTheme="minorHAnsi" w:cstheme="minorHAnsi"/>
                <w:sz w:val="22"/>
                <w:szCs w:val="22"/>
              </w:rPr>
            </w:pPr>
            <w:r w:rsidRPr="0036007C">
              <w:t>27</w:t>
            </w:r>
          </w:p>
        </w:tc>
        <w:tc>
          <w:tcPr>
            <w:tcW w:w="287" w:type="pct"/>
            <w:tcBorders>
              <w:top w:val="nil"/>
              <w:left w:val="nil"/>
              <w:bottom w:val="single" w:sz="4" w:space="0" w:color="auto"/>
              <w:right w:val="single" w:sz="4" w:space="0" w:color="auto"/>
            </w:tcBorders>
            <w:shd w:val="clear" w:color="auto" w:fill="BFBFBF"/>
            <w:noWrap/>
            <w:hideMark/>
          </w:tcPr>
          <w:p w14:paraId="1B1DF5AC" w14:textId="1693A98D" w:rsidR="00F136A0" w:rsidRPr="0036007C" w:rsidRDefault="00F136A0" w:rsidP="00F76882">
            <w:pPr>
              <w:pStyle w:val="Tabletext"/>
              <w:rPr>
                <w:rFonts w:asciiTheme="minorHAnsi" w:hAnsiTheme="minorHAnsi" w:cstheme="minorHAnsi"/>
                <w:sz w:val="22"/>
                <w:szCs w:val="22"/>
              </w:rPr>
            </w:pPr>
            <w:r w:rsidRPr="0036007C">
              <w:t>29%</w:t>
            </w:r>
          </w:p>
        </w:tc>
        <w:tc>
          <w:tcPr>
            <w:tcW w:w="119" w:type="pct"/>
            <w:tcBorders>
              <w:top w:val="nil"/>
              <w:left w:val="nil"/>
              <w:bottom w:val="single" w:sz="4" w:space="0" w:color="auto"/>
              <w:right w:val="single" w:sz="4" w:space="0" w:color="auto"/>
            </w:tcBorders>
            <w:shd w:val="clear" w:color="auto" w:fill="BFBFBF"/>
            <w:noWrap/>
            <w:hideMark/>
          </w:tcPr>
          <w:p w14:paraId="67669974" w14:textId="5050BD31" w:rsidR="00F136A0" w:rsidRPr="0036007C" w:rsidRDefault="00F136A0" w:rsidP="00F76882">
            <w:pPr>
              <w:pStyle w:val="Tabletext"/>
              <w:rPr>
                <w:rFonts w:asciiTheme="minorHAnsi" w:hAnsiTheme="minorHAnsi" w:cstheme="minorHAnsi"/>
                <w:sz w:val="22"/>
                <w:szCs w:val="22"/>
              </w:rPr>
            </w:pPr>
            <w:r w:rsidRPr="0036007C">
              <w:t>18</w:t>
            </w:r>
          </w:p>
        </w:tc>
        <w:tc>
          <w:tcPr>
            <w:tcW w:w="287" w:type="pct"/>
            <w:tcBorders>
              <w:top w:val="nil"/>
              <w:left w:val="nil"/>
              <w:bottom w:val="single" w:sz="4" w:space="0" w:color="auto"/>
              <w:right w:val="single" w:sz="4" w:space="0" w:color="auto"/>
            </w:tcBorders>
            <w:shd w:val="clear" w:color="auto" w:fill="BFBFBF"/>
            <w:noWrap/>
            <w:hideMark/>
          </w:tcPr>
          <w:p w14:paraId="6619EC67" w14:textId="1E0ABEA0" w:rsidR="00F136A0" w:rsidRPr="0036007C" w:rsidRDefault="00F136A0" w:rsidP="00F76882">
            <w:pPr>
              <w:pStyle w:val="Tabletext"/>
              <w:rPr>
                <w:rFonts w:asciiTheme="minorHAnsi" w:hAnsiTheme="minorHAnsi" w:cstheme="minorHAnsi"/>
                <w:sz w:val="22"/>
                <w:szCs w:val="22"/>
              </w:rPr>
            </w:pPr>
            <w:r w:rsidRPr="0036007C">
              <w:t>22%</w:t>
            </w:r>
          </w:p>
        </w:tc>
        <w:tc>
          <w:tcPr>
            <w:tcW w:w="116" w:type="pct"/>
            <w:tcBorders>
              <w:top w:val="nil"/>
              <w:left w:val="nil"/>
              <w:bottom w:val="single" w:sz="4" w:space="0" w:color="auto"/>
              <w:right w:val="single" w:sz="4" w:space="0" w:color="auto"/>
            </w:tcBorders>
            <w:shd w:val="clear" w:color="auto" w:fill="BFBFBF"/>
            <w:noWrap/>
            <w:hideMark/>
          </w:tcPr>
          <w:p w14:paraId="0B8F0F87" w14:textId="307DC53F" w:rsidR="00F136A0" w:rsidRPr="0036007C" w:rsidRDefault="00F136A0" w:rsidP="00F76882">
            <w:pPr>
              <w:pStyle w:val="Tabletext"/>
              <w:rPr>
                <w:rFonts w:asciiTheme="minorHAnsi" w:hAnsiTheme="minorHAnsi" w:cstheme="minorHAnsi"/>
                <w:sz w:val="22"/>
                <w:szCs w:val="22"/>
              </w:rPr>
            </w:pPr>
            <w:r w:rsidRPr="0036007C">
              <w:t>12</w:t>
            </w:r>
          </w:p>
        </w:tc>
        <w:tc>
          <w:tcPr>
            <w:tcW w:w="287" w:type="pct"/>
            <w:tcBorders>
              <w:top w:val="nil"/>
              <w:left w:val="nil"/>
              <w:bottom w:val="single" w:sz="4" w:space="0" w:color="auto"/>
              <w:right w:val="single" w:sz="4" w:space="0" w:color="auto"/>
            </w:tcBorders>
            <w:shd w:val="clear" w:color="auto" w:fill="BFBFBF"/>
            <w:noWrap/>
            <w:hideMark/>
          </w:tcPr>
          <w:p w14:paraId="0A5354EF" w14:textId="28A7E92B" w:rsidR="00F136A0" w:rsidRPr="0036007C" w:rsidRDefault="00F136A0" w:rsidP="00F76882">
            <w:pPr>
              <w:pStyle w:val="Tabletext"/>
              <w:rPr>
                <w:rFonts w:asciiTheme="minorHAnsi" w:hAnsiTheme="minorHAnsi" w:cstheme="minorHAnsi"/>
                <w:sz w:val="22"/>
                <w:szCs w:val="22"/>
              </w:rPr>
            </w:pPr>
            <w:r w:rsidRPr="0036007C">
              <w:t>15%</w:t>
            </w:r>
          </w:p>
        </w:tc>
        <w:tc>
          <w:tcPr>
            <w:tcW w:w="116" w:type="pct"/>
            <w:tcBorders>
              <w:top w:val="nil"/>
              <w:left w:val="nil"/>
              <w:bottom w:val="single" w:sz="4" w:space="0" w:color="auto"/>
              <w:right w:val="single" w:sz="4" w:space="0" w:color="auto"/>
            </w:tcBorders>
            <w:shd w:val="clear" w:color="auto" w:fill="BFBFBF"/>
            <w:noWrap/>
            <w:hideMark/>
          </w:tcPr>
          <w:p w14:paraId="39EE12B7" w14:textId="04AB383F" w:rsidR="00F136A0" w:rsidRPr="0036007C" w:rsidRDefault="00F136A0" w:rsidP="00F76882">
            <w:pPr>
              <w:pStyle w:val="Tabletext"/>
              <w:rPr>
                <w:rFonts w:asciiTheme="minorHAnsi" w:hAnsiTheme="minorHAnsi" w:cstheme="minorHAnsi"/>
                <w:sz w:val="22"/>
                <w:szCs w:val="22"/>
              </w:rPr>
            </w:pPr>
            <w:r w:rsidRPr="0036007C">
              <w:t>8</w:t>
            </w:r>
          </w:p>
        </w:tc>
        <w:tc>
          <w:tcPr>
            <w:tcW w:w="287" w:type="pct"/>
            <w:tcBorders>
              <w:top w:val="nil"/>
              <w:left w:val="nil"/>
              <w:bottom w:val="single" w:sz="4" w:space="0" w:color="auto"/>
              <w:right w:val="single" w:sz="4" w:space="0" w:color="auto"/>
            </w:tcBorders>
            <w:shd w:val="clear" w:color="auto" w:fill="BFBFBF"/>
            <w:noWrap/>
            <w:hideMark/>
          </w:tcPr>
          <w:p w14:paraId="7D50D1AA" w14:textId="1613EFA9" w:rsidR="00F136A0" w:rsidRPr="0036007C" w:rsidRDefault="00F136A0" w:rsidP="00F76882">
            <w:pPr>
              <w:pStyle w:val="Tabletext"/>
              <w:rPr>
                <w:rFonts w:asciiTheme="minorHAnsi" w:hAnsiTheme="minorHAnsi" w:cstheme="minorHAnsi"/>
                <w:sz w:val="22"/>
                <w:szCs w:val="22"/>
              </w:rPr>
            </w:pPr>
            <w:r w:rsidRPr="0036007C">
              <w:t>12%</w:t>
            </w:r>
          </w:p>
        </w:tc>
        <w:tc>
          <w:tcPr>
            <w:tcW w:w="108" w:type="pct"/>
            <w:tcBorders>
              <w:top w:val="nil"/>
              <w:left w:val="nil"/>
              <w:bottom w:val="single" w:sz="4" w:space="0" w:color="auto"/>
              <w:right w:val="single" w:sz="4" w:space="0" w:color="auto"/>
            </w:tcBorders>
            <w:shd w:val="clear" w:color="auto" w:fill="BFBFBF"/>
          </w:tcPr>
          <w:p w14:paraId="663B7E41" w14:textId="79EAFDF7" w:rsidR="00F136A0" w:rsidRPr="0036007C" w:rsidRDefault="00F136A0" w:rsidP="00F76882">
            <w:pPr>
              <w:pStyle w:val="Tabletext"/>
              <w:rPr>
                <w:rFonts w:asciiTheme="minorHAnsi" w:hAnsiTheme="minorHAnsi" w:cstheme="minorHAnsi"/>
                <w:sz w:val="22"/>
                <w:szCs w:val="22"/>
              </w:rPr>
            </w:pPr>
            <w:r w:rsidRPr="0036007C">
              <w:t>8</w:t>
            </w:r>
          </w:p>
        </w:tc>
        <w:tc>
          <w:tcPr>
            <w:tcW w:w="287" w:type="pct"/>
            <w:tcBorders>
              <w:top w:val="nil"/>
              <w:left w:val="nil"/>
              <w:bottom w:val="single" w:sz="4" w:space="0" w:color="auto"/>
              <w:right w:val="single" w:sz="4" w:space="0" w:color="auto"/>
            </w:tcBorders>
            <w:shd w:val="clear" w:color="auto" w:fill="BFBFBF"/>
          </w:tcPr>
          <w:p w14:paraId="3D1898B1" w14:textId="6333F1D7" w:rsidR="00F136A0" w:rsidRPr="0036007C" w:rsidRDefault="00F136A0" w:rsidP="00F76882">
            <w:pPr>
              <w:pStyle w:val="Tabletext"/>
              <w:rPr>
                <w:rFonts w:asciiTheme="minorHAnsi" w:hAnsiTheme="minorHAnsi" w:cstheme="minorHAnsi"/>
                <w:sz w:val="22"/>
                <w:szCs w:val="22"/>
              </w:rPr>
            </w:pPr>
            <w:r w:rsidRPr="0036007C">
              <w:t>9%</w:t>
            </w:r>
          </w:p>
        </w:tc>
      </w:tr>
      <w:tr w:rsidR="00F136A0" w:rsidRPr="0036007C" w14:paraId="045CE079" w14:textId="37636A2B" w:rsidTr="00394190">
        <w:trPr>
          <w:trHeight w:val="510"/>
        </w:trPr>
        <w:tc>
          <w:tcPr>
            <w:tcW w:w="5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36194A" w14:textId="72E6618C" w:rsidR="00F136A0" w:rsidRPr="009C2F78" w:rsidRDefault="00F136A0" w:rsidP="00F76882">
            <w:pPr>
              <w:pStyle w:val="Tabletextleft"/>
            </w:pPr>
            <w:r w:rsidRPr="009C2F78">
              <w:t xml:space="preserve">≥5% </w:t>
            </w:r>
            <w:r w:rsidR="00CE761D" w:rsidRPr="009C2F78">
              <w:t xml:space="preserve">to </w:t>
            </w:r>
            <w:r w:rsidRPr="009C2F78">
              <w:t xml:space="preserve">&lt;10% </w:t>
            </w:r>
          </w:p>
        </w:tc>
        <w:tc>
          <w:tcPr>
            <w:tcW w:w="116" w:type="pct"/>
            <w:tcBorders>
              <w:top w:val="nil"/>
              <w:left w:val="nil"/>
              <w:bottom w:val="single" w:sz="4" w:space="0" w:color="auto"/>
              <w:right w:val="single" w:sz="4" w:space="0" w:color="auto"/>
            </w:tcBorders>
            <w:shd w:val="clear" w:color="auto" w:fill="FFFFFF" w:themeFill="background1"/>
            <w:noWrap/>
            <w:hideMark/>
          </w:tcPr>
          <w:p w14:paraId="327500DA" w14:textId="3AEA6C20" w:rsidR="00F136A0" w:rsidRPr="0036007C" w:rsidRDefault="00F136A0" w:rsidP="00F76882">
            <w:pPr>
              <w:pStyle w:val="Tabletext"/>
              <w:rPr>
                <w:rFonts w:asciiTheme="minorHAnsi" w:hAnsiTheme="minorHAnsi" w:cstheme="minorHAnsi"/>
                <w:sz w:val="22"/>
                <w:szCs w:val="22"/>
              </w:rPr>
            </w:pPr>
            <w:r w:rsidRPr="0036007C">
              <w:t>4</w:t>
            </w:r>
          </w:p>
        </w:tc>
        <w:tc>
          <w:tcPr>
            <w:tcW w:w="287" w:type="pct"/>
            <w:tcBorders>
              <w:top w:val="nil"/>
              <w:left w:val="nil"/>
              <w:bottom w:val="single" w:sz="4" w:space="0" w:color="auto"/>
              <w:right w:val="single" w:sz="4" w:space="0" w:color="auto"/>
            </w:tcBorders>
            <w:shd w:val="clear" w:color="auto" w:fill="FFFFFF" w:themeFill="background1"/>
            <w:noWrap/>
            <w:hideMark/>
          </w:tcPr>
          <w:p w14:paraId="4DAE8449" w14:textId="744F60BD" w:rsidR="00F136A0" w:rsidRPr="0036007C" w:rsidRDefault="00F136A0" w:rsidP="00F76882">
            <w:pPr>
              <w:pStyle w:val="Tabletext"/>
              <w:rPr>
                <w:rFonts w:asciiTheme="minorHAnsi" w:hAnsiTheme="minorHAnsi" w:cstheme="minorHAnsi"/>
                <w:sz w:val="22"/>
                <w:szCs w:val="22"/>
              </w:rPr>
            </w:pPr>
            <w:r w:rsidRPr="0036007C">
              <w:t>3%</w:t>
            </w:r>
          </w:p>
        </w:tc>
        <w:tc>
          <w:tcPr>
            <w:tcW w:w="116" w:type="pct"/>
            <w:tcBorders>
              <w:top w:val="nil"/>
              <w:left w:val="nil"/>
              <w:bottom w:val="single" w:sz="4" w:space="0" w:color="auto"/>
              <w:right w:val="single" w:sz="4" w:space="0" w:color="auto"/>
            </w:tcBorders>
            <w:shd w:val="clear" w:color="auto" w:fill="FFFFFF" w:themeFill="background1"/>
            <w:noWrap/>
            <w:hideMark/>
          </w:tcPr>
          <w:p w14:paraId="3B15BD3C" w14:textId="273BBDDC" w:rsidR="00F136A0" w:rsidRPr="0036007C" w:rsidRDefault="00F136A0" w:rsidP="00F76882">
            <w:pPr>
              <w:pStyle w:val="Tabletext"/>
              <w:rPr>
                <w:rFonts w:asciiTheme="minorHAnsi" w:hAnsiTheme="minorHAnsi" w:cstheme="minorHAnsi"/>
                <w:sz w:val="22"/>
                <w:szCs w:val="22"/>
              </w:rPr>
            </w:pPr>
            <w:r w:rsidRPr="0036007C">
              <w:t>12</w:t>
            </w:r>
          </w:p>
        </w:tc>
        <w:tc>
          <w:tcPr>
            <w:tcW w:w="287" w:type="pct"/>
            <w:tcBorders>
              <w:top w:val="nil"/>
              <w:left w:val="nil"/>
              <w:bottom w:val="single" w:sz="4" w:space="0" w:color="auto"/>
              <w:right w:val="single" w:sz="4" w:space="0" w:color="auto"/>
            </w:tcBorders>
            <w:shd w:val="clear" w:color="auto" w:fill="FFFFFF" w:themeFill="background1"/>
            <w:noWrap/>
            <w:hideMark/>
          </w:tcPr>
          <w:p w14:paraId="4C098308" w14:textId="30349FD2" w:rsidR="00F136A0" w:rsidRPr="0036007C" w:rsidRDefault="00F136A0" w:rsidP="00F76882">
            <w:pPr>
              <w:pStyle w:val="Tabletext"/>
              <w:rPr>
                <w:rFonts w:asciiTheme="minorHAnsi" w:hAnsiTheme="minorHAnsi" w:cstheme="minorHAnsi"/>
                <w:sz w:val="22"/>
                <w:szCs w:val="22"/>
              </w:rPr>
            </w:pPr>
            <w:r w:rsidRPr="0036007C">
              <w:t>16%</w:t>
            </w:r>
          </w:p>
        </w:tc>
        <w:tc>
          <w:tcPr>
            <w:tcW w:w="116" w:type="pct"/>
            <w:tcBorders>
              <w:top w:val="nil"/>
              <w:left w:val="nil"/>
              <w:bottom w:val="single" w:sz="4" w:space="0" w:color="auto"/>
              <w:right w:val="single" w:sz="4" w:space="0" w:color="auto"/>
            </w:tcBorders>
            <w:shd w:val="clear" w:color="auto" w:fill="FFFFFF" w:themeFill="background1"/>
            <w:noWrap/>
            <w:hideMark/>
          </w:tcPr>
          <w:p w14:paraId="23F4BAC0" w14:textId="5E1A720D" w:rsidR="00F136A0" w:rsidRPr="0036007C" w:rsidRDefault="00F136A0" w:rsidP="00F76882">
            <w:pPr>
              <w:pStyle w:val="Tabletext"/>
              <w:rPr>
                <w:rFonts w:asciiTheme="minorHAnsi" w:hAnsiTheme="minorHAnsi" w:cstheme="minorHAnsi"/>
                <w:sz w:val="22"/>
                <w:szCs w:val="22"/>
              </w:rPr>
            </w:pPr>
            <w:r w:rsidRPr="0036007C">
              <w:t>15</w:t>
            </w:r>
          </w:p>
        </w:tc>
        <w:tc>
          <w:tcPr>
            <w:tcW w:w="287" w:type="pct"/>
            <w:tcBorders>
              <w:top w:val="nil"/>
              <w:left w:val="nil"/>
              <w:bottom w:val="single" w:sz="4" w:space="0" w:color="auto"/>
              <w:right w:val="single" w:sz="4" w:space="0" w:color="auto"/>
            </w:tcBorders>
            <w:shd w:val="clear" w:color="auto" w:fill="FFFFFF" w:themeFill="background1"/>
            <w:noWrap/>
            <w:hideMark/>
          </w:tcPr>
          <w:p w14:paraId="7EAD205A" w14:textId="1CB755F2" w:rsidR="00F136A0" w:rsidRPr="0036007C" w:rsidRDefault="00F136A0" w:rsidP="00F76882">
            <w:pPr>
              <w:pStyle w:val="Tabletext"/>
              <w:rPr>
                <w:rFonts w:asciiTheme="minorHAnsi" w:hAnsiTheme="minorHAnsi" w:cstheme="minorHAnsi"/>
                <w:sz w:val="22"/>
                <w:szCs w:val="22"/>
              </w:rPr>
            </w:pPr>
            <w:r w:rsidRPr="0036007C">
              <w:t>14%</w:t>
            </w:r>
          </w:p>
        </w:tc>
        <w:tc>
          <w:tcPr>
            <w:tcW w:w="119" w:type="pct"/>
            <w:tcBorders>
              <w:top w:val="nil"/>
              <w:left w:val="nil"/>
              <w:bottom w:val="single" w:sz="4" w:space="0" w:color="auto"/>
              <w:right w:val="single" w:sz="4" w:space="0" w:color="auto"/>
            </w:tcBorders>
            <w:shd w:val="clear" w:color="auto" w:fill="FFFFFF" w:themeFill="background1"/>
            <w:noWrap/>
            <w:hideMark/>
          </w:tcPr>
          <w:p w14:paraId="52BF1D45" w14:textId="6134E57B" w:rsidR="00F136A0" w:rsidRPr="00A33DD2" w:rsidRDefault="00F136A0" w:rsidP="00F76882">
            <w:pPr>
              <w:pStyle w:val="Tabletext"/>
            </w:pPr>
            <w:r w:rsidRPr="00A33DD2">
              <w:t>6</w:t>
            </w:r>
          </w:p>
        </w:tc>
        <w:tc>
          <w:tcPr>
            <w:tcW w:w="287" w:type="pct"/>
            <w:tcBorders>
              <w:top w:val="nil"/>
              <w:left w:val="nil"/>
              <w:bottom w:val="single" w:sz="4" w:space="0" w:color="auto"/>
              <w:right w:val="single" w:sz="4" w:space="0" w:color="auto"/>
            </w:tcBorders>
            <w:shd w:val="clear" w:color="auto" w:fill="FFFFFF" w:themeFill="background1"/>
            <w:noWrap/>
            <w:hideMark/>
          </w:tcPr>
          <w:p w14:paraId="08D2D495" w14:textId="570001BE" w:rsidR="00F136A0" w:rsidRPr="00A33DD2" w:rsidRDefault="00F136A0" w:rsidP="00F76882">
            <w:pPr>
              <w:pStyle w:val="Tabletext"/>
            </w:pPr>
            <w:r w:rsidRPr="00A33DD2">
              <w:t>7%</w:t>
            </w:r>
          </w:p>
        </w:tc>
        <w:tc>
          <w:tcPr>
            <w:tcW w:w="119" w:type="pct"/>
            <w:tcBorders>
              <w:top w:val="nil"/>
              <w:left w:val="nil"/>
              <w:bottom w:val="single" w:sz="4" w:space="0" w:color="auto"/>
              <w:right w:val="single" w:sz="4" w:space="0" w:color="auto"/>
            </w:tcBorders>
            <w:shd w:val="clear" w:color="auto" w:fill="FFFFFF" w:themeFill="background1"/>
            <w:noWrap/>
            <w:hideMark/>
          </w:tcPr>
          <w:p w14:paraId="1B321CEA" w14:textId="7DE58FEA" w:rsidR="00F136A0" w:rsidRPr="0036007C" w:rsidRDefault="00F136A0" w:rsidP="00F76882">
            <w:pPr>
              <w:pStyle w:val="Tabletext"/>
              <w:rPr>
                <w:rFonts w:asciiTheme="minorHAnsi" w:hAnsiTheme="minorHAnsi" w:cstheme="minorHAnsi"/>
                <w:sz w:val="22"/>
                <w:szCs w:val="22"/>
              </w:rPr>
            </w:pPr>
            <w:r w:rsidRPr="0036007C">
              <w:t>11</w:t>
            </w:r>
          </w:p>
        </w:tc>
        <w:tc>
          <w:tcPr>
            <w:tcW w:w="287" w:type="pct"/>
            <w:tcBorders>
              <w:top w:val="nil"/>
              <w:left w:val="nil"/>
              <w:bottom w:val="single" w:sz="4" w:space="0" w:color="auto"/>
              <w:right w:val="single" w:sz="4" w:space="0" w:color="auto"/>
            </w:tcBorders>
            <w:shd w:val="clear" w:color="auto" w:fill="FFFFFF" w:themeFill="background1"/>
            <w:noWrap/>
            <w:hideMark/>
          </w:tcPr>
          <w:p w14:paraId="6C8C0D1B" w14:textId="22FB3C21" w:rsidR="00F136A0" w:rsidRPr="0036007C" w:rsidRDefault="00F136A0" w:rsidP="00F76882">
            <w:pPr>
              <w:pStyle w:val="Tabletext"/>
              <w:rPr>
                <w:rFonts w:asciiTheme="minorHAnsi" w:hAnsiTheme="minorHAnsi" w:cstheme="minorHAnsi"/>
                <w:sz w:val="22"/>
                <w:szCs w:val="22"/>
              </w:rPr>
            </w:pPr>
            <w:r w:rsidRPr="0036007C">
              <w:t>12%</w:t>
            </w:r>
          </w:p>
        </w:tc>
        <w:tc>
          <w:tcPr>
            <w:tcW w:w="119" w:type="pct"/>
            <w:tcBorders>
              <w:top w:val="nil"/>
              <w:left w:val="nil"/>
              <w:bottom w:val="single" w:sz="4" w:space="0" w:color="auto"/>
              <w:right w:val="single" w:sz="4" w:space="0" w:color="auto"/>
            </w:tcBorders>
            <w:shd w:val="clear" w:color="auto" w:fill="FFFFFF" w:themeFill="background1"/>
            <w:noWrap/>
            <w:hideMark/>
          </w:tcPr>
          <w:p w14:paraId="53DFA551" w14:textId="45B6325A" w:rsidR="00F136A0" w:rsidRPr="0036007C" w:rsidRDefault="00F136A0" w:rsidP="00F76882">
            <w:pPr>
              <w:pStyle w:val="Tabletext"/>
              <w:rPr>
                <w:rFonts w:asciiTheme="minorHAnsi" w:hAnsiTheme="minorHAnsi" w:cstheme="minorHAnsi"/>
                <w:sz w:val="22"/>
                <w:szCs w:val="22"/>
              </w:rPr>
            </w:pPr>
            <w:r w:rsidRPr="0036007C">
              <w:t>9</w:t>
            </w:r>
          </w:p>
        </w:tc>
        <w:tc>
          <w:tcPr>
            <w:tcW w:w="287" w:type="pct"/>
            <w:tcBorders>
              <w:top w:val="nil"/>
              <w:left w:val="nil"/>
              <w:bottom w:val="single" w:sz="4" w:space="0" w:color="auto"/>
              <w:right w:val="single" w:sz="4" w:space="0" w:color="auto"/>
            </w:tcBorders>
            <w:shd w:val="clear" w:color="auto" w:fill="FFFFFF" w:themeFill="background1"/>
            <w:noWrap/>
            <w:hideMark/>
          </w:tcPr>
          <w:p w14:paraId="45D5EC77" w14:textId="67B32D5B" w:rsidR="00F136A0" w:rsidRPr="0036007C" w:rsidRDefault="00F136A0" w:rsidP="00F76882">
            <w:pPr>
              <w:pStyle w:val="Tabletext"/>
              <w:rPr>
                <w:rFonts w:asciiTheme="minorHAnsi" w:hAnsiTheme="minorHAnsi" w:cstheme="minorHAnsi"/>
                <w:sz w:val="22"/>
                <w:szCs w:val="22"/>
              </w:rPr>
            </w:pPr>
            <w:r w:rsidRPr="0036007C">
              <w:t>8%</w:t>
            </w:r>
          </w:p>
        </w:tc>
        <w:tc>
          <w:tcPr>
            <w:tcW w:w="119" w:type="pct"/>
            <w:tcBorders>
              <w:top w:val="nil"/>
              <w:left w:val="nil"/>
              <w:bottom w:val="single" w:sz="4" w:space="0" w:color="auto"/>
              <w:right w:val="single" w:sz="4" w:space="0" w:color="auto"/>
            </w:tcBorders>
            <w:shd w:val="clear" w:color="auto" w:fill="FFFFFF" w:themeFill="background1"/>
            <w:noWrap/>
            <w:hideMark/>
          </w:tcPr>
          <w:p w14:paraId="3ADD7B7B" w14:textId="2C2B870D" w:rsidR="00F136A0" w:rsidRPr="0036007C" w:rsidRDefault="00F136A0" w:rsidP="00F76882">
            <w:pPr>
              <w:pStyle w:val="Tabletext"/>
              <w:rPr>
                <w:rFonts w:asciiTheme="minorHAnsi" w:hAnsiTheme="minorHAnsi" w:cstheme="minorHAnsi"/>
                <w:sz w:val="22"/>
                <w:szCs w:val="22"/>
              </w:rPr>
            </w:pPr>
            <w:r w:rsidRPr="0036007C">
              <w:t>11</w:t>
            </w:r>
          </w:p>
        </w:tc>
        <w:tc>
          <w:tcPr>
            <w:tcW w:w="287" w:type="pct"/>
            <w:tcBorders>
              <w:top w:val="nil"/>
              <w:left w:val="nil"/>
              <w:bottom w:val="single" w:sz="4" w:space="0" w:color="auto"/>
              <w:right w:val="single" w:sz="4" w:space="0" w:color="auto"/>
            </w:tcBorders>
            <w:shd w:val="clear" w:color="auto" w:fill="FFFFFF" w:themeFill="background1"/>
            <w:noWrap/>
            <w:hideMark/>
          </w:tcPr>
          <w:p w14:paraId="5DD6E6E3" w14:textId="2A4F503F" w:rsidR="00F136A0" w:rsidRPr="0036007C" w:rsidRDefault="00F136A0" w:rsidP="00F76882">
            <w:pPr>
              <w:pStyle w:val="Tabletext"/>
              <w:rPr>
                <w:rFonts w:asciiTheme="minorHAnsi" w:hAnsiTheme="minorHAnsi" w:cstheme="minorHAnsi"/>
                <w:sz w:val="22"/>
                <w:szCs w:val="22"/>
              </w:rPr>
            </w:pPr>
            <w:r w:rsidRPr="0036007C">
              <w:t>12%</w:t>
            </w:r>
          </w:p>
        </w:tc>
        <w:tc>
          <w:tcPr>
            <w:tcW w:w="119" w:type="pct"/>
            <w:tcBorders>
              <w:top w:val="nil"/>
              <w:left w:val="nil"/>
              <w:bottom w:val="single" w:sz="4" w:space="0" w:color="auto"/>
              <w:right w:val="single" w:sz="4" w:space="0" w:color="auto"/>
            </w:tcBorders>
            <w:shd w:val="clear" w:color="auto" w:fill="FFFFFF" w:themeFill="background1"/>
            <w:noWrap/>
            <w:hideMark/>
          </w:tcPr>
          <w:p w14:paraId="18647E11" w14:textId="35A4F97D" w:rsidR="00F136A0" w:rsidRPr="0036007C" w:rsidRDefault="00F136A0" w:rsidP="00F76882">
            <w:pPr>
              <w:pStyle w:val="Tabletext"/>
              <w:rPr>
                <w:rFonts w:asciiTheme="minorHAnsi" w:hAnsiTheme="minorHAnsi" w:cstheme="minorHAnsi"/>
                <w:sz w:val="22"/>
                <w:szCs w:val="22"/>
              </w:rPr>
            </w:pPr>
            <w:r w:rsidRPr="0036007C">
              <w:t>13</w:t>
            </w:r>
          </w:p>
        </w:tc>
        <w:tc>
          <w:tcPr>
            <w:tcW w:w="287" w:type="pct"/>
            <w:tcBorders>
              <w:top w:val="nil"/>
              <w:left w:val="nil"/>
              <w:bottom w:val="single" w:sz="4" w:space="0" w:color="auto"/>
              <w:right w:val="single" w:sz="4" w:space="0" w:color="auto"/>
            </w:tcBorders>
            <w:shd w:val="clear" w:color="auto" w:fill="FFFFFF" w:themeFill="background1"/>
            <w:noWrap/>
            <w:hideMark/>
          </w:tcPr>
          <w:p w14:paraId="6244FF5B" w14:textId="53F66E5B" w:rsidR="00F136A0" w:rsidRPr="0036007C" w:rsidRDefault="00F136A0" w:rsidP="00F76882">
            <w:pPr>
              <w:pStyle w:val="Tabletext"/>
              <w:rPr>
                <w:rFonts w:asciiTheme="minorHAnsi" w:hAnsiTheme="minorHAnsi" w:cstheme="minorHAnsi"/>
                <w:sz w:val="22"/>
                <w:szCs w:val="22"/>
              </w:rPr>
            </w:pPr>
            <w:r w:rsidRPr="0036007C">
              <w:t>16%</w:t>
            </w:r>
          </w:p>
        </w:tc>
        <w:tc>
          <w:tcPr>
            <w:tcW w:w="116" w:type="pct"/>
            <w:tcBorders>
              <w:top w:val="nil"/>
              <w:left w:val="nil"/>
              <w:bottom w:val="single" w:sz="4" w:space="0" w:color="auto"/>
              <w:right w:val="single" w:sz="4" w:space="0" w:color="auto"/>
            </w:tcBorders>
            <w:shd w:val="clear" w:color="auto" w:fill="FFFFFF" w:themeFill="background1"/>
            <w:noWrap/>
            <w:hideMark/>
          </w:tcPr>
          <w:p w14:paraId="0C053435" w14:textId="5255974B" w:rsidR="00F136A0" w:rsidRPr="0036007C" w:rsidRDefault="00F136A0" w:rsidP="00F76882">
            <w:pPr>
              <w:pStyle w:val="Tabletext"/>
              <w:rPr>
                <w:rFonts w:asciiTheme="minorHAnsi" w:hAnsiTheme="minorHAnsi" w:cstheme="minorHAnsi"/>
                <w:sz w:val="22"/>
                <w:szCs w:val="22"/>
              </w:rPr>
            </w:pPr>
            <w:r w:rsidRPr="0036007C">
              <w:t>9</w:t>
            </w:r>
          </w:p>
        </w:tc>
        <w:tc>
          <w:tcPr>
            <w:tcW w:w="287" w:type="pct"/>
            <w:tcBorders>
              <w:top w:val="nil"/>
              <w:left w:val="nil"/>
              <w:bottom w:val="single" w:sz="4" w:space="0" w:color="auto"/>
              <w:right w:val="single" w:sz="4" w:space="0" w:color="auto"/>
            </w:tcBorders>
            <w:shd w:val="clear" w:color="auto" w:fill="FFFFFF" w:themeFill="background1"/>
            <w:noWrap/>
            <w:hideMark/>
          </w:tcPr>
          <w:p w14:paraId="3EB0892E" w14:textId="03ACD5E5" w:rsidR="00F136A0" w:rsidRPr="0036007C" w:rsidRDefault="00F136A0" w:rsidP="00F76882">
            <w:pPr>
              <w:pStyle w:val="Tabletext"/>
              <w:rPr>
                <w:rFonts w:asciiTheme="minorHAnsi" w:hAnsiTheme="minorHAnsi" w:cstheme="minorHAnsi"/>
                <w:sz w:val="22"/>
                <w:szCs w:val="22"/>
              </w:rPr>
            </w:pPr>
            <w:r w:rsidRPr="0036007C">
              <w:t>11%</w:t>
            </w:r>
          </w:p>
        </w:tc>
        <w:tc>
          <w:tcPr>
            <w:tcW w:w="116" w:type="pct"/>
            <w:tcBorders>
              <w:top w:val="nil"/>
              <w:left w:val="nil"/>
              <w:bottom w:val="single" w:sz="4" w:space="0" w:color="auto"/>
              <w:right w:val="single" w:sz="4" w:space="0" w:color="auto"/>
            </w:tcBorders>
            <w:shd w:val="clear" w:color="auto" w:fill="FFFFFF" w:themeFill="background1"/>
            <w:noWrap/>
            <w:hideMark/>
          </w:tcPr>
          <w:p w14:paraId="158B7ED5" w14:textId="5BA7AFB9" w:rsidR="00F136A0" w:rsidRPr="0036007C" w:rsidRDefault="00F136A0" w:rsidP="00F76882">
            <w:pPr>
              <w:pStyle w:val="Tabletext"/>
              <w:rPr>
                <w:rFonts w:asciiTheme="minorHAnsi" w:hAnsiTheme="minorHAnsi" w:cstheme="minorHAnsi"/>
                <w:sz w:val="22"/>
                <w:szCs w:val="22"/>
              </w:rPr>
            </w:pPr>
            <w:r w:rsidRPr="0036007C">
              <w:t>4</w:t>
            </w:r>
          </w:p>
        </w:tc>
        <w:tc>
          <w:tcPr>
            <w:tcW w:w="287" w:type="pct"/>
            <w:tcBorders>
              <w:top w:val="nil"/>
              <w:left w:val="nil"/>
              <w:bottom w:val="single" w:sz="4" w:space="0" w:color="auto"/>
              <w:right w:val="single" w:sz="4" w:space="0" w:color="auto"/>
            </w:tcBorders>
            <w:shd w:val="clear" w:color="auto" w:fill="FFFFFF" w:themeFill="background1"/>
            <w:noWrap/>
            <w:hideMark/>
          </w:tcPr>
          <w:p w14:paraId="238D720B" w14:textId="56AC7BAA" w:rsidR="00F136A0" w:rsidRPr="0036007C" w:rsidRDefault="00F136A0" w:rsidP="00F76882">
            <w:pPr>
              <w:pStyle w:val="Tabletext"/>
              <w:rPr>
                <w:rFonts w:asciiTheme="minorHAnsi" w:hAnsiTheme="minorHAnsi" w:cstheme="minorHAnsi"/>
                <w:sz w:val="22"/>
                <w:szCs w:val="22"/>
              </w:rPr>
            </w:pPr>
            <w:r w:rsidRPr="0036007C">
              <w:t>6%</w:t>
            </w:r>
          </w:p>
        </w:tc>
        <w:tc>
          <w:tcPr>
            <w:tcW w:w="108" w:type="pct"/>
            <w:tcBorders>
              <w:top w:val="nil"/>
              <w:left w:val="nil"/>
              <w:bottom w:val="single" w:sz="4" w:space="0" w:color="auto"/>
              <w:right w:val="single" w:sz="4" w:space="0" w:color="auto"/>
            </w:tcBorders>
            <w:shd w:val="clear" w:color="auto" w:fill="FFFFFF" w:themeFill="background1"/>
          </w:tcPr>
          <w:p w14:paraId="3A557234" w14:textId="508985AB" w:rsidR="00F136A0" w:rsidRPr="0036007C" w:rsidRDefault="00F136A0" w:rsidP="00F76882">
            <w:pPr>
              <w:pStyle w:val="Tabletext"/>
              <w:rPr>
                <w:rFonts w:asciiTheme="minorHAnsi" w:hAnsiTheme="minorHAnsi" w:cstheme="minorHAnsi"/>
                <w:sz w:val="22"/>
                <w:szCs w:val="22"/>
              </w:rPr>
            </w:pPr>
            <w:r w:rsidRPr="0036007C">
              <w:t>5</w:t>
            </w:r>
          </w:p>
        </w:tc>
        <w:tc>
          <w:tcPr>
            <w:tcW w:w="287" w:type="pct"/>
            <w:tcBorders>
              <w:top w:val="nil"/>
              <w:left w:val="nil"/>
              <w:bottom w:val="single" w:sz="4" w:space="0" w:color="auto"/>
              <w:right w:val="single" w:sz="4" w:space="0" w:color="auto"/>
            </w:tcBorders>
            <w:shd w:val="clear" w:color="auto" w:fill="FFFFFF" w:themeFill="background1"/>
          </w:tcPr>
          <w:p w14:paraId="7BECBEB2" w14:textId="2E06BD20" w:rsidR="00F136A0" w:rsidRPr="0036007C" w:rsidRDefault="00F136A0" w:rsidP="00F76882">
            <w:pPr>
              <w:pStyle w:val="Tabletext"/>
              <w:rPr>
                <w:rFonts w:asciiTheme="minorHAnsi" w:hAnsiTheme="minorHAnsi" w:cstheme="minorHAnsi"/>
                <w:sz w:val="22"/>
                <w:szCs w:val="22"/>
              </w:rPr>
            </w:pPr>
            <w:r w:rsidRPr="0036007C">
              <w:t>6%</w:t>
            </w:r>
          </w:p>
        </w:tc>
      </w:tr>
      <w:tr w:rsidR="00F136A0" w:rsidRPr="0036007C" w14:paraId="4042379B" w14:textId="18DC96D5" w:rsidTr="00394190">
        <w:trPr>
          <w:trHeight w:val="510"/>
        </w:trPr>
        <w:tc>
          <w:tcPr>
            <w:tcW w:w="556" w:type="pct"/>
            <w:tcBorders>
              <w:top w:val="single" w:sz="4" w:space="0" w:color="auto"/>
              <w:left w:val="single" w:sz="4" w:space="0" w:color="auto"/>
              <w:bottom w:val="single" w:sz="4" w:space="0" w:color="auto"/>
              <w:right w:val="single" w:sz="4" w:space="0" w:color="auto"/>
            </w:tcBorders>
            <w:shd w:val="clear" w:color="auto" w:fill="BFBFBF"/>
            <w:noWrap/>
            <w:hideMark/>
          </w:tcPr>
          <w:p w14:paraId="7A1C3894" w14:textId="0B392F73" w:rsidR="00F136A0" w:rsidRPr="009C2F78" w:rsidRDefault="00F136A0" w:rsidP="00F76882">
            <w:pPr>
              <w:pStyle w:val="Tabletextleft"/>
            </w:pPr>
            <w:r w:rsidRPr="009C2F78">
              <w:t xml:space="preserve">&gt;0% </w:t>
            </w:r>
            <w:r w:rsidR="00CE761D" w:rsidRPr="009C2F78">
              <w:t xml:space="preserve">to </w:t>
            </w:r>
            <w:r w:rsidRPr="009C2F78">
              <w:t xml:space="preserve">&lt;5% </w:t>
            </w:r>
          </w:p>
        </w:tc>
        <w:tc>
          <w:tcPr>
            <w:tcW w:w="116" w:type="pct"/>
            <w:tcBorders>
              <w:top w:val="nil"/>
              <w:left w:val="nil"/>
              <w:bottom w:val="single" w:sz="4" w:space="0" w:color="auto"/>
              <w:right w:val="single" w:sz="4" w:space="0" w:color="auto"/>
            </w:tcBorders>
            <w:shd w:val="clear" w:color="auto" w:fill="BFBFBF"/>
            <w:noWrap/>
            <w:hideMark/>
          </w:tcPr>
          <w:p w14:paraId="27B36F91" w14:textId="2BA8A1A2" w:rsidR="00F136A0" w:rsidRPr="0036007C" w:rsidRDefault="00F136A0" w:rsidP="00F76882">
            <w:pPr>
              <w:pStyle w:val="Tabletext"/>
              <w:rPr>
                <w:rFonts w:asciiTheme="minorHAnsi" w:hAnsiTheme="minorHAnsi" w:cstheme="minorHAnsi"/>
                <w:sz w:val="22"/>
                <w:szCs w:val="22"/>
              </w:rPr>
            </w:pPr>
            <w:r w:rsidRPr="0036007C">
              <w:t>13</w:t>
            </w:r>
          </w:p>
        </w:tc>
        <w:tc>
          <w:tcPr>
            <w:tcW w:w="287" w:type="pct"/>
            <w:tcBorders>
              <w:top w:val="nil"/>
              <w:left w:val="nil"/>
              <w:bottom w:val="single" w:sz="4" w:space="0" w:color="auto"/>
              <w:right w:val="single" w:sz="4" w:space="0" w:color="auto"/>
            </w:tcBorders>
            <w:shd w:val="clear" w:color="auto" w:fill="BFBFBF"/>
            <w:noWrap/>
            <w:hideMark/>
          </w:tcPr>
          <w:p w14:paraId="29CBD370" w14:textId="5CC1C256" w:rsidR="00F136A0" w:rsidRPr="0036007C" w:rsidRDefault="00F136A0" w:rsidP="00F76882">
            <w:pPr>
              <w:pStyle w:val="Tabletext"/>
              <w:rPr>
                <w:rFonts w:asciiTheme="minorHAnsi" w:hAnsiTheme="minorHAnsi" w:cstheme="minorHAnsi"/>
                <w:sz w:val="22"/>
                <w:szCs w:val="22"/>
              </w:rPr>
            </w:pPr>
            <w:r w:rsidRPr="0036007C">
              <w:t>10%</w:t>
            </w:r>
          </w:p>
        </w:tc>
        <w:tc>
          <w:tcPr>
            <w:tcW w:w="116" w:type="pct"/>
            <w:tcBorders>
              <w:top w:val="nil"/>
              <w:left w:val="nil"/>
              <w:bottom w:val="single" w:sz="4" w:space="0" w:color="auto"/>
              <w:right w:val="single" w:sz="4" w:space="0" w:color="auto"/>
            </w:tcBorders>
            <w:shd w:val="clear" w:color="auto" w:fill="BFBFBF"/>
            <w:noWrap/>
            <w:hideMark/>
          </w:tcPr>
          <w:p w14:paraId="0B7B274A" w14:textId="67DDC3BE" w:rsidR="00F136A0" w:rsidRPr="0036007C" w:rsidRDefault="00F136A0" w:rsidP="00F76882">
            <w:pPr>
              <w:pStyle w:val="Tabletext"/>
              <w:rPr>
                <w:rFonts w:asciiTheme="minorHAnsi" w:hAnsiTheme="minorHAnsi" w:cstheme="minorHAnsi"/>
                <w:sz w:val="22"/>
                <w:szCs w:val="22"/>
              </w:rPr>
            </w:pPr>
            <w:r w:rsidRPr="0036007C">
              <w:t>8</w:t>
            </w:r>
          </w:p>
        </w:tc>
        <w:tc>
          <w:tcPr>
            <w:tcW w:w="287" w:type="pct"/>
            <w:tcBorders>
              <w:top w:val="nil"/>
              <w:left w:val="nil"/>
              <w:bottom w:val="single" w:sz="4" w:space="0" w:color="auto"/>
              <w:right w:val="single" w:sz="4" w:space="0" w:color="auto"/>
            </w:tcBorders>
            <w:shd w:val="clear" w:color="auto" w:fill="BFBFBF"/>
            <w:noWrap/>
            <w:hideMark/>
          </w:tcPr>
          <w:p w14:paraId="0E9EECD2" w14:textId="60438001" w:rsidR="00F136A0" w:rsidRPr="0036007C" w:rsidRDefault="00F136A0" w:rsidP="00F76882">
            <w:pPr>
              <w:pStyle w:val="Tabletext"/>
              <w:rPr>
                <w:rFonts w:asciiTheme="minorHAnsi" w:hAnsiTheme="minorHAnsi" w:cstheme="minorHAnsi"/>
                <w:sz w:val="22"/>
                <w:szCs w:val="22"/>
              </w:rPr>
            </w:pPr>
            <w:r w:rsidRPr="0036007C">
              <w:t>11%</w:t>
            </w:r>
          </w:p>
        </w:tc>
        <w:tc>
          <w:tcPr>
            <w:tcW w:w="116" w:type="pct"/>
            <w:tcBorders>
              <w:top w:val="nil"/>
              <w:left w:val="nil"/>
              <w:bottom w:val="single" w:sz="4" w:space="0" w:color="auto"/>
              <w:right w:val="single" w:sz="4" w:space="0" w:color="auto"/>
            </w:tcBorders>
            <w:shd w:val="clear" w:color="auto" w:fill="BFBFBF"/>
            <w:noWrap/>
            <w:hideMark/>
          </w:tcPr>
          <w:p w14:paraId="01EFEAD7" w14:textId="4AAB75C4" w:rsidR="00F136A0" w:rsidRPr="0036007C" w:rsidRDefault="00F136A0" w:rsidP="00F76882">
            <w:pPr>
              <w:pStyle w:val="Tabletext"/>
              <w:rPr>
                <w:rFonts w:asciiTheme="minorHAnsi" w:hAnsiTheme="minorHAnsi" w:cstheme="minorHAnsi"/>
                <w:sz w:val="22"/>
                <w:szCs w:val="22"/>
              </w:rPr>
            </w:pPr>
            <w:r w:rsidRPr="0036007C">
              <w:t>18</w:t>
            </w:r>
          </w:p>
        </w:tc>
        <w:tc>
          <w:tcPr>
            <w:tcW w:w="287" w:type="pct"/>
            <w:tcBorders>
              <w:top w:val="nil"/>
              <w:left w:val="nil"/>
              <w:bottom w:val="single" w:sz="4" w:space="0" w:color="auto"/>
              <w:right w:val="single" w:sz="4" w:space="0" w:color="auto"/>
            </w:tcBorders>
            <w:shd w:val="clear" w:color="auto" w:fill="BFBFBF"/>
            <w:noWrap/>
            <w:hideMark/>
          </w:tcPr>
          <w:p w14:paraId="6C10F692" w14:textId="3D7C5972" w:rsidR="00F136A0" w:rsidRPr="0036007C" w:rsidRDefault="00F136A0" w:rsidP="00F76882">
            <w:pPr>
              <w:pStyle w:val="Tabletext"/>
              <w:rPr>
                <w:rFonts w:asciiTheme="minorHAnsi" w:hAnsiTheme="minorHAnsi" w:cstheme="minorHAnsi"/>
                <w:sz w:val="22"/>
                <w:szCs w:val="22"/>
              </w:rPr>
            </w:pPr>
            <w:r w:rsidRPr="0036007C">
              <w:t>17%</w:t>
            </w:r>
          </w:p>
        </w:tc>
        <w:tc>
          <w:tcPr>
            <w:tcW w:w="119" w:type="pct"/>
            <w:tcBorders>
              <w:top w:val="nil"/>
              <w:left w:val="nil"/>
              <w:bottom w:val="single" w:sz="4" w:space="0" w:color="auto"/>
              <w:right w:val="single" w:sz="4" w:space="0" w:color="auto"/>
            </w:tcBorders>
            <w:shd w:val="clear" w:color="auto" w:fill="BFBFBF"/>
            <w:noWrap/>
            <w:hideMark/>
          </w:tcPr>
          <w:p w14:paraId="61D02F48" w14:textId="2E3C535E" w:rsidR="00F136A0" w:rsidRPr="00A33DD2" w:rsidRDefault="00F136A0" w:rsidP="00F76882">
            <w:r w:rsidRPr="00A33DD2">
              <w:t>17</w:t>
            </w:r>
          </w:p>
        </w:tc>
        <w:tc>
          <w:tcPr>
            <w:tcW w:w="287" w:type="pct"/>
            <w:tcBorders>
              <w:top w:val="nil"/>
              <w:left w:val="nil"/>
              <w:bottom w:val="single" w:sz="4" w:space="0" w:color="auto"/>
              <w:right w:val="single" w:sz="4" w:space="0" w:color="auto"/>
            </w:tcBorders>
            <w:shd w:val="clear" w:color="auto" w:fill="BFBFBF"/>
            <w:noWrap/>
            <w:hideMark/>
          </w:tcPr>
          <w:p w14:paraId="0AB2D1D3" w14:textId="33FA9D89" w:rsidR="00F136A0" w:rsidRPr="00A33DD2" w:rsidRDefault="00F136A0" w:rsidP="00F76882">
            <w:r w:rsidRPr="00A33DD2">
              <w:t>20%</w:t>
            </w:r>
          </w:p>
        </w:tc>
        <w:tc>
          <w:tcPr>
            <w:tcW w:w="119" w:type="pct"/>
            <w:tcBorders>
              <w:top w:val="nil"/>
              <w:left w:val="nil"/>
              <w:bottom w:val="single" w:sz="4" w:space="0" w:color="auto"/>
              <w:right w:val="single" w:sz="4" w:space="0" w:color="auto"/>
            </w:tcBorders>
            <w:shd w:val="clear" w:color="auto" w:fill="BFBFBF"/>
            <w:noWrap/>
            <w:hideMark/>
          </w:tcPr>
          <w:p w14:paraId="09283803" w14:textId="6C956CC3" w:rsidR="00F136A0" w:rsidRPr="0036007C" w:rsidRDefault="00F136A0" w:rsidP="00F76882">
            <w:pPr>
              <w:pStyle w:val="Tabletext"/>
              <w:rPr>
                <w:rFonts w:asciiTheme="minorHAnsi" w:hAnsiTheme="minorHAnsi" w:cstheme="minorHAnsi"/>
                <w:sz w:val="22"/>
                <w:szCs w:val="22"/>
              </w:rPr>
            </w:pPr>
            <w:r w:rsidRPr="0036007C">
              <w:t>15</w:t>
            </w:r>
          </w:p>
        </w:tc>
        <w:tc>
          <w:tcPr>
            <w:tcW w:w="287" w:type="pct"/>
            <w:tcBorders>
              <w:top w:val="nil"/>
              <w:left w:val="nil"/>
              <w:bottom w:val="single" w:sz="4" w:space="0" w:color="auto"/>
              <w:right w:val="single" w:sz="4" w:space="0" w:color="auto"/>
            </w:tcBorders>
            <w:shd w:val="clear" w:color="auto" w:fill="BFBFBF"/>
            <w:noWrap/>
            <w:hideMark/>
          </w:tcPr>
          <w:p w14:paraId="66F992F2" w14:textId="623CAC16" w:rsidR="00F136A0" w:rsidRPr="0036007C" w:rsidRDefault="00F136A0" w:rsidP="00F76882">
            <w:pPr>
              <w:pStyle w:val="Tabletext"/>
              <w:rPr>
                <w:rFonts w:asciiTheme="minorHAnsi" w:hAnsiTheme="minorHAnsi" w:cstheme="minorHAnsi"/>
                <w:sz w:val="22"/>
                <w:szCs w:val="22"/>
              </w:rPr>
            </w:pPr>
            <w:r w:rsidRPr="0036007C">
              <w:t>16%</w:t>
            </w:r>
          </w:p>
        </w:tc>
        <w:tc>
          <w:tcPr>
            <w:tcW w:w="119" w:type="pct"/>
            <w:tcBorders>
              <w:top w:val="nil"/>
              <w:left w:val="nil"/>
              <w:bottom w:val="single" w:sz="4" w:space="0" w:color="auto"/>
              <w:right w:val="single" w:sz="4" w:space="0" w:color="auto"/>
            </w:tcBorders>
            <w:shd w:val="clear" w:color="auto" w:fill="BFBFBF"/>
            <w:noWrap/>
            <w:hideMark/>
          </w:tcPr>
          <w:p w14:paraId="0F872F2D" w14:textId="18354263" w:rsidR="00F136A0" w:rsidRPr="0036007C" w:rsidRDefault="00F136A0" w:rsidP="00F76882">
            <w:pPr>
              <w:pStyle w:val="Tabletext"/>
              <w:rPr>
                <w:rFonts w:asciiTheme="minorHAnsi" w:hAnsiTheme="minorHAnsi" w:cstheme="minorHAnsi"/>
                <w:sz w:val="22"/>
                <w:szCs w:val="22"/>
              </w:rPr>
            </w:pPr>
            <w:r w:rsidRPr="0036007C">
              <w:t>8</w:t>
            </w:r>
          </w:p>
        </w:tc>
        <w:tc>
          <w:tcPr>
            <w:tcW w:w="287" w:type="pct"/>
            <w:tcBorders>
              <w:top w:val="nil"/>
              <w:left w:val="nil"/>
              <w:bottom w:val="single" w:sz="4" w:space="0" w:color="auto"/>
              <w:right w:val="single" w:sz="4" w:space="0" w:color="auto"/>
            </w:tcBorders>
            <w:shd w:val="clear" w:color="auto" w:fill="BFBFBF"/>
            <w:noWrap/>
            <w:hideMark/>
          </w:tcPr>
          <w:p w14:paraId="50297BFB" w14:textId="1DE521DE" w:rsidR="00F136A0" w:rsidRPr="0036007C" w:rsidRDefault="00F136A0" w:rsidP="00F76882">
            <w:pPr>
              <w:pStyle w:val="Tabletext"/>
              <w:rPr>
                <w:rFonts w:asciiTheme="minorHAnsi" w:hAnsiTheme="minorHAnsi" w:cstheme="minorHAnsi"/>
                <w:sz w:val="22"/>
                <w:szCs w:val="22"/>
              </w:rPr>
            </w:pPr>
            <w:r w:rsidRPr="0036007C">
              <w:t>7%</w:t>
            </w:r>
          </w:p>
        </w:tc>
        <w:tc>
          <w:tcPr>
            <w:tcW w:w="119" w:type="pct"/>
            <w:tcBorders>
              <w:top w:val="nil"/>
              <w:left w:val="nil"/>
              <w:bottom w:val="single" w:sz="4" w:space="0" w:color="auto"/>
              <w:right w:val="single" w:sz="4" w:space="0" w:color="auto"/>
            </w:tcBorders>
            <w:shd w:val="clear" w:color="auto" w:fill="BFBFBF"/>
            <w:noWrap/>
            <w:hideMark/>
          </w:tcPr>
          <w:p w14:paraId="62863395" w14:textId="13A40714" w:rsidR="00F136A0" w:rsidRPr="0036007C" w:rsidRDefault="00F136A0" w:rsidP="00F76882">
            <w:pPr>
              <w:pStyle w:val="Tabletext"/>
              <w:rPr>
                <w:rFonts w:asciiTheme="minorHAnsi" w:hAnsiTheme="minorHAnsi" w:cstheme="minorHAnsi"/>
                <w:sz w:val="22"/>
                <w:szCs w:val="22"/>
              </w:rPr>
            </w:pPr>
            <w:r w:rsidRPr="0036007C">
              <w:t>12</w:t>
            </w:r>
          </w:p>
        </w:tc>
        <w:tc>
          <w:tcPr>
            <w:tcW w:w="287" w:type="pct"/>
            <w:tcBorders>
              <w:top w:val="nil"/>
              <w:left w:val="nil"/>
              <w:bottom w:val="single" w:sz="4" w:space="0" w:color="auto"/>
              <w:right w:val="single" w:sz="4" w:space="0" w:color="auto"/>
            </w:tcBorders>
            <w:shd w:val="clear" w:color="auto" w:fill="BFBFBF"/>
            <w:noWrap/>
            <w:hideMark/>
          </w:tcPr>
          <w:p w14:paraId="5175CE71" w14:textId="02EFABAE" w:rsidR="00F136A0" w:rsidRPr="0036007C" w:rsidRDefault="00F136A0" w:rsidP="00F76882">
            <w:pPr>
              <w:pStyle w:val="Tabletext"/>
              <w:rPr>
                <w:rFonts w:asciiTheme="minorHAnsi" w:hAnsiTheme="minorHAnsi" w:cstheme="minorHAnsi"/>
                <w:sz w:val="22"/>
                <w:szCs w:val="22"/>
              </w:rPr>
            </w:pPr>
            <w:r w:rsidRPr="0036007C">
              <w:t>13%</w:t>
            </w:r>
          </w:p>
        </w:tc>
        <w:tc>
          <w:tcPr>
            <w:tcW w:w="119" w:type="pct"/>
            <w:tcBorders>
              <w:top w:val="nil"/>
              <w:left w:val="nil"/>
              <w:bottom w:val="single" w:sz="4" w:space="0" w:color="auto"/>
              <w:right w:val="single" w:sz="4" w:space="0" w:color="auto"/>
            </w:tcBorders>
            <w:shd w:val="clear" w:color="auto" w:fill="BFBFBF"/>
            <w:noWrap/>
            <w:hideMark/>
          </w:tcPr>
          <w:p w14:paraId="2F7DB3CC" w14:textId="0FF04CE3" w:rsidR="00F136A0" w:rsidRPr="0036007C" w:rsidRDefault="00F136A0" w:rsidP="00F76882">
            <w:pPr>
              <w:pStyle w:val="Tabletext"/>
              <w:rPr>
                <w:rFonts w:asciiTheme="minorHAnsi" w:hAnsiTheme="minorHAnsi" w:cstheme="minorHAnsi"/>
                <w:sz w:val="22"/>
                <w:szCs w:val="22"/>
              </w:rPr>
            </w:pPr>
            <w:r w:rsidRPr="0036007C">
              <w:t>13</w:t>
            </w:r>
          </w:p>
        </w:tc>
        <w:tc>
          <w:tcPr>
            <w:tcW w:w="287" w:type="pct"/>
            <w:tcBorders>
              <w:top w:val="nil"/>
              <w:left w:val="nil"/>
              <w:bottom w:val="single" w:sz="4" w:space="0" w:color="auto"/>
              <w:right w:val="single" w:sz="4" w:space="0" w:color="auto"/>
            </w:tcBorders>
            <w:shd w:val="clear" w:color="auto" w:fill="BFBFBF"/>
            <w:noWrap/>
            <w:hideMark/>
          </w:tcPr>
          <w:p w14:paraId="04675E6C" w14:textId="0D375267" w:rsidR="00F136A0" w:rsidRPr="0036007C" w:rsidRDefault="00F136A0" w:rsidP="00F76882">
            <w:pPr>
              <w:pStyle w:val="Tabletext"/>
              <w:rPr>
                <w:rFonts w:asciiTheme="minorHAnsi" w:hAnsiTheme="minorHAnsi" w:cstheme="minorHAnsi"/>
                <w:sz w:val="22"/>
                <w:szCs w:val="22"/>
              </w:rPr>
            </w:pPr>
            <w:r w:rsidRPr="0036007C">
              <w:t>16%</w:t>
            </w:r>
          </w:p>
        </w:tc>
        <w:tc>
          <w:tcPr>
            <w:tcW w:w="116" w:type="pct"/>
            <w:tcBorders>
              <w:top w:val="nil"/>
              <w:left w:val="nil"/>
              <w:bottom w:val="single" w:sz="4" w:space="0" w:color="auto"/>
              <w:right w:val="single" w:sz="4" w:space="0" w:color="auto"/>
            </w:tcBorders>
            <w:shd w:val="clear" w:color="auto" w:fill="BFBFBF"/>
            <w:noWrap/>
            <w:hideMark/>
          </w:tcPr>
          <w:p w14:paraId="0C9E0963" w14:textId="08C2EF7A" w:rsidR="00F136A0" w:rsidRPr="0036007C" w:rsidRDefault="00F136A0" w:rsidP="00F76882">
            <w:pPr>
              <w:pStyle w:val="Tabletext"/>
              <w:rPr>
                <w:rFonts w:asciiTheme="minorHAnsi" w:hAnsiTheme="minorHAnsi" w:cstheme="minorHAnsi"/>
                <w:sz w:val="22"/>
                <w:szCs w:val="22"/>
              </w:rPr>
            </w:pPr>
            <w:r w:rsidRPr="0036007C">
              <w:t>4</w:t>
            </w:r>
          </w:p>
        </w:tc>
        <w:tc>
          <w:tcPr>
            <w:tcW w:w="287" w:type="pct"/>
            <w:tcBorders>
              <w:top w:val="nil"/>
              <w:left w:val="nil"/>
              <w:bottom w:val="single" w:sz="4" w:space="0" w:color="auto"/>
              <w:right w:val="single" w:sz="4" w:space="0" w:color="auto"/>
            </w:tcBorders>
            <w:shd w:val="clear" w:color="auto" w:fill="BFBFBF"/>
            <w:noWrap/>
            <w:hideMark/>
          </w:tcPr>
          <w:p w14:paraId="25DADEA1" w14:textId="2C5D0C34" w:rsidR="00F136A0" w:rsidRPr="0036007C" w:rsidRDefault="00F136A0" w:rsidP="00F76882">
            <w:pPr>
              <w:pStyle w:val="Tabletext"/>
              <w:rPr>
                <w:rFonts w:asciiTheme="minorHAnsi" w:hAnsiTheme="minorHAnsi" w:cstheme="minorHAnsi"/>
                <w:sz w:val="22"/>
                <w:szCs w:val="22"/>
              </w:rPr>
            </w:pPr>
            <w:r w:rsidRPr="0036007C">
              <w:t>5%</w:t>
            </w:r>
          </w:p>
        </w:tc>
        <w:tc>
          <w:tcPr>
            <w:tcW w:w="116" w:type="pct"/>
            <w:tcBorders>
              <w:top w:val="nil"/>
              <w:left w:val="nil"/>
              <w:bottom w:val="single" w:sz="4" w:space="0" w:color="auto"/>
              <w:right w:val="single" w:sz="4" w:space="0" w:color="auto"/>
            </w:tcBorders>
            <w:shd w:val="clear" w:color="auto" w:fill="BFBFBF"/>
            <w:noWrap/>
            <w:hideMark/>
          </w:tcPr>
          <w:p w14:paraId="589B7AC9" w14:textId="7B3E8ADF" w:rsidR="00F136A0" w:rsidRPr="0036007C" w:rsidRDefault="00F136A0" w:rsidP="00F76882">
            <w:pPr>
              <w:pStyle w:val="Tabletext"/>
              <w:rPr>
                <w:rFonts w:asciiTheme="minorHAnsi" w:hAnsiTheme="minorHAnsi" w:cstheme="minorHAnsi"/>
                <w:sz w:val="22"/>
                <w:szCs w:val="22"/>
              </w:rPr>
            </w:pPr>
            <w:r w:rsidRPr="0036007C">
              <w:t>2</w:t>
            </w:r>
          </w:p>
        </w:tc>
        <w:tc>
          <w:tcPr>
            <w:tcW w:w="287" w:type="pct"/>
            <w:tcBorders>
              <w:top w:val="nil"/>
              <w:left w:val="nil"/>
              <w:bottom w:val="single" w:sz="4" w:space="0" w:color="auto"/>
              <w:right w:val="single" w:sz="4" w:space="0" w:color="auto"/>
            </w:tcBorders>
            <w:shd w:val="clear" w:color="auto" w:fill="BFBFBF"/>
            <w:noWrap/>
            <w:hideMark/>
          </w:tcPr>
          <w:p w14:paraId="5FC268FA" w14:textId="44C7A90A" w:rsidR="00F136A0" w:rsidRPr="0036007C" w:rsidRDefault="00F136A0" w:rsidP="00F76882">
            <w:pPr>
              <w:pStyle w:val="Tabletext"/>
              <w:rPr>
                <w:rFonts w:asciiTheme="minorHAnsi" w:hAnsiTheme="minorHAnsi" w:cstheme="minorHAnsi"/>
                <w:sz w:val="22"/>
                <w:szCs w:val="22"/>
              </w:rPr>
            </w:pPr>
            <w:r w:rsidRPr="0036007C">
              <w:t>3%</w:t>
            </w:r>
          </w:p>
        </w:tc>
        <w:tc>
          <w:tcPr>
            <w:tcW w:w="108" w:type="pct"/>
            <w:tcBorders>
              <w:top w:val="nil"/>
              <w:left w:val="nil"/>
              <w:bottom w:val="single" w:sz="4" w:space="0" w:color="auto"/>
              <w:right w:val="single" w:sz="4" w:space="0" w:color="auto"/>
            </w:tcBorders>
            <w:shd w:val="clear" w:color="auto" w:fill="BFBFBF"/>
          </w:tcPr>
          <w:p w14:paraId="276F2344" w14:textId="11DD0512" w:rsidR="00F136A0" w:rsidRPr="0036007C" w:rsidRDefault="00F136A0" w:rsidP="00F76882">
            <w:pPr>
              <w:pStyle w:val="Tabletext"/>
              <w:rPr>
                <w:rFonts w:asciiTheme="minorHAnsi" w:hAnsiTheme="minorHAnsi" w:cstheme="minorHAnsi"/>
                <w:sz w:val="22"/>
                <w:szCs w:val="22"/>
              </w:rPr>
            </w:pPr>
            <w:r w:rsidRPr="0036007C">
              <w:t>7</w:t>
            </w:r>
          </w:p>
        </w:tc>
        <w:tc>
          <w:tcPr>
            <w:tcW w:w="287" w:type="pct"/>
            <w:tcBorders>
              <w:top w:val="nil"/>
              <w:left w:val="nil"/>
              <w:bottom w:val="single" w:sz="4" w:space="0" w:color="auto"/>
              <w:right w:val="single" w:sz="4" w:space="0" w:color="auto"/>
            </w:tcBorders>
            <w:shd w:val="clear" w:color="auto" w:fill="BFBFBF"/>
          </w:tcPr>
          <w:p w14:paraId="6193343B" w14:textId="267C4C35" w:rsidR="00F136A0" w:rsidRPr="0036007C" w:rsidRDefault="00F136A0" w:rsidP="00F76882">
            <w:pPr>
              <w:pStyle w:val="Tabletext"/>
              <w:rPr>
                <w:rFonts w:asciiTheme="minorHAnsi" w:hAnsiTheme="minorHAnsi" w:cstheme="minorHAnsi"/>
                <w:sz w:val="22"/>
                <w:szCs w:val="22"/>
              </w:rPr>
            </w:pPr>
            <w:r w:rsidRPr="0036007C">
              <w:t>8%</w:t>
            </w:r>
          </w:p>
        </w:tc>
      </w:tr>
      <w:tr w:rsidR="00F136A0" w:rsidRPr="0036007C" w14:paraId="21B3B113" w14:textId="3E1AA324" w:rsidTr="00394190">
        <w:trPr>
          <w:trHeight w:val="510"/>
        </w:trPr>
        <w:tc>
          <w:tcPr>
            <w:tcW w:w="55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5C07A8" w14:textId="77777777" w:rsidR="00F136A0" w:rsidRPr="009C2F78" w:rsidRDefault="00F136A0" w:rsidP="00F76882">
            <w:pPr>
              <w:pStyle w:val="Tabletextleft"/>
            </w:pPr>
            <w:r w:rsidRPr="009C2F78">
              <w:t>0%</w:t>
            </w:r>
          </w:p>
        </w:tc>
        <w:tc>
          <w:tcPr>
            <w:tcW w:w="116" w:type="pct"/>
            <w:tcBorders>
              <w:top w:val="nil"/>
              <w:left w:val="nil"/>
              <w:bottom w:val="single" w:sz="4" w:space="0" w:color="auto"/>
              <w:right w:val="single" w:sz="4" w:space="0" w:color="auto"/>
            </w:tcBorders>
            <w:shd w:val="clear" w:color="auto" w:fill="FFFFFF" w:themeFill="background1"/>
            <w:noWrap/>
            <w:hideMark/>
          </w:tcPr>
          <w:p w14:paraId="309E8369" w14:textId="31EAB526" w:rsidR="00F136A0" w:rsidRPr="0036007C" w:rsidRDefault="00F136A0" w:rsidP="00F76882">
            <w:pPr>
              <w:pStyle w:val="Tabletext"/>
              <w:rPr>
                <w:rFonts w:asciiTheme="minorHAnsi" w:hAnsiTheme="minorHAnsi" w:cstheme="minorHAnsi"/>
                <w:sz w:val="22"/>
                <w:szCs w:val="22"/>
              </w:rPr>
            </w:pPr>
            <w:r w:rsidRPr="0036007C">
              <w:t>88</w:t>
            </w:r>
          </w:p>
        </w:tc>
        <w:tc>
          <w:tcPr>
            <w:tcW w:w="287" w:type="pct"/>
            <w:tcBorders>
              <w:top w:val="nil"/>
              <w:left w:val="nil"/>
              <w:bottom w:val="single" w:sz="4" w:space="0" w:color="auto"/>
              <w:right w:val="single" w:sz="4" w:space="0" w:color="auto"/>
            </w:tcBorders>
            <w:shd w:val="clear" w:color="auto" w:fill="FFFFFF" w:themeFill="background1"/>
            <w:noWrap/>
            <w:hideMark/>
          </w:tcPr>
          <w:p w14:paraId="4C2422A5" w14:textId="351F8B1B" w:rsidR="00F136A0" w:rsidRPr="0036007C" w:rsidRDefault="00F136A0" w:rsidP="00F76882">
            <w:pPr>
              <w:pStyle w:val="Tabletext"/>
              <w:rPr>
                <w:rFonts w:asciiTheme="minorHAnsi" w:hAnsiTheme="minorHAnsi" w:cstheme="minorHAnsi"/>
                <w:sz w:val="22"/>
                <w:szCs w:val="22"/>
              </w:rPr>
            </w:pPr>
            <w:r w:rsidRPr="0036007C">
              <w:t>66%</w:t>
            </w:r>
          </w:p>
        </w:tc>
        <w:tc>
          <w:tcPr>
            <w:tcW w:w="116" w:type="pct"/>
            <w:tcBorders>
              <w:top w:val="nil"/>
              <w:left w:val="nil"/>
              <w:bottom w:val="single" w:sz="4" w:space="0" w:color="auto"/>
              <w:right w:val="single" w:sz="4" w:space="0" w:color="auto"/>
            </w:tcBorders>
            <w:shd w:val="clear" w:color="auto" w:fill="FFFFFF" w:themeFill="background1"/>
            <w:noWrap/>
            <w:hideMark/>
          </w:tcPr>
          <w:p w14:paraId="2151E311" w14:textId="26062D5A" w:rsidR="00F136A0" w:rsidRPr="0036007C" w:rsidRDefault="00F136A0" w:rsidP="00F76882">
            <w:pPr>
              <w:pStyle w:val="Tabletext"/>
              <w:rPr>
                <w:rFonts w:asciiTheme="minorHAnsi" w:hAnsiTheme="minorHAnsi" w:cstheme="minorHAnsi"/>
                <w:sz w:val="22"/>
                <w:szCs w:val="22"/>
              </w:rPr>
            </w:pPr>
            <w:r w:rsidRPr="0036007C">
              <w:t>41</w:t>
            </w:r>
          </w:p>
        </w:tc>
        <w:tc>
          <w:tcPr>
            <w:tcW w:w="287" w:type="pct"/>
            <w:tcBorders>
              <w:top w:val="nil"/>
              <w:left w:val="nil"/>
              <w:bottom w:val="single" w:sz="4" w:space="0" w:color="auto"/>
              <w:right w:val="single" w:sz="4" w:space="0" w:color="auto"/>
            </w:tcBorders>
            <w:shd w:val="clear" w:color="auto" w:fill="FFFFFF" w:themeFill="background1"/>
            <w:noWrap/>
            <w:hideMark/>
          </w:tcPr>
          <w:p w14:paraId="5D80D5D2" w14:textId="546D0749" w:rsidR="00F136A0" w:rsidRPr="0036007C" w:rsidRDefault="00F136A0" w:rsidP="00F76882">
            <w:pPr>
              <w:pStyle w:val="Tabletext"/>
              <w:rPr>
                <w:rFonts w:asciiTheme="minorHAnsi" w:hAnsiTheme="minorHAnsi" w:cstheme="minorHAnsi"/>
                <w:sz w:val="22"/>
                <w:szCs w:val="22"/>
              </w:rPr>
            </w:pPr>
            <w:r w:rsidRPr="0036007C">
              <w:t>54%</w:t>
            </w:r>
          </w:p>
        </w:tc>
        <w:tc>
          <w:tcPr>
            <w:tcW w:w="116" w:type="pct"/>
            <w:tcBorders>
              <w:top w:val="nil"/>
              <w:left w:val="nil"/>
              <w:bottom w:val="single" w:sz="4" w:space="0" w:color="auto"/>
              <w:right w:val="single" w:sz="4" w:space="0" w:color="auto"/>
            </w:tcBorders>
            <w:shd w:val="clear" w:color="auto" w:fill="FFFFFF" w:themeFill="background1"/>
            <w:noWrap/>
            <w:hideMark/>
          </w:tcPr>
          <w:p w14:paraId="3297C08B" w14:textId="7ABA2504" w:rsidR="00F136A0" w:rsidRPr="0036007C" w:rsidRDefault="00F136A0" w:rsidP="00F76882">
            <w:pPr>
              <w:pStyle w:val="Tabletext"/>
              <w:rPr>
                <w:rFonts w:asciiTheme="minorHAnsi" w:hAnsiTheme="minorHAnsi" w:cstheme="minorHAnsi"/>
                <w:sz w:val="22"/>
                <w:szCs w:val="22"/>
              </w:rPr>
            </w:pPr>
            <w:r w:rsidRPr="0036007C">
              <w:t>50</w:t>
            </w:r>
          </w:p>
        </w:tc>
        <w:tc>
          <w:tcPr>
            <w:tcW w:w="287" w:type="pct"/>
            <w:tcBorders>
              <w:top w:val="nil"/>
              <w:left w:val="nil"/>
              <w:bottom w:val="single" w:sz="4" w:space="0" w:color="auto"/>
              <w:right w:val="single" w:sz="4" w:space="0" w:color="auto"/>
            </w:tcBorders>
            <w:shd w:val="clear" w:color="auto" w:fill="FFFFFF" w:themeFill="background1"/>
            <w:noWrap/>
            <w:hideMark/>
          </w:tcPr>
          <w:p w14:paraId="02C25384" w14:textId="54D5085A" w:rsidR="00F136A0" w:rsidRPr="0036007C" w:rsidRDefault="00F136A0" w:rsidP="00F76882">
            <w:pPr>
              <w:pStyle w:val="Tabletext"/>
              <w:rPr>
                <w:rFonts w:asciiTheme="minorHAnsi" w:hAnsiTheme="minorHAnsi" w:cstheme="minorHAnsi"/>
                <w:sz w:val="22"/>
                <w:szCs w:val="22"/>
              </w:rPr>
            </w:pPr>
            <w:r w:rsidRPr="0036007C">
              <w:t>46%</w:t>
            </w:r>
          </w:p>
        </w:tc>
        <w:tc>
          <w:tcPr>
            <w:tcW w:w="119" w:type="pct"/>
            <w:tcBorders>
              <w:top w:val="nil"/>
              <w:left w:val="nil"/>
              <w:bottom w:val="single" w:sz="4" w:space="0" w:color="auto"/>
              <w:right w:val="single" w:sz="4" w:space="0" w:color="auto"/>
            </w:tcBorders>
            <w:shd w:val="clear" w:color="auto" w:fill="FFFFFF" w:themeFill="background1"/>
            <w:noWrap/>
            <w:hideMark/>
          </w:tcPr>
          <w:p w14:paraId="740A9936" w14:textId="627E3E2C" w:rsidR="00F136A0" w:rsidRPr="00A33DD2" w:rsidRDefault="00F136A0" w:rsidP="00F76882">
            <w:r w:rsidRPr="00A33DD2">
              <w:t>35</w:t>
            </w:r>
          </w:p>
        </w:tc>
        <w:tc>
          <w:tcPr>
            <w:tcW w:w="287" w:type="pct"/>
            <w:tcBorders>
              <w:top w:val="nil"/>
              <w:left w:val="nil"/>
              <w:bottom w:val="single" w:sz="4" w:space="0" w:color="auto"/>
              <w:right w:val="single" w:sz="4" w:space="0" w:color="auto"/>
            </w:tcBorders>
            <w:shd w:val="clear" w:color="auto" w:fill="FFFFFF" w:themeFill="background1"/>
            <w:noWrap/>
            <w:hideMark/>
          </w:tcPr>
          <w:p w14:paraId="55A4978B" w14:textId="1FC7613D" w:rsidR="00F136A0" w:rsidRPr="00A33DD2" w:rsidRDefault="00F136A0" w:rsidP="00F76882">
            <w:r w:rsidRPr="00A33DD2">
              <w:t>41%</w:t>
            </w:r>
          </w:p>
        </w:tc>
        <w:tc>
          <w:tcPr>
            <w:tcW w:w="119" w:type="pct"/>
            <w:tcBorders>
              <w:top w:val="nil"/>
              <w:left w:val="nil"/>
              <w:bottom w:val="single" w:sz="4" w:space="0" w:color="auto"/>
              <w:right w:val="single" w:sz="4" w:space="0" w:color="auto"/>
            </w:tcBorders>
            <w:shd w:val="clear" w:color="auto" w:fill="FFFFFF" w:themeFill="background1"/>
            <w:noWrap/>
            <w:hideMark/>
          </w:tcPr>
          <w:p w14:paraId="265681B2" w14:textId="5E19F2DF" w:rsidR="00F136A0" w:rsidRPr="0036007C" w:rsidRDefault="00F136A0" w:rsidP="00F76882">
            <w:pPr>
              <w:pStyle w:val="Tabletext"/>
              <w:rPr>
                <w:rFonts w:asciiTheme="minorHAnsi" w:hAnsiTheme="minorHAnsi" w:cstheme="minorHAnsi"/>
                <w:sz w:val="22"/>
                <w:szCs w:val="22"/>
              </w:rPr>
            </w:pPr>
            <w:r w:rsidRPr="0036007C">
              <w:t>36</w:t>
            </w:r>
          </w:p>
        </w:tc>
        <w:tc>
          <w:tcPr>
            <w:tcW w:w="287" w:type="pct"/>
            <w:tcBorders>
              <w:top w:val="nil"/>
              <w:left w:val="nil"/>
              <w:bottom w:val="single" w:sz="4" w:space="0" w:color="auto"/>
              <w:right w:val="single" w:sz="4" w:space="0" w:color="auto"/>
            </w:tcBorders>
            <w:shd w:val="clear" w:color="auto" w:fill="FFFFFF" w:themeFill="background1"/>
            <w:noWrap/>
            <w:hideMark/>
          </w:tcPr>
          <w:p w14:paraId="5FBA471B" w14:textId="7250C507" w:rsidR="00F136A0" w:rsidRPr="0036007C" w:rsidRDefault="00F136A0" w:rsidP="00F76882">
            <w:pPr>
              <w:pStyle w:val="Tabletext"/>
              <w:rPr>
                <w:rFonts w:asciiTheme="minorHAnsi" w:hAnsiTheme="minorHAnsi" w:cstheme="minorHAnsi"/>
                <w:sz w:val="22"/>
                <w:szCs w:val="22"/>
              </w:rPr>
            </w:pPr>
            <w:r w:rsidRPr="0036007C">
              <w:t>38%</w:t>
            </w:r>
          </w:p>
        </w:tc>
        <w:tc>
          <w:tcPr>
            <w:tcW w:w="119" w:type="pct"/>
            <w:tcBorders>
              <w:top w:val="nil"/>
              <w:left w:val="nil"/>
              <w:bottom w:val="single" w:sz="4" w:space="0" w:color="auto"/>
              <w:right w:val="single" w:sz="4" w:space="0" w:color="auto"/>
            </w:tcBorders>
            <w:shd w:val="clear" w:color="auto" w:fill="FFFFFF" w:themeFill="background1"/>
            <w:noWrap/>
            <w:hideMark/>
          </w:tcPr>
          <w:p w14:paraId="0846AE8E" w14:textId="5FFEFB8D" w:rsidR="00F136A0" w:rsidRPr="0036007C" w:rsidRDefault="00F136A0" w:rsidP="00F76882">
            <w:pPr>
              <w:pStyle w:val="Tabletext"/>
              <w:rPr>
                <w:rFonts w:asciiTheme="minorHAnsi" w:hAnsiTheme="minorHAnsi" w:cstheme="minorHAnsi"/>
                <w:sz w:val="22"/>
                <w:szCs w:val="22"/>
              </w:rPr>
            </w:pPr>
            <w:r w:rsidRPr="0036007C">
              <w:t>55</w:t>
            </w:r>
          </w:p>
        </w:tc>
        <w:tc>
          <w:tcPr>
            <w:tcW w:w="287" w:type="pct"/>
            <w:tcBorders>
              <w:top w:val="nil"/>
              <w:left w:val="nil"/>
              <w:bottom w:val="single" w:sz="4" w:space="0" w:color="auto"/>
              <w:right w:val="single" w:sz="4" w:space="0" w:color="auto"/>
            </w:tcBorders>
            <w:shd w:val="clear" w:color="auto" w:fill="FFFFFF" w:themeFill="background1"/>
            <w:noWrap/>
            <w:hideMark/>
          </w:tcPr>
          <w:p w14:paraId="1AA3259A" w14:textId="69D463D0" w:rsidR="00F136A0" w:rsidRPr="0036007C" w:rsidRDefault="00F136A0" w:rsidP="00F76882">
            <w:pPr>
              <w:pStyle w:val="Tabletext"/>
              <w:rPr>
                <w:rFonts w:asciiTheme="minorHAnsi" w:hAnsiTheme="minorHAnsi" w:cstheme="minorHAnsi"/>
                <w:sz w:val="22"/>
                <w:szCs w:val="22"/>
              </w:rPr>
            </w:pPr>
            <w:r w:rsidRPr="0036007C">
              <w:t>50%</w:t>
            </w:r>
          </w:p>
        </w:tc>
        <w:tc>
          <w:tcPr>
            <w:tcW w:w="119" w:type="pct"/>
            <w:tcBorders>
              <w:top w:val="nil"/>
              <w:left w:val="nil"/>
              <w:bottom w:val="single" w:sz="4" w:space="0" w:color="auto"/>
              <w:right w:val="single" w:sz="4" w:space="0" w:color="auto"/>
            </w:tcBorders>
            <w:shd w:val="clear" w:color="auto" w:fill="FFFFFF" w:themeFill="background1"/>
            <w:noWrap/>
            <w:hideMark/>
          </w:tcPr>
          <w:p w14:paraId="7FE63845" w14:textId="47099210" w:rsidR="00F136A0" w:rsidRPr="0036007C" w:rsidRDefault="00F136A0" w:rsidP="00F76882">
            <w:pPr>
              <w:pStyle w:val="Tabletext"/>
              <w:rPr>
                <w:rFonts w:asciiTheme="minorHAnsi" w:hAnsiTheme="minorHAnsi" w:cstheme="minorHAnsi"/>
                <w:sz w:val="22"/>
                <w:szCs w:val="22"/>
              </w:rPr>
            </w:pPr>
            <w:r w:rsidRPr="0036007C">
              <w:t>27</w:t>
            </w:r>
          </w:p>
        </w:tc>
        <w:tc>
          <w:tcPr>
            <w:tcW w:w="287" w:type="pct"/>
            <w:tcBorders>
              <w:top w:val="nil"/>
              <w:left w:val="nil"/>
              <w:bottom w:val="single" w:sz="4" w:space="0" w:color="auto"/>
              <w:right w:val="single" w:sz="4" w:space="0" w:color="auto"/>
            </w:tcBorders>
            <w:shd w:val="clear" w:color="auto" w:fill="FFFFFF" w:themeFill="background1"/>
            <w:noWrap/>
            <w:hideMark/>
          </w:tcPr>
          <w:p w14:paraId="3E09992A" w14:textId="75AE1BFD" w:rsidR="00F136A0" w:rsidRPr="0036007C" w:rsidRDefault="00F136A0" w:rsidP="00F76882">
            <w:pPr>
              <w:pStyle w:val="Tabletext"/>
              <w:rPr>
                <w:rFonts w:asciiTheme="minorHAnsi" w:hAnsiTheme="minorHAnsi" w:cstheme="minorHAnsi"/>
                <w:sz w:val="22"/>
                <w:szCs w:val="22"/>
              </w:rPr>
            </w:pPr>
            <w:r w:rsidRPr="0036007C">
              <w:t>29%</w:t>
            </w:r>
          </w:p>
        </w:tc>
        <w:tc>
          <w:tcPr>
            <w:tcW w:w="119" w:type="pct"/>
            <w:tcBorders>
              <w:top w:val="nil"/>
              <w:left w:val="nil"/>
              <w:bottom w:val="single" w:sz="4" w:space="0" w:color="auto"/>
              <w:right w:val="single" w:sz="4" w:space="0" w:color="auto"/>
            </w:tcBorders>
            <w:shd w:val="clear" w:color="auto" w:fill="FFFFFF" w:themeFill="background1"/>
            <w:noWrap/>
            <w:hideMark/>
          </w:tcPr>
          <w:p w14:paraId="1145C1E4" w14:textId="1CC0E3CF" w:rsidR="00F136A0" w:rsidRPr="0036007C" w:rsidRDefault="00F136A0" w:rsidP="00F76882">
            <w:pPr>
              <w:pStyle w:val="Tabletext"/>
              <w:rPr>
                <w:rFonts w:asciiTheme="minorHAnsi" w:hAnsiTheme="minorHAnsi" w:cstheme="minorHAnsi"/>
                <w:sz w:val="22"/>
                <w:szCs w:val="22"/>
              </w:rPr>
            </w:pPr>
            <w:r w:rsidRPr="0036007C">
              <w:t>28</w:t>
            </w:r>
          </w:p>
        </w:tc>
        <w:tc>
          <w:tcPr>
            <w:tcW w:w="287" w:type="pct"/>
            <w:tcBorders>
              <w:top w:val="nil"/>
              <w:left w:val="nil"/>
              <w:bottom w:val="single" w:sz="4" w:space="0" w:color="auto"/>
              <w:right w:val="single" w:sz="4" w:space="0" w:color="auto"/>
            </w:tcBorders>
            <w:shd w:val="clear" w:color="auto" w:fill="FFFFFF" w:themeFill="background1"/>
            <w:noWrap/>
            <w:hideMark/>
          </w:tcPr>
          <w:p w14:paraId="3C2C154E" w14:textId="519DD7C8" w:rsidR="00F136A0" w:rsidRPr="0036007C" w:rsidRDefault="00F136A0" w:rsidP="00F76882">
            <w:pPr>
              <w:pStyle w:val="Tabletext"/>
              <w:rPr>
                <w:rFonts w:asciiTheme="minorHAnsi" w:hAnsiTheme="minorHAnsi" w:cstheme="minorHAnsi"/>
                <w:sz w:val="22"/>
                <w:szCs w:val="22"/>
              </w:rPr>
            </w:pPr>
            <w:r w:rsidRPr="0036007C">
              <w:t>34%</w:t>
            </w:r>
          </w:p>
        </w:tc>
        <w:tc>
          <w:tcPr>
            <w:tcW w:w="116" w:type="pct"/>
            <w:tcBorders>
              <w:top w:val="nil"/>
              <w:left w:val="nil"/>
              <w:bottom w:val="single" w:sz="4" w:space="0" w:color="auto"/>
              <w:right w:val="single" w:sz="4" w:space="0" w:color="auto"/>
            </w:tcBorders>
            <w:shd w:val="clear" w:color="auto" w:fill="FFFFFF" w:themeFill="background1"/>
            <w:noWrap/>
            <w:hideMark/>
          </w:tcPr>
          <w:p w14:paraId="023A2423" w14:textId="5E06AA54" w:rsidR="00F136A0" w:rsidRPr="0036007C" w:rsidRDefault="00F136A0" w:rsidP="00F76882">
            <w:pPr>
              <w:pStyle w:val="Tabletext"/>
              <w:rPr>
                <w:rFonts w:asciiTheme="minorHAnsi" w:hAnsiTheme="minorHAnsi" w:cstheme="minorHAnsi"/>
                <w:sz w:val="22"/>
                <w:szCs w:val="22"/>
              </w:rPr>
            </w:pPr>
            <w:r w:rsidRPr="0036007C">
              <w:t>44</w:t>
            </w:r>
          </w:p>
        </w:tc>
        <w:tc>
          <w:tcPr>
            <w:tcW w:w="287" w:type="pct"/>
            <w:tcBorders>
              <w:top w:val="nil"/>
              <w:left w:val="nil"/>
              <w:bottom w:val="single" w:sz="4" w:space="0" w:color="auto"/>
              <w:right w:val="single" w:sz="4" w:space="0" w:color="auto"/>
            </w:tcBorders>
            <w:shd w:val="clear" w:color="auto" w:fill="FFFFFF" w:themeFill="background1"/>
            <w:noWrap/>
            <w:hideMark/>
          </w:tcPr>
          <w:p w14:paraId="0B88FB2E" w14:textId="50CF268C" w:rsidR="00F136A0" w:rsidRPr="0036007C" w:rsidRDefault="00F136A0" w:rsidP="00F76882">
            <w:pPr>
              <w:pStyle w:val="Tabletext"/>
              <w:rPr>
                <w:rFonts w:asciiTheme="minorHAnsi" w:hAnsiTheme="minorHAnsi" w:cstheme="minorHAnsi"/>
                <w:sz w:val="22"/>
                <w:szCs w:val="22"/>
              </w:rPr>
            </w:pPr>
            <w:r w:rsidRPr="0036007C">
              <w:t>56%</w:t>
            </w:r>
          </w:p>
        </w:tc>
        <w:tc>
          <w:tcPr>
            <w:tcW w:w="116" w:type="pct"/>
            <w:tcBorders>
              <w:top w:val="nil"/>
              <w:left w:val="nil"/>
              <w:bottom w:val="single" w:sz="4" w:space="0" w:color="auto"/>
              <w:right w:val="single" w:sz="4" w:space="0" w:color="auto"/>
            </w:tcBorders>
            <w:shd w:val="clear" w:color="auto" w:fill="FFFFFF" w:themeFill="background1"/>
            <w:noWrap/>
            <w:hideMark/>
          </w:tcPr>
          <w:p w14:paraId="2118CA7D" w14:textId="3709E54C" w:rsidR="00F136A0" w:rsidRPr="0036007C" w:rsidRDefault="00F136A0" w:rsidP="00F76882">
            <w:pPr>
              <w:pStyle w:val="Tabletext"/>
              <w:rPr>
                <w:rFonts w:asciiTheme="minorHAnsi" w:hAnsiTheme="minorHAnsi" w:cstheme="minorHAnsi"/>
                <w:sz w:val="22"/>
                <w:szCs w:val="22"/>
              </w:rPr>
            </w:pPr>
            <w:r w:rsidRPr="0036007C">
              <w:t>48</w:t>
            </w:r>
          </w:p>
        </w:tc>
        <w:tc>
          <w:tcPr>
            <w:tcW w:w="287" w:type="pct"/>
            <w:tcBorders>
              <w:top w:val="nil"/>
              <w:left w:val="nil"/>
              <w:bottom w:val="single" w:sz="4" w:space="0" w:color="auto"/>
              <w:right w:val="single" w:sz="4" w:space="0" w:color="auto"/>
            </w:tcBorders>
            <w:shd w:val="clear" w:color="auto" w:fill="FFFFFF" w:themeFill="background1"/>
            <w:noWrap/>
            <w:hideMark/>
          </w:tcPr>
          <w:p w14:paraId="4F1CDF69" w14:textId="68BF46C1" w:rsidR="00F136A0" w:rsidRPr="0036007C" w:rsidRDefault="00F136A0" w:rsidP="00F76882">
            <w:pPr>
              <w:pStyle w:val="Tabletext"/>
              <w:rPr>
                <w:rFonts w:asciiTheme="minorHAnsi" w:hAnsiTheme="minorHAnsi" w:cstheme="minorHAnsi"/>
                <w:sz w:val="22"/>
                <w:szCs w:val="22"/>
              </w:rPr>
            </w:pPr>
            <w:r w:rsidRPr="0036007C">
              <w:t>72%</w:t>
            </w:r>
          </w:p>
        </w:tc>
        <w:tc>
          <w:tcPr>
            <w:tcW w:w="108" w:type="pct"/>
            <w:tcBorders>
              <w:top w:val="nil"/>
              <w:left w:val="nil"/>
              <w:bottom w:val="single" w:sz="4" w:space="0" w:color="auto"/>
              <w:right w:val="single" w:sz="4" w:space="0" w:color="auto"/>
            </w:tcBorders>
            <w:shd w:val="clear" w:color="auto" w:fill="FFFFFF" w:themeFill="background1"/>
          </w:tcPr>
          <w:p w14:paraId="1CEDF8BD" w14:textId="5D46B47D" w:rsidR="00F136A0" w:rsidRPr="0036007C" w:rsidRDefault="00F136A0" w:rsidP="00F76882">
            <w:pPr>
              <w:pStyle w:val="Tabletext"/>
              <w:rPr>
                <w:rFonts w:asciiTheme="minorHAnsi" w:hAnsiTheme="minorHAnsi" w:cstheme="minorHAnsi"/>
                <w:sz w:val="22"/>
                <w:szCs w:val="22"/>
              </w:rPr>
            </w:pPr>
            <w:r w:rsidRPr="0036007C">
              <w:t>61</w:t>
            </w:r>
          </w:p>
        </w:tc>
        <w:tc>
          <w:tcPr>
            <w:tcW w:w="287" w:type="pct"/>
            <w:tcBorders>
              <w:top w:val="nil"/>
              <w:left w:val="nil"/>
              <w:bottom w:val="single" w:sz="4" w:space="0" w:color="auto"/>
              <w:right w:val="single" w:sz="4" w:space="0" w:color="auto"/>
            </w:tcBorders>
            <w:shd w:val="clear" w:color="auto" w:fill="FFFFFF" w:themeFill="background1"/>
          </w:tcPr>
          <w:p w14:paraId="1EF1759F" w14:textId="65115002" w:rsidR="00F136A0" w:rsidRPr="0036007C" w:rsidRDefault="00F136A0" w:rsidP="00F76882">
            <w:pPr>
              <w:pStyle w:val="Tabletext"/>
              <w:rPr>
                <w:rFonts w:asciiTheme="minorHAnsi" w:hAnsiTheme="minorHAnsi" w:cstheme="minorHAnsi"/>
                <w:sz w:val="22"/>
                <w:szCs w:val="22"/>
              </w:rPr>
            </w:pPr>
            <w:r w:rsidRPr="0036007C">
              <w:t>71%</w:t>
            </w:r>
          </w:p>
        </w:tc>
      </w:tr>
    </w:tbl>
    <w:p w14:paraId="76B4C2DB" w14:textId="7F690B7A" w:rsidR="000F105F" w:rsidRPr="00A33DD2" w:rsidRDefault="00F37831" w:rsidP="00F76882">
      <w:pPr>
        <w:pStyle w:val="tablefigfootnote"/>
      </w:pPr>
      <w:r w:rsidRPr="00A33DD2">
        <w:t xml:space="preserve">* </w:t>
      </w:r>
      <w:r w:rsidR="000F105F" w:rsidRPr="00A33DD2">
        <w:t>As defined annually by each jurisdiction</w:t>
      </w:r>
      <w:r w:rsidR="000B705F" w:rsidRPr="00A33DD2">
        <w:t>.</w:t>
      </w:r>
    </w:p>
    <w:p w14:paraId="1F24A287" w14:textId="312712B9" w:rsidR="000F105F" w:rsidRPr="00A33DD2" w:rsidRDefault="00603246" w:rsidP="00F76882">
      <w:pPr>
        <w:pStyle w:val="tablefigfootnote"/>
      </w:pPr>
      <w:r w:rsidRPr="00A33DD2">
        <w:t xml:space="preserve">† </w:t>
      </w:r>
      <w:r w:rsidR="00974046" w:rsidRPr="00A33DD2">
        <w:t>As per CDNA Guidelines.</w:t>
      </w:r>
      <w:r w:rsidR="00821185" w:rsidRPr="00A33DD2">
        <w:t xml:space="preserve"> </w:t>
      </w:r>
      <w:r w:rsidR="009A6D9D" w:rsidRPr="00A33DD2">
        <w:t>Includes communities that were not screened due to logistical or demographic reasons (</w:t>
      </w:r>
      <w:r w:rsidR="006C560C" w:rsidRPr="00A33DD2">
        <w:t>i.e.</w:t>
      </w:r>
      <w:r w:rsidR="009A6D9D" w:rsidRPr="00A33DD2">
        <w:t>, no children in the 5</w:t>
      </w:r>
      <w:r w:rsidR="005C1CB0" w:rsidRPr="00A33DD2">
        <w:t>–</w:t>
      </w:r>
      <w:r w:rsidR="009A6D9D" w:rsidRPr="00A33DD2">
        <w:t>9</w:t>
      </w:r>
      <w:r w:rsidR="00D452FF" w:rsidRPr="00A33DD2">
        <w:t>-</w:t>
      </w:r>
      <w:r w:rsidR="009A6D9D" w:rsidRPr="00A33DD2">
        <w:t>year age group).</w:t>
      </w:r>
    </w:p>
    <w:p w14:paraId="79AF8425" w14:textId="0A45772E" w:rsidR="009552C2" w:rsidRPr="00A33DD2" w:rsidRDefault="009552C2" w:rsidP="00F76882">
      <w:pPr>
        <w:pStyle w:val="tablefigfootnote"/>
      </w:pPr>
      <w:r w:rsidRPr="00A33DD2">
        <w:t xml:space="preserve">‡ If more than one screening episode </w:t>
      </w:r>
      <w:r w:rsidR="00F17F96" w:rsidRPr="00A33DD2">
        <w:t xml:space="preserve">occurs </w:t>
      </w:r>
      <w:r w:rsidRPr="00A33DD2">
        <w:t>during the calendar year</w:t>
      </w:r>
      <w:r w:rsidR="00F17F96" w:rsidRPr="00A33DD2">
        <w:t>,</w:t>
      </w:r>
      <w:r w:rsidRPr="00A33DD2">
        <w:t xml:space="preserve"> data from </w:t>
      </w:r>
      <w:r w:rsidR="00F17F96" w:rsidRPr="00A33DD2">
        <w:t xml:space="preserve">the </w:t>
      </w:r>
      <w:r w:rsidRPr="00A33DD2">
        <w:t>first screen is used.</w:t>
      </w:r>
    </w:p>
    <w:p w14:paraId="0F72CCB1" w14:textId="77777777" w:rsidR="00695E0E" w:rsidRPr="0036007C" w:rsidRDefault="00695E0E" w:rsidP="00F76882">
      <w:pPr>
        <w:pStyle w:val="Tableheadings"/>
        <w:sectPr w:rsidR="00695E0E" w:rsidRPr="0036007C" w:rsidSect="00C04CBB">
          <w:pgSz w:w="16838" w:h="11906" w:orient="landscape"/>
          <w:pgMar w:top="720" w:right="720" w:bottom="720" w:left="720" w:header="709" w:footer="709" w:gutter="0"/>
          <w:cols w:space="708"/>
          <w:docGrid w:linePitch="360"/>
        </w:sectPr>
      </w:pPr>
      <w:bookmarkStart w:id="206" w:name="_Table_1.4_Treatment"/>
      <w:bookmarkStart w:id="207" w:name="_Ref58336093"/>
      <w:bookmarkEnd w:id="199"/>
      <w:bookmarkEnd w:id="204"/>
      <w:bookmarkEnd w:id="206"/>
    </w:p>
    <w:p w14:paraId="6CC18870" w14:textId="7E73D002" w:rsidR="009D5DB1" w:rsidRPr="0036007C" w:rsidRDefault="009D5DB1" w:rsidP="00F76882">
      <w:pPr>
        <w:pStyle w:val="Tableheadings"/>
      </w:pPr>
      <w:bookmarkStart w:id="208" w:name="_Toc215224699"/>
      <w:r w:rsidRPr="0036007C">
        <w:t xml:space="preserve">Table </w:t>
      </w:r>
      <w:r w:rsidR="009B3144" w:rsidRPr="0036007C">
        <w:t>1</w:t>
      </w:r>
      <w:r w:rsidR="000B2552" w:rsidRPr="0036007C">
        <w:t>.</w:t>
      </w:r>
      <w:r w:rsidRPr="0036007C">
        <w:fldChar w:fldCharType="begin"/>
      </w:r>
      <w:r w:rsidRPr="0036007C">
        <w:instrText>SEQ Table \* ARABIC \s 1</w:instrText>
      </w:r>
      <w:r w:rsidRPr="0036007C">
        <w:fldChar w:fldCharType="separate"/>
      </w:r>
      <w:r w:rsidR="00D23948" w:rsidRPr="0036007C">
        <w:t>4</w:t>
      </w:r>
      <w:r w:rsidRPr="0036007C">
        <w:fldChar w:fldCharType="end"/>
      </w:r>
      <w:bookmarkEnd w:id="207"/>
      <w:r w:rsidR="008770BF" w:rsidRPr="0036007C">
        <w:tab/>
      </w:r>
      <w:r w:rsidR="00DD5687" w:rsidRPr="0036007C">
        <w:t>T</w:t>
      </w:r>
      <w:r w:rsidRPr="0036007C">
        <w:t>reatment strategies by jurisdiction, Australia</w:t>
      </w:r>
      <w:r w:rsidR="001937AB" w:rsidRPr="0036007C">
        <w:t>,</w:t>
      </w:r>
      <w:r w:rsidRPr="0036007C">
        <w:t xml:space="preserve"> </w:t>
      </w:r>
      <w:r w:rsidR="00E76BB4" w:rsidRPr="0036007C">
        <w:t>202</w:t>
      </w:r>
      <w:r w:rsidR="007D71C6" w:rsidRPr="0036007C">
        <w:t>4</w:t>
      </w:r>
      <w:bookmarkEnd w:id="208"/>
    </w:p>
    <w:p w14:paraId="28174D38" w14:textId="77777777" w:rsidR="00A529D0" w:rsidRPr="003D3BBA" w:rsidRDefault="00A529D0" w:rsidP="00F76882">
      <w:bookmarkStart w:id="209" w:name="Table15"/>
      <w:bookmarkStart w:id="210" w:name="_Toc392153886"/>
    </w:p>
    <w:tbl>
      <w:tblPr>
        <w:tblW w:w="5000" w:type="pct"/>
        <w:tblLook w:val="04A0" w:firstRow="1" w:lastRow="0" w:firstColumn="1" w:lastColumn="0" w:noHBand="0" w:noVBand="1"/>
        <w:tblCaption w:val="Treatment strategies by jurisdiction, Australia, 2024  "/>
        <w:tblDescription w:val="Table 1.4 compares the number of communities by whether and how required trachoma treatment was delivered. Data is presented for the Northern Territory, South Australia, Western Australia, and the cumulative total.&#10;"/>
      </w:tblPr>
      <w:tblGrid>
        <w:gridCol w:w="2701"/>
        <w:gridCol w:w="2030"/>
        <w:gridCol w:w="1877"/>
        <w:gridCol w:w="1970"/>
        <w:gridCol w:w="1878"/>
      </w:tblGrid>
      <w:tr w:rsidR="007300E2" w:rsidRPr="0036007C" w14:paraId="031258CA" w14:textId="77777777" w:rsidTr="00E65139">
        <w:trPr>
          <w:trHeight w:val="290"/>
        </w:trPr>
        <w:tc>
          <w:tcPr>
            <w:tcW w:w="1315"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102284DF" w14:textId="77777777" w:rsidR="002D76DB" w:rsidRPr="003D3BBA" w:rsidRDefault="002D76DB" w:rsidP="00F76882">
            <w:r w:rsidRPr="003D3BBA">
              <w:t>Number of communities</w:t>
            </w:r>
          </w:p>
        </w:tc>
        <w:tc>
          <w:tcPr>
            <w:tcW w:w="921" w:type="pct"/>
            <w:tcBorders>
              <w:top w:val="single" w:sz="4" w:space="0" w:color="auto"/>
              <w:left w:val="nil"/>
              <w:bottom w:val="single" w:sz="4" w:space="0" w:color="auto"/>
              <w:right w:val="single" w:sz="4" w:space="0" w:color="auto"/>
            </w:tcBorders>
            <w:shd w:val="clear" w:color="000000" w:fill="BFBFBF"/>
            <w:noWrap/>
            <w:vAlign w:val="bottom"/>
            <w:hideMark/>
          </w:tcPr>
          <w:p w14:paraId="1750138A" w14:textId="77777777" w:rsidR="002D76DB" w:rsidRPr="003D3BBA" w:rsidRDefault="002D76DB" w:rsidP="00F76882">
            <w:r w:rsidRPr="003D3BBA">
              <w:t>Northern Territory</w:t>
            </w:r>
          </w:p>
        </w:tc>
        <w:tc>
          <w:tcPr>
            <w:tcW w:w="921" w:type="pct"/>
            <w:tcBorders>
              <w:top w:val="single" w:sz="4" w:space="0" w:color="auto"/>
              <w:left w:val="nil"/>
              <w:bottom w:val="single" w:sz="4" w:space="0" w:color="auto"/>
              <w:right w:val="single" w:sz="4" w:space="0" w:color="auto"/>
            </w:tcBorders>
            <w:shd w:val="clear" w:color="000000" w:fill="BFBFBF"/>
            <w:noWrap/>
            <w:vAlign w:val="bottom"/>
            <w:hideMark/>
          </w:tcPr>
          <w:p w14:paraId="760A5545" w14:textId="77777777" w:rsidR="002D76DB" w:rsidRPr="003D3BBA" w:rsidRDefault="002D76DB" w:rsidP="00F76882">
            <w:r w:rsidRPr="003D3BBA">
              <w:t>South Australia</w:t>
            </w:r>
          </w:p>
        </w:tc>
        <w:tc>
          <w:tcPr>
            <w:tcW w:w="921" w:type="pct"/>
            <w:tcBorders>
              <w:top w:val="single" w:sz="4" w:space="0" w:color="auto"/>
              <w:left w:val="nil"/>
              <w:bottom w:val="single" w:sz="4" w:space="0" w:color="auto"/>
              <w:right w:val="single" w:sz="4" w:space="0" w:color="auto"/>
            </w:tcBorders>
            <w:shd w:val="clear" w:color="000000" w:fill="BFBFBF"/>
            <w:noWrap/>
            <w:vAlign w:val="bottom"/>
            <w:hideMark/>
          </w:tcPr>
          <w:p w14:paraId="0576247E" w14:textId="77777777" w:rsidR="002D76DB" w:rsidRPr="003D3BBA" w:rsidRDefault="002D76DB" w:rsidP="00F76882">
            <w:r w:rsidRPr="003D3BBA">
              <w:t>Western Australia</w:t>
            </w:r>
          </w:p>
        </w:tc>
        <w:tc>
          <w:tcPr>
            <w:tcW w:w="921" w:type="pct"/>
            <w:tcBorders>
              <w:top w:val="single" w:sz="4" w:space="0" w:color="auto"/>
              <w:left w:val="nil"/>
              <w:bottom w:val="single" w:sz="4" w:space="0" w:color="auto"/>
              <w:right w:val="single" w:sz="4" w:space="0" w:color="auto"/>
            </w:tcBorders>
            <w:shd w:val="clear" w:color="000000" w:fill="BFBFBF"/>
            <w:noWrap/>
            <w:vAlign w:val="bottom"/>
            <w:hideMark/>
          </w:tcPr>
          <w:p w14:paraId="2062A2F5" w14:textId="77777777" w:rsidR="002D76DB" w:rsidRPr="003D3BBA" w:rsidRDefault="002D76DB" w:rsidP="00F76882">
            <w:r w:rsidRPr="003D3BBA">
              <w:t>Total</w:t>
            </w:r>
          </w:p>
        </w:tc>
      </w:tr>
      <w:tr w:rsidR="00B62663" w:rsidRPr="0036007C" w14:paraId="1934FA76" w14:textId="77777777" w:rsidTr="00B62663">
        <w:trPr>
          <w:trHeight w:val="580"/>
        </w:trPr>
        <w:tc>
          <w:tcPr>
            <w:tcW w:w="1315" w:type="pct"/>
            <w:tcBorders>
              <w:top w:val="nil"/>
              <w:left w:val="single" w:sz="4" w:space="0" w:color="auto"/>
              <w:bottom w:val="single" w:sz="4" w:space="0" w:color="auto"/>
              <w:right w:val="single" w:sz="4" w:space="0" w:color="auto"/>
            </w:tcBorders>
            <w:vAlign w:val="bottom"/>
            <w:hideMark/>
          </w:tcPr>
          <w:p w14:paraId="71E4F14E" w14:textId="757C4836" w:rsidR="00B62663" w:rsidRPr="003D3BBA" w:rsidRDefault="00B62663" w:rsidP="00F76882">
            <w:r w:rsidRPr="003D3BBA">
              <w:t xml:space="preserve">Required </w:t>
            </w:r>
            <w:r w:rsidR="00CD1BD6" w:rsidRPr="003D3BBA">
              <w:t xml:space="preserve">antibiotic </w:t>
            </w:r>
            <w:r w:rsidRPr="003D3BBA">
              <w:t>treatment for trachoma</w:t>
            </w:r>
          </w:p>
        </w:tc>
        <w:tc>
          <w:tcPr>
            <w:tcW w:w="921" w:type="pct"/>
            <w:tcBorders>
              <w:top w:val="nil"/>
              <w:left w:val="nil"/>
              <w:bottom w:val="single" w:sz="4" w:space="0" w:color="auto"/>
              <w:right w:val="single" w:sz="4" w:space="0" w:color="auto"/>
            </w:tcBorders>
            <w:noWrap/>
            <w:vAlign w:val="bottom"/>
          </w:tcPr>
          <w:p w14:paraId="770A38D1" w14:textId="0C69DDA1" w:rsidR="00B62663" w:rsidRPr="00A33DD2" w:rsidRDefault="00B62663" w:rsidP="00F76882">
            <w:r w:rsidRPr="00A33DD2">
              <w:t>18</w:t>
            </w:r>
          </w:p>
        </w:tc>
        <w:tc>
          <w:tcPr>
            <w:tcW w:w="921" w:type="pct"/>
            <w:tcBorders>
              <w:top w:val="nil"/>
              <w:left w:val="nil"/>
              <w:bottom w:val="single" w:sz="4" w:space="0" w:color="auto"/>
              <w:right w:val="single" w:sz="4" w:space="0" w:color="auto"/>
            </w:tcBorders>
            <w:noWrap/>
            <w:vAlign w:val="bottom"/>
          </w:tcPr>
          <w:p w14:paraId="5E32A807" w14:textId="54682A3A" w:rsidR="00B62663" w:rsidRPr="00A33DD2" w:rsidRDefault="00B62663" w:rsidP="00F76882">
            <w:r w:rsidRPr="00A33DD2">
              <w:t>0</w:t>
            </w:r>
          </w:p>
        </w:tc>
        <w:tc>
          <w:tcPr>
            <w:tcW w:w="921" w:type="pct"/>
            <w:tcBorders>
              <w:top w:val="nil"/>
              <w:left w:val="nil"/>
              <w:bottom w:val="single" w:sz="4" w:space="0" w:color="auto"/>
              <w:right w:val="single" w:sz="4" w:space="0" w:color="auto"/>
            </w:tcBorders>
            <w:noWrap/>
            <w:vAlign w:val="bottom"/>
          </w:tcPr>
          <w:p w14:paraId="5865095B" w14:textId="3B28CA83" w:rsidR="00B62663" w:rsidRPr="00A33DD2" w:rsidRDefault="00B62663" w:rsidP="00F76882">
            <w:r w:rsidRPr="00A33DD2">
              <w:t>7</w:t>
            </w:r>
          </w:p>
        </w:tc>
        <w:tc>
          <w:tcPr>
            <w:tcW w:w="921" w:type="pct"/>
            <w:tcBorders>
              <w:top w:val="nil"/>
              <w:left w:val="nil"/>
              <w:bottom w:val="single" w:sz="4" w:space="0" w:color="auto"/>
              <w:right w:val="single" w:sz="4" w:space="0" w:color="auto"/>
            </w:tcBorders>
            <w:noWrap/>
            <w:vAlign w:val="bottom"/>
          </w:tcPr>
          <w:p w14:paraId="3724C8B8" w14:textId="26EDDC75" w:rsidR="00B62663" w:rsidRPr="00A33DD2" w:rsidRDefault="00B62663" w:rsidP="00F76882">
            <w:r w:rsidRPr="00A33DD2">
              <w:t>25</w:t>
            </w:r>
          </w:p>
        </w:tc>
      </w:tr>
      <w:tr w:rsidR="00B62663" w:rsidRPr="0036007C" w14:paraId="2F5C8747" w14:textId="77777777" w:rsidTr="00B62663">
        <w:trPr>
          <w:trHeight w:val="290"/>
        </w:trPr>
        <w:tc>
          <w:tcPr>
            <w:tcW w:w="1315" w:type="pct"/>
            <w:tcBorders>
              <w:top w:val="nil"/>
              <w:left w:val="single" w:sz="4" w:space="0" w:color="auto"/>
              <w:bottom w:val="single" w:sz="4" w:space="0" w:color="auto"/>
              <w:right w:val="single" w:sz="4" w:space="0" w:color="auto"/>
            </w:tcBorders>
            <w:shd w:val="clear" w:color="000000" w:fill="BFBFBF"/>
            <w:vAlign w:val="bottom"/>
            <w:hideMark/>
          </w:tcPr>
          <w:p w14:paraId="20793C83" w14:textId="77777777" w:rsidR="00B62663" w:rsidRPr="003D3BBA" w:rsidRDefault="00B62663" w:rsidP="00F76882">
            <w:r w:rsidRPr="003D3BBA">
              <w:t>Treated for trachoma</w:t>
            </w:r>
          </w:p>
        </w:tc>
        <w:tc>
          <w:tcPr>
            <w:tcW w:w="921" w:type="pct"/>
            <w:tcBorders>
              <w:top w:val="nil"/>
              <w:left w:val="nil"/>
              <w:bottom w:val="single" w:sz="4" w:space="0" w:color="auto"/>
              <w:right w:val="single" w:sz="4" w:space="0" w:color="auto"/>
            </w:tcBorders>
            <w:shd w:val="clear" w:color="000000" w:fill="BFBFBF"/>
            <w:noWrap/>
            <w:vAlign w:val="bottom"/>
          </w:tcPr>
          <w:p w14:paraId="6613378B" w14:textId="0E2F3851" w:rsidR="00B62663" w:rsidRPr="00A33DD2" w:rsidRDefault="00B62663" w:rsidP="00F76882">
            <w:r w:rsidRPr="00A33DD2">
              <w:t>18</w:t>
            </w:r>
          </w:p>
        </w:tc>
        <w:tc>
          <w:tcPr>
            <w:tcW w:w="921" w:type="pct"/>
            <w:tcBorders>
              <w:top w:val="nil"/>
              <w:left w:val="nil"/>
              <w:bottom w:val="single" w:sz="4" w:space="0" w:color="auto"/>
              <w:right w:val="single" w:sz="4" w:space="0" w:color="auto"/>
            </w:tcBorders>
            <w:shd w:val="clear" w:color="000000" w:fill="BFBFBF"/>
            <w:noWrap/>
            <w:vAlign w:val="bottom"/>
          </w:tcPr>
          <w:p w14:paraId="0A46B40E" w14:textId="44903DAA" w:rsidR="00B62663" w:rsidRPr="00A33DD2" w:rsidRDefault="00B62663" w:rsidP="00F76882">
            <w:r w:rsidRPr="00A33DD2">
              <w:t>0</w:t>
            </w:r>
          </w:p>
        </w:tc>
        <w:tc>
          <w:tcPr>
            <w:tcW w:w="921" w:type="pct"/>
            <w:tcBorders>
              <w:top w:val="nil"/>
              <w:left w:val="nil"/>
              <w:bottom w:val="single" w:sz="4" w:space="0" w:color="auto"/>
              <w:right w:val="single" w:sz="4" w:space="0" w:color="auto"/>
            </w:tcBorders>
            <w:shd w:val="clear" w:color="000000" w:fill="BFBFBF"/>
            <w:noWrap/>
            <w:vAlign w:val="bottom"/>
          </w:tcPr>
          <w:p w14:paraId="5576276B" w14:textId="6C9A6C1C" w:rsidR="00B62663" w:rsidRPr="00A33DD2" w:rsidRDefault="00B62663" w:rsidP="00F76882">
            <w:r w:rsidRPr="00A33DD2">
              <w:t>7</w:t>
            </w:r>
          </w:p>
        </w:tc>
        <w:tc>
          <w:tcPr>
            <w:tcW w:w="921" w:type="pct"/>
            <w:tcBorders>
              <w:top w:val="nil"/>
              <w:left w:val="nil"/>
              <w:bottom w:val="single" w:sz="4" w:space="0" w:color="auto"/>
              <w:right w:val="single" w:sz="4" w:space="0" w:color="auto"/>
            </w:tcBorders>
            <w:shd w:val="clear" w:color="000000" w:fill="BFBFBF"/>
            <w:noWrap/>
            <w:vAlign w:val="bottom"/>
          </w:tcPr>
          <w:p w14:paraId="30D325C3" w14:textId="7B3267B4" w:rsidR="00B62663" w:rsidRPr="00A33DD2" w:rsidRDefault="00B62663" w:rsidP="00F76882">
            <w:r w:rsidRPr="00A33DD2">
              <w:t>25</w:t>
            </w:r>
          </w:p>
        </w:tc>
      </w:tr>
      <w:tr w:rsidR="00B62663" w:rsidRPr="0036007C" w14:paraId="1C234BA7" w14:textId="77777777" w:rsidTr="00B62663">
        <w:trPr>
          <w:trHeight w:val="290"/>
        </w:trPr>
        <w:tc>
          <w:tcPr>
            <w:tcW w:w="1315" w:type="pct"/>
            <w:tcBorders>
              <w:top w:val="nil"/>
              <w:left w:val="single" w:sz="4" w:space="0" w:color="auto"/>
              <w:bottom w:val="single" w:sz="4" w:space="0" w:color="auto"/>
              <w:right w:val="single" w:sz="4" w:space="0" w:color="auto"/>
            </w:tcBorders>
            <w:vAlign w:val="bottom"/>
            <w:hideMark/>
          </w:tcPr>
          <w:p w14:paraId="0BBE75AE" w14:textId="77777777" w:rsidR="00B62663" w:rsidRPr="003D3BBA" w:rsidRDefault="00B62663" w:rsidP="00F76882">
            <w:r w:rsidRPr="003D3BBA">
              <w:t>Screened and treated</w:t>
            </w:r>
          </w:p>
        </w:tc>
        <w:tc>
          <w:tcPr>
            <w:tcW w:w="921" w:type="pct"/>
            <w:tcBorders>
              <w:top w:val="nil"/>
              <w:left w:val="nil"/>
              <w:bottom w:val="single" w:sz="4" w:space="0" w:color="auto"/>
              <w:right w:val="single" w:sz="4" w:space="0" w:color="auto"/>
            </w:tcBorders>
            <w:noWrap/>
            <w:vAlign w:val="bottom"/>
          </w:tcPr>
          <w:p w14:paraId="24B5413F" w14:textId="57C15635" w:rsidR="00B62663" w:rsidRPr="00A33DD2" w:rsidRDefault="00B62663" w:rsidP="00F76882">
            <w:r w:rsidRPr="00A33DD2">
              <w:t>18</w:t>
            </w:r>
          </w:p>
        </w:tc>
        <w:tc>
          <w:tcPr>
            <w:tcW w:w="921" w:type="pct"/>
            <w:tcBorders>
              <w:top w:val="nil"/>
              <w:left w:val="nil"/>
              <w:bottom w:val="single" w:sz="4" w:space="0" w:color="auto"/>
              <w:right w:val="single" w:sz="4" w:space="0" w:color="auto"/>
            </w:tcBorders>
            <w:noWrap/>
            <w:vAlign w:val="bottom"/>
          </w:tcPr>
          <w:p w14:paraId="5894C7BB" w14:textId="2F1505CC" w:rsidR="00B62663" w:rsidRPr="00A33DD2" w:rsidRDefault="00B62663" w:rsidP="00F76882">
            <w:r w:rsidRPr="00A33DD2">
              <w:t>0</w:t>
            </w:r>
          </w:p>
        </w:tc>
        <w:tc>
          <w:tcPr>
            <w:tcW w:w="921" w:type="pct"/>
            <w:tcBorders>
              <w:top w:val="nil"/>
              <w:left w:val="nil"/>
              <w:bottom w:val="single" w:sz="4" w:space="0" w:color="auto"/>
              <w:right w:val="single" w:sz="4" w:space="0" w:color="auto"/>
            </w:tcBorders>
            <w:noWrap/>
            <w:vAlign w:val="bottom"/>
          </w:tcPr>
          <w:p w14:paraId="5EBF3376" w14:textId="548C3514" w:rsidR="00B62663" w:rsidRPr="00A33DD2" w:rsidRDefault="00B62663" w:rsidP="00F76882">
            <w:r w:rsidRPr="00A33DD2">
              <w:t>7</w:t>
            </w:r>
          </w:p>
        </w:tc>
        <w:tc>
          <w:tcPr>
            <w:tcW w:w="921" w:type="pct"/>
            <w:tcBorders>
              <w:top w:val="nil"/>
              <w:left w:val="nil"/>
              <w:bottom w:val="single" w:sz="4" w:space="0" w:color="auto"/>
              <w:right w:val="single" w:sz="4" w:space="0" w:color="auto"/>
            </w:tcBorders>
            <w:noWrap/>
            <w:vAlign w:val="bottom"/>
          </w:tcPr>
          <w:p w14:paraId="68263099" w14:textId="21DD3588" w:rsidR="00B62663" w:rsidRPr="00A33DD2" w:rsidRDefault="00B62663" w:rsidP="00F76882">
            <w:r w:rsidRPr="00A33DD2">
              <w:t>25</w:t>
            </w:r>
          </w:p>
        </w:tc>
      </w:tr>
      <w:tr w:rsidR="00B62663" w:rsidRPr="0036007C" w14:paraId="3349DB7F" w14:textId="77777777" w:rsidTr="00B62663">
        <w:trPr>
          <w:trHeight w:val="290"/>
        </w:trPr>
        <w:tc>
          <w:tcPr>
            <w:tcW w:w="1315" w:type="pct"/>
            <w:tcBorders>
              <w:top w:val="nil"/>
              <w:left w:val="single" w:sz="4" w:space="0" w:color="auto"/>
              <w:bottom w:val="single" w:sz="4" w:space="0" w:color="auto"/>
              <w:right w:val="single" w:sz="4" w:space="0" w:color="auto"/>
            </w:tcBorders>
            <w:shd w:val="clear" w:color="000000" w:fill="BFBFBF"/>
            <w:vAlign w:val="bottom"/>
            <w:hideMark/>
          </w:tcPr>
          <w:p w14:paraId="111A18FE" w14:textId="77777777" w:rsidR="00B62663" w:rsidRPr="003D3BBA" w:rsidRDefault="00B62663" w:rsidP="00F76882">
            <w:r w:rsidRPr="003D3BBA">
              <w:t>Received treatment only</w:t>
            </w:r>
          </w:p>
        </w:tc>
        <w:tc>
          <w:tcPr>
            <w:tcW w:w="921" w:type="pct"/>
            <w:tcBorders>
              <w:top w:val="nil"/>
              <w:left w:val="nil"/>
              <w:bottom w:val="single" w:sz="4" w:space="0" w:color="auto"/>
              <w:right w:val="single" w:sz="4" w:space="0" w:color="auto"/>
            </w:tcBorders>
            <w:shd w:val="clear" w:color="000000" w:fill="BFBFBF"/>
            <w:noWrap/>
            <w:vAlign w:val="bottom"/>
          </w:tcPr>
          <w:p w14:paraId="313D7B27" w14:textId="3E5B6026" w:rsidR="00B62663" w:rsidRPr="00A33DD2" w:rsidRDefault="00B62663" w:rsidP="00F76882">
            <w:r w:rsidRPr="00A33DD2">
              <w:t>0</w:t>
            </w:r>
          </w:p>
        </w:tc>
        <w:tc>
          <w:tcPr>
            <w:tcW w:w="921" w:type="pct"/>
            <w:tcBorders>
              <w:top w:val="nil"/>
              <w:left w:val="nil"/>
              <w:bottom w:val="single" w:sz="4" w:space="0" w:color="auto"/>
              <w:right w:val="single" w:sz="4" w:space="0" w:color="auto"/>
            </w:tcBorders>
            <w:shd w:val="clear" w:color="000000" w:fill="BFBFBF"/>
            <w:noWrap/>
            <w:vAlign w:val="bottom"/>
          </w:tcPr>
          <w:p w14:paraId="1EAA4775" w14:textId="52845F0E" w:rsidR="00B62663" w:rsidRPr="00A33DD2" w:rsidRDefault="00B62663" w:rsidP="00F76882">
            <w:r w:rsidRPr="00A33DD2">
              <w:t>0</w:t>
            </w:r>
          </w:p>
        </w:tc>
        <w:tc>
          <w:tcPr>
            <w:tcW w:w="921" w:type="pct"/>
            <w:tcBorders>
              <w:top w:val="nil"/>
              <w:left w:val="nil"/>
              <w:bottom w:val="single" w:sz="4" w:space="0" w:color="auto"/>
              <w:right w:val="single" w:sz="4" w:space="0" w:color="auto"/>
            </w:tcBorders>
            <w:shd w:val="clear" w:color="000000" w:fill="BFBFBF"/>
            <w:noWrap/>
            <w:vAlign w:val="bottom"/>
          </w:tcPr>
          <w:p w14:paraId="05842781" w14:textId="3B3F8057" w:rsidR="00B62663" w:rsidRPr="00A33DD2" w:rsidRDefault="00B62663" w:rsidP="00F76882">
            <w:r w:rsidRPr="00A33DD2">
              <w:t>0</w:t>
            </w:r>
          </w:p>
        </w:tc>
        <w:tc>
          <w:tcPr>
            <w:tcW w:w="921" w:type="pct"/>
            <w:tcBorders>
              <w:top w:val="nil"/>
              <w:left w:val="nil"/>
              <w:bottom w:val="single" w:sz="4" w:space="0" w:color="auto"/>
              <w:right w:val="single" w:sz="4" w:space="0" w:color="auto"/>
            </w:tcBorders>
            <w:shd w:val="clear" w:color="000000" w:fill="BFBFBF"/>
            <w:noWrap/>
            <w:vAlign w:val="bottom"/>
          </w:tcPr>
          <w:p w14:paraId="39EC24BB" w14:textId="0E2B64CC" w:rsidR="00B62663" w:rsidRPr="00A33DD2" w:rsidRDefault="00B62663" w:rsidP="00F76882">
            <w:r w:rsidRPr="00A33DD2">
              <w:t>0</w:t>
            </w:r>
          </w:p>
        </w:tc>
      </w:tr>
      <w:tr w:rsidR="00B62663" w:rsidRPr="0036007C" w14:paraId="6BB78489" w14:textId="77777777" w:rsidTr="00B62663">
        <w:trPr>
          <w:trHeight w:val="580"/>
        </w:trPr>
        <w:tc>
          <w:tcPr>
            <w:tcW w:w="1315" w:type="pct"/>
            <w:tcBorders>
              <w:top w:val="nil"/>
              <w:left w:val="single" w:sz="4" w:space="0" w:color="auto"/>
              <w:bottom w:val="single" w:sz="4" w:space="0" w:color="auto"/>
              <w:right w:val="single" w:sz="4" w:space="0" w:color="auto"/>
            </w:tcBorders>
            <w:vAlign w:val="bottom"/>
            <w:hideMark/>
          </w:tcPr>
          <w:p w14:paraId="33766E81" w14:textId="77777777" w:rsidR="00B62663" w:rsidRPr="003D3BBA" w:rsidRDefault="00B62663" w:rsidP="00F76882">
            <w:r w:rsidRPr="003D3BBA">
              <w:t>Received 6-monthly treatment</w:t>
            </w:r>
          </w:p>
        </w:tc>
        <w:tc>
          <w:tcPr>
            <w:tcW w:w="921" w:type="pct"/>
            <w:tcBorders>
              <w:top w:val="nil"/>
              <w:left w:val="nil"/>
              <w:bottom w:val="single" w:sz="4" w:space="0" w:color="auto"/>
              <w:right w:val="single" w:sz="4" w:space="0" w:color="auto"/>
            </w:tcBorders>
            <w:noWrap/>
            <w:vAlign w:val="bottom"/>
          </w:tcPr>
          <w:p w14:paraId="617A1CC2" w14:textId="31C69BC2" w:rsidR="00B62663" w:rsidRPr="00A33DD2" w:rsidRDefault="00B62663" w:rsidP="00F76882">
            <w:r w:rsidRPr="00A33DD2">
              <w:t>0</w:t>
            </w:r>
          </w:p>
        </w:tc>
        <w:tc>
          <w:tcPr>
            <w:tcW w:w="921" w:type="pct"/>
            <w:tcBorders>
              <w:top w:val="nil"/>
              <w:left w:val="nil"/>
              <w:bottom w:val="single" w:sz="4" w:space="0" w:color="auto"/>
              <w:right w:val="single" w:sz="4" w:space="0" w:color="auto"/>
            </w:tcBorders>
            <w:noWrap/>
            <w:vAlign w:val="bottom"/>
          </w:tcPr>
          <w:p w14:paraId="24AE2CC6" w14:textId="2B523D6A" w:rsidR="00B62663" w:rsidRPr="00A33DD2" w:rsidRDefault="00B62663" w:rsidP="00F76882">
            <w:r w:rsidRPr="00A33DD2">
              <w:t>0</w:t>
            </w:r>
          </w:p>
        </w:tc>
        <w:tc>
          <w:tcPr>
            <w:tcW w:w="921" w:type="pct"/>
            <w:tcBorders>
              <w:top w:val="nil"/>
              <w:left w:val="nil"/>
              <w:bottom w:val="single" w:sz="4" w:space="0" w:color="auto"/>
              <w:right w:val="single" w:sz="4" w:space="0" w:color="auto"/>
            </w:tcBorders>
            <w:noWrap/>
            <w:vAlign w:val="bottom"/>
          </w:tcPr>
          <w:p w14:paraId="48F869CB" w14:textId="0D0AE07B" w:rsidR="00B62663" w:rsidRPr="00A33DD2" w:rsidRDefault="00B62663" w:rsidP="00F76882">
            <w:r w:rsidRPr="00A33DD2">
              <w:t>0</w:t>
            </w:r>
          </w:p>
        </w:tc>
        <w:tc>
          <w:tcPr>
            <w:tcW w:w="921" w:type="pct"/>
            <w:tcBorders>
              <w:top w:val="nil"/>
              <w:left w:val="nil"/>
              <w:bottom w:val="single" w:sz="4" w:space="0" w:color="auto"/>
              <w:right w:val="single" w:sz="4" w:space="0" w:color="auto"/>
            </w:tcBorders>
            <w:noWrap/>
            <w:vAlign w:val="bottom"/>
          </w:tcPr>
          <w:p w14:paraId="7CFF5D9E" w14:textId="75528168" w:rsidR="00B62663" w:rsidRPr="00A33DD2" w:rsidRDefault="00B62663" w:rsidP="00F76882">
            <w:r w:rsidRPr="00A33DD2">
              <w:t>0</w:t>
            </w:r>
          </w:p>
        </w:tc>
      </w:tr>
      <w:tr w:rsidR="00B62663" w:rsidRPr="0036007C" w14:paraId="44CA2E62" w14:textId="77777777" w:rsidTr="00B62663">
        <w:trPr>
          <w:trHeight w:val="290"/>
        </w:trPr>
        <w:tc>
          <w:tcPr>
            <w:tcW w:w="1315" w:type="pct"/>
            <w:tcBorders>
              <w:top w:val="nil"/>
              <w:left w:val="single" w:sz="4" w:space="0" w:color="auto"/>
              <w:bottom w:val="single" w:sz="4" w:space="0" w:color="auto"/>
              <w:right w:val="single" w:sz="4" w:space="0" w:color="auto"/>
            </w:tcBorders>
            <w:shd w:val="clear" w:color="000000" w:fill="BFBFBF"/>
            <w:vAlign w:val="bottom"/>
            <w:hideMark/>
          </w:tcPr>
          <w:p w14:paraId="7A646BA2" w14:textId="77777777" w:rsidR="00B62663" w:rsidRPr="003D3BBA" w:rsidRDefault="00B62663" w:rsidP="00F76882">
            <w:r w:rsidRPr="003D3BBA">
              <w:t>Did not require treatment</w:t>
            </w:r>
          </w:p>
        </w:tc>
        <w:tc>
          <w:tcPr>
            <w:tcW w:w="921" w:type="pct"/>
            <w:tcBorders>
              <w:top w:val="nil"/>
              <w:left w:val="nil"/>
              <w:bottom w:val="single" w:sz="4" w:space="0" w:color="auto"/>
              <w:right w:val="single" w:sz="4" w:space="0" w:color="auto"/>
            </w:tcBorders>
            <w:shd w:val="clear" w:color="000000" w:fill="BFBFBF"/>
            <w:noWrap/>
            <w:vAlign w:val="bottom"/>
          </w:tcPr>
          <w:p w14:paraId="79822D65" w14:textId="793B71DB" w:rsidR="00B62663" w:rsidRPr="00A33DD2" w:rsidRDefault="00B62663" w:rsidP="00F76882">
            <w:r w:rsidRPr="00A33DD2">
              <w:t>27</w:t>
            </w:r>
          </w:p>
        </w:tc>
        <w:tc>
          <w:tcPr>
            <w:tcW w:w="921" w:type="pct"/>
            <w:tcBorders>
              <w:top w:val="nil"/>
              <w:left w:val="nil"/>
              <w:bottom w:val="single" w:sz="4" w:space="0" w:color="auto"/>
              <w:right w:val="single" w:sz="4" w:space="0" w:color="auto"/>
            </w:tcBorders>
            <w:shd w:val="clear" w:color="000000" w:fill="BFBFBF"/>
            <w:noWrap/>
            <w:vAlign w:val="bottom"/>
          </w:tcPr>
          <w:p w14:paraId="12146C29" w14:textId="788BE128" w:rsidR="00B62663" w:rsidRPr="00A33DD2" w:rsidRDefault="00B62663" w:rsidP="00F76882">
            <w:r w:rsidRPr="00A33DD2">
              <w:t>15</w:t>
            </w:r>
          </w:p>
        </w:tc>
        <w:tc>
          <w:tcPr>
            <w:tcW w:w="921" w:type="pct"/>
            <w:tcBorders>
              <w:top w:val="nil"/>
              <w:left w:val="nil"/>
              <w:bottom w:val="single" w:sz="4" w:space="0" w:color="auto"/>
              <w:right w:val="single" w:sz="4" w:space="0" w:color="auto"/>
            </w:tcBorders>
            <w:shd w:val="clear" w:color="000000" w:fill="BFBFBF"/>
            <w:noWrap/>
            <w:vAlign w:val="bottom"/>
          </w:tcPr>
          <w:p w14:paraId="34862D19" w14:textId="2949AC73" w:rsidR="00B62663" w:rsidRPr="00A33DD2" w:rsidRDefault="00B62663" w:rsidP="00F76882">
            <w:r w:rsidRPr="00A33DD2">
              <w:t>19</w:t>
            </w:r>
          </w:p>
        </w:tc>
        <w:tc>
          <w:tcPr>
            <w:tcW w:w="921" w:type="pct"/>
            <w:tcBorders>
              <w:top w:val="nil"/>
              <w:left w:val="nil"/>
              <w:bottom w:val="single" w:sz="4" w:space="0" w:color="auto"/>
              <w:right w:val="single" w:sz="4" w:space="0" w:color="auto"/>
            </w:tcBorders>
            <w:shd w:val="clear" w:color="000000" w:fill="BFBFBF"/>
            <w:noWrap/>
            <w:vAlign w:val="bottom"/>
          </w:tcPr>
          <w:p w14:paraId="1A7CE782" w14:textId="0A69876E" w:rsidR="00B62663" w:rsidRPr="00A33DD2" w:rsidRDefault="00B62663" w:rsidP="00F76882">
            <w:r w:rsidRPr="00A33DD2">
              <w:t>61</w:t>
            </w:r>
          </w:p>
        </w:tc>
      </w:tr>
      <w:tr w:rsidR="00B62663" w:rsidRPr="0036007C" w14:paraId="1554F575" w14:textId="77777777" w:rsidTr="00B62663">
        <w:trPr>
          <w:trHeight w:val="580"/>
        </w:trPr>
        <w:tc>
          <w:tcPr>
            <w:tcW w:w="1315" w:type="pct"/>
            <w:tcBorders>
              <w:top w:val="nil"/>
              <w:left w:val="single" w:sz="4" w:space="0" w:color="auto"/>
              <w:bottom w:val="single" w:sz="4" w:space="0" w:color="auto"/>
              <w:right w:val="single" w:sz="4" w:space="0" w:color="auto"/>
            </w:tcBorders>
            <w:vAlign w:val="bottom"/>
            <w:hideMark/>
          </w:tcPr>
          <w:p w14:paraId="1B623C5F" w14:textId="4FE37695" w:rsidR="00B62663" w:rsidRPr="003D3BBA" w:rsidRDefault="00B62663" w:rsidP="00F76882">
            <w:r w:rsidRPr="003D3BBA">
              <w:t>Treated active trachoma and household</w:t>
            </w:r>
            <w:r w:rsidR="00FD38AE" w:rsidRPr="003D3BBA">
              <w:t xml:space="preserve"> contacts</w:t>
            </w:r>
          </w:p>
        </w:tc>
        <w:tc>
          <w:tcPr>
            <w:tcW w:w="921" w:type="pct"/>
            <w:tcBorders>
              <w:top w:val="nil"/>
              <w:left w:val="nil"/>
              <w:bottom w:val="single" w:sz="4" w:space="0" w:color="auto"/>
              <w:right w:val="single" w:sz="4" w:space="0" w:color="auto"/>
            </w:tcBorders>
            <w:noWrap/>
            <w:vAlign w:val="bottom"/>
          </w:tcPr>
          <w:p w14:paraId="22B2C907" w14:textId="0D7D3DA9" w:rsidR="00B62663" w:rsidRPr="00A33DD2" w:rsidRDefault="00B62663" w:rsidP="00F76882">
            <w:r w:rsidRPr="00A33DD2">
              <w:t>12</w:t>
            </w:r>
          </w:p>
        </w:tc>
        <w:tc>
          <w:tcPr>
            <w:tcW w:w="921" w:type="pct"/>
            <w:tcBorders>
              <w:top w:val="nil"/>
              <w:left w:val="nil"/>
              <w:bottom w:val="single" w:sz="4" w:space="0" w:color="auto"/>
              <w:right w:val="single" w:sz="4" w:space="0" w:color="auto"/>
            </w:tcBorders>
            <w:noWrap/>
            <w:vAlign w:val="bottom"/>
          </w:tcPr>
          <w:p w14:paraId="3FD6D414" w14:textId="18B346CD" w:rsidR="00B62663" w:rsidRPr="00A33DD2" w:rsidRDefault="00B62663" w:rsidP="00F76882">
            <w:r w:rsidRPr="00A33DD2">
              <w:t>0</w:t>
            </w:r>
          </w:p>
        </w:tc>
        <w:tc>
          <w:tcPr>
            <w:tcW w:w="921" w:type="pct"/>
            <w:tcBorders>
              <w:top w:val="nil"/>
              <w:left w:val="nil"/>
              <w:bottom w:val="single" w:sz="4" w:space="0" w:color="auto"/>
              <w:right w:val="single" w:sz="4" w:space="0" w:color="auto"/>
            </w:tcBorders>
            <w:noWrap/>
            <w:vAlign w:val="bottom"/>
          </w:tcPr>
          <w:p w14:paraId="2F92E87F" w14:textId="30AFE81C" w:rsidR="00B62663" w:rsidRPr="00A33DD2" w:rsidRDefault="00B62663" w:rsidP="00F76882">
            <w:r w:rsidRPr="00A33DD2">
              <w:t>7</w:t>
            </w:r>
          </w:p>
        </w:tc>
        <w:tc>
          <w:tcPr>
            <w:tcW w:w="921" w:type="pct"/>
            <w:tcBorders>
              <w:top w:val="nil"/>
              <w:left w:val="nil"/>
              <w:bottom w:val="single" w:sz="4" w:space="0" w:color="auto"/>
              <w:right w:val="single" w:sz="4" w:space="0" w:color="auto"/>
            </w:tcBorders>
            <w:noWrap/>
            <w:vAlign w:val="bottom"/>
          </w:tcPr>
          <w:p w14:paraId="31EE12D3" w14:textId="67685881" w:rsidR="00B62663" w:rsidRPr="00A33DD2" w:rsidRDefault="00B62663" w:rsidP="00F76882">
            <w:r w:rsidRPr="00A33DD2">
              <w:t>19</w:t>
            </w:r>
          </w:p>
        </w:tc>
      </w:tr>
      <w:tr w:rsidR="00B62663" w:rsidRPr="0036007C" w14:paraId="61CE5BE0" w14:textId="77777777" w:rsidTr="00B62663">
        <w:trPr>
          <w:trHeight w:val="290"/>
        </w:trPr>
        <w:tc>
          <w:tcPr>
            <w:tcW w:w="1315" w:type="pct"/>
            <w:tcBorders>
              <w:top w:val="nil"/>
              <w:left w:val="single" w:sz="4" w:space="0" w:color="auto"/>
              <w:bottom w:val="single" w:sz="4" w:space="0" w:color="auto"/>
              <w:right w:val="single" w:sz="4" w:space="0" w:color="auto"/>
            </w:tcBorders>
            <w:shd w:val="clear" w:color="000000" w:fill="BFBFBF"/>
            <w:vAlign w:val="bottom"/>
            <w:hideMark/>
          </w:tcPr>
          <w:p w14:paraId="775943F2" w14:textId="218020E0" w:rsidR="00B62663" w:rsidRPr="003D3BBA" w:rsidRDefault="00B62663" w:rsidP="00F76882">
            <w:r w:rsidRPr="003D3BBA">
              <w:t>Community-wide treatment</w:t>
            </w:r>
          </w:p>
        </w:tc>
        <w:tc>
          <w:tcPr>
            <w:tcW w:w="921" w:type="pct"/>
            <w:tcBorders>
              <w:top w:val="nil"/>
              <w:left w:val="nil"/>
              <w:bottom w:val="single" w:sz="4" w:space="0" w:color="auto"/>
              <w:right w:val="single" w:sz="4" w:space="0" w:color="auto"/>
            </w:tcBorders>
            <w:shd w:val="clear" w:color="000000" w:fill="BFBFBF"/>
            <w:noWrap/>
            <w:vAlign w:val="bottom"/>
          </w:tcPr>
          <w:p w14:paraId="36908ED4" w14:textId="29184101" w:rsidR="00B62663" w:rsidRPr="00A33DD2" w:rsidRDefault="00B62663" w:rsidP="00F76882">
            <w:r w:rsidRPr="00A33DD2">
              <w:t>6</w:t>
            </w:r>
          </w:p>
        </w:tc>
        <w:tc>
          <w:tcPr>
            <w:tcW w:w="921" w:type="pct"/>
            <w:tcBorders>
              <w:top w:val="nil"/>
              <w:left w:val="nil"/>
              <w:bottom w:val="single" w:sz="4" w:space="0" w:color="auto"/>
              <w:right w:val="single" w:sz="4" w:space="0" w:color="auto"/>
            </w:tcBorders>
            <w:shd w:val="clear" w:color="000000" w:fill="BFBFBF"/>
            <w:noWrap/>
            <w:vAlign w:val="bottom"/>
          </w:tcPr>
          <w:p w14:paraId="62C434DA" w14:textId="22828BAC" w:rsidR="00B62663" w:rsidRPr="00A33DD2" w:rsidRDefault="00B62663" w:rsidP="00F76882">
            <w:r w:rsidRPr="00A33DD2">
              <w:t>0</w:t>
            </w:r>
          </w:p>
        </w:tc>
        <w:tc>
          <w:tcPr>
            <w:tcW w:w="921" w:type="pct"/>
            <w:tcBorders>
              <w:top w:val="nil"/>
              <w:left w:val="nil"/>
              <w:bottom w:val="single" w:sz="4" w:space="0" w:color="auto"/>
              <w:right w:val="single" w:sz="4" w:space="0" w:color="auto"/>
            </w:tcBorders>
            <w:shd w:val="clear" w:color="000000" w:fill="BFBFBF"/>
            <w:noWrap/>
            <w:vAlign w:val="bottom"/>
          </w:tcPr>
          <w:p w14:paraId="1C2C873C" w14:textId="053503D4" w:rsidR="00B62663" w:rsidRPr="00A33DD2" w:rsidRDefault="00B62663" w:rsidP="00F76882">
            <w:r w:rsidRPr="00A33DD2">
              <w:t>0</w:t>
            </w:r>
          </w:p>
        </w:tc>
        <w:tc>
          <w:tcPr>
            <w:tcW w:w="921" w:type="pct"/>
            <w:tcBorders>
              <w:top w:val="nil"/>
              <w:left w:val="nil"/>
              <w:bottom w:val="single" w:sz="4" w:space="0" w:color="auto"/>
              <w:right w:val="single" w:sz="4" w:space="0" w:color="auto"/>
            </w:tcBorders>
            <w:shd w:val="clear" w:color="000000" w:fill="BFBFBF"/>
            <w:noWrap/>
            <w:vAlign w:val="bottom"/>
          </w:tcPr>
          <w:p w14:paraId="734CBBD2" w14:textId="5DE09449" w:rsidR="00B62663" w:rsidRPr="00A33DD2" w:rsidRDefault="00B62663" w:rsidP="00F76882">
            <w:r w:rsidRPr="00A33DD2">
              <w:t>6</w:t>
            </w:r>
          </w:p>
        </w:tc>
      </w:tr>
      <w:tr w:rsidR="00B62663" w:rsidRPr="0036007C" w14:paraId="023D9581" w14:textId="77777777" w:rsidTr="00B62663">
        <w:trPr>
          <w:trHeight w:val="580"/>
        </w:trPr>
        <w:tc>
          <w:tcPr>
            <w:tcW w:w="1315" w:type="pct"/>
            <w:tcBorders>
              <w:top w:val="nil"/>
              <w:left w:val="single" w:sz="4" w:space="0" w:color="auto"/>
              <w:bottom w:val="single" w:sz="4" w:space="0" w:color="auto"/>
              <w:right w:val="single" w:sz="4" w:space="0" w:color="auto"/>
            </w:tcBorders>
            <w:vAlign w:val="bottom"/>
            <w:hideMark/>
          </w:tcPr>
          <w:p w14:paraId="44A7927E" w14:textId="35C37BEF" w:rsidR="00B62663" w:rsidRPr="003D3BBA" w:rsidRDefault="00B62663" w:rsidP="00F76882">
            <w:r w:rsidRPr="003D3BBA">
              <w:t>Not treated according to CDNA Guidelines</w:t>
            </w:r>
          </w:p>
        </w:tc>
        <w:tc>
          <w:tcPr>
            <w:tcW w:w="921" w:type="pct"/>
            <w:tcBorders>
              <w:top w:val="nil"/>
              <w:left w:val="nil"/>
              <w:bottom w:val="single" w:sz="4" w:space="0" w:color="auto"/>
              <w:right w:val="single" w:sz="4" w:space="0" w:color="auto"/>
            </w:tcBorders>
            <w:noWrap/>
            <w:vAlign w:val="bottom"/>
          </w:tcPr>
          <w:p w14:paraId="6BABB7C0" w14:textId="0BA59E2C" w:rsidR="00B62663" w:rsidRPr="00A33DD2" w:rsidRDefault="00B62663" w:rsidP="00F76882">
            <w:r w:rsidRPr="00A33DD2">
              <w:t>0</w:t>
            </w:r>
          </w:p>
        </w:tc>
        <w:tc>
          <w:tcPr>
            <w:tcW w:w="921" w:type="pct"/>
            <w:tcBorders>
              <w:top w:val="nil"/>
              <w:left w:val="nil"/>
              <w:bottom w:val="single" w:sz="4" w:space="0" w:color="auto"/>
              <w:right w:val="single" w:sz="4" w:space="0" w:color="auto"/>
            </w:tcBorders>
            <w:noWrap/>
            <w:vAlign w:val="bottom"/>
          </w:tcPr>
          <w:p w14:paraId="35B521A2" w14:textId="6BB1B5CE" w:rsidR="00B62663" w:rsidRPr="00A33DD2" w:rsidRDefault="00B62663" w:rsidP="00F76882">
            <w:r w:rsidRPr="00A33DD2">
              <w:t>0</w:t>
            </w:r>
          </w:p>
        </w:tc>
        <w:tc>
          <w:tcPr>
            <w:tcW w:w="921" w:type="pct"/>
            <w:tcBorders>
              <w:top w:val="nil"/>
              <w:left w:val="nil"/>
              <w:bottom w:val="single" w:sz="4" w:space="0" w:color="auto"/>
              <w:right w:val="single" w:sz="4" w:space="0" w:color="auto"/>
            </w:tcBorders>
            <w:noWrap/>
            <w:vAlign w:val="bottom"/>
          </w:tcPr>
          <w:p w14:paraId="00D81873" w14:textId="1B98860A" w:rsidR="00B62663" w:rsidRPr="00A33DD2" w:rsidRDefault="00B62663" w:rsidP="00F76882">
            <w:r w:rsidRPr="00A33DD2">
              <w:t>0</w:t>
            </w:r>
          </w:p>
        </w:tc>
        <w:tc>
          <w:tcPr>
            <w:tcW w:w="921" w:type="pct"/>
            <w:tcBorders>
              <w:top w:val="nil"/>
              <w:left w:val="nil"/>
              <w:bottom w:val="single" w:sz="4" w:space="0" w:color="auto"/>
              <w:right w:val="single" w:sz="4" w:space="0" w:color="auto"/>
            </w:tcBorders>
            <w:noWrap/>
            <w:vAlign w:val="bottom"/>
          </w:tcPr>
          <w:p w14:paraId="7D2EAA06" w14:textId="455AFE2E" w:rsidR="00B62663" w:rsidRPr="00A33DD2" w:rsidRDefault="00B62663" w:rsidP="00F76882">
            <w:r w:rsidRPr="00A33DD2">
              <w:t>0</w:t>
            </w:r>
          </w:p>
        </w:tc>
      </w:tr>
    </w:tbl>
    <w:p w14:paraId="42235327" w14:textId="77777777" w:rsidR="00695E0E" w:rsidRPr="0036007C" w:rsidRDefault="00695E0E" w:rsidP="00F76882">
      <w:pPr>
        <w:pStyle w:val="Tableheadings"/>
        <w:sectPr w:rsidR="00695E0E" w:rsidRPr="0036007C" w:rsidSect="00695E0E">
          <w:pgSz w:w="11906" w:h="16838"/>
          <w:pgMar w:top="720" w:right="720" w:bottom="720" w:left="720" w:header="709" w:footer="709" w:gutter="0"/>
          <w:cols w:space="708"/>
          <w:docGrid w:linePitch="360"/>
        </w:sectPr>
      </w:pPr>
      <w:bookmarkStart w:id="211" w:name="_Ref58336115"/>
      <w:bookmarkEnd w:id="209"/>
      <w:bookmarkEnd w:id="210"/>
    </w:p>
    <w:p w14:paraId="00DD6415" w14:textId="226E159A" w:rsidR="009D5DB1" w:rsidRPr="0036007C" w:rsidRDefault="009D5DB1" w:rsidP="00F76882">
      <w:pPr>
        <w:pStyle w:val="Tableheadings"/>
      </w:pPr>
      <w:bookmarkStart w:id="212" w:name="_Toc215224700"/>
      <w:r w:rsidRPr="0036007C">
        <w:t xml:space="preserve">Table </w:t>
      </w:r>
      <w:r w:rsidR="00626483" w:rsidRPr="0036007C">
        <w:t>1</w:t>
      </w:r>
      <w:r w:rsidR="000B2552" w:rsidRPr="0036007C">
        <w:t>.</w:t>
      </w:r>
      <w:r w:rsidRPr="0036007C">
        <w:fldChar w:fldCharType="begin"/>
      </w:r>
      <w:r w:rsidRPr="0036007C">
        <w:instrText>SEQ Table \* ARABIC \s 1</w:instrText>
      </w:r>
      <w:r w:rsidRPr="0036007C">
        <w:fldChar w:fldCharType="separate"/>
      </w:r>
      <w:r w:rsidR="00D23948" w:rsidRPr="0036007C">
        <w:t>5</w:t>
      </w:r>
      <w:r w:rsidRPr="0036007C">
        <w:fldChar w:fldCharType="end"/>
      </w:r>
      <w:bookmarkEnd w:id="211"/>
      <w:r w:rsidR="008770BF" w:rsidRPr="0036007C">
        <w:tab/>
      </w:r>
      <w:r w:rsidR="008B7F28" w:rsidRPr="0036007C">
        <w:t xml:space="preserve">Antibiotic </w:t>
      </w:r>
      <w:r w:rsidR="0041645E" w:rsidRPr="0036007C">
        <w:t>distribution</w:t>
      </w:r>
      <w:r w:rsidRPr="0036007C">
        <w:t xml:space="preserve"> </w:t>
      </w:r>
      <w:r w:rsidR="006A5AE9" w:rsidRPr="0036007C">
        <w:t xml:space="preserve">and </w:t>
      </w:r>
      <w:r w:rsidRPr="0036007C">
        <w:t>coverage</w:t>
      </w:r>
      <w:r w:rsidR="00356118" w:rsidRPr="0036007C">
        <w:t xml:space="preserve"> by </w:t>
      </w:r>
      <w:r w:rsidR="00BC1233" w:rsidRPr="0036007C">
        <w:t>age</w:t>
      </w:r>
      <w:r w:rsidR="001015A4" w:rsidRPr="0036007C">
        <w:t xml:space="preserve"> and</w:t>
      </w:r>
      <w:r w:rsidR="006A5AE9" w:rsidRPr="0036007C">
        <w:t xml:space="preserve"> </w:t>
      </w:r>
      <w:r w:rsidR="00356118" w:rsidRPr="0036007C">
        <w:t>jurisdiction</w:t>
      </w:r>
      <w:r w:rsidR="001015A4" w:rsidRPr="0036007C">
        <w:t xml:space="preserve">, </w:t>
      </w:r>
      <w:r w:rsidRPr="0036007C">
        <w:t>Australia</w:t>
      </w:r>
      <w:r w:rsidR="001937AB" w:rsidRPr="0036007C">
        <w:t>,</w:t>
      </w:r>
      <w:r w:rsidRPr="0036007C">
        <w:t xml:space="preserve"> </w:t>
      </w:r>
      <w:r w:rsidR="00E76BB4" w:rsidRPr="0036007C">
        <w:t>202</w:t>
      </w:r>
      <w:bookmarkStart w:id="213" w:name="_Toc392153887"/>
      <w:r w:rsidR="007D71C6" w:rsidRPr="0036007C">
        <w:t>4</w:t>
      </w:r>
      <w:bookmarkEnd w:id="212"/>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tibiotic distribution and coverage by age and jurisdiction, Australia, 2024  "/>
        <w:tblDescription w:val="Table 1.5 compares the numbers and proportions of persons who required and received treatment by the age groups: 0-4, 5–9, 10-14, 15+, and all years. Data is presented for the Northern Territory, Western Australia, and the cumulative total.&#10;"/>
      </w:tblPr>
      <w:tblGrid>
        <w:gridCol w:w="3456"/>
        <w:gridCol w:w="700"/>
        <w:gridCol w:w="698"/>
        <w:gridCol w:w="854"/>
        <w:gridCol w:w="851"/>
        <w:gridCol w:w="912"/>
        <w:gridCol w:w="738"/>
        <w:gridCol w:w="692"/>
        <w:gridCol w:w="851"/>
        <w:gridCol w:w="783"/>
        <w:gridCol w:w="787"/>
        <w:gridCol w:w="692"/>
        <w:gridCol w:w="692"/>
        <w:gridCol w:w="851"/>
        <w:gridCol w:w="854"/>
        <w:gridCol w:w="832"/>
      </w:tblGrid>
      <w:tr w:rsidR="007C4899" w:rsidRPr="0036007C" w14:paraId="6A8C3100" w14:textId="77777777" w:rsidTr="006043C2">
        <w:trPr>
          <w:trHeight w:val="290"/>
          <w:tblHeader/>
        </w:trPr>
        <w:tc>
          <w:tcPr>
            <w:tcW w:w="1134" w:type="pct"/>
            <w:shd w:val="clear" w:color="auto" w:fill="BFBFBF"/>
            <w:tcMar>
              <w:top w:w="15" w:type="dxa"/>
              <w:left w:w="108" w:type="dxa"/>
              <w:bottom w:w="0" w:type="dxa"/>
              <w:right w:w="108" w:type="dxa"/>
            </w:tcMar>
          </w:tcPr>
          <w:p w14:paraId="724A9FB6" w14:textId="77777777" w:rsidR="007C4899" w:rsidRPr="0036007C" w:rsidRDefault="007C4899" w:rsidP="00F76882">
            <w:pPr>
              <w:pStyle w:val="Tableheading"/>
            </w:pPr>
          </w:p>
        </w:tc>
        <w:tc>
          <w:tcPr>
            <w:tcW w:w="1317" w:type="pct"/>
            <w:gridSpan w:val="5"/>
            <w:shd w:val="clear" w:color="auto" w:fill="BFBFBF"/>
            <w:noWrap/>
            <w:tcMar>
              <w:top w:w="15" w:type="dxa"/>
              <w:left w:w="108" w:type="dxa"/>
              <w:bottom w:w="0" w:type="dxa"/>
              <w:right w:w="108" w:type="dxa"/>
            </w:tcMar>
          </w:tcPr>
          <w:p w14:paraId="00CB4D0B" w14:textId="7ED210FE" w:rsidR="007C4899" w:rsidRPr="00C002DA" w:rsidRDefault="007C4899" w:rsidP="00F76882">
            <w:pPr>
              <w:pStyle w:val="Tableheading"/>
            </w:pPr>
            <w:r w:rsidRPr="00C002DA">
              <w:t>Northern Territory</w:t>
            </w:r>
          </w:p>
        </w:tc>
        <w:tc>
          <w:tcPr>
            <w:tcW w:w="1263" w:type="pct"/>
            <w:gridSpan w:val="5"/>
            <w:shd w:val="clear" w:color="auto" w:fill="BFBFBF"/>
            <w:noWrap/>
            <w:tcMar>
              <w:top w:w="15" w:type="dxa"/>
              <w:left w:w="108" w:type="dxa"/>
              <w:bottom w:w="0" w:type="dxa"/>
              <w:right w:w="108" w:type="dxa"/>
            </w:tcMar>
          </w:tcPr>
          <w:p w14:paraId="3934D674" w14:textId="5BE2D28A" w:rsidR="007C4899" w:rsidRPr="00C002DA" w:rsidRDefault="007C4899" w:rsidP="00F76882">
            <w:pPr>
              <w:pStyle w:val="Tableheading"/>
            </w:pPr>
            <w:r w:rsidRPr="00C002DA">
              <w:t>Western Australia</w:t>
            </w:r>
          </w:p>
        </w:tc>
        <w:tc>
          <w:tcPr>
            <w:tcW w:w="1286" w:type="pct"/>
            <w:gridSpan w:val="5"/>
            <w:shd w:val="clear" w:color="auto" w:fill="BFBFBF"/>
            <w:noWrap/>
            <w:tcMar>
              <w:top w:w="15" w:type="dxa"/>
              <w:left w:w="108" w:type="dxa"/>
              <w:bottom w:w="0" w:type="dxa"/>
              <w:right w:w="108" w:type="dxa"/>
            </w:tcMar>
          </w:tcPr>
          <w:p w14:paraId="455860F3" w14:textId="27B3D220" w:rsidR="007C4899" w:rsidRPr="00C002DA" w:rsidRDefault="007C4899" w:rsidP="00F76882">
            <w:pPr>
              <w:pStyle w:val="Tableheading"/>
            </w:pPr>
            <w:r w:rsidRPr="00C002DA">
              <w:t>Total</w:t>
            </w:r>
          </w:p>
        </w:tc>
      </w:tr>
      <w:tr w:rsidR="00274076" w:rsidRPr="0036007C" w14:paraId="45932B43" w14:textId="77777777" w:rsidTr="000C705E">
        <w:trPr>
          <w:trHeight w:val="290"/>
        </w:trPr>
        <w:tc>
          <w:tcPr>
            <w:tcW w:w="1134" w:type="pct"/>
            <w:tcMar>
              <w:top w:w="15" w:type="dxa"/>
              <w:left w:w="108" w:type="dxa"/>
              <w:bottom w:w="0" w:type="dxa"/>
              <w:right w:w="108" w:type="dxa"/>
            </w:tcMar>
            <w:hideMark/>
          </w:tcPr>
          <w:p w14:paraId="7C96CA9B" w14:textId="77777777" w:rsidR="00C646D7" w:rsidRPr="003D3BBA" w:rsidRDefault="00C646D7" w:rsidP="00F76882">
            <w:pPr>
              <w:pStyle w:val="Tabletextleft"/>
            </w:pPr>
            <w:r w:rsidRPr="003D3BBA">
              <w:t>Age group (years)</w:t>
            </w:r>
          </w:p>
        </w:tc>
        <w:tc>
          <w:tcPr>
            <w:tcW w:w="230" w:type="pct"/>
            <w:noWrap/>
            <w:tcMar>
              <w:top w:w="15" w:type="dxa"/>
              <w:left w:w="108" w:type="dxa"/>
              <w:bottom w:w="0" w:type="dxa"/>
              <w:right w:w="108" w:type="dxa"/>
            </w:tcMar>
            <w:hideMark/>
          </w:tcPr>
          <w:p w14:paraId="3FE78AFA" w14:textId="5E52ED21" w:rsidR="00C646D7" w:rsidRPr="003D3BBA" w:rsidRDefault="00C646D7" w:rsidP="00F76882">
            <w:r w:rsidRPr="003D3BBA">
              <w:t>0</w:t>
            </w:r>
            <w:r w:rsidR="003D00CE" w:rsidRPr="003D3BBA">
              <w:t>–</w:t>
            </w:r>
            <w:r w:rsidRPr="003D3BBA">
              <w:t>4</w:t>
            </w:r>
          </w:p>
        </w:tc>
        <w:tc>
          <w:tcPr>
            <w:tcW w:w="229" w:type="pct"/>
            <w:noWrap/>
            <w:tcMar>
              <w:top w:w="15" w:type="dxa"/>
              <w:left w:w="108" w:type="dxa"/>
              <w:bottom w:w="0" w:type="dxa"/>
              <w:right w:w="108" w:type="dxa"/>
            </w:tcMar>
            <w:hideMark/>
          </w:tcPr>
          <w:p w14:paraId="30CB7D9A" w14:textId="2FFA0944" w:rsidR="00C646D7" w:rsidRPr="003D3BBA" w:rsidRDefault="00C646D7" w:rsidP="00F76882">
            <w:r w:rsidRPr="003D3BBA">
              <w:t>5</w:t>
            </w:r>
            <w:r w:rsidR="003D00CE" w:rsidRPr="003D3BBA">
              <w:t>–</w:t>
            </w:r>
            <w:r w:rsidRPr="003D3BBA">
              <w:t>9</w:t>
            </w:r>
          </w:p>
        </w:tc>
        <w:tc>
          <w:tcPr>
            <w:tcW w:w="280" w:type="pct"/>
            <w:noWrap/>
            <w:tcMar>
              <w:top w:w="15" w:type="dxa"/>
              <w:left w:w="108" w:type="dxa"/>
              <w:bottom w:w="0" w:type="dxa"/>
              <w:right w:w="108" w:type="dxa"/>
            </w:tcMar>
            <w:hideMark/>
          </w:tcPr>
          <w:p w14:paraId="099E3C30" w14:textId="57D5C5F8" w:rsidR="00C646D7" w:rsidRPr="003D3BBA" w:rsidRDefault="00C646D7" w:rsidP="00F76882">
            <w:r w:rsidRPr="003D3BBA">
              <w:t>10</w:t>
            </w:r>
            <w:r w:rsidR="003D00CE" w:rsidRPr="003D3BBA">
              <w:t>–</w:t>
            </w:r>
            <w:r w:rsidRPr="003D3BBA">
              <w:t>14</w:t>
            </w:r>
          </w:p>
        </w:tc>
        <w:tc>
          <w:tcPr>
            <w:tcW w:w="279" w:type="pct"/>
            <w:noWrap/>
            <w:tcMar>
              <w:top w:w="15" w:type="dxa"/>
              <w:left w:w="108" w:type="dxa"/>
              <w:bottom w:w="0" w:type="dxa"/>
              <w:right w:w="108" w:type="dxa"/>
            </w:tcMar>
            <w:hideMark/>
          </w:tcPr>
          <w:p w14:paraId="1677BC9B" w14:textId="77777777" w:rsidR="00C646D7" w:rsidRPr="003D3BBA" w:rsidRDefault="00C646D7" w:rsidP="00F76882">
            <w:r w:rsidRPr="003D3BBA">
              <w:t>15+</w:t>
            </w:r>
          </w:p>
        </w:tc>
        <w:tc>
          <w:tcPr>
            <w:tcW w:w="299" w:type="pct"/>
            <w:noWrap/>
            <w:tcMar>
              <w:top w:w="15" w:type="dxa"/>
              <w:left w:w="108" w:type="dxa"/>
              <w:bottom w:w="0" w:type="dxa"/>
              <w:right w:w="108" w:type="dxa"/>
            </w:tcMar>
            <w:hideMark/>
          </w:tcPr>
          <w:p w14:paraId="0A8B3E82" w14:textId="77777777" w:rsidR="00C646D7" w:rsidRPr="003D3BBA" w:rsidRDefault="00C646D7" w:rsidP="00F76882">
            <w:r w:rsidRPr="003D3BBA">
              <w:t>All</w:t>
            </w:r>
          </w:p>
        </w:tc>
        <w:tc>
          <w:tcPr>
            <w:tcW w:w="242" w:type="pct"/>
            <w:noWrap/>
            <w:tcMar>
              <w:top w:w="15" w:type="dxa"/>
              <w:left w:w="108" w:type="dxa"/>
              <w:bottom w:w="0" w:type="dxa"/>
              <w:right w:w="108" w:type="dxa"/>
            </w:tcMar>
            <w:hideMark/>
          </w:tcPr>
          <w:p w14:paraId="1AE9BD8C" w14:textId="30AB5D3E" w:rsidR="00C646D7" w:rsidRPr="003D3BBA" w:rsidRDefault="00C646D7" w:rsidP="00F76882">
            <w:r w:rsidRPr="003D3BBA">
              <w:t>0</w:t>
            </w:r>
            <w:r w:rsidR="003D00CE" w:rsidRPr="003D3BBA">
              <w:t>–</w:t>
            </w:r>
            <w:r w:rsidRPr="003D3BBA">
              <w:t>4</w:t>
            </w:r>
          </w:p>
        </w:tc>
        <w:tc>
          <w:tcPr>
            <w:tcW w:w="227" w:type="pct"/>
            <w:noWrap/>
            <w:tcMar>
              <w:top w:w="15" w:type="dxa"/>
              <w:left w:w="108" w:type="dxa"/>
              <w:bottom w:w="0" w:type="dxa"/>
              <w:right w:w="108" w:type="dxa"/>
            </w:tcMar>
            <w:hideMark/>
          </w:tcPr>
          <w:p w14:paraId="14195FCE" w14:textId="5717CCF3" w:rsidR="00C646D7" w:rsidRPr="003D3BBA" w:rsidRDefault="00C646D7" w:rsidP="00F76882">
            <w:r w:rsidRPr="003D3BBA">
              <w:t>5</w:t>
            </w:r>
            <w:r w:rsidR="003D00CE" w:rsidRPr="003D3BBA">
              <w:t>–</w:t>
            </w:r>
            <w:r w:rsidRPr="003D3BBA">
              <w:t>9</w:t>
            </w:r>
          </w:p>
        </w:tc>
        <w:tc>
          <w:tcPr>
            <w:tcW w:w="279" w:type="pct"/>
            <w:noWrap/>
            <w:tcMar>
              <w:top w:w="15" w:type="dxa"/>
              <w:left w:w="108" w:type="dxa"/>
              <w:bottom w:w="0" w:type="dxa"/>
              <w:right w:w="108" w:type="dxa"/>
            </w:tcMar>
            <w:hideMark/>
          </w:tcPr>
          <w:p w14:paraId="2C7D214D" w14:textId="755CB96B" w:rsidR="00C646D7" w:rsidRPr="003D3BBA" w:rsidRDefault="00C646D7" w:rsidP="00F76882">
            <w:r w:rsidRPr="003D3BBA">
              <w:t>10</w:t>
            </w:r>
            <w:r w:rsidR="003D00CE" w:rsidRPr="003D3BBA">
              <w:t>–</w:t>
            </w:r>
            <w:r w:rsidRPr="003D3BBA">
              <w:t>14</w:t>
            </w:r>
          </w:p>
        </w:tc>
        <w:tc>
          <w:tcPr>
            <w:tcW w:w="257" w:type="pct"/>
            <w:noWrap/>
            <w:tcMar>
              <w:top w:w="15" w:type="dxa"/>
              <w:left w:w="108" w:type="dxa"/>
              <w:bottom w:w="0" w:type="dxa"/>
              <w:right w:w="108" w:type="dxa"/>
            </w:tcMar>
            <w:hideMark/>
          </w:tcPr>
          <w:p w14:paraId="57735B0B" w14:textId="77777777" w:rsidR="00C646D7" w:rsidRPr="003D3BBA" w:rsidRDefault="00C646D7" w:rsidP="00F76882">
            <w:r w:rsidRPr="003D3BBA">
              <w:t>15+</w:t>
            </w:r>
          </w:p>
        </w:tc>
        <w:tc>
          <w:tcPr>
            <w:tcW w:w="258" w:type="pct"/>
            <w:noWrap/>
            <w:tcMar>
              <w:top w:w="15" w:type="dxa"/>
              <w:left w:w="108" w:type="dxa"/>
              <w:bottom w:w="0" w:type="dxa"/>
              <w:right w:w="108" w:type="dxa"/>
            </w:tcMar>
            <w:hideMark/>
          </w:tcPr>
          <w:p w14:paraId="7F788730" w14:textId="77777777" w:rsidR="00C646D7" w:rsidRPr="003D3BBA" w:rsidRDefault="00C646D7" w:rsidP="00F76882">
            <w:r w:rsidRPr="003D3BBA">
              <w:t>All</w:t>
            </w:r>
          </w:p>
        </w:tc>
        <w:tc>
          <w:tcPr>
            <w:tcW w:w="227" w:type="pct"/>
            <w:noWrap/>
            <w:tcMar>
              <w:top w:w="15" w:type="dxa"/>
              <w:left w:w="108" w:type="dxa"/>
              <w:bottom w:w="0" w:type="dxa"/>
              <w:right w:w="108" w:type="dxa"/>
            </w:tcMar>
            <w:hideMark/>
          </w:tcPr>
          <w:p w14:paraId="4DE7469B" w14:textId="63F2A07B" w:rsidR="00C646D7" w:rsidRPr="003D3BBA" w:rsidRDefault="00C646D7" w:rsidP="00F76882">
            <w:r w:rsidRPr="003D3BBA">
              <w:t>0</w:t>
            </w:r>
            <w:r w:rsidR="003D00CE" w:rsidRPr="003D3BBA">
              <w:t>–</w:t>
            </w:r>
            <w:r w:rsidRPr="003D3BBA">
              <w:t>4</w:t>
            </w:r>
          </w:p>
        </w:tc>
        <w:tc>
          <w:tcPr>
            <w:tcW w:w="227" w:type="pct"/>
            <w:noWrap/>
            <w:tcMar>
              <w:top w:w="15" w:type="dxa"/>
              <w:left w:w="108" w:type="dxa"/>
              <w:bottom w:w="0" w:type="dxa"/>
              <w:right w:w="108" w:type="dxa"/>
            </w:tcMar>
            <w:hideMark/>
          </w:tcPr>
          <w:p w14:paraId="3C8C800D" w14:textId="14F5CC7F" w:rsidR="00C646D7" w:rsidRPr="003D3BBA" w:rsidRDefault="00C646D7" w:rsidP="00F76882">
            <w:r w:rsidRPr="003D3BBA">
              <w:t>5</w:t>
            </w:r>
            <w:r w:rsidR="003D00CE" w:rsidRPr="003D3BBA">
              <w:t>–</w:t>
            </w:r>
            <w:r w:rsidRPr="003D3BBA">
              <w:t>9</w:t>
            </w:r>
          </w:p>
        </w:tc>
        <w:tc>
          <w:tcPr>
            <w:tcW w:w="279" w:type="pct"/>
            <w:noWrap/>
            <w:tcMar>
              <w:top w:w="15" w:type="dxa"/>
              <w:left w:w="108" w:type="dxa"/>
              <w:bottom w:w="0" w:type="dxa"/>
              <w:right w:w="108" w:type="dxa"/>
            </w:tcMar>
            <w:hideMark/>
          </w:tcPr>
          <w:p w14:paraId="75194118" w14:textId="5028441D" w:rsidR="00C646D7" w:rsidRPr="003D3BBA" w:rsidRDefault="00C646D7" w:rsidP="00F76882">
            <w:r w:rsidRPr="003D3BBA">
              <w:t>10</w:t>
            </w:r>
            <w:r w:rsidR="003D00CE" w:rsidRPr="003D3BBA">
              <w:t>–</w:t>
            </w:r>
            <w:r w:rsidRPr="003D3BBA">
              <w:t>14</w:t>
            </w:r>
          </w:p>
        </w:tc>
        <w:tc>
          <w:tcPr>
            <w:tcW w:w="280" w:type="pct"/>
            <w:noWrap/>
            <w:tcMar>
              <w:top w:w="15" w:type="dxa"/>
              <w:left w:w="108" w:type="dxa"/>
              <w:bottom w:w="0" w:type="dxa"/>
              <w:right w:w="108" w:type="dxa"/>
            </w:tcMar>
            <w:hideMark/>
          </w:tcPr>
          <w:p w14:paraId="64E335C5" w14:textId="77777777" w:rsidR="00C646D7" w:rsidRPr="003D3BBA" w:rsidRDefault="00C646D7" w:rsidP="00F76882">
            <w:r w:rsidRPr="003D3BBA">
              <w:t>15+</w:t>
            </w:r>
          </w:p>
        </w:tc>
        <w:tc>
          <w:tcPr>
            <w:tcW w:w="273" w:type="pct"/>
            <w:noWrap/>
            <w:tcMar>
              <w:top w:w="15" w:type="dxa"/>
              <w:left w:w="108" w:type="dxa"/>
              <w:bottom w:w="0" w:type="dxa"/>
              <w:right w:w="108" w:type="dxa"/>
            </w:tcMar>
            <w:hideMark/>
          </w:tcPr>
          <w:p w14:paraId="7B92B0BD" w14:textId="77777777" w:rsidR="00C646D7" w:rsidRPr="003D3BBA" w:rsidRDefault="00C646D7" w:rsidP="00F76882">
            <w:r w:rsidRPr="003D3BBA">
              <w:t>All</w:t>
            </w:r>
          </w:p>
        </w:tc>
      </w:tr>
      <w:tr w:rsidR="00274076" w:rsidRPr="0036007C" w14:paraId="6A8ACEB0" w14:textId="77777777" w:rsidTr="000C705E">
        <w:trPr>
          <w:trHeight w:val="580"/>
        </w:trPr>
        <w:tc>
          <w:tcPr>
            <w:tcW w:w="1134" w:type="pct"/>
            <w:shd w:val="clear" w:color="auto" w:fill="BFBFBF"/>
            <w:tcMar>
              <w:top w:w="15" w:type="dxa"/>
              <w:left w:w="108" w:type="dxa"/>
              <w:bottom w:w="0" w:type="dxa"/>
              <w:right w:w="108" w:type="dxa"/>
            </w:tcMar>
            <w:hideMark/>
          </w:tcPr>
          <w:p w14:paraId="39EF72B2" w14:textId="77777777" w:rsidR="00513E18" w:rsidRPr="003D3BBA" w:rsidRDefault="00513E18" w:rsidP="00F76882">
            <w:pPr>
              <w:pStyle w:val="Tabletextleft"/>
            </w:pPr>
            <w:r w:rsidRPr="003D3BBA">
              <w:t>Requiring treatment for active trachoma</w:t>
            </w:r>
          </w:p>
        </w:tc>
        <w:tc>
          <w:tcPr>
            <w:tcW w:w="230" w:type="pct"/>
            <w:shd w:val="clear" w:color="000000" w:fill="BFBFBF"/>
            <w:noWrap/>
            <w:tcMar>
              <w:top w:w="15" w:type="dxa"/>
              <w:left w:w="108" w:type="dxa"/>
              <w:bottom w:w="0" w:type="dxa"/>
              <w:right w:w="108" w:type="dxa"/>
            </w:tcMar>
          </w:tcPr>
          <w:p w14:paraId="320FE9D6" w14:textId="3CAA3A05" w:rsidR="00513E18" w:rsidRPr="004609FA" w:rsidRDefault="00513E18" w:rsidP="00F76882">
            <w:pPr>
              <w:pStyle w:val="Tabletext"/>
            </w:pPr>
            <w:r w:rsidRPr="004609FA">
              <w:t>1</w:t>
            </w:r>
          </w:p>
        </w:tc>
        <w:tc>
          <w:tcPr>
            <w:tcW w:w="229" w:type="pct"/>
            <w:shd w:val="clear" w:color="000000" w:fill="BFBFBF"/>
            <w:noWrap/>
            <w:tcMar>
              <w:top w:w="15" w:type="dxa"/>
              <w:left w:w="108" w:type="dxa"/>
              <w:bottom w:w="0" w:type="dxa"/>
              <w:right w:w="108" w:type="dxa"/>
            </w:tcMar>
          </w:tcPr>
          <w:p w14:paraId="278A820C" w14:textId="6980A24A" w:rsidR="00513E18" w:rsidRPr="004609FA" w:rsidRDefault="00513E18" w:rsidP="00F76882">
            <w:pPr>
              <w:pStyle w:val="Tabletext"/>
            </w:pPr>
            <w:r w:rsidRPr="004609FA">
              <w:t>56</w:t>
            </w:r>
          </w:p>
        </w:tc>
        <w:tc>
          <w:tcPr>
            <w:tcW w:w="280" w:type="pct"/>
            <w:shd w:val="clear" w:color="000000" w:fill="BFBFBF"/>
            <w:noWrap/>
            <w:tcMar>
              <w:top w:w="15" w:type="dxa"/>
              <w:left w:w="108" w:type="dxa"/>
              <w:bottom w:w="0" w:type="dxa"/>
              <w:right w:w="108" w:type="dxa"/>
            </w:tcMar>
          </w:tcPr>
          <w:p w14:paraId="07ABCEE5" w14:textId="06DECDDF" w:rsidR="00513E18" w:rsidRPr="004609FA" w:rsidRDefault="00513E18" w:rsidP="00F76882">
            <w:pPr>
              <w:pStyle w:val="Tabletext"/>
            </w:pPr>
            <w:r w:rsidRPr="004609FA">
              <w:t>3</w:t>
            </w:r>
          </w:p>
        </w:tc>
        <w:tc>
          <w:tcPr>
            <w:tcW w:w="279" w:type="pct"/>
            <w:shd w:val="clear" w:color="000000" w:fill="000000"/>
            <w:noWrap/>
            <w:tcMar>
              <w:top w:w="15" w:type="dxa"/>
              <w:left w:w="108" w:type="dxa"/>
              <w:bottom w:w="0" w:type="dxa"/>
              <w:right w:w="108" w:type="dxa"/>
            </w:tcMar>
          </w:tcPr>
          <w:p w14:paraId="652CD412" w14:textId="2C8CA773" w:rsidR="00513E18" w:rsidRPr="003D3BBA" w:rsidRDefault="00513E18" w:rsidP="00F76882">
            <w:r w:rsidRPr="003D3BBA">
              <w:t> </w:t>
            </w:r>
          </w:p>
        </w:tc>
        <w:tc>
          <w:tcPr>
            <w:tcW w:w="299" w:type="pct"/>
            <w:shd w:val="clear" w:color="000000" w:fill="BFBFBF"/>
            <w:noWrap/>
            <w:tcMar>
              <w:top w:w="15" w:type="dxa"/>
              <w:left w:w="108" w:type="dxa"/>
              <w:bottom w:w="0" w:type="dxa"/>
              <w:right w:w="108" w:type="dxa"/>
            </w:tcMar>
          </w:tcPr>
          <w:p w14:paraId="03D0AF2D" w14:textId="2B00AC8A" w:rsidR="00513E18" w:rsidRPr="004609FA" w:rsidRDefault="00513E18" w:rsidP="00F76882">
            <w:pPr>
              <w:pStyle w:val="Tabletext"/>
            </w:pPr>
            <w:r w:rsidRPr="004609FA">
              <w:t>60</w:t>
            </w:r>
          </w:p>
        </w:tc>
        <w:tc>
          <w:tcPr>
            <w:tcW w:w="242" w:type="pct"/>
            <w:shd w:val="clear" w:color="000000" w:fill="BFBFBF"/>
            <w:noWrap/>
            <w:tcMar>
              <w:top w:w="15" w:type="dxa"/>
              <w:left w:w="108" w:type="dxa"/>
              <w:bottom w:w="0" w:type="dxa"/>
              <w:right w:w="108" w:type="dxa"/>
            </w:tcMar>
          </w:tcPr>
          <w:p w14:paraId="77DD15C1" w14:textId="53E7E1BB" w:rsidR="00513E18" w:rsidRPr="004609FA" w:rsidRDefault="00513E18" w:rsidP="00F76882">
            <w:pPr>
              <w:pStyle w:val="Tabletext"/>
            </w:pPr>
            <w:r w:rsidRPr="004609FA">
              <w:t>0</w:t>
            </w:r>
          </w:p>
        </w:tc>
        <w:tc>
          <w:tcPr>
            <w:tcW w:w="227" w:type="pct"/>
            <w:shd w:val="clear" w:color="000000" w:fill="BFBFBF"/>
            <w:noWrap/>
            <w:tcMar>
              <w:top w:w="15" w:type="dxa"/>
              <w:left w:w="108" w:type="dxa"/>
              <w:bottom w:w="0" w:type="dxa"/>
              <w:right w:w="108" w:type="dxa"/>
            </w:tcMar>
          </w:tcPr>
          <w:p w14:paraId="77988718" w14:textId="01CB943C" w:rsidR="00513E18" w:rsidRPr="004609FA" w:rsidRDefault="00513E18" w:rsidP="00F76882">
            <w:pPr>
              <w:pStyle w:val="Tabletext"/>
            </w:pPr>
            <w:r w:rsidRPr="004609FA">
              <w:t>12</w:t>
            </w:r>
          </w:p>
        </w:tc>
        <w:tc>
          <w:tcPr>
            <w:tcW w:w="279" w:type="pct"/>
            <w:shd w:val="clear" w:color="000000" w:fill="BFBFBF"/>
            <w:noWrap/>
            <w:tcMar>
              <w:top w:w="15" w:type="dxa"/>
              <w:left w:w="108" w:type="dxa"/>
              <w:bottom w:w="0" w:type="dxa"/>
              <w:right w:w="108" w:type="dxa"/>
            </w:tcMar>
          </w:tcPr>
          <w:p w14:paraId="318398D5" w14:textId="7A027857" w:rsidR="00513E18" w:rsidRPr="004609FA" w:rsidRDefault="00513E18" w:rsidP="00F76882">
            <w:pPr>
              <w:pStyle w:val="Tabletext"/>
            </w:pPr>
            <w:r w:rsidRPr="004609FA">
              <w:t>0</w:t>
            </w:r>
          </w:p>
        </w:tc>
        <w:tc>
          <w:tcPr>
            <w:tcW w:w="257" w:type="pct"/>
            <w:shd w:val="clear" w:color="000000" w:fill="000000"/>
            <w:noWrap/>
            <w:tcMar>
              <w:top w:w="15" w:type="dxa"/>
              <w:left w:w="108" w:type="dxa"/>
              <w:bottom w:w="0" w:type="dxa"/>
              <w:right w:w="108" w:type="dxa"/>
            </w:tcMar>
          </w:tcPr>
          <w:p w14:paraId="208AF9A0" w14:textId="4BCFAACD" w:rsidR="00513E18" w:rsidRPr="003D3BBA" w:rsidRDefault="00513E18" w:rsidP="00F76882">
            <w:r w:rsidRPr="003D3BBA">
              <w:t> </w:t>
            </w:r>
          </w:p>
        </w:tc>
        <w:tc>
          <w:tcPr>
            <w:tcW w:w="258" w:type="pct"/>
            <w:shd w:val="clear" w:color="000000" w:fill="BFBFBF"/>
            <w:noWrap/>
            <w:tcMar>
              <w:top w:w="15" w:type="dxa"/>
              <w:left w:w="108" w:type="dxa"/>
              <w:bottom w:w="0" w:type="dxa"/>
              <w:right w:w="108" w:type="dxa"/>
            </w:tcMar>
          </w:tcPr>
          <w:p w14:paraId="0E97253A" w14:textId="78D85B5A" w:rsidR="00513E18" w:rsidRPr="004609FA" w:rsidRDefault="00513E18" w:rsidP="00F76882">
            <w:pPr>
              <w:pStyle w:val="Tabletext"/>
            </w:pPr>
            <w:r w:rsidRPr="004609FA">
              <w:t>12</w:t>
            </w:r>
          </w:p>
        </w:tc>
        <w:tc>
          <w:tcPr>
            <w:tcW w:w="227" w:type="pct"/>
            <w:shd w:val="clear" w:color="000000" w:fill="BFBFBF"/>
            <w:noWrap/>
            <w:tcMar>
              <w:top w:w="15" w:type="dxa"/>
              <w:left w:w="108" w:type="dxa"/>
              <w:bottom w:w="0" w:type="dxa"/>
              <w:right w:w="108" w:type="dxa"/>
            </w:tcMar>
          </w:tcPr>
          <w:p w14:paraId="577BDB17" w14:textId="1F358694" w:rsidR="00513E18" w:rsidRPr="004609FA" w:rsidRDefault="00513E18" w:rsidP="00F76882">
            <w:pPr>
              <w:pStyle w:val="Tabletext"/>
            </w:pPr>
            <w:r w:rsidRPr="004609FA">
              <w:t>1</w:t>
            </w:r>
          </w:p>
        </w:tc>
        <w:tc>
          <w:tcPr>
            <w:tcW w:w="227" w:type="pct"/>
            <w:shd w:val="clear" w:color="000000" w:fill="BFBFBF"/>
            <w:noWrap/>
            <w:tcMar>
              <w:top w:w="15" w:type="dxa"/>
              <w:left w:w="108" w:type="dxa"/>
              <w:bottom w:w="0" w:type="dxa"/>
              <w:right w:w="108" w:type="dxa"/>
            </w:tcMar>
          </w:tcPr>
          <w:p w14:paraId="4590E3F6" w14:textId="6378B168" w:rsidR="00513E18" w:rsidRPr="004609FA" w:rsidRDefault="00513E18" w:rsidP="00F76882">
            <w:pPr>
              <w:pStyle w:val="Tabletext"/>
            </w:pPr>
            <w:r w:rsidRPr="004609FA">
              <w:t>68</w:t>
            </w:r>
          </w:p>
        </w:tc>
        <w:tc>
          <w:tcPr>
            <w:tcW w:w="279" w:type="pct"/>
            <w:shd w:val="clear" w:color="000000" w:fill="BFBFBF"/>
            <w:noWrap/>
            <w:tcMar>
              <w:top w:w="15" w:type="dxa"/>
              <w:left w:w="108" w:type="dxa"/>
              <w:bottom w:w="0" w:type="dxa"/>
              <w:right w:w="108" w:type="dxa"/>
            </w:tcMar>
          </w:tcPr>
          <w:p w14:paraId="62862FB4" w14:textId="283AD439" w:rsidR="00513E18" w:rsidRPr="004609FA" w:rsidRDefault="00513E18" w:rsidP="00F76882">
            <w:pPr>
              <w:pStyle w:val="Tabletext"/>
            </w:pPr>
            <w:r w:rsidRPr="004609FA">
              <w:t>3</w:t>
            </w:r>
          </w:p>
        </w:tc>
        <w:tc>
          <w:tcPr>
            <w:tcW w:w="280" w:type="pct"/>
            <w:shd w:val="clear" w:color="000000" w:fill="000000"/>
            <w:noWrap/>
            <w:tcMar>
              <w:top w:w="15" w:type="dxa"/>
              <w:left w:w="108" w:type="dxa"/>
              <w:bottom w:w="0" w:type="dxa"/>
              <w:right w:w="108" w:type="dxa"/>
            </w:tcMar>
          </w:tcPr>
          <w:p w14:paraId="50E0F657" w14:textId="73EC68B1" w:rsidR="00513E18" w:rsidRPr="003D3BBA" w:rsidRDefault="00513E18" w:rsidP="00F76882">
            <w:r w:rsidRPr="003D3BBA">
              <w:t> </w:t>
            </w:r>
          </w:p>
        </w:tc>
        <w:tc>
          <w:tcPr>
            <w:tcW w:w="273" w:type="pct"/>
            <w:shd w:val="clear" w:color="000000" w:fill="BFBFBF"/>
            <w:noWrap/>
            <w:tcMar>
              <w:top w:w="15" w:type="dxa"/>
              <w:left w:w="108" w:type="dxa"/>
              <w:bottom w:w="0" w:type="dxa"/>
              <w:right w:w="108" w:type="dxa"/>
            </w:tcMar>
          </w:tcPr>
          <w:p w14:paraId="61573B4C" w14:textId="4F795446" w:rsidR="00513E18" w:rsidRPr="004609FA" w:rsidRDefault="00513E18" w:rsidP="00F76882">
            <w:pPr>
              <w:pStyle w:val="Tabletext"/>
            </w:pPr>
            <w:r w:rsidRPr="004609FA">
              <w:t>72</w:t>
            </w:r>
          </w:p>
        </w:tc>
      </w:tr>
      <w:tr w:rsidR="00274076" w:rsidRPr="0036007C" w14:paraId="33BAD1AD" w14:textId="77777777" w:rsidTr="000C705E">
        <w:trPr>
          <w:trHeight w:val="580"/>
        </w:trPr>
        <w:tc>
          <w:tcPr>
            <w:tcW w:w="1134" w:type="pct"/>
            <w:tcMar>
              <w:top w:w="15" w:type="dxa"/>
              <w:left w:w="108" w:type="dxa"/>
              <w:bottom w:w="0" w:type="dxa"/>
              <w:right w:w="108" w:type="dxa"/>
            </w:tcMar>
            <w:hideMark/>
          </w:tcPr>
          <w:p w14:paraId="6A282E58" w14:textId="77777777" w:rsidR="00513E18" w:rsidRPr="003D3BBA" w:rsidRDefault="00513E18" w:rsidP="00F76882">
            <w:pPr>
              <w:pStyle w:val="Tabletextleft"/>
            </w:pPr>
            <w:r w:rsidRPr="003D3BBA">
              <w:t>Received treatment for active trachoma</w:t>
            </w:r>
          </w:p>
        </w:tc>
        <w:tc>
          <w:tcPr>
            <w:tcW w:w="230" w:type="pct"/>
            <w:noWrap/>
            <w:tcMar>
              <w:top w:w="15" w:type="dxa"/>
              <w:left w:w="108" w:type="dxa"/>
              <w:bottom w:w="0" w:type="dxa"/>
              <w:right w:w="108" w:type="dxa"/>
            </w:tcMar>
          </w:tcPr>
          <w:p w14:paraId="2286E234" w14:textId="7CA2D293" w:rsidR="00513E18" w:rsidRPr="004609FA" w:rsidRDefault="00513E18" w:rsidP="00F76882">
            <w:pPr>
              <w:pStyle w:val="Tabletext"/>
            </w:pPr>
            <w:r w:rsidRPr="004609FA">
              <w:t>1</w:t>
            </w:r>
          </w:p>
        </w:tc>
        <w:tc>
          <w:tcPr>
            <w:tcW w:w="229" w:type="pct"/>
            <w:noWrap/>
            <w:tcMar>
              <w:top w:w="15" w:type="dxa"/>
              <w:left w:w="108" w:type="dxa"/>
              <w:bottom w:w="0" w:type="dxa"/>
              <w:right w:w="108" w:type="dxa"/>
            </w:tcMar>
          </w:tcPr>
          <w:p w14:paraId="2BA09E83" w14:textId="0D7546BE" w:rsidR="00513E18" w:rsidRPr="004609FA" w:rsidRDefault="00513E18" w:rsidP="00F76882">
            <w:pPr>
              <w:pStyle w:val="Tabletext"/>
            </w:pPr>
            <w:r w:rsidRPr="004609FA">
              <w:t>53</w:t>
            </w:r>
          </w:p>
        </w:tc>
        <w:tc>
          <w:tcPr>
            <w:tcW w:w="280" w:type="pct"/>
            <w:noWrap/>
            <w:tcMar>
              <w:top w:w="15" w:type="dxa"/>
              <w:left w:w="108" w:type="dxa"/>
              <w:bottom w:w="0" w:type="dxa"/>
              <w:right w:w="108" w:type="dxa"/>
            </w:tcMar>
          </w:tcPr>
          <w:p w14:paraId="4BEDD537" w14:textId="6727ABE1" w:rsidR="00513E18" w:rsidRPr="004609FA" w:rsidRDefault="00513E18" w:rsidP="00F76882">
            <w:pPr>
              <w:pStyle w:val="Tabletext"/>
            </w:pPr>
            <w:r w:rsidRPr="004609FA">
              <w:t>3</w:t>
            </w:r>
          </w:p>
        </w:tc>
        <w:tc>
          <w:tcPr>
            <w:tcW w:w="279" w:type="pct"/>
            <w:shd w:val="clear" w:color="000000" w:fill="000000"/>
            <w:noWrap/>
            <w:tcMar>
              <w:top w:w="15" w:type="dxa"/>
              <w:left w:w="108" w:type="dxa"/>
              <w:bottom w:w="0" w:type="dxa"/>
              <w:right w:w="108" w:type="dxa"/>
            </w:tcMar>
          </w:tcPr>
          <w:p w14:paraId="7E197FB6" w14:textId="77F9D42A" w:rsidR="00513E18" w:rsidRPr="003D3BBA" w:rsidRDefault="00513E18" w:rsidP="00F76882">
            <w:r w:rsidRPr="003D3BBA">
              <w:t> </w:t>
            </w:r>
          </w:p>
        </w:tc>
        <w:tc>
          <w:tcPr>
            <w:tcW w:w="299" w:type="pct"/>
            <w:noWrap/>
            <w:tcMar>
              <w:top w:w="15" w:type="dxa"/>
              <w:left w:w="108" w:type="dxa"/>
              <w:bottom w:w="0" w:type="dxa"/>
              <w:right w:w="108" w:type="dxa"/>
            </w:tcMar>
          </w:tcPr>
          <w:p w14:paraId="33455610" w14:textId="464D5202" w:rsidR="00513E18" w:rsidRPr="004609FA" w:rsidRDefault="00513E18" w:rsidP="00F76882">
            <w:pPr>
              <w:pStyle w:val="Tabletext"/>
            </w:pPr>
            <w:r w:rsidRPr="004609FA">
              <w:t>57</w:t>
            </w:r>
          </w:p>
        </w:tc>
        <w:tc>
          <w:tcPr>
            <w:tcW w:w="242" w:type="pct"/>
            <w:noWrap/>
            <w:tcMar>
              <w:top w:w="15" w:type="dxa"/>
              <w:left w:w="108" w:type="dxa"/>
              <w:bottom w:w="0" w:type="dxa"/>
              <w:right w:w="108" w:type="dxa"/>
            </w:tcMar>
          </w:tcPr>
          <w:p w14:paraId="060381DA" w14:textId="1F4FEF38" w:rsidR="00513E18" w:rsidRPr="004609FA" w:rsidRDefault="00513E18" w:rsidP="00F76882">
            <w:pPr>
              <w:pStyle w:val="Tabletext"/>
            </w:pPr>
            <w:r w:rsidRPr="004609FA">
              <w:t>0</w:t>
            </w:r>
          </w:p>
        </w:tc>
        <w:tc>
          <w:tcPr>
            <w:tcW w:w="227" w:type="pct"/>
            <w:noWrap/>
            <w:tcMar>
              <w:top w:w="15" w:type="dxa"/>
              <w:left w:w="108" w:type="dxa"/>
              <w:bottom w:w="0" w:type="dxa"/>
              <w:right w:w="108" w:type="dxa"/>
            </w:tcMar>
          </w:tcPr>
          <w:p w14:paraId="4F993A19" w14:textId="5898FEAD" w:rsidR="00513E18" w:rsidRPr="004609FA" w:rsidRDefault="00513E18" w:rsidP="00F76882">
            <w:pPr>
              <w:pStyle w:val="Tabletext"/>
            </w:pPr>
            <w:r w:rsidRPr="004609FA">
              <w:t>12</w:t>
            </w:r>
          </w:p>
        </w:tc>
        <w:tc>
          <w:tcPr>
            <w:tcW w:w="279" w:type="pct"/>
            <w:noWrap/>
            <w:tcMar>
              <w:top w:w="15" w:type="dxa"/>
              <w:left w:w="108" w:type="dxa"/>
              <w:bottom w:w="0" w:type="dxa"/>
              <w:right w:w="108" w:type="dxa"/>
            </w:tcMar>
          </w:tcPr>
          <w:p w14:paraId="4456A9DF" w14:textId="006F09B2" w:rsidR="00513E18" w:rsidRPr="004609FA" w:rsidRDefault="00513E18" w:rsidP="00F76882">
            <w:pPr>
              <w:pStyle w:val="Tabletext"/>
            </w:pPr>
            <w:r w:rsidRPr="004609FA">
              <w:t>0</w:t>
            </w:r>
          </w:p>
        </w:tc>
        <w:tc>
          <w:tcPr>
            <w:tcW w:w="257" w:type="pct"/>
            <w:shd w:val="clear" w:color="000000" w:fill="000000"/>
            <w:noWrap/>
            <w:tcMar>
              <w:top w:w="15" w:type="dxa"/>
              <w:left w:w="108" w:type="dxa"/>
              <w:bottom w:w="0" w:type="dxa"/>
              <w:right w:w="108" w:type="dxa"/>
            </w:tcMar>
          </w:tcPr>
          <w:p w14:paraId="4BBFB337" w14:textId="3ED392C8" w:rsidR="00513E18" w:rsidRPr="003D3BBA" w:rsidRDefault="00513E18" w:rsidP="00F76882">
            <w:r w:rsidRPr="003D3BBA">
              <w:t> </w:t>
            </w:r>
          </w:p>
        </w:tc>
        <w:tc>
          <w:tcPr>
            <w:tcW w:w="258" w:type="pct"/>
            <w:noWrap/>
            <w:tcMar>
              <w:top w:w="15" w:type="dxa"/>
              <w:left w:w="108" w:type="dxa"/>
              <w:bottom w:w="0" w:type="dxa"/>
              <w:right w:w="108" w:type="dxa"/>
            </w:tcMar>
          </w:tcPr>
          <w:p w14:paraId="144B31B4" w14:textId="55B2E76F" w:rsidR="00513E18" w:rsidRPr="004609FA" w:rsidRDefault="00513E18" w:rsidP="00F76882">
            <w:pPr>
              <w:pStyle w:val="Tabletext"/>
            </w:pPr>
            <w:r w:rsidRPr="004609FA">
              <w:t>12</w:t>
            </w:r>
          </w:p>
        </w:tc>
        <w:tc>
          <w:tcPr>
            <w:tcW w:w="227" w:type="pct"/>
            <w:noWrap/>
            <w:tcMar>
              <w:top w:w="15" w:type="dxa"/>
              <w:left w:w="108" w:type="dxa"/>
              <w:bottom w:w="0" w:type="dxa"/>
              <w:right w:w="108" w:type="dxa"/>
            </w:tcMar>
          </w:tcPr>
          <w:p w14:paraId="23BE8F5F" w14:textId="4B657E64" w:rsidR="00513E18" w:rsidRPr="004609FA" w:rsidRDefault="00513E18" w:rsidP="00F76882">
            <w:pPr>
              <w:pStyle w:val="Tabletext"/>
            </w:pPr>
            <w:r w:rsidRPr="004609FA">
              <w:t>1</w:t>
            </w:r>
          </w:p>
        </w:tc>
        <w:tc>
          <w:tcPr>
            <w:tcW w:w="227" w:type="pct"/>
            <w:noWrap/>
            <w:tcMar>
              <w:top w:w="15" w:type="dxa"/>
              <w:left w:w="108" w:type="dxa"/>
              <w:bottom w:w="0" w:type="dxa"/>
              <w:right w:w="108" w:type="dxa"/>
            </w:tcMar>
          </w:tcPr>
          <w:p w14:paraId="608F0634" w14:textId="0FAE9FD8" w:rsidR="00513E18" w:rsidRPr="004609FA" w:rsidRDefault="00513E18" w:rsidP="00F76882">
            <w:pPr>
              <w:pStyle w:val="Tabletext"/>
            </w:pPr>
            <w:r w:rsidRPr="004609FA">
              <w:t>65</w:t>
            </w:r>
          </w:p>
        </w:tc>
        <w:tc>
          <w:tcPr>
            <w:tcW w:w="279" w:type="pct"/>
            <w:noWrap/>
            <w:tcMar>
              <w:top w:w="15" w:type="dxa"/>
              <w:left w:w="108" w:type="dxa"/>
              <w:bottom w:w="0" w:type="dxa"/>
              <w:right w:w="108" w:type="dxa"/>
            </w:tcMar>
          </w:tcPr>
          <w:p w14:paraId="69EDD8CC" w14:textId="3936C8F5" w:rsidR="00513E18" w:rsidRPr="004609FA" w:rsidRDefault="00513E18" w:rsidP="00F76882">
            <w:pPr>
              <w:pStyle w:val="Tabletext"/>
            </w:pPr>
            <w:r w:rsidRPr="004609FA">
              <w:t>3</w:t>
            </w:r>
          </w:p>
        </w:tc>
        <w:tc>
          <w:tcPr>
            <w:tcW w:w="280" w:type="pct"/>
            <w:shd w:val="clear" w:color="000000" w:fill="000000"/>
            <w:noWrap/>
            <w:tcMar>
              <w:top w:w="15" w:type="dxa"/>
              <w:left w:w="108" w:type="dxa"/>
              <w:bottom w:w="0" w:type="dxa"/>
              <w:right w:w="108" w:type="dxa"/>
            </w:tcMar>
          </w:tcPr>
          <w:p w14:paraId="64A2F721" w14:textId="05C82E48" w:rsidR="00513E18" w:rsidRPr="003D3BBA" w:rsidRDefault="00513E18" w:rsidP="00F76882">
            <w:r w:rsidRPr="003D3BBA">
              <w:t> </w:t>
            </w:r>
          </w:p>
        </w:tc>
        <w:tc>
          <w:tcPr>
            <w:tcW w:w="273" w:type="pct"/>
            <w:noWrap/>
            <w:tcMar>
              <w:top w:w="15" w:type="dxa"/>
              <w:left w:w="108" w:type="dxa"/>
              <w:bottom w:w="0" w:type="dxa"/>
              <w:right w:w="108" w:type="dxa"/>
            </w:tcMar>
          </w:tcPr>
          <w:p w14:paraId="5AEF91D7" w14:textId="6BA43A60" w:rsidR="00513E18" w:rsidRPr="004609FA" w:rsidRDefault="00513E18" w:rsidP="00F76882">
            <w:pPr>
              <w:pStyle w:val="Tabletext"/>
            </w:pPr>
            <w:r w:rsidRPr="004609FA">
              <w:t>69</w:t>
            </w:r>
          </w:p>
        </w:tc>
      </w:tr>
      <w:tr w:rsidR="00274076" w:rsidRPr="0036007C" w14:paraId="2627BEEC" w14:textId="77777777" w:rsidTr="000C705E">
        <w:trPr>
          <w:trHeight w:val="855"/>
        </w:trPr>
        <w:tc>
          <w:tcPr>
            <w:tcW w:w="1134" w:type="pct"/>
            <w:shd w:val="clear" w:color="000000" w:fill="BFBFBF"/>
            <w:tcMar>
              <w:top w:w="15" w:type="dxa"/>
              <w:left w:w="108" w:type="dxa"/>
              <w:bottom w:w="0" w:type="dxa"/>
              <w:right w:w="108" w:type="dxa"/>
            </w:tcMar>
            <w:hideMark/>
          </w:tcPr>
          <w:p w14:paraId="210ABB42" w14:textId="77777777" w:rsidR="00513E18" w:rsidRPr="007C3001" w:rsidRDefault="00513E18" w:rsidP="00F76882">
            <w:pPr>
              <w:pStyle w:val="Tabletextleft"/>
            </w:pPr>
            <w:r w:rsidRPr="007C3001">
              <w:t>Received treatment for active trachoma (%)</w:t>
            </w:r>
          </w:p>
        </w:tc>
        <w:tc>
          <w:tcPr>
            <w:tcW w:w="230" w:type="pct"/>
            <w:shd w:val="clear" w:color="000000" w:fill="BFBFBF"/>
            <w:noWrap/>
            <w:tcMar>
              <w:top w:w="15" w:type="dxa"/>
              <w:left w:w="108" w:type="dxa"/>
              <w:bottom w:w="0" w:type="dxa"/>
              <w:right w:w="108" w:type="dxa"/>
            </w:tcMar>
          </w:tcPr>
          <w:p w14:paraId="33BE8B8C" w14:textId="166053E3" w:rsidR="00513E18" w:rsidRPr="006043C2" w:rsidRDefault="00513E18" w:rsidP="00F76882">
            <w:pPr>
              <w:pStyle w:val="Tabletext"/>
              <w:rPr>
                <w:rStyle w:val="Emphasis"/>
              </w:rPr>
            </w:pPr>
            <w:r w:rsidRPr="006043C2">
              <w:rPr>
                <w:rStyle w:val="Emphasis"/>
              </w:rPr>
              <w:t>100</w:t>
            </w:r>
          </w:p>
        </w:tc>
        <w:tc>
          <w:tcPr>
            <w:tcW w:w="229" w:type="pct"/>
            <w:shd w:val="clear" w:color="000000" w:fill="BFBFBF"/>
            <w:noWrap/>
            <w:tcMar>
              <w:top w:w="15" w:type="dxa"/>
              <w:left w:w="108" w:type="dxa"/>
              <w:bottom w:w="0" w:type="dxa"/>
              <w:right w:w="108" w:type="dxa"/>
            </w:tcMar>
          </w:tcPr>
          <w:p w14:paraId="2FFC5905" w14:textId="087EEB3C" w:rsidR="00513E18" w:rsidRPr="006043C2" w:rsidRDefault="00513E18" w:rsidP="00F76882">
            <w:pPr>
              <w:pStyle w:val="Tabletext"/>
              <w:rPr>
                <w:rStyle w:val="Emphasis"/>
              </w:rPr>
            </w:pPr>
            <w:r w:rsidRPr="006043C2">
              <w:rPr>
                <w:rStyle w:val="Emphasis"/>
              </w:rPr>
              <w:t>95</w:t>
            </w:r>
          </w:p>
        </w:tc>
        <w:tc>
          <w:tcPr>
            <w:tcW w:w="280" w:type="pct"/>
            <w:shd w:val="clear" w:color="000000" w:fill="BFBFBF"/>
            <w:noWrap/>
            <w:tcMar>
              <w:top w:w="15" w:type="dxa"/>
              <w:left w:w="108" w:type="dxa"/>
              <w:bottom w:w="0" w:type="dxa"/>
              <w:right w:w="108" w:type="dxa"/>
            </w:tcMar>
          </w:tcPr>
          <w:p w14:paraId="7EEFE283" w14:textId="08130004" w:rsidR="00513E18" w:rsidRPr="006043C2" w:rsidRDefault="00513E18" w:rsidP="00F76882">
            <w:pPr>
              <w:pStyle w:val="Tabletext"/>
              <w:rPr>
                <w:rStyle w:val="Emphasis"/>
              </w:rPr>
            </w:pPr>
            <w:r w:rsidRPr="006043C2">
              <w:rPr>
                <w:rStyle w:val="Emphasis"/>
              </w:rPr>
              <w:t>100</w:t>
            </w:r>
          </w:p>
        </w:tc>
        <w:tc>
          <w:tcPr>
            <w:tcW w:w="279" w:type="pct"/>
            <w:shd w:val="clear" w:color="000000" w:fill="000000"/>
            <w:noWrap/>
            <w:tcMar>
              <w:top w:w="15" w:type="dxa"/>
              <w:left w:w="108" w:type="dxa"/>
              <w:bottom w:w="0" w:type="dxa"/>
              <w:right w:w="108" w:type="dxa"/>
            </w:tcMar>
          </w:tcPr>
          <w:p w14:paraId="53D1C9A7" w14:textId="5BF45B2A" w:rsidR="00513E18" w:rsidRPr="006043C2" w:rsidRDefault="00513E18" w:rsidP="00F76882">
            <w:pPr>
              <w:pStyle w:val="Tabletext"/>
              <w:rPr>
                <w:rStyle w:val="Emphasis"/>
              </w:rPr>
            </w:pPr>
            <w:r w:rsidRPr="006043C2">
              <w:rPr>
                <w:rStyle w:val="Emphasis"/>
              </w:rPr>
              <w:t> </w:t>
            </w:r>
          </w:p>
        </w:tc>
        <w:tc>
          <w:tcPr>
            <w:tcW w:w="299" w:type="pct"/>
            <w:shd w:val="clear" w:color="000000" w:fill="BFBFBF"/>
            <w:noWrap/>
            <w:tcMar>
              <w:top w:w="15" w:type="dxa"/>
              <w:left w:w="108" w:type="dxa"/>
              <w:bottom w:w="0" w:type="dxa"/>
              <w:right w:w="108" w:type="dxa"/>
            </w:tcMar>
          </w:tcPr>
          <w:p w14:paraId="3231F47E" w14:textId="485A3F90" w:rsidR="00513E18" w:rsidRPr="006043C2" w:rsidRDefault="00513E18" w:rsidP="00F76882">
            <w:pPr>
              <w:pStyle w:val="Tabletext"/>
              <w:rPr>
                <w:rStyle w:val="Emphasis"/>
              </w:rPr>
            </w:pPr>
            <w:r w:rsidRPr="006043C2">
              <w:rPr>
                <w:rStyle w:val="Emphasis"/>
              </w:rPr>
              <w:t>95</w:t>
            </w:r>
          </w:p>
        </w:tc>
        <w:tc>
          <w:tcPr>
            <w:tcW w:w="242" w:type="pct"/>
            <w:shd w:val="clear" w:color="000000" w:fill="BFBFBF"/>
            <w:noWrap/>
            <w:tcMar>
              <w:top w:w="15" w:type="dxa"/>
              <w:left w:w="108" w:type="dxa"/>
              <w:bottom w:w="0" w:type="dxa"/>
              <w:right w:w="108" w:type="dxa"/>
            </w:tcMar>
          </w:tcPr>
          <w:p w14:paraId="417D6409" w14:textId="494540F7" w:rsidR="00513E18" w:rsidRPr="006043C2" w:rsidRDefault="00513E18" w:rsidP="00F76882">
            <w:pPr>
              <w:pStyle w:val="Tabletext"/>
              <w:rPr>
                <w:rStyle w:val="Emphasis"/>
              </w:rPr>
            </w:pPr>
            <w:r w:rsidRPr="006043C2">
              <w:rPr>
                <w:rStyle w:val="Emphasis"/>
              </w:rPr>
              <w:t>N/A</w:t>
            </w:r>
          </w:p>
        </w:tc>
        <w:tc>
          <w:tcPr>
            <w:tcW w:w="227" w:type="pct"/>
            <w:shd w:val="clear" w:color="000000" w:fill="BFBFBF"/>
            <w:noWrap/>
            <w:tcMar>
              <w:top w:w="15" w:type="dxa"/>
              <w:left w:w="108" w:type="dxa"/>
              <w:bottom w:w="0" w:type="dxa"/>
              <w:right w:w="108" w:type="dxa"/>
            </w:tcMar>
          </w:tcPr>
          <w:p w14:paraId="02737415" w14:textId="00DA32C7" w:rsidR="00513E18" w:rsidRPr="006043C2" w:rsidRDefault="00513E18" w:rsidP="00F76882">
            <w:pPr>
              <w:pStyle w:val="Tabletext"/>
              <w:rPr>
                <w:rStyle w:val="Emphasis"/>
              </w:rPr>
            </w:pPr>
            <w:r w:rsidRPr="006043C2">
              <w:rPr>
                <w:rStyle w:val="Emphasis"/>
              </w:rPr>
              <w:t>100</w:t>
            </w:r>
          </w:p>
        </w:tc>
        <w:tc>
          <w:tcPr>
            <w:tcW w:w="279" w:type="pct"/>
            <w:shd w:val="clear" w:color="000000" w:fill="BFBFBF"/>
            <w:noWrap/>
            <w:tcMar>
              <w:top w:w="15" w:type="dxa"/>
              <w:left w:w="108" w:type="dxa"/>
              <w:bottom w:w="0" w:type="dxa"/>
              <w:right w:w="108" w:type="dxa"/>
            </w:tcMar>
          </w:tcPr>
          <w:p w14:paraId="2238EFB2" w14:textId="4DDAB71C" w:rsidR="00513E18" w:rsidRPr="006043C2" w:rsidRDefault="00513E18" w:rsidP="00F76882">
            <w:pPr>
              <w:pStyle w:val="Tabletext"/>
              <w:rPr>
                <w:rStyle w:val="Emphasis"/>
              </w:rPr>
            </w:pPr>
            <w:r w:rsidRPr="006043C2">
              <w:rPr>
                <w:rStyle w:val="Emphasis"/>
              </w:rPr>
              <w:t>N/A</w:t>
            </w:r>
          </w:p>
        </w:tc>
        <w:tc>
          <w:tcPr>
            <w:tcW w:w="257" w:type="pct"/>
            <w:shd w:val="clear" w:color="000000" w:fill="000000"/>
            <w:noWrap/>
            <w:tcMar>
              <w:top w:w="15" w:type="dxa"/>
              <w:left w:w="108" w:type="dxa"/>
              <w:bottom w:w="0" w:type="dxa"/>
              <w:right w:w="108" w:type="dxa"/>
            </w:tcMar>
          </w:tcPr>
          <w:p w14:paraId="7D503DA1" w14:textId="5AAF9D90" w:rsidR="00513E18" w:rsidRPr="006043C2" w:rsidRDefault="00513E18" w:rsidP="00F76882">
            <w:pPr>
              <w:pStyle w:val="Tabletext"/>
              <w:rPr>
                <w:rStyle w:val="Emphasis"/>
              </w:rPr>
            </w:pPr>
            <w:r w:rsidRPr="006043C2">
              <w:rPr>
                <w:rStyle w:val="Emphasis"/>
              </w:rPr>
              <w:t> </w:t>
            </w:r>
          </w:p>
        </w:tc>
        <w:tc>
          <w:tcPr>
            <w:tcW w:w="258" w:type="pct"/>
            <w:shd w:val="clear" w:color="000000" w:fill="BFBFBF"/>
            <w:noWrap/>
            <w:tcMar>
              <w:top w:w="15" w:type="dxa"/>
              <w:left w:w="108" w:type="dxa"/>
              <w:bottom w:w="0" w:type="dxa"/>
              <w:right w:w="108" w:type="dxa"/>
            </w:tcMar>
          </w:tcPr>
          <w:p w14:paraId="0A5942A7" w14:textId="1E3C944D" w:rsidR="00513E18" w:rsidRPr="006043C2" w:rsidRDefault="00513E18" w:rsidP="00F76882">
            <w:pPr>
              <w:pStyle w:val="Tabletext"/>
              <w:rPr>
                <w:rStyle w:val="Emphasis"/>
              </w:rPr>
            </w:pPr>
            <w:r w:rsidRPr="006043C2">
              <w:rPr>
                <w:rStyle w:val="Emphasis"/>
              </w:rPr>
              <w:t>100</w:t>
            </w:r>
          </w:p>
        </w:tc>
        <w:tc>
          <w:tcPr>
            <w:tcW w:w="227" w:type="pct"/>
            <w:shd w:val="clear" w:color="000000" w:fill="BFBFBF"/>
            <w:noWrap/>
            <w:tcMar>
              <w:top w:w="15" w:type="dxa"/>
              <w:left w:w="108" w:type="dxa"/>
              <w:bottom w:w="0" w:type="dxa"/>
              <w:right w:w="108" w:type="dxa"/>
            </w:tcMar>
          </w:tcPr>
          <w:p w14:paraId="1D5EA935" w14:textId="15121289" w:rsidR="00513E18" w:rsidRPr="006043C2" w:rsidRDefault="00513E18" w:rsidP="00F76882">
            <w:pPr>
              <w:pStyle w:val="Tabletext"/>
              <w:rPr>
                <w:rStyle w:val="Emphasis"/>
              </w:rPr>
            </w:pPr>
            <w:r w:rsidRPr="006043C2">
              <w:rPr>
                <w:rStyle w:val="Emphasis"/>
              </w:rPr>
              <w:t>100</w:t>
            </w:r>
          </w:p>
        </w:tc>
        <w:tc>
          <w:tcPr>
            <w:tcW w:w="227" w:type="pct"/>
            <w:shd w:val="clear" w:color="000000" w:fill="BFBFBF"/>
            <w:noWrap/>
            <w:tcMar>
              <w:top w:w="15" w:type="dxa"/>
              <w:left w:w="108" w:type="dxa"/>
              <w:bottom w:w="0" w:type="dxa"/>
              <w:right w:w="108" w:type="dxa"/>
            </w:tcMar>
          </w:tcPr>
          <w:p w14:paraId="538E13FE" w14:textId="715DCCF6" w:rsidR="00513E18" w:rsidRPr="006043C2" w:rsidRDefault="00513E18" w:rsidP="00F76882">
            <w:pPr>
              <w:pStyle w:val="Tabletext"/>
              <w:rPr>
                <w:rStyle w:val="Emphasis"/>
              </w:rPr>
            </w:pPr>
            <w:r w:rsidRPr="006043C2">
              <w:rPr>
                <w:rStyle w:val="Emphasis"/>
              </w:rPr>
              <w:t>96</w:t>
            </w:r>
          </w:p>
        </w:tc>
        <w:tc>
          <w:tcPr>
            <w:tcW w:w="279" w:type="pct"/>
            <w:shd w:val="clear" w:color="000000" w:fill="BFBFBF"/>
            <w:noWrap/>
            <w:tcMar>
              <w:top w:w="15" w:type="dxa"/>
              <w:left w:w="108" w:type="dxa"/>
              <w:bottom w:w="0" w:type="dxa"/>
              <w:right w:w="108" w:type="dxa"/>
            </w:tcMar>
          </w:tcPr>
          <w:p w14:paraId="0CA1EAE4" w14:textId="368CE63D" w:rsidR="00513E18" w:rsidRPr="006043C2" w:rsidRDefault="00513E18" w:rsidP="00F76882">
            <w:pPr>
              <w:pStyle w:val="Tabletext"/>
              <w:rPr>
                <w:rStyle w:val="Emphasis"/>
              </w:rPr>
            </w:pPr>
            <w:r w:rsidRPr="006043C2">
              <w:rPr>
                <w:rStyle w:val="Emphasis"/>
              </w:rPr>
              <w:t>100</w:t>
            </w:r>
          </w:p>
        </w:tc>
        <w:tc>
          <w:tcPr>
            <w:tcW w:w="280" w:type="pct"/>
            <w:shd w:val="clear" w:color="000000" w:fill="000000"/>
            <w:noWrap/>
            <w:tcMar>
              <w:top w:w="15" w:type="dxa"/>
              <w:left w:w="108" w:type="dxa"/>
              <w:bottom w:w="0" w:type="dxa"/>
              <w:right w:w="108" w:type="dxa"/>
            </w:tcMar>
          </w:tcPr>
          <w:p w14:paraId="3ABCEAB8" w14:textId="56698927" w:rsidR="00513E18" w:rsidRPr="006043C2" w:rsidRDefault="00513E18" w:rsidP="00F76882">
            <w:pPr>
              <w:pStyle w:val="Tabletext"/>
              <w:rPr>
                <w:rStyle w:val="Emphasis"/>
              </w:rPr>
            </w:pPr>
            <w:r w:rsidRPr="006043C2">
              <w:rPr>
                <w:rStyle w:val="Emphasis"/>
              </w:rPr>
              <w:t> </w:t>
            </w:r>
          </w:p>
        </w:tc>
        <w:tc>
          <w:tcPr>
            <w:tcW w:w="273" w:type="pct"/>
            <w:shd w:val="clear" w:color="000000" w:fill="BFBFBF"/>
            <w:noWrap/>
            <w:tcMar>
              <w:top w:w="15" w:type="dxa"/>
              <w:left w:w="108" w:type="dxa"/>
              <w:bottom w:w="0" w:type="dxa"/>
              <w:right w:w="108" w:type="dxa"/>
            </w:tcMar>
          </w:tcPr>
          <w:p w14:paraId="7C857007" w14:textId="29BF7297" w:rsidR="00513E18" w:rsidRPr="006043C2" w:rsidRDefault="00513E18" w:rsidP="00F76882">
            <w:pPr>
              <w:pStyle w:val="Tabletext"/>
              <w:rPr>
                <w:rStyle w:val="Emphasis"/>
              </w:rPr>
            </w:pPr>
            <w:r w:rsidRPr="006043C2">
              <w:rPr>
                <w:rStyle w:val="Emphasis"/>
              </w:rPr>
              <w:t>96</w:t>
            </w:r>
          </w:p>
        </w:tc>
      </w:tr>
      <w:tr w:rsidR="00274076" w:rsidRPr="0036007C" w14:paraId="66C2D65D" w14:textId="77777777" w:rsidTr="000C705E">
        <w:trPr>
          <w:trHeight w:val="580"/>
        </w:trPr>
        <w:tc>
          <w:tcPr>
            <w:tcW w:w="1134" w:type="pct"/>
            <w:tcMar>
              <w:top w:w="15" w:type="dxa"/>
              <w:left w:w="108" w:type="dxa"/>
              <w:bottom w:w="0" w:type="dxa"/>
              <w:right w:w="108" w:type="dxa"/>
            </w:tcMar>
            <w:hideMark/>
          </w:tcPr>
          <w:p w14:paraId="5DD4194E" w14:textId="77777777" w:rsidR="00513E18" w:rsidRPr="003D3BBA" w:rsidRDefault="00513E18" w:rsidP="00F76882">
            <w:pPr>
              <w:pStyle w:val="Tabletextleft"/>
            </w:pPr>
            <w:r w:rsidRPr="003D3BBA">
              <w:t>Estimated community members* requiring treatment</w:t>
            </w:r>
          </w:p>
        </w:tc>
        <w:tc>
          <w:tcPr>
            <w:tcW w:w="230" w:type="pct"/>
            <w:noWrap/>
            <w:tcMar>
              <w:top w:w="15" w:type="dxa"/>
              <w:left w:w="108" w:type="dxa"/>
              <w:bottom w:w="0" w:type="dxa"/>
              <w:right w:w="108" w:type="dxa"/>
            </w:tcMar>
          </w:tcPr>
          <w:p w14:paraId="2CDBC0AB" w14:textId="309BC108" w:rsidR="00513E18" w:rsidRPr="004609FA" w:rsidRDefault="00513E18" w:rsidP="00F76882">
            <w:pPr>
              <w:pStyle w:val="Tabletext"/>
            </w:pPr>
            <w:r w:rsidRPr="004609FA">
              <w:t>275</w:t>
            </w:r>
          </w:p>
        </w:tc>
        <w:tc>
          <w:tcPr>
            <w:tcW w:w="229" w:type="pct"/>
            <w:noWrap/>
            <w:tcMar>
              <w:top w:w="15" w:type="dxa"/>
              <w:left w:w="108" w:type="dxa"/>
              <w:bottom w:w="0" w:type="dxa"/>
              <w:right w:w="108" w:type="dxa"/>
            </w:tcMar>
          </w:tcPr>
          <w:p w14:paraId="057B3937" w14:textId="62490FE5" w:rsidR="00513E18" w:rsidRPr="004609FA" w:rsidRDefault="00513E18" w:rsidP="00F76882">
            <w:pPr>
              <w:pStyle w:val="Tabletext"/>
            </w:pPr>
            <w:r w:rsidRPr="004609FA">
              <w:t>300</w:t>
            </w:r>
          </w:p>
        </w:tc>
        <w:tc>
          <w:tcPr>
            <w:tcW w:w="280" w:type="pct"/>
            <w:noWrap/>
            <w:tcMar>
              <w:top w:w="15" w:type="dxa"/>
              <w:left w:w="108" w:type="dxa"/>
              <w:bottom w:w="0" w:type="dxa"/>
              <w:right w:w="108" w:type="dxa"/>
            </w:tcMar>
          </w:tcPr>
          <w:p w14:paraId="634EA555" w14:textId="27F3A2AE" w:rsidR="00513E18" w:rsidRPr="004609FA" w:rsidRDefault="00513E18" w:rsidP="00F76882">
            <w:pPr>
              <w:pStyle w:val="Tabletext"/>
            </w:pPr>
            <w:r w:rsidRPr="004609FA">
              <w:t>351</w:t>
            </w:r>
          </w:p>
        </w:tc>
        <w:tc>
          <w:tcPr>
            <w:tcW w:w="279" w:type="pct"/>
            <w:noWrap/>
            <w:tcMar>
              <w:top w:w="15" w:type="dxa"/>
              <w:left w:w="108" w:type="dxa"/>
              <w:bottom w:w="0" w:type="dxa"/>
              <w:right w:w="108" w:type="dxa"/>
            </w:tcMar>
          </w:tcPr>
          <w:p w14:paraId="5B298A1D" w14:textId="48B4A28F" w:rsidR="00513E18" w:rsidRPr="004609FA" w:rsidRDefault="00513E18" w:rsidP="00F76882">
            <w:pPr>
              <w:pStyle w:val="Tabletext"/>
            </w:pPr>
            <w:r w:rsidRPr="004609FA">
              <w:t>2012</w:t>
            </w:r>
          </w:p>
        </w:tc>
        <w:tc>
          <w:tcPr>
            <w:tcW w:w="299" w:type="pct"/>
            <w:noWrap/>
            <w:tcMar>
              <w:top w:w="15" w:type="dxa"/>
              <w:left w:w="108" w:type="dxa"/>
              <w:bottom w:w="0" w:type="dxa"/>
              <w:right w:w="108" w:type="dxa"/>
            </w:tcMar>
          </w:tcPr>
          <w:p w14:paraId="63A46B60" w14:textId="54CD2E60" w:rsidR="00513E18" w:rsidRPr="004609FA" w:rsidRDefault="00513E18" w:rsidP="00F76882">
            <w:pPr>
              <w:pStyle w:val="Tabletext"/>
            </w:pPr>
            <w:r w:rsidRPr="004609FA">
              <w:t>2938</w:t>
            </w:r>
          </w:p>
        </w:tc>
        <w:tc>
          <w:tcPr>
            <w:tcW w:w="242" w:type="pct"/>
            <w:noWrap/>
            <w:tcMar>
              <w:top w:w="15" w:type="dxa"/>
              <w:left w:w="108" w:type="dxa"/>
              <w:bottom w:w="0" w:type="dxa"/>
              <w:right w:w="108" w:type="dxa"/>
            </w:tcMar>
          </w:tcPr>
          <w:p w14:paraId="35B830D8" w14:textId="5E78FE54" w:rsidR="00513E18" w:rsidRPr="004609FA" w:rsidRDefault="00513E18" w:rsidP="00F76882">
            <w:pPr>
              <w:pStyle w:val="Tabletext"/>
            </w:pPr>
            <w:r w:rsidRPr="004609FA">
              <w:t>11</w:t>
            </w:r>
          </w:p>
        </w:tc>
        <w:tc>
          <w:tcPr>
            <w:tcW w:w="227" w:type="pct"/>
            <w:noWrap/>
            <w:tcMar>
              <w:top w:w="15" w:type="dxa"/>
              <w:left w:w="108" w:type="dxa"/>
              <w:bottom w:w="0" w:type="dxa"/>
              <w:right w:w="108" w:type="dxa"/>
            </w:tcMar>
          </w:tcPr>
          <w:p w14:paraId="7636A8AE" w14:textId="62C1B41B" w:rsidR="00513E18" w:rsidRPr="004609FA" w:rsidRDefault="00513E18" w:rsidP="00F76882">
            <w:pPr>
              <w:pStyle w:val="Tabletext"/>
            </w:pPr>
            <w:r w:rsidRPr="004609FA">
              <w:t>14</w:t>
            </w:r>
          </w:p>
        </w:tc>
        <w:tc>
          <w:tcPr>
            <w:tcW w:w="279" w:type="pct"/>
            <w:noWrap/>
            <w:tcMar>
              <w:top w:w="15" w:type="dxa"/>
              <w:left w:w="108" w:type="dxa"/>
              <w:bottom w:w="0" w:type="dxa"/>
              <w:right w:w="108" w:type="dxa"/>
            </w:tcMar>
          </w:tcPr>
          <w:p w14:paraId="29F20FBA" w14:textId="3C27569C" w:rsidR="00513E18" w:rsidRPr="004609FA" w:rsidRDefault="00513E18" w:rsidP="00F76882">
            <w:pPr>
              <w:pStyle w:val="Tabletext"/>
            </w:pPr>
            <w:r w:rsidRPr="004609FA">
              <w:t>14</w:t>
            </w:r>
          </w:p>
        </w:tc>
        <w:tc>
          <w:tcPr>
            <w:tcW w:w="257" w:type="pct"/>
            <w:noWrap/>
            <w:tcMar>
              <w:top w:w="15" w:type="dxa"/>
              <w:left w:w="108" w:type="dxa"/>
              <w:bottom w:w="0" w:type="dxa"/>
              <w:right w:w="108" w:type="dxa"/>
            </w:tcMar>
          </w:tcPr>
          <w:p w14:paraId="4652176E" w14:textId="4C32809A" w:rsidR="00513E18" w:rsidRPr="004609FA" w:rsidRDefault="00513E18" w:rsidP="00F76882">
            <w:pPr>
              <w:pStyle w:val="Tabletext"/>
            </w:pPr>
            <w:r w:rsidRPr="004609FA">
              <w:t>55</w:t>
            </w:r>
          </w:p>
        </w:tc>
        <w:tc>
          <w:tcPr>
            <w:tcW w:w="258" w:type="pct"/>
            <w:noWrap/>
            <w:tcMar>
              <w:top w:w="15" w:type="dxa"/>
              <w:left w:w="108" w:type="dxa"/>
              <w:bottom w:w="0" w:type="dxa"/>
              <w:right w:w="108" w:type="dxa"/>
            </w:tcMar>
          </w:tcPr>
          <w:p w14:paraId="5659AE07" w14:textId="487C7D4B" w:rsidR="00513E18" w:rsidRPr="004609FA" w:rsidRDefault="00513E18" w:rsidP="00F76882">
            <w:pPr>
              <w:pStyle w:val="Tabletext"/>
            </w:pPr>
            <w:r w:rsidRPr="004609FA">
              <w:t>94</w:t>
            </w:r>
          </w:p>
        </w:tc>
        <w:tc>
          <w:tcPr>
            <w:tcW w:w="227" w:type="pct"/>
            <w:noWrap/>
            <w:tcMar>
              <w:top w:w="15" w:type="dxa"/>
              <w:left w:w="108" w:type="dxa"/>
              <w:bottom w:w="0" w:type="dxa"/>
              <w:right w:w="108" w:type="dxa"/>
            </w:tcMar>
          </w:tcPr>
          <w:p w14:paraId="49761EEE" w14:textId="6ADF8EEB" w:rsidR="00513E18" w:rsidRPr="004609FA" w:rsidRDefault="00513E18" w:rsidP="00F76882">
            <w:pPr>
              <w:pStyle w:val="Tabletext"/>
            </w:pPr>
            <w:r w:rsidRPr="004609FA">
              <w:t>286</w:t>
            </w:r>
          </w:p>
        </w:tc>
        <w:tc>
          <w:tcPr>
            <w:tcW w:w="227" w:type="pct"/>
            <w:noWrap/>
            <w:tcMar>
              <w:top w:w="15" w:type="dxa"/>
              <w:left w:w="108" w:type="dxa"/>
              <w:bottom w:w="0" w:type="dxa"/>
              <w:right w:w="108" w:type="dxa"/>
            </w:tcMar>
          </w:tcPr>
          <w:p w14:paraId="538D68E0" w14:textId="1D7AC40F" w:rsidR="00513E18" w:rsidRPr="004609FA" w:rsidRDefault="00513E18" w:rsidP="00F76882">
            <w:pPr>
              <w:pStyle w:val="Tabletext"/>
            </w:pPr>
            <w:r w:rsidRPr="004609FA">
              <w:t>314</w:t>
            </w:r>
          </w:p>
        </w:tc>
        <w:tc>
          <w:tcPr>
            <w:tcW w:w="279" w:type="pct"/>
            <w:noWrap/>
            <w:tcMar>
              <w:top w:w="15" w:type="dxa"/>
              <w:left w:w="108" w:type="dxa"/>
              <w:bottom w:w="0" w:type="dxa"/>
              <w:right w:w="108" w:type="dxa"/>
            </w:tcMar>
          </w:tcPr>
          <w:p w14:paraId="72FD4019" w14:textId="09C04281" w:rsidR="00513E18" w:rsidRPr="004609FA" w:rsidRDefault="00513E18" w:rsidP="00F76882">
            <w:pPr>
              <w:pStyle w:val="Tabletext"/>
            </w:pPr>
            <w:r w:rsidRPr="004609FA">
              <w:t>365</w:t>
            </w:r>
          </w:p>
        </w:tc>
        <w:tc>
          <w:tcPr>
            <w:tcW w:w="280" w:type="pct"/>
            <w:noWrap/>
            <w:tcMar>
              <w:top w:w="15" w:type="dxa"/>
              <w:left w:w="108" w:type="dxa"/>
              <w:bottom w:w="0" w:type="dxa"/>
              <w:right w:w="108" w:type="dxa"/>
            </w:tcMar>
          </w:tcPr>
          <w:p w14:paraId="78910068" w14:textId="2FC3F42E" w:rsidR="00513E18" w:rsidRPr="004609FA" w:rsidRDefault="00513E18" w:rsidP="00F76882">
            <w:pPr>
              <w:pStyle w:val="Tabletext"/>
            </w:pPr>
            <w:r w:rsidRPr="004609FA">
              <w:t>2067</w:t>
            </w:r>
          </w:p>
        </w:tc>
        <w:tc>
          <w:tcPr>
            <w:tcW w:w="273" w:type="pct"/>
            <w:noWrap/>
            <w:tcMar>
              <w:top w:w="15" w:type="dxa"/>
              <w:left w:w="108" w:type="dxa"/>
              <w:bottom w:w="0" w:type="dxa"/>
              <w:right w:w="108" w:type="dxa"/>
            </w:tcMar>
          </w:tcPr>
          <w:p w14:paraId="6DC98366" w14:textId="0B7B4DB9" w:rsidR="00513E18" w:rsidRPr="004609FA" w:rsidRDefault="00513E18" w:rsidP="00F76882">
            <w:pPr>
              <w:pStyle w:val="Tabletext"/>
            </w:pPr>
            <w:r w:rsidRPr="004609FA">
              <w:t>3032</w:t>
            </w:r>
          </w:p>
        </w:tc>
      </w:tr>
      <w:tr w:rsidR="00274076" w:rsidRPr="0036007C" w14:paraId="129A7EBB" w14:textId="77777777" w:rsidTr="000C705E">
        <w:trPr>
          <w:trHeight w:val="870"/>
        </w:trPr>
        <w:tc>
          <w:tcPr>
            <w:tcW w:w="1134" w:type="pct"/>
            <w:shd w:val="clear" w:color="000000" w:fill="BFBFBF"/>
            <w:tcMar>
              <w:top w:w="15" w:type="dxa"/>
              <w:left w:w="108" w:type="dxa"/>
              <w:bottom w:w="0" w:type="dxa"/>
              <w:right w:w="108" w:type="dxa"/>
            </w:tcMar>
            <w:hideMark/>
          </w:tcPr>
          <w:p w14:paraId="5BA6A6CB" w14:textId="588A3053" w:rsidR="00513E18" w:rsidRPr="003D3BBA" w:rsidRDefault="00513E18" w:rsidP="00F76882">
            <w:pPr>
              <w:pStyle w:val="Tabletextleft"/>
            </w:pPr>
            <w:r w:rsidRPr="003D3BBA">
              <w:t>Number of community members who received treatment</w:t>
            </w:r>
          </w:p>
        </w:tc>
        <w:tc>
          <w:tcPr>
            <w:tcW w:w="230" w:type="pct"/>
            <w:shd w:val="clear" w:color="000000" w:fill="BFBFBF"/>
            <w:noWrap/>
            <w:tcMar>
              <w:top w:w="15" w:type="dxa"/>
              <w:left w:w="108" w:type="dxa"/>
              <w:bottom w:w="0" w:type="dxa"/>
              <w:right w:w="108" w:type="dxa"/>
            </w:tcMar>
          </w:tcPr>
          <w:p w14:paraId="2359A100" w14:textId="146170DA" w:rsidR="00513E18" w:rsidRPr="004609FA" w:rsidRDefault="00513E18" w:rsidP="00F76882">
            <w:pPr>
              <w:pStyle w:val="Tabletext"/>
            </w:pPr>
            <w:r w:rsidRPr="004609FA">
              <w:t>137</w:t>
            </w:r>
          </w:p>
        </w:tc>
        <w:tc>
          <w:tcPr>
            <w:tcW w:w="229" w:type="pct"/>
            <w:shd w:val="clear" w:color="000000" w:fill="BFBFBF"/>
            <w:noWrap/>
            <w:tcMar>
              <w:top w:w="15" w:type="dxa"/>
              <w:left w:w="108" w:type="dxa"/>
              <w:bottom w:w="0" w:type="dxa"/>
              <w:right w:w="108" w:type="dxa"/>
            </w:tcMar>
          </w:tcPr>
          <w:p w14:paraId="40823C04" w14:textId="793308F9" w:rsidR="00513E18" w:rsidRPr="004609FA" w:rsidRDefault="00513E18" w:rsidP="00F76882">
            <w:pPr>
              <w:pStyle w:val="Tabletext"/>
            </w:pPr>
            <w:r w:rsidRPr="004609FA">
              <w:t>206</w:t>
            </w:r>
          </w:p>
        </w:tc>
        <w:tc>
          <w:tcPr>
            <w:tcW w:w="280" w:type="pct"/>
            <w:shd w:val="clear" w:color="000000" w:fill="BFBFBF"/>
            <w:noWrap/>
            <w:tcMar>
              <w:top w:w="15" w:type="dxa"/>
              <w:left w:w="108" w:type="dxa"/>
              <w:bottom w:w="0" w:type="dxa"/>
              <w:right w:w="108" w:type="dxa"/>
            </w:tcMar>
          </w:tcPr>
          <w:p w14:paraId="5F453613" w14:textId="35EC37FC" w:rsidR="00513E18" w:rsidRPr="004609FA" w:rsidRDefault="00513E18" w:rsidP="00F76882">
            <w:pPr>
              <w:pStyle w:val="Tabletext"/>
            </w:pPr>
            <w:r w:rsidRPr="004609FA">
              <w:t>170</w:t>
            </w:r>
          </w:p>
        </w:tc>
        <w:tc>
          <w:tcPr>
            <w:tcW w:w="279" w:type="pct"/>
            <w:shd w:val="clear" w:color="000000" w:fill="BFBFBF"/>
            <w:noWrap/>
            <w:tcMar>
              <w:top w:w="15" w:type="dxa"/>
              <w:left w:w="108" w:type="dxa"/>
              <w:bottom w:w="0" w:type="dxa"/>
              <w:right w:w="108" w:type="dxa"/>
            </w:tcMar>
          </w:tcPr>
          <w:p w14:paraId="7D3861D2" w14:textId="422C9E61" w:rsidR="00513E18" w:rsidRPr="004609FA" w:rsidRDefault="00513E18" w:rsidP="00F76882">
            <w:pPr>
              <w:pStyle w:val="Tabletext"/>
            </w:pPr>
            <w:r w:rsidRPr="004609FA">
              <w:t>1012</w:t>
            </w:r>
          </w:p>
        </w:tc>
        <w:tc>
          <w:tcPr>
            <w:tcW w:w="299" w:type="pct"/>
            <w:shd w:val="clear" w:color="000000" w:fill="BFBFBF"/>
            <w:noWrap/>
            <w:tcMar>
              <w:top w:w="15" w:type="dxa"/>
              <w:left w:w="108" w:type="dxa"/>
              <w:bottom w:w="0" w:type="dxa"/>
              <w:right w:w="108" w:type="dxa"/>
            </w:tcMar>
          </w:tcPr>
          <w:p w14:paraId="770DBD35" w14:textId="44C4D54A" w:rsidR="00513E18" w:rsidRPr="004609FA" w:rsidRDefault="00513E18" w:rsidP="00F76882">
            <w:pPr>
              <w:pStyle w:val="Tabletext"/>
            </w:pPr>
            <w:r w:rsidRPr="004609FA">
              <w:t>1525</w:t>
            </w:r>
          </w:p>
        </w:tc>
        <w:tc>
          <w:tcPr>
            <w:tcW w:w="242" w:type="pct"/>
            <w:shd w:val="clear" w:color="000000" w:fill="BFBFBF"/>
            <w:noWrap/>
            <w:tcMar>
              <w:top w:w="15" w:type="dxa"/>
              <w:left w:w="108" w:type="dxa"/>
              <w:bottom w:w="0" w:type="dxa"/>
              <w:right w:w="108" w:type="dxa"/>
            </w:tcMar>
          </w:tcPr>
          <w:p w14:paraId="65208746" w14:textId="4E3760DB" w:rsidR="00513E18" w:rsidRPr="004609FA" w:rsidRDefault="00513E18" w:rsidP="00F76882">
            <w:pPr>
              <w:pStyle w:val="Tabletext"/>
            </w:pPr>
            <w:r w:rsidRPr="004609FA">
              <w:t>11</w:t>
            </w:r>
          </w:p>
        </w:tc>
        <w:tc>
          <w:tcPr>
            <w:tcW w:w="227" w:type="pct"/>
            <w:shd w:val="clear" w:color="000000" w:fill="BFBFBF"/>
            <w:noWrap/>
            <w:tcMar>
              <w:top w:w="15" w:type="dxa"/>
              <w:left w:w="108" w:type="dxa"/>
              <w:bottom w:w="0" w:type="dxa"/>
              <w:right w:w="108" w:type="dxa"/>
            </w:tcMar>
          </w:tcPr>
          <w:p w14:paraId="2BF26D5C" w14:textId="3D8B9DC1" w:rsidR="00513E18" w:rsidRPr="004609FA" w:rsidRDefault="00513E18" w:rsidP="00F76882">
            <w:pPr>
              <w:pStyle w:val="Tabletext"/>
            </w:pPr>
            <w:r w:rsidRPr="004609FA">
              <w:t>13</w:t>
            </w:r>
          </w:p>
        </w:tc>
        <w:tc>
          <w:tcPr>
            <w:tcW w:w="279" w:type="pct"/>
            <w:shd w:val="clear" w:color="000000" w:fill="BFBFBF"/>
            <w:noWrap/>
            <w:tcMar>
              <w:top w:w="15" w:type="dxa"/>
              <w:left w:w="108" w:type="dxa"/>
              <w:bottom w:w="0" w:type="dxa"/>
              <w:right w:w="108" w:type="dxa"/>
            </w:tcMar>
          </w:tcPr>
          <w:p w14:paraId="0E5A2F9A" w14:textId="302FDA0B" w:rsidR="00513E18" w:rsidRPr="004609FA" w:rsidRDefault="00513E18" w:rsidP="00F76882">
            <w:pPr>
              <w:pStyle w:val="Tabletext"/>
            </w:pPr>
            <w:r w:rsidRPr="004609FA">
              <w:t>13</w:t>
            </w:r>
          </w:p>
        </w:tc>
        <w:tc>
          <w:tcPr>
            <w:tcW w:w="257" w:type="pct"/>
            <w:shd w:val="clear" w:color="000000" w:fill="BFBFBF"/>
            <w:noWrap/>
            <w:tcMar>
              <w:top w:w="15" w:type="dxa"/>
              <w:left w:w="108" w:type="dxa"/>
              <w:bottom w:w="0" w:type="dxa"/>
              <w:right w:w="108" w:type="dxa"/>
            </w:tcMar>
          </w:tcPr>
          <w:p w14:paraId="34E0DDDE" w14:textId="36CCA52C" w:rsidR="00513E18" w:rsidRPr="004609FA" w:rsidRDefault="00513E18" w:rsidP="00F76882">
            <w:pPr>
              <w:pStyle w:val="Tabletext"/>
            </w:pPr>
            <w:r w:rsidRPr="004609FA">
              <w:t>43</w:t>
            </w:r>
          </w:p>
        </w:tc>
        <w:tc>
          <w:tcPr>
            <w:tcW w:w="258" w:type="pct"/>
            <w:shd w:val="clear" w:color="000000" w:fill="BFBFBF"/>
            <w:noWrap/>
            <w:tcMar>
              <w:top w:w="15" w:type="dxa"/>
              <w:left w:w="108" w:type="dxa"/>
              <w:bottom w:w="0" w:type="dxa"/>
              <w:right w:w="108" w:type="dxa"/>
            </w:tcMar>
          </w:tcPr>
          <w:p w14:paraId="31AC6CF5" w14:textId="63E96645" w:rsidR="00513E18" w:rsidRPr="004609FA" w:rsidRDefault="00513E18" w:rsidP="00F76882">
            <w:pPr>
              <w:pStyle w:val="Tabletext"/>
            </w:pPr>
            <w:r w:rsidRPr="004609FA">
              <w:t>80</w:t>
            </w:r>
          </w:p>
        </w:tc>
        <w:tc>
          <w:tcPr>
            <w:tcW w:w="227" w:type="pct"/>
            <w:shd w:val="clear" w:color="000000" w:fill="BFBFBF"/>
            <w:noWrap/>
            <w:tcMar>
              <w:top w:w="15" w:type="dxa"/>
              <w:left w:w="108" w:type="dxa"/>
              <w:bottom w:w="0" w:type="dxa"/>
              <w:right w:w="108" w:type="dxa"/>
            </w:tcMar>
          </w:tcPr>
          <w:p w14:paraId="3EDCCEA4" w14:textId="0C054461" w:rsidR="00513E18" w:rsidRPr="004609FA" w:rsidRDefault="00513E18" w:rsidP="00F76882">
            <w:pPr>
              <w:pStyle w:val="Tabletext"/>
            </w:pPr>
            <w:r w:rsidRPr="004609FA">
              <w:t>148</w:t>
            </w:r>
          </w:p>
        </w:tc>
        <w:tc>
          <w:tcPr>
            <w:tcW w:w="227" w:type="pct"/>
            <w:shd w:val="clear" w:color="000000" w:fill="BFBFBF"/>
            <w:noWrap/>
            <w:tcMar>
              <w:top w:w="15" w:type="dxa"/>
              <w:left w:w="108" w:type="dxa"/>
              <w:bottom w:w="0" w:type="dxa"/>
              <w:right w:w="108" w:type="dxa"/>
            </w:tcMar>
          </w:tcPr>
          <w:p w14:paraId="37F0490A" w14:textId="411CF283" w:rsidR="00513E18" w:rsidRPr="004609FA" w:rsidRDefault="00513E18" w:rsidP="00F76882">
            <w:pPr>
              <w:pStyle w:val="Tabletext"/>
            </w:pPr>
            <w:r w:rsidRPr="004609FA">
              <w:t>219</w:t>
            </w:r>
          </w:p>
        </w:tc>
        <w:tc>
          <w:tcPr>
            <w:tcW w:w="279" w:type="pct"/>
            <w:shd w:val="clear" w:color="000000" w:fill="BFBFBF"/>
            <w:noWrap/>
            <w:tcMar>
              <w:top w:w="15" w:type="dxa"/>
              <w:left w:w="108" w:type="dxa"/>
              <w:bottom w:w="0" w:type="dxa"/>
              <w:right w:w="108" w:type="dxa"/>
            </w:tcMar>
          </w:tcPr>
          <w:p w14:paraId="182EC7D9" w14:textId="0E906B0D" w:rsidR="00513E18" w:rsidRPr="004609FA" w:rsidRDefault="00513E18" w:rsidP="00F76882">
            <w:pPr>
              <w:pStyle w:val="Tabletext"/>
            </w:pPr>
            <w:r w:rsidRPr="004609FA">
              <w:t>183</w:t>
            </w:r>
          </w:p>
        </w:tc>
        <w:tc>
          <w:tcPr>
            <w:tcW w:w="280" w:type="pct"/>
            <w:shd w:val="clear" w:color="000000" w:fill="BFBFBF"/>
            <w:noWrap/>
            <w:tcMar>
              <w:top w:w="15" w:type="dxa"/>
              <w:left w:w="108" w:type="dxa"/>
              <w:bottom w:w="0" w:type="dxa"/>
              <w:right w:w="108" w:type="dxa"/>
            </w:tcMar>
          </w:tcPr>
          <w:p w14:paraId="55B580AF" w14:textId="556794EF" w:rsidR="00513E18" w:rsidRPr="004609FA" w:rsidRDefault="00513E18" w:rsidP="00F76882">
            <w:pPr>
              <w:pStyle w:val="Tabletext"/>
            </w:pPr>
            <w:r w:rsidRPr="004609FA">
              <w:t>1055</w:t>
            </w:r>
          </w:p>
        </w:tc>
        <w:tc>
          <w:tcPr>
            <w:tcW w:w="273" w:type="pct"/>
            <w:shd w:val="clear" w:color="000000" w:fill="BFBFBF"/>
            <w:noWrap/>
            <w:tcMar>
              <w:top w:w="15" w:type="dxa"/>
              <w:left w:w="108" w:type="dxa"/>
              <w:bottom w:w="0" w:type="dxa"/>
              <w:right w:w="108" w:type="dxa"/>
            </w:tcMar>
          </w:tcPr>
          <w:p w14:paraId="2F16A3E6" w14:textId="01C96C0B" w:rsidR="00513E18" w:rsidRPr="004609FA" w:rsidRDefault="00513E18" w:rsidP="00F76882">
            <w:pPr>
              <w:pStyle w:val="Tabletext"/>
            </w:pPr>
            <w:r w:rsidRPr="004609FA">
              <w:t>1605</w:t>
            </w:r>
          </w:p>
        </w:tc>
      </w:tr>
      <w:tr w:rsidR="00274076" w:rsidRPr="0036007C" w14:paraId="5FB8EAB4" w14:textId="77777777" w:rsidTr="000C705E">
        <w:trPr>
          <w:trHeight w:val="855"/>
        </w:trPr>
        <w:tc>
          <w:tcPr>
            <w:tcW w:w="1134" w:type="pct"/>
            <w:tcMar>
              <w:top w:w="15" w:type="dxa"/>
              <w:left w:w="108" w:type="dxa"/>
              <w:bottom w:w="0" w:type="dxa"/>
              <w:right w:w="108" w:type="dxa"/>
            </w:tcMar>
            <w:hideMark/>
          </w:tcPr>
          <w:p w14:paraId="4BFC8D0C" w14:textId="77777777" w:rsidR="00513E18" w:rsidRPr="0063016C" w:rsidRDefault="00513E18" w:rsidP="00F76882">
            <w:pPr>
              <w:rPr>
                <w:rStyle w:val="Emphasis"/>
              </w:rPr>
            </w:pPr>
            <w:r w:rsidRPr="0063016C">
              <w:rPr>
                <w:rStyle w:val="Emphasis"/>
              </w:rPr>
              <w:t>Estimated community members who received treatment (%)</w:t>
            </w:r>
          </w:p>
        </w:tc>
        <w:tc>
          <w:tcPr>
            <w:tcW w:w="230" w:type="pct"/>
            <w:noWrap/>
            <w:tcMar>
              <w:top w:w="15" w:type="dxa"/>
              <w:left w:w="108" w:type="dxa"/>
              <w:bottom w:w="0" w:type="dxa"/>
              <w:right w:w="108" w:type="dxa"/>
            </w:tcMar>
          </w:tcPr>
          <w:p w14:paraId="32BBD948" w14:textId="2742A5F5" w:rsidR="00513E18" w:rsidRPr="006043C2" w:rsidRDefault="00513E18" w:rsidP="00F76882">
            <w:pPr>
              <w:pStyle w:val="Tabletext"/>
              <w:rPr>
                <w:rStyle w:val="Emphasis"/>
              </w:rPr>
            </w:pPr>
            <w:r w:rsidRPr="006043C2">
              <w:rPr>
                <w:rStyle w:val="Emphasis"/>
              </w:rPr>
              <w:t>50</w:t>
            </w:r>
          </w:p>
        </w:tc>
        <w:tc>
          <w:tcPr>
            <w:tcW w:w="229" w:type="pct"/>
            <w:noWrap/>
            <w:tcMar>
              <w:top w:w="15" w:type="dxa"/>
              <w:left w:w="108" w:type="dxa"/>
              <w:bottom w:w="0" w:type="dxa"/>
              <w:right w:w="108" w:type="dxa"/>
            </w:tcMar>
          </w:tcPr>
          <w:p w14:paraId="6B8B636A" w14:textId="42E5782E" w:rsidR="00513E18" w:rsidRPr="006043C2" w:rsidRDefault="00513E18" w:rsidP="00F76882">
            <w:pPr>
              <w:pStyle w:val="Tabletext"/>
              <w:rPr>
                <w:rStyle w:val="Emphasis"/>
              </w:rPr>
            </w:pPr>
            <w:r w:rsidRPr="006043C2">
              <w:rPr>
                <w:rStyle w:val="Emphasis"/>
              </w:rPr>
              <w:t>69</w:t>
            </w:r>
          </w:p>
        </w:tc>
        <w:tc>
          <w:tcPr>
            <w:tcW w:w="280" w:type="pct"/>
            <w:noWrap/>
            <w:tcMar>
              <w:top w:w="15" w:type="dxa"/>
              <w:left w:w="108" w:type="dxa"/>
              <w:bottom w:w="0" w:type="dxa"/>
              <w:right w:w="108" w:type="dxa"/>
            </w:tcMar>
          </w:tcPr>
          <w:p w14:paraId="5D71C58E" w14:textId="784054D3" w:rsidR="00513E18" w:rsidRPr="006043C2" w:rsidRDefault="00513E18" w:rsidP="00F76882">
            <w:pPr>
              <w:pStyle w:val="Tabletext"/>
              <w:rPr>
                <w:rStyle w:val="Emphasis"/>
              </w:rPr>
            </w:pPr>
            <w:r w:rsidRPr="006043C2">
              <w:rPr>
                <w:rStyle w:val="Emphasis"/>
              </w:rPr>
              <w:t>48</w:t>
            </w:r>
          </w:p>
        </w:tc>
        <w:tc>
          <w:tcPr>
            <w:tcW w:w="279" w:type="pct"/>
            <w:noWrap/>
            <w:tcMar>
              <w:top w:w="15" w:type="dxa"/>
              <w:left w:w="108" w:type="dxa"/>
              <w:bottom w:w="0" w:type="dxa"/>
              <w:right w:w="108" w:type="dxa"/>
            </w:tcMar>
          </w:tcPr>
          <w:p w14:paraId="70B4AFBA" w14:textId="570313DE" w:rsidR="00513E18" w:rsidRPr="006043C2" w:rsidRDefault="00513E18" w:rsidP="00F76882">
            <w:pPr>
              <w:pStyle w:val="Tabletext"/>
              <w:rPr>
                <w:rStyle w:val="Emphasis"/>
              </w:rPr>
            </w:pPr>
            <w:r w:rsidRPr="006043C2">
              <w:rPr>
                <w:rStyle w:val="Emphasis"/>
              </w:rPr>
              <w:t>50</w:t>
            </w:r>
          </w:p>
        </w:tc>
        <w:tc>
          <w:tcPr>
            <w:tcW w:w="299" w:type="pct"/>
            <w:noWrap/>
            <w:tcMar>
              <w:top w:w="15" w:type="dxa"/>
              <w:left w:w="108" w:type="dxa"/>
              <w:bottom w:w="0" w:type="dxa"/>
              <w:right w:w="108" w:type="dxa"/>
            </w:tcMar>
          </w:tcPr>
          <w:p w14:paraId="5EC655EC" w14:textId="2C1E172C" w:rsidR="00513E18" w:rsidRPr="006043C2" w:rsidRDefault="00513E18" w:rsidP="00F76882">
            <w:pPr>
              <w:pStyle w:val="Tabletext"/>
              <w:rPr>
                <w:rStyle w:val="Emphasis"/>
              </w:rPr>
            </w:pPr>
            <w:r w:rsidRPr="006043C2">
              <w:rPr>
                <w:rStyle w:val="Emphasis"/>
              </w:rPr>
              <w:t>52</w:t>
            </w:r>
          </w:p>
        </w:tc>
        <w:tc>
          <w:tcPr>
            <w:tcW w:w="242" w:type="pct"/>
            <w:noWrap/>
            <w:tcMar>
              <w:top w:w="15" w:type="dxa"/>
              <w:left w:w="108" w:type="dxa"/>
              <w:bottom w:w="0" w:type="dxa"/>
              <w:right w:w="108" w:type="dxa"/>
            </w:tcMar>
          </w:tcPr>
          <w:p w14:paraId="79DB398A" w14:textId="196BBF90" w:rsidR="00513E18" w:rsidRPr="006043C2" w:rsidRDefault="00513E18" w:rsidP="00F76882">
            <w:pPr>
              <w:pStyle w:val="Tabletext"/>
              <w:rPr>
                <w:rStyle w:val="Emphasis"/>
              </w:rPr>
            </w:pPr>
            <w:r w:rsidRPr="006043C2">
              <w:rPr>
                <w:rStyle w:val="Emphasis"/>
              </w:rPr>
              <w:t>100</w:t>
            </w:r>
          </w:p>
        </w:tc>
        <w:tc>
          <w:tcPr>
            <w:tcW w:w="227" w:type="pct"/>
            <w:noWrap/>
            <w:tcMar>
              <w:top w:w="15" w:type="dxa"/>
              <w:left w:w="108" w:type="dxa"/>
              <w:bottom w:w="0" w:type="dxa"/>
              <w:right w:w="108" w:type="dxa"/>
            </w:tcMar>
          </w:tcPr>
          <w:p w14:paraId="6A3B582B" w14:textId="55A0C337" w:rsidR="00513E18" w:rsidRPr="006043C2" w:rsidRDefault="00513E18" w:rsidP="00F76882">
            <w:pPr>
              <w:pStyle w:val="Tabletext"/>
              <w:rPr>
                <w:rStyle w:val="Emphasis"/>
              </w:rPr>
            </w:pPr>
            <w:r w:rsidRPr="006043C2">
              <w:rPr>
                <w:rStyle w:val="Emphasis"/>
              </w:rPr>
              <w:t>93</w:t>
            </w:r>
          </w:p>
        </w:tc>
        <w:tc>
          <w:tcPr>
            <w:tcW w:w="279" w:type="pct"/>
            <w:noWrap/>
            <w:tcMar>
              <w:top w:w="15" w:type="dxa"/>
              <w:left w:w="108" w:type="dxa"/>
              <w:bottom w:w="0" w:type="dxa"/>
              <w:right w:w="108" w:type="dxa"/>
            </w:tcMar>
          </w:tcPr>
          <w:p w14:paraId="01B25F56" w14:textId="136DEEE6" w:rsidR="00513E18" w:rsidRPr="006043C2" w:rsidRDefault="00513E18" w:rsidP="00F76882">
            <w:pPr>
              <w:pStyle w:val="Tabletext"/>
              <w:rPr>
                <w:rStyle w:val="Emphasis"/>
              </w:rPr>
            </w:pPr>
            <w:r w:rsidRPr="006043C2">
              <w:rPr>
                <w:rStyle w:val="Emphasis"/>
              </w:rPr>
              <w:t>93</w:t>
            </w:r>
          </w:p>
        </w:tc>
        <w:tc>
          <w:tcPr>
            <w:tcW w:w="257" w:type="pct"/>
            <w:noWrap/>
            <w:tcMar>
              <w:top w:w="15" w:type="dxa"/>
              <w:left w:w="108" w:type="dxa"/>
              <w:bottom w:w="0" w:type="dxa"/>
              <w:right w:w="108" w:type="dxa"/>
            </w:tcMar>
          </w:tcPr>
          <w:p w14:paraId="3300276E" w14:textId="7B729FD4" w:rsidR="00513E18" w:rsidRPr="006043C2" w:rsidRDefault="00513E18" w:rsidP="00F76882">
            <w:pPr>
              <w:pStyle w:val="Tabletext"/>
              <w:rPr>
                <w:rStyle w:val="Emphasis"/>
              </w:rPr>
            </w:pPr>
            <w:r w:rsidRPr="006043C2">
              <w:rPr>
                <w:rStyle w:val="Emphasis"/>
              </w:rPr>
              <w:t>78</w:t>
            </w:r>
          </w:p>
        </w:tc>
        <w:tc>
          <w:tcPr>
            <w:tcW w:w="258" w:type="pct"/>
            <w:noWrap/>
            <w:tcMar>
              <w:top w:w="15" w:type="dxa"/>
              <w:left w:w="108" w:type="dxa"/>
              <w:bottom w:w="0" w:type="dxa"/>
              <w:right w:w="108" w:type="dxa"/>
            </w:tcMar>
          </w:tcPr>
          <w:p w14:paraId="27F581DA" w14:textId="776A83A5" w:rsidR="00513E18" w:rsidRPr="006043C2" w:rsidRDefault="00513E18" w:rsidP="00F76882">
            <w:pPr>
              <w:pStyle w:val="Tabletext"/>
              <w:rPr>
                <w:rStyle w:val="Emphasis"/>
              </w:rPr>
            </w:pPr>
            <w:r w:rsidRPr="006043C2">
              <w:rPr>
                <w:rStyle w:val="Emphasis"/>
              </w:rPr>
              <w:t>85</w:t>
            </w:r>
          </w:p>
        </w:tc>
        <w:tc>
          <w:tcPr>
            <w:tcW w:w="227" w:type="pct"/>
            <w:noWrap/>
            <w:tcMar>
              <w:top w:w="15" w:type="dxa"/>
              <w:left w:w="108" w:type="dxa"/>
              <w:bottom w:w="0" w:type="dxa"/>
              <w:right w:w="108" w:type="dxa"/>
            </w:tcMar>
          </w:tcPr>
          <w:p w14:paraId="10835F57" w14:textId="4C49460E" w:rsidR="00513E18" w:rsidRPr="006043C2" w:rsidRDefault="00513E18" w:rsidP="00F76882">
            <w:pPr>
              <w:pStyle w:val="Tabletext"/>
              <w:rPr>
                <w:rStyle w:val="Emphasis"/>
              </w:rPr>
            </w:pPr>
            <w:r w:rsidRPr="006043C2">
              <w:rPr>
                <w:rStyle w:val="Emphasis"/>
              </w:rPr>
              <w:t>52</w:t>
            </w:r>
          </w:p>
        </w:tc>
        <w:tc>
          <w:tcPr>
            <w:tcW w:w="227" w:type="pct"/>
            <w:noWrap/>
            <w:tcMar>
              <w:top w:w="15" w:type="dxa"/>
              <w:left w:w="108" w:type="dxa"/>
              <w:bottom w:w="0" w:type="dxa"/>
              <w:right w:w="108" w:type="dxa"/>
            </w:tcMar>
          </w:tcPr>
          <w:p w14:paraId="1AED499A" w14:textId="32115D54" w:rsidR="00513E18" w:rsidRPr="006043C2" w:rsidRDefault="00513E18" w:rsidP="00F76882">
            <w:pPr>
              <w:pStyle w:val="Tabletext"/>
              <w:rPr>
                <w:rStyle w:val="Emphasis"/>
              </w:rPr>
            </w:pPr>
            <w:r w:rsidRPr="006043C2">
              <w:rPr>
                <w:rStyle w:val="Emphasis"/>
              </w:rPr>
              <w:t>70</w:t>
            </w:r>
          </w:p>
        </w:tc>
        <w:tc>
          <w:tcPr>
            <w:tcW w:w="279" w:type="pct"/>
            <w:noWrap/>
            <w:tcMar>
              <w:top w:w="15" w:type="dxa"/>
              <w:left w:w="108" w:type="dxa"/>
              <w:bottom w:w="0" w:type="dxa"/>
              <w:right w:w="108" w:type="dxa"/>
            </w:tcMar>
          </w:tcPr>
          <w:p w14:paraId="1C2D46E1" w14:textId="5F363BFA" w:rsidR="00513E18" w:rsidRPr="006043C2" w:rsidRDefault="00513E18" w:rsidP="00F76882">
            <w:pPr>
              <w:pStyle w:val="Tabletext"/>
              <w:rPr>
                <w:rStyle w:val="Emphasis"/>
              </w:rPr>
            </w:pPr>
            <w:r w:rsidRPr="006043C2">
              <w:rPr>
                <w:rStyle w:val="Emphasis"/>
              </w:rPr>
              <w:t>50</w:t>
            </w:r>
          </w:p>
        </w:tc>
        <w:tc>
          <w:tcPr>
            <w:tcW w:w="280" w:type="pct"/>
            <w:noWrap/>
            <w:tcMar>
              <w:top w:w="15" w:type="dxa"/>
              <w:left w:w="108" w:type="dxa"/>
              <w:bottom w:w="0" w:type="dxa"/>
              <w:right w:w="108" w:type="dxa"/>
            </w:tcMar>
          </w:tcPr>
          <w:p w14:paraId="1004E67B" w14:textId="3EA7C534" w:rsidR="00513E18" w:rsidRPr="006043C2" w:rsidRDefault="00513E18" w:rsidP="00F76882">
            <w:pPr>
              <w:pStyle w:val="Tabletext"/>
              <w:rPr>
                <w:rStyle w:val="Emphasis"/>
              </w:rPr>
            </w:pPr>
            <w:r w:rsidRPr="006043C2">
              <w:rPr>
                <w:rStyle w:val="Emphasis"/>
              </w:rPr>
              <w:t>51</w:t>
            </w:r>
          </w:p>
        </w:tc>
        <w:tc>
          <w:tcPr>
            <w:tcW w:w="273" w:type="pct"/>
            <w:noWrap/>
            <w:tcMar>
              <w:top w:w="15" w:type="dxa"/>
              <w:left w:w="108" w:type="dxa"/>
              <w:bottom w:w="0" w:type="dxa"/>
              <w:right w:w="108" w:type="dxa"/>
            </w:tcMar>
          </w:tcPr>
          <w:p w14:paraId="270AADC3" w14:textId="45453E7F" w:rsidR="00513E18" w:rsidRPr="006043C2" w:rsidRDefault="00513E18" w:rsidP="00F76882">
            <w:pPr>
              <w:pStyle w:val="Tabletext"/>
              <w:rPr>
                <w:rStyle w:val="Emphasis"/>
              </w:rPr>
            </w:pPr>
            <w:r w:rsidRPr="006043C2">
              <w:rPr>
                <w:rStyle w:val="Emphasis"/>
              </w:rPr>
              <w:t>53</w:t>
            </w:r>
          </w:p>
        </w:tc>
      </w:tr>
      <w:tr w:rsidR="00274076" w:rsidRPr="0036007C" w14:paraId="05C826D9" w14:textId="77777777" w:rsidTr="000C705E">
        <w:trPr>
          <w:trHeight w:val="580"/>
        </w:trPr>
        <w:tc>
          <w:tcPr>
            <w:tcW w:w="1134" w:type="pct"/>
            <w:shd w:val="clear" w:color="000000" w:fill="BFBFBF"/>
            <w:tcMar>
              <w:top w:w="15" w:type="dxa"/>
              <w:left w:w="108" w:type="dxa"/>
              <w:bottom w:w="0" w:type="dxa"/>
              <w:right w:w="108" w:type="dxa"/>
            </w:tcMar>
            <w:hideMark/>
          </w:tcPr>
          <w:p w14:paraId="5410E590" w14:textId="77777777" w:rsidR="00513E18" w:rsidRPr="003D3BBA" w:rsidRDefault="00513E18" w:rsidP="00F76882">
            <w:pPr>
              <w:pStyle w:val="Tabletextleft"/>
            </w:pPr>
            <w:r w:rsidRPr="003D3BBA">
              <w:t>Number of community members that refused treatment</w:t>
            </w:r>
          </w:p>
        </w:tc>
        <w:tc>
          <w:tcPr>
            <w:tcW w:w="230" w:type="pct"/>
            <w:shd w:val="clear" w:color="000000" w:fill="BFBFBF"/>
            <w:noWrap/>
            <w:tcMar>
              <w:top w:w="15" w:type="dxa"/>
              <w:left w:w="108" w:type="dxa"/>
              <w:bottom w:w="0" w:type="dxa"/>
              <w:right w:w="108" w:type="dxa"/>
            </w:tcMar>
          </w:tcPr>
          <w:p w14:paraId="2743ADEA" w14:textId="0C7B697A" w:rsidR="00513E18" w:rsidRPr="004609FA" w:rsidRDefault="00513E18" w:rsidP="00F76882">
            <w:pPr>
              <w:pStyle w:val="Tabletext"/>
            </w:pPr>
            <w:r w:rsidRPr="004609FA">
              <w:t>11</w:t>
            </w:r>
          </w:p>
        </w:tc>
        <w:tc>
          <w:tcPr>
            <w:tcW w:w="229" w:type="pct"/>
            <w:shd w:val="clear" w:color="000000" w:fill="BFBFBF"/>
            <w:noWrap/>
            <w:tcMar>
              <w:top w:w="15" w:type="dxa"/>
              <w:left w:w="108" w:type="dxa"/>
              <w:bottom w:w="0" w:type="dxa"/>
              <w:right w:w="108" w:type="dxa"/>
            </w:tcMar>
          </w:tcPr>
          <w:p w14:paraId="6A73B35C" w14:textId="758A30E7" w:rsidR="00513E18" w:rsidRPr="004609FA" w:rsidRDefault="00513E18" w:rsidP="00F76882">
            <w:pPr>
              <w:pStyle w:val="Tabletext"/>
            </w:pPr>
            <w:r w:rsidRPr="004609FA">
              <w:t>7</w:t>
            </w:r>
          </w:p>
        </w:tc>
        <w:tc>
          <w:tcPr>
            <w:tcW w:w="280" w:type="pct"/>
            <w:shd w:val="clear" w:color="000000" w:fill="BFBFBF"/>
            <w:noWrap/>
            <w:tcMar>
              <w:top w:w="15" w:type="dxa"/>
              <w:left w:w="108" w:type="dxa"/>
              <w:bottom w:w="0" w:type="dxa"/>
              <w:right w:w="108" w:type="dxa"/>
            </w:tcMar>
          </w:tcPr>
          <w:p w14:paraId="73B4C9F4" w14:textId="518307FA" w:rsidR="00513E18" w:rsidRPr="004609FA" w:rsidRDefault="00513E18" w:rsidP="00F76882">
            <w:pPr>
              <w:pStyle w:val="Tabletext"/>
            </w:pPr>
            <w:r w:rsidRPr="004609FA">
              <w:t>12</w:t>
            </w:r>
          </w:p>
        </w:tc>
        <w:tc>
          <w:tcPr>
            <w:tcW w:w="279" w:type="pct"/>
            <w:shd w:val="clear" w:color="000000" w:fill="BFBFBF"/>
            <w:noWrap/>
            <w:tcMar>
              <w:top w:w="15" w:type="dxa"/>
              <w:left w:w="108" w:type="dxa"/>
              <w:bottom w:w="0" w:type="dxa"/>
              <w:right w:w="108" w:type="dxa"/>
            </w:tcMar>
          </w:tcPr>
          <w:p w14:paraId="79B4874E" w14:textId="2AD5D79D" w:rsidR="00513E18" w:rsidRPr="004609FA" w:rsidRDefault="00513E18" w:rsidP="00F76882">
            <w:pPr>
              <w:pStyle w:val="Tabletext"/>
            </w:pPr>
            <w:r w:rsidRPr="004609FA">
              <w:t>86</w:t>
            </w:r>
          </w:p>
        </w:tc>
        <w:tc>
          <w:tcPr>
            <w:tcW w:w="299" w:type="pct"/>
            <w:shd w:val="clear" w:color="000000" w:fill="BFBFBF"/>
            <w:noWrap/>
            <w:tcMar>
              <w:top w:w="15" w:type="dxa"/>
              <w:left w:w="108" w:type="dxa"/>
              <w:bottom w:w="0" w:type="dxa"/>
              <w:right w:w="108" w:type="dxa"/>
            </w:tcMar>
          </w:tcPr>
          <w:p w14:paraId="1DB7AA4F" w14:textId="68BD7B0C" w:rsidR="00513E18" w:rsidRPr="004609FA" w:rsidRDefault="00513E18" w:rsidP="00F76882">
            <w:pPr>
              <w:pStyle w:val="Tabletext"/>
            </w:pPr>
            <w:r w:rsidRPr="004609FA">
              <w:t>116</w:t>
            </w:r>
          </w:p>
        </w:tc>
        <w:tc>
          <w:tcPr>
            <w:tcW w:w="242" w:type="pct"/>
            <w:shd w:val="clear" w:color="000000" w:fill="BFBFBF"/>
            <w:noWrap/>
            <w:tcMar>
              <w:top w:w="15" w:type="dxa"/>
              <w:left w:w="108" w:type="dxa"/>
              <w:bottom w:w="0" w:type="dxa"/>
              <w:right w:w="108" w:type="dxa"/>
            </w:tcMar>
          </w:tcPr>
          <w:p w14:paraId="2A0D4CA0" w14:textId="48267378" w:rsidR="00513E18" w:rsidRPr="004609FA" w:rsidRDefault="00513E18" w:rsidP="00F76882">
            <w:pPr>
              <w:pStyle w:val="Tabletext"/>
            </w:pPr>
            <w:r w:rsidRPr="004609FA">
              <w:t>0</w:t>
            </w:r>
          </w:p>
        </w:tc>
        <w:tc>
          <w:tcPr>
            <w:tcW w:w="227" w:type="pct"/>
            <w:shd w:val="clear" w:color="000000" w:fill="BFBFBF"/>
            <w:noWrap/>
            <w:tcMar>
              <w:top w:w="15" w:type="dxa"/>
              <w:left w:w="108" w:type="dxa"/>
              <w:bottom w:w="0" w:type="dxa"/>
              <w:right w:w="108" w:type="dxa"/>
            </w:tcMar>
          </w:tcPr>
          <w:p w14:paraId="5B416B3E" w14:textId="0628A2F5" w:rsidR="00513E18" w:rsidRPr="004609FA" w:rsidRDefault="00513E18" w:rsidP="00F76882">
            <w:pPr>
              <w:pStyle w:val="Tabletext"/>
            </w:pPr>
            <w:r w:rsidRPr="004609FA">
              <w:t>1</w:t>
            </w:r>
          </w:p>
        </w:tc>
        <w:tc>
          <w:tcPr>
            <w:tcW w:w="279" w:type="pct"/>
            <w:shd w:val="clear" w:color="000000" w:fill="BFBFBF"/>
            <w:noWrap/>
            <w:tcMar>
              <w:top w:w="15" w:type="dxa"/>
              <w:left w:w="108" w:type="dxa"/>
              <w:bottom w:w="0" w:type="dxa"/>
              <w:right w:w="108" w:type="dxa"/>
            </w:tcMar>
          </w:tcPr>
          <w:p w14:paraId="77BC108C" w14:textId="600034BE" w:rsidR="00513E18" w:rsidRPr="004609FA" w:rsidRDefault="00513E18" w:rsidP="00F76882">
            <w:pPr>
              <w:pStyle w:val="Tabletext"/>
            </w:pPr>
            <w:r w:rsidRPr="004609FA">
              <w:t>1</w:t>
            </w:r>
          </w:p>
        </w:tc>
        <w:tc>
          <w:tcPr>
            <w:tcW w:w="257" w:type="pct"/>
            <w:shd w:val="clear" w:color="000000" w:fill="BFBFBF"/>
            <w:noWrap/>
            <w:tcMar>
              <w:top w:w="15" w:type="dxa"/>
              <w:left w:w="108" w:type="dxa"/>
              <w:bottom w:w="0" w:type="dxa"/>
              <w:right w:w="108" w:type="dxa"/>
            </w:tcMar>
          </w:tcPr>
          <w:p w14:paraId="04D3C1B3" w14:textId="02F44F85" w:rsidR="00513E18" w:rsidRPr="004609FA" w:rsidRDefault="00513E18" w:rsidP="00F76882">
            <w:pPr>
              <w:pStyle w:val="Tabletext"/>
            </w:pPr>
            <w:r w:rsidRPr="004609FA">
              <w:t>11</w:t>
            </w:r>
          </w:p>
        </w:tc>
        <w:tc>
          <w:tcPr>
            <w:tcW w:w="258" w:type="pct"/>
            <w:shd w:val="clear" w:color="000000" w:fill="BFBFBF"/>
            <w:noWrap/>
            <w:tcMar>
              <w:top w:w="15" w:type="dxa"/>
              <w:left w:w="108" w:type="dxa"/>
              <w:bottom w:w="0" w:type="dxa"/>
              <w:right w:w="108" w:type="dxa"/>
            </w:tcMar>
          </w:tcPr>
          <w:p w14:paraId="4ABAA6CD" w14:textId="719B4368" w:rsidR="00513E18" w:rsidRPr="004609FA" w:rsidRDefault="00513E18" w:rsidP="00F76882">
            <w:pPr>
              <w:pStyle w:val="Tabletext"/>
            </w:pPr>
            <w:r w:rsidRPr="004609FA">
              <w:t>13</w:t>
            </w:r>
          </w:p>
        </w:tc>
        <w:tc>
          <w:tcPr>
            <w:tcW w:w="227" w:type="pct"/>
            <w:shd w:val="clear" w:color="000000" w:fill="BFBFBF"/>
            <w:noWrap/>
            <w:tcMar>
              <w:top w:w="15" w:type="dxa"/>
              <w:left w:w="108" w:type="dxa"/>
              <w:bottom w:w="0" w:type="dxa"/>
              <w:right w:w="108" w:type="dxa"/>
            </w:tcMar>
          </w:tcPr>
          <w:p w14:paraId="759DD7D8" w14:textId="6C75DF6C" w:rsidR="00513E18" w:rsidRPr="004609FA" w:rsidRDefault="00513E18" w:rsidP="00F76882">
            <w:pPr>
              <w:pStyle w:val="Tabletext"/>
            </w:pPr>
            <w:r w:rsidRPr="004609FA">
              <w:t>11</w:t>
            </w:r>
          </w:p>
        </w:tc>
        <w:tc>
          <w:tcPr>
            <w:tcW w:w="227" w:type="pct"/>
            <w:shd w:val="clear" w:color="000000" w:fill="BFBFBF"/>
            <w:noWrap/>
            <w:tcMar>
              <w:top w:w="15" w:type="dxa"/>
              <w:left w:w="108" w:type="dxa"/>
              <w:bottom w:w="0" w:type="dxa"/>
              <w:right w:w="108" w:type="dxa"/>
            </w:tcMar>
          </w:tcPr>
          <w:p w14:paraId="436E5D59" w14:textId="01091FB5" w:rsidR="00513E18" w:rsidRPr="004609FA" w:rsidRDefault="00513E18" w:rsidP="00F76882">
            <w:pPr>
              <w:pStyle w:val="Tabletext"/>
            </w:pPr>
            <w:r w:rsidRPr="004609FA">
              <w:t>8</w:t>
            </w:r>
          </w:p>
        </w:tc>
        <w:tc>
          <w:tcPr>
            <w:tcW w:w="279" w:type="pct"/>
            <w:shd w:val="clear" w:color="000000" w:fill="BFBFBF"/>
            <w:noWrap/>
            <w:tcMar>
              <w:top w:w="15" w:type="dxa"/>
              <w:left w:w="108" w:type="dxa"/>
              <w:bottom w:w="0" w:type="dxa"/>
              <w:right w:w="108" w:type="dxa"/>
            </w:tcMar>
          </w:tcPr>
          <w:p w14:paraId="7BFFFE1D" w14:textId="561224C4" w:rsidR="00513E18" w:rsidRPr="004609FA" w:rsidRDefault="00513E18" w:rsidP="00F76882">
            <w:pPr>
              <w:pStyle w:val="Tabletext"/>
            </w:pPr>
            <w:r w:rsidRPr="004609FA">
              <w:t>13</w:t>
            </w:r>
          </w:p>
        </w:tc>
        <w:tc>
          <w:tcPr>
            <w:tcW w:w="280" w:type="pct"/>
            <w:shd w:val="clear" w:color="000000" w:fill="BFBFBF"/>
            <w:noWrap/>
            <w:tcMar>
              <w:top w:w="15" w:type="dxa"/>
              <w:left w:w="108" w:type="dxa"/>
              <w:bottom w:w="0" w:type="dxa"/>
              <w:right w:w="108" w:type="dxa"/>
            </w:tcMar>
          </w:tcPr>
          <w:p w14:paraId="26C4961F" w14:textId="11194E05" w:rsidR="00513E18" w:rsidRPr="004609FA" w:rsidRDefault="00513E18" w:rsidP="00F76882">
            <w:pPr>
              <w:pStyle w:val="Tabletext"/>
            </w:pPr>
            <w:r w:rsidRPr="004609FA">
              <w:t>97</w:t>
            </w:r>
          </w:p>
        </w:tc>
        <w:tc>
          <w:tcPr>
            <w:tcW w:w="273" w:type="pct"/>
            <w:shd w:val="clear" w:color="000000" w:fill="BFBFBF"/>
            <w:noWrap/>
            <w:tcMar>
              <w:top w:w="15" w:type="dxa"/>
              <w:left w:w="108" w:type="dxa"/>
              <w:bottom w:w="0" w:type="dxa"/>
              <w:right w:w="108" w:type="dxa"/>
            </w:tcMar>
          </w:tcPr>
          <w:p w14:paraId="5EBFF934" w14:textId="12D2DA74" w:rsidR="00513E18" w:rsidRPr="004609FA" w:rsidRDefault="00513E18" w:rsidP="00F76882">
            <w:pPr>
              <w:pStyle w:val="Tabletext"/>
            </w:pPr>
            <w:r w:rsidRPr="004609FA">
              <w:t>129</w:t>
            </w:r>
          </w:p>
        </w:tc>
      </w:tr>
      <w:tr w:rsidR="00274076" w:rsidRPr="0036007C" w14:paraId="57F2CD94" w14:textId="77777777" w:rsidTr="000C705E">
        <w:trPr>
          <w:trHeight w:val="580"/>
        </w:trPr>
        <w:tc>
          <w:tcPr>
            <w:tcW w:w="1134" w:type="pct"/>
            <w:tcMar>
              <w:top w:w="15" w:type="dxa"/>
              <w:left w:w="108" w:type="dxa"/>
              <w:bottom w:w="0" w:type="dxa"/>
              <w:right w:w="108" w:type="dxa"/>
            </w:tcMar>
            <w:hideMark/>
          </w:tcPr>
          <w:p w14:paraId="6A86F5F9" w14:textId="77777777" w:rsidR="00513E18" w:rsidRPr="003D3BBA" w:rsidRDefault="00513E18" w:rsidP="00F76882">
            <w:pPr>
              <w:pStyle w:val="Tabletextleft"/>
            </w:pPr>
            <w:r w:rsidRPr="003D3BBA">
              <w:t>Total number of doses of azithromycin delivered</w:t>
            </w:r>
          </w:p>
        </w:tc>
        <w:tc>
          <w:tcPr>
            <w:tcW w:w="230" w:type="pct"/>
            <w:noWrap/>
            <w:tcMar>
              <w:top w:w="15" w:type="dxa"/>
              <w:left w:w="108" w:type="dxa"/>
              <w:bottom w:w="0" w:type="dxa"/>
              <w:right w:w="108" w:type="dxa"/>
            </w:tcMar>
            <w:hideMark/>
          </w:tcPr>
          <w:p w14:paraId="56973290" w14:textId="06E2B0BA" w:rsidR="00513E18" w:rsidRPr="004609FA" w:rsidRDefault="00513E18" w:rsidP="00F76882">
            <w:pPr>
              <w:pStyle w:val="Tabletext"/>
            </w:pPr>
            <w:r w:rsidRPr="004609FA">
              <w:t>138</w:t>
            </w:r>
          </w:p>
        </w:tc>
        <w:tc>
          <w:tcPr>
            <w:tcW w:w="229" w:type="pct"/>
            <w:noWrap/>
            <w:tcMar>
              <w:top w:w="15" w:type="dxa"/>
              <w:left w:w="108" w:type="dxa"/>
              <w:bottom w:w="0" w:type="dxa"/>
              <w:right w:w="108" w:type="dxa"/>
            </w:tcMar>
            <w:hideMark/>
          </w:tcPr>
          <w:p w14:paraId="017BA7BE" w14:textId="1228796E" w:rsidR="00513E18" w:rsidRPr="004609FA" w:rsidRDefault="00513E18" w:rsidP="00F76882">
            <w:pPr>
              <w:pStyle w:val="Tabletext"/>
            </w:pPr>
            <w:r w:rsidRPr="004609FA">
              <w:t>259</w:t>
            </w:r>
          </w:p>
        </w:tc>
        <w:tc>
          <w:tcPr>
            <w:tcW w:w="280" w:type="pct"/>
            <w:noWrap/>
            <w:tcMar>
              <w:top w:w="15" w:type="dxa"/>
              <w:left w:w="108" w:type="dxa"/>
              <w:bottom w:w="0" w:type="dxa"/>
              <w:right w:w="108" w:type="dxa"/>
            </w:tcMar>
            <w:hideMark/>
          </w:tcPr>
          <w:p w14:paraId="7FDEC6F0" w14:textId="377C83F1" w:rsidR="00513E18" w:rsidRPr="004609FA" w:rsidRDefault="00513E18" w:rsidP="00F76882">
            <w:pPr>
              <w:pStyle w:val="Tabletext"/>
            </w:pPr>
            <w:r w:rsidRPr="004609FA">
              <w:t>173</w:t>
            </w:r>
          </w:p>
        </w:tc>
        <w:tc>
          <w:tcPr>
            <w:tcW w:w="279" w:type="pct"/>
            <w:noWrap/>
            <w:tcMar>
              <w:top w:w="15" w:type="dxa"/>
              <w:left w:w="108" w:type="dxa"/>
              <w:bottom w:w="0" w:type="dxa"/>
              <w:right w:w="108" w:type="dxa"/>
            </w:tcMar>
            <w:hideMark/>
          </w:tcPr>
          <w:p w14:paraId="2082D7C2" w14:textId="799F344B" w:rsidR="00513E18" w:rsidRPr="004609FA" w:rsidRDefault="00513E18" w:rsidP="00F76882">
            <w:pPr>
              <w:pStyle w:val="Tabletext"/>
            </w:pPr>
            <w:r w:rsidRPr="004609FA">
              <w:t>1012</w:t>
            </w:r>
          </w:p>
        </w:tc>
        <w:tc>
          <w:tcPr>
            <w:tcW w:w="299" w:type="pct"/>
            <w:noWrap/>
            <w:tcMar>
              <w:top w:w="15" w:type="dxa"/>
              <w:left w:w="108" w:type="dxa"/>
              <w:bottom w:w="0" w:type="dxa"/>
              <w:right w:w="108" w:type="dxa"/>
            </w:tcMar>
            <w:hideMark/>
          </w:tcPr>
          <w:p w14:paraId="569BE226" w14:textId="5CA0AA14" w:rsidR="00513E18" w:rsidRPr="004609FA" w:rsidRDefault="00513E18" w:rsidP="00F76882">
            <w:pPr>
              <w:pStyle w:val="Tabletext"/>
            </w:pPr>
            <w:r w:rsidRPr="004609FA">
              <w:t>1582</w:t>
            </w:r>
          </w:p>
        </w:tc>
        <w:tc>
          <w:tcPr>
            <w:tcW w:w="242" w:type="pct"/>
            <w:noWrap/>
            <w:tcMar>
              <w:top w:w="15" w:type="dxa"/>
              <w:left w:w="108" w:type="dxa"/>
              <w:bottom w:w="0" w:type="dxa"/>
              <w:right w:w="108" w:type="dxa"/>
            </w:tcMar>
            <w:hideMark/>
          </w:tcPr>
          <w:p w14:paraId="353FC03F" w14:textId="79E39321" w:rsidR="00513E18" w:rsidRPr="004609FA" w:rsidRDefault="00513E18" w:rsidP="00F76882">
            <w:pPr>
              <w:pStyle w:val="Tabletext"/>
            </w:pPr>
            <w:r w:rsidRPr="004609FA">
              <w:t>11</w:t>
            </w:r>
          </w:p>
        </w:tc>
        <w:tc>
          <w:tcPr>
            <w:tcW w:w="227" w:type="pct"/>
            <w:noWrap/>
            <w:tcMar>
              <w:top w:w="15" w:type="dxa"/>
              <w:left w:w="108" w:type="dxa"/>
              <w:bottom w:w="0" w:type="dxa"/>
              <w:right w:w="108" w:type="dxa"/>
            </w:tcMar>
            <w:hideMark/>
          </w:tcPr>
          <w:p w14:paraId="69BEEEB3" w14:textId="7E58C2F1" w:rsidR="00513E18" w:rsidRPr="004609FA" w:rsidRDefault="00513E18" w:rsidP="00F76882">
            <w:pPr>
              <w:pStyle w:val="Tabletext"/>
            </w:pPr>
            <w:r w:rsidRPr="004609FA">
              <w:t>25</w:t>
            </w:r>
          </w:p>
        </w:tc>
        <w:tc>
          <w:tcPr>
            <w:tcW w:w="279" w:type="pct"/>
            <w:noWrap/>
            <w:tcMar>
              <w:top w:w="15" w:type="dxa"/>
              <w:left w:w="108" w:type="dxa"/>
              <w:bottom w:w="0" w:type="dxa"/>
              <w:right w:w="108" w:type="dxa"/>
            </w:tcMar>
            <w:hideMark/>
          </w:tcPr>
          <w:p w14:paraId="5CD8439C" w14:textId="3E34048E" w:rsidR="00513E18" w:rsidRPr="004609FA" w:rsidRDefault="00513E18" w:rsidP="00F76882">
            <w:pPr>
              <w:pStyle w:val="Tabletext"/>
            </w:pPr>
            <w:r w:rsidRPr="004609FA">
              <w:t>13</w:t>
            </w:r>
          </w:p>
        </w:tc>
        <w:tc>
          <w:tcPr>
            <w:tcW w:w="257" w:type="pct"/>
            <w:noWrap/>
            <w:tcMar>
              <w:top w:w="15" w:type="dxa"/>
              <w:left w:w="108" w:type="dxa"/>
              <w:bottom w:w="0" w:type="dxa"/>
              <w:right w:w="108" w:type="dxa"/>
            </w:tcMar>
            <w:hideMark/>
          </w:tcPr>
          <w:p w14:paraId="6FA697CD" w14:textId="3FD877EB" w:rsidR="00513E18" w:rsidRPr="004609FA" w:rsidRDefault="00513E18" w:rsidP="00F76882">
            <w:pPr>
              <w:pStyle w:val="Tabletext"/>
            </w:pPr>
            <w:r w:rsidRPr="004609FA">
              <w:t>43</w:t>
            </w:r>
          </w:p>
        </w:tc>
        <w:tc>
          <w:tcPr>
            <w:tcW w:w="258" w:type="pct"/>
            <w:noWrap/>
            <w:tcMar>
              <w:top w:w="15" w:type="dxa"/>
              <w:left w:w="108" w:type="dxa"/>
              <w:bottom w:w="0" w:type="dxa"/>
              <w:right w:w="108" w:type="dxa"/>
            </w:tcMar>
            <w:hideMark/>
          </w:tcPr>
          <w:p w14:paraId="651A9565" w14:textId="57D04610" w:rsidR="00513E18" w:rsidRPr="004609FA" w:rsidRDefault="00513E18" w:rsidP="00F76882">
            <w:pPr>
              <w:pStyle w:val="Tabletext"/>
            </w:pPr>
            <w:r w:rsidRPr="004609FA">
              <w:t>92</w:t>
            </w:r>
          </w:p>
        </w:tc>
        <w:tc>
          <w:tcPr>
            <w:tcW w:w="227" w:type="pct"/>
            <w:noWrap/>
            <w:tcMar>
              <w:top w:w="15" w:type="dxa"/>
              <w:left w:w="108" w:type="dxa"/>
              <w:bottom w:w="0" w:type="dxa"/>
              <w:right w:w="108" w:type="dxa"/>
            </w:tcMar>
            <w:hideMark/>
          </w:tcPr>
          <w:p w14:paraId="47E242B2" w14:textId="26E20771" w:rsidR="00513E18" w:rsidRPr="004609FA" w:rsidRDefault="00513E18" w:rsidP="00F76882">
            <w:pPr>
              <w:pStyle w:val="Tabletext"/>
            </w:pPr>
            <w:r w:rsidRPr="004609FA">
              <w:t>149</w:t>
            </w:r>
          </w:p>
        </w:tc>
        <w:tc>
          <w:tcPr>
            <w:tcW w:w="227" w:type="pct"/>
            <w:noWrap/>
            <w:tcMar>
              <w:top w:w="15" w:type="dxa"/>
              <w:left w:w="108" w:type="dxa"/>
              <w:bottom w:w="0" w:type="dxa"/>
              <w:right w:w="108" w:type="dxa"/>
            </w:tcMar>
            <w:hideMark/>
          </w:tcPr>
          <w:p w14:paraId="4E257BEF" w14:textId="7BA7594C" w:rsidR="00513E18" w:rsidRPr="004609FA" w:rsidRDefault="00513E18" w:rsidP="00F76882">
            <w:pPr>
              <w:pStyle w:val="Tabletext"/>
            </w:pPr>
            <w:r w:rsidRPr="004609FA">
              <w:t>284</w:t>
            </w:r>
          </w:p>
        </w:tc>
        <w:tc>
          <w:tcPr>
            <w:tcW w:w="279" w:type="pct"/>
            <w:noWrap/>
            <w:tcMar>
              <w:top w:w="15" w:type="dxa"/>
              <w:left w:w="108" w:type="dxa"/>
              <w:bottom w:w="0" w:type="dxa"/>
              <w:right w:w="108" w:type="dxa"/>
            </w:tcMar>
            <w:hideMark/>
          </w:tcPr>
          <w:p w14:paraId="0F104E6D" w14:textId="19F6AAC8" w:rsidR="00513E18" w:rsidRPr="004609FA" w:rsidRDefault="00513E18" w:rsidP="00F76882">
            <w:pPr>
              <w:pStyle w:val="Tabletext"/>
            </w:pPr>
            <w:r w:rsidRPr="004609FA">
              <w:t>186</w:t>
            </w:r>
          </w:p>
        </w:tc>
        <w:tc>
          <w:tcPr>
            <w:tcW w:w="280" w:type="pct"/>
            <w:noWrap/>
            <w:tcMar>
              <w:top w:w="15" w:type="dxa"/>
              <w:left w:w="108" w:type="dxa"/>
              <w:bottom w:w="0" w:type="dxa"/>
              <w:right w:w="108" w:type="dxa"/>
            </w:tcMar>
            <w:hideMark/>
          </w:tcPr>
          <w:p w14:paraId="7F9D73D3" w14:textId="234ABFE5" w:rsidR="00513E18" w:rsidRPr="004609FA" w:rsidRDefault="00513E18" w:rsidP="00F76882">
            <w:pPr>
              <w:pStyle w:val="Tabletext"/>
            </w:pPr>
            <w:r w:rsidRPr="004609FA">
              <w:t>1055</w:t>
            </w:r>
          </w:p>
        </w:tc>
        <w:tc>
          <w:tcPr>
            <w:tcW w:w="273" w:type="pct"/>
            <w:noWrap/>
            <w:tcMar>
              <w:top w:w="15" w:type="dxa"/>
              <w:left w:w="108" w:type="dxa"/>
              <w:bottom w:w="0" w:type="dxa"/>
              <w:right w:w="108" w:type="dxa"/>
            </w:tcMar>
            <w:hideMark/>
          </w:tcPr>
          <w:p w14:paraId="567169C0" w14:textId="60964277" w:rsidR="00513E18" w:rsidRPr="004609FA" w:rsidRDefault="00513E18" w:rsidP="00F76882">
            <w:pPr>
              <w:pStyle w:val="Tabletext"/>
            </w:pPr>
            <w:r w:rsidRPr="004609FA">
              <w:t>1674</w:t>
            </w:r>
          </w:p>
        </w:tc>
      </w:tr>
      <w:tr w:rsidR="00274076" w:rsidRPr="0036007C" w14:paraId="2B54CE22" w14:textId="77777777" w:rsidTr="000C705E">
        <w:trPr>
          <w:trHeight w:val="855"/>
        </w:trPr>
        <w:tc>
          <w:tcPr>
            <w:tcW w:w="1134" w:type="pct"/>
            <w:shd w:val="clear" w:color="000000" w:fill="BFBFBF"/>
            <w:tcMar>
              <w:top w:w="15" w:type="dxa"/>
              <w:left w:w="108" w:type="dxa"/>
              <w:bottom w:w="0" w:type="dxa"/>
              <w:right w:w="108" w:type="dxa"/>
            </w:tcMar>
            <w:hideMark/>
          </w:tcPr>
          <w:p w14:paraId="18C59703" w14:textId="77777777" w:rsidR="00513E18" w:rsidRPr="0063016C" w:rsidRDefault="00513E18" w:rsidP="00F76882">
            <w:pPr>
              <w:rPr>
                <w:rStyle w:val="Emphasis"/>
              </w:rPr>
            </w:pPr>
            <w:r w:rsidRPr="0063016C">
              <w:rPr>
                <w:rStyle w:val="Emphasis"/>
              </w:rPr>
              <w:t>Estimated overall treatment coverage (%)</w:t>
            </w:r>
          </w:p>
        </w:tc>
        <w:tc>
          <w:tcPr>
            <w:tcW w:w="230" w:type="pct"/>
            <w:shd w:val="clear" w:color="000000" w:fill="BFBFBF"/>
            <w:noWrap/>
            <w:tcMar>
              <w:top w:w="15" w:type="dxa"/>
              <w:left w:w="108" w:type="dxa"/>
              <w:bottom w:w="0" w:type="dxa"/>
              <w:right w:w="108" w:type="dxa"/>
            </w:tcMar>
            <w:hideMark/>
          </w:tcPr>
          <w:p w14:paraId="6F3F054F" w14:textId="08FF2564" w:rsidR="00513E18" w:rsidRPr="006043C2" w:rsidRDefault="00513E18" w:rsidP="00F76882">
            <w:pPr>
              <w:pStyle w:val="Tabletext"/>
              <w:rPr>
                <w:rStyle w:val="Emphasis"/>
              </w:rPr>
            </w:pPr>
            <w:r w:rsidRPr="006043C2">
              <w:rPr>
                <w:rStyle w:val="Emphasis"/>
              </w:rPr>
              <w:t>50</w:t>
            </w:r>
          </w:p>
        </w:tc>
        <w:tc>
          <w:tcPr>
            <w:tcW w:w="229" w:type="pct"/>
            <w:shd w:val="clear" w:color="000000" w:fill="BFBFBF"/>
            <w:noWrap/>
            <w:tcMar>
              <w:top w:w="15" w:type="dxa"/>
              <w:left w:w="108" w:type="dxa"/>
              <w:bottom w:w="0" w:type="dxa"/>
              <w:right w:w="108" w:type="dxa"/>
            </w:tcMar>
            <w:hideMark/>
          </w:tcPr>
          <w:p w14:paraId="5FBBA2E1" w14:textId="1B3240FE" w:rsidR="00513E18" w:rsidRPr="006043C2" w:rsidRDefault="00513E18" w:rsidP="00F76882">
            <w:pPr>
              <w:pStyle w:val="Tabletext"/>
              <w:rPr>
                <w:rStyle w:val="Emphasis"/>
              </w:rPr>
            </w:pPr>
            <w:r w:rsidRPr="006043C2">
              <w:rPr>
                <w:rStyle w:val="Emphasis"/>
              </w:rPr>
              <w:t>73</w:t>
            </w:r>
          </w:p>
        </w:tc>
        <w:tc>
          <w:tcPr>
            <w:tcW w:w="280" w:type="pct"/>
            <w:shd w:val="clear" w:color="000000" w:fill="BFBFBF"/>
            <w:noWrap/>
            <w:tcMar>
              <w:top w:w="15" w:type="dxa"/>
              <w:left w:w="108" w:type="dxa"/>
              <w:bottom w:w="0" w:type="dxa"/>
              <w:right w:w="108" w:type="dxa"/>
            </w:tcMar>
            <w:hideMark/>
          </w:tcPr>
          <w:p w14:paraId="3C648341" w14:textId="39D067F5" w:rsidR="00513E18" w:rsidRPr="006043C2" w:rsidRDefault="00513E18" w:rsidP="00F76882">
            <w:pPr>
              <w:pStyle w:val="Tabletext"/>
              <w:rPr>
                <w:rStyle w:val="Emphasis"/>
              </w:rPr>
            </w:pPr>
            <w:r w:rsidRPr="006043C2">
              <w:rPr>
                <w:rStyle w:val="Emphasis"/>
              </w:rPr>
              <w:t>49</w:t>
            </w:r>
          </w:p>
        </w:tc>
        <w:tc>
          <w:tcPr>
            <w:tcW w:w="279" w:type="pct"/>
            <w:shd w:val="clear" w:color="000000" w:fill="BFBFBF"/>
            <w:noWrap/>
            <w:tcMar>
              <w:top w:w="15" w:type="dxa"/>
              <w:left w:w="108" w:type="dxa"/>
              <w:bottom w:w="0" w:type="dxa"/>
              <w:right w:w="108" w:type="dxa"/>
            </w:tcMar>
            <w:hideMark/>
          </w:tcPr>
          <w:p w14:paraId="770C3591" w14:textId="6F06F87C" w:rsidR="00513E18" w:rsidRPr="006043C2" w:rsidRDefault="00513E18" w:rsidP="00F76882">
            <w:pPr>
              <w:pStyle w:val="Tabletext"/>
              <w:rPr>
                <w:rStyle w:val="Emphasis"/>
              </w:rPr>
            </w:pPr>
            <w:r w:rsidRPr="006043C2">
              <w:rPr>
                <w:rStyle w:val="Emphasis"/>
              </w:rPr>
              <w:t>50</w:t>
            </w:r>
          </w:p>
        </w:tc>
        <w:tc>
          <w:tcPr>
            <w:tcW w:w="299" w:type="pct"/>
            <w:shd w:val="clear" w:color="000000" w:fill="BFBFBF"/>
            <w:noWrap/>
            <w:tcMar>
              <w:top w:w="15" w:type="dxa"/>
              <w:left w:w="108" w:type="dxa"/>
              <w:bottom w:w="0" w:type="dxa"/>
              <w:right w:w="108" w:type="dxa"/>
            </w:tcMar>
            <w:hideMark/>
          </w:tcPr>
          <w:p w14:paraId="2A6FFD87" w14:textId="7F7D7F26" w:rsidR="00513E18" w:rsidRPr="006043C2" w:rsidRDefault="00513E18" w:rsidP="00F76882">
            <w:pPr>
              <w:pStyle w:val="Tabletext"/>
              <w:rPr>
                <w:rStyle w:val="Emphasis"/>
              </w:rPr>
            </w:pPr>
            <w:r w:rsidRPr="006043C2">
              <w:rPr>
                <w:rStyle w:val="Emphasis"/>
              </w:rPr>
              <w:t>53</w:t>
            </w:r>
          </w:p>
        </w:tc>
        <w:tc>
          <w:tcPr>
            <w:tcW w:w="242" w:type="pct"/>
            <w:shd w:val="clear" w:color="000000" w:fill="BFBFBF"/>
            <w:noWrap/>
            <w:tcMar>
              <w:top w:w="15" w:type="dxa"/>
              <w:left w:w="108" w:type="dxa"/>
              <w:bottom w:w="0" w:type="dxa"/>
              <w:right w:w="108" w:type="dxa"/>
            </w:tcMar>
            <w:hideMark/>
          </w:tcPr>
          <w:p w14:paraId="255DF5A4" w14:textId="3775CC26" w:rsidR="00513E18" w:rsidRPr="006043C2" w:rsidRDefault="00513E18" w:rsidP="00F76882">
            <w:pPr>
              <w:pStyle w:val="Tabletext"/>
              <w:rPr>
                <w:rStyle w:val="Emphasis"/>
              </w:rPr>
            </w:pPr>
            <w:r w:rsidRPr="006043C2">
              <w:rPr>
                <w:rStyle w:val="Emphasis"/>
              </w:rPr>
              <w:t>100</w:t>
            </w:r>
          </w:p>
        </w:tc>
        <w:tc>
          <w:tcPr>
            <w:tcW w:w="227" w:type="pct"/>
            <w:shd w:val="clear" w:color="000000" w:fill="BFBFBF"/>
            <w:noWrap/>
            <w:tcMar>
              <w:top w:w="15" w:type="dxa"/>
              <w:left w:w="108" w:type="dxa"/>
              <w:bottom w:w="0" w:type="dxa"/>
              <w:right w:w="108" w:type="dxa"/>
            </w:tcMar>
            <w:hideMark/>
          </w:tcPr>
          <w:p w14:paraId="20A56700" w14:textId="66DFAAA8" w:rsidR="00513E18" w:rsidRPr="006043C2" w:rsidRDefault="00513E18" w:rsidP="00F76882">
            <w:pPr>
              <w:pStyle w:val="Tabletext"/>
              <w:rPr>
                <w:rStyle w:val="Emphasis"/>
              </w:rPr>
            </w:pPr>
            <w:r w:rsidRPr="006043C2">
              <w:rPr>
                <w:rStyle w:val="Emphasis"/>
              </w:rPr>
              <w:t>96</w:t>
            </w:r>
          </w:p>
        </w:tc>
        <w:tc>
          <w:tcPr>
            <w:tcW w:w="279" w:type="pct"/>
            <w:shd w:val="clear" w:color="000000" w:fill="BFBFBF"/>
            <w:noWrap/>
            <w:tcMar>
              <w:top w:w="15" w:type="dxa"/>
              <w:left w:w="108" w:type="dxa"/>
              <w:bottom w:w="0" w:type="dxa"/>
              <w:right w:w="108" w:type="dxa"/>
            </w:tcMar>
            <w:hideMark/>
          </w:tcPr>
          <w:p w14:paraId="046D3D5A" w14:textId="5CACDA64" w:rsidR="00513E18" w:rsidRPr="006043C2" w:rsidRDefault="00513E18" w:rsidP="00F76882">
            <w:pPr>
              <w:pStyle w:val="Tabletext"/>
              <w:rPr>
                <w:rStyle w:val="Emphasis"/>
              </w:rPr>
            </w:pPr>
            <w:r w:rsidRPr="006043C2">
              <w:rPr>
                <w:rStyle w:val="Emphasis"/>
              </w:rPr>
              <w:t>93</w:t>
            </w:r>
          </w:p>
        </w:tc>
        <w:tc>
          <w:tcPr>
            <w:tcW w:w="257" w:type="pct"/>
            <w:shd w:val="clear" w:color="000000" w:fill="BFBFBF"/>
            <w:noWrap/>
            <w:tcMar>
              <w:top w:w="15" w:type="dxa"/>
              <w:left w:w="108" w:type="dxa"/>
              <w:bottom w:w="0" w:type="dxa"/>
              <w:right w:w="108" w:type="dxa"/>
            </w:tcMar>
            <w:hideMark/>
          </w:tcPr>
          <w:p w14:paraId="6DD74AB5" w14:textId="2190D243" w:rsidR="00513E18" w:rsidRPr="006043C2" w:rsidRDefault="00513E18" w:rsidP="00F76882">
            <w:pPr>
              <w:pStyle w:val="Tabletext"/>
              <w:rPr>
                <w:rStyle w:val="Emphasis"/>
              </w:rPr>
            </w:pPr>
            <w:r w:rsidRPr="006043C2">
              <w:rPr>
                <w:rStyle w:val="Emphasis"/>
              </w:rPr>
              <w:t>78</w:t>
            </w:r>
          </w:p>
        </w:tc>
        <w:tc>
          <w:tcPr>
            <w:tcW w:w="258" w:type="pct"/>
            <w:shd w:val="clear" w:color="000000" w:fill="BFBFBF"/>
            <w:noWrap/>
            <w:tcMar>
              <w:top w:w="15" w:type="dxa"/>
              <w:left w:w="108" w:type="dxa"/>
              <w:bottom w:w="0" w:type="dxa"/>
              <w:right w:w="108" w:type="dxa"/>
            </w:tcMar>
            <w:hideMark/>
          </w:tcPr>
          <w:p w14:paraId="7759F79D" w14:textId="49C805BB" w:rsidR="00513E18" w:rsidRPr="006043C2" w:rsidRDefault="00513E18" w:rsidP="00F76882">
            <w:pPr>
              <w:pStyle w:val="Tabletext"/>
              <w:rPr>
                <w:rStyle w:val="Emphasis"/>
              </w:rPr>
            </w:pPr>
            <w:r w:rsidRPr="006043C2">
              <w:rPr>
                <w:rStyle w:val="Emphasis"/>
              </w:rPr>
              <w:t>87</w:t>
            </w:r>
          </w:p>
        </w:tc>
        <w:tc>
          <w:tcPr>
            <w:tcW w:w="227" w:type="pct"/>
            <w:shd w:val="clear" w:color="000000" w:fill="BFBFBF"/>
            <w:noWrap/>
            <w:tcMar>
              <w:top w:w="15" w:type="dxa"/>
              <w:left w:w="108" w:type="dxa"/>
              <w:bottom w:w="0" w:type="dxa"/>
              <w:right w:w="108" w:type="dxa"/>
            </w:tcMar>
            <w:hideMark/>
          </w:tcPr>
          <w:p w14:paraId="517D3799" w14:textId="5F19AAC1" w:rsidR="00513E18" w:rsidRPr="006043C2" w:rsidRDefault="00513E18" w:rsidP="00F76882">
            <w:pPr>
              <w:pStyle w:val="Tabletext"/>
              <w:rPr>
                <w:rStyle w:val="Emphasis"/>
              </w:rPr>
            </w:pPr>
            <w:r w:rsidRPr="006043C2">
              <w:rPr>
                <w:rStyle w:val="Emphasis"/>
              </w:rPr>
              <w:t>52</w:t>
            </w:r>
          </w:p>
        </w:tc>
        <w:tc>
          <w:tcPr>
            <w:tcW w:w="227" w:type="pct"/>
            <w:shd w:val="clear" w:color="000000" w:fill="BFBFBF"/>
            <w:noWrap/>
            <w:tcMar>
              <w:top w:w="15" w:type="dxa"/>
              <w:left w:w="108" w:type="dxa"/>
              <w:bottom w:w="0" w:type="dxa"/>
              <w:right w:w="108" w:type="dxa"/>
            </w:tcMar>
            <w:hideMark/>
          </w:tcPr>
          <w:p w14:paraId="4BCAC245" w14:textId="23DC43EE" w:rsidR="00513E18" w:rsidRPr="006043C2" w:rsidRDefault="00513E18" w:rsidP="00F76882">
            <w:pPr>
              <w:pStyle w:val="Tabletext"/>
              <w:rPr>
                <w:rStyle w:val="Emphasis"/>
              </w:rPr>
            </w:pPr>
            <w:r w:rsidRPr="006043C2">
              <w:rPr>
                <w:rStyle w:val="Emphasis"/>
              </w:rPr>
              <w:t>74</w:t>
            </w:r>
          </w:p>
        </w:tc>
        <w:tc>
          <w:tcPr>
            <w:tcW w:w="279" w:type="pct"/>
            <w:shd w:val="clear" w:color="000000" w:fill="BFBFBF"/>
            <w:noWrap/>
            <w:tcMar>
              <w:top w:w="15" w:type="dxa"/>
              <w:left w:w="108" w:type="dxa"/>
              <w:bottom w:w="0" w:type="dxa"/>
              <w:right w:w="108" w:type="dxa"/>
            </w:tcMar>
            <w:hideMark/>
          </w:tcPr>
          <w:p w14:paraId="3C8BBB2A" w14:textId="6F8483FD" w:rsidR="00513E18" w:rsidRPr="006043C2" w:rsidRDefault="00513E18" w:rsidP="00F76882">
            <w:pPr>
              <w:pStyle w:val="Tabletext"/>
              <w:rPr>
                <w:rStyle w:val="Emphasis"/>
              </w:rPr>
            </w:pPr>
            <w:r w:rsidRPr="006043C2">
              <w:rPr>
                <w:rStyle w:val="Emphasis"/>
              </w:rPr>
              <w:t>51</w:t>
            </w:r>
          </w:p>
        </w:tc>
        <w:tc>
          <w:tcPr>
            <w:tcW w:w="280" w:type="pct"/>
            <w:shd w:val="clear" w:color="000000" w:fill="BFBFBF"/>
            <w:noWrap/>
            <w:tcMar>
              <w:top w:w="15" w:type="dxa"/>
              <w:left w:w="108" w:type="dxa"/>
              <w:bottom w:w="0" w:type="dxa"/>
              <w:right w:w="108" w:type="dxa"/>
            </w:tcMar>
            <w:hideMark/>
          </w:tcPr>
          <w:p w14:paraId="57981BE3" w14:textId="2C4D4470" w:rsidR="00513E18" w:rsidRPr="006043C2" w:rsidRDefault="00513E18" w:rsidP="00F76882">
            <w:pPr>
              <w:pStyle w:val="Tabletext"/>
              <w:rPr>
                <w:rStyle w:val="Emphasis"/>
              </w:rPr>
            </w:pPr>
            <w:r w:rsidRPr="006043C2">
              <w:rPr>
                <w:rStyle w:val="Emphasis"/>
              </w:rPr>
              <w:t>51</w:t>
            </w:r>
          </w:p>
        </w:tc>
        <w:tc>
          <w:tcPr>
            <w:tcW w:w="273" w:type="pct"/>
            <w:shd w:val="clear" w:color="000000" w:fill="BFBFBF"/>
            <w:noWrap/>
            <w:tcMar>
              <w:top w:w="15" w:type="dxa"/>
              <w:left w:w="108" w:type="dxa"/>
              <w:bottom w:w="0" w:type="dxa"/>
              <w:right w:w="108" w:type="dxa"/>
            </w:tcMar>
            <w:hideMark/>
          </w:tcPr>
          <w:p w14:paraId="0172C74F" w14:textId="69B2B784" w:rsidR="00513E18" w:rsidRPr="006043C2" w:rsidRDefault="00513E18" w:rsidP="00F76882">
            <w:pPr>
              <w:pStyle w:val="Tabletext"/>
              <w:rPr>
                <w:rStyle w:val="Emphasis"/>
              </w:rPr>
            </w:pPr>
            <w:r w:rsidRPr="006043C2">
              <w:rPr>
                <w:rStyle w:val="Emphasis"/>
              </w:rPr>
              <w:t>54</w:t>
            </w:r>
          </w:p>
        </w:tc>
      </w:tr>
    </w:tbl>
    <w:p w14:paraId="21ACBA09" w14:textId="5790F767" w:rsidR="008C07B4" w:rsidRPr="00A33DD2" w:rsidRDefault="00C646D7" w:rsidP="00F76882">
      <w:pPr>
        <w:pStyle w:val="tablefigfootnote"/>
      </w:pPr>
      <w:r w:rsidRPr="00A33DD2">
        <w:t xml:space="preserve"> </w:t>
      </w:r>
      <w:r w:rsidR="008C07B4" w:rsidRPr="00A33DD2">
        <w:t xml:space="preserve">* </w:t>
      </w:r>
      <w:r w:rsidR="00DA6FEC" w:rsidRPr="00A33DD2">
        <w:t>Estimated a</w:t>
      </w:r>
      <w:r w:rsidR="008C07B4" w:rsidRPr="00A33DD2">
        <w:t xml:space="preserve">s per </w:t>
      </w:r>
      <w:r w:rsidR="00905918" w:rsidRPr="00A33DD2">
        <w:t xml:space="preserve">CDNA </w:t>
      </w:r>
      <w:r w:rsidR="004A6F11" w:rsidRPr="00A33DD2">
        <w:t>G</w:t>
      </w:r>
      <w:r w:rsidR="008C07B4" w:rsidRPr="00A33DD2">
        <w:t>uidelines</w:t>
      </w:r>
      <w:r w:rsidR="000B705F" w:rsidRPr="00A33DD2">
        <w:t>.</w:t>
      </w:r>
    </w:p>
    <w:p w14:paraId="7A69A32A" w14:textId="77777777" w:rsidR="008C07B4" w:rsidRPr="003D3BBA" w:rsidRDefault="008C07B4" w:rsidP="00F76882">
      <w:pPr>
        <w:sectPr w:rsidR="008C07B4" w:rsidRPr="003D3BBA" w:rsidSect="00C04CBB">
          <w:pgSz w:w="16838" w:h="11906" w:orient="landscape"/>
          <w:pgMar w:top="720" w:right="720" w:bottom="720" w:left="720" w:header="709" w:footer="709" w:gutter="0"/>
          <w:cols w:space="708"/>
          <w:docGrid w:linePitch="360"/>
        </w:sectPr>
      </w:pPr>
    </w:p>
    <w:p w14:paraId="41A56F6E" w14:textId="37FC5E28" w:rsidR="0024553D" w:rsidRPr="0036007C" w:rsidRDefault="0024553D" w:rsidP="00F76882">
      <w:pPr>
        <w:pStyle w:val="Tableheadings"/>
      </w:pPr>
      <w:bookmarkStart w:id="214" w:name="_Table_1.6_Trichiasis"/>
      <w:bookmarkStart w:id="215" w:name="_Ref58336134"/>
      <w:bookmarkStart w:id="216" w:name="_Toc215224701"/>
      <w:bookmarkEnd w:id="213"/>
      <w:bookmarkEnd w:id="214"/>
      <w:r w:rsidRPr="0036007C">
        <w:t xml:space="preserve">Table </w:t>
      </w:r>
      <w:r w:rsidR="00626483" w:rsidRPr="0036007C">
        <w:t>1</w:t>
      </w:r>
      <w:r w:rsidR="000B2552" w:rsidRPr="0036007C">
        <w:t>.</w:t>
      </w:r>
      <w:r w:rsidRPr="0036007C">
        <w:fldChar w:fldCharType="begin"/>
      </w:r>
      <w:r w:rsidRPr="0036007C">
        <w:instrText>SEQ Table \* ARABIC \s 1</w:instrText>
      </w:r>
      <w:r w:rsidRPr="0036007C">
        <w:fldChar w:fldCharType="separate"/>
      </w:r>
      <w:r w:rsidR="00D23948" w:rsidRPr="0036007C">
        <w:t>6</w:t>
      </w:r>
      <w:r w:rsidRPr="0036007C">
        <w:fldChar w:fldCharType="end"/>
      </w:r>
      <w:bookmarkEnd w:id="215"/>
      <w:r w:rsidR="008770BF" w:rsidRPr="0036007C">
        <w:tab/>
      </w:r>
      <w:r w:rsidRPr="0036007C">
        <w:t>Trachoma</w:t>
      </w:r>
      <w:r w:rsidR="00EE4A30" w:rsidRPr="0036007C">
        <w:t xml:space="preserve">tous </w:t>
      </w:r>
      <w:r w:rsidRPr="0036007C">
        <w:t xml:space="preserve">trichiasis </w:t>
      </w:r>
      <w:r w:rsidR="009665DD" w:rsidRPr="0036007C">
        <w:t xml:space="preserve">(TT) </w:t>
      </w:r>
      <w:r w:rsidRPr="0036007C">
        <w:t xml:space="preserve">screening coverage, </w:t>
      </w:r>
      <w:r w:rsidR="00862453" w:rsidRPr="0036007C">
        <w:t>TT screened proportion</w:t>
      </w:r>
      <w:r w:rsidR="00E57F73" w:rsidRPr="0036007C">
        <w:t xml:space="preserve">, and </w:t>
      </w:r>
      <w:r w:rsidR="00860B6A" w:rsidRPr="0036007C">
        <w:t>surgery</w:t>
      </w:r>
      <w:r w:rsidRPr="0036007C">
        <w:t xml:space="preserve"> among Indigenous </w:t>
      </w:r>
      <w:r w:rsidR="00AA1627" w:rsidRPr="0036007C">
        <w:t>persons</w:t>
      </w:r>
      <w:r w:rsidR="008C4224" w:rsidRPr="0036007C">
        <w:t xml:space="preserve"> by jurisdiction</w:t>
      </w:r>
      <w:r w:rsidRPr="0036007C">
        <w:t>, Australia</w:t>
      </w:r>
      <w:r w:rsidR="001937AB" w:rsidRPr="0036007C">
        <w:t>,</w:t>
      </w:r>
      <w:r w:rsidRPr="0036007C">
        <w:t xml:space="preserve"> </w:t>
      </w:r>
      <w:r w:rsidR="00E76BB4" w:rsidRPr="0036007C">
        <w:t>202</w:t>
      </w:r>
      <w:r w:rsidR="007D71C6" w:rsidRPr="0036007C">
        <w:t>4</w:t>
      </w:r>
      <w:bookmarkEnd w:id="216"/>
    </w:p>
    <w:tbl>
      <w:tblPr>
        <w:tblW w:w="4973" w:type="pct"/>
        <w:tblLook w:val="04A0" w:firstRow="1" w:lastRow="0" w:firstColumn="1" w:lastColumn="0" w:noHBand="0" w:noVBand="1"/>
        <w:tblCaption w:val="Trachomatous trichiasis (TT) screening coverage, TT screened proportion, and surgery among Indigenous persons by jurisdiction, Australia, 2024"/>
        <w:tblDescription w:val="Table 1.6 compares numbers and proportions of persons aged 15-39 and 40+ years screened, confirmed as a new TT case, and received surgery. Data is presented for the Northern Territory, South Australia, Western Australia, and the cumulative total."/>
      </w:tblPr>
      <w:tblGrid>
        <w:gridCol w:w="2702"/>
        <w:gridCol w:w="1140"/>
        <w:gridCol w:w="1007"/>
        <w:gridCol w:w="1096"/>
        <w:gridCol w:w="849"/>
        <w:gridCol w:w="1110"/>
        <w:gridCol w:w="977"/>
        <w:gridCol w:w="1110"/>
        <w:gridCol w:w="977"/>
        <w:gridCol w:w="985"/>
        <w:gridCol w:w="874"/>
        <w:gridCol w:w="1046"/>
      </w:tblGrid>
      <w:tr w:rsidR="00723658" w:rsidRPr="0036007C" w14:paraId="7F6D374D" w14:textId="77777777" w:rsidTr="001B4458">
        <w:trPr>
          <w:trHeight w:val="289"/>
        </w:trPr>
        <w:tc>
          <w:tcPr>
            <w:tcW w:w="974" w:type="pct"/>
            <w:tcBorders>
              <w:top w:val="single" w:sz="4" w:space="0" w:color="auto"/>
              <w:left w:val="single" w:sz="4" w:space="0" w:color="auto"/>
              <w:bottom w:val="single" w:sz="4" w:space="0" w:color="auto"/>
              <w:right w:val="single" w:sz="4" w:space="0" w:color="auto"/>
            </w:tcBorders>
            <w:shd w:val="clear" w:color="000000" w:fill="BFBFBF"/>
            <w:noWrap/>
            <w:hideMark/>
          </w:tcPr>
          <w:p w14:paraId="2FA01DA7" w14:textId="37A6D0A7" w:rsidR="00723658" w:rsidRPr="001B4458" w:rsidRDefault="00723658" w:rsidP="00F76882">
            <w:pPr>
              <w:pStyle w:val="Tableheading"/>
            </w:pPr>
            <w:bookmarkStart w:id="217" w:name="_Hlk83636114"/>
          </w:p>
        </w:tc>
        <w:tc>
          <w:tcPr>
            <w:tcW w:w="774" w:type="pct"/>
            <w:gridSpan w:val="2"/>
            <w:tcBorders>
              <w:top w:val="single" w:sz="4" w:space="0" w:color="auto"/>
              <w:left w:val="nil"/>
              <w:bottom w:val="single" w:sz="4" w:space="0" w:color="auto"/>
              <w:right w:val="single" w:sz="4" w:space="0" w:color="auto"/>
            </w:tcBorders>
            <w:shd w:val="clear" w:color="000000" w:fill="BFBFBF"/>
            <w:noWrap/>
            <w:hideMark/>
          </w:tcPr>
          <w:p w14:paraId="2C9E6D8E" w14:textId="77777777" w:rsidR="00723658" w:rsidRPr="001B4458" w:rsidRDefault="00723658" w:rsidP="00F76882">
            <w:pPr>
              <w:pStyle w:val="Tableheading"/>
            </w:pPr>
            <w:r w:rsidRPr="001B4458">
              <w:t>Northern Territory</w:t>
            </w:r>
          </w:p>
        </w:tc>
        <w:tc>
          <w:tcPr>
            <w:tcW w:w="701" w:type="pct"/>
            <w:gridSpan w:val="2"/>
            <w:tcBorders>
              <w:top w:val="single" w:sz="4" w:space="0" w:color="auto"/>
              <w:left w:val="nil"/>
              <w:bottom w:val="single" w:sz="4" w:space="0" w:color="auto"/>
              <w:right w:val="single" w:sz="4" w:space="0" w:color="auto"/>
            </w:tcBorders>
            <w:shd w:val="clear" w:color="000000" w:fill="BFBFBF"/>
            <w:noWrap/>
            <w:hideMark/>
          </w:tcPr>
          <w:p w14:paraId="54DDAAEA" w14:textId="77777777" w:rsidR="00723658" w:rsidRPr="001B4458" w:rsidRDefault="00723658" w:rsidP="00F76882">
            <w:pPr>
              <w:pStyle w:val="Tableheading"/>
            </w:pPr>
            <w:r w:rsidRPr="001B4458">
              <w:t>South Australia</w:t>
            </w:r>
          </w:p>
        </w:tc>
        <w:tc>
          <w:tcPr>
            <w:tcW w:w="752" w:type="pct"/>
            <w:gridSpan w:val="2"/>
            <w:tcBorders>
              <w:top w:val="single" w:sz="4" w:space="0" w:color="auto"/>
              <w:left w:val="nil"/>
              <w:bottom w:val="single" w:sz="4" w:space="0" w:color="auto"/>
              <w:right w:val="single" w:sz="4" w:space="0" w:color="auto"/>
            </w:tcBorders>
            <w:shd w:val="clear" w:color="000000" w:fill="BFBFBF"/>
            <w:noWrap/>
            <w:hideMark/>
          </w:tcPr>
          <w:p w14:paraId="56F2B40A" w14:textId="77777777" w:rsidR="00723658" w:rsidRPr="001B4458" w:rsidRDefault="00723658" w:rsidP="00F76882">
            <w:pPr>
              <w:pStyle w:val="Tableheading"/>
            </w:pPr>
            <w:r w:rsidRPr="001B4458">
              <w:t>Western Australia</w:t>
            </w:r>
          </w:p>
        </w:tc>
        <w:tc>
          <w:tcPr>
            <w:tcW w:w="752" w:type="pct"/>
            <w:gridSpan w:val="2"/>
            <w:tcBorders>
              <w:top w:val="single" w:sz="4" w:space="0" w:color="auto"/>
              <w:left w:val="nil"/>
              <w:bottom w:val="single" w:sz="4" w:space="0" w:color="auto"/>
              <w:right w:val="single" w:sz="4" w:space="0" w:color="auto"/>
            </w:tcBorders>
            <w:shd w:val="clear" w:color="000000" w:fill="BFBFBF"/>
          </w:tcPr>
          <w:p w14:paraId="37F1C617" w14:textId="77777777" w:rsidR="00723658" w:rsidRPr="001B4458" w:rsidRDefault="00723658" w:rsidP="00F76882">
            <w:pPr>
              <w:pStyle w:val="Tableheading"/>
            </w:pPr>
            <w:r w:rsidRPr="001B4458">
              <w:t>Queensland</w:t>
            </w:r>
          </w:p>
        </w:tc>
        <w:tc>
          <w:tcPr>
            <w:tcW w:w="1047" w:type="pct"/>
            <w:gridSpan w:val="3"/>
            <w:tcBorders>
              <w:top w:val="single" w:sz="4" w:space="0" w:color="auto"/>
              <w:left w:val="single" w:sz="4" w:space="0" w:color="auto"/>
              <w:bottom w:val="single" w:sz="4" w:space="0" w:color="auto"/>
              <w:right w:val="single" w:sz="4" w:space="0" w:color="auto"/>
            </w:tcBorders>
            <w:shd w:val="clear" w:color="000000" w:fill="BFBFBF"/>
            <w:noWrap/>
            <w:hideMark/>
          </w:tcPr>
          <w:p w14:paraId="51492DC1" w14:textId="77777777" w:rsidR="00723658" w:rsidRPr="001B4458" w:rsidRDefault="00723658" w:rsidP="00F76882">
            <w:pPr>
              <w:pStyle w:val="Tableheading"/>
            </w:pPr>
            <w:r w:rsidRPr="001B4458">
              <w:t>Total</w:t>
            </w:r>
          </w:p>
        </w:tc>
      </w:tr>
      <w:tr w:rsidR="00723658" w:rsidRPr="0036007C" w14:paraId="1BBDCE57" w14:textId="77777777" w:rsidTr="00A335B4">
        <w:trPr>
          <w:trHeight w:val="579"/>
        </w:trPr>
        <w:tc>
          <w:tcPr>
            <w:tcW w:w="974" w:type="pct"/>
            <w:tcBorders>
              <w:top w:val="nil"/>
              <w:left w:val="single" w:sz="4" w:space="0" w:color="auto"/>
              <w:bottom w:val="single" w:sz="4" w:space="0" w:color="auto"/>
              <w:right w:val="single" w:sz="4" w:space="0" w:color="auto"/>
            </w:tcBorders>
            <w:hideMark/>
          </w:tcPr>
          <w:p w14:paraId="1BEF7E49" w14:textId="77777777" w:rsidR="00723658" w:rsidRPr="003D3BBA" w:rsidRDefault="00723658" w:rsidP="00F76882">
            <w:pPr>
              <w:pStyle w:val="Tabletextleft"/>
            </w:pPr>
            <w:r w:rsidRPr="003D3BBA">
              <w:t>Number of communities screened for TT</w:t>
            </w:r>
          </w:p>
        </w:tc>
        <w:tc>
          <w:tcPr>
            <w:tcW w:w="774" w:type="pct"/>
            <w:gridSpan w:val="2"/>
            <w:tcBorders>
              <w:top w:val="single" w:sz="4" w:space="0" w:color="auto"/>
              <w:left w:val="nil"/>
              <w:bottom w:val="single" w:sz="4" w:space="0" w:color="auto"/>
              <w:right w:val="single" w:sz="4" w:space="0" w:color="auto"/>
            </w:tcBorders>
            <w:noWrap/>
          </w:tcPr>
          <w:p w14:paraId="4DCC6CFE" w14:textId="77777777" w:rsidR="00723658" w:rsidRPr="001B4458" w:rsidRDefault="00723658" w:rsidP="00F76882">
            <w:pPr>
              <w:pStyle w:val="Tabletext"/>
            </w:pPr>
            <w:r w:rsidRPr="001B4458">
              <w:t>89</w:t>
            </w:r>
          </w:p>
        </w:tc>
        <w:tc>
          <w:tcPr>
            <w:tcW w:w="701" w:type="pct"/>
            <w:gridSpan w:val="2"/>
            <w:tcBorders>
              <w:top w:val="single" w:sz="4" w:space="0" w:color="auto"/>
              <w:left w:val="nil"/>
              <w:bottom w:val="single" w:sz="4" w:space="0" w:color="auto"/>
              <w:right w:val="single" w:sz="4" w:space="0" w:color="auto"/>
            </w:tcBorders>
            <w:noWrap/>
          </w:tcPr>
          <w:p w14:paraId="367E2823" w14:textId="77777777" w:rsidR="00723658" w:rsidRPr="001B4458" w:rsidRDefault="00723658" w:rsidP="00F76882">
            <w:pPr>
              <w:pStyle w:val="Tabletext"/>
            </w:pPr>
            <w:r w:rsidRPr="001B4458">
              <w:t>13</w:t>
            </w:r>
          </w:p>
        </w:tc>
        <w:tc>
          <w:tcPr>
            <w:tcW w:w="752" w:type="pct"/>
            <w:gridSpan w:val="2"/>
            <w:tcBorders>
              <w:top w:val="single" w:sz="4" w:space="0" w:color="auto"/>
              <w:left w:val="nil"/>
              <w:bottom w:val="single" w:sz="4" w:space="0" w:color="auto"/>
              <w:right w:val="single" w:sz="4" w:space="0" w:color="auto"/>
            </w:tcBorders>
            <w:noWrap/>
          </w:tcPr>
          <w:p w14:paraId="20D694B8" w14:textId="77777777" w:rsidR="00723658" w:rsidRPr="001B4458" w:rsidRDefault="00723658" w:rsidP="00F76882">
            <w:pPr>
              <w:pStyle w:val="Tabletext"/>
            </w:pPr>
            <w:r w:rsidRPr="001B4458">
              <w:t>62</w:t>
            </w:r>
          </w:p>
        </w:tc>
        <w:tc>
          <w:tcPr>
            <w:tcW w:w="752" w:type="pct"/>
            <w:gridSpan w:val="2"/>
            <w:tcBorders>
              <w:top w:val="single" w:sz="4" w:space="0" w:color="auto"/>
              <w:left w:val="nil"/>
              <w:bottom w:val="single" w:sz="4" w:space="0" w:color="auto"/>
              <w:right w:val="single" w:sz="4" w:space="0" w:color="auto"/>
            </w:tcBorders>
          </w:tcPr>
          <w:p w14:paraId="63140DB0" w14:textId="3FB332DA" w:rsidR="00723658" w:rsidRPr="001B4458" w:rsidRDefault="00CD3069" w:rsidP="00F76882">
            <w:pPr>
              <w:pStyle w:val="Tabletext"/>
            </w:pPr>
            <w:r w:rsidRPr="001B4458">
              <w:t>1</w:t>
            </w:r>
          </w:p>
        </w:tc>
        <w:tc>
          <w:tcPr>
            <w:tcW w:w="1047" w:type="pct"/>
            <w:gridSpan w:val="3"/>
            <w:tcBorders>
              <w:top w:val="single" w:sz="4" w:space="0" w:color="auto"/>
              <w:left w:val="single" w:sz="4" w:space="0" w:color="auto"/>
              <w:bottom w:val="single" w:sz="4" w:space="0" w:color="auto"/>
              <w:right w:val="single" w:sz="4" w:space="0" w:color="auto"/>
            </w:tcBorders>
            <w:noWrap/>
          </w:tcPr>
          <w:p w14:paraId="135E17A5" w14:textId="4A50EE62" w:rsidR="00723658" w:rsidRPr="001B4458" w:rsidRDefault="00723658" w:rsidP="00F76882">
            <w:pPr>
              <w:pStyle w:val="Tabletext"/>
            </w:pPr>
            <w:r w:rsidRPr="001B4458">
              <w:t>16</w:t>
            </w:r>
            <w:r w:rsidR="00C05DE7" w:rsidRPr="001B4458">
              <w:t>5</w:t>
            </w:r>
          </w:p>
        </w:tc>
      </w:tr>
      <w:tr w:rsidR="00723658" w:rsidRPr="0036007C" w14:paraId="469F2686" w14:textId="77777777" w:rsidTr="00A335B4">
        <w:trPr>
          <w:trHeight w:val="289"/>
        </w:trPr>
        <w:tc>
          <w:tcPr>
            <w:tcW w:w="974" w:type="pct"/>
            <w:tcBorders>
              <w:top w:val="nil"/>
              <w:left w:val="single" w:sz="4" w:space="0" w:color="auto"/>
              <w:bottom w:val="single" w:sz="4" w:space="0" w:color="auto"/>
              <w:right w:val="single" w:sz="4" w:space="0" w:color="auto"/>
            </w:tcBorders>
            <w:shd w:val="clear" w:color="000000" w:fill="BFBFBF"/>
            <w:hideMark/>
          </w:tcPr>
          <w:p w14:paraId="5BA19853" w14:textId="77777777" w:rsidR="00723658" w:rsidRPr="003D3BBA" w:rsidRDefault="00723658" w:rsidP="00F76882">
            <w:pPr>
              <w:pStyle w:val="Tabletextleft"/>
            </w:pPr>
            <w:r w:rsidRPr="003D3BBA">
              <w:t>Age group (years)</w:t>
            </w:r>
          </w:p>
        </w:tc>
        <w:tc>
          <w:tcPr>
            <w:tcW w:w="411" w:type="pct"/>
            <w:tcBorders>
              <w:top w:val="nil"/>
              <w:left w:val="nil"/>
              <w:bottom w:val="single" w:sz="4" w:space="0" w:color="auto"/>
              <w:right w:val="single" w:sz="4" w:space="0" w:color="auto"/>
            </w:tcBorders>
            <w:shd w:val="clear" w:color="000000" w:fill="BFBFBF"/>
            <w:noWrap/>
            <w:hideMark/>
          </w:tcPr>
          <w:p w14:paraId="615D953F" w14:textId="77777777" w:rsidR="00723658" w:rsidRPr="001B4458" w:rsidRDefault="00723658" w:rsidP="00F76882">
            <w:pPr>
              <w:pStyle w:val="Tabletext"/>
            </w:pPr>
            <w:r w:rsidRPr="001B4458">
              <w:t>15–39</w:t>
            </w:r>
          </w:p>
        </w:tc>
        <w:tc>
          <w:tcPr>
            <w:tcW w:w="363" w:type="pct"/>
            <w:tcBorders>
              <w:top w:val="nil"/>
              <w:left w:val="nil"/>
              <w:bottom w:val="single" w:sz="4" w:space="0" w:color="auto"/>
              <w:right w:val="single" w:sz="4" w:space="0" w:color="auto"/>
            </w:tcBorders>
            <w:shd w:val="clear" w:color="000000" w:fill="BFBFBF"/>
            <w:noWrap/>
            <w:hideMark/>
          </w:tcPr>
          <w:p w14:paraId="5E337DB5" w14:textId="77777777" w:rsidR="00723658" w:rsidRPr="001B4458" w:rsidRDefault="00723658" w:rsidP="00F76882">
            <w:pPr>
              <w:pStyle w:val="Tabletext"/>
            </w:pPr>
            <w:r w:rsidRPr="001B4458">
              <w:t>40+</w:t>
            </w:r>
          </w:p>
        </w:tc>
        <w:tc>
          <w:tcPr>
            <w:tcW w:w="395" w:type="pct"/>
            <w:tcBorders>
              <w:top w:val="nil"/>
              <w:left w:val="nil"/>
              <w:bottom w:val="single" w:sz="4" w:space="0" w:color="auto"/>
              <w:right w:val="single" w:sz="4" w:space="0" w:color="auto"/>
            </w:tcBorders>
            <w:shd w:val="clear" w:color="000000" w:fill="BFBFBF"/>
            <w:noWrap/>
            <w:hideMark/>
          </w:tcPr>
          <w:p w14:paraId="786A7133" w14:textId="77777777" w:rsidR="00723658" w:rsidRPr="001B4458" w:rsidRDefault="00723658" w:rsidP="00F76882">
            <w:pPr>
              <w:pStyle w:val="Tabletext"/>
            </w:pPr>
            <w:r w:rsidRPr="001B4458">
              <w:t>15–39</w:t>
            </w:r>
          </w:p>
        </w:tc>
        <w:tc>
          <w:tcPr>
            <w:tcW w:w="306" w:type="pct"/>
            <w:tcBorders>
              <w:top w:val="nil"/>
              <w:left w:val="nil"/>
              <w:bottom w:val="single" w:sz="4" w:space="0" w:color="auto"/>
              <w:right w:val="single" w:sz="4" w:space="0" w:color="auto"/>
            </w:tcBorders>
            <w:shd w:val="clear" w:color="000000" w:fill="BFBFBF"/>
            <w:noWrap/>
            <w:hideMark/>
          </w:tcPr>
          <w:p w14:paraId="2685B9AD" w14:textId="77777777" w:rsidR="00723658" w:rsidRPr="001B4458" w:rsidRDefault="00723658" w:rsidP="00F76882">
            <w:pPr>
              <w:pStyle w:val="Tabletext"/>
            </w:pPr>
            <w:r w:rsidRPr="001B4458">
              <w:t>40+</w:t>
            </w:r>
          </w:p>
        </w:tc>
        <w:tc>
          <w:tcPr>
            <w:tcW w:w="400" w:type="pct"/>
            <w:tcBorders>
              <w:top w:val="nil"/>
              <w:left w:val="nil"/>
              <w:bottom w:val="single" w:sz="4" w:space="0" w:color="auto"/>
              <w:right w:val="single" w:sz="4" w:space="0" w:color="auto"/>
            </w:tcBorders>
            <w:shd w:val="clear" w:color="000000" w:fill="BFBFBF"/>
            <w:noWrap/>
            <w:hideMark/>
          </w:tcPr>
          <w:p w14:paraId="7330D6F8" w14:textId="77777777" w:rsidR="00723658" w:rsidRPr="001B4458" w:rsidRDefault="00723658" w:rsidP="00F76882">
            <w:pPr>
              <w:pStyle w:val="Tabletext"/>
            </w:pPr>
            <w:r w:rsidRPr="001B4458">
              <w:t>15–39</w:t>
            </w:r>
          </w:p>
        </w:tc>
        <w:tc>
          <w:tcPr>
            <w:tcW w:w="352" w:type="pct"/>
            <w:tcBorders>
              <w:top w:val="nil"/>
              <w:left w:val="nil"/>
              <w:bottom w:val="single" w:sz="4" w:space="0" w:color="auto"/>
              <w:right w:val="single" w:sz="4" w:space="0" w:color="auto"/>
            </w:tcBorders>
            <w:shd w:val="clear" w:color="000000" w:fill="BFBFBF"/>
            <w:noWrap/>
            <w:hideMark/>
          </w:tcPr>
          <w:p w14:paraId="33B3DFFB" w14:textId="77777777" w:rsidR="00723658" w:rsidRPr="001B4458" w:rsidRDefault="00723658" w:rsidP="00F76882">
            <w:pPr>
              <w:pStyle w:val="Tabletext"/>
            </w:pPr>
            <w:r w:rsidRPr="001B4458">
              <w:t>40+</w:t>
            </w:r>
          </w:p>
        </w:tc>
        <w:tc>
          <w:tcPr>
            <w:tcW w:w="400" w:type="pct"/>
            <w:tcBorders>
              <w:top w:val="single" w:sz="4" w:space="0" w:color="auto"/>
              <w:left w:val="nil"/>
              <w:bottom w:val="single" w:sz="4" w:space="0" w:color="auto"/>
              <w:right w:val="single" w:sz="4" w:space="0" w:color="auto"/>
            </w:tcBorders>
            <w:shd w:val="clear" w:color="000000" w:fill="BFBFBF"/>
          </w:tcPr>
          <w:p w14:paraId="16A46BA4" w14:textId="77777777" w:rsidR="00723658" w:rsidRPr="001B4458" w:rsidRDefault="00723658" w:rsidP="00F76882">
            <w:pPr>
              <w:pStyle w:val="Tabletext"/>
            </w:pPr>
            <w:r w:rsidRPr="001B4458">
              <w:t>15–39</w:t>
            </w:r>
          </w:p>
        </w:tc>
        <w:tc>
          <w:tcPr>
            <w:tcW w:w="352" w:type="pct"/>
            <w:tcBorders>
              <w:top w:val="single" w:sz="4" w:space="0" w:color="auto"/>
              <w:left w:val="single" w:sz="4" w:space="0" w:color="auto"/>
              <w:bottom w:val="single" w:sz="4" w:space="0" w:color="auto"/>
              <w:right w:val="single" w:sz="4" w:space="0" w:color="auto"/>
            </w:tcBorders>
            <w:shd w:val="clear" w:color="000000" w:fill="BFBFBF"/>
          </w:tcPr>
          <w:p w14:paraId="3CC222AF" w14:textId="77777777" w:rsidR="00723658" w:rsidRPr="001B4458" w:rsidRDefault="00723658" w:rsidP="00F76882">
            <w:pPr>
              <w:pStyle w:val="Tabletext"/>
            </w:pPr>
            <w:r w:rsidRPr="001B4458">
              <w:t>40+</w:t>
            </w:r>
          </w:p>
        </w:tc>
        <w:tc>
          <w:tcPr>
            <w:tcW w:w="355" w:type="pct"/>
            <w:tcBorders>
              <w:top w:val="nil"/>
              <w:left w:val="single" w:sz="4" w:space="0" w:color="auto"/>
              <w:bottom w:val="single" w:sz="4" w:space="0" w:color="auto"/>
              <w:right w:val="single" w:sz="4" w:space="0" w:color="auto"/>
            </w:tcBorders>
            <w:shd w:val="clear" w:color="000000" w:fill="BFBFBF"/>
            <w:noWrap/>
            <w:hideMark/>
          </w:tcPr>
          <w:p w14:paraId="7EB95E93" w14:textId="77777777" w:rsidR="00723658" w:rsidRPr="001B4458" w:rsidRDefault="00723658" w:rsidP="00F76882">
            <w:pPr>
              <w:pStyle w:val="Tabletext"/>
            </w:pPr>
            <w:r w:rsidRPr="001B4458">
              <w:t>15–39</w:t>
            </w:r>
          </w:p>
        </w:tc>
        <w:tc>
          <w:tcPr>
            <w:tcW w:w="315" w:type="pct"/>
            <w:tcBorders>
              <w:top w:val="nil"/>
              <w:left w:val="nil"/>
              <w:bottom w:val="single" w:sz="4" w:space="0" w:color="auto"/>
              <w:right w:val="single" w:sz="4" w:space="0" w:color="auto"/>
            </w:tcBorders>
            <w:shd w:val="clear" w:color="000000" w:fill="BFBFBF"/>
            <w:noWrap/>
            <w:hideMark/>
          </w:tcPr>
          <w:p w14:paraId="286E26CA" w14:textId="77777777" w:rsidR="00723658" w:rsidRPr="001B4458" w:rsidRDefault="00723658" w:rsidP="00F76882">
            <w:pPr>
              <w:pStyle w:val="Tabletext"/>
            </w:pPr>
            <w:r w:rsidRPr="001B4458">
              <w:t>40+</w:t>
            </w:r>
          </w:p>
        </w:tc>
        <w:tc>
          <w:tcPr>
            <w:tcW w:w="377" w:type="pct"/>
            <w:tcBorders>
              <w:top w:val="nil"/>
              <w:left w:val="nil"/>
              <w:bottom w:val="single" w:sz="4" w:space="0" w:color="auto"/>
              <w:right w:val="single" w:sz="4" w:space="0" w:color="auto"/>
            </w:tcBorders>
            <w:shd w:val="clear" w:color="000000" w:fill="BFBFBF"/>
            <w:noWrap/>
            <w:hideMark/>
          </w:tcPr>
          <w:p w14:paraId="24D2D0C0" w14:textId="77777777" w:rsidR="00723658" w:rsidRPr="001B4458" w:rsidRDefault="00723658" w:rsidP="00F76882">
            <w:pPr>
              <w:pStyle w:val="Tabletext"/>
            </w:pPr>
            <w:r w:rsidRPr="001B4458">
              <w:t>15+</w:t>
            </w:r>
          </w:p>
        </w:tc>
      </w:tr>
      <w:tr w:rsidR="005B55E1" w:rsidRPr="0036007C" w14:paraId="59549E58" w14:textId="77777777" w:rsidTr="00A335B4">
        <w:trPr>
          <w:trHeight w:val="289"/>
        </w:trPr>
        <w:tc>
          <w:tcPr>
            <w:tcW w:w="974" w:type="pct"/>
            <w:tcBorders>
              <w:top w:val="nil"/>
              <w:left w:val="single" w:sz="4" w:space="0" w:color="auto"/>
              <w:bottom w:val="single" w:sz="4" w:space="0" w:color="auto"/>
              <w:right w:val="single" w:sz="4" w:space="0" w:color="auto"/>
            </w:tcBorders>
            <w:hideMark/>
          </w:tcPr>
          <w:p w14:paraId="6295B52D" w14:textId="77777777" w:rsidR="005B55E1" w:rsidRPr="0036007C" w:rsidRDefault="005B55E1" w:rsidP="00F76882">
            <w:pPr>
              <w:pStyle w:val="Tabletextleft"/>
              <w:rPr>
                <w:rFonts w:asciiTheme="minorHAnsi" w:hAnsiTheme="minorHAnsi" w:cstheme="minorHAnsi"/>
              </w:rPr>
            </w:pPr>
            <w:r w:rsidRPr="007C3001">
              <w:t>Adults examined*</w:t>
            </w:r>
          </w:p>
        </w:tc>
        <w:tc>
          <w:tcPr>
            <w:tcW w:w="411" w:type="pct"/>
            <w:tcBorders>
              <w:top w:val="nil"/>
              <w:left w:val="nil"/>
              <w:bottom w:val="single" w:sz="4" w:space="0" w:color="auto"/>
              <w:right w:val="single" w:sz="4" w:space="0" w:color="auto"/>
            </w:tcBorders>
            <w:noWrap/>
          </w:tcPr>
          <w:p w14:paraId="245458AA" w14:textId="77777777" w:rsidR="005B55E1" w:rsidRPr="001B4458" w:rsidRDefault="005B55E1" w:rsidP="00F76882">
            <w:pPr>
              <w:pStyle w:val="Tabletext"/>
            </w:pPr>
            <w:r w:rsidRPr="001B4458">
              <w:t>7720</w:t>
            </w:r>
          </w:p>
        </w:tc>
        <w:tc>
          <w:tcPr>
            <w:tcW w:w="363" w:type="pct"/>
            <w:tcBorders>
              <w:top w:val="nil"/>
              <w:left w:val="nil"/>
              <w:bottom w:val="single" w:sz="4" w:space="0" w:color="auto"/>
              <w:right w:val="single" w:sz="4" w:space="0" w:color="auto"/>
            </w:tcBorders>
            <w:noWrap/>
          </w:tcPr>
          <w:p w14:paraId="52DA3904" w14:textId="77777777" w:rsidR="005B55E1" w:rsidRPr="001B4458" w:rsidRDefault="005B55E1" w:rsidP="00F76882">
            <w:pPr>
              <w:pStyle w:val="Tabletext"/>
            </w:pPr>
            <w:r w:rsidRPr="001B4458">
              <w:t>7556</w:t>
            </w:r>
          </w:p>
        </w:tc>
        <w:tc>
          <w:tcPr>
            <w:tcW w:w="395" w:type="pct"/>
            <w:tcBorders>
              <w:top w:val="nil"/>
              <w:left w:val="nil"/>
              <w:bottom w:val="single" w:sz="4" w:space="0" w:color="auto"/>
              <w:right w:val="single" w:sz="4" w:space="0" w:color="auto"/>
            </w:tcBorders>
            <w:noWrap/>
          </w:tcPr>
          <w:p w14:paraId="18CA1E54" w14:textId="77777777" w:rsidR="005B55E1" w:rsidRPr="001B4458" w:rsidRDefault="005B55E1" w:rsidP="00F76882">
            <w:pPr>
              <w:pStyle w:val="Tabletext"/>
            </w:pPr>
            <w:r w:rsidRPr="001B4458">
              <w:t>438</w:t>
            </w:r>
          </w:p>
        </w:tc>
        <w:tc>
          <w:tcPr>
            <w:tcW w:w="306" w:type="pct"/>
            <w:tcBorders>
              <w:top w:val="nil"/>
              <w:left w:val="nil"/>
              <w:bottom w:val="single" w:sz="4" w:space="0" w:color="auto"/>
              <w:right w:val="single" w:sz="4" w:space="0" w:color="auto"/>
            </w:tcBorders>
            <w:noWrap/>
          </w:tcPr>
          <w:p w14:paraId="1CFA481F" w14:textId="77777777" w:rsidR="005B55E1" w:rsidRPr="001B4458" w:rsidRDefault="005B55E1" w:rsidP="00F76882">
            <w:pPr>
              <w:pStyle w:val="Tabletext"/>
            </w:pPr>
            <w:r w:rsidRPr="001B4458">
              <w:t>616</w:t>
            </w:r>
          </w:p>
        </w:tc>
        <w:tc>
          <w:tcPr>
            <w:tcW w:w="400" w:type="pct"/>
            <w:tcBorders>
              <w:top w:val="nil"/>
              <w:left w:val="nil"/>
              <w:bottom w:val="single" w:sz="4" w:space="0" w:color="auto"/>
              <w:right w:val="single" w:sz="4" w:space="0" w:color="auto"/>
            </w:tcBorders>
            <w:noWrap/>
          </w:tcPr>
          <w:p w14:paraId="48AD8B4D" w14:textId="77777777" w:rsidR="005B55E1" w:rsidRPr="001B4458" w:rsidRDefault="005B55E1" w:rsidP="00F76882">
            <w:pPr>
              <w:pStyle w:val="Tabletext"/>
            </w:pPr>
            <w:r w:rsidRPr="001B4458">
              <w:t>45</w:t>
            </w:r>
          </w:p>
        </w:tc>
        <w:tc>
          <w:tcPr>
            <w:tcW w:w="352" w:type="pct"/>
            <w:tcBorders>
              <w:top w:val="nil"/>
              <w:left w:val="nil"/>
              <w:bottom w:val="single" w:sz="4" w:space="0" w:color="auto"/>
              <w:right w:val="single" w:sz="4" w:space="0" w:color="auto"/>
            </w:tcBorders>
            <w:noWrap/>
          </w:tcPr>
          <w:p w14:paraId="44C5F219" w14:textId="77777777" w:rsidR="005B55E1" w:rsidRPr="001B4458" w:rsidRDefault="005B55E1" w:rsidP="00F76882">
            <w:pPr>
              <w:pStyle w:val="Tabletext"/>
            </w:pPr>
            <w:r w:rsidRPr="001B4458">
              <w:t>2268</w:t>
            </w:r>
          </w:p>
        </w:tc>
        <w:tc>
          <w:tcPr>
            <w:tcW w:w="400" w:type="pct"/>
            <w:tcBorders>
              <w:top w:val="single" w:sz="4" w:space="0" w:color="auto"/>
              <w:left w:val="nil"/>
              <w:bottom w:val="single" w:sz="4" w:space="0" w:color="auto"/>
              <w:right w:val="single" w:sz="4" w:space="0" w:color="auto"/>
            </w:tcBorders>
          </w:tcPr>
          <w:p w14:paraId="78E57CD9" w14:textId="34345CEE" w:rsidR="005B55E1" w:rsidRPr="001B4458" w:rsidRDefault="005B55E1" w:rsidP="00F76882">
            <w:pPr>
              <w:pStyle w:val="Tabletext"/>
            </w:pPr>
            <w:r w:rsidRPr="001B4458">
              <w:t>145</w:t>
            </w:r>
          </w:p>
        </w:tc>
        <w:tc>
          <w:tcPr>
            <w:tcW w:w="352" w:type="pct"/>
            <w:tcBorders>
              <w:top w:val="single" w:sz="4" w:space="0" w:color="auto"/>
              <w:left w:val="single" w:sz="4" w:space="0" w:color="auto"/>
              <w:bottom w:val="single" w:sz="4" w:space="0" w:color="auto"/>
              <w:right w:val="single" w:sz="4" w:space="0" w:color="auto"/>
            </w:tcBorders>
          </w:tcPr>
          <w:p w14:paraId="16F393E2" w14:textId="57DDED87" w:rsidR="005B55E1" w:rsidRPr="001B4458" w:rsidRDefault="005B55E1" w:rsidP="00F76882">
            <w:pPr>
              <w:pStyle w:val="Tabletext"/>
            </w:pPr>
            <w:r w:rsidRPr="001B4458">
              <w:t>143</w:t>
            </w:r>
          </w:p>
        </w:tc>
        <w:tc>
          <w:tcPr>
            <w:tcW w:w="355" w:type="pct"/>
            <w:tcBorders>
              <w:top w:val="nil"/>
              <w:left w:val="single" w:sz="4" w:space="0" w:color="auto"/>
              <w:bottom w:val="single" w:sz="4" w:space="0" w:color="auto"/>
              <w:right w:val="single" w:sz="4" w:space="0" w:color="auto"/>
            </w:tcBorders>
            <w:noWrap/>
          </w:tcPr>
          <w:p w14:paraId="197D131B" w14:textId="4D34D78B" w:rsidR="005B55E1" w:rsidRPr="001B4458" w:rsidRDefault="005B55E1" w:rsidP="00F76882">
            <w:pPr>
              <w:pStyle w:val="Tabletext"/>
            </w:pPr>
            <w:r w:rsidRPr="001B4458">
              <w:t>8348</w:t>
            </w:r>
          </w:p>
        </w:tc>
        <w:tc>
          <w:tcPr>
            <w:tcW w:w="315" w:type="pct"/>
            <w:tcBorders>
              <w:top w:val="nil"/>
              <w:left w:val="nil"/>
              <w:bottom w:val="single" w:sz="4" w:space="0" w:color="auto"/>
              <w:right w:val="single" w:sz="4" w:space="0" w:color="auto"/>
            </w:tcBorders>
            <w:noWrap/>
          </w:tcPr>
          <w:p w14:paraId="6E52A9A7" w14:textId="00F45353" w:rsidR="005B55E1" w:rsidRPr="001B4458" w:rsidRDefault="005B55E1" w:rsidP="00F76882">
            <w:pPr>
              <w:pStyle w:val="Tabletext"/>
            </w:pPr>
            <w:r w:rsidRPr="001B4458">
              <w:t>10583</w:t>
            </w:r>
          </w:p>
        </w:tc>
        <w:tc>
          <w:tcPr>
            <w:tcW w:w="377" w:type="pct"/>
            <w:tcBorders>
              <w:top w:val="nil"/>
              <w:left w:val="nil"/>
              <w:bottom w:val="single" w:sz="4" w:space="0" w:color="auto"/>
              <w:right w:val="single" w:sz="4" w:space="0" w:color="auto"/>
            </w:tcBorders>
            <w:noWrap/>
          </w:tcPr>
          <w:p w14:paraId="74436A5E" w14:textId="39C6347E" w:rsidR="005B55E1" w:rsidRPr="001B4458" w:rsidRDefault="005B55E1" w:rsidP="00F76882">
            <w:pPr>
              <w:pStyle w:val="Tabletext"/>
            </w:pPr>
            <w:r w:rsidRPr="001B4458">
              <w:t>18931</w:t>
            </w:r>
          </w:p>
        </w:tc>
      </w:tr>
      <w:tr w:rsidR="005B55E1" w:rsidRPr="0036007C" w14:paraId="5AC01F7B" w14:textId="77777777" w:rsidTr="001B4458">
        <w:trPr>
          <w:trHeight w:val="289"/>
        </w:trPr>
        <w:tc>
          <w:tcPr>
            <w:tcW w:w="974" w:type="pct"/>
            <w:tcBorders>
              <w:top w:val="nil"/>
              <w:left w:val="single" w:sz="4" w:space="0" w:color="auto"/>
              <w:bottom w:val="single" w:sz="4" w:space="0" w:color="auto"/>
              <w:right w:val="single" w:sz="4" w:space="0" w:color="auto"/>
            </w:tcBorders>
            <w:shd w:val="clear" w:color="000000" w:fill="BFBFBF"/>
            <w:hideMark/>
          </w:tcPr>
          <w:p w14:paraId="1E4B7C19" w14:textId="77777777" w:rsidR="005B55E1" w:rsidRPr="0036007C" w:rsidRDefault="005B55E1" w:rsidP="00F76882">
            <w:pPr>
              <w:pStyle w:val="Tabletextleft"/>
              <w:rPr>
                <w:rFonts w:asciiTheme="minorHAnsi" w:hAnsiTheme="minorHAnsi" w:cstheme="minorHAnsi"/>
              </w:rPr>
            </w:pPr>
            <w:r w:rsidRPr="007C3001">
              <w:t>With TT †</w:t>
            </w:r>
          </w:p>
        </w:tc>
        <w:tc>
          <w:tcPr>
            <w:tcW w:w="411" w:type="pct"/>
            <w:tcBorders>
              <w:top w:val="nil"/>
              <w:left w:val="nil"/>
              <w:bottom w:val="single" w:sz="4" w:space="0" w:color="auto"/>
              <w:right w:val="single" w:sz="4" w:space="0" w:color="auto"/>
            </w:tcBorders>
            <w:shd w:val="clear" w:color="000000" w:fill="BFBFBF"/>
            <w:noWrap/>
          </w:tcPr>
          <w:p w14:paraId="50E494A9" w14:textId="77777777" w:rsidR="005B55E1" w:rsidRPr="001B4458" w:rsidRDefault="005B55E1" w:rsidP="00F76882">
            <w:pPr>
              <w:pStyle w:val="Tabletext"/>
            </w:pPr>
            <w:r w:rsidRPr="001B4458">
              <w:t>0</w:t>
            </w:r>
          </w:p>
        </w:tc>
        <w:tc>
          <w:tcPr>
            <w:tcW w:w="363" w:type="pct"/>
            <w:tcBorders>
              <w:top w:val="nil"/>
              <w:left w:val="nil"/>
              <w:bottom w:val="single" w:sz="4" w:space="0" w:color="auto"/>
              <w:right w:val="single" w:sz="4" w:space="0" w:color="auto"/>
            </w:tcBorders>
            <w:shd w:val="clear" w:color="000000" w:fill="BFBFBF"/>
            <w:noWrap/>
          </w:tcPr>
          <w:p w14:paraId="6C27FF78" w14:textId="77777777" w:rsidR="005B55E1" w:rsidRPr="001B4458" w:rsidRDefault="005B55E1" w:rsidP="00F76882">
            <w:pPr>
              <w:pStyle w:val="Tabletext"/>
            </w:pPr>
            <w:r w:rsidRPr="001B4458">
              <w:t>5</w:t>
            </w:r>
          </w:p>
        </w:tc>
        <w:tc>
          <w:tcPr>
            <w:tcW w:w="395" w:type="pct"/>
            <w:tcBorders>
              <w:top w:val="nil"/>
              <w:left w:val="nil"/>
              <w:bottom w:val="single" w:sz="4" w:space="0" w:color="auto"/>
              <w:right w:val="single" w:sz="4" w:space="0" w:color="auto"/>
            </w:tcBorders>
            <w:shd w:val="clear" w:color="000000" w:fill="BFBFBF"/>
            <w:noWrap/>
          </w:tcPr>
          <w:p w14:paraId="558083E5" w14:textId="77777777" w:rsidR="005B55E1" w:rsidRPr="001B4458" w:rsidRDefault="005B55E1" w:rsidP="00F76882">
            <w:pPr>
              <w:pStyle w:val="Tabletext"/>
            </w:pPr>
            <w:r w:rsidRPr="001B4458">
              <w:t>0</w:t>
            </w:r>
          </w:p>
        </w:tc>
        <w:tc>
          <w:tcPr>
            <w:tcW w:w="306" w:type="pct"/>
            <w:tcBorders>
              <w:top w:val="nil"/>
              <w:left w:val="nil"/>
              <w:bottom w:val="single" w:sz="4" w:space="0" w:color="auto"/>
              <w:right w:val="single" w:sz="4" w:space="0" w:color="auto"/>
            </w:tcBorders>
            <w:shd w:val="clear" w:color="000000" w:fill="BFBFBF"/>
            <w:noWrap/>
          </w:tcPr>
          <w:p w14:paraId="3E50D836" w14:textId="77777777" w:rsidR="005B55E1" w:rsidRPr="001B4458" w:rsidRDefault="005B55E1" w:rsidP="00F76882">
            <w:pPr>
              <w:pStyle w:val="Tabletext"/>
            </w:pPr>
            <w:r w:rsidRPr="001B4458">
              <w:t>3</w:t>
            </w:r>
          </w:p>
        </w:tc>
        <w:tc>
          <w:tcPr>
            <w:tcW w:w="400" w:type="pct"/>
            <w:tcBorders>
              <w:top w:val="nil"/>
              <w:left w:val="nil"/>
              <w:bottom w:val="single" w:sz="4" w:space="0" w:color="auto"/>
              <w:right w:val="single" w:sz="4" w:space="0" w:color="auto"/>
            </w:tcBorders>
            <w:shd w:val="clear" w:color="000000" w:fill="BFBFBF"/>
            <w:noWrap/>
          </w:tcPr>
          <w:p w14:paraId="3E83584C" w14:textId="77777777" w:rsidR="005B55E1" w:rsidRPr="001B4458" w:rsidRDefault="005B55E1" w:rsidP="00F76882">
            <w:pPr>
              <w:pStyle w:val="Tabletext"/>
            </w:pPr>
            <w:r w:rsidRPr="001B4458">
              <w:t>0</w:t>
            </w:r>
          </w:p>
        </w:tc>
        <w:tc>
          <w:tcPr>
            <w:tcW w:w="352" w:type="pct"/>
            <w:tcBorders>
              <w:top w:val="nil"/>
              <w:left w:val="nil"/>
              <w:bottom w:val="single" w:sz="4" w:space="0" w:color="auto"/>
              <w:right w:val="single" w:sz="4" w:space="0" w:color="auto"/>
            </w:tcBorders>
            <w:shd w:val="clear" w:color="000000" w:fill="BFBFBF"/>
            <w:noWrap/>
          </w:tcPr>
          <w:p w14:paraId="4FDF3CCA" w14:textId="77777777" w:rsidR="005B55E1" w:rsidRPr="001B4458" w:rsidRDefault="005B55E1" w:rsidP="00F76882">
            <w:pPr>
              <w:pStyle w:val="Tabletext"/>
            </w:pPr>
            <w:r w:rsidRPr="001B4458">
              <w:t>0</w:t>
            </w:r>
          </w:p>
        </w:tc>
        <w:tc>
          <w:tcPr>
            <w:tcW w:w="400" w:type="pct"/>
            <w:tcBorders>
              <w:top w:val="single" w:sz="4" w:space="0" w:color="auto"/>
              <w:left w:val="nil"/>
              <w:bottom w:val="single" w:sz="4" w:space="0" w:color="auto"/>
              <w:right w:val="single" w:sz="4" w:space="0" w:color="auto"/>
            </w:tcBorders>
            <w:shd w:val="clear" w:color="000000" w:fill="BFBFBF"/>
          </w:tcPr>
          <w:p w14:paraId="422C01C7" w14:textId="77EE306D" w:rsidR="005B55E1" w:rsidRPr="001B4458" w:rsidRDefault="005B55E1" w:rsidP="00F76882">
            <w:pPr>
              <w:pStyle w:val="Tabletext"/>
            </w:pPr>
            <w:r w:rsidRPr="001B4458">
              <w:t>0</w:t>
            </w:r>
          </w:p>
        </w:tc>
        <w:tc>
          <w:tcPr>
            <w:tcW w:w="352" w:type="pct"/>
            <w:tcBorders>
              <w:top w:val="single" w:sz="4" w:space="0" w:color="auto"/>
              <w:left w:val="single" w:sz="4" w:space="0" w:color="auto"/>
              <w:bottom w:val="single" w:sz="4" w:space="0" w:color="auto"/>
              <w:right w:val="single" w:sz="4" w:space="0" w:color="auto"/>
            </w:tcBorders>
            <w:shd w:val="clear" w:color="000000" w:fill="BFBFBF"/>
          </w:tcPr>
          <w:p w14:paraId="2D4CF474" w14:textId="07C4C461" w:rsidR="005B55E1" w:rsidRPr="001B4458" w:rsidRDefault="005B55E1" w:rsidP="00F76882">
            <w:pPr>
              <w:pStyle w:val="Tabletext"/>
            </w:pPr>
            <w:r w:rsidRPr="001B4458">
              <w:t>1</w:t>
            </w:r>
          </w:p>
        </w:tc>
        <w:tc>
          <w:tcPr>
            <w:tcW w:w="355" w:type="pct"/>
            <w:tcBorders>
              <w:top w:val="nil"/>
              <w:left w:val="single" w:sz="4" w:space="0" w:color="auto"/>
              <w:bottom w:val="single" w:sz="4" w:space="0" w:color="auto"/>
              <w:right w:val="single" w:sz="4" w:space="0" w:color="auto"/>
            </w:tcBorders>
            <w:shd w:val="clear" w:color="000000" w:fill="BFBFBF"/>
            <w:noWrap/>
          </w:tcPr>
          <w:p w14:paraId="7C4AD2B7" w14:textId="2941F245" w:rsidR="005B55E1" w:rsidRPr="001B4458" w:rsidRDefault="005B55E1" w:rsidP="00F76882">
            <w:pPr>
              <w:pStyle w:val="Tabletext"/>
            </w:pPr>
            <w:r w:rsidRPr="001B4458">
              <w:t>0</w:t>
            </w:r>
          </w:p>
        </w:tc>
        <w:tc>
          <w:tcPr>
            <w:tcW w:w="315" w:type="pct"/>
            <w:tcBorders>
              <w:top w:val="nil"/>
              <w:left w:val="nil"/>
              <w:bottom w:val="single" w:sz="4" w:space="0" w:color="auto"/>
              <w:right w:val="single" w:sz="4" w:space="0" w:color="auto"/>
            </w:tcBorders>
            <w:shd w:val="clear" w:color="000000" w:fill="BFBFBF"/>
            <w:noWrap/>
          </w:tcPr>
          <w:p w14:paraId="5D82A8BF" w14:textId="0144E079" w:rsidR="005B55E1" w:rsidRPr="001B4458" w:rsidRDefault="005B55E1" w:rsidP="00F76882">
            <w:pPr>
              <w:pStyle w:val="Tabletext"/>
            </w:pPr>
            <w:r w:rsidRPr="001B4458">
              <w:t>9</w:t>
            </w:r>
          </w:p>
        </w:tc>
        <w:tc>
          <w:tcPr>
            <w:tcW w:w="377" w:type="pct"/>
            <w:tcBorders>
              <w:top w:val="nil"/>
              <w:left w:val="nil"/>
              <w:bottom w:val="single" w:sz="4" w:space="0" w:color="auto"/>
              <w:right w:val="single" w:sz="4" w:space="0" w:color="auto"/>
            </w:tcBorders>
            <w:shd w:val="clear" w:color="000000" w:fill="BFBFBF"/>
            <w:noWrap/>
          </w:tcPr>
          <w:p w14:paraId="7890815F" w14:textId="00FE1987" w:rsidR="005B55E1" w:rsidRPr="001B4458" w:rsidRDefault="005B55E1" w:rsidP="00F76882">
            <w:pPr>
              <w:pStyle w:val="Tabletext"/>
            </w:pPr>
            <w:r w:rsidRPr="001B4458">
              <w:t>9</w:t>
            </w:r>
          </w:p>
        </w:tc>
      </w:tr>
      <w:tr w:rsidR="005B55E1" w:rsidRPr="0036007C" w14:paraId="46B3AC46" w14:textId="77777777" w:rsidTr="00A335B4">
        <w:trPr>
          <w:trHeight w:val="289"/>
        </w:trPr>
        <w:tc>
          <w:tcPr>
            <w:tcW w:w="974" w:type="pct"/>
            <w:tcBorders>
              <w:top w:val="nil"/>
              <w:left w:val="single" w:sz="4" w:space="0" w:color="auto"/>
              <w:bottom w:val="single" w:sz="4" w:space="0" w:color="auto"/>
              <w:right w:val="single" w:sz="4" w:space="0" w:color="auto"/>
            </w:tcBorders>
            <w:hideMark/>
          </w:tcPr>
          <w:p w14:paraId="1784A932" w14:textId="77777777" w:rsidR="005B55E1" w:rsidRPr="0063016C" w:rsidRDefault="005B55E1" w:rsidP="00F76882">
            <w:pPr>
              <w:rPr>
                <w:rStyle w:val="Emphasis"/>
              </w:rPr>
            </w:pPr>
            <w:r w:rsidRPr="0063016C">
              <w:rPr>
                <w:rStyle w:val="Emphasis"/>
              </w:rPr>
              <w:t>With TT (%)</w:t>
            </w:r>
          </w:p>
        </w:tc>
        <w:tc>
          <w:tcPr>
            <w:tcW w:w="411" w:type="pct"/>
            <w:tcBorders>
              <w:top w:val="nil"/>
              <w:left w:val="nil"/>
              <w:bottom w:val="single" w:sz="4" w:space="0" w:color="auto"/>
              <w:right w:val="single" w:sz="4" w:space="0" w:color="auto"/>
            </w:tcBorders>
            <w:noWrap/>
          </w:tcPr>
          <w:p w14:paraId="575BB223" w14:textId="77777777" w:rsidR="005B55E1" w:rsidRPr="001B4458" w:rsidRDefault="005B55E1" w:rsidP="00F76882">
            <w:pPr>
              <w:pStyle w:val="Tabletext"/>
              <w:rPr>
                <w:rStyle w:val="Emphasis"/>
              </w:rPr>
            </w:pPr>
            <w:r w:rsidRPr="001B4458">
              <w:rPr>
                <w:rStyle w:val="Emphasis"/>
              </w:rPr>
              <w:t>0.00</w:t>
            </w:r>
          </w:p>
        </w:tc>
        <w:tc>
          <w:tcPr>
            <w:tcW w:w="363" w:type="pct"/>
            <w:tcBorders>
              <w:top w:val="nil"/>
              <w:left w:val="nil"/>
              <w:bottom w:val="single" w:sz="4" w:space="0" w:color="auto"/>
              <w:right w:val="single" w:sz="4" w:space="0" w:color="auto"/>
            </w:tcBorders>
            <w:noWrap/>
          </w:tcPr>
          <w:p w14:paraId="73CDD3C9" w14:textId="77777777" w:rsidR="005B55E1" w:rsidRPr="001B4458" w:rsidRDefault="005B55E1" w:rsidP="00F76882">
            <w:pPr>
              <w:pStyle w:val="Tabletext"/>
              <w:rPr>
                <w:rStyle w:val="Emphasis"/>
              </w:rPr>
            </w:pPr>
            <w:r w:rsidRPr="001B4458">
              <w:rPr>
                <w:rStyle w:val="Emphasis"/>
              </w:rPr>
              <w:t>0.07</w:t>
            </w:r>
          </w:p>
        </w:tc>
        <w:tc>
          <w:tcPr>
            <w:tcW w:w="395" w:type="pct"/>
            <w:tcBorders>
              <w:top w:val="nil"/>
              <w:left w:val="nil"/>
              <w:bottom w:val="single" w:sz="4" w:space="0" w:color="auto"/>
              <w:right w:val="single" w:sz="4" w:space="0" w:color="auto"/>
            </w:tcBorders>
            <w:noWrap/>
          </w:tcPr>
          <w:p w14:paraId="3A42B583" w14:textId="77777777" w:rsidR="005B55E1" w:rsidRPr="001B4458" w:rsidRDefault="005B55E1" w:rsidP="00F76882">
            <w:pPr>
              <w:pStyle w:val="Tabletext"/>
              <w:rPr>
                <w:rStyle w:val="Emphasis"/>
              </w:rPr>
            </w:pPr>
            <w:r w:rsidRPr="001B4458">
              <w:rPr>
                <w:rStyle w:val="Emphasis"/>
              </w:rPr>
              <w:t>0.00</w:t>
            </w:r>
          </w:p>
        </w:tc>
        <w:tc>
          <w:tcPr>
            <w:tcW w:w="306" w:type="pct"/>
            <w:tcBorders>
              <w:top w:val="nil"/>
              <w:left w:val="nil"/>
              <w:bottom w:val="single" w:sz="4" w:space="0" w:color="auto"/>
              <w:right w:val="single" w:sz="4" w:space="0" w:color="auto"/>
            </w:tcBorders>
            <w:noWrap/>
          </w:tcPr>
          <w:p w14:paraId="2C3A4738" w14:textId="77777777" w:rsidR="005B55E1" w:rsidRPr="001B4458" w:rsidRDefault="005B55E1" w:rsidP="00F76882">
            <w:pPr>
              <w:pStyle w:val="Tabletext"/>
              <w:rPr>
                <w:rStyle w:val="Emphasis"/>
              </w:rPr>
            </w:pPr>
            <w:r w:rsidRPr="001B4458">
              <w:rPr>
                <w:rStyle w:val="Emphasis"/>
              </w:rPr>
              <w:t>0.49</w:t>
            </w:r>
          </w:p>
        </w:tc>
        <w:tc>
          <w:tcPr>
            <w:tcW w:w="400" w:type="pct"/>
            <w:tcBorders>
              <w:top w:val="nil"/>
              <w:left w:val="nil"/>
              <w:bottom w:val="single" w:sz="4" w:space="0" w:color="auto"/>
              <w:right w:val="single" w:sz="4" w:space="0" w:color="auto"/>
            </w:tcBorders>
            <w:noWrap/>
          </w:tcPr>
          <w:p w14:paraId="52CB0702" w14:textId="77777777" w:rsidR="005B55E1" w:rsidRPr="001B4458" w:rsidRDefault="005B55E1" w:rsidP="00F76882">
            <w:pPr>
              <w:pStyle w:val="Tabletext"/>
              <w:rPr>
                <w:rStyle w:val="Emphasis"/>
              </w:rPr>
            </w:pPr>
            <w:r w:rsidRPr="001B4458">
              <w:rPr>
                <w:rStyle w:val="Emphasis"/>
              </w:rPr>
              <w:t>0.00</w:t>
            </w:r>
          </w:p>
        </w:tc>
        <w:tc>
          <w:tcPr>
            <w:tcW w:w="352" w:type="pct"/>
            <w:tcBorders>
              <w:top w:val="nil"/>
              <w:left w:val="nil"/>
              <w:bottom w:val="single" w:sz="4" w:space="0" w:color="auto"/>
              <w:right w:val="single" w:sz="4" w:space="0" w:color="auto"/>
            </w:tcBorders>
            <w:noWrap/>
          </w:tcPr>
          <w:p w14:paraId="51D8C57F" w14:textId="77777777" w:rsidR="005B55E1" w:rsidRPr="001B4458" w:rsidRDefault="005B55E1" w:rsidP="00F76882">
            <w:pPr>
              <w:pStyle w:val="Tabletext"/>
              <w:rPr>
                <w:rStyle w:val="Emphasis"/>
              </w:rPr>
            </w:pPr>
            <w:r w:rsidRPr="001B4458">
              <w:rPr>
                <w:rStyle w:val="Emphasis"/>
              </w:rPr>
              <w:t>0.00</w:t>
            </w:r>
          </w:p>
        </w:tc>
        <w:tc>
          <w:tcPr>
            <w:tcW w:w="400" w:type="pct"/>
            <w:tcBorders>
              <w:top w:val="single" w:sz="4" w:space="0" w:color="auto"/>
              <w:left w:val="nil"/>
              <w:bottom w:val="single" w:sz="4" w:space="0" w:color="auto"/>
              <w:right w:val="single" w:sz="4" w:space="0" w:color="auto"/>
            </w:tcBorders>
          </w:tcPr>
          <w:p w14:paraId="041D76F3" w14:textId="22AE7D9B" w:rsidR="005B55E1" w:rsidRPr="001B4458" w:rsidRDefault="005B55E1" w:rsidP="00F76882">
            <w:pPr>
              <w:pStyle w:val="Tabletext"/>
              <w:rPr>
                <w:rStyle w:val="Emphasis"/>
              </w:rPr>
            </w:pPr>
            <w:r w:rsidRPr="001B4458">
              <w:rPr>
                <w:rStyle w:val="Emphasis"/>
              </w:rPr>
              <w:t>0.00</w:t>
            </w:r>
          </w:p>
        </w:tc>
        <w:tc>
          <w:tcPr>
            <w:tcW w:w="352" w:type="pct"/>
            <w:tcBorders>
              <w:top w:val="single" w:sz="4" w:space="0" w:color="auto"/>
              <w:left w:val="single" w:sz="4" w:space="0" w:color="auto"/>
              <w:bottom w:val="single" w:sz="4" w:space="0" w:color="auto"/>
              <w:right w:val="single" w:sz="4" w:space="0" w:color="auto"/>
            </w:tcBorders>
          </w:tcPr>
          <w:p w14:paraId="79690BA2" w14:textId="1B1557E9" w:rsidR="005B55E1" w:rsidRPr="001B4458" w:rsidRDefault="005B55E1" w:rsidP="00F76882">
            <w:pPr>
              <w:pStyle w:val="Tabletext"/>
              <w:rPr>
                <w:rStyle w:val="Emphasis"/>
              </w:rPr>
            </w:pPr>
            <w:r w:rsidRPr="001B4458">
              <w:rPr>
                <w:rStyle w:val="Emphasis"/>
              </w:rPr>
              <w:t>0.70</w:t>
            </w:r>
          </w:p>
        </w:tc>
        <w:tc>
          <w:tcPr>
            <w:tcW w:w="355" w:type="pct"/>
            <w:tcBorders>
              <w:top w:val="nil"/>
              <w:left w:val="single" w:sz="4" w:space="0" w:color="auto"/>
              <w:bottom w:val="single" w:sz="4" w:space="0" w:color="auto"/>
              <w:right w:val="single" w:sz="4" w:space="0" w:color="auto"/>
            </w:tcBorders>
            <w:noWrap/>
          </w:tcPr>
          <w:p w14:paraId="4DF0515E" w14:textId="60A6D3E2" w:rsidR="005B55E1" w:rsidRPr="001B4458" w:rsidRDefault="005B55E1" w:rsidP="00F76882">
            <w:pPr>
              <w:pStyle w:val="Tabletext"/>
              <w:rPr>
                <w:rStyle w:val="Emphasis"/>
              </w:rPr>
            </w:pPr>
            <w:r w:rsidRPr="001B4458">
              <w:rPr>
                <w:rStyle w:val="Emphasis"/>
              </w:rPr>
              <w:t>0.00</w:t>
            </w:r>
          </w:p>
        </w:tc>
        <w:tc>
          <w:tcPr>
            <w:tcW w:w="315" w:type="pct"/>
            <w:tcBorders>
              <w:top w:val="nil"/>
              <w:left w:val="nil"/>
              <w:bottom w:val="single" w:sz="4" w:space="0" w:color="auto"/>
              <w:right w:val="single" w:sz="4" w:space="0" w:color="auto"/>
            </w:tcBorders>
            <w:noWrap/>
          </w:tcPr>
          <w:p w14:paraId="176E6562" w14:textId="682AF63F" w:rsidR="005B55E1" w:rsidRPr="001B4458" w:rsidRDefault="005B55E1" w:rsidP="00F76882">
            <w:pPr>
              <w:pStyle w:val="Tabletext"/>
              <w:rPr>
                <w:rStyle w:val="Emphasis"/>
              </w:rPr>
            </w:pPr>
            <w:r w:rsidRPr="001B4458">
              <w:rPr>
                <w:rStyle w:val="Emphasis"/>
              </w:rPr>
              <w:t>0.09</w:t>
            </w:r>
          </w:p>
        </w:tc>
        <w:tc>
          <w:tcPr>
            <w:tcW w:w="377" w:type="pct"/>
            <w:tcBorders>
              <w:top w:val="nil"/>
              <w:left w:val="nil"/>
              <w:bottom w:val="single" w:sz="4" w:space="0" w:color="auto"/>
              <w:right w:val="single" w:sz="4" w:space="0" w:color="auto"/>
            </w:tcBorders>
            <w:noWrap/>
          </w:tcPr>
          <w:p w14:paraId="0134191A" w14:textId="528474F5" w:rsidR="005B55E1" w:rsidRPr="001B4458" w:rsidRDefault="005B55E1" w:rsidP="00F76882">
            <w:pPr>
              <w:pStyle w:val="Tabletext"/>
              <w:rPr>
                <w:rStyle w:val="Emphasis"/>
              </w:rPr>
            </w:pPr>
            <w:r w:rsidRPr="001B4458">
              <w:rPr>
                <w:rStyle w:val="Emphasis"/>
              </w:rPr>
              <w:t>0.05</w:t>
            </w:r>
          </w:p>
        </w:tc>
      </w:tr>
      <w:tr w:rsidR="00723658" w:rsidRPr="0036007C" w14:paraId="4C250EC2" w14:textId="77777777" w:rsidTr="00A335B4">
        <w:trPr>
          <w:trHeight w:val="289"/>
        </w:trPr>
        <w:tc>
          <w:tcPr>
            <w:tcW w:w="974" w:type="pct"/>
            <w:tcBorders>
              <w:top w:val="nil"/>
              <w:left w:val="single" w:sz="4" w:space="0" w:color="auto"/>
              <w:bottom w:val="single" w:sz="4" w:space="0" w:color="auto"/>
              <w:right w:val="single" w:sz="4" w:space="0" w:color="auto"/>
            </w:tcBorders>
            <w:shd w:val="clear" w:color="000000" w:fill="BFBFBF"/>
            <w:hideMark/>
          </w:tcPr>
          <w:p w14:paraId="75E4CB40" w14:textId="77777777" w:rsidR="00723658" w:rsidRPr="0036007C" w:rsidRDefault="00723658" w:rsidP="00F76882">
            <w:pPr>
              <w:pStyle w:val="Tabletextleft"/>
              <w:rPr>
                <w:rFonts w:asciiTheme="minorHAnsi" w:hAnsiTheme="minorHAnsi" w:cstheme="minorHAnsi"/>
              </w:rPr>
            </w:pPr>
            <w:r w:rsidRPr="007C3001">
              <w:t>Surgery in past 12 months‡</w:t>
            </w:r>
          </w:p>
        </w:tc>
        <w:tc>
          <w:tcPr>
            <w:tcW w:w="411" w:type="pct"/>
            <w:tcBorders>
              <w:top w:val="nil"/>
              <w:left w:val="nil"/>
              <w:bottom w:val="single" w:sz="4" w:space="0" w:color="auto"/>
              <w:right w:val="single" w:sz="4" w:space="0" w:color="auto"/>
            </w:tcBorders>
            <w:shd w:val="clear" w:color="000000" w:fill="BFBFBF"/>
            <w:noWrap/>
          </w:tcPr>
          <w:p w14:paraId="6556490A" w14:textId="77777777" w:rsidR="00723658" w:rsidRPr="001B4458" w:rsidRDefault="00723658" w:rsidP="00F76882">
            <w:pPr>
              <w:pStyle w:val="Tabletext"/>
            </w:pPr>
            <w:r w:rsidRPr="001B4458">
              <w:t>0</w:t>
            </w:r>
          </w:p>
        </w:tc>
        <w:tc>
          <w:tcPr>
            <w:tcW w:w="363" w:type="pct"/>
            <w:tcBorders>
              <w:top w:val="nil"/>
              <w:left w:val="nil"/>
              <w:bottom w:val="single" w:sz="4" w:space="0" w:color="auto"/>
              <w:right w:val="single" w:sz="4" w:space="0" w:color="auto"/>
            </w:tcBorders>
            <w:shd w:val="clear" w:color="000000" w:fill="BFBFBF"/>
            <w:noWrap/>
          </w:tcPr>
          <w:p w14:paraId="3A3CE8F6" w14:textId="77777777" w:rsidR="00723658" w:rsidRPr="001B4458" w:rsidRDefault="00723658" w:rsidP="00F76882">
            <w:pPr>
              <w:pStyle w:val="Tabletext"/>
            </w:pPr>
            <w:r w:rsidRPr="001B4458">
              <w:t>2</w:t>
            </w:r>
          </w:p>
        </w:tc>
        <w:tc>
          <w:tcPr>
            <w:tcW w:w="395" w:type="pct"/>
            <w:tcBorders>
              <w:top w:val="nil"/>
              <w:left w:val="nil"/>
              <w:bottom w:val="single" w:sz="4" w:space="0" w:color="auto"/>
              <w:right w:val="single" w:sz="4" w:space="0" w:color="auto"/>
            </w:tcBorders>
            <w:shd w:val="clear" w:color="000000" w:fill="BFBFBF"/>
            <w:noWrap/>
          </w:tcPr>
          <w:p w14:paraId="4DC20786" w14:textId="77777777" w:rsidR="00723658" w:rsidRPr="001B4458" w:rsidRDefault="00723658" w:rsidP="00F76882">
            <w:pPr>
              <w:pStyle w:val="Tabletext"/>
            </w:pPr>
            <w:r w:rsidRPr="001B4458">
              <w:t>0</w:t>
            </w:r>
          </w:p>
        </w:tc>
        <w:tc>
          <w:tcPr>
            <w:tcW w:w="306" w:type="pct"/>
            <w:tcBorders>
              <w:top w:val="nil"/>
              <w:left w:val="nil"/>
              <w:bottom w:val="single" w:sz="4" w:space="0" w:color="auto"/>
              <w:right w:val="single" w:sz="4" w:space="0" w:color="auto"/>
            </w:tcBorders>
            <w:shd w:val="clear" w:color="000000" w:fill="BFBFBF"/>
            <w:noWrap/>
          </w:tcPr>
          <w:p w14:paraId="27A77793" w14:textId="77777777" w:rsidR="00723658" w:rsidRPr="001B4458" w:rsidRDefault="00723658" w:rsidP="00F76882">
            <w:pPr>
              <w:pStyle w:val="Tabletext"/>
            </w:pPr>
            <w:r w:rsidRPr="001B4458">
              <w:t>0</w:t>
            </w:r>
          </w:p>
        </w:tc>
        <w:tc>
          <w:tcPr>
            <w:tcW w:w="400" w:type="pct"/>
            <w:tcBorders>
              <w:top w:val="nil"/>
              <w:left w:val="nil"/>
              <w:bottom w:val="single" w:sz="4" w:space="0" w:color="auto"/>
              <w:right w:val="single" w:sz="4" w:space="0" w:color="auto"/>
            </w:tcBorders>
            <w:shd w:val="clear" w:color="000000" w:fill="BFBFBF"/>
            <w:noWrap/>
          </w:tcPr>
          <w:p w14:paraId="5EA2F859" w14:textId="77777777" w:rsidR="00723658" w:rsidRPr="001B4458" w:rsidRDefault="00723658" w:rsidP="00F76882">
            <w:pPr>
              <w:pStyle w:val="Tabletext"/>
            </w:pPr>
            <w:r w:rsidRPr="001B4458">
              <w:t>0</w:t>
            </w:r>
          </w:p>
        </w:tc>
        <w:tc>
          <w:tcPr>
            <w:tcW w:w="352" w:type="pct"/>
            <w:tcBorders>
              <w:top w:val="nil"/>
              <w:left w:val="nil"/>
              <w:bottom w:val="single" w:sz="4" w:space="0" w:color="auto"/>
              <w:right w:val="single" w:sz="4" w:space="0" w:color="auto"/>
            </w:tcBorders>
            <w:shd w:val="clear" w:color="000000" w:fill="BFBFBF"/>
            <w:noWrap/>
          </w:tcPr>
          <w:p w14:paraId="2D1E6625" w14:textId="77777777" w:rsidR="00723658" w:rsidRPr="001B4458" w:rsidRDefault="00723658" w:rsidP="00F76882">
            <w:pPr>
              <w:pStyle w:val="Tabletext"/>
            </w:pPr>
            <w:r w:rsidRPr="001B4458">
              <w:t>4</w:t>
            </w:r>
          </w:p>
        </w:tc>
        <w:tc>
          <w:tcPr>
            <w:tcW w:w="400" w:type="pct"/>
            <w:tcBorders>
              <w:top w:val="single" w:sz="4" w:space="0" w:color="auto"/>
              <w:left w:val="nil"/>
              <w:bottom w:val="single" w:sz="4" w:space="0" w:color="auto"/>
              <w:right w:val="single" w:sz="4" w:space="0" w:color="auto"/>
            </w:tcBorders>
            <w:shd w:val="clear" w:color="000000" w:fill="BFBFBF"/>
          </w:tcPr>
          <w:p w14:paraId="02415DEE" w14:textId="77777777" w:rsidR="00723658" w:rsidRPr="001B4458" w:rsidRDefault="00723658" w:rsidP="00F76882">
            <w:pPr>
              <w:pStyle w:val="Tabletext"/>
            </w:pPr>
            <w:r w:rsidRPr="001B4458">
              <w:t>0</w:t>
            </w:r>
          </w:p>
        </w:tc>
        <w:tc>
          <w:tcPr>
            <w:tcW w:w="352" w:type="pct"/>
            <w:tcBorders>
              <w:top w:val="single" w:sz="4" w:space="0" w:color="auto"/>
              <w:left w:val="single" w:sz="4" w:space="0" w:color="auto"/>
              <w:bottom w:val="single" w:sz="4" w:space="0" w:color="auto"/>
              <w:right w:val="single" w:sz="4" w:space="0" w:color="auto"/>
            </w:tcBorders>
            <w:shd w:val="clear" w:color="000000" w:fill="BFBFBF"/>
          </w:tcPr>
          <w:p w14:paraId="20BD27B0" w14:textId="77777777" w:rsidR="00723658" w:rsidRPr="001B4458" w:rsidRDefault="00723658" w:rsidP="00F76882">
            <w:pPr>
              <w:pStyle w:val="Tabletext"/>
            </w:pPr>
            <w:r w:rsidRPr="001B4458">
              <w:t>0</w:t>
            </w:r>
          </w:p>
        </w:tc>
        <w:tc>
          <w:tcPr>
            <w:tcW w:w="355" w:type="pct"/>
            <w:tcBorders>
              <w:top w:val="nil"/>
              <w:left w:val="single" w:sz="4" w:space="0" w:color="auto"/>
              <w:bottom w:val="single" w:sz="4" w:space="0" w:color="auto"/>
              <w:right w:val="single" w:sz="4" w:space="0" w:color="auto"/>
            </w:tcBorders>
            <w:shd w:val="clear" w:color="000000" w:fill="BFBFBF"/>
            <w:noWrap/>
          </w:tcPr>
          <w:p w14:paraId="13A85592" w14:textId="77777777" w:rsidR="00723658" w:rsidRPr="001B4458" w:rsidRDefault="00723658" w:rsidP="00F76882">
            <w:pPr>
              <w:pStyle w:val="Tabletext"/>
            </w:pPr>
            <w:r w:rsidRPr="001B4458">
              <w:t>0</w:t>
            </w:r>
          </w:p>
        </w:tc>
        <w:tc>
          <w:tcPr>
            <w:tcW w:w="315" w:type="pct"/>
            <w:tcBorders>
              <w:top w:val="nil"/>
              <w:left w:val="nil"/>
              <w:bottom w:val="single" w:sz="4" w:space="0" w:color="auto"/>
              <w:right w:val="single" w:sz="4" w:space="0" w:color="auto"/>
            </w:tcBorders>
            <w:shd w:val="clear" w:color="000000" w:fill="BFBFBF"/>
            <w:noWrap/>
          </w:tcPr>
          <w:p w14:paraId="3BE78939" w14:textId="77777777" w:rsidR="00723658" w:rsidRPr="001B4458" w:rsidRDefault="00723658" w:rsidP="00F76882">
            <w:pPr>
              <w:pStyle w:val="Tabletext"/>
            </w:pPr>
            <w:r w:rsidRPr="001B4458">
              <w:t>6</w:t>
            </w:r>
          </w:p>
        </w:tc>
        <w:tc>
          <w:tcPr>
            <w:tcW w:w="377" w:type="pct"/>
            <w:tcBorders>
              <w:top w:val="nil"/>
              <w:left w:val="nil"/>
              <w:bottom w:val="single" w:sz="4" w:space="0" w:color="auto"/>
              <w:right w:val="single" w:sz="4" w:space="0" w:color="auto"/>
            </w:tcBorders>
            <w:shd w:val="clear" w:color="000000" w:fill="BFBFBF"/>
            <w:noWrap/>
          </w:tcPr>
          <w:p w14:paraId="3C88189D" w14:textId="77777777" w:rsidR="00723658" w:rsidRPr="001B4458" w:rsidRDefault="00723658" w:rsidP="00F76882">
            <w:pPr>
              <w:pStyle w:val="Tabletext"/>
            </w:pPr>
            <w:r w:rsidRPr="001B4458">
              <w:t>6</w:t>
            </w:r>
          </w:p>
        </w:tc>
      </w:tr>
    </w:tbl>
    <w:bookmarkEnd w:id="217"/>
    <w:p w14:paraId="38EA85D2" w14:textId="07D19E89" w:rsidR="003E4CE4" w:rsidRPr="00A33DD2" w:rsidRDefault="003E4CE4" w:rsidP="00F76882">
      <w:pPr>
        <w:pStyle w:val="tablefigfootnote"/>
      </w:pPr>
      <w:r w:rsidRPr="00A33DD2">
        <w:t>* This number may not account for all adults who may be examined in routine adult health checks and may also include multiple screenings</w:t>
      </w:r>
      <w:r w:rsidR="00EF33CB" w:rsidRPr="00A33DD2">
        <w:t xml:space="preserve"> per patient</w:t>
      </w:r>
      <w:r w:rsidRPr="00A33DD2">
        <w:t>. Screening is linked to trachoma endemic regions and does not consider changing endemic regions over time and transiency between regions.</w:t>
      </w:r>
    </w:p>
    <w:p w14:paraId="181C9CE9" w14:textId="77777777" w:rsidR="003E4CE4" w:rsidRPr="00A33DD2" w:rsidRDefault="003E4CE4" w:rsidP="00F76882">
      <w:pPr>
        <w:pStyle w:val="tablefigfootnote"/>
      </w:pPr>
      <w:r w:rsidRPr="00A33DD2">
        <w:t>† Defined as cases ‘previously unknown to the health system’.</w:t>
      </w:r>
    </w:p>
    <w:p w14:paraId="1CBC6566" w14:textId="0C9CEE97" w:rsidR="003E4CE4" w:rsidRPr="00A33DD2" w:rsidRDefault="003E4CE4" w:rsidP="00F76882">
      <w:pPr>
        <w:pStyle w:val="tablefigfootnote"/>
      </w:pPr>
      <w:r w:rsidRPr="00A33DD2">
        <w:t>‡ Surgery may include cases identified in previous years.</w:t>
      </w:r>
    </w:p>
    <w:p w14:paraId="154585E5" w14:textId="77777777" w:rsidR="00D84247" w:rsidRPr="003D3BBA" w:rsidRDefault="00D84247" w:rsidP="00F76882">
      <w:pPr>
        <w:sectPr w:rsidR="00D84247" w:rsidRPr="003D3BBA" w:rsidSect="00C04CBB">
          <w:pgSz w:w="16838" w:h="11906" w:orient="landscape"/>
          <w:pgMar w:top="1440" w:right="1440" w:bottom="1440" w:left="1440" w:header="709" w:footer="709" w:gutter="0"/>
          <w:cols w:space="708"/>
          <w:docGrid w:linePitch="360"/>
        </w:sectPr>
      </w:pPr>
    </w:p>
    <w:p w14:paraId="36F85A09" w14:textId="77777777" w:rsidR="006F32BC" w:rsidRPr="004609FA" w:rsidRDefault="006F32BC" w:rsidP="00F76882">
      <w:pPr>
        <w:pStyle w:val="Heading1"/>
      </w:pPr>
      <w:bookmarkStart w:id="218" w:name="_Toc520298299"/>
      <w:bookmarkStart w:id="219" w:name="_Toc520298384"/>
      <w:bookmarkStart w:id="220" w:name="_Toc160544985"/>
      <w:bookmarkStart w:id="221" w:name="_Toc203986545"/>
      <w:bookmarkStart w:id="222" w:name="Table26"/>
      <w:bookmarkStart w:id="223" w:name="_Toc392153903"/>
      <w:bookmarkStart w:id="224" w:name="_Toc215236955"/>
      <w:r w:rsidRPr="004609FA">
        <w:t>Jurisdictional-specific results</w:t>
      </w:r>
      <w:bookmarkEnd w:id="218"/>
      <w:bookmarkEnd w:id="219"/>
      <w:bookmarkEnd w:id="220"/>
      <w:bookmarkEnd w:id="221"/>
      <w:bookmarkEnd w:id="224"/>
    </w:p>
    <w:p w14:paraId="70A2E541" w14:textId="77777777" w:rsidR="006F32BC" w:rsidRPr="0036007C" w:rsidRDefault="006F32BC" w:rsidP="00F76882">
      <w:pPr>
        <w:pStyle w:val="Heading2"/>
      </w:pPr>
      <w:bookmarkStart w:id="225" w:name="_Figure_2._2"/>
      <w:bookmarkStart w:id="226" w:name="_Figure_2.1_Trachoma"/>
      <w:bookmarkStart w:id="227" w:name="_Toc203986546"/>
      <w:bookmarkStart w:id="228" w:name="_Toc215236956"/>
      <w:bookmarkEnd w:id="225"/>
      <w:bookmarkEnd w:id="226"/>
      <w:r w:rsidRPr="0036007C">
        <w:t>Northern Territory results</w:t>
      </w:r>
      <w:bookmarkEnd w:id="227"/>
      <w:bookmarkEnd w:id="228"/>
    </w:p>
    <w:p w14:paraId="3441F496" w14:textId="77777777" w:rsidR="006F32BC" w:rsidRPr="0036007C" w:rsidRDefault="006F32BC" w:rsidP="00F76882">
      <w:pPr>
        <w:pStyle w:val="Heading3"/>
      </w:pPr>
      <w:r w:rsidRPr="0036007C">
        <w:t>Trachoma program coverage</w:t>
      </w:r>
    </w:p>
    <w:p w14:paraId="6150EFA3" w14:textId="1F3D6589" w:rsidR="006F32BC" w:rsidRPr="0036007C" w:rsidRDefault="006F32BC" w:rsidP="00F76882">
      <w:pPr>
        <w:pStyle w:val="TableofFigures"/>
      </w:pPr>
      <w:r w:rsidRPr="0036007C">
        <w:t xml:space="preserve">In </w:t>
      </w:r>
      <w:r w:rsidR="00C3405D" w:rsidRPr="0036007C">
        <w:t>2024</w:t>
      </w:r>
      <w:r w:rsidRPr="0036007C">
        <w:t>, the NT identified 4</w:t>
      </w:r>
      <w:r w:rsidR="00C1389F" w:rsidRPr="0036007C">
        <w:t>8</w:t>
      </w:r>
      <w:r w:rsidRPr="0036007C">
        <w:t xml:space="preserve"> communities across </w:t>
      </w:r>
      <w:r w:rsidR="00A729A5" w:rsidRPr="0036007C">
        <w:t>four regions as requiring screening</w:t>
      </w:r>
      <w:r w:rsidR="00C34CE2" w:rsidRPr="0036007C">
        <w:t xml:space="preserve"> for trachoma</w:t>
      </w:r>
      <w:r w:rsidRPr="0036007C">
        <w:t xml:space="preserve"> (</w:t>
      </w:r>
      <w:r w:rsidRPr="0036007C">
        <w:fldChar w:fldCharType="begin"/>
      </w:r>
      <w:r w:rsidRPr="0036007C">
        <w:instrText xml:space="preserve"> REF _Ref58329639 \h  \* MERGEFORMAT </w:instrText>
      </w:r>
      <w:r w:rsidRPr="0036007C">
        <w:fldChar w:fldCharType="separate"/>
      </w:r>
      <w:r w:rsidRPr="0036007C">
        <w:t>Figure 2.2</w:t>
      </w:r>
      <w:r w:rsidRPr="0036007C">
        <w:fldChar w:fldCharType="end"/>
      </w:r>
      <w:r w:rsidR="00F3546B" w:rsidRPr="0036007C">
        <w:t xml:space="preserve">, </w:t>
      </w:r>
      <w:r w:rsidRPr="0036007C">
        <w:fldChar w:fldCharType="begin"/>
      </w:r>
      <w:r w:rsidRPr="0036007C">
        <w:instrText xml:space="preserve"> REF _Ref58336185 \h  \* MERGEFORMAT </w:instrText>
      </w:r>
      <w:r w:rsidRPr="0036007C">
        <w:fldChar w:fldCharType="separate"/>
      </w:r>
      <w:r w:rsidR="00F3546B" w:rsidRPr="0036007C">
        <w:t>Table 2.1</w:t>
      </w:r>
      <w:r w:rsidRPr="0036007C">
        <w:fldChar w:fldCharType="end"/>
      </w:r>
      <w:r w:rsidRPr="0036007C">
        <w:t>).</w:t>
      </w:r>
      <w:r w:rsidR="001B1D68" w:rsidRPr="0036007C">
        <w:t xml:space="preserve"> </w:t>
      </w:r>
      <w:r w:rsidR="00FA6227" w:rsidRPr="0036007C">
        <w:t>This includes</w:t>
      </w:r>
      <w:r w:rsidR="00C657ED" w:rsidRPr="0036007C">
        <w:t xml:space="preserve"> e</w:t>
      </w:r>
      <w:r w:rsidR="007444B2" w:rsidRPr="0036007C">
        <w:t xml:space="preserve">ight </w:t>
      </w:r>
      <w:r w:rsidR="001B1D68" w:rsidRPr="0036007C">
        <w:t xml:space="preserve">communities previously removed from the </w:t>
      </w:r>
      <w:r w:rsidR="00A603DB" w:rsidRPr="0036007C">
        <w:t>at-risk</w:t>
      </w:r>
      <w:r w:rsidR="001B1D68" w:rsidRPr="0036007C">
        <w:t xml:space="preserve"> register with population linkages to current </w:t>
      </w:r>
      <w:r w:rsidR="0003428A" w:rsidRPr="0036007C">
        <w:t>at-risk</w:t>
      </w:r>
      <w:r w:rsidR="001B1D68" w:rsidRPr="0036007C">
        <w:t xml:space="preserve"> communities </w:t>
      </w:r>
      <w:r w:rsidR="000A4E4D" w:rsidRPr="0036007C">
        <w:t xml:space="preserve">as well as five at-risk communities not due for screening in 2024 under current guidelines </w:t>
      </w:r>
      <w:r w:rsidR="000B0CA7" w:rsidRPr="0036007C">
        <w:t xml:space="preserve">that </w:t>
      </w:r>
      <w:r w:rsidR="001B1D68" w:rsidRPr="0036007C">
        <w:t xml:space="preserve">were </w:t>
      </w:r>
      <w:r w:rsidR="00BA320E" w:rsidRPr="0036007C">
        <w:t>added to</w:t>
      </w:r>
      <w:r w:rsidR="00A85375" w:rsidRPr="0036007C">
        <w:t xml:space="preserve"> the screening plan</w:t>
      </w:r>
      <w:r w:rsidR="001B1D68" w:rsidRPr="0036007C">
        <w:t xml:space="preserve"> as part evidence confirmation for final-year dossier validation surveillance.</w:t>
      </w:r>
    </w:p>
    <w:p w14:paraId="3D5D79AC" w14:textId="4D54F8D5" w:rsidR="00CF5FD1" w:rsidRPr="0036007C" w:rsidRDefault="00CF5FD1" w:rsidP="00F76882">
      <w:pPr>
        <w:pStyle w:val="TableofFigures"/>
      </w:pPr>
      <w:r w:rsidRPr="0036007C">
        <w:t xml:space="preserve">Of the 48 communities requiring screening, </w:t>
      </w:r>
      <w:r w:rsidR="00BA4149" w:rsidRPr="0036007C">
        <w:t>45</w:t>
      </w:r>
      <w:r w:rsidRPr="0036007C">
        <w:t xml:space="preserve"> of these were screened (</w:t>
      </w:r>
      <w:r w:rsidR="00BA4149" w:rsidRPr="0036007C">
        <w:t>9</w:t>
      </w:r>
      <w:r w:rsidRPr="0036007C">
        <w:t>4%) (</w:t>
      </w:r>
      <w:r w:rsidR="006A033C">
        <w:t xml:space="preserve">Figure 2.3, </w:t>
      </w:r>
      <w:r w:rsidRPr="0036007C">
        <w:fldChar w:fldCharType="begin"/>
      </w:r>
      <w:r w:rsidRPr="0036007C">
        <w:instrText xml:space="preserve"> REF _Ref58336185 \h  \* MERGEFORMAT </w:instrText>
      </w:r>
      <w:r w:rsidRPr="0036007C">
        <w:fldChar w:fldCharType="separate"/>
      </w:r>
      <w:r w:rsidRPr="0036007C">
        <w:t>Table 2.1</w:t>
      </w:r>
      <w:r w:rsidRPr="0036007C">
        <w:fldChar w:fldCharType="end"/>
      </w:r>
      <w:r w:rsidRPr="0036007C">
        <w:t>).</w:t>
      </w:r>
    </w:p>
    <w:p w14:paraId="539A883C" w14:textId="426FF6E0" w:rsidR="006F32BC" w:rsidRPr="0036007C" w:rsidRDefault="00AD3F7D" w:rsidP="00F76882">
      <w:pPr>
        <w:pStyle w:val="Heading3"/>
      </w:pPr>
      <w:r w:rsidRPr="0036007C">
        <w:t>Trachoma s</w:t>
      </w:r>
      <w:r w:rsidR="006F32BC" w:rsidRPr="0036007C">
        <w:t>creening coverage</w:t>
      </w:r>
    </w:p>
    <w:p w14:paraId="62D500B9" w14:textId="56387FE8" w:rsidR="006F32BC" w:rsidRPr="0036007C" w:rsidRDefault="006F32BC" w:rsidP="00F76882">
      <w:pPr>
        <w:pStyle w:val="TableofFigures"/>
      </w:pPr>
      <w:bookmarkStart w:id="229" w:name="_Hlk160462453"/>
      <w:r w:rsidRPr="0036007C">
        <w:t>The</w:t>
      </w:r>
      <w:r w:rsidR="00A02FC6" w:rsidRPr="0036007C">
        <w:t xml:space="preserve"> total</w:t>
      </w:r>
      <w:r w:rsidRPr="0036007C">
        <w:t xml:space="preserve"> proportion of children aged 5</w:t>
      </w:r>
      <w:r w:rsidR="003D00CE" w:rsidRPr="0036007C">
        <w:t>–</w:t>
      </w:r>
      <w:r w:rsidRPr="0036007C">
        <w:t xml:space="preserve">9 years screened </w:t>
      </w:r>
      <w:r w:rsidR="00A02FC6" w:rsidRPr="0036007C">
        <w:t>across</w:t>
      </w:r>
      <w:r w:rsidRPr="0036007C">
        <w:t xml:space="preserve"> the</w:t>
      </w:r>
      <w:r w:rsidR="00046C9F" w:rsidRPr="0036007C">
        <w:t>se</w:t>
      </w:r>
      <w:r w:rsidRPr="0036007C">
        <w:t xml:space="preserve"> </w:t>
      </w:r>
      <w:r w:rsidR="003A0921" w:rsidRPr="0036007C">
        <w:t xml:space="preserve">45 </w:t>
      </w:r>
      <w:r w:rsidRPr="0036007C">
        <w:t>communities</w:t>
      </w:r>
      <w:r w:rsidR="002F4AF4" w:rsidRPr="0036007C">
        <w:t xml:space="preserve"> </w:t>
      </w:r>
      <w:r w:rsidRPr="0036007C">
        <w:t xml:space="preserve">was </w:t>
      </w:r>
      <w:r w:rsidR="003A0921" w:rsidRPr="0036007C">
        <w:t>87</w:t>
      </w:r>
      <w:r w:rsidRPr="0036007C">
        <w:t>%</w:t>
      </w:r>
      <w:r w:rsidR="00AF0513" w:rsidRPr="0036007C">
        <w:t xml:space="preserve"> (1144/1309)</w:t>
      </w:r>
      <w:r w:rsidR="004E44FD" w:rsidRPr="0036007C">
        <w:t xml:space="preserve">. </w:t>
      </w:r>
      <w:bookmarkEnd w:id="229"/>
      <w:r w:rsidR="00367E25" w:rsidRPr="0036007C">
        <w:t xml:space="preserve">There was little variation in </w:t>
      </w:r>
      <w:r w:rsidR="00223B9D" w:rsidRPr="0036007C">
        <w:t xml:space="preserve">trachoma </w:t>
      </w:r>
      <w:r w:rsidR="00367E25" w:rsidRPr="0036007C">
        <w:t>screening coverage between</w:t>
      </w:r>
      <w:r w:rsidR="00382E64" w:rsidRPr="0036007C">
        <w:t xml:space="preserve"> the Alice Springs Remote, Barkly</w:t>
      </w:r>
      <w:r w:rsidR="00E57F73" w:rsidRPr="0036007C">
        <w:t xml:space="preserve">, and </w:t>
      </w:r>
      <w:r w:rsidR="00382E64" w:rsidRPr="0036007C">
        <w:t>Katherine</w:t>
      </w:r>
      <w:r w:rsidR="00367E25" w:rsidRPr="0036007C">
        <w:t xml:space="preserve"> regions</w:t>
      </w:r>
      <w:r w:rsidR="00640B22" w:rsidRPr="0036007C">
        <w:t>,</w:t>
      </w:r>
      <w:r w:rsidR="00D011D8" w:rsidRPr="0036007C">
        <w:t xml:space="preserve"> which had</w:t>
      </w:r>
      <w:r w:rsidR="00C76E01" w:rsidRPr="0036007C">
        <w:t xml:space="preserve"> larger </w:t>
      </w:r>
      <w:r w:rsidR="00050A5E" w:rsidRPr="0036007C">
        <w:t>populations at risk</w:t>
      </w:r>
      <w:r w:rsidRPr="0036007C">
        <w:t xml:space="preserve"> (</w:t>
      </w:r>
      <w:r w:rsidRPr="0036007C">
        <w:fldChar w:fldCharType="begin"/>
      </w:r>
      <w:r w:rsidRPr="0036007C">
        <w:instrText xml:space="preserve"> REF _Ref58336228 \h  \* MERGEFORMAT </w:instrText>
      </w:r>
      <w:r w:rsidRPr="0036007C">
        <w:fldChar w:fldCharType="separate"/>
      </w:r>
      <w:r w:rsidR="00F3546B" w:rsidRPr="0036007C">
        <w:t>Table 2.2</w:t>
      </w:r>
      <w:r w:rsidRPr="0036007C">
        <w:fldChar w:fldCharType="end"/>
      </w:r>
      <w:r w:rsidRPr="0036007C">
        <w:t>).</w:t>
      </w:r>
    </w:p>
    <w:p w14:paraId="208993DF" w14:textId="77777777" w:rsidR="006F32BC" w:rsidRPr="0036007C" w:rsidRDefault="006F32BC" w:rsidP="00F76882">
      <w:pPr>
        <w:pStyle w:val="Heading3"/>
      </w:pPr>
      <w:r w:rsidRPr="0036007C">
        <w:t>Facial cleanliness</w:t>
      </w:r>
    </w:p>
    <w:p w14:paraId="58FAA39C" w14:textId="7ECEFFB3" w:rsidR="006F32BC" w:rsidRPr="0036007C" w:rsidRDefault="00701341" w:rsidP="00F76882">
      <w:pPr>
        <w:pStyle w:val="TableofFigures"/>
      </w:pPr>
      <w:r w:rsidRPr="0036007C">
        <w:t>Facial cleanliness</w:t>
      </w:r>
      <w:r w:rsidR="006F32BC" w:rsidRPr="0036007C">
        <w:t xml:space="preserve"> was assessed in all communities that were screened in </w:t>
      </w:r>
      <w:r w:rsidR="00C3405D" w:rsidRPr="0036007C">
        <w:t>2024</w:t>
      </w:r>
      <w:r w:rsidR="005A27C2" w:rsidRPr="0036007C">
        <w:t xml:space="preserve"> (data not shown)</w:t>
      </w:r>
      <w:r w:rsidR="006F32BC" w:rsidRPr="0036007C">
        <w:t>.</w:t>
      </w:r>
    </w:p>
    <w:p w14:paraId="22636A18" w14:textId="78DE765A" w:rsidR="006F32BC" w:rsidRPr="0036007C" w:rsidRDefault="006F32BC" w:rsidP="00F76882">
      <w:pPr>
        <w:pStyle w:val="TableofFigures"/>
      </w:pPr>
      <w:r w:rsidRPr="0036007C">
        <w:t>The</w:t>
      </w:r>
      <w:r w:rsidR="003E2C27" w:rsidRPr="0036007C">
        <w:t xml:space="preserve"> total</w:t>
      </w:r>
      <w:r w:rsidRPr="0036007C">
        <w:t xml:space="preserve"> </w:t>
      </w:r>
      <w:r w:rsidR="004D1FE8" w:rsidRPr="0036007C">
        <w:t>proportion</w:t>
      </w:r>
      <w:r w:rsidRPr="0036007C">
        <w:t xml:space="preserve"> of clean faces among children aged 5</w:t>
      </w:r>
      <w:r w:rsidR="003D00CE" w:rsidRPr="0036007C">
        <w:t>–</w:t>
      </w:r>
      <w:r w:rsidRPr="0036007C">
        <w:t xml:space="preserve">9 years in the communities assessed </w:t>
      </w:r>
      <w:r w:rsidR="006E5CD5" w:rsidRPr="0036007C">
        <w:t xml:space="preserve">across the NT </w:t>
      </w:r>
      <w:r w:rsidRPr="0036007C">
        <w:t xml:space="preserve">was </w:t>
      </w:r>
      <w:r w:rsidR="00E22CFA" w:rsidRPr="0036007C">
        <w:t>7</w:t>
      </w:r>
      <w:r w:rsidR="00C4214D" w:rsidRPr="0036007C">
        <w:t>6</w:t>
      </w:r>
      <w:r w:rsidRPr="0036007C">
        <w:t>%</w:t>
      </w:r>
      <w:r w:rsidR="00AF0513" w:rsidRPr="0036007C">
        <w:t xml:space="preserve"> (</w:t>
      </w:r>
      <w:r w:rsidR="00DF0FB3" w:rsidRPr="0036007C">
        <w:t>948/1252)</w:t>
      </w:r>
      <w:r w:rsidR="006E5CD5" w:rsidRPr="0036007C">
        <w:t xml:space="preserve">. </w:t>
      </w:r>
      <w:r w:rsidR="004D1FE8" w:rsidRPr="0036007C">
        <w:t>Proportions were</w:t>
      </w:r>
      <w:r w:rsidR="000B47C8" w:rsidRPr="0036007C">
        <w:t xml:space="preserve"> higher in the</w:t>
      </w:r>
      <w:r w:rsidRPr="0036007C">
        <w:t xml:space="preserve"> </w:t>
      </w:r>
      <w:r w:rsidR="00F9471D" w:rsidRPr="0036007C">
        <w:t>Katherine</w:t>
      </w:r>
      <w:r w:rsidRPr="0036007C">
        <w:t xml:space="preserve"> region </w:t>
      </w:r>
      <w:r w:rsidR="000B47C8" w:rsidRPr="0036007C">
        <w:t>at</w:t>
      </w:r>
      <w:r w:rsidR="00687F7E" w:rsidRPr="0036007C">
        <w:t xml:space="preserve"> </w:t>
      </w:r>
      <w:r w:rsidR="00F9471D" w:rsidRPr="0036007C">
        <w:t>8</w:t>
      </w:r>
      <w:r w:rsidR="000B47C8" w:rsidRPr="0036007C">
        <w:t>7</w:t>
      </w:r>
      <w:r w:rsidRPr="0036007C">
        <w:t xml:space="preserve">% </w:t>
      </w:r>
      <w:r w:rsidR="000B47C8" w:rsidRPr="0036007C">
        <w:t>compared to</w:t>
      </w:r>
      <w:r w:rsidRPr="0036007C">
        <w:t xml:space="preserve"> the </w:t>
      </w:r>
      <w:r w:rsidR="00F9471D" w:rsidRPr="0036007C">
        <w:t>Barkly</w:t>
      </w:r>
      <w:r w:rsidR="000B47C8" w:rsidRPr="0036007C">
        <w:t xml:space="preserve"> and Alice Springs </w:t>
      </w:r>
      <w:r w:rsidR="00626B25" w:rsidRPr="0036007C">
        <w:t>R</w:t>
      </w:r>
      <w:r w:rsidR="000B47C8" w:rsidRPr="0036007C">
        <w:t>emote</w:t>
      </w:r>
      <w:r w:rsidRPr="0036007C">
        <w:t xml:space="preserve"> region</w:t>
      </w:r>
      <w:r w:rsidR="000B47C8" w:rsidRPr="0036007C">
        <w:t>s at 72% and 71% respectively</w:t>
      </w:r>
      <w:r w:rsidRPr="0036007C">
        <w:t xml:space="preserve"> (</w:t>
      </w:r>
      <w:r w:rsidRPr="0036007C">
        <w:fldChar w:fldCharType="begin"/>
      </w:r>
      <w:r w:rsidRPr="0036007C">
        <w:instrText xml:space="preserve"> REF _Ref58329800 \h </w:instrText>
      </w:r>
      <w:r w:rsidR="00584BD1" w:rsidRPr="0036007C">
        <w:instrText xml:space="preserve"> \* MERGEFORMAT </w:instrText>
      </w:r>
      <w:r w:rsidRPr="0036007C">
        <w:fldChar w:fldCharType="separate"/>
      </w:r>
      <w:r w:rsidRPr="0036007C">
        <w:t>Figure 2.</w:t>
      </w:r>
      <w:r w:rsidR="00F519EF" w:rsidRPr="0036007C">
        <w:t>4</w:t>
      </w:r>
      <w:r w:rsidRPr="0036007C">
        <w:fldChar w:fldCharType="end"/>
      </w:r>
      <w:r w:rsidR="000E4373" w:rsidRPr="0036007C">
        <w:t xml:space="preserve">, </w:t>
      </w:r>
      <w:r w:rsidRPr="0036007C">
        <w:fldChar w:fldCharType="begin"/>
      </w:r>
      <w:r w:rsidRPr="0036007C">
        <w:instrText xml:space="preserve"> REF _Ref58336228 \h  \* MERGEFORMAT </w:instrText>
      </w:r>
      <w:r w:rsidRPr="0036007C">
        <w:fldChar w:fldCharType="separate"/>
      </w:r>
      <w:r w:rsidR="000E4373" w:rsidRPr="0036007C">
        <w:t>Table 2.2</w:t>
      </w:r>
      <w:r w:rsidRPr="0036007C">
        <w:fldChar w:fldCharType="end"/>
      </w:r>
      <w:r w:rsidRPr="0036007C">
        <w:t>).</w:t>
      </w:r>
    </w:p>
    <w:p w14:paraId="5AE9ED10" w14:textId="77777777" w:rsidR="006F32BC" w:rsidRPr="0036007C" w:rsidRDefault="006F32BC" w:rsidP="00F76882">
      <w:pPr>
        <w:pStyle w:val="Heading3"/>
      </w:pPr>
      <w:r w:rsidRPr="0036007C">
        <w:t>Trachoma prevalence</w:t>
      </w:r>
    </w:p>
    <w:p w14:paraId="2AA094B7" w14:textId="1830A263" w:rsidR="00857D31" w:rsidRPr="0036007C" w:rsidRDefault="00857D31" w:rsidP="00F76882">
      <w:pPr>
        <w:pStyle w:val="TableofFigures"/>
      </w:pPr>
      <w:r w:rsidRPr="0036007C">
        <w:t>The observed prevalence of trachoma</w:t>
      </w:r>
      <w:r w:rsidRPr="0036007C" w:rsidDel="00F03658">
        <w:t xml:space="preserve"> </w:t>
      </w:r>
      <w:r w:rsidRPr="0036007C">
        <w:t>in those aged 5</w:t>
      </w:r>
      <w:r w:rsidR="003D00CE" w:rsidRPr="0036007C">
        <w:t>–</w:t>
      </w:r>
      <w:r w:rsidRPr="0036007C">
        <w:t xml:space="preserve">9 years in </w:t>
      </w:r>
      <w:r w:rsidR="003D2563" w:rsidRPr="0036007C">
        <w:t xml:space="preserve">the </w:t>
      </w:r>
      <w:r w:rsidR="00820ECE" w:rsidRPr="0036007C">
        <w:t xml:space="preserve">45 </w:t>
      </w:r>
      <w:r w:rsidRPr="0036007C">
        <w:t xml:space="preserve">communities that were screened in </w:t>
      </w:r>
      <w:r w:rsidR="00C3405D" w:rsidRPr="0036007C">
        <w:t>2024</w:t>
      </w:r>
      <w:r w:rsidRPr="0036007C">
        <w:t xml:space="preserve"> was </w:t>
      </w:r>
      <w:r w:rsidR="0046108F" w:rsidRPr="0036007C">
        <w:t>4.9</w:t>
      </w:r>
      <w:r w:rsidRPr="0036007C">
        <w:t>% (5</w:t>
      </w:r>
      <w:r w:rsidR="0046108F" w:rsidRPr="0036007C">
        <w:t>6</w:t>
      </w:r>
      <w:r w:rsidRPr="0036007C">
        <w:t>/</w:t>
      </w:r>
      <w:r w:rsidR="0046108F" w:rsidRPr="0036007C">
        <w:t>1</w:t>
      </w:r>
      <w:r w:rsidR="00C60702" w:rsidRPr="0036007C">
        <w:t>,</w:t>
      </w:r>
      <w:r w:rsidR="0046108F" w:rsidRPr="0036007C">
        <w:t>144</w:t>
      </w:r>
      <w:r w:rsidRPr="0036007C">
        <w:t xml:space="preserve">). </w:t>
      </w:r>
      <w:r w:rsidR="004C4668" w:rsidRPr="0036007C">
        <w:t>Observed p</w:t>
      </w:r>
      <w:r w:rsidRPr="0036007C">
        <w:t xml:space="preserve">revalence ranged from </w:t>
      </w:r>
      <w:r w:rsidR="00F6555C" w:rsidRPr="0036007C">
        <w:t>1</w:t>
      </w:r>
      <w:r w:rsidR="004C4668" w:rsidRPr="0036007C">
        <w:t>0.4</w:t>
      </w:r>
      <w:r w:rsidRPr="0036007C">
        <w:t xml:space="preserve">% in the </w:t>
      </w:r>
      <w:r w:rsidR="00F6555C" w:rsidRPr="0036007C">
        <w:t xml:space="preserve">Katherine </w:t>
      </w:r>
      <w:r w:rsidRPr="0036007C">
        <w:t xml:space="preserve">region to </w:t>
      </w:r>
      <w:r w:rsidR="004C4668" w:rsidRPr="0036007C">
        <w:t>0.4</w:t>
      </w:r>
      <w:r w:rsidRPr="0036007C">
        <w:t xml:space="preserve">% in the </w:t>
      </w:r>
      <w:r w:rsidR="001C66D6" w:rsidRPr="0036007C">
        <w:t>Barkly</w:t>
      </w:r>
      <w:r w:rsidRPr="0036007C">
        <w:t xml:space="preserve"> region (</w:t>
      </w:r>
      <w:r w:rsidRPr="0036007C">
        <w:fldChar w:fldCharType="begin"/>
      </w:r>
      <w:r w:rsidRPr="0036007C">
        <w:instrText xml:space="preserve"> REF _Ref58329816 \h  \* MERGEFORMAT </w:instrText>
      </w:r>
      <w:r w:rsidRPr="0036007C">
        <w:fldChar w:fldCharType="separate"/>
      </w:r>
      <w:r w:rsidRPr="0036007C">
        <w:t>Figure 2.</w:t>
      </w:r>
      <w:r w:rsidRPr="0036007C">
        <w:fldChar w:fldCharType="end"/>
      </w:r>
      <w:r w:rsidR="00CC16F6" w:rsidRPr="0036007C">
        <w:t>5</w:t>
      </w:r>
      <w:r w:rsidRPr="0036007C">
        <w:t>a</w:t>
      </w:r>
      <w:r w:rsidR="000E4373" w:rsidRPr="0036007C">
        <w:t xml:space="preserve">, </w:t>
      </w:r>
      <w:r w:rsidRPr="0036007C">
        <w:fldChar w:fldCharType="begin"/>
      </w:r>
      <w:r w:rsidRPr="0036007C">
        <w:instrText xml:space="preserve"> REF _Ref58336228 \h  \* MERGEFORMAT </w:instrText>
      </w:r>
      <w:r w:rsidRPr="0036007C">
        <w:fldChar w:fldCharType="separate"/>
      </w:r>
      <w:r w:rsidR="000E4373" w:rsidRPr="0036007C">
        <w:t>Table 2.2</w:t>
      </w:r>
      <w:r w:rsidRPr="0036007C">
        <w:fldChar w:fldCharType="end"/>
      </w:r>
      <w:r w:rsidRPr="0036007C">
        <w:t>).</w:t>
      </w:r>
    </w:p>
    <w:p w14:paraId="60D0877D" w14:textId="2FEC3440" w:rsidR="00857D31" w:rsidRPr="003D3BBA" w:rsidRDefault="00857D31" w:rsidP="00F76882">
      <w:pPr>
        <w:pStyle w:val="TableofFigures"/>
      </w:pPr>
      <w:r w:rsidRPr="003D3BBA">
        <w:t xml:space="preserve">No trachoma was reported in </w:t>
      </w:r>
      <w:r w:rsidR="005C472B" w:rsidRPr="003D3BBA">
        <w:t>2</w:t>
      </w:r>
      <w:r w:rsidR="009E7112" w:rsidRPr="003D3BBA">
        <w:t>7</w:t>
      </w:r>
      <w:r w:rsidRPr="003D3BBA">
        <w:t>/</w:t>
      </w:r>
      <w:r w:rsidR="00820ECE" w:rsidRPr="003D3BBA">
        <w:t>45</w:t>
      </w:r>
      <w:r w:rsidR="00E2794D" w:rsidRPr="003D3BBA">
        <w:t xml:space="preserve"> (60%</w:t>
      </w:r>
      <w:r w:rsidRPr="003D3BBA">
        <w:t>) of the screened at-risk communities (</w:t>
      </w:r>
      <w:r w:rsidR="00E80A7E" w:rsidRPr="0036007C">
        <w:rPr>
          <w:lang w:val="en-AU"/>
        </w:rPr>
        <w:fldChar w:fldCharType="begin"/>
      </w:r>
      <w:r w:rsidR="00E80A7E" w:rsidRPr="0036007C">
        <w:rPr>
          <w:lang w:val="en-AU"/>
        </w:rPr>
        <w:instrText xml:space="preserve"> REF _Ref58330106 \h  \* MERGEFORMAT </w:instrText>
      </w:r>
      <w:r w:rsidR="00E80A7E" w:rsidRPr="0036007C">
        <w:rPr>
          <w:lang w:val="en-AU"/>
        </w:rPr>
      </w:r>
      <w:r w:rsidR="00E80A7E" w:rsidRPr="0036007C">
        <w:rPr>
          <w:lang w:val="en-AU"/>
        </w:rPr>
        <w:fldChar w:fldCharType="separate"/>
      </w:r>
      <w:r w:rsidR="00E80A7E" w:rsidRPr="0036007C">
        <w:rPr>
          <w:lang w:val="en-AU"/>
        </w:rPr>
        <w:t>Figure 2.6</w:t>
      </w:r>
      <w:r w:rsidR="00E80A7E" w:rsidRPr="0036007C">
        <w:rPr>
          <w:lang w:val="en-AU"/>
        </w:rPr>
        <w:fldChar w:fldCharType="end"/>
      </w:r>
      <w:r w:rsidR="00E80A7E" w:rsidRPr="0036007C">
        <w:rPr>
          <w:lang w:val="en-AU"/>
        </w:rPr>
        <w:t xml:space="preserve">, </w:t>
      </w:r>
      <w:r w:rsidRPr="003D3BBA">
        <w:fldChar w:fldCharType="begin"/>
      </w:r>
      <w:r w:rsidRPr="003D3BBA">
        <w:instrText xml:space="preserve"> REF _Ref58336262 \h  \* MERGEFORMAT </w:instrText>
      </w:r>
      <w:r w:rsidRPr="003D3BBA">
        <w:fldChar w:fldCharType="separate"/>
      </w:r>
      <w:r w:rsidRPr="003D3BBA">
        <w:t>Table 2.3</w:t>
      </w:r>
      <w:r w:rsidRPr="003D3BBA">
        <w:fldChar w:fldCharType="end"/>
      </w:r>
      <w:r w:rsidRPr="003D3BBA">
        <w:t>).</w:t>
      </w:r>
    </w:p>
    <w:p w14:paraId="3AEAC2DE" w14:textId="6DE466BE" w:rsidR="00857D31" w:rsidRPr="003D3BBA" w:rsidRDefault="00137675" w:rsidP="00F76882">
      <w:pPr>
        <w:pStyle w:val="TableofFigures"/>
      </w:pPr>
      <w:r w:rsidRPr="0036007C">
        <w:rPr>
          <w:lang w:val="en-AU"/>
        </w:rPr>
        <w:t xml:space="preserve">Endemic trachoma (observed prevalence ≥ 5%) </w:t>
      </w:r>
      <w:r w:rsidR="002318DE" w:rsidRPr="0036007C">
        <w:rPr>
          <w:lang w:val="en-AU"/>
        </w:rPr>
        <w:t xml:space="preserve">was </w:t>
      </w:r>
      <w:r w:rsidR="00857D31" w:rsidRPr="003D3BBA">
        <w:t xml:space="preserve">reported in </w:t>
      </w:r>
      <w:r w:rsidR="009E7112" w:rsidRPr="003D3BBA">
        <w:t>12</w:t>
      </w:r>
      <w:r w:rsidR="00857D31" w:rsidRPr="003D3BBA">
        <w:t>/</w:t>
      </w:r>
      <w:r w:rsidR="00820ECE" w:rsidRPr="003D3BBA">
        <w:t>45</w:t>
      </w:r>
      <w:r w:rsidR="00857D31" w:rsidRPr="003D3BBA">
        <w:t xml:space="preserve"> </w:t>
      </w:r>
      <w:r w:rsidR="00E2794D" w:rsidRPr="003D3BBA">
        <w:t xml:space="preserve">(27%) </w:t>
      </w:r>
      <w:r w:rsidR="00857D31" w:rsidRPr="003D3BBA">
        <w:t>of the screened at-risk communities (</w:t>
      </w:r>
      <w:r w:rsidR="00E80A7E" w:rsidRPr="0036007C">
        <w:rPr>
          <w:lang w:val="en-AU"/>
        </w:rPr>
        <w:fldChar w:fldCharType="begin"/>
      </w:r>
      <w:r w:rsidR="00E80A7E" w:rsidRPr="0036007C">
        <w:rPr>
          <w:lang w:val="en-AU"/>
        </w:rPr>
        <w:instrText xml:space="preserve"> REF _Ref58330106 \h  \* MERGEFORMAT </w:instrText>
      </w:r>
      <w:r w:rsidR="00E80A7E" w:rsidRPr="0036007C">
        <w:rPr>
          <w:lang w:val="en-AU"/>
        </w:rPr>
      </w:r>
      <w:r w:rsidR="00E80A7E" w:rsidRPr="0036007C">
        <w:rPr>
          <w:lang w:val="en-AU"/>
        </w:rPr>
        <w:fldChar w:fldCharType="separate"/>
      </w:r>
      <w:r w:rsidR="00E80A7E" w:rsidRPr="0036007C">
        <w:rPr>
          <w:lang w:val="en-AU"/>
        </w:rPr>
        <w:t>Figure 2.6</w:t>
      </w:r>
      <w:r w:rsidR="00E80A7E" w:rsidRPr="0036007C">
        <w:rPr>
          <w:lang w:val="en-AU"/>
        </w:rPr>
        <w:fldChar w:fldCharType="end"/>
      </w:r>
      <w:r w:rsidR="00E80A7E" w:rsidRPr="0036007C">
        <w:rPr>
          <w:lang w:val="en-AU"/>
        </w:rPr>
        <w:t xml:space="preserve">, </w:t>
      </w:r>
      <w:r w:rsidR="00857D31" w:rsidRPr="003D3BBA">
        <w:fldChar w:fldCharType="begin"/>
      </w:r>
      <w:r w:rsidR="00857D31" w:rsidRPr="003D3BBA">
        <w:instrText xml:space="preserve"> REF _Ref58336262 \h  \* MERGEFORMAT </w:instrText>
      </w:r>
      <w:r w:rsidR="00857D31" w:rsidRPr="003D3BBA">
        <w:fldChar w:fldCharType="separate"/>
      </w:r>
      <w:r w:rsidR="00857D31" w:rsidRPr="003D3BBA">
        <w:t>Table 2.3</w:t>
      </w:r>
      <w:r w:rsidR="00857D31" w:rsidRPr="003D3BBA">
        <w:fldChar w:fldCharType="end"/>
      </w:r>
      <w:r w:rsidR="00857D31" w:rsidRPr="003D3BBA">
        <w:t>)</w:t>
      </w:r>
    </w:p>
    <w:p w14:paraId="5B428D2C" w14:textId="6DEB2A3A" w:rsidR="00857D31" w:rsidRPr="003D3BBA" w:rsidRDefault="00CE1DD8" w:rsidP="00F76882">
      <w:pPr>
        <w:pStyle w:val="TableofFigures"/>
      </w:pPr>
      <w:r w:rsidRPr="0036007C">
        <w:rPr>
          <w:lang w:val="en-AU"/>
        </w:rPr>
        <w:t>Hyperendemic trachoma (observed prevalence ≥ 20%) was</w:t>
      </w:r>
      <w:r w:rsidR="00857D31" w:rsidRPr="003D3BBA">
        <w:t xml:space="preserve"> reported in </w:t>
      </w:r>
      <w:r w:rsidR="00313C98" w:rsidRPr="003D3BBA">
        <w:t>4</w:t>
      </w:r>
      <w:r w:rsidR="00857D31" w:rsidRPr="003D3BBA">
        <w:t>/</w:t>
      </w:r>
      <w:r w:rsidR="00820ECE" w:rsidRPr="003D3BBA">
        <w:t>45</w:t>
      </w:r>
      <w:r w:rsidR="00857D31" w:rsidRPr="003D3BBA">
        <w:t xml:space="preserve"> </w:t>
      </w:r>
      <w:r w:rsidR="00E2794D" w:rsidRPr="003D3BBA">
        <w:t>(</w:t>
      </w:r>
      <w:r w:rsidR="002318DE" w:rsidRPr="003D3BBA">
        <w:t xml:space="preserve">9%) </w:t>
      </w:r>
      <w:r w:rsidR="00857D31" w:rsidRPr="003D3BBA">
        <w:t xml:space="preserve">of the </w:t>
      </w:r>
      <w:r w:rsidR="00A57AF9" w:rsidRPr="003D3BBA">
        <w:t xml:space="preserve">screened </w:t>
      </w:r>
      <w:r w:rsidR="00857D31" w:rsidRPr="003D3BBA">
        <w:t>at-risk communities (</w:t>
      </w:r>
      <w:r w:rsidR="001D1164" w:rsidRPr="0036007C">
        <w:rPr>
          <w:lang w:val="en-AU"/>
        </w:rPr>
        <w:fldChar w:fldCharType="begin"/>
      </w:r>
      <w:r w:rsidR="001D1164" w:rsidRPr="0036007C">
        <w:rPr>
          <w:lang w:val="en-AU"/>
        </w:rPr>
        <w:instrText xml:space="preserve"> REF _Ref58330106 \h  \* MERGEFORMAT </w:instrText>
      </w:r>
      <w:r w:rsidR="001D1164" w:rsidRPr="0036007C">
        <w:rPr>
          <w:lang w:val="en-AU"/>
        </w:rPr>
      </w:r>
      <w:r w:rsidR="001D1164" w:rsidRPr="0036007C">
        <w:rPr>
          <w:lang w:val="en-AU"/>
        </w:rPr>
        <w:fldChar w:fldCharType="separate"/>
      </w:r>
      <w:r w:rsidR="001D1164" w:rsidRPr="0036007C">
        <w:rPr>
          <w:lang w:val="en-AU"/>
        </w:rPr>
        <w:t>Figure 2.6</w:t>
      </w:r>
      <w:r w:rsidR="001D1164" w:rsidRPr="0036007C">
        <w:rPr>
          <w:lang w:val="en-AU"/>
        </w:rPr>
        <w:fldChar w:fldCharType="end"/>
      </w:r>
      <w:r w:rsidR="001D1164" w:rsidRPr="0036007C">
        <w:rPr>
          <w:lang w:val="en-AU"/>
        </w:rPr>
        <w:t xml:space="preserve">, </w:t>
      </w:r>
      <w:r w:rsidR="00857D31" w:rsidRPr="003D3BBA">
        <w:fldChar w:fldCharType="begin"/>
      </w:r>
      <w:r w:rsidR="00857D31" w:rsidRPr="003D3BBA">
        <w:instrText xml:space="preserve"> REF _Ref58336262 \h  \* MERGEFORMAT </w:instrText>
      </w:r>
      <w:r w:rsidR="00857D31" w:rsidRPr="003D3BBA">
        <w:fldChar w:fldCharType="separate"/>
      </w:r>
      <w:r w:rsidR="00857D31" w:rsidRPr="003D3BBA">
        <w:t>Table 2.3</w:t>
      </w:r>
      <w:r w:rsidR="00857D31" w:rsidRPr="003D3BBA">
        <w:fldChar w:fldCharType="end"/>
      </w:r>
      <w:r w:rsidR="00857D31" w:rsidRPr="003D3BBA">
        <w:t>).</w:t>
      </w:r>
    </w:p>
    <w:p w14:paraId="267D67E3" w14:textId="096F4DCA" w:rsidR="00336CA8" w:rsidRPr="0036007C" w:rsidRDefault="00336CA8" w:rsidP="00F76882">
      <w:pPr>
        <w:pStyle w:val="TableofFigures"/>
      </w:pPr>
      <w:r w:rsidRPr="0036007C">
        <w:t>The overall prevalence of trachoma (which includes data from all communities ever considered at risk of trachoma)</w:t>
      </w:r>
      <w:r w:rsidRPr="0036007C" w:rsidDel="00E63955">
        <w:t xml:space="preserve"> </w:t>
      </w:r>
      <w:r w:rsidRPr="0036007C">
        <w:t>in those aged 5</w:t>
      </w:r>
      <w:r w:rsidR="003D00CE" w:rsidRPr="0036007C">
        <w:t>–</w:t>
      </w:r>
      <w:r w:rsidRPr="0036007C">
        <w:t>9 years was 2.</w:t>
      </w:r>
      <w:r w:rsidR="006E6D43" w:rsidRPr="0036007C">
        <w:t>1</w:t>
      </w:r>
      <w:r w:rsidRPr="0036007C">
        <w:t>%</w:t>
      </w:r>
      <w:r w:rsidR="00700E82" w:rsidRPr="0036007C">
        <w:t xml:space="preserve"> in </w:t>
      </w:r>
      <w:r w:rsidR="00C3405D" w:rsidRPr="0036007C">
        <w:t>2024</w:t>
      </w:r>
      <w:r w:rsidR="00700E82" w:rsidRPr="0036007C">
        <w:t>. Overall prevalence</w:t>
      </w:r>
      <w:r w:rsidRPr="0036007C">
        <w:t xml:space="preserve"> rang</w:t>
      </w:r>
      <w:r w:rsidR="00700E82" w:rsidRPr="0036007C">
        <w:t>ed</w:t>
      </w:r>
      <w:r w:rsidRPr="0036007C">
        <w:t xml:space="preserve"> from 0.</w:t>
      </w:r>
      <w:r w:rsidR="001D6297" w:rsidRPr="0036007C">
        <w:t>4</w:t>
      </w:r>
      <w:r w:rsidRPr="0036007C">
        <w:t xml:space="preserve">% in the </w:t>
      </w:r>
      <w:r w:rsidR="001D6297" w:rsidRPr="0036007C">
        <w:t>Darwin Rural</w:t>
      </w:r>
      <w:r w:rsidR="00700E82" w:rsidRPr="0036007C">
        <w:t xml:space="preserve"> </w:t>
      </w:r>
      <w:r w:rsidRPr="0036007C">
        <w:t xml:space="preserve">region to </w:t>
      </w:r>
      <w:r w:rsidR="006E6D43" w:rsidRPr="0036007C">
        <w:t>5.0</w:t>
      </w:r>
      <w:r w:rsidRPr="0036007C">
        <w:t>% in the</w:t>
      </w:r>
      <w:r w:rsidR="003734B1" w:rsidRPr="0036007C">
        <w:t xml:space="preserve"> Alice Springs </w:t>
      </w:r>
      <w:r w:rsidR="00626B25" w:rsidRPr="0036007C">
        <w:t>R</w:t>
      </w:r>
      <w:r w:rsidR="003734B1" w:rsidRPr="0036007C">
        <w:t>emote</w:t>
      </w:r>
      <w:r w:rsidRPr="0036007C">
        <w:t xml:space="preserve"> region (</w:t>
      </w:r>
      <w:r w:rsidR="0058213C">
        <w:t xml:space="preserve">Figure 2.5c, </w:t>
      </w:r>
      <w:r w:rsidRPr="0036007C">
        <w:fldChar w:fldCharType="begin"/>
      </w:r>
      <w:r w:rsidRPr="0036007C">
        <w:instrText xml:space="preserve"> REF _Ref58336228 \h  \* MERGEFORMAT </w:instrText>
      </w:r>
      <w:r w:rsidRPr="0036007C">
        <w:fldChar w:fldCharType="separate"/>
      </w:r>
      <w:r w:rsidRPr="0036007C">
        <w:t>Table 2.2</w:t>
      </w:r>
      <w:r w:rsidRPr="0036007C">
        <w:fldChar w:fldCharType="end"/>
      </w:r>
      <w:r w:rsidRPr="0036007C">
        <w:t>).</w:t>
      </w:r>
    </w:p>
    <w:p w14:paraId="11900AC5" w14:textId="77777777" w:rsidR="006F32BC" w:rsidRPr="0036007C" w:rsidRDefault="006F32BC" w:rsidP="00F76882">
      <w:pPr>
        <w:pStyle w:val="Heading3"/>
      </w:pPr>
      <w:r w:rsidRPr="0036007C">
        <w:t>Treatment delivery and coverage</w:t>
      </w:r>
    </w:p>
    <w:p w14:paraId="5DF9D1D3" w14:textId="33124828" w:rsidR="006F32BC" w:rsidRPr="0036007C" w:rsidRDefault="006F32BC" w:rsidP="00F76882">
      <w:pPr>
        <w:pStyle w:val="TableofFigures"/>
      </w:pPr>
      <w:r w:rsidRPr="0036007C">
        <w:t xml:space="preserve">Trachoma treatment </w:t>
      </w:r>
      <w:r w:rsidR="00940E1B" w:rsidRPr="0036007C">
        <w:t xml:space="preserve">was required and </w:t>
      </w:r>
      <w:r w:rsidR="00260E39" w:rsidRPr="0036007C">
        <w:t xml:space="preserve">provided </w:t>
      </w:r>
      <w:r w:rsidRPr="0036007C">
        <w:t xml:space="preserve">in </w:t>
      </w:r>
      <w:r w:rsidR="00314F79" w:rsidRPr="0036007C">
        <w:t>1</w:t>
      </w:r>
      <w:r w:rsidR="00E65931" w:rsidRPr="0036007C">
        <w:t>8</w:t>
      </w:r>
      <w:r w:rsidRPr="0036007C">
        <w:t xml:space="preserve"> communities (</w:t>
      </w:r>
      <w:r w:rsidRPr="0036007C">
        <w:fldChar w:fldCharType="begin"/>
      </w:r>
      <w:r w:rsidRPr="0036007C">
        <w:instrText xml:space="preserve"> REF _Ref58336300 \h  \* MERGEFORMAT </w:instrText>
      </w:r>
      <w:r w:rsidRPr="0036007C">
        <w:fldChar w:fldCharType="separate"/>
      </w:r>
      <w:r w:rsidRPr="0036007C">
        <w:t>Table 2.4</w:t>
      </w:r>
      <w:r w:rsidRPr="0036007C">
        <w:fldChar w:fldCharType="end"/>
      </w:r>
      <w:r w:rsidRPr="0036007C">
        <w:t>).</w:t>
      </w:r>
    </w:p>
    <w:p w14:paraId="53F37693" w14:textId="2680EDEB" w:rsidR="006F32BC" w:rsidRPr="0036007C" w:rsidRDefault="006F32BC" w:rsidP="00F76882">
      <w:pPr>
        <w:pStyle w:val="TableofFigures"/>
      </w:pPr>
      <w:r w:rsidRPr="0036007C">
        <w:t xml:space="preserve">Treatment was delivered </w:t>
      </w:r>
      <w:r w:rsidR="00B04F88" w:rsidRPr="0036007C">
        <w:t>to trachoma</w:t>
      </w:r>
      <w:r w:rsidRPr="0036007C">
        <w:t xml:space="preserve"> cases and household contacts in </w:t>
      </w:r>
      <w:r w:rsidR="002E028F" w:rsidRPr="0036007C">
        <w:t>12</w:t>
      </w:r>
      <w:r w:rsidRPr="0036007C">
        <w:t xml:space="preserve"> communities, and</w:t>
      </w:r>
      <w:r w:rsidR="00260E39" w:rsidRPr="0036007C">
        <w:t xml:space="preserve"> treatment was undertaken</w:t>
      </w:r>
      <w:r w:rsidRPr="0036007C">
        <w:t xml:space="preserve"> </w:t>
      </w:r>
      <w:r w:rsidR="003524BE" w:rsidRPr="0036007C">
        <w:t>community-wide</w:t>
      </w:r>
      <w:r w:rsidRPr="0036007C">
        <w:t xml:space="preserve"> in</w:t>
      </w:r>
      <w:r w:rsidR="004E38DC" w:rsidRPr="0036007C">
        <w:t xml:space="preserve"> </w:t>
      </w:r>
      <w:r w:rsidR="002E028F" w:rsidRPr="0036007C">
        <w:t>six</w:t>
      </w:r>
      <w:r w:rsidR="004E38DC" w:rsidRPr="0036007C">
        <w:t xml:space="preserve"> communit</w:t>
      </w:r>
      <w:r w:rsidR="00D265E9" w:rsidRPr="0036007C">
        <w:t>ies</w:t>
      </w:r>
      <w:r w:rsidR="004E38DC" w:rsidRPr="0036007C">
        <w:t xml:space="preserve"> as</w:t>
      </w:r>
      <w:r w:rsidRPr="0036007C">
        <w:t xml:space="preserve"> per </w:t>
      </w:r>
      <w:r w:rsidR="00AB2B46" w:rsidRPr="0036007C">
        <w:t>CDNA Guidelines</w:t>
      </w:r>
      <w:r w:rsidRPr="0036007C">
        <w:t xml:space="preserve"> (</w:t>
      </w:r>
      <w:r w:rsidRPr="0036007C">
        <w:fldChar w:fldCharType="begin"/>
      </w:r>
      <w:r w:rsidRPr="0036007C">
        <w:instrText xml:space="preserve"> REF _Ref58336300 \h  \* MERGEFORMAT </w:instrText>
      </w:r>
      <w:r w:rsidRPr="0036007C">
        <w:fldChar w:fldCharType="separate"/>
      </w:r>
      <w:r w:rsidRPr="0036007C">
        <w:t>Table 2.4</w:t>
      </w:r>
      <w:r w:rsidRPr="0036007C">
        <w:fldChar w:fldCharType="end"/>
      </w:r>
      <w:r w:rsidRPr="0036007C">
        <w:t>).</w:t>
      </w:r>
    </w:p>
    <w:p w14:paraId="3E18C6F6" w14:textId="24B6D534" w:rsidR="006F32BC" w:rsidRPr="003D3BBA" w:rsidRDefault="00F02BAB" w:rsidP="00F76882">
      <w:pPr>
        <w:pStyle w:val="TableofFigures"/>
      </w:pPr>
      <w:r w:rsidRPr="003D3BBA">
        <w:t>The highest number of azithromycin doses administered was in the Katherine region</w:t>
      </w:r>
      <w:r w:rsidR="009F2656" w:rsidRPr="003D3BBA">
        <w:t xml:space="preserve"> (</w:t>
      </w:r>
      <w:r w:rsidR="009B0750" w:rsidRPr="003D3BBA">
        <w:t xml:space="preserve">797 </w:t>
      </w:r>
      <w:r w:rsidR="009F2656" w:rsidRPr="003D3BBA">
        <w:t>doses)</w:t>
      </w:r>
      <w:r w:rsidRPr="003D3BBA">
        <w:t>, followed by Alice Springs Remote (</w:t>
      </w:r>
      <w:r w:rsidR="009B0750" w:rsidRPr="003D3BBA">
        <w:t xml:space="preserve">763 </w:t>
      </w:r>
      <w:r w:rsidR="009F2656" w:rsidRPr="003D3BBA">
        <w:t xml:space="preserve">doses). </w:t>
      </w:r>
      <w:r w:rsidR="006F32BC" w:rsidRPr="003D3BBA">
        <w:t xml:space="preserve">Treatment coverage </w:t>
      </w:r>
      <w:r w:rsidRPr="003D3BBA">
        <w:t>in these regions</w:t>
      </w:r>
      <w:r w:rsidR="006F32BC" w:rsidRPr="003D3BBA">
        <w:t xml:space="preserve"> </w:t>
      </w:r>
      <w:r w:rsidR="00EC2040" w:rsidRPr="003D3BBA">
        <w:t xml:space="preserve">was </w:t>
      </w:r>
      <w:r w:rsidR="009F2656" w:rsidRPr="003D3BBA">
        <w:t>45</w:t>
      </w:r>
      <w:r w:rsidR="00EC2040" w:rsidRPr="003D3BBA">
        <w:t xml:space="preserve">% and </w:t>
      </w:r>
      <w:r w:rsidR="009F2656" w:rsidRPr="003D3BBA">
        <w:t>63</w:t>
      </w:r>
      <w:r w:rsidR="00EC2040" w:rsidRPr="003D3BBA">
        <w:t>% respectively</w:t>
      </w:r>
      <w:r w:rsidR="006F32BC" w:rsidRPr="003D3BBA">
        <w:t xml:space="preserve"> (</w:t>
      </w:r>
      <w:r w:rsidR="006F32BC" w:rsidRPr="003D3BBA">
        <w:fldChar w:fldCharType="begin"/>
      </w:r>
      <w:r w:rsidR="006F32BC" w:rsidRPr="003D3BBA">
        <w:instrText xml:space="preserve"> REF _Ref58330106 \h </w:instrText>
      </w:r>
      <w:r w:rsidR="00584BD1" w:rsidRPr="003D3BBA">
        <w:instrText xml:space="preserve"> \* MERGEFORMAT </w:instrText>
      </w:r>
      <w:r w:rsidR="006F32BC" w:rsidRPr="003D3BBA">
        <w:fldChar w:fldCharType="separate"/>
      </w:r>
      <w:r w:rsidR="006F32BC" w:rsidRPr="003D3BBA">
        <w:t>Figure 2.</w:t>
      </w:r>
      <w:r w:rsidR="003C7E6D" w:rsidRPr="003D3BBA">
        <w:t>7</w:t>
      </w:r>
      <w:r w:rsidR="006F32BC" w:rsidRPr="003D3BBA">
        <w:fldChar w:fldCharType="end"/>
      </w:r>
      <w:r w:rsidR="000E4373" w:rsidRPr="003D3BBA">
        <w:t xml:space="preserve">, </w:t>
      </w:r>
      <w:r w:rsidR="006F32BC" w:rsidRPr="003D3BBA">
        <w:fldChar w:fldCharType="begin"/>
      </w:r>
      <w:r w:rsidR="006F32BC" w:rsidRPr="003D3BBA">
        <w:instrText xml:space="preserve"> REF _Ref58336319 \h  \* MERGEFORMAT </w:instrText>
      </w:r>
      <w:r w:rsidR="006F32BC" w:rsidRPr="003D3BBA">
        <w:fldChar w:fldCharType="separate"/>
      </w:r>
      <w:r w:rsidR="000E4373" w:rsidRPr="003D3BBA">
        <w:t>Table 2.5</w:t>
      </w:r>
      <w:r w:rsidR="006F32BC" w:rsidRPr="003D3BBA">
        <w:fldChar w:fldCharType="end"/>
      </w:r>
      <w:r w:rsidR="006F32BC" w:rsidRPr="003D3BBA">
        <w:t>).</w:t>
      </w:r>
    </w:p>
    <w:p w14:paraId="200A154B" w14:textId="76C4DE9B" w:rsidR="006F32BC" w:rsidRPr="006043C2" w:rsidRDefault="00D048BD" w:rsidP="00F76882">
      <w:pPr>
        <w:pStyle w:val="Heading3"/>
      </w:pPr>
      <w:r w:rsidRPr="006043C2">
        <w:t>Trachomatous</w:t>
      </w:r>
      <w:r w:rsidR="006931E5" w:rsidRPr="006043C2">
        <w:t xml:space="preserve"> </w:t>
      </w:r>
      <w:r w:rsidR="00634A44" w:rsidRPr="006043C2">
        <w:t>T</w:t>
      </w:r>
      <w:r w:rsidR="006F32BC" w:rsidRPr="006043C2">
        <w:t>richiasis</w:t>
      </w:r>
      <w:r w:rsidR="00704415" w:rsidRPr="006043C2">
        <w:t xml:space="preserve"> (TT)</w:t>
      </w:r>
    </w:p>
    <w:p w14:paraId="3DDFACB2" w14:textId="342FA5ED" w:rsidR="006F32BC" w:rsidRPr="0036007C" w:rsidRDefault="00A9557B" w:rsidP="00F76882">
      <w:pPr>
        <w:pStyle w:val="TableofFigures"/>
      </w:pPr>
      <w:r w:rsidRPr="0036007C">
        <w:t>TT</w:t>
      </w:r>
      <w:r w:rsidR="00797C67" w:rsidRPr="0036007C">
        <w:t xml:space="preserve"> screening was undertaken in </w:t>
      </w:r>
      <w:r w:rsidR="00A51FB3" w:rsidRPr="0036007C">
        <w:t>89</w:t>
      </w:r>
      <w:r w:rsidR="00797C67" w:rsidRPr="0036007C">
        <w:t xml:space="preserve"> communities</w:t>
      </w:r>
      <w:r w:rsidR="00300B3E" w:rsidRPr="0036007C">
        <w:t xml:space="preserve">, with </w:t>
      </w:r>
      <w:r w:rsidR="00A5442F" w:rsidRPr="003D3BBA">
        <w:t>15,27</w:t>
      </w:r>
      <w:r w:rsidR="00CB3569" w:rsidRPr="003D3BBA">
        <w:t>6</w:t>
      </w:r>
      <w:r w:rsidR="00A5442F" w:rsidRPr="003D3BBA">
        <w:t xml:space="preserve"> </w:t>
      </w:r>
      <w:r w:rsidR="00300B3E" w:rsidRPr="003D3BBA">
        <w:t>persons aged 15 years and older reported to be screened</w:t>
      </w:r>
      <w:r w:rsidR="006F32BC" w:rsidRPr="0036007C">
        <w:t xml:space="preserve"> (</w:t>
      </w:r>
      <w:r w:rsidR="006F32BC" w:rsidRPr="0036007C">
        <w:fldChar w:fldCharType="begin"/>
      </w:r>
      <w:r w:rsidR="006F32BC" w:rsidRPr="0036007C">
        <w:instrText xml:space="preserve"> REF _Ref58336333 \h  \* MERGEFORMAT </w:instrText>
      </w:r>
      <w:r w:rsidR="006F32BC" w:rsidRPr="0036007C">
        <w:fldChar w:fldCharType="separate"/>
      </w:r>
      <w:r w:rsidR="006F32BC" w:rsidRPr="0036007C">
        <w:t>Table 2.6</w:t>
      </w:r>
      <w:r w:rsidR="006F32BC" w:rsidRPr="0036007C">
        <w:fldChar w:fldCharType="end"/>
      </w:r>
      <w:r w:rsidR="006F32BC" w:rsidRPr="0036007C">
        <w:t>).</w:t>
      </w:r>
    </w:p>
    <w:p w14:paraId="61FF74C4" w14:textId="31EA3AF3" w:rsidR="006F32BC" w:rsidRPr="0036007C" w:rsidRDefault="003A3962" w:rsidP="00F76882">
      <w:pPr>
        <w:pStyle w:val="TableofFigures"/>
      </w:pPr>
      <w:r w:rsidRPr="0036007C">
        <w:t>Ther</w:t>
      </w:r>
      <w:r w:rsidR="00B92B45" w:rsidRPr="0036007C">
        <w:t xml:space="preserve">e </w:t>
      </w:r>
      <w:r w:rsidR="00A5442F" w:rsidRPr="0036007C">
        <w:t>were</w:t>
      </w:r>
      <w:r w:rsidR="00C2505B" w:rsidRPr="0036007C">
        <w:t xml:space="preserve"> </w:t>
      </w:r>
      <w:r w:rsidR="00A51FB3" w:rsidRPr="0036007C">
        <w:t>five</w:t>
      </w:r>
      <w:r w:rsidR="00B92B45" w:rsidRPr="0036007C">
        <w:t xml:space="preserve"> case</w:t>
      </w:r>
      <w:r w:rsidR="00A51FB3" w:rsidRPr="0036007C">
        <w:t>s</w:t>
      </w:r>
      <w:r w:rsidR="00B92B45" w:rsidRPr="0036007C">
        <w:t xml:space="preserve"> of </w:t>
      </w:r>
      <w:r w:rsidR="00A9557B" w:rsidRPr="0036007C">
        <w:t>TT</w:t>
      </w:r>
      <w:r w:rsidR="00B92B45" w:rsidRPr="0036007C">
        <w:t xml:space="preserve"> detected </w:t>
      </w:r>
      <w:r w:rsidR="00C2505B" w:rsidRPr="0036007C">
        <w:t xml:space="preserve">among those </w:t>
      </w:r>
      <w:r w:rsidR="00B92B45" w:rsidRPr="0036007C">
        <w:t xml:space="preserve">screened in </w:t>
      </w:r>
      <w:r w:rsidR="00C3405D" w:rsidRPr="0036007C">
        <w:t>2024</w:t>
      </w:r>
      <w:r w:rsidR="005D7006" w:rsidRPr="0036007C">
        <w:t xml:space="preserve"> (0.03%)</w:t>
      </w:r>
      <w:r w:rsidR="006F32BC" w:rsidRPr="0036007C">
        <w:t xml:space="preserve"> (</w:t>
      </w:r>
      <w:r w:rsidR="006F32BC" w:rsidRPr="0036007C">
        <w:fldChar w:fldCharType="begin"/>
      </w:r>
      <w:r w:rsidR="006F32BC" w:rsidRPr="0036007C">
        <w:instrText xml:space="preserve"> REF _Ref58336333 \h  \* MERGEFORMAT </w:instrText>
      </w:r>
      <w:r w:rsidR="006F32BC" w:rsidRPr="0036007C">
        <w:fldChar w:fldCharType="separate"/>
      </w:r>
      <w:r w:rsidR="006F32BC" w:rsidRPr="0036007C">
        <w:t>Table 2.6</w:t>
      </w:r>
      <w:r w:rsidR="006F32BC" w:rsidRPr="0036007C">
        <w:fldChar w:fldCharType="end"/>
      </w:r>
      <w:r w:rsidR="006F32BC" w:rsidRPr="0036007C">
        <w:t>).</w:t>
      </w:r>
    </w:p>
    <w:p w14:paraId="202F6536" w14:textId="30190AF3" w:rsidR="006F32BC" w:rsidRPr="0036007C" w:rsidRDefault="006F32BC" w:rsidP="00F76882">
      <w:pPr>
        <w:pStyle w:val="TableofFigures"/>
      </w:pPr>
      <w:r w:rsidRPr="0036007C">
        <w:t xml:space="preserve">Surgery for </w:t>
      </w:r>
      <w:r w:rsidR="00A9557B" w:rsidRPr="0036007C">
        <w:t>TT</w:t>
      </w:r>
      <w:r w:rsidRPr="0036007C">
        <w:t xml:space="preserve"> was reported to be undertaken for</w:t>
      </w:r>
      <w:r w:rsidR="00FD05E0" w:rsidRPr="0036007C">
        <w:t xml:space="preserve"> </w:t>
      </w:r>
      <w:r w:rsidR="00300B3E" w:rsidRPr="0036007C">
        <w:t>two</w:t>
      </w:r>
      <w:r w:rsidR="00120633" w:rsidRPr="0036007C">
        <w:t xml:space="preserve"> </w:t>
      </w:r>
      <w:r w:rsidR="00494FFB" w:rsidRPr="0036007C">
        <w:t>person</w:t>
      </w:r>
      <w:r w:rsidR="00300B3E" w:rsidRPr="0036007C">
        <w:t>s</w:t>
      </w:r>
      <w:r w:rsidR="00120633" w:rsidRPr="0036007C">
        <w:t xml:space="preserve"> aged </w:t>
      </w:r>
      <w:r w:rsidR="00EB4E08" w:rsidRPr="0036007C">
        <w:t>15</w:t>
      </w:r>
      <w:r w:rsidR="00120633" w:rsidRPr="0036007C">
        <w:t xml:space="preserve"> years or over</w:t>
      </w:r>
      <w:r w:rsidRPr="0036007C">
        <w:t xml:space="preserve"> (</w:t>
      </w:r>
      <w:r w:rsidRPr="0036007C">
        <w:fldChar w:fldCharType="begin"/>
      </w:r>
      <w:r w:rsidRPr="0036007C">
        <w:instrText xml:space="preserve"> REF _Ref58336333 \h </w:instrText>
      </w:r>
      <w:r w:rsidR="00584BD1" w:rsidRPr="0036007C">
        <w:instrText xml:space="preserve"> \* MERGEFORMAT </w:instrText>
      </w:r>
      <w:r w:rsidRPr="0036007C">
        <w:fldChar w:fldCharType="separate"/>
      </w:r>
      <w:r w:rsidRPr="0036007C">
        <w:t>Table 2.6</w:t>
      </w:r>
      <w:r w:rsidRPr="0036007C">
        <w:fldChar w:fldCharType="end"/>
      </w:r>
      <w:r w:rsidRPr="0036007C">
        <w:t>).</w:t>
      </w:r>
    </w:p>
    <w:p w14:paraId="4538D50D" w14:textId="0C0E31F3" w:rsidR="001F2C0D" w:rsidRPr="0036007C" w:rsidRDefault="001F2C0D" w:rsidP="00F76882">
      <w:pPr>
        <w:pStyle w:val="Heading3"/>
      </w:pPr>
      <w:r w:rsidRPr="0036007C">
        <w:t xml:space="preserve">Health </w:t>
      </w:r>
      <w:r w:rsidR="006931E5" w:rsidRPr="0036007C">
        <w:t>p</w:t>
      </w:r>
      <w:r w:rsidRPr="0036007C">
        <w:t>romotion</w:t>
      </w:r>
    </w:p>
    <w:p w14:paraId="3B4E3556" w14:textId="16FD63AE" w:rsidR="002B7B5F" w:rsidRPr="0036007C" w:rsidRDefault="002B7B5F" w:rsidP="00F76882">
      <w:r w:rsidRPr="0036007C">
        <w:t>In 2024, 107</w:t>
      </w:r>
      <w:r w:rsidR="009A4985" w:rsidRPr="0036007C">
        <w:t xml:space="preserve"> facial cleanliness</w:t>
      </w:r>
      <w:r w:rsidRPr="0036007C">
        <w:t xml:space="preserve"> health promotion activities were delivered across 37 communities</w:t>
      </w:r>
      <w:r w:rsidR="00E764F1">
        <w:t xml:space="preserve"> (Table 2.7)</w:t>
      </w:r>
      <w:r w:rsidRPr="0036007C">
        <w:t xml:space="preserve">. Activities are conducted via collaboration among multiple stakeholders, including NT Health Trachoma Program, </w:t>
      </w:r>
      <w:r w:rsidR="004967E6" w:rsidRPr="0036007C">
        <w:t xml:space="preserve">ACCHSs, </w:t>
      </w:r>
      <w:r w:rsidRPr="0036007C">
        <w:t>Indigenous Eye Health Unit (IEHU), Regional Councils, NT Department of Education and Training</w:t>
      </w:r>
      <w:r w:rsidR="00E57F73" w:rsidRPr="0036007C">
        <w:t xml:space="preserve">, and </w:t>
      </w:r>
      <w:r w:rsidRPr="0036007C">
        <w:t xml:space="preserve">NT Department of Housing, Local Government and Community Development. </w:t>
      </w:r>
      <w:r w:rsidR="004F16E6" w:rsidRPr="0036007C">
        <w:t xml:space="preserve">Where practical, </w:t>
      </w:r>
      <w:r w:rsidRPr="0036007C">
        <w:t>health promotion activities are conducted in conjunction with trachoma screening to reinforce key messages and assist with building relationships between community members and clinical staff. Key achievements in 2024 include:</w:t>
      </w:r>
    </w:p>
    <w:p w14:paraId="4260FD7B" w14:textId="77777777" w:rsidR="002B7B5F" w:rsidRPr="0036007C" w:rsidRDefault="002B7B5F" w:rsidP="00F76882">
      <w:pPr>
        <w:pStyle w:val="TableofFigures"/>
      </w:pPr>
      <w:r w:rsidRPr="0036007C">
        <w:t>Milpa the Goanna and the “Clean Face, Strong Eyes” messaging continue to be widely recognised in Aboriginal communities. Milpa appeared in costume 21 times in 2024, with the program expanding the use of new interactive technology methods such as smartphone apps during screening and health promotion activities to enhance engagement.</w:t>
      </w:r>
    </w:p>
    <w:p w14:paraId="1DE93E56" w14:textId="5A7C27A6" w:rsidR="002B7B5F" w:rsidRPr="0036007C" w:rsidRDefault="002B7B5F" w:rsidP="00F76882">
      <w:pPr>
        <w:pStyle w:val="TableofFigures"/>
      </w:pPr>
      <w:r w:rsidRPr="0036007C">
        <w:t>NT Health Trachoma Program nurses partnered with the Department of Education</w:t>
      </w:r>
      <w:r w:rsidR="00E57F73" w:rsidRPr="0036007C">
        <w:t xml:space="preserve"> and Training</w:t>
      </w:r>
      <w:r w:rsidRPr="0036007C">
        <w:t xml:space="preserve"> to maximise coverage and assist in improving health literacy regarding trachoma and other preventable, communicable conditions in school settings. Several schools have incorporated “Clean Face, Strong Eyes” into their daily class routine, complimenting the “Blow, Breath, Cough” regime of Hearing Australia to prevent otitis media.</w:t>
      </w:r>
    </w:p>
    <w:p w14:paraId="18093D3D" w14:textId="7E542F8C" w:rsidR="002B7B5F" w:rsidRPr="0036007C" w:rsidRDefault="002B7B5F" w:rsidP="00F76882">
      <w:pPr>
        <w:pStyle w:val="TableofFigures"/>
      </w:pPr>
      <w:r w:rsidRPr="0036007C">
        <w:t xml:space="preserve">Over 600 hygiene packs were distributed in Milpa branded bags, which included personal towels and hygiene products to assist children to complete the </w:t>
      </w:r>
      <w:r w:rsidRPr="00F57624">
        <w:rPr>
          <w:rStyle w:val="Emphasis"/>
        </w:rPr>
        <w:t>Six Steps to Stop Germs</w:t>
      </w:r>
      <w:r w:rsidRPr="0036007C">
        <w:t>. These proved to be extremely popular, and there are plans to increase distribution in 2025.</w:t>
      </w:r>
      <w:r w:rsidR="00E12ECD" w:rsidRPr="0036007C">
        <w:t xml:space="preserve"> </w:t>
      </w:r>
    </w:p>
    <w:p w14:paraId="357F1864" w14:textId="6CDDB871" w:rsidR="002B7B5F" w:rsidRPr="0036007C" w:rsidRDefault="002B7B5F" w:rsidP="00F76882">
      <w:pPr>
        <w:pStyle w:val="TableofFigures"/>
      </w:pPr>
      <w:r w:rsidRPr="0036007C">
        <w:t xml:space="preserve">NT Health gifted </w:t>
      </w:r>
      <w:r w:rsidR="003C4A3E" w:rsidRPr="0036007C">
        <w:t>water, sanitation</w:t>
      </w:r>
      <w:r w:rsidR="00D4097F" w:rsidRPr="0036007C">
        <w:t xml:space="preserve">, and </w:t>
      </w:r>
      <w:r w:rsidR="003C4A3E" w:rsidRPr="0036007C">
        <w:t>hygiene (</w:t>
      </w:r>
      <w:r w:rsidRPr="0036007C">
        <w:t>WASH</w:t>
      </w:r>
      <w:r w:rsidR="003C4A3E" w:rsidRPr="0036007C">
        <w:t>)</w:t>
      </w:r>
      <w:r w:rsidRPr="0036007C">
        <w:t xml:space="preserve"> trailers to enable hand and face washing at community events including the Tidy Towns Health Expo with MacDonnell Regional Council and Healthy Home Connect event with Central Desert Regional Council, as well as during regular screening trips.</w:t>
      </w:r>
    </w:p>
    <w:p w14:paraId="67D775E3" w14:textId="77777777" w:rsidR="002B7B5F" w:rsidRPr="00F71130" w:rsidRDefault="002B7B5F" w:rsidP="00F76882">
      <w:pPr>
        <w:pStyle w:val="TableofFigures"/>
      </w:pPr>
      <w:r w:rsidRPr="00F71130">
        <w:t>The partnership between IEHU and the Melbourne Football Club continued with staff and players from the club joining health promotion and community education and engagement activities in Central Australia. A highlight was the Melbourne Football Club match in Alice Springs, which provided opportunity to engage with a broad range of community members and stakeholders.</w:t>
      </w:r>
    </w:p>
    <w:p w14:paraId="0296E570" w14:textId="77777777" w:rsidR="00AD4DCA" w:rsidRPr="00F76882" w:rsidRDefault="00AD4DCA" w:rsidP="00F76882">
      <w:r>
        <w:br w:type="page"/>
      </w:r>
    </w:p>
    <w:p w14:paraId="4FD28332" w14:textId="19E85F26" w:rsidR="002B7B5F" w:rsidRPr="0036007C" w:rsidRDefault="002B7B5F" w:rsidP="00F76882">
      <w:pPr>
        <w:pStyle w:val="Heading3"/>
      </w:pPr>
      <w:r w:rsidRPr="0036007C">
        <w:t>Environmental Health</w:t>
      </w:r>
    </w:p>
    <w:p w14:paraId="59FFE70F" w14:textId="77777777" w:rsidR="002B7B5F" w:rsidRPr="0063016C" w:rsidRDefault="002B7B5F" w:rsidP="00F76882">
      <w:pPr>
        <w:pStyle w:val="Heading4"/>
      </w:pPr>
      <w:r w:rsidRPr="0063016C">
        <w:t>Healthy Housing Officer program</w:t>
      </w:r>
    </w:p>
    <w:p w14:paraId="4A32C449" w14:textId="77777777" w:rsidR="00F76882" w:rsidRDefault="00C6114D" w:rsidP="00F76882">
      <w:r w:rsidRPr="00C6114D">
        <w:t xml:space="preserve">This program has continued in Central Australia (Alice Springs) and Katherine regions from 2023. Officers visit community homes and undertake a comprehensive audit of home health hardware. Community requests for repairs/maintenance are electronically forwarded to the relevant local/territory authority for joint communication and follow-up. Auditing activities are supported by capacity building training sessions for services working with families in remote communities. The program is a collaboration between </w:t>
      </w:r>
      <w:r w:rsidR="002B7B5F" w:rsidRPr="0036007C">
        <w:t xml:space="preserve">NT Health Trachoma Program, NT Environmental Health Central Australia team, MacDonnell and Central Desert Regional Councils, Central Australian </w:t>
      </w:r>
      <w:r w:rsidR="00A476B9" w:rsidRPr="009F1E7A">
        <w:t xml:space="preserve">Aboriginal </w:t>
      </w:r>
      <w:r w:rsidR="002B7B5F" w:rsidRPr="0036007C">
        <w:t>Congress</w:t>
      </w:r>
      <w:r w:rsidR="00D4097F" w:rsidRPr="0036007C">
        <w:t xml:space="preserve">, and </w:t>
      </w:r>
      <w:r w:rsidR="002B7B5F" w:rsidRPr="0036007C">
        <w:t>Katherine West Health Board. It is funded</w:t>
      </w:r>
      <w:r>
        <w:t xml:space="preserve"> </w:t>
      </w:r>
      <w:r w:rsidRPr="00C6114D">
        <w:t>by Fred Hollows Foundation, Rotary Districts of Australia, and IEHU.</w:t>
      </w:r>
    </w:p>
    <w:p w14:paraId="371F7921" w14:textId="54EE0496" w:rsidR="002B7B5F" w:rsidRPr="0036007C" w:rsidRDefault="002B7B5F" w:rsidP="00F76882">
      <w:r w:rsidRPr="0036007C">
        <w:t>Housing Officers and program partners were invited to jointly present on the work of the program at three conferences in 2024: the Aboriginal Housing and Homelands Conference (Alice Springs), the National Aboriginal and Torres Strait Islander Environmental Health Conference (Melbourne)</w:t>
      </w:r>
      <w:r w:rsidR="00D4097F" w:rsidRPr="0036007C">
        <w:t xml:space="preserve">, and </w:t>
      </w:r>
      <w:r w:rsidRPr="0036007C">
        <w:t>the National Aboriginal and Torres Strait Islander Eye Health Conference (</w:t>
      </w:r>
      <w:proofErr w:type="spellStart"/>
      <w:r w:rsidRPr="0036007C">
        <w:t>Nipaluna</w:t>
      </w:r>
      <w:proofErr w:type="spellEnd"/>
      <w:r w:rsidRPr="0036007C">
        <w:t>, Hobart).</w:t>
      </w:r>
    </w:p>
    <w:p w14:paraId="4D76A866" w14:textId="77777777" w:rsidR="002B7B5F" w:rsidRPr="0063016C" w:rsidRDefault="002B7B5F" w:rsidP="00F76882">
      <w:pPr>
        <w:pStyle w:val="Heading4"/>
      </w:pPr>
      <w:r w:rsidRPr="0063016C">
        <w:t>Environmental health improvement in schools</w:t>
      </w:r>
    </w:p>
    <w:p w14:paraId="5C2740D9" w14:textId="27680FE9" w:rsidR="002B7B5F" w:rsidRPr="009F1E7A" w:rsidRDefault="002B7B5F" w:rsidP="00F76882">
      <w:r w:rsidRPr="009F1E7A">
        <w:t xml:space="preserve">NT Trachoma Program utilised the IEHU’s SAFE Bathroom Checklist to aid discussion with school students and teachers about the importance of functioning health hardware in homes to prevent disease. This included helping school staff to make improvements to cleanliness and </w:t>
      </w:r>
      <w:r w:rsidR="00056FF0" w:rsidRPr="009F1E7A">
        <w:t xml:space="preserve">infrastructure </w:t>
      </w:r>
      <w:r w:rsidRPr="009F1E7A">
        <w:t>accessibility in areas where children wash their hands, faces</w:t>
      </w:r>
      <w:r w:rsidR="00D4097F" w:rsidRPr="009F1E7A">
        <w:t xml:space="preserve">, and </w:t>
      </w:r>
      <w:r w:rsidRPr="009F1E7A">
        <w:t xml:space="preserve">brush their teeth within the school. </w:t>
      </w:r>
      <w:r w:rsidR="00E42578" w:rsidRPr="009F1E7A">
        <w:t>For example,</w:t>
      </w:r>
      <w:r w:rsidRPr="009F1E7A">
        <w:t xml:space="preserve"> the program provided 18 acrylic mirrors to 10 schools in Central Australia</w:t>
      </w:r>
      <w:r w:rsidR="00E42578" w:rsidRPr="009F1E7A">
        <w:t xml:space="preserve"> in 2024</w:t>
      </w:r>
      <w:r w:rsidRPr="009F1E7A">
        <w:t>.</w:t>
      </w:r>
    </w:p>
    <w:p w14:paraId="68EF9EF8" w14:textId="77777777" w:rsidR="002B7B5F" w:rsidRPr="0063016C" w:rsidRDefault="002B7B5F" w:rsidP="00F76882">
      <w:pPr>
        <w:pStyle w:val="Heading4"/>
      </w:pPr>
      <w:r w:rsidRPr="0063016C">
        <w:t>Environmental health workforce development project</w:t>
      </w:r>
    </w:p>
    <w:p w14:paraId="4BB27DA3" w14:textId="10A0474F" w:rsidR="002B7B5F" w:rsidRPr="00FC1E83" w:rsidRDefault="00475A36" w:rsidP="00F76882">
      <w:r w:rsidRPr="0036007C">
        <w:t xml:space="preserve">In 2024, the </w:t>
      </w:r>
      <w:r w:rsidR="002B7B5F" w:rsidRPr="0036007C">
        <w:t>NT Health Trachoma Program continue</w:t>
      </w:r>
      <w:r w:rsidR="00CB4787" w:rsidRPr="0036007C">
        <w:t>d</w:t>
      </w:r>
      <w:r w:rsidR="002B7B5F" w:rsidRPr="0036007C">
        <w:t xml:space="preserve"> to fund a grant to Aboriginal Medical Services Alliance Northern Territory</w:t>
      </w:r>
      <w:r w:rsidR="00A02E75" w:rsidRPr="0036007C">
        <w:t>,</w:t>
      </w:r>
      <w:r w:rsidR="002B7B5F" w:rsidRPr="0036007C">
        <w:t xml:space="preserve"> the peak governing body for NT </w:t>
      </w:r>
      <w:r w:rsidR="00E568FE" w:rsidRPr="0036007C">
        <w:t>ACCHS</w:t>
      </w:r>
      <w:r w:rsidR="002B7B5F" w:rsidRPr="0036007C">
        <w:t>. This working partnership aims to co-design a community primary health clinic-based environmental health workforce. Stage 1 involves the development and costing of a pilot</w:t>
      </w:r>
      <w:r w:rsidR="00DC6C49" w:rsidRPr="0036007C">
        <w:t xml:space="preserve"> project proposed to be implemented</w:t>
      </w:r>
      <w:r w:rsidR="002B7B5F" w:rsidRPr="0036007C">
        <w:t xml:space="preserve"> in two communities. Project development includes role definition,</w:t>
      </w:r>
      <w:r w:rsidR="00860ED5" w:rsidRPr="0036007C">
        <w:t xml:space="preserve"> identifying</w:t>
      </w:r>
      <w:r w:rsidR="002B7B5F" w:rsidRPr="0036007C">
        <w:t xml:space="preserve"> training and mentoring opportunities, </w:t>
      </w:r>
      <w:r w:rsidR="00860ED5" w:rsidRPr="0036007C">
        <w:t xml:space="preserve">as well as designing the </w:t>
      </w:r>
      <w:r w:rsidR="002B7B5F" w:rsidRPr="0036007C">
        <w:t>employment model, management structure, data collection systems</w:t>
      </w:r>
      <w:r w:rsidR="00D4097F" w:rsidRPr="0036007C">
        <w:t xml:space="preserve">, and </w:t>
      </w:r>
      <w:r w:rsidR="002B7B5F" w:rsidRPr="0036007C">
        <w:t xml:space="preserve">evaluation. An expert panel to guide </w:t>
      </w:r>
      <w:r w:rsidR="0075504C" w:rsidRPr="0036007C">
        <w:t xml:space="preserve">development </w:t>
      </w:r>
      <w:r w:rsidR="002B7B5F" w:rsidRPr="0036007C">
        <w:t>has been appointed, including environmental health experts and researchers, primary and public health clinicians, Aboriginal health professionals</w:t>
      </w:r>
      <w:r w:rsidR="00D4097F" w:rsidRPr="0036007C">
        <w:t xml:space="preserve">, and </w:t>
      </w:r>
      <w:r w:rsidR="002B7B5F" w:rsidRPr="0036007C">
        <w:t>workforce specialists. Funding opportunities are currently being explored to commence the initiative.</w:t>
      </w:r>
    </w:p>
    <w:p w14:paraId="198AC57C" w14:textId="766B4699" w:rsidR="002B7B5F" w:rsidRPr="0036007C" w:rsidRDefault="002B7B5F" w:rsidP="00F76882">
      <w:r w:rsidRPr="0036007C">
        <w:t xml:space="preserve">As a subset of this initiative, NT Health Trachoma Program has supported a Master of Applied Epidemiology student to develop automated reports of presentations </w:t>
      </w:r>
      <w:r w:rsidR="00590F73" w:rsidRPr="0036007C">
        <w:t xml:space="preserve">to </w:t>
      </w:r>
      <w:r w:rsidRPr="0036007C">
        <w:t>NT</w:t>
      </w:r>
      <w:r w:rsidR="004951BA" w:rsidRPr="0036007C">
        <w:t xml:space="preserve"> Government</w:t>
      </w:r>
      <w:r w:rsidRPr="0036007C">
        <w:t xml:space="preserve"> remote </w:t>
      </w:r>
      <w:r w:rsidR="004951BA" w:rsidRPr="0036007C">
        <w:t>p</w:t>
      </w:r>
      <w:r w:rsidRPr="0036007C">
        <w:t xml:space="preserve">rimary </w:t>
      </w:r>
      <w:r w:rsidR="004951BA" w:rsidRPr="0036007C">
        <w:t>h</w:t>
      </w:r>
      <w:r w:rsidRPr="0036007C">
        <w:t xml:space="preserve">ealth </w:t>
      </w:r>
      <w:r w:rsidR="004951BA" w:rsidRPr="0036007C">
        <w:t>c</w:t>
      </w:r>
      <w:r w:rsidRPr="0036007C">
        <w:t>are clinics</w:t>
      </w:r>
      <w:r w:rsidR="00590F73" w:rsidRPr="0036007C">
        <w:t xml:space="preserve"> related to poor environmental conditions</w:t>
      </w:r>
      <w:r w:rsidRPr="0036007C">
        <w:t>. These reports will be used in the future to monitor levels of presentations of trachoma and other environmentally attributable conditions, and to evaluate the impact of the workforce development project.</w:t>
      </w:r>
    </w:p>
    <w:p w14:paraId="7BC6F5C4" w14:textId="77777777" w:rsidR="002B7B5F" w:rsidRPr="0036007C" w:rsidRDefault="002B7B5F" w:rsidP="00F76882">
      <w:pPr>
        <w:pStyle w:val="Heading4"/>
      </w:pPr>
      <w:r w:rsidRPr="0036007C">
        <w:t xml:space="preserve">Coordination </w:t>
      </w:r>
    </w:p>
    <w:p w14:paraId="1ACF6A99" w14:textId="25E2EEEE" w:rsidR="002B7B5F" w:rsidRPr="0036007C" w:rsidRDefault="002B7B5F" w:rsidP="00F76882">
      <w:r w:rsidRPr="000B6DBD">
        <w:rPr>
          <w:rStyle w:val="IntenseEmphasis"/>
        </w:rPr>
        <w:t>National Partnership Agreement for Remote Housing</w:t>
      </w:r>
      <w:r w:rsidRPr="003D3BBA">
        <w:rPr>
          <w:rStyle w:val="IntenseEmphasis"/>
        </w:rPr>
        <w:t xml:space="preserve"> Joint Steering Committee</w:t>
      </w:r>
      <w:r w:rsidRPr="00F76882">
        <w:t>:</w:t>
      </w:r>
      <w:r w:rsidRPr="0036007C">
        <w:t xml:space="preserve"> the NT Health Trachoma Program was invited to join the Design and Procurement Working Group of the Joint Steering Committee to enhanc</w:t>
      </w:r>
      <w:r w:rsidR="00627087" w:rsidRPr="0036007C">
        <w:t>e</w:t>
      </w:r>
      <w:r w:rsidRPr="0036007C">
        <w:t xml:space="preserve"> intersectoral collaboration between health and housing sectors. This group focuses on improving community control over house design, enhanced specifications for health hardware, a</w:t>
      </w:r>
      <w:r w:rsidR="00C2739A" w:rsidRPr="0036007C">
        <w:t>s well as</w:t>
      </w:r>
      <w:r w:rsidRPr="0036007C">
        <w:t xml:space="preserve"> increasing access to better performing WASH facilities, greater thermal comfort</w:t>
      </w:r>
      <w:r w:rsidR="00D4097F" w:rsidRPr="0036007C">
        <w:t xml:space="preserve">, and </w:t>
      </w:r>
      <w:r w:rsidRPr="0036007C">
        <w:t xml:space="preserve">better indoor air quality in homes. </w:t>
      </w:r>
      <w:r w:rsidR="00D61531" w:rsidRPr="0036007C">
        <w:t>Other</w:t>
      </w:r>
      <w:r w:rsidRPr="0036007C">
        <w:t xml:space="preserve"> members </w:t>
      </w:r>
      <w:r w:rsidR="00D61531" w:rsidRPr="0036007C">
        <w:t>include</w:t>
      </w:r>
      <w:r w:rsidRPr="0036007C">
        <w:t xml:space="preserve"> Aboriginal Housing NT, Land Councils, National Indigenous Australians Agency, NT Department of Housing, Local Government and Community Development</w:t>
      </w:r>
      <w:r w:rsidR="00D4097F" w:rsidRPr="0036007C">
        <w:t xml:space="preserve">, and </w:t>
      </w:r>
      <w:r w:rsidRPr="0036007C">
        <w:t>the NT Department of Logistics and Infrastructure.</w:t>
      </w:r>
    </w:p>
    <w:p w14:paraId="223935F1" w14:textId="3F96A957" w:rsidR="002B7B5F" w:rsidRPr="0036007C" w:rsidRDefault="002B7B5F" w:rsidP="00F76882">
      <w:r w:rsidRPr="003D3BBA">
        <w:rPr>
          <w:rStyle w:val="IntenseEmphasis"/>
        </w:rPr>
        <w:t>NT Trachoma Group</w:t>
      </w:r>
      <w:r w:rsidRPr="00F76882">
        <w:t xml:space="preserve"> has a</w:t>
      </w:r>
      <w:r w:rsidRPr="0036007C">
        <w:t xml:space="preserve"> Central Australian focus and was historically run by the NT Health Trachoma Program. Administration has now </w:t>
      </w:r>
      <w:r w:rsidR="00D61531" w:rsidRPr="0036007C">
        <w:t>transferred</w:t>
      </w:r>
      <w:r w:rsidR="00AA3694" w:rsidRPr="0036007C">
        <w:t xml:space="preserve"> to</w:t>
      </w:r>
      <w:r w:rsidRPr="0036007C">
        <w:t xml:space="preserve"> the Fred Hollows Foundation.</w:t>
      </w:r>
      <w:r w:rsidR="00E12ECD" w:rsidRPr="0036007C">
        <w:t xml:space="preserve"> </w:t>
      </w:r>
      <w:r w:rsidRPr="0036007C">
        <w:t xml:space="preserve">The </w:t>
      </w:r>
      <w:r w:rsidR="00AA3694" w:rsidRPr="0036007C">
        <w:t xml:space="preserve">NT Trachoma </w:t>
      </w:r>
      <w:r w:rsidRPr="0036007C">
        <w:t>Group meets monthly and brings together key organisations working in the trachoma space, providing a platform for information sharing and coordination of remote trips, activities</w:t>
      </w:r>
      <w:r w:rsidR="00D4097F" w:rsidRPr="0036007C">
        <w:t xml:space="preserve">, and </w:t>
      </w:r>
      <w:r w:rsidRPr="0036007C">
        <w:t>resources.</w:t>
      </w:r>
    </w:p>
    <w:p w14:paraId="61AE5D7B" w14:textId="3BAFDC90" w:rsidR="001C7C70" w:rsidRPr="00F76882" w:rsidRDefault="002B7B5F" w:rsidP="00F76882">
      <w:r w:rsidRPr="003D3BBA">
        <w:rPr>
          <w:rStyle w:val="IntenseEmphasis"/>
        </w:rPr>
        <w:t>Central Australia Environmental Health Working Group</w:t>
      </w:r>
      <w:r w:rsidRPr="0036007C">
        <w:t xml:space="preserve"> is based in Central Australia and Barkly, with coordination provided by IEHU. Members include the NT Government Departments of Health, Education, Housing and Infrastructure, Aboriginal Medical Services Alliance Northern Territory and its local member</w:t>
      </w:r>
      <w:r w:rsidR="00BB5DD2" w:rsidRPr="0036007C">
        <w:t xml:space="preserve"> organisation</w:t>
      </w:r>
      <w:r w:rsidRPr="0036007C">
        <w:t>s, and regional councils. The group meets quarterly to share information, coordinate</w:t>
      </w:r>
      <w:r w:rsidR="000A64E1" w:rsidRPr="0036007C">
        <w:t xml:space="preserve">, and </w:t>
      </w:r>
      <w:r w:rsidRPr="0036007C">
        <w:t>support environmental improvement projects in remote communities to eliminate trachoma. In 2024</w:t>
      </w:r>
      <w:r w:rsidR="00D2478A" w:rsidRPr="0036007C">
        <w:t>,</w:t>
      </w:r>
      <w:r w:rsidRPr="0036007C">
        <w:t xml:space="preserve"> the group has concentrated on advocacy around improving health hardware maintenance and reducing crowding in remote communities.</w:t>
      </w:r>
      <w:r w:rsidR="001C7C70" w:rsidRPr="0036007C">
        <w:br w:type="page"/>
      </w:r>
    </w:p>
    <w:p w14:paraId="16613883" w14:textId="2C80BBB8" w:rsidR="006F32BC" w:rsidRPr="00174EA5" w:rsidRDefault="006F32BC" w:rsidP="00F76882">
      <w:pPr>
        <w:pStyle w:val="Heading2"/>
      </w:pPr>
      <w:bookmarkStart w:id="230" w:name="_Toc203986547"/>
      <w:bookmarkStart w:id="231" w:name="_Toc215236957"/>
      <w:r w:rsidRPr="00174EA5">
        <w:t>Figures and Tables – Northern Territory</w:t>
      </w:r>
      <w:bookmarkEnd w:id="230"/>
      <w:bookmarkEnd w:id="231"/>
    </w:p>
    <w:p w14:paraId="4B10D6EB" w14:textId="56D49979" w:rsidR="00650E5F" w:rsidRPr="0036007C" w:rsidRDefault="006F32BC" w:rsidP="00F76882">
      <w:pPr>
        <w:pStyle w:val="FigureHeadings"/>
      </w:pPr>
      <w:bookmarkStart w:id="232" w:name="_Toc215237050"/>
      <w:r w:rsidRPr="0036007C">
        <w:t xml:space="preserve">Figure </w:t>
      </w:r>
      <w:r w:rsidR="00AA2718" w:rsidRPr="0036007C">
        <w:t>2</w:t>
      </w:r>
      <w:r w:rsidRPr="0036007C">
        <w:t>.</w:t>
      </w:r>
      <w:r w:rsidRPr="0036007C">
        <w:fldChar w:fldCharType="begin"/>
      </w:r>
      <w:r w:rsidRPr="0036007C">
        <w:instrText>SEQ Figure \* ARABIC \s 1</w:instrText>
      </w:r>
      <w:r w:rsidRPr="0036007C">
        <w:fldChar w:fldCharType="separate"/>
      </w:r>
      <w:r w:rsidRPr="0036007C">
        <w:t>1</w:t>
      </w:r>
      <w:r w:rsidRPr="0036007C">
        <w:fldChar w:fldCharType="end"/>
      </w:r>
      <w:r w:rsidRPr="0036007C">
        <w:tab/>
      </w:r>
      <w:r w:rsidR="00E01DAC" w:rsidRPr="0036007C">
        <w:t>Overall trachoma prevalence in children aged 5</w:t>
      </w:r>
      <w:r w:rsidR="003D00CE" w:rsidRPr="0036007C">
        <w:t>–</w:t>
      </w:r>
      <w:r w:rsidR="00E01DAC" w:rsidRPr="0036007C">
        <w:t>9 years by region</w:t>
      </w:r>
      <w:r w:rsidRPr="0036007C">
        <w:t>, Northern Territory</w:t>
      </w:r>
      <w:r w:rsidR="006C7B9C" w:rsidRPr="0036007C">
        <w:t>,</w:t>
      </w:r>
      <w:r w:rsidRPr="0036007C">
        <w:t xml:space="preserve"> </w:t>
      </w:r>
      <w:r w:rsidR="00E76BB4" w:rsidRPr="0036007C">
        <w:t>202</w:t>
      </w:r>
      <w:r w:rsidR="001C7C70" w:rsidRPr="0036007C">
        <w:t>4</w:t>
      </w:r>
      <w:bookmarkEnd w:id="232"/>
    </w:p>
    <w:p w14:paraId="48C552C1" w14:textId="335D5DE5" w:rsidR="00046C9F" w:rsidRPr="00F76882" w:rsidRDefault="0061621F" w:rsidP="00F76882">
      <w:bookmarkStart w:id="233" w:name="_Ref58329639"/>
      <w:r w:rsidRPr="00F76882">
        <w:drawing>
          <wp:inline distT="0" distB="0" distL="0" distR="0" wp14:anchorId="1FE7E63F" wp14:editId="6D0DC2F7">
            <wp:extent cx="5503545" cy="8423564"/>
            <wp:effectExtent l="0" t="0" r="0" b="0"/>
            <wp:docPr id="1347322475" name="Picture 5" descr="Overall trachoma prevalence in children aged 5–9 years by region, Northern Territory, 2024&#10;Figure 2.1 is a map of the Northern Territory that visualises regional overall trachoma prevalence in five categories. The regions of Barkly, Darwin Rural, and Katherine have greater than zero but less than 5% overall trachoma prevalence. Alice Springs Remote region has greater than 5% but less than 10% overall trachoma prevalence. The East Arnhem region is not at-risk of tracho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22475" name="Picture 5" descr="Overall trachoma prevalence in children aged 5–9 years by region, Northern Territory, 2024&#10;Figure 2.1 is a map of the Northern Territory that visualises regional overall trachoma prevalence in five categories. The regions of Barkly, Darwin Rural, and Katherine have greater than zero but less than 5% overall trachoma prevalence. Alice Springs Remote region has greater than 5% but less than 10% overall trachoma prevalence. The East Arnhem region is not at-risk of trachoma.&#10;"/>
                    <pic:cNvPicPr/>
                  </pic:nvPicPr>
                  <pic:blipFill rotWithShape="1">
                    <a:blip r:embed="rId28"/>
                    <a:srcRect t="5814" b="6512"/>
                    <a:stretch/>
                  </pic:blipFill>
                  <pic:spPr bwMode="auto">
                    <a:xfrm>
                      <a:off x="0" y="0"/>
                      <a:ext cx="5506319" cy="8427810"/>
                    </a:xfrm>
                    <a:prstGeom prst="rect">
                      <a:avLst/>
                    </a:prstGeom>
                    <a:ln>
                      <a:noFill/>
                    </a:ln>
                    <a:extLst>
                      <a:ext uri="{53640926-AAD7-44D8-BBD7-CCE9431645EC}">
                        <a14:shadowObscured xmlns:a14="http://schemas.microsoft.com/office/drawing/2010/main"/>
                      </a:ext>
                    </a:extLst>
                  </pic:spPr>
                </pic:pic>
              </a:graphicData>
            </a:graphic>
          </wp:inline>
        </w:drawing>
      </w:r>
    </w:p>
    <w:p w14:paraId="6011DB46" w14:textId="7D1FAC16" w:rsidR="006F32BC" w:rsidRPr="0036007C" w:rsidRDefault="00106E8C" w:rsidP="00F76882">
      <w:pPr>
        <w:pStyle w:val="FigureHeadings"/>
      </w:pPr>
      <w:r w:rsidRPr="0036007C">
        <w:br w:type="page"/>
      </w:r>
      <w:bookmarkStart w:id="234" w:name="_Toc215237051"/>
      <w:r w:rsidR="006F32BC" w:rsidRPr="0036007C">
        <w:t xml:space="preserve">Figure </w:t>
      </w:r>
      <w:r w:rsidR="00AA2718" w:rsidRPr="0036007C">
        <w:t>2.2</w:t>
      </w:r>
      <w:bookmarkEnd w:id="233"/>
      <w:r w:rsidR="006F32BC" w:rsidRPr="0036007C">
        <w:tab/>
        <w:t>Number of at-risk communities</w:t>
      </w:r>
      <w:r w:rsidR="00D243BD" w:rsidRPr="0036007C">
        <w:t>*</w:t>
      </w:r>
      <w:r w:rsidR="006F32BC" w:rsidRPr="0036007C">
        <w:t xml:space="preserve"> by region, Northern Territory</w:t>
      </w:r>
      <w:r w:rsidR="001937AB" w:rsidRPr="0036007C">
        <w:t>,</w:t>
      </w:r>
      <w:r w:rsidR="006F32BC" w:rsidRPr="0036007C">
        <w:t xml:space="preserve"> 2007</w:t>
      </w:r>
      <w:r w:rsidR="003D00CE" w:rsidRPr="0036007C">
        <w:t>–</w:t>
      </w:r>
      <w:r w:rsidR="00E76BB4" w:rsidRPr="0036007C">
        <w:t>202</w:t>
      </w:r>
      <w:r w:rsidR="001C7C70" w:rsidRPr="0036007C">
        <w:t>4</w:t>
      </w:r>
      <w:bookmarkEnd w:id="234"/>
    </w:p>
    <w:p w14:paraId="2815E778" w14:textId="147E7970" w:rsidR="006F32BC" w:rsidRPr="00C002DA" w:rsidRDefault="004B5A53" w:rsidP="00F76882">
      <w:r w:rsidRPr="00C002DA">
        <w:drawing>
          <wp:inline distT="0" distB="0" distL="0" distR="0" wp14:anchorId="53058A43" wp14:editId="5BD299B9">
            <wp:extent cx="6285295" cy="3513150"/>
            <wp:effectExtent l="0" t="0" r="1270" b="5080"/>
            <wp:docPr id="1979544357" name="Chart 1" descr="Number of at-risk communities by region, Northern Territory, 2007–2024&#10;Figure 2.2 is a line graph for five regions with number of communities on the Y-axis and year on the X-axis.&#10;In the Alice Springs Remote region, the number of at-risk communities has somewhat declined from 31 at-risk communities in 2007 to 27 in 2024.&#10;In the Barkly region, the number of at-risk communities has remained fairly consistent, with eight at-risk communities in 2007 and 10 in 2024.&#10;In the Darwin Rural region, the number of at-risk communities remained generally stable from 2007 to 2016 at between 11 to 15 communities, before rapidly declining to at or close to zero since 2020.&#10;In the East Arnhem region, the number of at-risk communities declined slightly from 12 in 2007 to nine in 2014-2016, followed by a steady drop to no at-risk communities from 2021.&#10;In the Katherine region, the number of at-risk communities gradually declined from 22 in 2007 to 16 in 2018-19, before dropping sharply to between seven to nine communities from 2020.&#10;">
              <a:extLst xmlns:a="http://schemas.openxmlformats.org/drawingml/2006/main">
                <a:ext uri="{FF2B5EF4-FFF2-40B4-BE49-F238E27FC236}">
                  <a16:creationId xmlns:a16="http://schemas.microsoft.com/office/drawing/2014/main" id="{538A23A1-A4A8-44A0-99C9-EEBFC4BFE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C8EFD02" w14:textId="7E7717EB" w:rsidR="00D243BD" w:rsidRPr="00A33DD2" w:rsidRDefault="00D243BD" w:rsidP="00F76882">
      <w:pPr>
        <w:pStyle w:val="tablefigfootnote"/>
      </w:pPr>
      <w:r w:rsidRPr="00A33DD2">
        <w:t>* 202</w:t>
      </w:r>
      <w:r w:rsidR="00CA1424" w:rsidRPr="00A33DD2">
        <w:t>4 data points</w:t>
      </w:r>
      <w:r w:rsidRPr="00A33DD2">
        <w:t xml:space="preserve"> includ</w:t>
      </w:r>
      <w:r w:rsidR="00CA1424" w:rsidRPr="00A33DD2">
        <w:t>e</w:t>
      </w:r>
      <w:r w:rsidRPr="00A33DD2">
        <w:t xml:space="preserve"> communities identified for evidence confirmation screening for final-year dossier validation surveillance (refer to Findings and interpretation).</w:t>
      </w:r>
    </w:p>
    <w:p w14:paraId="2D774493" w14:textId="1C00E38A" w:rsidR="00471572" w:rsidRPr="0036007C" w:rsidRDefault="006F32BC" w:rsidP="00F76882">
      <w:pPr>
        <w:pStyle w:val="FigureHeadings"/>
      </w:pPr>
      <w:bookmarkStart w:id="235" w:name="_Ref58329654"/>
      <w:bookmarkStart w:id="236" w:name="_Toc215237052"/>
      <w:r w:rsidRPr="0036007C">
        <w:t xml:space="preserve">Figure </w:t>
      </w:r>
      <w:bookmarkEnd w:id="235"/>
      <w:r w:rsidR="00B9209A" w:rsidRPr="0036007C">
        <w:t>2.3</w:t>
      </w:r>
      <w:r w:rsidRPr="0036007C">
        <w:tab/>
      </w:r>
      <w:r w:rsidR="007459E6" w:rsidRPr="0036007C">
        <w:t>Number of at-risk communities according to trachoma control strategy implemented by region</w:t>
      </w:r>
      <w:r w:rsidRPr="0036007C">
        <w:t>, Northern Territory</w:t>
      </w:r>
      <w:r w:rsidR="001937AB" w:rsidRPr="0036007C">
        <w:t>,</w:t>
      </w:r>
      <w:r w:rsidRPr="0036007C">
        <w:t xml:space="preserve"> </w:t>
      </w:r>
      <w:r w:rsidR="00E76BB4" w:rsidRPr="0036007C">
        <w:t>202</w:t>
      </w:r>
      <w:r w:rsidR="001C7C70" w:rsidRPr="0036007C">
        <w:t>4</w:t>
      </w:r>
      <w:bookmarkEnd w:id="236"/>
    </w:p>
    <w:p w14:paraId="14884B91" w14:textId="7CA36C5A" w:rsidR="00982287" w:rsidRPr="003D3BBA" w:rsidRDefault="008470E3" w:rsidP="00F76882">
      <w:r w:rsidRPr="003D3BBA">
        <w:drawing>
          <wp:inline distT="0" distB="0" distL="0" distR="0" wp14:anchorId="2480A92A" wp14:editId="1D05CBA0">
            <wp:extent cx="5927300" cy="4089600"/>
            <wp:effectExtent l="0" t="0" r="0" b="6350"/>
            <wp:docPr id="561617138" name="Chart 1" descr="Number of at-risk communities according to trachoma control strategy implemented by region, Northern Territory, 2024 &#10;Figure 2.3 is a stacked bar graph with number of communities on the Y-axis and region on the X-axis.&#10;The Alice Springs column indicates that of the 27 at-risk communities in the region:&#10;One was not screened or treated;&#10;15 were screened and no treatment was required; and&#10;11 were screened and treated.&#10;The Barkly column indicates that of the 10 at-risk communities in the region:&#10;Two were not screened or treated;&#10;Seven were screened and no treatment was required; and &#10;One was screened and treated.&#10;The Darwin Rural column indicates that of the two at-risk communities in the region:&#10;One was screened and no treatment was required; and&#10;One was screened and treated.&#10;The Katherine column indicates that of the nine at-risk communities in the region:&#10;Four were screened and no treatment was required; and&#10;Five were screened and treated.">
              <a:extLst xmlns:a="http://schemas.openxmlformats.org/drawingml/2006/main">
                <a:ext uri="{FF2B5EF4-FFF2-40B4-BE49-F238E27FC236}">
                  <a16:creationId xmlns:a16="http://schemas.microsoft.com/office/drawing/2014/main" id="{3951B650-69D6-B41A-4843-4800EFB04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CE9E213" w14:textId="5DC59BD0" w:rsidR="006F32BC" w:rsidRPr="0036007C" w:rsidRDefault="006F32BC" w:rsidP="00F76882">
      <w:pPr>
        <w:pStyle w:val="FigureHeadings"/>
      </w:pPr>
      <w:bookmarkStart w:id="237" w:name="_Ref58329800"/>
      <w:bookmarkStart w:id="238" w:name="_Toc215237053"/>
      <w:r w:rsidRPr="0036007C">
        <w:t xml:space="preserve">Figure </w:t>
      </w:r>
      <w:bookmarkEnd w:id="237"/>
      <w:r w:rsidR="00B9209A" w:rsidRPr="0036007C">
        <w:t>2.</w:t>
      </w:r>
      <w:r w:rsidR="00CA193A" w:rsidRPr="0036007C">
        <w:t>4</w:t>
      </w:r>
      <w:r w:rsidRPr="0036007C">
        <w:tab/>
        <w:t>Proportion of screened children aged 5</w:t>
      </w:r>
      <w:r w:rsidR="003D00CE" w:rsidRPr="0036007C">
        <w:t>–</w:t>
      </w:r>
      <w:r w:rsidRPr="0036007C">
        <w:t>9 years who had a clean face by region, Northern Territory</w:t>
      </w:r>
      <w:r w:rsidR="001937AB" w:rsidRPr="0036007C">
        <w:t>,</w:t>
      </w:r>
      <w:r w:rsidRPr="0036007C">
        <w:t xml:space="preserve"> 2007</w:t>
      </w:r>
      <w:r w:rsidR="003D00CE" w:rsidRPr="0036007C">
        <w:t>–</w:t>
      </w:r>
      <w:r w:rsidR="00E76BB4" w:rsidRPr="0036007C">
        <w:t>202</w:t>
      </w:r>
      <w:r w:rsidR="001C7C70" w:rsidRPr="0036007C">
        <w:t>4</w:t>
      </w:r>
      <w:bookmarkEnd w:id="238"/>
    </w:p>
    <w:p w14:paraId="735D9454" w14:textId="56EE059B" w:rsidR="006F32BC" w:rsidRPr="00F76882" w:rsidRDefault="00A1785F" w:rsidP="00F76882">
      <w:r w:rsidRPr="003D3BBA">
        <w:drawing>
          <wp:inline distT="0" distB="0" distL="0" distR="0" wp14:anchorId="4471370A" wp14:editId="023B3D2C">
            <wp:extent cx="6300000" cy="3456000"/>
            <wp:effectExtent l="0" t="0" r="5715" b="0"/>
            <wp:docPr id="535322945" name="Chart 1" descr="Proportion of screened children aged 5–9 years who had a clean face by region, Northern Territory, 2007–2024 &#10;Figure 2.4 is a line graph for five regions with proportion on the Y-axis and year on the X-axis.&#10;In the Alice Springs Remote region, the proportion of children with clean faces has increased overall in a wave-like pattern from 56% in 2007 to 71% in 2024.&#10;In the Barkly region, initially there was a large drop in the proportion of children with clean faces from 100% in 2007 to 57% in 2008, but proportions have generally risen since, with 72% of screened children having clean faces in 2024.&#10;In the Darwin Rural region, the proportion of children with clean faces has generally remained between 80% to 100% from 2007 to 2024.&#10;In the East Arnhem region, the proportion of children with clean faces has generally remained between 80% to 100% from 2007 to 2020 (last screening).&#10;In the Katherine region, the proportion of children with clean faces has decreased overall from 100% in 2007 to 87% in 2024, with a recent sharp drop to 38% in 2023.&#10;">
              <a:extLst xmlns:a="http://schemas.openxmlformats.org/drawingml/2006/main">
                <a:ext uri="{FF2B5EF4-FFF2-40B4-BE49-F238E27FC236}">
                  <a16:creationId xmlns:a16="http://schemas.microsoft.com/office/drawing/2014/main" id="{248C951A-A224-45C2-8954-356304BE6D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bookmarkStart w:id="239" w:name="Figure26a"/>
    </w:p>
    <w:p w14:paraId="7781919E" w14:textId="277B0E9B" w:rsidR="00B025D0" w:rsidRPr="0036007C" w:rsidRDefault="006F32BC" w:rsidP="00F76882">
      <w:pPr>
        <w:pStyle w:val="FigureHeadings"/>
      </w:pPr>
      <w:bookmarkStart w:id="240" w:name="_Ref58329816"/>
      <w:bookmarkStart w:id="241" w:name="_Toc215237054"/>
      <w:bookmarkEnd w:id="239"/>
      <w:r w:rsidRPr="0036007C">
        <w:t xml:space="preserve">Figure </w:t>
      </w:r>
      <w:bookmarkEnd w:id="240"/>
      <w:r w:rsidR="00B9209A" w:rsidRPr="0036007C">
        <w:t>2.</w:t>
      </w:r>
      <w:r w:rsidR="00CA193A" w:rsidRPr="0036007C">
        <w:t>5</w:t>
      </w:r>
      <w:r w:rsidRPr="0036007C">
        <w:t xml:space="preserve">a </w:t>
      </w:r>
      <w:r w:rsidRPr="0036007C">
        <w:tab/>
      </w:r>
      <w:r w:rsidR="007459E6" w:rsidRPr="0036007C">
        <w:t>Observed prevalence of clinical findings consistent with trachomatous inflammation</w:t>
      </w:r>
      <w:r w:rsidR="00EE57E2" w:rsidRPr="0036007C">
        <w:t>—</w:t>
      </w:r>
      <w:r w:rsidR="007459E6" w:rsidRPr="0036007C">
        <w:t>follicular/intense</w:t>
      </w:r>
      <w:r w:rsidR="00AC43EF" w:rsidRPr="0036007C">
        <w:t>*</w:t>
      </w:r>
      <w:r w:rsidR="007459E6" w:rsidRPr="0036007C">
        <w:t xml:space="preserve"> among screened children aged 5</w:t>
      </w:r>
      <w:r w:rsidR="003D00CE" w:rsidRPr="0036007C">
        <w:t>–</w:t>
      </w:r>
      <w:r w:rsidR="007459E6" w:rsidRPr="0036007C">
        <w:t>9 years by region</w:t>
      </w:r>
      <w:r w:rsidRPr="0036007C">
        <w:t>, Northern Territory</w:t>
      </w:r>
      <w:r w:rsidR="001937AB" w:rsidRPr="0036007C">
        <w:t>,</w:t>
      </w:r>
      <w:r w:rsidRPr="0036007C">
        <w:t xml:space="preserve"> 2007</w:t>
      </w:r>
      <w:r w:rsidR="003D00CE" w:rsidRPr="0036007C">
        <w:t>–</w:t>
      </w:r>
      <w:r w:rsidR="00E76BB4" w:rsidRPr="0036007C">
        <w:t>202</w:t>
      </w:r>
      <w:r w:rsidR="001C7C70" w:rsidRPr="0036007C">
        <w:t>4</w:t>
      </w:r>
      <w:bookmarkEnd w:id="241"/>
    </w:p>
    <w:p w14:paraId="1A378D4B" w14:textId="77777777" w:rsidR="00D26F93" w:rsidRDefault="00D26F93" w:rsidP="00F76882">
      <w:pPr>
        <w:pStyle w:val="FootnoteText"/>
      </w:pPr>
      <w:bookmarkStart w:id="242" w:name="_Toc520298391"/>
      <w:r>
        <w:rPr>
          <w:noProof/>
        </w:rPr>
        <w:drawing>
          <wp:inline distT="0" distB="0" distL="0" distR="0" wp14:anchorId="1C3123A1" wp14:editId="1D1B28D0">
            <wp:extent cx="6247369" cy="3200400"/>
            <wp:effectExtent l="0" t="0" r="1270" b="0"/>
            <wp:docPr id="825462666" name="Chart 5" descr="Observed prevalence of clinical findings consistent with trachomatous inflammation—follicular/intense among screened children aged 5–9 years by region, Northern Territory, 2007–2024 &#10;&#10;Figure 2.5a is a line graph for five regions with proportion on the Y-axis and year on the X-axis.&#10;&#10;In the Alice Springs Remote region, observed trachoma prevalence initially increased from 22% in 2007 to 33% between 2008-2010, but since then has generally declined, albeit with some wide yearly fluctuations, to 4.8% in 2024.&#10;&#10;In the Barkly region, observed trachoma prevalence has declined overall from 30% in 2007 to 0.4% in 2024, although two large spikes in prevalence were recorded in 2008 and 2014.&#10;&#10;In the Darwin Rural region, observed trachoma prevalence briefly increased from 7% in 2007 to 21% in 2008. After this, yearly figures declined to around 0-2% from 2012, apart from a brief spike in 2021.&#10;&#10;In the East Arnhem region, observed trachoma prevalence declined overall from 6% in 2007 to remain at 0% from 2017 to 2020 (last screening).&#10;&#10;In the Katherine region, observed trachoma prevalence briefly increased from 20% in 2007 to 43% in 2008, after which prevalence markedly declined, reaching 0% in 2017 and 2018. Since then, observed prevalence has generally increased to around 10-13% from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8E6E123" w14:textId="2845D636" w:rsidR="00B025D0" w:rsidRPr="008F73C4" w:rsidRDefault="00AC43EF" w:rsidP="00F76882">
      <w:pPr>
        <w:pStyle w:val="FootnoteText"/>
        <w:rPr>
          <w:rStyle w:val="FootnoteTextChar"/>
        </w:rPr>
      </w:pPr>
      <w:r w:rsidRPr="0036007C">
        <w:t>*According to WHO simplified trachoma grading criteria</w:t>
      </w:r>
      <w:r w:rsidRPr="0036007C">
        <w:fldChar w:fldCharType="begin">
          <w:fldData xml:space="preserve">PEVuZE5vdGU+PENpdGU+PEF1dGhvcj5Tb2xvbW9uPC9BdXRob3I+PFllYXI+MjAyMDwvWWVhcj48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</w:fldData>
        </w:fldChar>
      </w:r>
      <w:r w:rsidRPr="0036007C">
        <w:instrText xml:space="preserve"> ADDIN EN.CITE </w:instrText>
      </w:r>
      <w:r w:rsidRPr="0036007C">
        <w:fldChar w:fldCharType="begin">
          <w:fldData xml:space="preserve">PEVuZE5vdGU+PENpdGU+PEF1dGhvcj5Tb2xvbW9uPC9BdXRob3I+PFllYXI+MjAyMDwvWWVhcj48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</w:fldData>
        </w:fldChar>
      </w:r>
      <w:r w:rsidRPr="0036007C">
        <w:instrText xml:space="preserve"> ADDIN EN.CITE.DATA </w:instrText>
      </w:r>
      <w:r w:rsidRPr="0036007C">
        <w:fldChar w:fldCharType="end"/>
      </w:r>
      <w:r w:rsidRPr="0036007C">
        <w:fldChar w:fldCharType="separate"/>
      </w:r>
      <w:r w:rsidRPr="00495326">
        <w:rPr>
          <w:rStyle w:val="SuperscriptChar"/>
        </w:rPr>
        <w:t>2</w:t>
      </w:r>
      <w:r w:rsidRPr="0036007C">
        <w:fldChar w:fldCharType="end"/>
      </w:r>
    </w:p>
    <w:p w14:paraId="4F883E15" w14:textId="6B30F1F8" w:rsidR="006F32BC" w:rsidRPr="0036007C" w:rsidRDefault="006F32BC" w:rsidP="00F76882">
      <w:pPr>
        <w:pStyle w:val="FigureHeadings"/>
      </w:pPr>
      <w:bookmarkStart w:id="243" w:name="_Toc215237055"/>
      <w:r w:rsidRPr="0036007C">
        <w:t>Figure 2.</w:t>
      </w:r>
      <w:r w:rsidR="00CA193A" w:rsidRPr="0036007C">
        <w:t>5</w:t>
      </w:r>
      <w:r w:rsidRPr="0036007C">
        <w:t>b</w:t>
      </w:r>
      <w:r w:rsidRPr="0036007C">
        <w:tab/>
        <w:t xml:space="preserve">Estimated prevalence </w:t>
      </w:r>
      <w:r w:rsidR="00616BE0" w:rsidRPr="0036007C">
        <w:t>of trachoma</w:t>
      </w:r>
      <w:r w:rsidRPr="0036007C">
        <w:t xml:space="preserve"> among children aged 5</w:t>
      </w:r>
      <w:r w:rsidR="003D00CE" w:rsidRPr="0036007C">
        <w:t>–</w:t>
      </w:r>
      <w:r w:rsidRPr="0036007C">
        <w:t>9 years in all at-risk communities* by region, Northern Territory</w:t>
      </w:r>
      <w:r w:rsidR="001937AB" w:rsidRPr="0036007C">
        <w:t>,</w:t>
      </w:r>
      <w:r w:rsidRPr="0036007C">
        <w:t xml:space="preserve"> 2007</w:t>
      </w:r>
      <w:r w:rsidR="003D00CE" w:rsidRPr="0036007C">
        <w:t>–</w:t>
      </w:r>
      <w:bookmarkEnd w:id="242"/>
      <w:r w:rsidR="00E76BB4" w:rsidRPr="0036007C">
        <w:t>202</w:t>
      </w:r>
      <w:r w:rsidR="001C7C70" w:rsidRPr="0036007C">
        <w:t>4</w:t>
      </w:r>
      <w:bookmarkEnd w:id="243"/>
    </w:p>
    <w:p w14:paraId="47F50712" w14:textId="68C7ABCB" w:rsidR="00046C9F" w:rsidRPr="003D3BBA" w:rsidRDefault="0008318B" w:rsidP="00F76882">
      <w:r w:rsidRPr="003D3BBA">
        <w:drawing>
          <wp:inline distT="0" distB="0" distL="0" distR="0" wp14:anchorId="5E1BBF98" wp14:editId="59AE5E53">
            <wp:extent cx="6300000" cy="3456000"/>
            <wp:effectExtent l="0" t="0" r="5715" b="0"/>
            <wp:docPr id="984851773" name="Chart 1" descr="Estimated prevalence of trachoma among children aged 5–9 years in all at-risk communities by region, Northern Territory, 2007–2024&#10;Figure 2.5b is a line graph for five regions with proportion on the Y-axis and year on the X-axis.&#10;In the Alice Springs Remote region, estimated trachoma prevalence initially increased from 22% in 2007 to 33% between 2008-2010. Since then estimated prevalence has generally declined, albeit with some fluctuation, to 5.0% in 2024.&#10;In the Barkly region, estimated trachoma prevalence has declined overall from 30% in 2007 to 0.3% in 2024, although two large spikes were seen in 2008 and 2014.&#10;In the Darwin Rural region, estimated trachoma prevalence briefly increased from 7% in 2007 to 21% in 2008, then swiftly declined to below 5% per year from 2009, apart from a spike to 7.1% in 2021.&#10;In the East Arnhem region, estimated trachoma prevalence declined from 6% in 2007 to reach and remain at 0% since 2018.&#10;In the Katherine region, estimated trachoma prevalence briefly increased from 20% in 2007 to 43% in 2008, after which prevalence generally declined to 2.6% in 2015. Since then, yearly figures have generally increased albeit with some fluctuation, with 10% estimated prevalence in 2024.&#10;">
              <a:extLst xmlns:a="http://schemas.openxmlformats.org/drawingml/2006/main">
                <a:ext uri="{FF2B5EF4-FFF2-40B4-BE49-F238E27FC236}">
                  <a16:creationId xmlns:a16="http://schemas.microsoft.com/office/drawing/2014/main" id="{D239E4AE-77AB-428F-9630-D5F771285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87C5D71" w14:textId="22C49B97" w:rsidR="006F32BC" w:rsidRPr="004609FA" w:rsidRDefault="00FC5E3A" w:rsidP="00F76882">
      <w:pPr>
        <w:pStyle w:val="tablefigfootnote"/>
      </w:pPr>
      <w:r w:rsidRPr="004609FA">
        <w:t xml:space="preserve">* Most recent estimates carried forward in at-risk communities that did not screen in </w:t>
      </w:r>
      <w:r w:rsidR="00C3405D" w:rsidRPr="004609FA">
        <w:t>2024</w:t>
      </w:r>
      <w:r w:rsidR="000B597D" w:rsidRPr="004609FA">
        <w:t>.</w:t>
      </w:r>
    </w:p>
    <w:p w14:paraId="61C46586" w14:textId="1F754CDC" w:rsidR="00046C9F" w:rsidRPr="0036007C" w:rsidRDefault="006F32BC" w:rsidP="00F76882">
      <w:pPr>
        <w:pStyle w:val="FigureHeadings"/>
      </w:pPr>
      <w:bookmarkStart w:id="244" w:name="_Toc520298392"/>
      <w:bookmarkStart w:id="245" w:name="_Toc215237056"/>
      <w:r w:rsidRPr="0036007C">
        <w:t>Figure 2.</w:t>
      </w:r>
      <w:r w:rsidR="00CA193A" w:rsidRPr="0036007C">
        <w:t>5</w:t>
      </w:r>
      <w:r w:rsidRPr="0036007C">
        <w:t>c</w:t>
      </w:r>
      <w:r w:rsidRPr="0036007C">
        <w:tab/>
      </w:r>
      <w:r w:rsidR="00046C9F" w:rsidRPr="0036007C">
        <w:t>Overall prevalence of trachoma among children aged 5</w:t>
      </w:r>
      <w:r w:rsidR="003D00CE" w:rsidRPr="0036007C">
        <w:t>–</w:t>
      </w:r>
      <w:r w:rsidR="00046C9F" w:rsidRPr="0036007C">
        <w:t>9 years in all communities* by region</w:t>
      </w:r>
      <w:r w:rsidRPr="0036007C">
        <w:t>, Northern Territory</w:t>
      </w:r>
      <w:r w:rsidR="001937AB" w:rsidRPr="0036007C">
        <w:t>,</w:t>
      </w:r>
      <w:r w:rsidRPr="0036007C">
        <w:t xml:space="preserve"> 2007</w:t>
      </w:r>
      <w:r w:rsidR="003D00CE" w:rsidRPr="0036007C">
        <w:t>–</w:t>
      </w:r>
      <w:bookmarkEnd w:id="244"/>
      <w:r w:rsidR="00E76BB4" w:rsidRPr="0036007C">
        <w:t>202</w:t>
      </w:r>
      <w:r w:rsidR="00615E3D" w:rsidRPr="0036007C">
        <w:t>4</w:t>
      </w:r>
      <w:bookmarkEnd w:id="245"/>
    </w:p>
    <w:p w14:paraId="5E07491C" w14:textId="024F5A78" w:rsidR="006F32BC" w:rsidRPr="00C002DA" w:rsidRDefault="004A102B" w:rsidP="00F76882">
      <w:r w:rsidRPr="00C002DA">
        <w:drawing>
          <wp:inline distT="0" distB="0" distL="0" distR="0" wp14:anchorId="394E69C3" wp14:editId="6277539E">
            <wp:extent cx="6300000" cy="3456000"/>
            <wp:effectExtent l="0" t="0" r="0" b="0"/>
            <wp:docPr id="1413555935" name="Chart 1" descr="Overall prevalence of trachoma among children aged 5–9 years in all communities by region, Northern Territory, 2007–2024&#10;Figure 2.5c is a line graph for five regions with proportion on the Y-axis and year on the X-axis.&#10;In the Alice Springs Remote region, overall trachoma prevalence initially increased from 22% in 2007 to between 34% to 36% from 2008 to 2010, before falling to 16% in 2011. After this, yearly figures generally declined to 5.0% in 2024.&#10;In the Barkly region, overall trachoma prevalence initially increased from 30% in 2007 to 41% in 2009, before sharply falling to 19% in 2010. Since then yearly figures have continued to decline with some fluctuation to 0.6% in 2024.&#10;In the Darwin Rural region, overall trachoma prevalence briefly increased from 7.1% in 2007 to 20% in 2008, then sharply declined, with overall prevalence remaining low and falling below 1.0% since 2017.&#10;In the East Arnhem region, overall trachoma prevalence declined from 6.0% in 2007, reaching and remaining at 0% since 2018.&#10;In the Katherine region, overall trachoma prevalence briefly increased from 20% in 2007 to 27% in 2008, then generally declined to 3.0% in 2015. Following this, yearly figures slightly increased and generally remained around 6% to 8%, before dropping to 4.7% overall prevalence in 2023.&#10;">
              <a:extLst xmlns:a="http://schemas.openxmlformats.org/drawingml/2006/main">
                <a:ext uri="{FF2B5EF4-FFF2-40B4-BE49-F238E27FC236}">
                  <a16:creationId xmlns:a16="http://schemas.microsoft.com/office/drawing/2014/main" id="{0EA78FE6-A878-477E-A2EE-64F36E4BAD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88CAA8F" w14:textId="0598E542" w:rsidR="006F32BC" w:rsidRPr="0036007C" w:rsidRDefault="006F32BC" w:rsidP="00F76882">
      <w:pPr>
        <w:pStyle w:val="tablefigfootnote"/>
        <w:rPr>
          <w:lang w:eastAsia="en-US"/>
        </w:rPr>
      </w:pPr>
      <w:bookmarkStart w:id="246" w:name="Figure27"/>
      <w:r w:rsidRPr="0036007C">
        <w:rPr>
          <w:lang w:eastAsia="en-US"/>
        </w:rPr>
        <w:t xml:space="preserve">* Calculated carrying forward most recent data in all communities considered </w:t>
      </w:r>
      <w:r w:rsidR="00A603DB" w:rsidRPr="0036007C">
        <w:rPr>
          <w:lang w:eastAsia="en-US"/>
        </w:rPr>
        <w:t>at risk</w:t>
      </w:r>
      <w:r w:rsidRPr="0036007C">
        <w:rPr>
          <w:lang w:eastAsia="en-US"/>
        </w:rPr>
        <w:t xml:space="preserve"> of trachoma at </w:t>
      </w:r>
      <w:r w:rsidR="00D26ECF" w:rsidRPr="0036007C">
        <w:rPr>
          <w:lang w:eastAsia="en-US"/>
        </w:rPr>
        <w:t xml:space="preserve">any point </w:t>
      </w:r>
      <w:r w:rsidRPr="0036007C">
        <w:rPr>
          <w:lang w:eastAsia="en-US"/>
        </w:rPr>
        <w:t>since 2007</w:t>
      </w:r>
      <w:r w:rsidR="005214FE" w:rsidRPr="0036007C">
        <w:rPr>
          <w:lang w:eastAsia="en-US"/>
        </w:rPr>
        <w:t>.</w:t>
      </w:r>
    </w:p>
    <w:p w14:paraId="751A15ED" w14:textId="654F954C" w:rsidR="00977F46" w:rsidRPr="0036007C" w:rsidRDefault="006F32BC" w:rsidP="00F76882">
      <w:pPr>
        <w:pStyle w:val="FigureHeadings"/>
      </w:pPr>
      <w:bookmarkStart w:id="247" w:name="_Figure_2.7_Number"/>
      <w:bookmarkStart w:id="248" w:name="_Toc215237057"/>
      <w:bookmarkEnd w:id="246"/>
      <w:bookmarkEnd w:id="247"/>
      <w:r w:rsidRPr="0036007C">
        <w:t xml:space="preserve">Figure </w:t>
      </w:r>
      <w:r w:rsidR="00B9209A" w:rsidRPr="0036007C">
        <w:t>2.</w:t>
      </w:r>
      <w:r w:rsidR="00CA193A" w:rsidRPr="0036007C">
        <w:t>6</w:t>
      </w:r>
      <w:r w:rsidRPr="0036007C">
        <w:tab/>
        <w:t xml:space="preserve">Number of </w:t>
      </w:r>
      <w:r w:rsidR="00B26A87" w:rsidRPr="0036007C">
        <w:t xml:space="preserve">screened </w:t>
      </w:r>
      <w:r w:rsidRPr="0036007C">
        <w:t xml:space="preserve">at-risk communities according to </w:t>
      </w:r>
      <w:r w:rsidR="006345F4" w:rsidRPr="0036007C">
        <w:t>the</w:t>
      </w:r>
      <w:r w:rsidR="00EC17EE" w:rsidRPr="0036007C">
        <w:t xml:space="preserve"> </w:t>
      </w:r>
      <w:r w:rsidRPr="0036007C">
        <w:t xml:space="preserve">level of </w:t>
      </w:r>
      <w:r w:rsidR="00EC17EE" w:rsidRPr="0036007C">
        <w:t xml:space="preserve">observed </w:t>
      </w:r>
      <w:r w:rsidRPr="0036007C">
        <w:t>trachoma prevalence in children aged 5</w:t>
      </w:r>
      <w:r w:rsidR="003D00CE" w:rsidRPr="0036007C">
        <w:t>–</w:t>
      </w:r>
      <w:r w:rsidRPr="0036007C">
        <w:t>9 years by region, Northern Territory</w:t>
      </w:r>
      <w:r w:rsidR="001937AB" w:rsidRPr="0036007C">
        <w:t>,</w:t>
      </w:r>
      <w:r w:rsidRPr="0036007C">
        <w:t xml:space="preserve"> </w:t>
      </w:r>
      <w:r w:rsidR="00E76BB4" w:rsidRPr="0036007C">
        <w:t>202</w:t>
      </w:r>
      <w:r w:rsidR="00615E3D" w:rsidRPr="0036007C">
        <w:t>4</w:t>
      </w:r>
      <w:bookmarkStart w:id="249" w:name="_Ref58330106"/>
      <w:bookmarkEnd w:id="248"/>
    </w:p>
    <w:p w14:paraId="0DB413E2" w14:textId="2EDC1555" w:rsidR="00830549" w:rsidRPr="0036007C" w:rsidRDefault="00830549" w:rsidP="00F76882">
      <w:r w:rsidRPr="00775116">
        <w:rPr>
          <w:noProof/>
        </w:rPr>
        <w:drawing>
          <wp:inline distT="0" distB="0" distL="0" distR="0" wp14:anchorId="4C2B34F2" wp14:editId="026168EF">
            <wp:extent cx="5940000" cy="4140000"/>
            <wp:effectExtent l="0" t="0" r="3810" b="0"/>
            <wp:docPr id="53491890" name="Chart 1" descr="Number of screened at-risk communities according to the level of observed trachoma prevalence in children aged 5–9 years by region, Northern Territory, 2024 &#10;Figure 2.6 is a stacked bar graph with number of communities on the Y-axis and region on the X-axis.&#10;The Alice Springs Remote column indicates that of the 26 at-risk communities screened, observed trachoma prevalence was greater than or equal to 20% in two communities, greater than or equal to 10% but less than 20% in four communities, greater than 0% but less than 5% in five communities, and 15 communities had no trachoma.&#10;The Barkly column indicates that of the eight at-risk communities screened, observed trachoma prevalence was greater than 0% but less than 5% in one community and seven communities had no trachoma.&#10;The Darwin Rural column indicates that of the two at-risk communities screened, observed trachoma prevalence was greater than or equal to 5% but less than 10% in one community, and one community had no trachoma.&#10;The Katherine column indicates that of the nine at-risk communities screened, observed trachoma prevalence was greater than or equal to 20% in two communities, greater than or equal to 10% but less than 20% in one community, greater than or equal to 5% but less than 10% in two communities, and four communities had no trachoma.&#10;">
              <a:extLst xmlns:a="http://schemas.openxmlformats.org/drawingml/2006/main">
                <a:ext uri="{FF2B5EF4-FFF2-40B4-BE49-F238E27FC236}">
                  <a16:creationId xmlns:a16="http://schemas.microsoft.com/office/drawing/2014/main" id="{898D6F29-73C0-43B8-8E15-6801910EF0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49C6F1D" w14:textId="00F766D7" w:rsidR="00F679AC" w:rsidRPr="0036007C" w:rsidRDefault="006F32BC" w:rsidP="00F76882">
      <w:pPr>
        <w:pStyle w:val="FigureHeadings"/>
      </w:pPr>
      <w:bookmarkStart w:id="250" w:name="_Toc215237058"/>
      <w:r w:rsidRPr="0036007C">
        <w:t xml:space="preserve">Figure </w:t>
      </w:r>
      <w:bookmarkEnd w:id="249"/>
      <w:r w:rsidR="00B9209A" w:rsidRPr="0036007C">
        <w:t>2.</w:t>
      </w:r>
      <w:r w:rsidR="00CA193A" w:rsidRPr="0036007C">
        <w:t>7</w:t>
      </w:r>
      <w:r w:rsidRPr="0036007C">
        <w:tab/>
        <w:t>Number of doses of azithromycin administered for the treatment of trachoma by region, Northern Territory</w:t>
      </w:r>
      <w:r w:rsidR="001937AB" w:rsidRPr="0036007C">
        <w:t>,</w:t>
      </w:r>
      <w:r w:rsidRPr="0036007C">
        <w:t xml:space="preserve"> 2007</w:t>
      </w:r>
      <w:r w:rsidR="003D00CE" w:rsidRPr="0036007C">
        <w:t>–</w:t>
      </w:r>
      <w:r w:rsidR="00E76BB4" w:rsidRPr="0036007C">
        <w:t>202</w:t>
      </w:r>
      <w:r w:rsidR="00615E3D" w:rsidRPr="0036007C">
        <w:t>4</w:t>
      </w:r>
      <w:bookmarkEnd w:id="250"/>
    </w:p>
    <w:p w14:paraId="34929636" w14:textId="050D233A" w:rsidR="006F32BC" w:rsidRPr="007C3001" w:rsidRDefault="006F32BC" w:rsidP="00F76882">
      <w:bookmarkStart w:id="251" w:name="_Toc520298300"/>
    </w:p>
    <w:p w14:paraId="59B03570" w14:textId="4663755A" w:rsidR="00FC5EE1" w:rsidRPr="00F57624" w:rsidRDefault="00313573" w:rsidP="00F76882">
      <w:bookmarkStart w:id="252" w:name="_Ref58336185"/>
      <w:bookmarkEnd w:id="251"/>
      <w:r w:rsidRPr="00775116">
        <w:rPr>
          <w:noProof/>
        </w:rPr>
        <w:drawing>
          <wp:inline distT="0" distB="0" distL="0" distR="0" wp14:anchorId="7099CEFD" wp14:editId="53CDF71B">
            <wp:extent cx="5940000" cy="3456000"/>
            <wp:effectExtent l="0" t="0" r="3810" b="0"/>
            <wp:docPr id="1665494264" name="Chart 1" descr="Number of doses of azithromycin administered for the treatment of trachoma by region, Northern Territory 2007–2024&#10;Figure 2.7 is a line graph for five regions with number of azithromycin doses on the Y-axis and year on the X-axis.&#10;In the Alice Springs Remote region, there was a general rise in doses administered from 78 in 2007 to peak at 6,273 in 2016. Since then, dose numbers have generally declined, with 763 doses recorded in 2024.&#10;In the Barkly region, whilst the end-to-end dosage numbers declined somewhat from 51 doses in 2007 to 15 doses 2024, there was considerable fluctuation in yearly numbers during that time, ranging from 0 to 1,220 doses.&#10;In the Darwin Rural region, there was an initial rise in doses administered from 622 in 2008 to peak at 3,553 in 2013, before falling sharply to 64 doses in 2014. Yearly dose numbers have remained under 50 since 2016, with no doses administered at all in the years 2018-2020 and 2022-2023.&#10;In the East Arnhem region, yearly doses administered has never reached higher than 225 doses since data was first reported in 2008. Since 2018 no doses have been administered in the region.&#10;In the Katherine region, there was an overall increase in doses administered from 188 in 2007 to peak at 2,276 in 2016. After this, dose numbers steadily declined to zero in 2021, before again increasing to 797 doses in 2024.&#10;">
              <a:extLst xmlns:a="http://schemas.openxmlformats.org/drawingml/2006/main">
                <a:ext uri="{FF2B5EF4-FFF2-40B4-BE49-F238E27FC236}">
                  <a16:creationId xmlns:a16="http://schemas.microsoft.com/office/drawing/2014/main" id="{32D12DEE-FBA7-476E-842A-61CADF021B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DE0184" w:rsidRPr="0036007C">
        <w:t xml:space="preserve"> </w:t>
      </w:r>
      <w:r w:rsidR="00FC5EE1" w:rsidRPr="0036007C">
        <w:br w:type="page"/>
      </w:r>
    </w:p>
    <w:p w14:paraId="7699566D" w14:textId="42AA4F18" w:rsidR="006F32BC" w:rsidRPr="0036007C" w:rsidRDefault="006F32BC" w:rsidP="00F76882">
      <w:pPr>
        <w:pStyle w:val="Tableheadings"/>
      </w:pPr>
      <w:bookmarkStart w:id="253" w:name="_Toc215224702"/>
      <w:r w:rsidRPr="0036007C">
        <w:t xml:space="preserve">Table </w:t>
      </w:r>
      <w:bookmarkEnd w:id="252"/>
      <w:r w:rsidR="00B9209A" w:rsidRPr="0036007C">
        <w:t>2.1</w:t>
      </w:r>
      <w:r w:rsidRPr="0036007C">
        <w:tab/>
        <w:t xml:space="preserve">Trachoma control delivery in </w:t>
      </w:r>
      <w:r w:rsidR="00046C9F" w:rsidRPr="0036007C">
        <w:t>at-risk communities</w:t>
      </w:r>
      <w:r w:rsidRPr="0036007C">
        <w:t xml:space="preserve"> by region, Northern Territory</w:t>
      </w:r>
      <w:r w:rsidR="001937AB" w:rsidRPr="0036007C">
        <w:t>,</w:t>
      </w:r>
      <w:r w:rsidRPr="0036007C">
        <w:t xml:space="preserve"> </w:t>
      </w:r>
      <w:r w:rsidR="00E76BB4" w:rsidRPr="0036007C">
        <w:t>202</w:t>
      </w:r>
      <w:r w:rsidR="00615E3D" w:rsidRPr="0036007C">
        <w:t>4</w:t>
      </w:r>
      <w:bookmarkEnd w:id="253"/>
    </w:p>
    <w:tbl>
      <w:tblPr>
        <w:tblW w:w="5000" w:type="pct"/>
        <w:tblLook w:val="04A0" w:firstRow="1" w:lastRow="0" w:firstColumn="1" w:lastColumn="0" w:noHBand="0" w:noVBand="1"/>
        <w:tblCaption w:val="Trachoma control delivery in at-risk communities by region, Northern Territory, 2024"/>
        <w:tblDescription w:val="Table 2.1 compares the number of at-risk communities by the type of screening and/or treatment intervention. Data is presented for Alice Springs Remote, Barkly, Darwin Rural, Katherine, and the cumulative total.&#10;"/>
      </w:tblPr>
      <w:tblGrid>
        <w:gridCol w:w="3280"/>
        <w:gridCol w:w="1380"/>
        <w:gridCol w:w="1380"/>
        <w:gridCol w:w="1520"/>
        <w:gridCol w:w="1520"/>
        <w:gridCol w:w="1376"/>
      </w:tblGrid>
      <w:tr w:rsidR="004E0D31" w:rsidRPr="0036007C" w14:paraId="06580190" w14:textId="77777777" w:rsidTr="004609FA">
        <w:trPr>
          <w:trHeight w:val="870"/>
          <w:tblHeader/>
        </w:trPr>
        <w:tc>
          <w:tcPr>
            <w:tcW w:w="156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6678C9F" w14:textId="77777777" w:rsidR="004E0D31" w:rsidRPr="0036007C" w:rsidRDefault="004E0D31" w:rsidP="00F76882">
            <w:pPr>
              <w:pStyle w:val="Tableheading"/>
              <w:rPr>
                <w:lang w:eastAsia="en-AU"/>
              </w:rPr>
            </w:pPr>
            <w:r w:rsidRPr="0036007C">
              <w:t>Number of communities</w:t>
            </w:r>
          </w:p>
        </w:tc>
        <w:tc>
          <w:tcPr>
            <w:tcW w:w="660" w:type="pct"/>
            <w:tcBorders>
              <w:top w:val="single" w:sz="4" w:space="0" w:color="auto"/>
              <w:left w:val="nil"/>
              <w:bottom w:val="single" w:sz="4" w:space="0" w:color="auto"/>
              <w:right w:val="single" w:sz="4" w:space="0" w:color="auto"/>
            </w:tcBorders>
            <w:shd w:val="clear" w:color="000000" w:fill="BFBFBF"/>
            <w:vAlign w:val="bottom"/>
            <w:hideMark/>
          </w:tcPr>
          <w:p w14:paraId="6D8A839B" w14:textId="77777777" w:rsidR="004E0D31" w:rsidRPr="0036007C" w:rsidRDefault="004E0D31" w:rsidP="00F76882">
            <w:pPr>
              <w:pStyle w:val="Tableheading"/>
            </w:pPr>
            <w:r w:rsidRPr="0036007C">
              <w:t>Alice Springs Remote</w:t>
            </w:r>
          </w:p>
        </w:tc>
        <w:tc>
          <w:tcPr>
            <w:tcW w:w="660" w:type="pct"/>
            <w:tcBorders>
              <w:top w:val="single" w:sz="4" w:space="0" w:color="auto"/>
              <w:left w:val="nil"/>
              <w:bottom w:val="single" w:sz="4" w:space="0" w:color="auto"/>
              <w:right w:val="single" w:sz="4" w:space="0" w:color="auto"/>
            </w:tcBorders>
            <w:shd w:val="clear" w:color="000000" w:fill="BFBFBF"/>
            <w:vAlign w:val="bottom"/>
            <w:hideMark/>
          </w:tcPr>
          <w:p w14:paraId="75E7B4F6" w14:textId="77777777" w:rsidR="004E0D31" w:rsidRPr="0036007C" w:rsidRDefault="004E0D31" w:rsidP="00F76882">
            <w:pPr>
              <w:pStyle w:val="Tableheading"/>
            </w:pPr>
            <w:r w:rsidRPr="0036007C">
              <w:t>Barkly</w:t>
            </w:r>
          </w:p>
        </w:tc>
        <w:tc>
          <w:tcPr>
            <w:tcW w:w="727" w:type="pct"/>
            <w:tcBorders>
              <w:top w:val="single" w:sz="4" w:space="0" w:color="auto"/>
              <w:left w:val="nil"/>
              <w:bottom w:val="single" w:sz="4" w:space="0" w:color="auto"/>
              <w:right w:val="single" w:sz="4" w:space="0" w:color="auto"/>
            </w:tcBorders>
            <w:shd w:val="clear" w:color="000000" w:fill="BFBFBF"/>
            <w:vAlign w:val="bottom"/>
          </w:tcPr>
          <w:p w14:paraId="621EE855" w14:textId="3C8197D7" w:rsidR="004E0D31" w:rsidRPr="0036007C" w:rsidRDefault="004E0D31" w:rsidP="00F76882">
            <w:pPr>
              <w:pStyle w:val="Tableheading"/>
            </w:pPr>
            <w:r w:rsidRPr="0036007C">
              <w:t>Darwin Rural</w:t>
            </w:r>
          </w:p>
        </w:tc>
        <w:tc>
          <w:tcPr>
            <w:tcW w:w="727"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551631AF" w14:textId="1936B087" w:rsidR="004E0D31" w:rsidRPr="0036007C" w:rsidRDefault="004E0D31" w:rsidP="00F76882">
            <w:pPr>
              <w:pStyle w:val="Tableheading"/>
            </w:pPr>
            <w:r w:rsidRPr="0036007C">
              <w:t>Katherine</w:t>
            </w:r>
          </w:p>
        </w:tc>
        <w:tc>
          <w:tcPr>
            <w:tcW w:w="658" w:type="pct"/>
            <w:tcBorders>
              <w:top w:val="single" w:sz="4" w:space="0" w:color="auto"/>
              <w:left w:val="nil"/>
              <w:bottom w:val="single" w:sz="4" w:space="0" w:color="auto"/>
              <w:right w:val="single" w:sz="4" w:space="0" w:color="auto"/>
            </w:tcBorders>
            <w:shd w:val="clear" w:color="000000" w:fill="BFBFBF"/>
            <w:vAlign w:val="bottom"/>
            <w:hideMark/>
          </w:tcPr>
          <w:p w14:paraId="4F7CEB34" w14:textId="77777777" w:rsidR="004E0D31" w:rsidRPr="0036007C" w:rsidRDefault="004E0D31" w:rsidP="00F76882">
            <w:pPr>
              <w:pStyle w:val="Tableheading"/>
            </w:pPr>
            <w:r w:rsidRPr="0036007C">
              <w:t>Total</w:t>
            </w:r>
          </w:p>
        </w:tc>
      </w:tr>
      <w:tr w:rsidR="00956F13" w:rsidRPr="0036007C" w14:paraId="50409107" w14:textId="77777777" w:rsidTr="00956F13">
        <w:trPr>
          <w:trHeight w:val="290"/>
        </w:trPr>
        <w:tc>
          <w:tcPr>
            <w:tcW w:w="1568" w:type="pct"/>
            <w:tcBorders>
              <w:top w:val="nil"/>
              <w:left w:val="single" w:sz="4" w:space="0" w:color="auto"/>
              <w:bottom w:val="single" w:sz="4" w:space="0" w:color="auto"/>
              <w:right w:val="single" w:sz="4" w:space="0" w:color="auto"/>
            </w:tcBorders>
            <w:vAlign w:val="bottom"/>
            <w:hideMark/>
          </w:tcPr>
          <w:p w14:paraId="7940925A" w14:textId="443832BA" w:rsidR="00956F13" w:rsidRPr="0036007C" w:rsidRDefault="00956F13" w:rsidP="00F76882">
            <w:pPr>
              <w:pStyle w:val="Tabletextleft"/>
            </w:pPr>
            <w:r w:rsidRPr="0036007C">
              <w:t>At risk (A)</w:t>
            </w:r>
            <w:r w:rsidR="004323D3" w:rsidRPr="0036007C">
              <w:t>*</w:t>
            </w:r>
          </w:p>
        </w:tc>
        <w:tc>
          <w:tcPr>
            <w:tcW w:w="660" w:type="pct"/>
            <w:tcBorders>
              <w:top w:val="nil"/>
              <w:left w:val="nil"/>
              <w:bottom w:val="single" w:sz="4" w:space="0" w:color="auto"/>
              <w:right w:val="single" w:sz="4" w:space="0" w:color="auto"/>
            </w:tcBorders>
            <w:noWrap/>
            <w:vAlign w:val="bottom"/>
          </w:tcPr>
          <w:p w14:paraId="3D3B8ADF" w14:textId="0F909575" w:rsidR="00956F13" w:rsidRPr="0036007C" w:rsidRDefault="00956F13" w:rsidP="00F76882">
            <w:pPr>
              <w:pStyle w:val="Tabletext"/>
            </w:pPr>
            <w:r w:rsidRPr="0036007C">
              <w:t>27</w:t>
            </w:r>
          </w:p>
        </w:tc>
        <w:tc>
          <w:tcPr>
            <w:tcW w:w="660" w:type="pct"/>
            <w:tcBorders>
              <w:top w:val="nil"/>
              <w:left w:val="nil"/>
              <w:bottom w:val="single" w:sz="4" w:space="0" w:color="auto"/>
              <w:right w:val="single" w:sz="4" w:space="0" w:color="auto"/>
            </w:tcBorders>
            <w:noWrap/>
            <w:vAlign w:val="bottom"/>
          </w:tcPr>
          <w:p w14:paraId="304B5060" w14:textId="38C26DC4" w:rsidR="00956F13" w:rsidRPr="0036007C" w:rsidRDefault="00956F13" w:rsidP="00F76882">
            <w:pPr>
              <w:pStyle w:val="Tabletext"/>
            </w:pPr>
            <w:r w:rsidRPr="0036007C">
              <w:t>10</w:t>
            </w:r>
          </w:p>
        </w:tc>
        <w:tc>
          <w:tcPr>
            <w:tcW w:w="727" w:type="pct"/>
            <w:tcBorders>
              <w:top w:val="single" w:sz="4" w:space="0" w:color="auto"/>
              <w:left w:val="nil"/>
              <w:bottom w:val="single" w:sz="4" w:space="0" w:color="auto"/>
              <w:right w:val="single" w:sz="4" w:space="0" w:color="auto"/>
            </w:tcBorders>
            <w:vAlign w:val="bottom"/>
          </w:tcPr>
          <w:p w14:paraId="167DB19F" w14:textId="15F9BDE4" w:rsidR="00956F13" w:rsidRPr="0036007C" w:rsidRDefault="00956F13" w:rsidP="00F76882">
            <w:pPr>
              <w:pStyle w:val="Tabletext"/>
            </w:pPr>
            <w:r w:rsidRPr="0036007C">
              <w:t>2</w:t>
            </w:r>
          </w:p>
        </w:tc>
        <w:tc>
          <w:tcPr>
            <w:tcW w:w="727" w:type="pct"/>
            <w:tcBorders>
              <w:top w:val="nil"/>
              <w:left w:val="single" w:sz="4" w:space="0" w:color="auto"/>
              <w:bottom w:val="single" w:sz="4" w:space="0" w:color="auto"/>
              <w:right w:val="single" w:sz="4" w:space="0" w:color="auto"/>
            </w:tcBorders>
            <w:noWrap/>
            <w:vAlign w:val="bottom"/>
          </w:tcPr>
          <w:p w14:paraId="545731AA" w14:textId="28F68475" w:rsidR="00956F13" w:rsidRPr="0036007C" w:rsidRDefault="00956F13" w:rsidP="00F76882">
            <w:pPr>
              <w:pStyle w:val="Tabletext"/>
            </w:pPr>
            <w:r w:rsidRPr="0036007C">
              <w:t>9</w:t>
            </w:r>
          </w:p>
        </w:tc>
        <w:tc>
          <w:tcPr>
            <w:tcW w:w="658" w:type="pct"/>
            <w:tcBorders>
              <w:top w:val="nil"/>
              <w:left w:val="nil"/>
              <w:bottom w:val="single" w:sz="4" w:space="0" w:color="auto"/>
              <w:right w:val="single" w:sz="4" w:space="0" w:color="auto"/>
            </w:tcBorders>
            <w:noWrap/>
            <w:vAlign w:val="bottom"/>
          </w:tcPr>
          <w:p w14:paraId="301928D7" w14:textId="144451ED" w:rsidR="00956F13" w:rsidRPr="0036007C" w:rsidRDefault="00956F13" w:rsidP="00F76882">
            <w:pPr>
              <w:pStyle w:val="Tabletext"/>
            </w:pPr>
            <w:r w:rsidRPr="0036007C">
              <w:t>48</w:t>
            </w:r>
          </w:p>
        </w:tc>
      </w:tr>
      <w:tr w:rsidR="00956F13" w:rsidRPr="0036007C" w14:paraId="1B4B5E93" w14:textId="77777777" w:rsidTr="00956F13">
        <w:trPr>
          <w:trHeight w:val="580"/>
        </w:trPr>
        <w:tc>
          <w:tcPr>
            <w:tcW w:w="1568" w:type="pct"/>
            <w:tcBorders>
              <w:top w:val="nil"/>
              <w:left w:val="single" w:sz="4" w:space="0" w:color="auto"/>
              <w:bottom w:val="single" w:sz="4" w:space="0" w:color="auto"/>
              <w:right w:val="single" w:sz="4" w:space="0" w:color="auto"/>
            </w:tcBorders>
            <w:shd w:val="clear" w:color="000000" w:fill="BFBFBF"/>
            <w:vAlign w:val="bottom"/>
            <w:hideMark/>
          </w:tcPr>
          <w:p w14:paraId="580899F9" w14:textId="77777777" w:rsidR="00956F13" w:rsidRPr="0036007C" w:rsidRDefault="00956F13" w:rsidP="00F76882">
            <w:pPr>
              <w:pStyle w:val="Tabletextleft"/>
            </w:pPr>
            <w:r w:rsidRPr="0036007C">
              <w:t>Requiring screening for trachoma (B)</w:t>
            </w:r>
          </w:p>
        </w:tc>
        <w:tc>
          <w:tcPr>
            <w:tcW w:w="660" w:type="pct"/>
            <w:tcBorders>
              <w:top w:val="nil"/>
              <w:left w:val="nil"/>
              <w:bottom w:val="single" w:sz="4" w:space="0" w:color="auto"/>
              <w:right w:val="single" w:sz="4" w:space="0" w:color="auto"/>
            </w:tcBorders>
            <w:shd w:val="clear" w:color="000000" w:fill="BFBFBF"/>
            <w:noWrap/>
            <w:vAlign w:val="bottom"/>
          </w:tcPr>
          <w:p w14:paraId="5D07DCE4" w14:textId="1C07A746" w:rsidR="00956F13" w:rsidRPr="0036007C" w:rsidRDefault="00956F13" w:rsidP="00F76882">
            <w:pPr>
              <w:pStyle w:val="Tabletext"/>
            </w:pPr>
            <w:r w:rsidRPr="0036007C">
              <w:t>27</w:t>
            </w:r>
          </w:p>
        </w:tc>
        <w:tc>
          <w:tcPr>
            <w:tcW w:w="660" w:type="pct"/>
            <w:tcBorders>
              <w:top w:val="nil"/>
              <w:left w:val="nil"/>
              <w:bottom w:val="single" w:sz="4" w:space="0" w:color="auto"/>
              <w:right w:val="single" w:sz="4" w:space="0" w:color="auto"/>
            </w:tcBorders>
            <w:shd w:val="clear" w:color="000000" w:fill="BFBFBF"/>
            <w:noWrap/>
            <w:vAlign w:val="bottom"/>
          </w:tcPr>
          <w:p w14:paraId="11B20533" w14:textId="6CA8E86B" w:rsidR="00956F13" w:rsidRPr="0036007C" w:rsidRDefault="00956F13" w:rsidP="00F76882">
            <w:pPr>
              <w:pStyle w:val="Tabletext"/>
            </w:pPr>
            <w:r w:rsidRPr="0036007C">
              <w:t>10</w:t>
            </w:r>
          </w:p>
        </w:tc>
        <w:tc>
          <w:tcPr>
            <w:tcW w:w="727" w:type="pct"/>
            <w:tcBorders>
              <w:top w:val="single" w:sz="4" w:space="0" w:color="auto"/>
              <w:left w:val="nil"/>
              <w:bottom w:val="single" w:sz="4" w:space="0" w:color="auto"/>
              <w:right w:val="single" w:sz="4" w:space="0" w:color="auto"/>
            </w:tcBorders>
            <w:shd w:val="clear" w:color="000000" w:fill="BFBFBF"/>
            <w:vAlign w:val="bottom"/>
          </w:tcPr>
          <w:p w14:paraId="1DFB8596" w14:textId="26E92F5C" w:rsidR="00956F13" w:rsidRPr="0036007C" w:rsidRDefault="00956F13" w:rsidP="00F76882">
            <w:pPr>
              <w:pStyle w:val="Tabletext"/>
            </w:pPr>
            <w:r w:rsidRPr="0036007C">
              <w:t>2</w:t>
            </w:r>
          </w:p>
        </w:tc>
        <w:tc>
          <w:tcPr>
            <w:tcW w:w="727" w:type="pct"/>
            <w:tcBorders>
              <w:top w:val="nil"/>
              <w:left w:val="single" w:sz="4" w:space="0" w:color="auto"/>
              <w:bottom w:val="single" w:sz="4" w:space="0" w:color="auto"/>
              <w:right w:val="single" w:sz="4" w:space="0" w:color="auto"/>
            </w:tcBorders>
            <w:shd w:val="clear" w:color="000000" w:fill="BFBFBF"/>
            <w:noWrap/>
            <w:vAlign w:val="bottom"/>
          </w:tcPr>
          <w:p w14:paraId="757E3E5B" w14:textId="5ACA91D8" w:rsidR="00956F13" w:rsidRPr="0036007C" w:rsidRDefault="00956F13" w:rsidP="00F76882">
            <w:pPr>
              <w:pStyle w:val="Tabletext"/>
            </w:pPr>
            <w:r w:rsidRPr="0036007C">
              <w:t>9</w:t>
            </w:r>
          </w:p>
        </w:tc>
        <w:tc>
          <w:tcPr>
            <w:tcW w:w="658" w:type="pct"/>
            <w:tcBorders>
              <w:top w:val="nil"/>
              <w:left w:val="nil"/>
              <w:bottom w:val="single" w:sz="4" w:space="0" w:color="auto"/>
              <w:right w:val="single" w:sz="4" w:space="0" w:color="auto"/>
            </w:tcBorders>
            <w:shd w:val="clear" w:color="000000" w:fill="BFBFBF"/>
            <w:noWrap/>
            <w:vAlign w:val="bottom"/>
          </w:tcPr>
          <w:p w14:paraId="072B182E" w14:textId="2849F8DE" w:rsidR="00956F13" w:rsidRPr="0036007C" w:rsidRDefault="00956F13" w:rsidP="00F76882">
            <w:pPr>
              <w:pStyle w:val="Tabletext"/>
            </w:pPr>
            <w:r w:rsidRPr="0036007C">
              <w:t>48</w:t>
            </w:r>
          </w:p>
        </w:tc>
      </w:tr>
      <w:tr w:rsidR="00956F13" w:rsidRPr="0036007C" w14:paraId="3FD4FA97" w14:textId="77777777" w:rsidTr="00956F13">
        <w:trPr>
          <w:trHeight w:val="580"/>
        </w:trPr>
        <w:tc>
          <w:tcPr>
            <w:tcW w:w="1568" w:type="pct"/>
            <w:tcBorders>
              <w:top w:val="nil"/>
              <w:left w:val="single" w:sz="4" w:space="0" w:color="auto"/>
              <w:bottom w:val="single" w:sz="4" w:space="0" w:color="auto"/>
              <w:right w:val="single" w:sz="4" w:space="0" w:color="auto"/>
            </w:tcBorders>
            <w:vAlign w:val="bottom"/>
            <w:hideMark/>
          </w:tcPr>
          <w:p w14:paraId="3577FA48" w14:textId="77777777" w:rsidR="00956F13" w:rsidRPr="0036007C" w:rsidRDefault="00956F13" w:rsidP="00F76882">
            <w:pPr>
              <w:pStyle w:val="Tabletextleft"/>
            </w:pPr>
            <w:r w:rsidRPr="0036007C">
              <w:t>Screened for trachoma (C)</w:t>
            </w:r>
          </w:p>
        </w:tc>
        <w:tc>
          <w:tcPr>
            <w:tcW w:w="660" w:type="pct"/>
            <w:tcBorders>
              <w:top w:val="nil"/>
              <w:left w:val="nil"/>
              <w:bottom w:val="single" w:sz="4" w:space="0" w:color="auto"/>
              <w:right w:val="single" w:sz="4" w:space="0" w:color="auto"/>
            </w:tcBorders>
            <w:noWrap/>
            <w:vAlign w:val="bottom"/>
          </w:tcPr>
          <w:p w14:paraId="56C95D91" w14:textId="38DD179E" w:rsidR="00956F13" w:rsidRPr="0036007C" w:rsidRDefault="00956F13" w:rsidP="00F76882">
            <w:pPr>
              <w:pStyle w:val="Tabletext"/>
            </w:pPr>
            <w:r w:rsidRPr="0036007C">
              <w:t>26</w:t>
            </w:r>
          </w:p>
        </w:tc>
        <w:tc>
          <w:tcPr>
            <w:tcW w:w="660" w:type="pct"/>
            <w:tcBorders>
              <w:top w:val="nil"/>
              <w:left w:val="nil"/>
              <w:bottom w:val="single" w:sz="4" w:space="0" w:color="auto"/>
              <w:right w:val="single" w:sz="4" w:space="0" w:color="auto"/>
            </w:tcBorders>
            <w:noWrap/>
            <w:vAlign w:val="bottom"/>
          </w:tcPr>
          <w:p w14:paraId="06177379" w14:textId="14DFE05E" w:rsidR="00956F13" w:rsidRPr="0036007C" w:rsidRDefault="00956F13" w:rsidP="00F76882">
            <w:pPr>
              <w:pStyle w:val="Tabletext"/>
            </w:pPr>
            <w:r w:rsidRPr="0036007C">
              <w:t>8</w:t>
            </w:r>
          </w:p>
        </w:tc>
        <w:tc>
          <w:tcPr>
            <w:tcW w:w="727" w:type="pct"/>
            <w:tcBorders>
              <w:top w:val="single" w:sz="4" w:space="0" w:color="auto"/>
              <w:left w:val="nil"/>
              <w:bottom w:val="single" w:sz="4" w:space="0" w:color="auto"/>
              <w:right w:val="single" w:sz="4" w:space="0" w:color="auto"/>
            </w:tcBorders>
            <w:vAlign w:val="bottom"/>
          </w:tcPr>
          <w:p w14:paraId="1B41547E" w14:textId="6BAF3310" w:rsidR="00956F13" w:rsidRPr="0036007C" w:rsidRDefault="00956F13" w:rsidP="00F76882">
            <w:pPr>
              <w:pStyle w:val="Tabletext"/>
            </w:pPr>
            <w:r w:rsidRPr="0036007C">
              <w:t>2</w:t>
            </w:r>
          </w:p>
        </w:tc>
        <w:tc>
          <w:tcPr>
            <w:tcW w:w="727" w:type="pct"/>
            <w:tcBorders>
              <w:top w:val="nil"/>
              <w:left w:val="single" w:sz="4" w:space="0" w:color="auto"/>
              <w:bottom w:val="single" w:sz="4" w:space="0" w:color="auto"/>
              <w:right w:val="single" w:sz="4" w:space="0" w:color="auto"/>
            </w:tcBorders>
            <w:noWrap/>
            <w:vAlign w:val="bottom"/>
          </w:tcPr>
          <w:p w14:paraId="4CB59CBB" w14:textId="3B46E081" w:rsidR="00956F13" w:rsidRPr="0036007C" w:rsidRDefault="00956F13" w:rsidP="00F76882">
            <w:pPr>
              <w:pStyle w:val="Tabletext"/>
            </w:pPr>
            <w:r w:rsidRPr="0036007C">
              <w:t>9</w:t>
            </w:r>
          </w:p>
        </w:tc>
        <w:tc>
          <w:tcPr>
            <w:tcW w:w="658" w:type="pct"/>
            <w:tcBorders>
              <w:top w:val="nil"/>
              <w:left w:val="nil"/>
              <w:bottom w:val="single" w:sz="4" w:space="0" w:color="auto"/>
              <w:right w:val="single" w:sz="4" w:space="0" w:color="auto"/>
            </w:tcBorders>
            <w:noWrap/>
            <w:vAlign w:val="bottom"/>
          </w:tcPr>
          <w:p w14:paraId="6E4A9F7A" w14:textId="291F79B9" w:rsidR="00956F13" w:rsidRPr="0036007C" w:rsidRDefault="00956F13" w:rsidP="00F76882">
            <w:pPr>
              <w:pStyle w:val="Tabletext"/>
            </w:pPr>
            <w:r w:rsidRPr="0036007C">
              <w:t>45</w:t>
            </w:r>
          </w:p>
        </w:tc>
      </w:tr>
      <w:tr w:rsidR="00956F13" w:rsidRPr="0036007C" w14:paraId="65B0A854" w14:textId="77777777" w:rsidTr="00956F13">
        <w:trPr>
          <w:trHeight w:val="580"/>
        </w:trPr>
        <w:tc>
          <w:tcPr>
            <w:tcW w:w="1568" w:type="pct"/>
            <w:tcBorders>
              <w:top w:val="nil"/>
              <w:left w:val="single" w:sz="4" w:space="0" w:color="auto"/>
              <w:bottom w:val="single" w:sz="4" w:space="0" w:color="auto"/>
              <w:right w:val="single" w:sz="4" w:space="0" w:color="auto"/>
            </w:tcBorders>
            <w:shd w:val="clear" w:color="000000" w:fill="BFBFBF"/>
            <w:vAlign w:val="bottom"/>
            <w:hideMark/>
          </w:tcPr>
          <w:p w14:paraId="689E42A7" w14:textId="77777777" w:rsidR="00956F13" w:rsidRPr="0036007C" w:rsidRDefault="00956F13" w:rsidP="00F76882">
            <w:pPr>
              <w:pStyle w:val="Tabletextleft"/>
            </w:pPr>
            <w:r w:rsidRPr="0036007C">
              <w:t>Requiring treatment without screening† (D)</w:t>
            </w:r>
          </w:p>
        </w:tc>
        <w:tc>
          <w:tcPr>
            <w:tcW w:w="660" w:type="pct"/>
            <w:tcBorders>
              <w:top w:val="nil"/>
              <w:left w:val="nil"/>
              <w:bottom w:val="single" w:sz="4" w:space="0" w:color="auto"/>
              <w:right w:val="single" w:sz="4" w:space="0" w:color="auto"/>
            </w:tcBorders>
            <w:shd w:val="clear" w:color="000000" w:fill="BFBFBF"/>
            <w:noWrap/>
            <w:vAlign w:val="bottom"/>
          </w:tcPr>
          <w:p w14:paraId="1A6FEBAB" w14:textId="378D8546" w:rsidR="00956F13" w:rsidRPr="0036007C" w:rsidRDefault="00956F13" w:rsidP="00F76882">
            <w:pPr>
              <w:pStyle w:val="Tabletext"/>
            </w:pPr>
            <w:r w:rsidRPr="0036007C">
              <w:t>0</w:t>
            </w:r>
          </w:p>
        </w:tc>
        <w:tc>
          <w:tcPr>
            <w:tcW w:w="660" w:type="pct"/>
            <w:tcBorders>
              <w:top w:val="nil"/>
              <w:left w:val="nil"/>
              <w:bottom w:val="single" w:sz="4" w:space="0" w:color="auto"/>
              <w:right w:val="single" w:sz="4" w:space="0" w:color="auto"/>
            </w:tcBorders>
            <w:shd w:val="clear" w:color="000000" w:fill="BFBFBF"/>
            <w:noWrap/>
            <w:vAlign w:val="bottom"/>
          </w:tcPr>
          <w:p w14:paraId="52B0C148" w14:textId="4B3EAAD1" w:rsidR="00956F13" w:rsidRPr="0036007C" w:rsidRDefault="00956F13" w:rsidP="00F76882">
            <w:pPr>
              <w:pStyle w:val="Tabletext"/>
            </w:pPr>
            <w:r w:rsidRPr="0036007C">
              <w:t>0</w:t>
            </w:r>
          </w:p>
        </w:tc>
        <w:tc>
          <w:tcPr>
            <w:tcW w:w="727" w:type="pct"/>
            <w:tcBorders>
              <w:top w:val="single" w:sz="4" w:space="0" w:color="auto"/>
              <w:left w:val="nil"/>
              <w:bottom w:val="single" w:sz="4" w:space="0" w:color="auto"/>
              <w:right w:val="single" w:sz="4" w:space="0" w:color="auto"/>
            </w:tcBorders>
            <w:shd w:val="clear" w:color="000000" w:fill="BFBFBF"/>
            <w:vAlign w:val="bottom"/>
          </w:tcPr>
          <w:p w14:paraId="63F0D63F" w14:textId="3E2BEC57" w:rsidR="00956F13" w:rsidRPr="0036007C" w:rsidRDefault="00956F13" w:rsidP="00F76882">
            <w:pPr>
              <w:pStyle w:val="Tabletext"/>
            </w:pPr>
            <w:r w:rsidRPr="0036007C">
              <w:t>0</w:t>
            </w:r>
          </w:p>
        </w:tc>
        <w:tc>
          <w:tcPr>
            <w:tcW w:w="727" w:type="pct"/>
            <w:tcBorders>
              <w:top w:val="nil"/>
              <w:left w:val="single" w:sz="4" w:space="0" w:color="auto"/>
              <w:bottom w:val="single" w:sz="4" w:space="0" w:color="auto"/>
              <w:right w:val="single" w:sz="4" w:space="0" w:color="auto"/>
            </w:tcBorders>
            <w:shd w:val="clear" w:color="000000" w:fill="BFBFBF"/>
            <w:noWrap/>
            <w:vAlign w:val="bottom"/>
          </w:tcPr>
          <w:p w14:paraId="61F3CFE7" w14:textId="3616AC55" w:rsidR="00956F13" w:rsidRPr="0036007C" w:rsidRDefault="00956F13" w:rsidP="00F76882">
            <w:pPr>
              <w:pStyle w:val="Tabletext"/>
            </w:pPr>
            <w:r w:rsidRPr="0036007C">
              <w:t>0</w:t>
            </w:r>
          </w:p>
        </w:tc>
        <w:tc>
          <w:tcPr>
            <w:tcW w:w="658" w:type="pct"/>
            <w:tcBorders>
              <w:top w:val="nil"/>
              <w:left w:val="nil"/>
              <w:bottom w:val="single" w:sz="4" w:space="0" w:color="auto"/>
              <w:right w:val="single" w:sz="4" w:space="0" w:color="auto"/>
            </w:tcBorders>
            <w:shd w:val="clear" w:color="000000" w:fill="BFBFBF"/>
            <w:noWrap/>
            <w:vAlign w:val="bottom"/>
          </w:tcPr>
          <w:p w14:paraId="617BCE92" w14:textId="1EDE13D8" w:rsidR="00956F13" w:rsidRPr="0036007C" w:rsidRDefault="00956F13" w:rsidP="00F76882">
            <w:pPr>
              <w:pStyle w:val="Tabletext"/>
            </w:pPr>
            <w:r w:rsidRPr="0036007C">
              <w:t>0</w:t>
            </w:r>
          </w:p>
        </w:tc>
      </w:tr>
      <w:tr w:rsidR="00956F13" w:rsidRPr="0036007C" w14:paraId="1D0BEEA4" w14:textId="77777777" w:rsidTr="00956F13">
        <w:trPr>
          <w:trHeight w:val="580"/>
        </w:trPr>
        <w:tc>
          <w:tcPr>
            <w:tcW w:w="1568" w:type="pct"/>
            <w:tcBorders>
              <w:top w:val="nil"/>
              <w:left w:val="single" w:sz="4" w:space="0" w:color="auto"/>
              <w:bottom w:val="single" w:sz="4" w:space="0" w:color="auto"/>
              <w:right w:val="single" w:sz="4" w:space="0" w:color="auto"/>
            </w:tcBorders>
            <w:vAlign w:val="bottom"/>
            <w:hideMark/>
          </w:tcPr>
          <w:p w14:paraId="453690EE" w14:textId="0DC96F98" w:rsidR="00956F13" w:rsidRPr="0036007C" w:rsidRDefault="00956F13" w:rsidP="00F76882">
            <w:pPr>
              <w:pStyle w:val="Tabletextleft"/>
            </w:pPr>
            <w:r w:rsidRPr="0036007C">
              <w:t>Received treatment without screening (E)</w:t>
            </w:r>
          </w:p>
        </w:tc>
        <w:tc>
          <w:tcPr>
            <w:tcW w:w="660" w:type="pct"/>
            <w:tcBorders>
              <w:top w:val="nil"/>
              <w:left w:val="nil"/>
              <w:bottom w:val="single" w:sz="4" w:space="0" w:color="auto"/>
              <w:right w:val="single" w:sz="4" w:space="0" w:color="auto"/>
            </w:tcBorders>
            <w:noWrap/>
            <w:vAlign w:val="bottom"/>
          </w:tcPr>
          <w:p w14:paraId="5962E24F" w14:textId="48AC0C93" w:rsidR="00956F13" w:rsidRPr="0036007C" w:rsidRDefault="00956F13" w:rsidP="00F76882">
            <w:pPr>
              <w:pStyle w:val="Tabletext"/>
            </w:pPr>
            <w:r w:rsidRPr="0036007C">
              <w:t>0</w:t>
            </w:r>
          </w:p>
        </w:tc>
        <w:tc>
          <w:tcPr>
            <w:tcW w:w="660" w:type="pct"/>
            <w:tcBorders>
              <w:top w:val="nil"/>
              <w:left w:val="nil"/>
              <w:bottom w:val="single" w:sz="4" w:space="0" w:color="auto"/>
              <w:right w:val="single" w:sz="4" w:space="0" w:color="auto"/>
            </w:tcBorders>
            <w:noWrap/>
            <w:vAlign w:val="bottom"/>
          </w:tcPr>
          <w:p w14:paraId="4190E776" w14:textId="0B6B4BB5" w:rsidR="00956F13" w:rsidRPr="0036007C" w:rsidRDefault="00956F13" w:rsidP="00F76882">
            <w:pPr>
              <w:pStyle w:val="Tabletext"/>
            </w:pPr>
            <w:r w:rsidRPr="0036007C">
              <w:t>0</w:t>
            </w:r>
          </w:p>
        </w:tc>
        <w:tc>
          <w:tcPr>
            <w:tcW w:w="727" w:type="pct"/>
            <w:tcBorders>
              <w:top w:val="single" w:sz="4" w:space="0" w:color="auto"/>
              <w:left w:val="nil"/>
              <w:bottom w:val="single" w:sz="4" w:space="0" w:color="auto"/>
              <w:right w:val="single" w:sz="4" w:space="0" w:color="auto"/>
            </w:tcBorders>
            <w:vAlign w:val="bottom"/>
          </w:tcPr>
          <w:p w14:paraId="77404913" w14:textId="2E440C3D" w:rsidR="00956F13" w:rsidRPr="0036007C" w:rsidRDefault="00956F13" w:rsidP="00F76882">
            <w:pPr>
              <w:pStyle w:val="Tabletext"/>
            </w:pPr>
            <w:r w:rsidRPr="0036007C">
              <w:t>0</w:t>
            </w:r>
          </w:p>
        </w:tc>
        <w:tc>
          <w:tcPr>
            <w:tcW w:w="727" w:type="pct"/>
            <w:tcBorders>
              <w:top w:val="nil"/>
              <w:left w:val="single" w:sz="4" w:space="0" w:color="auto"/>
              <w:bottom w:val="single" w:sz="4" w:space="0" w:color="auto"/>
              <w:right w:val="single" w:sz="4" w:space="0" w:color="auto"/>
            </w:tcBorders>
            <w:noWrap/>
            <w:vAlign w:val="bottom"/>
          </w:tcPr>
          <w:p w14:paraId="6F0C6FE2" w14:textId="03963D75" w:rsidR="00956F13" w:rsidRPr="0036007C" w:rsidRDefault="00956F13" w:rsidP="00F76882">
            <w:pPr>
              <w:pStyle w:val="Tabletext"/>
            </w:pPr>
            <w:r w:rsidRPr="0036007C">
              <w:t>0</w:t>
            </w:r>
          </w:p>
        </w:tc>
        <w:tc>
          <w:tcPr>
            <w:tcW w:w="658" w:type="pct"/>
            <w:tcBorders>
              <w:top w:val="nil"/>
              <w:left w:val="nil"/>
              <w:bottom w:val="single" w:sz="4" w:space="0" w:color="auto"/>
              <w:right w:val="single" w:sz="4" w:space="0" w:color="auto"/>
            </w:tcBorders>
            <w:noWrap/>
            <w:vAlign w:val="bottom"/>
          </w:tcPr>
          <w:p w14:paraId="4B2D1F05" w14:textId="35C054F2" w:rsidR="00956F13" w:rsidRPr="0036007C" w:rsidRDefault="00956F13" w:rsidP="00F76882">
            <w:pPr>
              <w:pStyle w:val="Tabletext"/>
            </w:pPr>
            <w:r w:rsidRPr="0036007C">
              <w:t>0</w:t>
            </w:r>
          </w:p>
        </w:tc>
      </w:tr>
      <w:tr w:rsidR="00956F13" w:rsidRPr="0036007C" w14:paraId="0F4CA0EE" w14:textId="77777777" w:rsidTr="00956F13">
        <w:trPr>
          <w:trHeight w:val="580"/>
        </w:trPr>
        <w:tc>
          <w:tcPr>
            <w:tcW w:w="1568" w:type="pct"/>
            <w:tcBorders>
              <w:top w:val="nil"/>
              <w:left w:val="single" w:sz="4" w:space="0" w:color="auto"/>
              <w:bottom w:val="single" w:sz="4" w:space="0" w:color="auto"/>
              <w:right w:val="single" w:sz="4" w:space="0" w:color="auto"/>
            </w:tcBorders>
            <w:shd w:val="clear" w:color="000000" w:fill="BFBFBF"/>
            <w:vAlign w:val="bottom"/>
            <w:hideMark/>
          </w:tcPr>
          <w:p w14:paraId="6DCECBAA" w14:textId="77777777" w:rsidR="00956F13" w:rsidRPr="0036007C" w:rsidRDefault="00956F13" w:rsidP="00F76882">
            <w:pPr>
              <w:pStyle w:val="Tabletextleft"/>
            </w:pPr>
            <w:r w:rsidRPr="0036007C">
              <w:t>Screened and/or treated for trachoma (F=C+E)</w:t>
            </w:r>
          </w:p>
        </w:tc>
        <w:tc>
          <w:tcPr>
            <w:tcW w:w="660" w:type="pct"/>
            <w:tcBorders>
              <w:top w:val="nil"/>
              <w:left w:val="nil"/>
              <w:bottom w:val="single" w:sz="4" w:space="0" w:color="auto"/>
              <w:right w:val="single" w:sz="4" w:space="0" w:color="auto"/>
            </w:tcBorders>
            <w:shd w:val="clear" w:color="000000" w:fill="BFBFBF"/>
            <w:noWrap/>
            <w:vAlign w:val="bottom"/>
          </w:tcPr>
          <w:p w14:paraId="31681A8A" w14:textId="2E879E88" w:rsidR="00956F13" w:rsidRPr="0036007C" w:rsidRDefault="00956F13" w:rsidP="00F76882">
            <w:pPr>
              <w:pStyle w:val="Tabletext"/>
            </w:pPr>
            <w:r w:rsidRPr="0036007C">
              <w:t>26</w:t>
            </w:r>
          </w:p>
        </w:tc>
        <w:tc>
          <w:tcPr>
            <w:tcW w:w="660" w:type="pct"/>
            <w:tcBorders>
              <w:top w:val="nil"/>
              <w:left w:val="nil"/>
              <w:bottom w:val="single" w:sz="4" w:space="0" w:color="auto"/>
              <w:right w:val="single" w:sz="4" w:space="0" w:color="auto"/>
            </w:tcBorders>
            <w:shd w:val="clear" w:color="000000" w:fill="BFBFBF"/>
            <w:noWrap/>
            <w:vAlign w:val="bottom"/>
          </w:tcPr>
          <w:p w14:paraId="01CEFBA0" w14:textId="23D9A059" w:rsidR="00956F13" w:rsidRPr="0036007C" w:rsidRDefault="00956F13" w:rsidP="00F76882">
            <w:pPr>
              <w:pStyle w:val="Tabletext"/>
            </w:pPr>
            <w:r w:rsidRPr="0036007C">
              <w:t>8</w:t>
            </w:r>
          </w:p>
        </w:tc>
        <w:tc>
          <w:tcPr>
            <w:tcW w:w="727" w:type="pct"/>
            <w:tcBorders>
              <w:top w:val="single" w:sz="4" w:space="0" w:color="auto"/>
              <w:left w:val="nil"/>
              <w:bottom w:val="single" w:sz="4" w:space="0" w:color="auto"/>
              <w:right w:val="single" w:sz="4" w:space="0" w:color="auto"/>
            </w:tcBorders>
            <w:shd w:val="clear" w:color="000000" w:fill="BFBFBF"/>
            <w:vAlign w:val="bottom"/>
          </w:tcPr>
          <w:p w14:paraId="4B8705A8" w14:textId="6EE9411C" w:rsidR="00956F13" w:rsidRPr="0036007C" w:rsidRDefault="00956F13" w:rsidP="00F76882">
            <w:pPr>
              <w:pStyle w:val="Tabletext"/>
            </w:pPr>
            <w:r w:rsidRPr="0036007C">
              <w:t>2</w:t>
            </w:r>
          </w:p>
        </w:tc>
        <w:tc>
          <w:tcPr>
            <w:tcW w:w="727" w:type="pct"/>
            <w:tcBorders>
              <w:top w:val="nil"/>
              <w:left w:val="single" w:sz="4" w:space="0" w:color="auto"/>
              <w:bottom w:val="single" w:sz="4" w:space="0" w:color="auto"/>
              <w:right w:val="single" w:sz="4" w:space="0" w:color="auto"/>
            </w:tcBorders>
            <w:shd w:val="clear" w:color="000000" w:fill="BFBFBF"/>
            <w:noWrap/>
            <w:vAlign w:val="bottom"/>
          </w:tcPr>
          <w:p w14:paraId="7C97D448" w14:textId="0573B3A8" w:rsidR="00956F13" w:rsidRPr="0036007C" w:rsidRDefault="00956F13" w:rsidP="00F76882">
            <w:pPr>
              <w:pStyle w:val="Tabletext"/>
            </w:pPr>
            <w:r w:rsidRPr="0036007C">
              <w:t>9</w:t>
            </w:r>
          </w:p>
        </w:tc>
        <w:tc>
          <w:tcPr>
            <w:tcW w:w="658" w:type="pct"/>
            <w:tcBorders>
              <w:top w:val="nil"/>
              <w:left w:val="nil"/>
              <w:bottom w:val="single" w:sz="4" w:space="0" w:color="auto"/>
              <w:right w:val="single" w:sz="4" w:space="0" w:color="auto"/>
            </w:tcBorders>
            <w:shd w:val="clear" w:color="000000" w:fill="BFBFBF"/>
            <w:noWrap/>
            <w:vAlign w:val="bottom"/>
          </w:tcPr>
          <w:p w14:paraId="67B7BFF9" w14:textId="42BFD779" w:rsidR="00956F13" w:rsidRPr="0036007C" w:rsidRDefault="00956F13" w:rsidP="00F76882">
            <w:pPr>
              <w:pStyle w:val="Tabletext"/>
            </w:pPr>
            <w:r w:rsidRPr="0036007C">
              <w:t>45</w:t>
            </w:r>
          </w:p>
        </w:tc>
      </w:tr>
      <w:tr w:rsidR="00956F13" w:rsidRPr="0036007C" w14:paraId="4CD33D22" w14:textId="77777777" w:rsidTr="00956F13">
        <w:trPr>
          <w:trHeight w:val="870"/>
        </w:trPr>
        <w:tc>
          <w:tcPr>
            <w:tcW w:w="1568" w:type="pct"/>
            <w:tcBorders>
              <w:top w:val="nil"/>
              <w:left w:val="single" w:sz="4" w:space="0" w:color="auto"/>
              <w:bottom w:val="single" w:sz="4" w:space="0" w:color="auto"/>
              <w:right w:val="single" w:sz="4" w:space="0" w:color="auto"/>
            </w:tcBorders>
            <w:vAlign w:val="bottom"/>
            <w:hideMark/>
          </w:tcPr>
          <w:p w14:paraId="09C68C67" w14:textId="248C947A" w:rsidR="00956F13" w:rsidRPr="0036007C" w:rsidRDefault="00956F13" w:rsidP="00F76882">
            <w:pPr>
              <w:pStyle w:val="Tabletextleft"/>
            </w:pPr>
            <w:r w:rsidRPr="0036007C">
              <w:t>Requiring neither screening nor treatment for trachoma (G=A-B-D)</w:t>
            </w:r>
          </w:p>
        </w:tc>
        <w:tc>
          <w:tcPr>
            <w:tcW w:w="660" w:type="pct"/>
            <w:tcBorders>
              <w:top w:val="nil"/>
              <w:left w:val="nil"/>
              <w:bottom w:val="single" w:sz="4" w:space="0" w:color="auto"/>
              <w:right w:val="single" w:sz="4" w:space="0" w:color="auto"/>
            </w:tcBorders>
            <w:noWrap/>
            <w:vAlign w:val="bottom"/>
          </w:tcPr>
          <w:p w14:paraId="2104F8E7" w14:textId="54BA1393" w:rsidR="00956F13" w:rsidRPr="0036007C" w:rsidRDefault="00956F13" w:rsidP="00F76882">
            <w:pPr>
              <w:pStyle w:val="Tabletext"/>
            </w:pPr>
            <w:r w:rsidRPr="0036007C">
              <w:t>0</w:t>
            </w:r>
          </w:p>
        </w:tc>
        <w:tc>
          <w:tcPr>
            <w:tcW w:w="660" w:type="pct"/>
            <w:tcBorders>
              <w:top w:val="nil"/>
              <w:left w:val="nil"/>
              <w:bottom w:val="single" w:sz="4" w:space="0" w:color="auto"/>
              <w:right w:val="single" w:sz="4" w:space="0" w:color="auto"/>
            </w:tcBorders>
            <w:noWrap/>
            <w:vAlign w:val="bottom"/>
          </w:tcPr>
          <w:p w14:paraId="56CD7335" w14:textId="018DC759" w:rsidR="00956F13" w:rsidRPr="0036007C" w:rsidRDefault="00956F13" w:rsidP="00F76882">
            <w:pPr>
              <w:pStyle w:val="Tabletext"/>
            </w:pPr>
            <w:r w:rsidRPr="0036007C">
              <w:t>0</w:t>
            </w:r>
          </w:p>
        </w:tc>
        <w:tc>
          <w:tcPr>
            <w:tcW w:w="727" w:type="pct"/>
            <w:tcBorders>
              <w:top w:val="single" w:sz="4" w:space="0" w:color="auto"/>
              <w:left w:val="nil"/>
              <w:bottom w:val="single" w:sz="4" w:space="0" w:color="auto"/>
              <w:right w:val="single" w:sz="4" w:space="0" w:color="auto"/>
            </w:tcBorders>
            <w:vAlign w:val="bottom"/>
          </w:tcPr>
          <w:p w14:paraId="5E473B36" w14:textId="372545C0" w:rsidR="00956F13" w:rsidRPr="0036007C" w:rsidRDefault="00956F13" w:rsidP="00F76882">
            <w:pPr>
              <w:pStyle w:val="Tabletext"/>
            </w:pPr>
            <w:r w:rsidRPr="0036007C">
              <w:t>0</w:t>
            </w:r>
          </w:p>
        </w:tc>
        <w:tc>
          <w:tcPr>
            <w:tcW w:w="727" w:type="pct"/>
            <w:tcBorders>
              <w:top w:val="nil"/>
              <w:left w:val="single" w:sz="4" w:space="0" w:color="auto"/>
              <w:bottom w:val="single" w:sz="4" w:space="0" w:color="auto"/>
              <w:right w:val="single" w:sz="4" w:space="0" w:color="auto"/>
            </w:tcBorders>
            <w:noWrap/>
            <w:vAlign w:val="bottom"/>
          </w:tcPr>
          <w:p w14:paraId="22C9A86C" w14:textId="2BF194DE" w:rsidR="00956F13" w:rsidRPr="0036007C" w:rsidRDefault="00956F13" w:rsidP="00F76882">
            <w:pPr>
              <w:pStyle w:val="Tabletext"/>
            </w:pPr>
            <w:r w:rsidRPr="0036007C">
              <w:t>0</w:t>
            </w:r>
          </w:p>
        </w:tc>
        <w:tc>
          <w:tcPr>
            <w:tcW w:w="658" w:type="pct"/>
            <w:tcBorders>
              <w:top w:val="nil"/>
              <w:left w:val="nil"/>
              <w:bottom w:val="single" w:sz="4" w:space="0" w:color="auto"/>
              <w:right w:val="single" w:sz="4" w:space="0" w:color="auto"/>
            </w:tcBorders>
            <w:noWrap/>
            <w:vAlign w:val="bottom"/>
          </w:tcPr>
          <w:p w14:paraId="2D4F0DDA" w14:textId="6DE8DDD7" w:rsidR="00956F13" w:rsidRPr="0036007C" w:rsidRDefault="00956F13" w:rsidP="00F76882">
            <w:pPr>
              <w:pStyle w:val="Tabletext"/>
            </w:pPr>
            <w:r w:rsidRPr="0036007C">
              <w:t>0</w:t>
            </w:r>
          </w:p>
        </w:tc>
      </w:tr>
    </w:tbl>
    <w:p w14:paraId="5CD1A51D" w14:textId="77777777" w:rsidR="004323D3" w:rsidRPr="00A33DD2" w:rsidRDefault="004323D3" w:rsidP="00F76882">
      <w:pPr>
        <w:pStyle w:val="tablefigfootnote"/>
      </w:pPr>
      <w:r w:rsidRPr="00A33DD2">
        <w:t>* As defined by each jurisdiction, including communities identified for evidence confirmation screening for final-year dossier validation surveillance (refer to Findings and interpretation).</w:t>
      </w:r>
    </w:p>
    <w:p w14:paraId="0F26369D" w14:textId="4D0243CA" w:rsidR="006F32BC" w:rsidRPr="0036007C" w:rsidRDefault="006F32BC" w:rsidP="00F76882">
      <w:pPr>
        <w:pStyle w:val="tablefigfootnote"/>
        <w:rPr>
          <w:lang w:eastAsia="en-US"/>
        </w:rPr>
      </w:pPr>
      <w:r w:rsidRPr="0036007C">
        <w:rPr>
          <w:lang w:eastAsia="en-US"/>
        </w:rPr>
        <w:t xml:space="preserve">† As per </w:t>
      </w:r>
      <w:r w:rsidR="00BC14BB" w:rsidRPr="0036007C">
        <w:rPr>
          <w:lang w:eastAsia="en-US"/>
        </w:rPr>
        <w:t xml:space="preserve">CDNA </w:t>
      </w:r>
      <w:r w:rsidRPr="0036007C">
        <w:rPr>
          <w:lang w:eastAsia="en-US"/>
        </w:rPr>
        <w:t>Guidelines</w:t>
      </w:r>
      <w:r w:rsidR="000B705F" w:rsidRPr="0036007C">
        <w:rPr>
          <w:lang w:eastAsia="en-US"/>
        </w:rPr>
        <w:t>.</w:t>
      </w:r>
    </w:p>
    <w:p w14:paraId="4809E2DA" w14:textId="77777777" w:rsidR="006F32BC" w:rsidRPr="00F76882" w:rsidRDefault="006F32BC" w:rsidP="00F76882">
      <w:pPr>
        <w:sectPr w:rsidR="006F32BC" w:rsidRPr="00F76882" w:rsidSect="00646111">
          <w:pgSz w:w="11906" w:h="16838"/>
          <w:pgMar w:top="680" w:right="720" w:bottom="680" w:left="720" w:header="709" w:footer="709" w:gutter="0"/>
          <w:cols w:space="708"/>
          <w:docGrid w:linePitch="360"/>
        </w:sectPr>
      </w:pPr>
      <w:bookmarkStart w:id="254" w:name="_Toc392153900"/>
      <w:bookmarkStart w:id="255" w:name="Table22"/>
    </w:p>
    <w:p w14:paraId="3E50996A" w14:textId="67FB4C43" w:rsidR="006F32BC" w:rsidRPr="0036007C" w:rsidRDefault="006F32BC" w:rsidP="00F76882">
      <w:pPr>
        <w:pStyle w:val="Tableheadings"/>
      </w:pPr>
      <w:bookmarkStart w:id="256" w:name="_Table_2.2_Trachoma"/>
      <w:bookmarkStart w:id="257" w:name="_Ref58336228"/>
      <w:bookmarkStart w:id="258" w:name="Table24"/>
      <w:bookmarkStart w:id="259" w:name="_Toc215224703"/>
      <w:bookmarkEnd w:id="254"/>
      <w:bookmarkEnd w:id="255"/>
      <w:bookmarkEnd w:id="256"/>
      <w:r w:rsidRPr="0036007C">
        <w:t xml:space="preserve">Table </w:t>
      </w:r>
      <w:bookmarkEnd w:id="257"/>
      <w:r w:rsidR="00B9209A" w:rsidRPr="0036007C">
        <w:t>2.2</w:t>
      </w:r>
      <w:r w:rsidRPr="0036007C">
        <w:tab/>
        <w:t>Trachoma screening coverage, trachoma prevalence</w:t>
      </w:r>
      <w:r w:rsidR="000A64E1" w:rsidRPr="0036007C">
        <w:t xml:space="preserve">, and </w:t>
      </w:r>
      <w:r w:rsidRPr="0036007C">
        <w:t xml:space="preserve">clean face </w:t>
      </w:r>
      <w:r w:rsidR="00903A0B" w:rsidRPr="0036007C">
        <w:t>proportion</w:t>
      </w:r>
      <w:r w:rsidR="004872EC" w:rsidRPr="0036007C">
        <w:t xml:space="preserve"> </w:t>
      </w:r>
      <w:r w:rsidR="001C1CB2" w:rsidRPr="0036007C">
        <w:t>in</w:t>
      </w:r>
      <w:r w:rsidR="00CC4940" w:rsidRPr="0036007C">
        <w:t xml:space="preserve"> children aged</w:t>
      </w:r>
      <w:r w:rsidR="001C1CB2" w:rsidRPr="0036007C">
        <w:t xml:space="preserve"> 5</w:t>
      </w:r>
      <w:r w:rsidR="003D00CE" w:rsidRPr="0036007C">
        <w:t>–</w:t>
      </w:r>
      <w:r w:rsidR="001C1CB2" w:rsidRPr="0036007C">
        <w:t xml:space="preserve">9 </w:t>
      </w:r>
      <w:r w:rsidR="00CC4940" w:rsidRPr="0036007C">
        <w:t>years</w:t>
      </w:r>
      <w:r w:rsidRPr="0036007C">
        <w:t xml:space="preserve"> by region, Northern Territory</w:t>
      </w:r>
      <w:r w:rsidR="001937AB" w:rsidRPr="0036007C">
        <w:t>,</w:t>
      </w:r>
      <w:r w:rsidRPr="0036007C">
        <w:t xml:space="preserve"> </w:t>
      </w:r>
      <w:r w:rsidR="00E76BB4" w:rsidRPr="0036007C">
        <w:t>202</w:t>
      </w:r>
      <w:r w:rsidR="00493091" w:rsidRPr="0036007C">
        <w:t>4</w:t>
      </w:r>
      <w:bookmarkEnd w:id="259"/>
    </w:p>
    <w:tbl>
      <w:tblPr>
        <w:tblW w:w="9679" w:type="dxa"/>
        <w:tblLook w:val="04A0" w:firstRow="1" w:lastRow="0" w:firstColumn="1" w:lastColumn="0" w:noHBand="0" w:noVBand="1"/>
        <w:tblCaption w:val="Trachoma screening coverage, trachoma prevalence, and clean face proportion in children aged 5‑9 years by region, Northern Territory, 2024"/>
        <w:tblDescription w:val="Table 2.2 compares the numbers and proportions of children in communities screened for trachoma and facial cleanliness. Data is presented for Alice Springs Remote, Barkly, Darwin Rural, Katherine, and the cumulative total.&#10;"/>
      </w:tblPr>
      <w:tblGrid>
        <w:gridCol w:w="2989"/>
        <w:gridCol w:w="1338"/>
        <w:gridCol w:w="1338"/>
        <w:gridCol w:w="1338"/>
        <w:gridCol w:w="1338"/>
        <w:gridCol w:w="1338"/>
      </w:tblGrid>
      <w:tr w:rsidR="00247008" w:rsidRPr="0036007C" w14:paraId="59E45A90" w14:textId="77777777" w:rsidTr="004609FA">
        <w:trPr>
          <w:trHeight w:val="580"/>
          <w:tblHeader/>
        </w:trPr>
        <w:tc>
          <w:tcPr>
            <w:tcW w:w="298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A245788" w14:textId="77777777" w:rsidR="00247008" w:rsidRPr="0036007C" w:rsidRDefault="00247008" w:rsidP="00F76882">
            <w:pPr>
              <w:pStyle w:val="Tableheading"/>
              <w:rPr>
                <w:lang w:eastAsia="en-AU"/>
              </w:rPr>
            </w:pPr>
            <w:r w:rsidRPr="0036007C">
              <w:t> </w:t>
            </w:r>
          </w:p>
        </w:tc>
        <w:tc>
          <w:tcPr>
            <w:tcW w:w="1338" w:type="dxa"/>
            <w:tcBorders>
              <w:top w:val="single" w:sz="4" w:space="0" w:color="auto"/>
              <w:left w:val="nil"/>
              <w:bottom w:val="single" w:sz="4" w:space="0" w:color="auto"/>
              <w:right w:val="single" w:sz="4" w:space="0" w:color="auto"/>
            </w:tcBorders>
            <w:shd w:val="clear" w:color="000000" w:fill="BFBFBF"/>
            <w:vAlign w:val="bottom"/>
            <w:hideMark/>
          </w:tcPr>
          <w:p w14:paraId="7F3EC203" w14:textId="77777777" w:rsidR="00247008" w:rsidRPr="0036007C" w:rsidRDefault="00247008" w:rsidP="00F76882">
            <w:pPr>
              <w:pStyle w:val="Tableheading"/>
            </w:pPr>
            <w:r w:rsidRPr="0036007C">
              <w:t>Alice Springs Remote</w:t>
            </w:r>
          </w:p>
        </w:tc>
        <w:tc>
          <w:tcPr>
            <w:tcW w:w="1338" w:type="dxa"/>
            <w:tcBorders>
              <w:top w:val="single" w:sz="4" w:space="0" w:color="auto"/>
              <w:left w:val="nil"/>
              <w:bottom w:val="single" w:sz="4" w:space="0" w:color="auto"/>
              <w:right w:val="single" w:sz="4" w:space="0" w:color="auto"/>
            </w:tcBorders>
            <w:shd w:val="clear" w:color="000000" w:fill="BFBFBF"/>
            <w:vAlign w:val="bottom"/>
            <w:hideMark/>
          </w:tcPr>
          <w:p w14:paraId="25A5E37A" w14:textId="77777777" w:rsidR="00247008" w:rsidRPr="0036007C" w:rsidRDefault="00247008" w:rsidP="00F76882">
            <w:pPr>
              <w:pStyle w:val="Tableheading"/>
            </w:pPr>
            <w:r w:rsidRPr="0036007C">
              <w:t>Barkly</w:t>
            </w:r>
          </w:p>
        </w:tc>
        <w:tc>
          <w:tcPr>
            <w:tcW w:w="1338" w:type="dxa"/>
            <w:tcBorders>
              <w:top w:val="single" w:sz="4" w:space="0" w:color="auto"/>
              <w:left w:val="nil"/>
              <w:bottom w:val="single" w:sz="4" w:space="0" w:color="auto"/>
              <w:right w:val="single" w:sz="4" w:space="0" w:color="auto"/>
            </w:tcBorders>
            <w:shd w:val="clear" w:color="000000" w:fill="BFBFBF"/>
            <w:vAlign w:val="bottom"/>
            <w:hideMark/>
          </w:tcPr>
          <w:p w14:paraId="681498DC" w14:textId="77777777" w:rsidR="00247008" w:rsidRPr="0036007C" w:rsidRDefault="00247008" w:rsidP="00F76882">
            <w:pPr>
              <w:pStyle w:val="Tableheading"/>
            </w:pPr>
            <w:r w:rsidRPr="0036007C">
              <w:t>Darwin Rural</w:t>
            </w:r>
          </w:p>
        </w:tc>
        <w:tc>
          <w:tcPr>
            <w:tcW w:w="1338" w:type="dxa"/>
            <w:tcBorders>
              <w:top w:val="single" w:sz="4" w:space="0" w:color="auto"/>
              <w:left w:val="nil"/>
              <w:bottom w:val="single" w:sz="4" w:space="0" w:color="auto"/>
              <w:right w:val="single" w:sz="4" w:space="0" w:color="auto"/>
            </w:tcBorders>
            <w:shd w:val="clear" w:color="000000" w:fill="BFBFBF"/>
            <w:vAlign w:val="bottom"/>
            <w:hideMark/>
          </w:tcPr>
          <w:p w14:paraId="1C916B81" w14:textId="77777777" w:rsidR="00247008" w:rsidRPr="0036007C" w:rsidRDefault="00247008" w:rsidP="00F76882">
            <w:pPr>
              <w:pStyle w:val="Tableheading"/>
            </w:pPr>
            <w:r w:rsidRPr="0036007C">
              <w:t>Katherine</w:t>
            </w:r>
          </w:p>
        </w:tc>
        <w:tc>
          <w:tcPr>
            <w:tcW w:w="1338" w:type="dxa"/>
            <w:tcBorders>
              <w:top w:val="single" w:sz="4" w:space="0" w:color="auto"/>
              <w:left w:val="nil"/>
              <w:bottom w:val="single" w:sz="4" w:space="0" w:color="auto"/>
              <w:right w:val="single" w:sz="4" w:space="0" w:color="auto"/>
            </w:tcBorders>
            <w:shd w:val="clear" w:color="000000" w:fill="BFBFBF"/>
            <w:vAlign w:val="bottom"/>
            <w:hideMark/>
          </w:tcPr>
          <w:p w14:paraId="11D600AB" w14:textId="77777777" w:rsidR="00247008" w:rsidRPr="0036007C" w:rsidRDefault="00247008" w:rsidP="00F76882">
            <w:pPr>
              <w:pStyle w:val="Tableheading"/>
            </w:pPr>
            <w:r w:rsidRPr="0036007C">
              <w:t>Total</w:t>
            </w:r>
          </w:p>
        </w:tc>
      </w:tr>
      <w:tr w:rsidR="00247008" w:rsidRPr="0036007C" w14:paraId="0E1CEAD9" w14:textId="77777777" w:rsidTr="00247008">
        <w:trPr>
          <w:trHeight w:val="580"/>
        </w:trPr>
        <w:tc>
          <w:tcPr>
            <w:tcW w:w="2989" w:type="dxa"/>
            <w:tcBorders>
              <w:top w:val="nil"/>
              <w:left w:val="single" w:sz="4" w:space="0" w:color="auto"/>
              <w:bottom w:val="single" w:sz="4" w:space="0" w:color="auto"/>
              <w:right w:val="single" w:sz="4" w:space="0" w:color="auto"/>
            </w:tcBorders>
            <w:vAlign w:val="bottom"/>
            <w:hideMark/>
          </w:tcPr>
          <w:p w14:paraId="28733A3A" w14:textId="77777777" w:rsidR="00247008" w:rsidRPr="003D3BBA" w:rsidRDefault="00247008" w:rsidP="00F76882">
            <w:pPr>
              <w:pStyle w:val="Tabletextleft"/>
            </w:pPr>
            <w:r w:rsidRPr="003D3BBA">
              <w:t>Number of communities screened</w:t>
            </w:r>
          </w:p>
        </w:tc>
        <w:tc>
          <w:tcPr>
            <w:tcW w:w="1338" w:type="dxa"/>
            <w:tcBorders>
              <w:top w:val="nil"/>
              <w:left w:val="nil"/>
              <w:bottom w:val="single" w:sz="4" w:space="0" w:color="auto"/>
              <w:right w:val="single" w:sz="4" w:space="0" w:color="auto"/>
            </w:tcBorders>
            <w:noWrap/>
            <w:vAlign w:val="bottom"/>
          </w:tcPr>
          <w:p w14:paraId="678D9CD5" w14:textId="6953CF00" w:rsidR="00247008" w:rsidRPr="003D3BBA" w:rsidRDefault="00247008" w:rsidP="00F76882">
            <w:pPr>
              <w:pStyle w:val="Tabletext"/>
            </w:pPr>
            <w:r w:rsidRPr="003D3BBA">
              <w:t>26</w:t>
            </w:r>
          </w:p>
        </w:tc>
        <w:tc>
          <w:tcPr>
            <w:tcW w:w="1338" w:type="dxa"/>
            <w:tcBorders>
              <w:top w:val="nil"/>
              <w:left w:val="nil"/>
              <w:bottom w:val="single" w:sz="4" w:space="0" w:color="auto"/>
              <w:right w:val="single" w:sz="4" w:space="0" w:color="auto"/>
            </w:tcBorders>
            <w:noWrap/>
            <w:vAlign w:val="bottom"/>
          </w:tcPr>
          <w:p w14:paraId="3EC68872" w14:textId="4F392E68" w:rsidR="00247008" w:rsidRPr="003D3BBA" w:rsidRDefault="00247008" w:rsidP="00F76882">
            <w:pPr>
              <w:pStyle w:val="Tabletext"/>
            </w:pPr>
            <w:r w:rsidRPr="003D3BBA">
              <w:t>8</w:t>
            </w:r>
          </w:p>
        </w:tc>
        <w:tc>
          <w:tcPr>
            <w:tcW w:w="1338" w:type="dxa"/>
            <w:tcBorders>
              <w:top w:val="nil"/>
              <w:left w:val="nil"/>
              <w:bottom w:val="single" w:sz="4" w:space="0" w:color="auto"/>
              <w:right w:val="single" w:sz="4" w:space="0" w:color="auto"/>
            </w:tcBorders>
            <w:noWrap/>
            <w:vAlign w:val="bottom"/>
          </w:tcPr>
          <w:p w14:paraId="616D5AEC" w14:textId="5FB62BD6" w:rsidR="00247008" w:rsidRPr="003D3BBA" w:rsidRDefault="00247008" w:rsidP="00F76882">
            <w:pPr>
              <w:pStyle w:val="Tabletext"/>
            </w:pPr>
            <w:r w:rsidRPr="003D3BBA">
              <w:t>2</w:t>
            </w:r>
          </w:p>
        </w:tc>
        <w:tc>
          <w:tcPr>
            <w:tcW w:w="1338" w:type="dxa"/>
            <w:tcBorders>
              <w:top w:val="nil"/>
              <w:left w:val="nil"/>
              <w:bottom w:val="single" w:sz="4" w:space="0" w:color="auto"/>
              <w:right w:val="single" w:sz="4" w:space="0" w:color="auto"/>
            </w:tcBorders>
            <w:noWrap/>
            <w:vAlign w:val="bottom"/>
          </w:tcPr>
          <w:p w14:paraId="0812508E" w14:textId="6313CEA3" w:rsidR="00247008" w:rsidRPr="003D3BBA" w:rsidRDefault="00247008" w:rsidP="00F76882">
            <w:pPr>
              <w:pStyle w:val="Tabletext"/>
            </w:pPr>
            <w:r w:rsidRPr="003D3BBA">
              <w:t>9</w:t>
            </w:r>
          </w:p>
        </w:tc>
        <w:tc>
          <w:tcPr>
            <w:tcW w:w="1338" w:type="dxa"/>
            <w:tcBorders>
              <w:top w:val="nil"/>
              <w:left w:val="nil"/>
              <w:bottom w:val="single" w:sz="4" w:space="0" w:color="auto"/>
              <w:right w:val="single" w:sz="4" w:space="0" w:color="auto"/>
            </w:tcBorders>
            <w:noWrap/>
            <w:vAlign w:val="bottom"/>
          </w:tcPr>
          <w:p w14:paraId="41A911CE" w14:textId="09EB308A" w:rsidR="00247008" w:rsidRPr="003D3BBA" w:rsidRDefault="00247008" w:rsidP="00F76882">
            <w:pPr>
              <w:pStyle w:val="Tabletext"/>
            </w:pPr>
            <w:r w:rsidRPr="003D3BBA">
              <w:t>45</w:t>
            </w:r>
          </w:p>
        </w:tc>
      </w:tr>
      <w:tr w:rsidR="00247008" w:rsidRPr="0036007C" w14:paraId="0D301E47" w14:textId="77777777" w:rsidTr="00247008">
        <w:trPr>
          <w:trHeight w:val="870"/>
        </w:trPr>
        <w:tc>
          <w:tcPr>
            <w:tcW w:w="2989" w:type="dxa"/>
            <w:tcBorders>
              <w:top w:val="nil"/>
              <w:left w:val="single" w:sz="4" w:space="0" w:color="auto"/>
              <w:bottom w:val="single" w:sz="4" w:space="0" w:color="auto"/>
              <w:right w:val="single" w:sz="4" w:space="0" w:color="auto"/>
            </w:tcBorders>
            <w:shd w:val="clear" w:color="000000" w:fill="BFBFBF"/>
            <w:vAlign w:val="bottom"/>
            <w:hideMark/>
          </w:tcPr>
          <w:p w14:paraId="066A469A" w14:textId="77777777" w:rsidR="00247008" w:rsidRPr="003D3BBA" w:rsidRDefault="00247008" w:rsidP="00F76882">
            <w:pPr>
              <w:pStyle w:val="Tabletextleft"/>
            </w:pPr>
            <w:r w:rsidRPr="003D3BBA">
              <w:t>Estimated number* of Aboriginal children in communities</w:t>
            </w:r>
          </w:p>
        </w:tc>
        <w:tc>
          <w:tcPr>
            <w:tcW w:w="1338" w:type="dxa"/>
            <w:tcBorders>
              <w:top w:val="nil"/>
              <w:left w:val="nil"/>
              <w:bottom w:val="single" w:sz="4" w:space="0" w:color="auto"/>
              <w:right w:val="single" w:sz="4" w:space="0" w:color="auto"/>
            </w:tcBorders>
            <w:shd w:val="clear" w:color="000000" w:fill="BFBFBF"/>
            <w:noWrap/>
            <w:vAlign w:val="bottom"/>
          </w:tcPr>
          <w:p w14:paraId="3623252A" w14:textId="1EB1D223" w:rsidR="00247008" w:rsidRPr="003D3BBA" w:rsidRDefault="00247008" w:rsidP="00F76882">
            <w:pPr>
              <w:pStyle w:val="Tabletext"/>
            </w:pPr>
            <w:r w:rsidRPr="003D3BBA">
              <w:t>653</w:t>
            </w:r>
          </w:p>
        </w:tc>
        <w:tc>
          <w:tcPr>
            <w:tcW w:w="1338" w:type="dxa"/>
            <w:tcBorders>
              <w:top w:val="nil"/>
              <w:left w:val="nil"/>
              <w:bottom w:val="single" w:sz="4" w:space="0" w:color="auto"/>
              <w:right w:val="single" w:sz="4" w:space="0" w:color="auto"/>
            </w:tcBorders>
            <w:shd w:val="clear" w:color="000000" w:fill="BFBFBF"/>
            <w:noWrap/>
            <w:vAlign w:val="bottom"/>
          </w:tcPr>
          <w:p w14:paraId="7D557DF7" w14:textId="26D73E71" w:rsidR="00247008" w:rsidRPr="003D3BBA" w:rsidRDefault="00247008" w:rsidP="00F76882">
            <w:pPr>
              <w:pStyle w:val="Tabletext"/>
            </w:pPr>
            <w:r w:rsidRPr="003D3BBA">
              <w:t>327</w:t>
            </w:r>
          </w:p>
        </w:tc>
        <w:tc>
          <w:tcPr>
            <w:tcW w:w="1338" w:type="dxa"/>
            <w:tcBorders>
              <w:top w:val="nil"/>
              <w:left w:val="nil"/>
              <w:bottom w:val="single" w:sz="4" w:space="0" w:color="auto"/>
              <w:right w:val="single" w:sz="4" w:space="0" w:color="auto"/>
            </w:tcBorders>
            <w:shd w:val="clear" w:color="000000" w:fill="BFBFBF"/>
            <w:noWrap/>
            <w:vAlign w:val="bottom"/>
          </w:tcPr>
          <w:p w14:paraId="53CE7865" w14:textId="2A833198" w:rsidR="00247008" w:rsidRPr="003D3BBA" w:rsidRDefault="00247008" w:rsidP="00F76882">
            <w:pPr>
              <w:pStyle w:val="Tabletext"/>
            </w:pPr>
            <w:r w:rsidRPr="003D3BBA">
              <w:t>38</w:t>
            </w:r>
          </w:p>
        </w:tc>
        <w:tc>
          <w:tcPr>
            <w:tcW w:w="1338" w:type="dxa"/>
            <w:tcBorders>
              <w:top w:val="nil"/>
              <w:left w:val="nil"/>
              <w:bottom w:val="single" w:sz="4" w:space="0" w:color="auto"/>
              <w:right w:val="single" w:sz="4" w:space="0" w:color="auto"/>
            </w:tcBorders>
            <w:shd w:val="clear" w:color="000000" w:fill="BFBFBF"/>
            <w:noWrap/>
            <w:vAlign w:val="bottom"/>
          </w:tcPr>
          <w:p w14:paraId="62BAD0CC" w14:textId="0ABC16A5" w:rsidR="00247008" w:rsidRPr="003D3BBA" w:rsidRDefault="00247008" w:rsidP="00F76882">
            <w:pPr>
              <w:pStyle w:val="Tabletext"/>
            </w:pPr>
            <w:r w:rsidRPr="003D3BBA">
              <w:t>291</w:t>
            </w:r>
          </w:p>
        </w:tc>
        <w:tc>
          <w:tcPr>
            <w:tcW w:w="1338" w:type="dxa"/>
            <w:tcBorders>
              <w:top w:val="nil"/>
              <w:left w:val="nil"/>
              <w:bottom w:val="single" w:sz="4" w:space="0" w:color="auto"/>
              <w:right w:val="single" w:sz="4" w:space="0" w:color="auto"/>
            </w:tcBorders>
            <w:shd w:val="clear" w:color="000000" w:fill="BFBFBF"/>
            <w:noWrap/>
            <w:vAlign w:val="bottom"/>
          </w:tcPr>
          <w:p w14:paraId="33E9034B" w14:textId="6CBD66C5" w:rsidR="00247008" w:rsidRPr="003D3BBA" w:rsidRDefault="00247008" w:rsidP="00F76882">
            <w:pPr>
              <w:pStyle w:val="Tabletext"/>
            </w:pPr>
            <w:r w:rsidRPr="003D3BBA">
              <w:t>1309</w:t>
            </w:r>
          </w:p>
        </w:tc>
      </w:tr>
      <w:tr w:rsidR="00247008" w:rsidRPr="0036007C" w14:paraId="7B4EE8EA" w14:textId="77777777" w:rsidTr="00247008">
        <w:trPr>
          <w:trHeight w:val="580"/>
        </w:trPr>
        <w:tc>
          <w:tcPr>
            <w:tcW w:w="2989" w:type="dxa"/>
            <w:tcBorders>
              <w:top w:val="nil"/>
              <w:left w:val="single" w:sz="4" w:space="0" w:color="auto"/>
              <w:bottom w:val="single" w:sz="4" w:space="0" w:color="auto"/>
              <w:right w:val="single" w:sz="4" w:space="0" w:color="auto"/>
            </w:tcBorders>
            <w:vAlign w:val="bottom"/>
            <w:hideMark/>
          </w:tcPr>
          <w:p w14:paraId="0A064EF5" w14:textId="77777777" w:rsidR="00247008" w:rsidRPr="003D3BBA" w:rsidRDefault="00247008" w:rsidP="00F76882">
            <w:pPr>
              <w:pStyle w:val="Tabletextleft"/>
            </w:pPr>
            <w:r w:rsidRPr="003D3BBA">
              <w:t>Children examined for clean face</w:t>
            </w:r>
          </w:p>
        </w:tc>
        <w:tc>
          <w:tcPr>
            <w:tcW w:w="1338" w:type="dxa"/>
            <w:tcBorders>
              <w:top w:val="nil"/>
              <w:left w:val="nil"/>
              <w:bottom w:val="single" w:sz="4" w:space="0" w:color="auto"/>
              <w:right w:val="single" w:sz="4" w:space="0" w:color="auto"/>
            </w:tcBorders>
            <w:noWrap/>
            <w:vAlign w:val="bottom"/>
          </w:tcPr>
          <w:p w14:paraId="2F0FB338" w14:textId="391C8190" w:rsidR="00247008" w:rsidRPr="003D3BBA" w:rsidRDefault="00247008" w:rsidP="00F76882">
            <w:pPr>
              <w:pStyle w:val="Tabletext"/>
            </w:pPr>
            <w:r w:rsidRPr="003D3BBA">
              <w:t>634</w:t>
            </w:r>
          </w:p>
        </w:tc>
        <w:tc>
          <w:tcPr>
            <w:tcW w:w="1338" w:type="dxa"/>
            <w:tcBorders>
              <w:top w:val="nil"/>
              <w:left w:val="nil"/>
              <w:bottom w:val="single" w:sz="4" w:space="0" w:color="auto"/>
              <w:right w:val="single" w:sz="4" w:space="0" w:color="auto"/>
            </w:tcBorders>
            <w:noWrap/>
            <w:vAlign w:val="bottom"/>
          </w:tcPr>
          <w:p w14:paraId="085B3740" w14:textId="15A33DAB" w:rsidR="00247008" w:rsidRPr="003D3BBA" w:rsidRDefault="00247008" w:rsidP="00F76882">
            <w:pPr>
              <w:pStyle w:val="Tabletext"/>
            </w:pPr>
            <w:r w:rsidRPr="003D3BBA">
              <w:t>305</w:t>
            </w:r>
          </w:p>
        </w:tc>
        <w:tc>
          <w:tcPr>
            <w:tcW w:w="1338" w:type="dxa"/>
            <w:tcBorders>
              <w:top w:val="nil"/>
              <w:left w:val="nil"/>
              <w:bottom w:val="single" w:sz="4" w:space="0" w:color="auto"/>
              <w:right w:val="single" w:sz="4" w:space="0" w:color="auto"/>
            </w:tcBorders>
            <w:noWrap/>
            <w:vAlign w:val="bottom"/>
          </w:tcPr>
          <w:p w14:paraId="2E6345CD" w14:textId="3281801F" w:rsidR="00247008" w:rsidRPr="003D3BBA" w:rsidRDefault="00247008" w:rsidP="00F76882">
            <w:pPr>
              <w:pStyle w:val="Tabletext"/>
            </w:pPr>
            <w:r w:rsidRPr="003D3BBA">
              <w:t>38</w:t>
            </w:r>
          </w:p>
        </w:tc>
        <w:tc>
          <w:tcPr>
            <w:tcW w:w="1338" w:type="dxa"/>
            <w:tcBorders>
              <w:top w:val="nil"/>
              <w:left w:val="nil"/>
              <w:bottom w:val="single" w:sz="4" w:space="0" w:color="auto"/>
              <w:right w:val="single" w:sz="4" w:space="0" w:color="auto"/>
            </w:tcBorders>
            <w:noWrap/>
            <w:vAlign w:val="bottom"/>
          </w:tcPr>
          <w:p w14:paraId="224D07CE" w14:textId="4890C6DD" w:rsidR="00247008" w:rsidRPr="003D3BBA" w:rsidRDefault="00247008" w:rsidP="00F76882">
            <w:pPr>
              <w:pStyle w:val="Tabletext"/>
            </w:pPr>
            <w:r w:rsidRPr="003D3BBA">
              <w:t>275</w:t>
            </w:r>
          </w:p>
        </w:tc>
        <w:tc>
          <w:tcPr>
            <w:tcW w:w="1338" w:type="dxa"/>
            <w:tcBorders>
              <w:top w:val="nil"/>
              <w:left w:val="nil"/>
              <w:bottom w:val="single" w:sz="4" w:space="0" w:color="auto"/>
              <w:right w:val="single" w:sz="4" w:space="0" w:color="auto"/>
            </w:tcBorders>
            <w:noWrap/>
            <w:vAlign w:val="bottom"/>
          </w:tcPr>
          <w:p w14:paraId="00313871" w14:textId="7529EC1E" w:rsidR="00247008" w:rsidRPr="003D3BBA" w:rsidRDefault="00247008" w:rsidP="00F76882">
            <w:pPr>
              <w:pStyle w:val="Tabletext"/>
            </w:pPr>
            <w:r w:rsidRPr="003D3BBA">
              <w:t>1252</w:t>
            </w:r>
          </w:p>
        </w:tc>
      </w:tr>
      <w:tr w:rsidR="00247008" w:rsidRPr="0036007C" w14:paraId="7D6526A5" w14:textId="77777777" w:rsidTr="00247008">
        <w:trPr>
          <w:trHeight w:val="290"/>
        </w:trPr>
        <w:tc>
          <w:tcPr>
            <w:tcW w:w="2989" w:type="dxa"/>
            <w:tcBorders>
              <w:top w:val="nil"/>
              <w:left w:val="single" w:sz="4" w:space="0" w:color="auto"/>
              <w:bottom w:val="single" w:sz="4" w:space="0" w:color="auto"/>
              <w:right w:val="single" w:sz="4" w:space="0" w:color="auto"/>
            </w:tcBorders>
            <w:shd w:val="clear" w:color="000000" w:fill="BFBFBF"/>
            <w:vAlign w:val="bottom"/>
            <w:hideMark/>
          </w:tcPr>
          <w:p w14:paraId="1D4A5D1C" w14:textId="77777777" w:rsidR="00247008" w:rsidRPr="003D3BBA" w:rsidRDefault="00247008" w:rsidP="00F76882">
            <w:pPr>
              <w:pStyle w:val="Tabletextleft"/>
            </w:pPr>
            <w:r w:rsidRPr="003D3BBA">
              <w:t>Children with clean face</w:t>
            </w:r>
          </w:p>
        </w:tc>
        <w:tc>
          <w:tcPr>
            <w:tcW w:w="1338" w:type="dxa"/>
            <w:tcBorders>
              <w:top w:val="nil"/>
              <w:left w:val="nil"/>
              <w:bottom w:val="single" w:sz="4" w:space="0" w:color="auto"/>
              <w:right w:val="single" w:sz="4" w:space="0" w:color="auto"/>
            </w:tcBorders>
            <w:shd w:val="clear" w:color="000000" w:fill="BFBFBF"/>
            <w:noWrap/>
            <w:vAlign w:val="bottom"/>
          </w:tcPr>
          <w:p w14:paraId="48E2C606" w14:textId="645420F3" w:rsidR="00247008" w:rsidRPr="003D3BBA" w:rsidRDefault="00247008" w:rsidP="00F76882">
            <w:pPr>
              <w:pStyle w:val="Tabletext"/>
            </w:pPr>
            <w:r w:rsidRPr="003D3BBA">
              <w:t>453</w:t>
            </w:r>
          </w:p>
        </w:tc>
        <w:tc>
          <w:tcPr>
            <w:tcW w:w="1338" w:type="dxa"/>
            <w:tcBorders>
              <w:top w:val="nil"/>
              <w:left w:val="nil"/>
              <w:bottom w:val="single" w:sz="4" w:space="0" w:color="auto"/>
              <w:right w:val="single" w:sz="4" w:space="0" w:color="auto"/>
            </w:tcBorders>
            <w:shd w:val="clear" w:color="000000" w:fill="BFBFBF"/>
            <w:noWrap/>
            <w:vAlign w:val="bottom"/>
          </w:tcPr>
          <w:p w14:paraId="3ED3BFA1" w14:textId="0A80F368" w:rsidR="00247008" w:rsidRPr="003D3BBA" w:rsidRDefault="00247008" w:rsidP="00F76882">
            <w:pPr>
              <w:pStyle w:val="Tabletext"/>
            </w:pPr>
            <w:r w:rsidRPr="003D3BBA">
              <w:t>219</w:t>
            </w:r>
          </w:p>
        </w:tc>
        <w:tc>
          <w:tcPr>
            <w:tcW w:w="1338" w:type="dxa"/>
            <w:tcBorders>
              <w:top w:val="nil"/>
              <w:left w:val="nil"/>
              <w:bottom w:val="single" w:sz="4" w:space="0" w:color="auto"/>
              <w:right w:val="single" w:sz="4" w:space="0" w:color="auto"/>
            </w:tcBorders>
            <w:shd w:val="clear" w:color="000000" w:fill="BFBFBF"/>
            <w:noWrap/>
            <w:vAlign w:val="bottom"/>
          </w:tcPr>
          <w:p w14:paraId="5C6B4918" w14:textId="10068A31" w:rsidR="00247008" w:rsidRPr="003D3BBA" w:rsidRDefault="00247008" w:rsidP="00F76882">
            <w:pPr>
              <w:pStyle w:val="Tabletext"/>
            </w:pPr>
            <w:r w:rsidRPr="003D3BBA">
              <w:t>36</w:t>
            </w:r>
          </w:p>
        </w:tc>
        <w:tc>
          <w:tcPr>
            <w:tcW w:w="1338" w:type="dxa"/>
            <w:tcBorders>
              <w:top w:val="nil"/>
              <w:left w:val="nil"/>
              <w:bottom w:val="single" w:sz="4" w:space="0" w:color="auto"/>
              <w:right w:val="single" w:sz="4" w:space="0" w:color="auto"/>
            </w:tcBorders>
            <w:shd w:val="clear" w:color="000000" w:fill="BFBFBF"/>
            <w:noWrap/>
            <w:vAlign w:val="bottom"/>
          </w:tcPr>
          <w:p w14:paraId="2170295A" w14:textId="4A73098D" w:rsidR="00247008" w:rsidRPr="003D3BBA" w:rsidRDefault="00247008" w:rsidP="00F76882">
            <w:pPr>
              <w:pStyle w:val="Tabletext"/>
            </w:pPr>
            <w:r w:rsidRPr="003D3BBA">
              <w:t>240</w:t>
            </w:r>
          </w:p>
        </w:tc>
        <w:tc>
          <w:tcPr>
            <w:tcW w:w="1338" w:type="dxa"/>
            <w:tcBorders>
              <w:top w:val="nil"/>
              <w:left w:val="nil"/>
              <w:bottom w:val="single" w:sz="4" w:space="0" w:color="auto"/>
              <w:right w:val="single" w:sz="4" w:space="0" w:color="auto"/>
            </w:tcBorders>
            <w:shd w:val="clear" w:color="000000" w:fill="BFBFBF"/>
            <w:noWrap/>
            <w:vAlign w:val="bottom"/>
          </w:tcPr>
          <w:p w14:paraId="66EF177E" w14:textId="3A423C77" w:rsidR="00247008" w:rsidRPr="003D3BBA" w:rsidRDefault="00247008" w:rsidP="00F76882">
            <w:pPr>
              <w:pStyle w:val="Tabletext"/>
            </w:pPr>
            <w:r w:rsidRPr="003D3BBA">
              <w:t>948</w:t>
            </w:r>
          </w:p>
        </w:tc>
      </w:tr>
      <w:tr w:rsidR="00247008" w:rsidRPr="0036007C" w14:paraId="52F26DC5" w14:textId="77777777" w:rsidTr="00247008">
        <w:trPr>
          <w:trHeight w:val="290"/>
        </w:trPr>
        <w:tc>
          <w:tcPr>
            <w:tcW w:w="2989" w:type="dxa"/>
            <w:tcBorders>
              <w:top w:val="nil"/>
              <w:left w:val="single" w:sz="4" w:space="0" w:color="auto"/>
              <w:bottom w:val="single" w:sz="4" w:space="0" w:color="auto"/>
              <w:right w:val="single" w:sz="4" w:space="0" w:color="auto"/>
            </w:tcBorders>
            <w:vAlign w:val="bottom"/>
            <w:hideMark/>
          </w:tcPr>
          <w:p w14:paraId="2C887B08" w14:textId="49C1A7B1" w:rsidR="00247008" w:rsidRPr="0063016C" w:rsidRDefault="00247008" w:rsidP="00F76882">
            <w:pPr>
              <w:rPr>
                <w:rStyle w:val="Emphasis"/>
              </w:rPr>
            </w:pPr>
            <w:r w:rsidRPr="0063016C">
              <w:rPr>
                <w:rStyle w:val="Emphasis"/>
              </w:rPr>
              <w:t>Clean face (%)</w:t>
            </w:r>
          </w:p>
        </w:tc>
        <w:tc>
          <w:tcPr>
            <w:tcW w:w="1338" w:type="dxa"/>
            <w:tcBorders>
              <w:top w:val="nil"/>
              <w:left w:val="nil"/>
              <w:bottom w:val="single" w:sz="4" w:space="0" w:color="auto"/>
              <w:right w:val="single" w:sz="4" w:space="0" w:color="auto"/>
            </w:tcBorders>
            <w:noWrap/>
            <w:vAlign w:val="bottom"/>
          </w:tcPr>
          <w:p w14:paraId="0AE4BBC0" w14:textId="1A167DB2" w:rsidR="00247008" w:rsidRPr="0063016C" w:rsidRDefault="00247008" w:rsidP="00F76882">
            <w:pPr>
              <w:pStyle w:val="Tabletext"/>
              <w:rPr>
                <w:rStyle w:val="Emphasis"/>
              </w:rPr>
            </w:pPr>
            <w:r w:rsidRPr="0063016C">
              <w:rPr>
                <w:rStyle w:val="Emphasis"/>
              </w:rPr>
              <w:t>71</w:t>
            </w:r>
          </w:p>
        </w:tc>
        <w:tc>
          <w:tcPr>
            <w:tcW w:w="1338" w:type="dxa"/>
            <w:tcBorders>
              <w:top w:val="nil"/>
              <w:left w:val="nil"/>
              <w:bottom w:val="single" w:sz="4" w:space="0" w:color="auto"/>
              <w:right w:val="single" w:sz="4" w:space="0" w:color="auto"/>
            </w:tcBorders>
            <w:noWrap/>
            <w:vAlign w:val="bottom"/>
          </w:tcPr>
          <w:p w14:paraId="04036010" w14:textId="6BE0CEAF" w:rsidR="00247008" w:rsidRPr="0063016C" w:rsidRDefault="00247008" w:rsidP="00F76882">
            <w:pPr>
              <w:pStyle w:val="Tabletext"/>
              <w:rPr>
                <w:rStyle w:val="Emphasis"/>
              </w:rPr>
            </w:pPr>
            <w:r w:rsidRPr="0063016C">
              <w:rPr>
                <w:rStyle w:val="Emphasis"/>
              </w:rPr>
              <w:t>72</w:t>
            </w:r>
          </w:p>
        </w:tc>
        <w:tc>
          <w:tcPr>
            <w:tcW w:w="1338" w:type="dxa"/>
            <w:tcBorders>
              <w:top w:val="nil"/>
              <w:left w:val="nil"/>
              <w:bottom w:val="single" w:sz="4" w:space="0" w:color="auto"/>
              <w:right w:val="single" w:sz="4" w:space="0" w:color="auto"/>
            </w:tcBorders>
            <w:noWrap/>
            <w:vAlign w:val="bottom"/>
          </w:tcPr>
          <w:p w14:paraId="1088F8D8" w14:textId="2A65F22E" w:rsidR="00247008" w:rsidRPr="0063016C" w:rsidRDefault="00247008" w:rsidP="00F76882">
            <w:pPr>
              <w:pStyle w:val="Tabletext"/>
              <w:rPr>
                <w:rStyle w:val="Emphasis"/>
              </w:rPr>
            </w:pPr>
            <w:r w:rsidRPr="0063016C">
              <w:rPr>
                <w:rStyle w:val="Emphasis"/>
              </w:rPr>
              <w:t>95</w:t>
            </w:r>
          </w:p>
        </w:tc>
        <w:tc>
          <w:tcPr>
            <w:tcW w:w="1338" w:type="dxa"/>
            <w:tcBorders>
              <w:top w:val="nil"/>
              <w:left w:val="nil"/>
              <w:bottom w:val="single" w:sz="4" w:space="0" w:color="auto"/>
              <w:right w:val="single" w:sz="4" w:space="0" w:color="auto"/>
            </w:tcBorders>
            <w:noWrap/>
            <w:vAlign w:val="bottom"/>
          </w:tcPr>
          <w:p w14:paraId="4BFB6EA2" w14:textId="7B70784E" w:rsidR="00247008" w:rsidRPr="0063016C" w:rsidRDefault="00247008" w:rsidP="00F76882">
            <w:pPr>
              <w:pStyle w:val="Tabletext"/>
              <w:rPr>
                <w:rStyle w:val="Emphasis"/>
              </w:rPr>
            </w:pPr>
            <w:r w:rsidRPr="0063016C">
              <w:rPr>
                <w:rStyle w:val="Emphasis"/>
              </w:rPr>
              <w:t>87</w:t>
            </w:r>
          </w:p>
        </w:tc>
        <w:tc>
          <w:tcPr>
            <w:tcW w:w="1338" w:type="dxa"/>
            <w:tcBorders>
              <w:top w:val="nil"/>
              <w:left w:val="nil"/>
              <w:bottom w:val="single" w:sz="4" w:space="0" w:color="auto"/>
              <w:right w:val="single" w:sz="4" w:space="0" w:color="auto"/>
            </w:tcBorders>
            <w:noWrap/>
            <w:vAlign w:val="bottom"/>
          </w:tcPr>
          <w:p w14:paraId="07D008E8" w14:textId="24C44265" w:rsidR="00247008" w:rsidRPr="0063016C" w:rsidRDefault="00247008" w:rsidP="00F76882">
            <w:pPr>
              <w:pStyle w:val="Tabletext"/>
              <w:rPr>
                <w:rStyle w:val="Emphasis"/>
              </w:rPr>
            </w:pPr>
            <w:r w:rsidRPr="0063016C">
              <w:rPr>
                <w:rStyle w:val="Emphasis"/>
              </w:rPr>
              <w:t>76</w:t>
            </w:r>
          </w:p>
        </w:tc>
      </w:tr>
      <w:tr w:rsidR="00247008" w:rsidRPr="0036007C" w14:paraId="2D9289B4" w14:textId="77777777" w:rsidTr="00247008">
        <w:trPr>
          <w:trHeight w:val="580"/>
        </w:trPr>
        <w:tc>
          <w:tcPr>
            <w:tcW w:w="2989" w:type="dxa"/>
            <w:tcBorders>
              <w:top w:val="nil"/>
              <w:left w:val="single" w:sz="4" w:space="0" w:color="auto"/>
              <w:bottom w:val="single" w:sz="4" w:space="0" w:color="auto"/>
              <w:right w:val="single" w:sz="4" w:space="0" w:color="auto"/>
            </w:tcBorders>
            <w:shd w:val="clear" w:color="000000" w:fill="BFBFBF"/>
            <w:vAlign w:val="bottom"/>
            <w:hideMark/>
          </w:tcPr>
          <w:p w14:paraId="3969EEF7" w14:textId="77777777" w:rsidR="00247008" w:rsidRPr="003D3BBA" w:rsidRDefault="00247008" w:rsidP="00F76882">
            <w:pPr>
              <w:pStyle w:val="Tabletextleft"/>
            </w:pPr>
            <w:r w:rsidRPr="003D3BBA">
              <w:t>Children screened for trachoma</w:t>
            </w:r>
          </w:p>
        </w:tc>
        <w:tc>
          <w:tcPr>
            <w:tcW w:w="1338" w:type="dxa"/>
            <w:tcBorders>
              <w:top w:val="nil"/>
              <w:left w:val="nil"/>
              <w:bottom w:val="single" w:sz="4" w:space="0" w:color="auto"/>
              <w:right w:val="single" w:sz="4" w:space="0" w:color="auto"/>
            </w:tcBorders>
            <w:shd w:val="clear" w:color="000000" w:fill="BFBFBF"/>
            <w:noWrap/>
            <w:vAlign w:val="bottom"/>
          </w:tcPr>
          <w:p w14:paraId="30014FC0" w14:textId="1833F27D" w:rsidR="00247008" w:rsidRPr="003D3BBA" w:rsidRDefault="00247008" w:rsidP="00F76882">
            <w:pPr>
              <w:pStyle w:val="Tabletext"/>
            </w:pPr>
            <w:r w:rsidRPr="003D3BBA">
              <w:t>565</w:t>
            </w:r>
          </w:p>
        </w:tc>
        <w:tc>
          <w:tcPr>
            <w:tcW w:w="1338" w:type="dxa"/>
            <w:tcBorders>
              <w:top w:val="nil"/>
              <w:left w:val="nil"/>
              <w:bottom w:val="single" w:sz="4" w:space="0" w:color="auto"/>
              <w:right w:val="single" w:sz="4" w:space="0" w:color="auto"/>
            </w:tcBorders>
            <w:shd w:val="clear" w:color="000000" w:fill="BFBFBF"/>
            <w:noWrap/>
            <w:vAlign w:val="bottom"/>
          </w:tcPr>
          <w:p w14:paraId="3D5D404F" w14:textId="1BEA5810" w:rsidR="00247008" w:rsidRPr="003D3BBA" w:rsidRDefault="00247008" w:rsidP="00F76882">
            <w:pPr>
              <w:pStyle w:val="Tabletext"/>
            </w:pPr>
            <w:r w:rsidRPr="003D3BBA">
              <w:t>283</w:t>
            </w:r>
          </w:p>
        </w:tc>
        <w:tc>
          <w:tcPr>
            <w:tcW w:w="1338" w:type="dxa"/>
            <w:tcBorders>
              <w:top w:val="nil"/>
              <w:left w:val="nil"/>
              <w:bottom w:val="single" w:sz="4" w:space="0" w:color="auto"/>
              <w:right w:val="single" w:sz="4" w:space="0" w:color="auto"/>
            </w:tcBorders>
            <w:shd w:val="clear" w:color="000000" w:fill="BFBFBF"/>
            <w:noWrap/>
            <w:vAlign w:val="bottom"/>
          </w:tcPr>
          <w:p w14:paraId="3D78DC15" w14:textId="08412F90" w:rsidR="00247008" w:rsidRPr="003D3BBA" w:rsidRDefault="00247008" w:rsidP="00F76882">
            <w:pPr>
              <w:pStyle w:val="Tabletext"/>
            </w:pPr>
            <w:r w:rsidRPr="003D3BBA">
              <w:t>36</w:t>
            </w:r>
          </w:p>
        </w:tc>
        <w:tc>
          <w:tcPr>
            <w:tcW w:w="1338" w:type="dxa"/>
            <w:tcBorders>
              <w:top w:val="nil"/>
              <w:left w:val="nil"/>
              <w:bottom w:val="single" w:sz="4" w:space="0" w:color="auto"/>
              <w:right w:val="single" w:sz="4" w:space="0" w:color="auto"/>
            </w:tcBorders>
            <w:shd w:val="clear" w:color="000000" w:fill="BFBFBF"/>
            <w:noWrap/>
            <w:vAlign w:val="bottom"/>
          </w:tcPr>
          <w:p w14:paraId="733E5F12" w14:textId="3A03DDCE" w:rsidR="00247008" w:rsidRPr="003D3BBA" w:rsidRDefault="00247008" w:rsidP="00F76882">
            <w:pPr>
              <w:pStyle w:val="Tabletext"/>
            </w:pPr>
            <w:r w:rsidRPr="003D3BBA">
              <w:t>260</w:t>
            </w:r>
          </w:p>
        </w:tc>
        <w:tc>
          <w:tcPr>
            <w:tcW w:w="1338" w:type="dxa"/>
            <w:tcBorders>
              <w:top w:val="nil"/>
              <w:left w:val="nil"/>
              <w:bottom w:val="single" w:sz="4" w:space="0" w:color="auto"/>
              <w:right w:val="single" w:sz="4" w:space="0" w:color="auto"/>
            </w:tcBorders>
            <w:shd w:val="clear" w:color="000000" w:fill="BFBFBF"/>
            <w:noWrap/>
            <w:vAlign w:val="bottom"/>
          </w:tcPr>
          <w:p w14:paraId="3AD236F1" w14:textId="4160F3F7" w:rsidR="00247008" w:rsidRPr="003D3BBA" w:rsidRDefault="00247008" w:rsidP="00F76882">
            <w:pPr>
              <w:pStyle w:val="Tabletext"/>
            </w:pPr>
            <w:r w:rsidRPr="003D3BBA">
              <w:t>1144</w:t>
            </w:r>
          </w:p>
        </w:tc>
      </w:tr>
      <w:tr w:rsidR="00247008" w:rsidRPr="0036007C" w14:paraId="786F0FDA" w14:textId="77777777" w:rsidTr="00247008">
        <w:trPr>
          <w:trHeight w:val="580"/>
        </w:trPr>
        <w:tc>
          <w:tcPr>
            <w:tcW w:w="2989" w:type="dxa"/>
            <w:tcBorders>
              <w:top w:val="nil"/>
              <w:left w:val="single" w:sz="4" w:space="0" w:color="auto"/>
              <w:bottom w:val="single" w:sz="4" w:space="0" w:color="auto"/>
              <w:right w:val="single" w:sz="4" w:space="0" w:color="auto"/>
            </w:tcBorders>
            <w:vAlign w:val="bottom"/>
            <w:hideMark/>
          </w:tcPr>
          <w:p w14:paraId="69B9832C" w14:textId="77777777" w:rsidR="00247008" w:rsidRPr="0063016C" w:rsidRDefault="00247008" w:rsidP="00F76882">
            <w:pPr>
              <w:rPr>
                <w:rStyle w:val="Emphasis"/>
              </w:rPr>
            </w:pPr>
            <w:r w:rsidRPr="0063016C">
              <w:rPr>
                <w:rStyle w:val="Emphasis"/>
              </w:rPr>
              <w:t>Trachoma screening coverage (%)</w:t>
            </w:r>
          </w:p>
        </w:tc>
        <w:tc>
          <w:tcPr>
            <w:tcW w:w="1338" w:type="dxa"/>
            <w:tcBorders>
              <w:top w:val="nil"/>
              <w:left w:val="nil"/>
              <w:bottom w:val="single" w:sz="4" w:space="0" w:color="auto"/>
              <w:right w:val="single" w:sz="4" w:space="0" w:color="auto"/>
            </w:tcBorders>
            <w:noWrap/>
            <w:vAlign w:val="bottom"/>
          </w:tcPr>
          <w:p w14:paraId="0CEA2573" w14:textId="3F7C1330" w:rsidR="00247008" w:rsidRPr="0063016C" w:rsidRDefault="00247008" w:rsidP="00F76882">
            <w:pPr>
              <w:pStyle w:val="Tabletext"/>
              <w:rPr>
                <w:rStyle w:val="Emphasis"/>
              </w:rPr>
            </w:pPr>
            <w:r w:rsidRPr="0063016C">
              <w:rPr>
                <w:rStyle w:val="Emphasis"/>
              </w:rPr>
              <w:t>87</w:t>
            </w:r>
          </w:p>
        </w:tc>
        <w:tc>
          <w:tcPr>
            <w:tcW w:w="1338" w:type="dxa"/>
            <w:tcBorders>
              <w:top w:val="nil"/>
              <w:left w:val="nil"/>
              <w:bottom w:val="single" w:sz="4" w:space="0" w:color="auto"/>
              <w:right w:val="single" w:sz="4" w:space="0" w:color="auto"/>
            </w:tcBorders>
            <w:noWrap/>
            <w:vAlign w:val="bottom"/>
          </w:tcPr>
          <w:p w14:paraId="0DAB66ED" w14:textId="15F8E4B8" w:rsidR="00247008" w:rsidRPr="0063016C" w:rsidRDefault="00247008" w:rsidP="00F76882">
            <w:pPr>
              <w:pStyle w:val="Tabletext"/>
              <w:rPr>
                <w:rStyle w:val="Emphasis"/>
              </w:rPr>
            </w:pPr>
            <w:r w:rsidRPr="0063016C">
              <w:rPr>
                <w:rStyle w:val="Emphasis"/>
              </w:rPr>
              <w:t>87</w:t>
            </w:r>
          </w:p>
        </w:tc>
        <w:tc>
          <w:tcPr>
            <w:tcW w:w="1338" w:type="dxa"/>
            <w:tcBorders>
              <w:top w:val="nil"/>
              <w:left w:val="nil"/>
              <w:bottom w:val="single" w:sz="4" w:space="0" w:color="auto"/>
              <w:right w:val="single" w:sz="4" w:space="0" w:color="auto"/>
            </w:tcBorders>
            <w:noWrap/>
            <w:vAlign w:val="bottom"/>
          </w:tcPr>
          <w:p w14:paraId="039843C7" w14:textId="086B16E0" w:rsidR="00247008" w:rsidRPr="0063016C" w:rsidRDefault="00247008" w:rsidP="00F76882">
            <w:pPr>
              <w:pStyle w:val="Tabletext"/>
              <w:rPr>
                <w:rStyle w:val="Emphasis"/>
              </w:rPr>
            </w:pPr>
            <w:r w:rsidRPr="0063016C">
              <w:rPr>
                <w:rStyle w:val="Emphasis"/>
              </w:rPr>
              <w:t>95</w:t>
            </w:r>
          </w:p>
        </w:tc>
        <w:tc>
          <w:tcPr>
            <w:tcW w:w="1338" w:type="dxa"/>
            <w:tcBorders>
              <w:top w:val="nil"/>
              <w:left w:val="nil"/>
              <w:bottom w:val="single" w:sz="4" w:space="0" w:color="auto"/>
              <w:right w:val="single" w:sz="4" w:space="0" w:color="auto"/>
            </w:tcBorders>
            <w:noWrap/>
            <w:vAlign w:val="bottom"/>
          </w:tcPr>
          <w:p w14:paraId="04D3C6EB" w14:textId="70E1BA49" w:rsidR="00247008" w:rsidRPr="0063016C" w:rsidRDefault="00247008" w:rsidP="00F76882">
            <w:pPr>
              <w:pStyle w:val="Tabletext"/>
              <w:rPr>
                <w:rStyle w:val="Emphasis"/>
              </w:rPr>
            </w:pPr>
            <w:r w:rsidRPr="0063016C">
              <w:rPr>
                <w:rStyle w:val="Emphasis"/>
              </w:rPr>
              <w:t>89</w:t>
            </w:r>
          </w:p>
        </w:tc>
        <w:tc>
          <w:tcPr>
            <w:tcW w:w="1338" w:type="dxa"/>
            <w:tcBorders>
              <w:top w:val="nil"/>
              <w:left w:val="nil"/>
              <w:bottom w:val="single" w:sz="4" w:space="0" w:color="auto"/>
              <w:right w:val="single" w:sz="4" w:space="0" w:color="auto"/>
            </w:tcBorders>
            <w:noWrap/>
            <w:vAlign w:val="bottom"/>
          </w:tcPr>
          <w:p w14:paraId="4B82EA9B" w14:textId="1EB465E0" w:rsidR="00247008" w:rsidRPr="0063016C" w:rsidRDefault="00247008" w:rsidP="00F76882">
            <w:pPr>
              <w:pStyle w:val="Tabletext"/>
              <w:rPr>
                <w:rStyle w:val="Emphasis"/>
              </w:rPr>
            </w:pPr>
            <w:r w:rsidRPr="0063016C">
              <w:rPr>
                <w:rStyle w:val="Emphasis"/>
              </w:rPr>
              <w:t>87</w:t>
            </w:r>
          </w:p>
        </w:tc>
      </w:tr>
      <w:tr w:rsidR="00247008" w:rsidRPr="0036007C" w14:paraId="3C09DA8E" w14:textId="77777777" w:rsidTr="00247008">
        <w:trPr>
          <w:trHeight w:val="290"/>
        </w:trPr>
        <w:tc>
          <w:tcPr>
            <w:tcW w:w="2989" w:type="dxa"/>
            <w:tcBorders>
              <w:top w:val="nil"/>
              <w:left w:val="single" w:sz="4" w:space="0" w:color="auto"/>
              <w:bottom w:val="single" w:sz="4" w:space="0" w:color="auto"/>
              <w:right w:val="single" w:sz="4" w:space="0" w:color="auto"/>
            </w:tcBorders>
            <w:shd w:val="clear" w:color="000000" w:fill="BFBFBF"/>
            <w:vAlign w:val="bottom"/>
            <w:hideMark/>
          </w:tcPr>
          <w:p w14:paraId="57C00C57" w14:textId="77777777" w:rsidR="00247008" w:rsidRPr="003D3BBA" w:rsidRDefault="00247008" w:rsidP="00F76882">
            <w:pPr>
              <w:pStyle w:val="Tabletextleft"/>
            </w:pPr>
            <w:r w:rsidRPr="003D3BBA">
              <w:t>Children with active trachoma</w:t>
            </w:r>
          </w:p>
        </w:tc>
        <w:tc>
          <w:tcPr>
            <w:tcW w:w="1338" w:type="dxa"/>
            <w:tcBorders>
              <w:top w:val="nil"/>
              <w:left w:val="nil"/>
              <w:bottom w:val="single" w:sz="4" w:space="0" w:color="auto"/>
              <w:right w:val="single" w:sz="4" w:space="0" w:color="auto"/>
            </w:tcBorders>
            <w:shd w:val="clear" w:color="000000" w:fill="BFBFBF"/>
            <w:noWrap/>
            <w:vAlign w:val="bottom"/>
          </w:tcPr>
          <w:p w14:paraId="7DA6400A" w14:textId="09B516D3" w:rsidR="00247008" w:rsidRPr="003D3BBA" w:rsidRDefault="00247008" w:rsidP="00F76882">
            <w:pPr>
              <w:pStyle w:val="Tabletext"/>
            </w:pPr>
            <w:r w:rsidRPr="003D3BBA">
              <w:t>27</w:t>
            </w:r>
          </w:p>
        </w:tc>
        <w:tc>
          <w:tcPr>
            <w:tcW w:w="1338" w:type="dxa"/>
            <w:tcBorders>
              <w:top w:val="nil"/>
              <w:left w:val="nil"/>
              <w:bottom w:val="single" w:sz="4" w:space="0" w:color="auto"/>
              <w:right w:val="single" w:sz="4" w:space="0" w:color="auto"/>
            </w:tcBorders>
            <w:shd w:val="clear" w:color="000000" w:fill="BFBFBF"/>
            <w:noWrap/>
            <w:vAlign w:val="bottom"/>
          </w:tcPr>
          <w:p w14:paraId="6DF3C90D" w14:textId="033944F8" w:rsidR="00247008" w:rsidRPr="003D3BBA" w:rsidRDefault="00247008" w:rsidP="00F76882">
            <w:pPr>
              <w:pStyle w:val="Tabletext"/>
            </w:pPr>
            <w:r w:rsidRPr="003D3BBA">
              <w:t>1</w:t>
            </w:r>
          </w:p>
        </w:tc>
        <w:tc>
          <w:tcPr>
            <w:tcW w:w="1338" w:type="dxa"/>
            <w:tcBorders>
              <w:top w:val="nil"/>
              <w:left w:val="nil"/>
              <w:bottom w:val="single" w:sz="4" w:space="0" w:color="auto"/>
              <w:right w:val="single" w:sz="4" w:space="0" w:color="auto"/>
            </w:tcBorders>
            <w:shd w:val="clear" w:color="000000" w:fill="BFBFBF"/>
            <w:noWrap/>
            <w:vAlign w:val="bottom"/>
          </w:tcPr>
          <w:p w14:paraId="3C74D6A8" w14:textId="471786EE" w:rsidR="00247008" w:rsidRPr="003D3BBA" w:rsidRDefault="00247008" w:rsidP="00F76882">
            <w:pPr>
              <w:pStyle w:val="Tabletext"/>
            </w:pPr>
            <w:r w:rsidRPr="003D3BBA">
              <w:t>1</w:t>
            </w:r>
          </w:p>
        </w:tc>
        <w:tc>
          <w:tcPr>
            <w:tcW w:w="1338" w:type="dxa"/>
            <w:tcBorders>
              <w:top w:val="nil"/>
              <w:left w:val="nil"/>
              <w:bottom w:val="single" w:sz="4" w:space="0" w:color="auto"/>
              <w:right w:val="single" w:sz="4" w:space="0" w:color="auto"/>
            </w:tcBorders>
            <w:shd w:val="clear" w:color="000000" w:fill="BFBFBF"/>
            <w:noWrap/>
            <w:vAlign w:val="bottom"/>
          </w:tcPr>
          <w:p w14:paraId="016B6760" w14:textId="58ADFD09" w:rsidR="00247008" w:rsidRPr="003D3BBA" w:rsidRDefault="00247008" w:rsidP="00F76882">
            <w:pPr>
              <w:pStyle w:val="Tabletext"/>
            </w:pPr>
            <w:r w:rsidRPr="003D3BBA">
              <w:t>27</w:t>
            </w:r>
          </w:p>
        </w:tc>
        <w:tc>
          <w:tcPr>
            <w:tcW w:w="1338" w:type="dxa"/>
            <w:tcBorders>
              <w:top w:val="nil"/>
              <w:left w:val="nil"/>
              <w:bottom w:val="single" w:sz="4" w:space="0" w:color="auto"/>
              <w:right w:val="single" w:sz="4" w:space="0" w:color="auto"/>
            </w:tcBorders>
            <w:shd w:val="clear" w:color="000000" w:fill="BFBFBF"/>
            <w:noWrap/>
            <w:vAlign w:val="bottom"/>
          </w:tcPr>
          <w:p w14:paraId="10698B18" w14:textId="25D11F1C" w:rsidR="00247008" w:rsidRPr="003D3BBA" w:rsidRDefault="00247008" w:rsidP="00F76882">
            <w:pPr>
              <w:pStyle w:val="Tabletext"/>
            </w:pPr>
            <w:r w:rsidRPr="003D3BBA">
              <w:t>56</w:t>
            </w:r>
          </w:p>
        </w:tc>
      </w:tr>
      <w:tr w:rsidR="00247008" w:rsidRPr="0036007C" w14:paraId="27DC5333" w14:textId="77777777" w:rsidTr="00247008">
        <w:trPr>
          <w:trHeight w:val="580"/>
        </w:trPr>
        <w:tc>
          <w:tcPr>
            <w:tcW w:w="2989" w:type="dxa"/>
            <w:tcBorders>
              <w:top w:val="nil"/>
              <w:left w:val="single" w:sz="4" w:space="0" w:color="auto"/>
              <w:bottom w:val="single" w:sz="4" w:space="0" w:color="auto"/>
              <w:right w:val="single" w:sz="4" w:space="0" w:color="auto"/>
            </w:tcBorders>
            <w:vAlign w:val="bottom"/>
            <w:hideMark/>
          </w:tcPr>
          <w:p w14:paraId="61125FD3" w14:textId="77777777" w:rsidR="00247008" w:rsidRPr="0063016C" w:rsidRDefault="00247008" w:rsidP="00F76882">
            <w:pPr>
              <w:rPr>
                <w:rStyle w:val="Emphasis"/>
              </w:rPr>
            </w:pPr>
            <w:r w:rsidRPr="0063016C">
              <w:rPr>
                <w:rStyle w:val="Emphasis"/>
              </w:rPr>
              <w:t>Observed prevalence of active trachoma† (%)</w:t>
            </w:r>
          </w:p>
        </w:tc>
        <w:tc>
          <w:tcPr>
            <w:tcW w:w="1338" w:type="dxa"/>
            <w:tcBorders>
              <w:top w:val="nil"/>
              <w:left w:val="nil"/>
              <w:bottom w:val="single" w:sz="4" w:space="0" w:color="auto"/>
              <w:right w:val="single" w:sz="4" w:space="0" w:color="auto"/>
            </w:tcBorders>
            <w:noWrap/>
            <w:vAlign w:val="bottom"/>
          </w:tcPr>
          <w:p w14:paraId="18F308E8" w14:textId="62A32AAB" w:rsidR="00247008" w:rsidRPr="0063016C" w:rsidRDefault="00247008" w:rsidP="00F76882">
            <w:pPr>
              <w:pStyle w:val="Tabletext"/>
              <w:rPr>
                <w:rStyle w:val="Emphasis"/>
              </w:rPr>
            </w:pPr>
            <w:r w:rsidRPr="0063016C">
              <w:rPr>
                <w:rStyle w:val="Emphasis"/>
              </w:rPr>
              <w:t>4.8</w:t>
            </w:r>
          </w:p>
        </w:tc>
        <w:tc>
          <w:tcPr>
            <w:tcW w:w="1338" w:type="dxa"/>
            <w:tcBorders>
              <w:top w:val="nil"/>
              <w:left w:val="nil"/>
              <w:bottom w:val="single" w:sz="4" w:space="0" w:color="auto"/>
              <w:right w:val="single" w:sz="4" w:space="0" w:color="auto"/>
            </w:tcBorders>
            <w:noWrap/>
            <w:vAlign w:val="bottom"/>
          </w:tcPr>
          <w:p w14:paraId="3EA96B4C" w14:textId="28A8D67D" w:rsidR="00247008" w:rsidRPr="0063016C" w:rsidRDefault="00247008" w:rsidP="00F76882">
            <w:pPr>
              <w:pStyle w:val="Tabletext"/>
              <w:rPr>
                <w:rStyle w:val="Emphasis"/>
              </w:rPr>
            </w:pPr>
            <w:r w:rsidRPr="0063016C">
              <w:rPr>
                <w:rStyle w:val="Emphasis"/>
              </w:rPr>
              <w:t>0.4</w:t>
            </w:r>
          </w:p>
        </w:tc>
        <w:tc>
          <w:tcPr>
            <w:tcW w:w="1338" w:type="dxa"/>
            <w:tcBorders>
              <w:top w:val="nil"/>
              <w:left w:val="nil"/>
              <w:bottom w:val="single" w:sz="4" w:space="0" w:color="auto"/>
              <w:right w:val="single" w:sz="4" w:space="0" w:color="auto"/>
            </w:tcBorders>
            <w:noWrap/>
            <w:vAlign w:val="bottom"/>
          </w:tcPr>
          <w:p w14:paraId="0486133C" w14:textId="70393041" w:rsidR="00247008" w:rsidRPr="0063016C" w:rsidRDefault="00247008" w:rsidP="00F76882">
            <w:pPr>
              <w:pStyle w:val="Tabletext"/>
              <w:rPr>
                <w:rStyle w:val="Emphasis"/>
              </w:rPr>
            </w:pPr>
            <w:r w:rsidRPr="0063016C">
              <w:rPr>
                <w:rStyle w:val="Emphasis"/>
              </w:rPr>
              <w:t>2.8</w:t>
            </w:r>
          </w:p>
        </w:tc>
        <w:tc>
          <w:tcPr>
            <w:tcW w:w="1338" w:type="dxa"/>
            <w:tcBorders>
              <w:top w:val="nil"/>
              <w:left w:val="nil"/>
              <w:bottom w:val="single" w:sz="4" w:space="0" w:color="auto"/>
              <w:right w:val="single" w:sz="4" w:space="0" w:color="auto"/>
            </w:tcBorders>
            <w:noWrap/>
            <w:vAlign w:val="bottom"/>
          </w:tcPr>
          <w:p w14:paraId="6319E99D" w14:textId="7799FF42" w:rsidR="00247008" w:rsidRPr="0063016C" w:rsidRDefault="00247008" w:rsidP="00F76882">
            <w:pPr>
              <w:pStyle w:val="Tabletext"/>
              <w:rPr>
                <w:rStyle w:val="Emphasis"/>
              </w:rPr>
            </w:pPr>
            <w:r w:rsidRPr="0063016C">
              <w:rPr>
                <w:rStyle w:val="Emphasis"/>
              </w:rPr>
              <w:t>10.4</w:t>
            </w:r>
          </w:p>
        </w:tc>
        <w:tc>
          <w:tcPr>
            <w:tcW w:w="1338" w:type="dxa"/>
            <w:tcBorders>
              <w:top w:val="nil"/>
              <w:left w:val="nil"/>
              <w:bottom w:val="single" w:sz="4" w:space="0" w:color="auto"/>
              <w:right w:val="single" w:sz="4" w:space="0" w:color="auto"/>
            </w:tcBorders>
            <w:noWrap/>
            <w:vAlign w:val="bottom"/>
          </w:tcPr>
          <w:p w14:paraId="742418E7" w14:textId="69E26D07" w:rsidR="00247008" w:rsidRPr="0063016C" w:rsidRDefault="00247008" w:rsidP="00F76882">
            <w:pPr>
              <w:pStyle w:val="Tabletext"/>
              <w:rPr>
                <w:rStyle w:val="Emphasis"/>
              </w:rPr>
            </w:pPr>
            <w:r w:rsidRPr="0063016C">
              <w:rPr>
                <w:rStyle w:val="Emphasis"/>
              </w:rPr>
              <w:t>4.9</w:t>
            </w:r>
          </w:p>
        </w:tc>
      </w:tr>
      <w:tr w:rsidR="00247008" w:rsidRPr="0036007C" w14:paraId="63ECD38B" w14:textId="77777777" w:rsidTr="00247008">
        <w:trPr>
          <w:trHeight w:val="580"/>
        </w:trPr>
        <w:tc>
          <w:tcPr>
            <w:tcW w:w="2989" w:type="dxa"/>
            <w:tcBorders>
              <w:top w:val="nil"/>
              <w:left w:val="single" w:sz="4" w:space="0" w:color="auto"/>
              <w:bottom w:val="single" w:sz="4" w:space="0" w:color="auto"/>
              <w:right w:val="single" w:sz="4" w:space="0" w:color="auto"/>
            </w:tcBorders>
            <w:shd w:val="clear" w:color="000000" w:fill="BFBFBF"/>
            <w:vAlign w:val="bottom"/>
            <w:hideMark/>
          </w:tcPr>
          <w:p w14:paraId="4A7099FA" w14:textId="77777777" w:rsidR="00247008" w:rsidRPr="0063016C" w:rsidRDefault="00247008" w:rsidP="00F76882">
            <w:pPr>
              <w:rPr>
                <w:rStyle w:val="Emphasis"/>
              </w:rPr>
            </w:pPr>
            <w:r w:rsidRPr="0063016C">
              <w:rPr>
                <w:rStyle w:val="Emphasis"/>
              </w:rPr>
              <w:t>Estimated prevalence of active trachoma‡ (%)</w:t>
            </w:r>
          </w:p>
        </w:tc>
        <w:tc>
          <w:tcPr>
            <w:tcW w:w="1338" w:type="dxa"/>
            <w:tcBorders>
              <w:top w:val="nil"/>
              <w:left w:val="nil"/>
              <w:bottom w:val="single" w:sz="4" w:space="0" w:color="auto"/>
              <w:right w:val="single" w:sz="4" w:space="0" w:color="auto"/>
            </w:tcBorders>
            <w:shd w:val="clear" w:color="000000" w:fill="BFBFBF"/>
            <w:noWrap/>
            <w:vAlign w:val="bottom"/>
          </w:tcPr>
          <w:p w14:paraId="5CCFEC7A" w14:textId="2E7D8EAB" w:rsidR="00247008" w:rsidRPr="0063016C" w:rsidRDefault="00247008" w:rsidP="00F76882">
            <w:pPr>
              <w:pStyle w:val="Tabletext"/>
              <w:rPr>
                <w:rStyle w:val="Emphasis"/>
              </w:rPr>
            </w:pPr>
            <w:r w:rsidRPr="0063016C">
              <w:rPr>
                <w:rStyle w:val="Emphasis"/>
              </w:rPr>
              <w:t>5.0</w:t>
            </w:r>
          </w:p>
        </w:tc>
        <w:tc>
          <w:tcPr>
            <w:tcW w:w="1338" w:type="dxa"/>
            <w:tcBorders>
              <w:top w:val="nil"/>
              <w:left w:val="nil"/>
              <w:bottom w:val="single" w:sz="4" w:space="0" w:color="auto"/>
              <w:right w:val="single" w:sz="4" w:space="0" w:color="auto"/>
            </w:tcBorders>
            <w:shd w:val="clear" w:color="000000" w:fill="BFBFBF"/>
            <w:noWrap/>
            <w:vAlign w:val="bottom"/>
          </w:tcPr>
          <w:p w14:paraId="2FAFEA4D" w14:textId="21D709E5" w:rsidR="00247008" w:rsidRPr="0063016C" w:rsidRDefault="00247008" w:rsidP="00F76882">
            <w:pPr>
              <w:pStyle w:val="Tabletext"/>
              <w:rPr>
                <w:rStyle w:val="Emphasis"/>
              </w:rPr>
            </w:pPr>
            <w:r w:rsidRPr="0063016C">
              <w:rPr>
                <w:rStyle w:val="Emphasis"/>
              </w:rPr>
              <w:t>0.3</w:t>
            </w:r>
          </w:p>
        </w:tc>
        <w:tc>
          <w:tcPr>
            <w:tcW w:w="1338" w:type="dxa"/>
            <w:tcBorders>
              <w:top w:val="nil"/>
              <w:left w:val="nil"/>
              <w:bottom w:val="single" w:sz="4" w:space="0" w:color="auto"/>
              <w:right w:val="single" w:sz="4" w:space="0" w:color="auto"/>
            </w:tcBorders>
            <w:shd w:val="clear" w:color="000000" w:fill="BFBFBF"/>
            <w:noWrap/>
            <w:vAlign w:val="bottom"/>
          </w:tcPr>
          <w:p w14:paraId="0ABC479F" w14:textId="51A34C83" w:rsidR="00247008" w:rsidRPr="0063016C" w:rsidRDefault="00247008" w:rsidP="00F76882">
            <w:pPr>
              <w:pStyle w:val="Tabletext"/>
              <w:rPr>
                <w:rStyle w:val="Emphasis"/>
              </w:rPr>
            </w:pPr>
            <w:r w:rsidRPr="0063016C">
              <w:rPr>
                <w:rStyle w:val="Emphasis"/>
              </w:rPr>
              <w:t>2.8</w:t>
            </w:r>
          </w:p>
        </w:tc>
        <w:tc>
          <w:tcPr>
            <w:tcW w:w="1338" w:type="dxa"/>
            <w:tcBorders>
              <w:top w:val="nil"/>
              <w:left w:val="nil"/>
              <w:bottom w:val="single" w:sz="4" w:space="0" w:color="auto"/>
              <w:right w:val="single" w:sz="4" w:space="0" w:color="auto"/>
            </w:tcBorders>
            <w:shd w:val="clear" w:color="000000" w:fill="BFBFBF"/>
            <w:noWrap/>
            <w:vAlign w:val="bottom"/>
          </w:tcPr>
          <w:p w14:paraId="48425B40" w14:textId="28755AFC" w:rsidR="00247008" w:rsidRPr="0063016C" w:rsidRDefault="00247008" w:rsidP="00F76882">
            <w:pPr>
              <w:pStyle w:val="Tabletext"/>
              <w:rPr>
                <w:rStyle w:val="Emphasis"/>
              </w:rPr>
            </w:pPr>
            <w:r w:rsidRPr="0063016C">
              <w:rPr>
                <w:rStyle w:val="Emphasis"/>
              </w:rPr>
              <w:t>10.4</w:t>
            </w:r>
          </w:p>
        </w:tc>
        <w:tc>
          <w:tcPr>
            <w:tcW w:w="1338" w:type="dxa"/>
            <w:tcBorders>
              <w:top w:val="nil"/>
              <w:left w:val="nil"/>
              <w:bottom w:val="single" w:sz="4" w:space="0" w:color="auto"/>
              <w:right w:val="single" w:sz="4" w:space="0" w:color="auto"/>
            </w:tcBorders>
            <w:shd w:val="clear" w:color="000000" w:fill="BFBFBF"/>
            <w:noWrap/>
            <w:vAlign w:val="bottom"/>
          </w:tcPr>
          <w:p w14:paraId="34B37719" w14:textId="39302BA6" w:rsidR="00247008" w:rsidRPr="0063016C" w:rsidRDefault="00247008" w:rsidP="00F76882">
            <w:pPr>
              <w:pStyle w:val="Tabletext"/>
              <w:rPr>
                <w:rStyle w:val="Emphasis"/>
              </w:rPr>
            </w:pPr>
            <w:r w:rsidRPr="0063016C">
              <w:rPr>
                <w:rStyle w:val="Emphasis"/>
              </w:rPr>
              <w:t>5.0</w:t>
            </w:r>
          </w:p>
        </w:tc>
      </w:tr>
      <w:tr w:rsidR="00247008" w:rsidRPr="0036007C" w14:paraId="54E5B927" w14:textId="77777777" w:rsidTr="00247008">
        <w:trPr>
          <w:trHeight w:val="580"/>
        </w:trPr>
        <w:tc>
          <w:tcPr>
            <w:tcW w:w="2989" w:type="dxa"/>
            <w:tcBorders>
              <w:top w:val="nil"/>
              <w:left w:val="single" w:sz="4" w:space="0" w:color="auto"/>
              <w:bottom w:val="single" w:sz="4" w:space="0" w:color="auto"/>
              <w:right w:val="single" w:sz="4" w:space="0" w:color="auto"/>
            </w:tcBorders>
            <w:vAlign w:val="bottom"/>
            <w:hideMark/>
          </w:tcPr>
          <w:p w14:paraId="0F7C770E" w14:textId="77777777" w:rsidR="00247008" w:rsidRPr="0063016C" w:rsidRDefault="00247008" w:rsidP="00F76882">
            <w:pPr>
              <w:rPr>
                <w:rStyle w:val="Emphasis"/>
              </w:rPr>
            </w:pPr>
            <w:r w:rsidRPr="0063016C">
              <w:rPr>
                <w:rStyle w:val="Emphasis"/>
              </w:rPr>
              <w:t>Overall prevalence of active trachoma (%)</w:t>
            </w:r>
          </w:p>
        </w:tc>
        <w:tc>
          <w:tcPr>
            <w:tcW w:w="1338" w:type="dxa"/>
            <w:tcBorders>
              <w:top w:val="nil"/>
              <w:left w:val="nil"/>
              <w:bottom w:val="single" w:sz="4" w:space="0" w:color="auto"/>
              <w:right w:val="single" w:sz="4" w:space="0" w:color="auto"/>
            </w:tcBorders>
            <w:noWrap/>
            <w:vAlign w:val="bottom"/>
          </w:tcPr>
          <w:p w14:paraId="34F01BB8" w14:textId="080743D5" w:rsidR="00247008" w:rsidRPr="0063016C" w:rsidRDefault="00247008" w:rsidP="00F76882">
            <w:pPr>
              <w:pStyle w:val="Tabletext"/>
              <w:rPr>
                <w:rStyle w:val="Emphasis"/>
              </w:rPr>
            </w:pPr>
            <w:r w:rsidRPr="0063016C">
              <w:rPr>
                <w:rStyle w:val="Emphasis"/>
              </w:rPr>
              <w:t>5.0</w:t>
            </w:r>
          </w:p>
        </w:tc>
        <w:tc>
          <w:tcPr>
            <w:tcW w:w="1338" w:type="dxa"/>
            <w:tcBorders>
              <w:top w:val="nil"/>
              <w:left w:val="nil"/>
              <w:bottom w:val="single" w:sz="4" w:space="0" w:color="auto"/>
              <w:right w:val="single" w:sz="4" w:space="0" w:color="auto"/>
            </w:tcBorders>
            <w:noWrap/>
            <w:vAlign w:val="bottom"/>
          </w:tcPr>
          <w:p w14:paraId="7A642E31" w14:textId="19C1E6F2" w:rsidR="00247008" w:rsidRPr="0063016C" w:rsidRDefault="00247008" w:rsidP="00F76882">
            <w:pPr>
              <w:pStyle w:val="Tabletext"/>
              <w:rPr>
                <w:rStyle w:val="Emphasis"/>
              </w:rPr>
            </w:pPr>
            <w:r w:rsidRPr="0063016C">
              <w:rPr>
                <w:rStyle w:val="Emphasis"/>
              </w:rPr>
              <w:t>0.6</w:t>
            </w:r>
          </w:p>
        </w:tc>
        <w:tc>
          <w:tcPr>
            <w:tcW w:w="1338" w:type="dxa"/>
            <w:tcBorders>
              <w:top w:val="nil"/>
              <w:left w:val="nil"/>
              <w:bottom w:val="single" w:sz="4" w:space="0" w:color="auto"/>
              <w:right w:val="single" w:sz="4" w:space="0" w:color="auto"/>
            </w:tcBorders>
            <w:noWrap/>
            <w:vAlign w:val="bottom"/>
          </w:tcPr>
          <w:p w14:paraId="704D1186" w14:textId="3EC59DF7" w:rsidR="00247008" w:rsidRPr="0063016C" w:rsidRDefault="00247008" w:rsidP="00F76882">
            <w:pPr>
              <w:pStyle w:val="Tabletext"/>
              <w:rPr>
                <w:rStyle w:val="Emphasis"/>
              </w:rPr>
            </w:pPr>
            <w:r w:rsidRPr="0063016C">
              <w:rPr>
                <w:rStyle w:val="Emphasis"/>
              </w:rPr>
              <w:t>0.4</w:t>
            </w:r>
          </w:p>
        </w:tc>
        <w:tc>
          <w:tcPr>
            <w:tcW w:w="1338" w:type="dxa"/>
            <w:tcBorders>
              <w:top w:val="nil"/>
              <w:left w:val="nil"/>
              <w:bottom w:val="single" w:sz="4" w:space="0" w:color="auto"/>
              <w:right w:val="single" w:sz="4" w:space="0" w:color="auto"/>
            </w:tcBorders>
            <w:noWrap/>
            <w:vAlign w:val="bottom"/>
          </w:tcPr>
          <w:p w14:paraId="1C5D7957" w14:textId="3638C887" w:rsidR="00247008" w:rsidRPr="0063016C" w:rsidRDefault="00247008" w:rsidP="00F76882">
            <w:pPr>
              <w:pStyle w:val="Tabletext"/>
              <w:rPr>
                <w:rStyle w:val="Emphasis"/>
              </w:rPr>
            </w:pPr>
            <w:r w:rsidRPr="0063016C">
              <w:rPr>
                <w:rStyle w:val="Emphasis"/>
              </w:rPr>
              <w:t>4.7</w:t>
            </w:r>
          </w:p>
        </w:tc>
        <w:tc>
          <w:tcPr>
            <w:tcW w:w="1338" w:type="dxa"/>
            <w:tcBorders>
              <w:top w:val="nil"/>
              <w:left w:val="nil"/>
              <w:bottom w:val="single" w:sz="4" w:space="0" w:color="auto"/>
              <w:right w:val="single" w:sz="4" w:space="0" w:color="auto"/>
            </w:tcBorders>
            <w:noWrap/>
            <w:vAlign w:val="bottom"/>
          </w:tcPr>
          <w:p w14:paraId="4904B6CD" w14:textId="3B71B910" w:rsidR="00247008" w:rsidRPr="0063016C" w:rsidRDefault="00247008" w:rsidP="00F76882">
            <w:pPr>
              <w:pStyle w:val="Tabletext"/>
              <w:rPr>
                <w:rStyle w:val="Emphasis"/>
              </w:rPr>
            </w:pPr>
            <w:r w:rsidRPr="0063016C">
              <w:rPr>
                <w:rStyle w:val="Emphasis"/>
              </w:rPr>
              <w:t>2.1</w:t>
            </w:r>
          </w:p>
        </w:tc>
      </w:tr>
    </w:tbl>
    <w:p w14:paraId="526D7FA2" w14:textId="2DF62F47" w:rsidR="00995E60" w:rsidRPr="00A33DD2" w:rsidRDefault="00995E60" w:rsidP="00F76882">
      <w:pPr>
        <w:pStyle w:val="tablefigfootnote"/>
      </w:pPr>
      <w:bookmarkStart w:id="260" w:name="_Ref58336262"/>
      <w:r w:rsidRPr="00A33DD2">
        <w:t>* Jurisdictional estimate</w:t>
      </w:r>
      <w:r w:rsidR="004A3B6E" w:rsidRPr="00A33DD2">
        <w:t>.</w:t>
      </w:r>
    </w:p>
    <w:p w14:paraId="4DC63EAB" w14:textId="2D06D5E5" w:rsidR="00995E60" w:rsidRPr="00A33DD2" w:rsidRDefault="00995E60" w:rsidP="00F76882">
      <w:pPr>
        <w:pStyle w:val="tablefigfootnote"/>
      </w:pPr>
      <w:r w:rsidRPr="00A33DD2">
        <w:t xml:space="preserve">† Communities that were screened for trachoma in </w:t>
      </w:r>
      <w:r w:rsidR="00C3405D" w:rsidRPr="00A33DD2">
        <w:t>2024</w:t>
      </w:r>
      <w:r w:rsidR="004A3B6E" w:rsidRPr="00A33DD2">
        <w:t>.</w:t>
      </w:r>
    </w:p>
    <w:p w14:paraId="495F17A3" w14:textId="3A19355E" w:rsidR="00995E60" w:rsidRPr="00A33DD2" w:rsidRDefault="00995E60" w:rsidP="00F76882">
      <w:pPr>
        <w:pStyle w:val="tablefigfootnote"/>
        <w:sectPr w:rsidR="00995E60" w:rsidRPr="00A33DD2" w:rsidSect="00C04CBB">
          <w:pgSz w:w="11906" w:h="16838"/>
          <w:pgMar w:top="720" w:right="720" w:bottom="720" w:left="720" w:header="709" w:footer="709" w:gutter="0"/>
          <w:cols w:space="708"/>
          <w:docGrid w:linePitch="360"/>
        </w:sectPr>
      </w:pPr>
      <w:r w:rsidRPr="00A33DD2">
        <w:t xml:space="preserve">‡ </w:t>
      </w:r>
      <w:r w:rsidR="00F75C77" w:rsidRPr="00A33DD2">
        <w:t>Prevalence rate calculations are described in the Methodology section.</w:t>
      </w:r>
    </w:p>
    <w:p w14:paraId="1B09F810" w14:textId="3F591744" w:rsidR="006F32BC" w:rsidRPr="0036007C" w:rsidRDefault="006F32BC" w:rsidP="00F76882">
      <w:pPr>
        <w:pStyle w:val="Tableheadings"/>
      </w:pPr>
      <w:bookmarkStart w:id="261" w:name="_Toc215224704"/>
      <w:r w:rsidRPr="0036007C">
        <w:t xml:space="preserve">Table </w:t>
      </w:r>
      <w:bookmarkEnd w:id="260"/>
      <w:r w:rsidR="00B9209A" w:rsidRPr="0036007C">
        <w:t>2.3</w:t>
      </w:r>
      <w:r w:rsidRPr="0036007C">
        <w:tab/>
        <w:t xml:space="preserve">Number and proportion of at-risk communities according to </w:t>
      </w:r>
      <w:r w:rsidR="006345F4" w:rsidRPr="0036007C">
        <w:t xml:space="preserve">the </w:t>
      </w:r>
      <w:r w:rsidRPr="0036007C">
        <w:t>level of</w:t>
      </w:r>
      <w:r w:rsidR="00C51CC9" w:rsidRPr="0036007C">
        <w:t xml:space="preserve"> observed</w:t>
      </w:r>
      <w:r w:rsidRPr="0036007C">
        <w:t xml:space="preserve"> trachoma prevalence in children aged 5</w:t>
      </w:r>
      <w:r w:rsidR="003D00CE" w:rsidRPr="0036007C">
        <w:t>–</w:t>
      </w:r>
      <w:r w:rsidRPr="0036007C">
        <w:t>9 years, Northern Territory</w:t>
      </w:r>
      <w:r w:rsidR="001937AB" w:rsidRPr="0036007C">
        <w:t>,</w:t>
      </w:r>
      <w:r w:rsidRPr="0036007C">
        <w:t xml:space="preserve"> 20</w:t>
      </w:r>
      <w:r w:rsidR="00C70F69" w:rsidRPr="0036007C">
        <w:t>14</w:t>
      </w:r>
      <w:r w:rsidR="003D00CE" w:rsidRPr="0036007C">
        <w:t>–</w:t>
      </w:r>
      <w:r w:rsidR="00E76BB4" w:rsidRPr="0036007C">
        <w:t>202</w:t>
      </w:r>
      <w:r w:rsidR="000E7881" w:rsidRPr="0036007C">
        <w:t>4</w:t>
      </w:r>
      <w:bookmarkEnd w:id="261"/>
    </w:p>
    <w:tbl>
      <w:tblPr>
        <w:tblW w:w="5057" w:type="pct"/>
        <w:tblLayout w:type="fixed"/>
        <w:tblLook w:val="04A0" w:firstRow="1" w:lastRow="0" w:firstColumn="1" w:lastColumn="0" w:noHBand="0" w:noVBand="1"/>
        <w:tblCaption w:val="Number and proportion of at-risk communities according to the level of observed trachoma prevalence in children aged 5–9 years, Northern Territory, 2014–2024"/>
        <w:tblDescription w:val="Table 2.3 compares the breakdown of observed prevalence by year. Prevalence is categorised as either greater than or equal to 20%, 10% to less than 20%, 5% to less than 10%, less than 5%, and 0% prevalence.&#10;"/>
      </w:tblPr>
      <w:tblGrid>
        <w:gridCol w:w="2210"/>
        <w:gridCol w:w="454"/>
        <w:gridCol w:w="750"/>
        <w:gridCol w:w="458"/>
        <w:gridCol w:w="753"/>
        <w:gridCol w:w="458"/>
        <w:gridCol w:w="756"/>
        <w:gridCol w:w="464"/>
        <w:gridCol w:w="756"/>
        <w:gridCol w:w="464"/>
        <w:gridCol w:w="756"/>
        <w:gridCol w:w="464"/>
        <w:gridCol w:w="756"/>
        <w:gridCol w:w="464"/>
        <w:gridCol w:w="756"/>
        <w:gridCol w:w="458"/>
        <w:gridCol w:w="756"/>
        <w:gridCol w:w="464"/>
        <w:gridCol w:w="756"/>
        <w:gridCol w:w="458"/>
        <w:gridCol w:w="756"/>
        <w:gridCol w:w="458"/>
        <w:gridCol w:w="738"/>
      </w:tblGrid>
      <w:tr w:rsidR="001D42B0" w:rsidRPr="0036007C" w14:paraId="47311485" w14:textId="3F0CF6FE" w:rsidTr="006043C2">
        <w:trPr>
          <w:trHeight w:val="690"/>
          <w:tblHeader/>
        </w:trPr>
        <w:tc>
          <w:tcPr>
            <w:tcW w:w="71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6C0D51" w14:textId="77777777" w:rsidR="00F128A5" w:rsidRPr="00A33DD2" w:rsidRDefault="00F128A5" w:rsidP="00F76882">
            <w:pPr>
              <w:pStyle w:val="Tableheading"/>
            </w:pPr>
            <w:r w:rsidRPr="00A33DD2">
              <w:t> </w:t>
            </w:r>
          </w:p>
        </w:tc>
        <w:tc>
          <w:tcPr>
            <w:tcW w:w="387"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B47C328" w14:textId="77777777" w:rsidR="00F128A5" w:rsidRPr="00A33DD2" w:rsidRDefault="00F128A5" w:rsidP="00F76882">
            <w:pPr>
              <w:pStyle w:val="Tableheading"/>
            </w:pPr>
            <w:r w:rsidRPr="00A33DD2">
              <w:t>2014</w:t>
            </w:r>
          </w:p>
        </w:tc>
        <w:tc>
          <w:tcPr>
            <w:tcW w:w="389"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B168A21" w14:textId="77777777" w:rsidR="00F128A5" w:rsidRPr="00A33DD2" w:rsidRDefault="00F128A5" w:rsidP="00F76882">
            <w:pPr>
              <w:pStyle w:val="Tableheading"/>
            </w:pPr>
            <w:r w:rsidRPr="00A33DD2">
              <w:t>2015</w:t>
            </w:r>
          </w:p>
        </w:tc>
        <w:tc>
          <w:tcPr>
            <w:tcW w:w="390"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ABE0176" w14:textId="77777777" w:rsidR="00F128A5" w:rsidRPr="00A33DD2" w:rsidRDefault="00F128A5" w:rsidP="00F76882">
            <w:pPr>
              <w:pStyle w:val="Tableheading"/>
            </w:pPr>
            <w:r w:rsidRPr="00A33DD2">
              <w:t>2016</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64ACDCE" w14:textId="77777777" w:rsidR="00F128A5" w:rsidRPr="00A33DD2" w:rsidRDefault="00F128A5" w:rsidP="00F76882">
            <w:pPr>
              <w:pStyle w:val="Tableheading"/>
            </w:pPr>
            <w:r w:rsidRPr="00A33DD2">
              <w:t>2017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EC62BAE" w14:textId="77777777" w:rsidR="00F128A5" w:rsidRPr="00A33DD2" w:rsidRDefault="00F128A5" w:rsidP="00F76882">
            <w:pPr>
              <w:pStyle w:val="Tableheading"/>
            </w:pPr>
            <w:r w:rsidRPr="00A33DD2">
              <w:t>2018</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438695DE" w14:textId="77777777" w:rsidR="00F128A5" w:rsidRPr="00A33DD2" w:rsidRDefault="00F128A5" w:rsidP="00F76882">
            <w:pPr>
              <w:pStyle w:val="Tableheading"/>
            </w:pPr>
            <w:r w:rsidRPr="00A33DD2">
              <w:t>2019</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D302F9B" w14:textId="77777777" w:rsidR="00F128A5" w:rsidRPr="00A33DD2" w:rsidRDefault="00F128A5" w:rsidP="00F76882">
            <w:pPr>
              <w:pStyle w:val="Tableheading"/>
            </w:pPr>
            <w:r w:rsidRPr="00A33DD2">
              <w:t>2020</w:t>
            </w:r>
          </w:p>
        </w:tc>
        <w:tc>
          <w:tcPr>
            <w:tcW w:w="390"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C9F0B7F" w14:textId="77777777" w:rsidR="00F128A5" w:rsidRPr="00A33DD2" w:rsidRDefault="00F128A5" w:rsidP="00F76882">
            <w:pPr>
              <w:pStyle w:val="Tableheading"/>
            </w:pPr>
            <w:r w:rsidRPr="00A33DD2">
              <w:t>2021</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C88FE32" w14:textId="77777777" w:rsidR="00F128A5" w:rsidRPr="00A33DD2" w:rsidRDefault="00F128A5" w:rsidP="00F76882">
            <w:pPr>
              <w:pStyle w:val="Tableheading"/>
            </w:pPr>
            <w:r w:rsidRPr="00A33DD2">
              <w:t>2022</w:t>
            </w:r>
          </w:p>
        </w:tc>
        <w:tc>
          <w:tcPr>
            <w:tcW w:w="390"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E8CB60F" w14:textId="77777777" w:rsidR="00F128A5" w:rsidRPr="00A33DD2" w:rsidRDefault="00F128A5" w:rsidP="00F76882">
            <w:pPr>
              <w:pStyle w:val="Tableheading"/>
            </w:pPr>
            <w:r w:rsidRPr="00A33DD2">
              <w:t>2023</w:t>
            </w:r>
          </w:p>
        </w:tc>
        <w:tc>
          <w:tcPr>
            <w:tcW w:w="387" w:type="pct"/>
            <w:gridSpan w:val="2"/>
            <w:tcBorders>
              <w:top w:val="single" w:sz="4" w:space="0" w:color="auto"/>
              <w:left w:val="nil"/>
              <w:bottom w:val="single" w:sz="4" w:space="0" w:color="auto"/>
              <w:right w:val="single" w:sz="4" w:space="0" w:color="auto"/>
            </w:tcBorders>
            <w:shd w:val="clear" w:color="000000" w:fill="BFBFBF"/>
            <w:vAlign w:val="center"/>
          </w:tcPr>
          <w:p w14:paraId="6F6C4EA1" w14:textId="7E9444BD" w:rsidR="00F128A5" w:rsidRPr="00A33DD2" w:rsidRDefault="002E637F" w:rsidP="00F76882">
            <w:pPr>
              <w:pStyle w:val="Tableheading"/>
            </w:pPr>
            <w:r w:rsidRPr="00A33DD2">
              <w:t>2024</w:t>
            </w:r>
          </w:p>
        </w:tc>
      </w:tr>
      <w:tr w:rsidR="00132BDB" w:rsidRPr="0036007C" w14:paraId="00DEF241" w14:textId="067A6DAF" w:rsidTr="001A1076">
        <w:trPr>
          <w:trHeight w:val="690"/>
        </w:trPr>
        <w:tc>
          <w:tcPr>
            <w:tcW w:w="710" w:type="pct"/>
            <w:tcBorders>
              <w:top w:val="nil"/>
              <w:left w:val="single" w:sz="4" w:space="0" w:color="auto"/>
              <w:bottom w:val="single" w:sz="4" w:space="0" w:color="auto"/>
              <w:right w:val="single" w:sz="4" w:space="0" w:color="auto"/>
            </w:tcBorders>
            <w:vAlign w:val="center"/>
            <w:hideMark/>
          </w:tcPr>
          <w:p w14:paraId="40ED1F90" w14:textId="2A1F020D" w:rsidR="00132BDB" w:rsidRPr="003D3BBA" w:rsidRDefault="00132BDB" w:rsidP="00F76882">
            <w:pPr>
              <w:pStyle w:val="Tabletextleft"/>
            </w:pPr>
            <w:r w:rsidRPr="003D3BBA">
              <w:t xml:space="preserve">Communities at-risk* </w:t>
            </w:r>
          </w:p>
        </w:tc>
        <w:tc>
          <w:tcPr>
            <w:tcW w:w="387" w:type="pct"/>
            <w:gridSpan w:val="2"/>
            <w:tcBorders>
              <w:top w:val="single" w:sz="4" w:space="0" w:color="auto"/>
              <w:left w:val="nil"/>
              <w:bottom w:val="single" w:sz="4" w:space="0" w:color="auto"/>
              <w:right w:val="single" w:sz="4" w:space="0" w:color="auto"/>
            </w:tcBorders>
            <w:noWrap/>
            <w:vAlign w:val="center"/>
            <w:hideMark/>
          </w:tcPr>
          <w:p w14:paraId="63E0AAB5" w14:textId="4356A119" w:rsidR="00132BDB" w:rsidRPr="00A33DD2" w:rsidRDefault="00132BDB" w:rsidP="00F76882">
            <w:pPr>
              <w:pStyle w:val="Tabletext"/>
            </w:pPr>
            <w:r w:rsidRPr="00A33DD2">
              <w:t>78</w:t>
            </w:r>
          </w:p>
        </w:tc>
        <w:tc>
          <w:tcPr>
            <w:tcW w:w="389" w:type="pct"/>
            <w:gridSpan w:val="2"/>
            <w:tcBorders>
              <w:top w:val="single" w:sz="4" w:space="0" w:color="auto"/>
              <w:left w:val="nil"/>
              <w:bottom w:val="single" w:sz="4" w:space="0" w:color="auto"/>
              <w:right w:val="single" w:sz="4" w:space="0" w:color="auto"/>
            </w:tcBorders>
            <w:noWrap/>
            <w:vAlign w:val="center"/>
            <w:hideMark/>
          </w:tcPr>
          <w:p w14:paraId="3D01C1F6" w14:textId="4B9963EE" w:rsidR="00132BDB" w:rsidRPr="00A33DD2" w:rsidRDefault="00132BDB" w:rsidP="00F76882">
            <w:pPr>
              <w:pStyle w:val="Tabletext"/>
            </w:pPr>
            <w:r w:rsidRPr="00A33DD2">
              <w:t>78</w:t>
            </w:r>
          </w:p>
        </w:tc>
        <w:tc>
          <w:tcPr>
            <w:tcW w:w="390" w:type="pct"/>
            <w:gridSpan w:val="2"/>
            <w:tcBorders>
              <w:top w:val="single" w:sz="4" w:space="0" w:color="auto"/>
              <w:left w:val="nil"/>
              <w:bottom w:val="single" w:sz="4" w:space="0" w:color="auto"/>
              <w:right w:val="single" w:sz="4" w:space="0" w:color="auto"/>
            </w:tcBorders>
            <w:noWrap/>
            <w:vAlign w:val="center"/>
            <w:hideMark/>
          </w:tcPr>
          <w:p w14:paraId="077ADCE7" w14:textId="7A6F3472" w:rsidR="00132BDB" w:rsidRPr="00A33DD2" w:rsidRDefault="00132BDB" w:rsidP="00F76882">
            <w:pPr>
              <w:pStyle w:val="Tabletext"/>
            </w:pPr>
            <w:r w:rsidRPr="00A33DD2">
              <w:t>77</w:t>
            </w:r>
          </w:p>
        </w:tc>
        <w:tc>
          <w:tcPr>
            <w:tcW w:w="392" w:type="pct"/>
            <w:gridSpan w:val="2"/>
            <w:tcBorders>
              <w:top w:val="single" w:sz="4" w:space="0" w:color="auto"/>
              <w:left w:val="nil"/>
              <w:bottom w:val="single" w:sz="4" w:space="0" w:color="auto"/>
              <w:right w:val="single" w:sz="4" w:space="0" w:color="auto"/>
            </w:tcBorders>
            <w:noWrap/>
            <w:vAlign w:val="center"/>
            <w:hideMark/>
          </w:tcPr>
          <w:p w14:paraId="0F7937ED" w14:textId="037363F4" w:rsidR="00132BDB" w:rsidRPr="00A33DD2" w:rsidRDefault="00132BDB" w:rsidP="00F76882">
            <w:pPr>
              <w:pStyle w:val="Tabletext"/>
            </w:pPr>
            <w:r w:rsidRPr="00A33DD2">
              <w:t>68</w:t>
            </w:r>
          </w:p>
        </w:tc>
        <w:tc>
          <w:tcPr>
            <w:tcW w:w="392" w:type="pct"/>
            <w:gridSpan w:val="2"/>
            <w:tcBorders>
              <w:top w:val="single" w:sz="4" w:space="0" w:color="auto"/>
              <w:left w:val="nil"/>
              <w:bottom w:val="single" w:sz="4" w:space="0" w:color="auto"/>
              <w:right w:val="single" w:sz="4" w:space="0" w:color="auto"/>
            </w:tcBorders>
            <w:noWrap/>
            <w:vAlign w:val="center"/>
            <w:hideMark/>
          </w:tcPr>
          <w:p w14:paraId="386346CE" w14:textId="59895838" w:rsidR="00132BDB" w:rsidRPr="00A33DD2" w:rsidRDefault="00132BDB" w:rsidP="00F76882">
            <w:pPr>
              <w:pStyle w:val="Tabletext"/>
            </w:pPr>
            <w:r w:rsidRPr="00A33DD2">
              <w:t>61</w:t>
            </w:r>
          </w:p>
        </w:tc>
        <w:tc>
          <w:tcPr>
            <w:tcW w:w="392" w:type="pct"/>
            <w:gridSpan w:val="2"/>
            <w:tcBorders>
              <w:top w:val="single" w:sz="4" w:space="0" w:color="auto"/>
              <w:left w:val="nil"/>
              <w:bottom w:val="single" w:sz="4" w:space="0" w:color="auto"/>
              <w:right w:val="single" w:sz="4" w:space="0" w:color="auto"/>
            </w:tcBorders>
            <w:noWrap/>
            <w:vAlign w:val="center"/>
            <w:hideMark/>
          </w:tcPr>
          <w:p w14:paraId="53A02028" w14:textId="659B0089" w:rsidR="00132BDB" w:rsidRPr="00A33DD2" w:rsidRDefault="00132BDB" w:rsidP="00F76882">
            <w:pPr>
              <w:pStyle w:val="Tabletext"/>
            </w:pPr>
            <w:r w:rsidRPr="00A33DD2">
              <w:t>57</w:t>
            </w:r>
          </w:p>
        </w:tc>
        <w:tc>
          <w:tcPr>
            <w:tcW w:w="392" w:type="pct"/>
            <w:gridSpan w:val="2"/>
            <w:tcBorders>
              <w:top w:val="single" w:sz="4" w:space="0" w:color="auto"/>
              <w:left w:val="nil"/>
              <w:bottom w:val="single" w:sz="4" w:space="0" w:color="auto"/>
              <w:right w:val="single" w:sz="4" w:space="0" w:color="auto"/>
            </w:tcBorders>
            <w:noWrap/>
            <w:vAlign w:val="center"/>
            <w:hideMark/>
          </w:tcPr>
          <w:p w14:paraId="40FE77C5" w14:textId="42EBB9CC" w:rsidR="00132BDB" w:rsidRPr="00A33DD2" w:rsidRDefault="00132BDB" w:rsidP="00F76882">
            <w:pPr>
              <w:pStyle w:val="Tabletext"/>
            </w:pPr>
            <w:r w:rsidRPr="00A33DD2">
              <w:t>45</w:t>
            </w:r>
          </w:p>
        </w:tc>
        <w:tc>
          <w:tcPr>
            <w:tcW w:w="390" w:type="pct"/>
            <w:gridSpan w:val="2"/>
            <w:tcBorders>
              <w:top w:val="single" w:sz="4" w:space="0" w:color="auto"/>
              <w:left w:val="nil"/>
              <w:bottom w:val="single" w:sz="4" w:space="0" w:color="auto"/>
              <w:right w:val="single" w:sz="4" w:space="0" w:color="auto"/>
            </w:tcBorders>
            <w:noWrap/>
            <w:vAlign w:val="center"/>
            <w:hideMark/>
          </w:tcPr>
          <w:p w14:paraId="7D45A737" w14:textId="59C2F0D1" w:rsidR="00132BDB" w:rsidRPr="00A33DD2" w:rsidRDefault="00132BDB" w:rsidP="00F76882">
            <w:pPr>
              <w:pStyle w:val="Tabletext"/>
            </w:pPr>
            <w:r w:rsidRPr="00A33DD2">
              <w:t>44</w:t>
            </w:r>
          </w:p>
        </w:tc>
        <w:tc>
          <w:tcPr>
            <w:tcW w:w="392" w:type="pct"/>
            <w:gridSpan w:val="2"/>
            <w:tcBorders>
              <w:top w:val="single" w:sz="4" w:space="0" w:color="auto"/>
              <w:left w:val="nil"/>
              <w:bottom w:val="single" w:sz="4" w:space="0" w:color="auto"/>
              <w:right w:val="single" w:sz="4" w:space="0" w:color="auto"/>
            </w:tcBorders>
            <w:noWrap/>
            <w:vAlign w:val="center"/>
            <w:hideMark/>
          </w:tcPr>
          <w:p w14:paraId="742CE356" w14:textId="43D3DCAA" w:rsidR="00132BDB" w:rsidRPr="00A33DD2" w:rsidRDefault="00132BDB" w:rsidP="00F76882">
            <w:pPr>
              <w:pStyle w:val="Tabletext"/>
            </w:pPr>
            <w:r w:rsidRPr="00A33DD2">
              <w:t>45</w:t>
            </w:r>
          </w:p>
        </w:tc>
        <w:tc>
          <w:tcPr>
            <w:tcW w:w="390" w:type="pct"/>
            <w:gridSpan w:val="2"/>
            <w:tcBorders>
              <w:top w:val="single" w:sz="4" w:space="0" w:color="auto"/>
              <w:left w:val="nil"/>
              <w:bottom w:val="single" w:sz="4" w:space="0" w:color="auto"/>
              <w:right w:val="single" w:sz="4" w:space="0" w:color="auto"/>
            </w:tcBorders>
            <w:noWrap/>
            <w:vAlign w:val="center"/>
            <w:hideMark/>
          </w:tcPr>
          <w:p w14:paraId="791A4BE8" w14:textId="2874F283" w:rsidR="00132BDB" w:rsidRPr="00A33DD2" w:rsidRDefault="00132BDB" w:rsidP="00F76882">
            <w:pPr>
              <w:pStyle w:val="Tabletext"/>
            </w:pPr>
            <w:r w:rsidRPr="00A33DD2">
              <w:t>43</w:t>
            </w:r>
          </w:p>
        </w:tc>
        <w:tc>
          <w:tcPr>
            <w:tcW w:w="387" w:type="pct"/>
            <w:gridSpan w:val="2"/>
            <w:tcBorders>
              <w:top w:val="single" w:sz="4" w:space="0" w:color="auto"/>
              <w:left w:val="nil"/>
              <w:bottom w:val="single" w:sz="4" w:space="0" w:color="auto"/>
              <w:right w:val="single" w:sz="4" w:space="0" w:color="auto"/>
            </w:tcBorders>
            <w:vAlign w:val="center"/>
          </w:tcPr>
          <w:p w14:paraId="21CE745E" w14:textId="69375922" w:rsidR="00132BDB" w:rsidRPr="00A33DD2" w:rsidRDefault="00132BDB" w:rsidP="00F76882">
            <w:pPr>
              <w:pStyle w:val="Tabletext"/>
            </w:pPr>
            <w:r w:rsidRPr="00A33DD2">
              <w:t>48</w:t>
            </w:r>
          </w:p>
        </w:tc>
      </w:tr>
      <w:tr w:rsidR="00132BDB" w:rsidRPr="0036007C" w14:paraId="2DBCC761" w14:textId="664D1200" w:rsidTr="001A1076">
        <w:trPr>
          <w:trHeight w:val="690"/>
        </w:trPr>
        <w:tc>
          <w:tcPr>
            <w:tcW w:w="710" w:type="pct"/>
            <w:tcBorders>
              <w:top w:val="nil"/>
              <w:left w:val="single" w:sz="4" w:space="0" w:color="auto"/>
              <w:bottom w:val="single" w:sz="4" w:space="0" w:color="auto"/>
              <w:right w:val="single" w:sz="4" w:space="0" w:color="auto"/>
            </w:tcBorders>
            <w:shd w:val="clear" w:color="000000" w:fill="BFBFBF"/>
            <w:vAlign w:val="center"/>
            <w:hideMark/>
          </w:tcPr>
          <w:p w14:paraId="04005B8B" w14:textId="74213914" w:rsidR="00132BDB" w:rsidRPr="003D3BBA" w:rsidRDefault="00132BDB" w:rsidP="00F76882">
            <w:pPr>
              <w:pStyle w:val="Tabletextleft"/>
            </w:pPr>
            <w:r w:rsidRPr="003D3BBA">
              <w:t>At-risk communities not screened or treated without screening†</w:t>
            </w:r>
          </w:p>
        </w:tc>
        <w:tc>
          <w:tcPr>
            <w:tcW w:w="387"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CC49241" w14:textId="5AEBE752" w:rsidR="00132BDB" w:rsidRPr="00A33DD2" w:rsidRDefault="00132BDB" w:rsidP="00F76882">
            <w:pPr>
              <w:pStyle w:val="Tabletext"/>
            </w:pPr>
            <w:r w:rsidRPr="00A33DD2">
              <w:t>31</w:t>
            </w:r>
          </w:p>
        </w:tc>
        <w:tc>
          <w:tcPr>
            <w:tcW w:w="389"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C2B93C6" w14:textId="504B7042" w:rsidR="00132BDB" w:rsidRPr="00A33DD2" w:rsidRDefault="00132BDB" w:rsidP="00F76882">
            <w:pPr>
              <w:pStyle w:val="Tabletext"/>
            </w:pPr>
            <w:r w:rsidRPr="00A33DD2">
              <w:t>37</w:t>
            </w:r>
          </w:p>
        </w:tc>
        <w:tc>
          <w:tcPr>
            <w:tcW w:w="390"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ED0EA68" w14:textId="59A6370C" w:rsidR="00132BDB" w:rsidRPr="00A33DD2" w:rsidRDefault="00132BDB" w:rsidP="00F76882">
            <w:pPr>
              <w:pStyle w:val="Tabletext"/>
            </w:pPr>
            <w:r w:rsidRPr="00A33DD2">
              <w:t>27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FBD8746" w14:textId="2604898A" w:rsidR="00132BDB" w:rsidRPr="00A33DD2" w:rsidRDefault="00132BDB" w:rsidP="00F76882">
            <w:pPr>
              <w:pStyle w:val="Tabletext"/>
            </w:pPr>
            <w:r w:rsidRPr="00A33DD2">
              <w:t>39</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4FB6D10" w14:textId="24841E24" w:rsidR="00132BDB" w:rsidRPr="00A33DD2" w:rsidRDefault="00132BDB" w:rsidP="00F76882">
            <w:pPr>
              <w:pStyle w:val="Tabletext"/>
            </w:pPr>
            <w:r w:rsidRPr="00A33DD2">
              <w:t>26</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C93B01E" w14:textId="6CC998E0" w:rsidR="00132BDB" w:rsidRPr="00A33DD2" w:rsidRDefault="00132BDB" w:rsidP="00F76882">
            <w:pPr>
              <w:pStyle w:val="Tabletext"/>
            </w:pPr>
            <w:r w:rsidRPr="00A33DD2">
              <w:t>2</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8D8364F" w14:textId="3435B735" w:rsidR="00132BDB" w:rsidRPr="00A33DD2" w:rsidRDefault="00132BDB" w:rsidP="00F76882">
            <w:pPr>
              <w:pStyle w:val="Tabletext"/>
            </w:pPr>
            <w:r w:rsidRPr="00A33DD2">
              <w:t>2</w:t>
            </w:r>
          </w:p>
        </w:tc>
        <w:tc>
          <w:tcPr>
            <w:tcW w:w="390"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9A82C25" w14:textId="795BFCB2" w:rsidR="00132BDB" w:rsidRPr="00A33DD2" w:rsidRDefault="00132BDB" w:rsidP="00F76882">
            <w:pPr>
              <w:pStyle w:val="Tabletext"/>
            </w:pPr>
            <w:r w:rsidRPr="00A33DD2">
              <w:t>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73B2712A" w14:textId="0D369B2D" w:rsidR="00132BDB" w:rsidRPr="00A33DD2" w:rsidRDefault="00132BDB" w:rsidP="00F76882">
            <w:pPr>
              <w:pStyle w:val="Tabletext"/>
            </w:pPr>
            <w:r w:rsidRPr="00A33DD2">
              <w:t>4</w:t>
            </w:r>
          </w:p>
        </w:tc>
        <w:tc>
          <w:tcPr>
            <w:tcW w:w="390"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FAC3D6A" w14:textId="5B3F3E82" w:rsidR="00132BDB" w:rsidRPr="00A33DD2" w:rsidRDefault="00132BDB" w:rsidP="00F76882">
            <w:pPr>
              <w:pStyle w:val="Tabletext"/>
            </w:pPr>
            <w:r w:rsidRPr="00A33DD2">
              <w:t>12</w:t>
            </w:r>
          </w:p>
        </w:tc>
        <w:tc>
          <w:tcPr>
            <w:tcW w:w="387" w:type="pct"/>
            <w:gridSpan w:val="2"/>
            <w:tcBorders>
              <w:top w:val="single" w:sz="4" w:space="0" w:color="auto"/>
              <w:left w:val="nil"/>
              <w:bottom w:val="single" w:sz="4" w:space="0" w:color="auto"/>
              <w:right w:val="single" w:sz="4" w:space="0" w:color="auto"/>
            </w:tcBorders>
            <w:shd w:val="clear" w:color="000000" w:fill="BFBFBF"/>
            <w:vAlign w:val="center"/>
          </w:tcPr>
          <w:p w14:paraId="35B86F3B" w14:textId="491A74FE" w:rsidR="00132BDB" w:rsidRPr="00A33DD2" w:rsidRDefault="00132BDB" w:rsidP="00F76882">
            <w:pPr>
              <w:pStyle w:val="Tabletext"/>
            </w:pPr>
            <w:r w:rsidRPr="00A33DD2">
              <w:t>3</w:t>
            </w:r>
          </w:p>
        </w:tc>
      </w:tr>
      <w:tr w:rsidR="00132BDB" w:rsidRPr="0036007C" w14:paraId="3F9D9E0F" w14:textId="444BC5B2" w:rsidTr="001A1076">
        <w:trPr>
          <w:trHeight w:val="690"/>
        </w:trPr>
        <w:tc>
          <w:tcPr>
            <w:tcW w:w="710" w:type="pct"/>
            <w:tcBorders>
              <w:top w:val="nil"/>
              <w:left w:val="single" w:sz="4" w:space="0" w:color="auto"/>
              <w:bottom w:val="single" w:sz="4" w:space="0" w:color="auto"/>
              <w:right w:val="single" w:sz="4" w:space="0" w:color="auto"/>
            </w:tcBorders>
            <w:vAlign w:val="center"/>
            <w:hideMark/>
          </w:tcPr>
          <w:p w14:paraId="3E398CBC" w14:textId="088678DD" w:rsidR="00132BDB" w:rsidRPr="007C3001" w:rsidRDefault="00132BDB" w:rsidP="00F76882">
            <w:pPr>
              <w:pStyle w:val="Tabletextleft"/>
            </w:pPr>
            <w:r w:rsidRPr="007C3001">
              <w:t>At-risk communities screened</w:t>
            </w:r>
          </w:p>
        </w:tc>
        <w:tc>
          <w:tcPr>
            <w:tcW w:w="387" w:type="pct"/>
            <w:gridSpan w:val="2"/>
            <w:tcBorders>
              <w:top w:val="single" w:sz="4" w:space="0" w:color="auto"/>
              <w:left w:val="nil"/>
              <w:bottom w:val="single" w:sz="4" w:space="0" w:color="auto"/>
              <w:right w:val="single" w:sz="4" w:space="0" w:color="auto"/>
            </w:tcBorders>
            <w:noWrap/>
            <w:vAlign w:val="center"/>
            <w:hideMark/>
          </w:tcPr>
          <w:p w14:paraId="40D8E07D" w14:textId="64B520F7" w:rsidR="00132BDB" w:rsidRPr="00A33DD2" w:rsidRDefault="00132BDB" w:rsidP="00F76882">
            <w:pPr>
              <w:pStyle w:val="Tabletext"/>
            </w:pPr>
            <w:r w:rsidRPr="00A33DD2">
              <w:t>47</w:t>
            </w:r>
          </w:p>
        </w:tc>
        <w:tc>
          <w:tcPr>
            <w:tcW w:w="389" w:type="pct"/>
            <w:gridSpan w:val="2"/>
            <w:tcBorders>
              <w:top w:val="single" w:sz="4" w:space="0" w:color="auto"/>
              <w:left w:val="nil"/>
              <w:bottom w:val="single" w:sz="4" w:space="0" w:color="auto"/>
              <w:right w:val="single" w:sz="4" w:space="0" w:color="auto"/>
            </w:tcBorders>
            <w:noWrap/>
            <w:vAlign w:val="center"/>
            <w:hideMark/>
          </w:tcPr>
          <w:p w14:paraId="5B28ED3B" w14:textId="2D8DC52E" w:rsidR="00132BDB" w:rsidRPr="00A33DD2" w:rsidRDefault="00132BDB" w:rsidP="00F76882">
            <w:pPr>
              <w:pStyle w:val="Tabletext"/>
            </w:pPr>
            <w:r w:rsidRPr="00A33DD2">
              <w:t>41</w:t>
            </w:r>
          </w:p>
        </w:tc>
        <w:tc>
          <w:tcPr>
            <w:tcW w:w="390" w:type="pct"/>
            <w:gridSpan w:val="2"/>
            <w:tcBorders>
              <w:top w:val="single" w:sz="4" w:space="0" w:color="auto"/>
              <w:left w:val="nil"/>
              <w:bottom w:val="single" w:sz="4" w:space="0" w:color="auto"/>
              <w:right w:val="single" w:sz="4" w:space="0" w:color="auto"/>
            </w:tcBorders>
            <w:noWrap/>
            <w:vAlign w:val="center"/>
            <w:hideMark/>
          </w:tcPr>
          <w:p w14:paraId="4C21D7C2" w14:textId="42BD071F" w:rsidR="00132BDB" w:rsidRPr="00A33DD2" w:rsidRDefault="00132BDB" w:rsidP="00F76882">
            <w:pPr>
              <w:pStyle w:val="Tabletext"/>
            </w:pPr>
            <w:r w:rsidRPr="00A33DD2">
              <w:t>50</w:t>
            </w:r>
          </w:p>
        </w:tc>
        <w:tc>
          <w:tcPr>
            <w:tcW w:w="392" w:type="pct"/>
            <w:gridSpan w:val="2"/>
            <w:tcBorders>
              <w:top w:val="single" w:sz="4" w:space="0" w:color="auto"/>
              <w:left w:val="nil"/>
              <w:bottom w:val="single" w:sz="4" w:space="0" w:color="auto"/>
              <w:right w:val="single" w:sz="4" w:space="0" w:color="auto"/>
            </w:tcBorders>
            <w:noWrap/>
            <w:vAlign w:val="center"/>
            <w:hideMark/>
          </w:tcPr>
          <w:p w14:paraId="495F19D3" w14:textId="7CBA067E" w:rsidR="00132BDB" w:rsidRPr="00A33DD2" w:rsidRDefault="00132BDB" w:rsidP="00F76882">
            <w:pPr>
              <w:pStyle w:val="Tabletext"/>
            </w:pPr>
            <w:r w:rsidRPr="00A33DD2">
              <w:t>29</w:t>
            </w:r>
          </w:p>
        </w:tc>
        <w:tc>
          <w:tcPr>
            <w:tcW w:w="392" w:type="pct"/>
            <w:gridSpan w:val="2"/>
            <w:tcBorders>
              <w:top w:val="single" w:sz="4" w:space="0" w:color="auto"/>
              <w:left w:val="nil"/>
              <w:bottom w:val="single" w:sz="4" w:space="0" w:color="auto"/>
              <w:right w:val="single" w:sz="4" w:space="0" w:color="auto"/>
            </w:tcBorders>
            <w:noWrap/>
            <w:vAlign w:val="center"/>
            <w:hideMark/>
          </w:tcPr>
          <w:p w14:paraId="606E8027" w14:textId="7CD1B8D1" w:rsidR="00132BDB" w:rsidRPr="00A33DD2" w:rsidRDefault="00132BDB" w:rsidP="00F76882">
            <w:pPr>
              <w:pStyle w:val="Tabletext"/>
            </w:pPr>
            <w:r w:rsidRPr="00A33DD2">
              <w:t>35</w:t>
            </w:r>
          </w:p>
        </w:tc>
        <w:tc>
          <w:tcPr>
            <w:tcW w:w="392" w:type="pct"/>
            <w:gridSpan w:val="2"/>
            <w:tcBorders>
              <w:top w:val="single" w:sz="4" w:space="0" w:color="auto"/>
              <w:left w:val="nil"/>
              <w:bottom w:val="single" w:sz="4" w:space="0" w:color="auto"/>
              <w:right w:val="single" w:sz="4" w:space="0" w:color="auto"/>
            </w:tcBorders>
            <w:noWrap/>
            <w:vAlign w:val="center"/>
            <w:hideMark/>
          </w:tcPr>
          <w:p w14:paraId="0A374378" w14:textId="06BD4783" w:rsidR="00132BDB" w:rsidRPr="00A33DD2" w:rsidRDefault="00132BDB" w:rsidP="00F76882">
            <w:pPr>
              <w:pStyle w:val="Tabletext"/>
            </w:pPr>
            <w:r w:rsidRPr="00A33DD2">
              <w:t>55</w:t>
            </w:r>
          </w:p>
        </w:tc>
        <w:tc>
          <w:tcPr>
            <w:tcW w:w="392" w:type="pct"/>
            <w:gridSpan w:val="2"/>
            <w:tcBorders>
              <w:top w:val="single" w:sz="4" w:space="0" w:color="auto"/>
              <w:left w:val="nil"/>
              <w:bottom w:val="single" w:sz="4" w:space="0" w:color="auto"/>
              <w:right w:val="single" w:sz="4" w:space="0" w:color="auto"/>
            </w:tcBorders>
            <w:noWrap/>
            <w:vAlign w:val="center"/>
            <w:hideMark/>
          </w:tcPr>
          <w:p w14:paraId="05240A45" w14:textId="45820C4F" w:rsidR="00132BDB" w:rsidRPr="00A33DD2" w:rsidRDefault="00132BDB" w:rsidP="00F76882">
            <w:pPr>
              <w:pStyle w:val="Tabletext"/>
            </w:pPr>
            <w:r w:rsidRPr="00A33DD2">
              <w:t>43</w:t>
            </w:r>
          </w:p>
        </w:tc>
        <w:tc>
          <w:tcPr>
            <w:tcW w:w="390" w:type="pct"/>
            <w:gridSpan w:val="2"/>
            <w:tcBorders>
              <w:top w:val="single" w:sz="4" w:space="0" w:color="auto"/>
              <w:left w:val="nil"/>
              <w:bottom w:val="single" w:sz="4" w:space="0" w:color="auto"/>
              <w:right w:val="single" w:sz="4" w:space="0" w:color="auto"/>
            </w:tcBorders>
            <w:noWrap/>
            <w:vAlign w:val="center"/>
            <w:hideMark/>
          </w:tcPr>
          <w:p w14:paraId="52AAAAF8" w14:textId="42C3320C" w:rsidR="00132BDB" w:rsidRPr="00A33DD2" w:rsidRDefault="00132BDB" w:rsidP="00F76882">
            <w:pPr>
              <w:pStyle w:val="Tabletext"/>
            </w:pPr>
            <w:r w:rsidRPr="00A33DD2">
              <w:t>37</w:t>
            </w:r>
          </w:p>
        </w:tc>
        <w:tc>
          <w:tcPr>
            <w:tcW w:w="392" w:type="pct"/>
            <w:gridSpan w:val="2"/>
            <w:tcBorders>
              <w:top w:val="single" w:sz="4" w:space="0" w:color="auto"/>
              <w:left w:val="nil"/>
              <w:bottom w:val="single" w:sz="4" w:space="0" w:color="auto"/>
              <w:right w:val="single" w:sz="4" w:space="0" w:color="auto"/>
            </w:tcBorders>
            <w:noWrap/>
            <w:vAlign w:val="center"/>
            <w:hideMark/>
          </w:tcPr>
          <w:p w14:paraId="786DC4E1" w14:textId="0E770A66" w:rsidR="00132BDB" w:rsidRPr="00A33DD2" w:rsidRDefault="00132BDB" w:rsidP="00F76882">
            <w:pPr>
              <w:pStyle w:val="Tabletext"/>
            </w:pPr>
            <w:r w:rsidRPr="00A33DD2">
              <w:t>41</w:t>
            </w:r>
          </w:p>
        </w:tc>
        <w:tc>
          <w:tcPr>
            <w:tcW w:w="390" w:type="pct"/>
            <w:gridSpan w:val="2"/>
            <w:tcBorders>
              <w:top w:val="single" w:sz="4" w:space="0" w:color="auto"/>
              <w:left w:val="nil"/>
              <w:bottom w:val="single" w:sz="4" w:space="0" w:color="auto"/>
              <w:right w:val="single" w:sz="4" w:space="0" w:color="auto"/>
            </w:tcBorders>
            <w:noWrap/>
            <w:vAlign w:val="center"/>
            <w:hideMark/>
          </w:tcPr>
          <w:p w14:paraId="2626F54F" w14:textId="104356CC" w:rsidR="00132BDB" w:rsidRPr="00A33DD2" w:rsidRDefault="00132BDB" w:rsidP="00F76882">
            <w:pPr>
              <w:pStyle w:val="Tabletext"/>
            </w:pPr>
            <w:r w:rsidRPr="00A33DD2">
              <w:t>31</w:t>
            </w:r>
          </w:p>
        </w:tc>
        <w:tc>
          <w:tcPr>
            <w:tcW w:w="387" w:type="pct"/>
            <w:gridSpan w:val="2"/>
            <w:tcBorders>
              <w:top w:val="single" w:sz="4" w:space="0" w:color="auto"/>
              <w:left w:val="nil"/>
              <w:bottom w:val="single" w:sz="4" w:space="0" w:color="auto"/>
              <w:right w:val="single" w:sz="4" w:space="0" w:color="auto"/>
            </w:tcBorders>
            <w:vAlign w:val="center"/>
          </w:tcPr>
          <w:p w14:paraId="29EC122F" w14:textId="163839F0" w:rsidR="00132BDB" w:rsidRPr="00A33DD2" w:rsidRDefault="00132BDB" w:rsidP="00F76882">
            <w:pPr>
              <w:pStyle w:val="Tabletext"/>
            </w:pPr>
            <w:r w:rsidRPr="00A33DD2">
              <w:t>45</w:t>
            </w:r>
          </w:p>
        </w:tc>
      </w:tr>
      <w:tr w:rsidR="001A1076" w:rsidRPr="0036007C" w14:paraId="09D7F567" w14:textId="1B4F3ABA" w:rsidTr="001A1076">
        <w:trPr>
          <w:trHeight w:val="690"/>
        </w:trPr>
        <w:tc>
          <w:tcPr>
            <w:tcW w:w="710" w:type="pct"/>
            <w:tcBorders>
              <w:top w:val="nil"/>
              <w:left w:val="single" w:sz="4" w:space="0" w:color="auto"/>
              <w:bottom w:val="single" w:sz="4" w:space="0" w:color="auto"/>
              <w:right w:val="single" w:sz="4" w:space="0" w:color="auto"/>
            </w:tcBorders>
            <w:shd w:val="clear" w:color="000000" w:fill="BFBFBF"/>
            <w:noWrap/>
            <w:vAlign w:val="center"/>
          </w:tcPr>
          <w:p w14:paraId="620F3A05" w14:textId="7FEFEEB7" w:rsidR="00F128A5" w:rsidRPr="003D3BBA" w:rsidRDefault="007F5450" w:rsidP="00F76882">
            <w:pPr>
              <w:pStyle w:val="Tabletextleft"/>
            </w:pPr>
            <w:r w:rsidRPr="003D3BBA">
              <w:t>Observed prevalence (screened communities only)</w:t>
            </w:r>
            <w:r w:rsidR="00174E83" w:rsidRPr="00495326">
              <w:t xml:space="preserve"> ‡</w:t>
            </w:r>
          </w:p>
        </w:tc>
        <w:tc>
          <w:tcPr>
            <w:tcW w:w="146" w:type="pct"/>
            <w:tcBorders>
              <w:top w:val="nil"/>
              <w:left w:val="nil"/>
              <w:bottom w:val="single" w:sz="4" w:space="0" w:color="auto"/>
              <w:right w:val="single" w:sz="4" w:space="0" w:color="auto"/>
            </w:tcBorders>
            <w:shd w:val="clear" w:color="000000" w:fill="BFBFBF"/>
            <w:noWrap/>
            <w:vAlign w:val="center"/>
          </w:tcPr>
          <w:p w14:paraId="7D31C6ED" w14:textId="23870843" w:rsidR="00F128A5" w:rsidRPr="0036007C" w:rsidRDefault="00F128A5" w:rsidP="00F76882">
            <w:pPr>
              <w:pStyle w:val="Tabletext"/>
            </w:pPr>
            <w:r w:rsidRPr="0036007C">
              <w:t>n</w:t>
            </w:r>
          </w:p>
        </w:tc>
        <w:tc>
          <w:tcPr>
            <w:tcW w:w="241" w:type="pct"/>
            <w:tcBorders>
              <w:top w:val="nil"/>
              <w:left w:val="nil"/>
              <w:bottom w:val="single" w:sz="4" w:space="0" w:color="auto"/>
              <w:right w:val="single" w:sz="4" w:space="0" w:color="auto"/>
            </w:tcBorders>
            <w:shd w:val="clear" w:color="000000" w:fill="BFBFBF"/>
            <w:noWrap/>
            <w:vAlign w:val="center"/>
          </w:tcPr>
          <w:p w14:paraId="79A96EA0" w14:textId="0E54B674" w:rsidR="00F128A5" w:rsidRPr="0036007C" w:rsidRDefault="00F128A5" w:rsidP="00F76882">
            <w:pPr>
              <w:pStyle w:val="Tabletext"/>
            </w:pPr>
            <w:r w:rsidRPr="0036007C">
              <w:t>Proportion</w:t>
            </w:r>
          </w:p>
        </w:tc>
        <w:tc>
          <w:tcPr>
            <w:tcW w:w="147" w:type="pct"/>
            <w:tcBorders>
              <w:top w:val="nil"/>
              <w:left w:val="nil"/>
              <w:bottom w:val="single" w:sz="4" w:space="0" w:color="auto"/>
              <w:right w:val="single" w:sz="4" w:space="0" w:color="auto"/>
            </w:tcBorders>
            <w:shd w:val="clear" w:color="000000" w:fill="BFBFBF"/>
            <w:noWrap/>
            <w:vAlign w:val="center"/>
          </w:tcPr>
          <w:p w14:paraId="7405EC21" w14:textId="62E837E3" w:rsidR="00F128A5" w:rsidRPr="0036007C" w:rsidRDefault="00F128A5" w:rsidP="00F76882">
            <w:pPr>
              <w:pStyle w:val="Tabletext"/>
            </w:pPr>
            <w:r w:rsidRPr="0036007C">
              <w:t>n</w:t>
            </w:r>
          </w:p>
        </w:tc>
        <w:tc>
          <w:tcPr>
            <w:tcW w:w="242" w:type="pct"/>
            <w:tcBorders>
              <w:top w:val="nil"/>
              <w:left w:val="nil"/>
              <w:bottom w:val="single" w:sz="4" w:space="0" w:color="auto"/>
              <w:right w:val="single" w:sz="4" w:space="0" w:color="auto"/>
            </w:tcBorders>
            <w:shd w:val="clear" w:color="000000" w:fill="BFBFBF"/>
            <w:noWrap/>
            <w:vAlign w:val="center"/>
          </w:tcPr>
          <w:p w14:paraId="22409F82" w14:textId="01B4DEB4" w:rsidR="00F128A5" w:rsidRPr="0036007C" w:rsidRDefault="00F128A5" w:rsidP="00F76882">
            <w:pPr>
              <w:pStyle w:val="Tabletext"/>
            </w:pPr>
            <w:r w:rsidRPr="0036007C">
              <w:t>Proportion</w:t>
            </w:r>
          </w:p>
        </w:tc>
        <w:tc>
          <w:tcPr>
            <w:tcW w:w="147" w:type="pct"/>
            <w:tcBorders>
              <w:top w:val="nil"/>
              <w:left w:val="nil"/>
              <w:bottom w:val="single" w:sz="4" w:space="0" w:color="auto"/>
              <w:right w:val="single" w:sz="4" w:space="0" w:color="auto"/>
            </w:tcBorders>
            <w:shd w:val="clear" w:color="000000" w:fill="BFBFBF"/>
            <w:noWrap/>
            <w:vAlign w:val="center"/>
          </w:tcPr>
          <w:p w14:paraId="2433F8E6" w14:textId="12D04DB3" w:rsidR="00F128A5" w:rsidRPr="0036007C" w:rsidRDefault="00F128A5" w:rsidP="00F76882">
            <w:pPr>
              <w:pStyle w:val="Tabletext"/>
            </w:pPr>
            <w:r w:rsidRPr="0036007C">
              <w:t>n</w:t>
            </w:r>
          </w:p>
        </w:tc>
        <w:tc>
          <w:tcPr>
            <w:tcW w:w="242" w:type="pct"/>
            <w:tcBorders>
              <w:top w:val="nil"/>
              <w:left w:val="nil"/>
              <w:bottom w:val="single" w:sz="4" w:space="0" w:color="auto"/>
              <w:right w:val="single" w:sz="4" w:space="0" w:color="auto"/>
            </w:tcBorders>
            <w:shd w:val="clear" w:color="000000" w:fill="BFBFBF"/>
            <w:noWrap/>
            <w:vAlign w:val="center"/>
          </w:tcPr>
          <w:p w14:paraId="78E04BA5" w14:textId="5C41893F" w:rsidR="00F128A5" w:rsidRPr="0036007C" w:rsidRDefault="00F128A5" w:rsidP="00F76882">
            <w:pPr>
              <w:pStyle w:val="Tabletext"/>
            </w:pPr>
            <w:r w:rsidRPr="0036007C">
              <w:t>Proportion</w:t>
            </w:r>
          </w:p>
        </w:tc>
        <w:tc>
          <w:tcPr>
            <w:tcW w:w="149" w:type="pct"/>
            <w:tcBorders>
              <w:top w:val="nil"/>
              <w:left w:val="nil"/>
              <w:bottom w:val="single" w:sz="4" w:space="0" w:color="auto"/>
              <w:right w:val="single" w:sz="4" w:space="0" w:color="auto"/>
            </w:tcBorders>
            <w:shd w:val="clear" w:color="000000" w:fill="BFBFBF"/>
            <w:noWrap/>
            <w:vAlign w:val="center"/>
          </w:tcPr>
          <w:p w14:paraId="4FC2ECB4" w14:textId="593B0FB9" w:rsidR="00F128A5" w:rsidRPr="0036007C" w:rsidRDefault="00F128A5" w:rsidP="00F76882">
            <w:pPr>
              <w:pStyle w:val="Tabletext"/>
            </w:pPr>
            <w:r w:rsidRPr="0036007C">
              <w:t>n</w:t>
            </w:r>
          </w:p>
        </w:tc>
        <w:tc>
          <w:tcPr>
            <w:tcW w:w="242" w:type="pct"/>
            <w:tcBorders>
              <w:top w:val="nil"/>
              <w:left w:val="nil"/>
              <w:bottom w:val="single" w:sz="4" w:space="0" w:color="auto"/>
              <w:right w:val="single" w:sz="4" w:space="0" w:color="auto"/>
            </w:tcBorders>
            <w:shd w:val="clear" w:color="000000" w:fill="BFBFBF"/>
            <w:noWrap/>
            <w:vAlign w:val="center"/>
          </w:tcPr>
          <w:p w14:paraId="03FFA7A9" w14:textId="49D7243E" w:rsidR="00F128A5" w:rsidRPr="0036007C" w:rsidRDefault="00F128A5" w:rsidP="00F76882">
            <w:pPr>
              <w:pStyle w:val="Tabletext"/>
            </w:pPr>
            <w:r w:rsidRPr="0036007C">
              <w:t>Proportion</w:t>
            </w:r>
          </w:p>
        </w:tc>
        <w:tc>
          <w:tcPr>
            <w:tcW w:w="149" w:type="pct"/>
            <w:tcBorders>
              <w:top w:val="nil"/>
              <w:left w:val="nil"/>
              <w:bottom w:val="single" w:sz="4" w:space="0" w:color="auto"/>
              <w:right w:val="single" w:sz="4" w:space="0" w:color="auto"/>
            </w:tcBorders>
            <w:shd w:val="clear" w:color="000000" w:fill="BFBFBF"/>
            <w:noWrap/>
            <w:vAlign w:val="center"/>
          </w:tcPr>
          <w:p w14:paraId="01CFB1F3" w14:textId="5D9637E9" w:rsidR="00F128A5" w:rsidRPr="0036007C" w:rsidRDefault="00F128A5" w:rsidP="00F76882">
            <w:pPr>
              <w:pStyle w:val="Tabletext"/>
            </w:pPr>
            <w:r w:rsidRPr="0036007C">
              <w:t>n</w:t>
            </w:r>
          </w:p>
        </w:tc>
        <w:tc>
          <w:tcPr>
            <w:tcW w:w="242" w:type="pct"/>
            <w:tcBorders>
              <w:top w:val="nil"/>
              <w:left w:val="nil"/>
              <w:bottom w:val="single" w:sz="4" w:space="0" w:color="auto"/>
              <w:right w:val="single" w:sz="4" w:space="0" w:color="auto"/>
            </w:tcBorders>
            <w:shd w:val="clear" w:color="000000" w:fill="BFBFBF"/>
            <w:noWrap/>
            <w:vAlign w:val="center"/>
          </w:tcPr>
          <w:p w14:paraId="17EA698F" w14:textId="66EBDA3B" w:rsidR="00F128A5" w:rsidRPr="0036007C" w:rsidRDefault="00F128A5" w:rsidP="00F76882">
            <w:pPr>
              <w:pStyle w:val="Tabletext"/>
            </w:pPr>
            <w:r w:rsidRPr="0036007C">
              <w:t>Proportion</w:t>
            </w:r>
          </w:p>
        </w:tc>
        <w:tc>
          <w:tcPr>
            <w:tcW w:w="149" w:type="pct"/>
            <w:tcBorders>
              <w:top w:val="nil"/>
              <w:left w:val="nil"/>
              <w:bottom w:val="single" w:sz="4" w:space="0" w:color="auto"/>
              <w:right w:val="single" w:sz="4" w:space="0" w:color="auto"/>
            </w:tcBorders>
            <w:shd w:val="clear" w:color="000000" w:fill="BFBFBF"/>
            <w:noWrap/>
            <w:vAlign w:val="center"/>
          </w:tcPr>
          <w:p w14:paraId="16E041DC" w14:textId="011FFB8E" w:rsidR="00F128A5" w:rsidRPr="0036007C" w:rsidRDefault="00F128A5" w:rsidP="00F76882">
            <w:pPr>
              <w:pStyle w:val="Tabletext"/>
            </w:pPr>
            <w:r w:rsidRPr="0036007C">
              <w:t>n</w:t>
            </w:r>
          </w:p>
        </w:tc>
        <w:tc>
          <w:tcPr>
            <w:tcW w:w="242" w:type="pct"/>
            <w:tcBorders>
              <w:top w:val="nil"/>
              <w:left w:val="nil"/>
              <w:bottom w:val="single" w:sz="4" w:space="0" w:color="auto"/>
              <w:right w:val="single" w:sz="4" w:space="0" w:color="auto"/>
            </w:tcBorders>
            <w:shd w:val="clear" w:color="000000" w:fill="BFBFBF"/>
            <w:noWrap/>
            <w:vAlign w:val="center"/>
          </w:tcPr>
          <w:p w14:paraId="344B542A" w14:textId="43021C33" w:rsidR="00F128A5" w:rsidRPr="0036007C" w:rsidRDefault="00F128A5" w:rsidP="00F76882">
            <w:pPr>
              <w:pStyle w:val="Tabletext"/>
            </w:pPr>
            <w:r w:rsidRPr="0036007C">
              <w:t>Proportion</w:t>
            </w:r>
          </w:p>
        </w:tc>
        <w:tc>
          <w:tcPr>
            <w:tcW w:w="149" w:type="pct"/>
            <w:tcBorders>
              <w:top w:val="nil"/>
              <w:left w:val="nil"/>
              <w:bottom w:val="single" w:sz="4" w:space="0" w:color="auto"/>
              <w:right w:val="single" w:sz="4" w:space="0" w:color="auto"/>
            </w:tcBorders>
            <w:shd w:val="clear" w:color="000000" w:fill="BFBFBF"/>
            <w:noWrap/>
            <w:vAlign w:val="center"/>
          </w:tcPr>
          <w:p w14:paraId="48E88E6C" w14:textId="4300B169" w:rsidR="00F128A5" w:rsidRPr="0036007C" w:rsidRDefault="00F128A5" w:rsidP="00F76882">
            <w:pPr>
              <w:pStyle w:val="Tabletext"/>
            </w:pPr>
            <w:r w:rsidRPr="0036007C">
              <w:t>n</w:t>
            </w:r>
          </w:p>
        </w:tc>
        <w:tc>
          <w:tcPr>
            <w:tcW w:w="242" w:type="pct"/>
            <w:tcBorders>
              <w:top w:val="nil"/>
              <w:left w:val="nil"/>
              <w:bottom w:val="single" w:sz="4" w:space="0" w:color="auto"/>
              <w:right w:val="single" w:sz="4" w:space="0" w:color="auto"/>
            </w:tcBorders>
            <w:shd w:val="clear" w:color="000000" w:fill="BFBFBF"/>
            <w:noWrap/>
            <w:vAlign w:val="center"/>
          </w:tcPr>
          <w:p w14:paraId="1CACA3CC" w14:textId="0CA2E922" w:rsidR="00F128A5" w:rsidRPr="0036007C" w:rsidRDefault="00F128A5" w:rsidP="00F76882">
            <w:pPr>
              <w:pStyle w:val="Tabletext"/>
            </w:pPr>
            <w:r w:rsidRPr="0036007C">
              <w:t>Proportion</w:t>
            </w:r>
          </w:p>
        </w:tc>
        <w:tc>
          <w:tcPr>
            <w:tcW w:w="147" w:type="pct"/>
            <w:tcBorders>
              <w:top w:val="nil"/>
              <w:left w:val="nil"/>
              <w:bottom w:val="single" w:sz="4" w:space="0" w:color="auto"/>
              <w:right w:val="single" w:sz="4" w:space="0" w:color="auto"/>
            </w:tcBorders>
            <w:shd w:val="clear" w:color="000000" w:fill="BFBFBF"/>
            <w:noWrap/>
            <w:vAlign w:val="center"/>
          </w:tcPr>
          <w:p w14:paraId="2614856E" w14:textId="60D6649D" w:rsidR="00F128A5" w:rsidRPr="0036007C" w:rsidRDefault="00F128A5" w:rsidP="00F76882">
            <w:pPr>
              <w:pStyle w:val="Tabletext"/>
            </w:pPr>
            <w:r w:rsidRPr="0036007C">
              <w:t>n</w:t>
            </w:r>
          </w:p>
        </w:tc>
        <w:tc>
          <w:tcPr>
            <w:tcW w:w="242" w:type="pct"/>
            <w:tcBorders>
              <w:top w:val="nil"/>
              <w:left w:val="nil"/>
              <w:bottom w:val="single" w:sz="4" w:space="0" w:color="auto"/>
              <w:right w:val="single" w:sz="4" w:space="0" w:color="auto"/>
            </w:tcBorders>
            <w:shd w:val="clear" w:color="000000" w:fill="BFBFBF"/>
            <w:noWrap/>
            <w:vAlign w:val="center"/>
          </w:tcPr>
          <w:p w14:paraId="7C4F88E6" w14:textId="1BDEBBC5" w:rsidR="00F128A5" w:rsidRPr="0036007C" w:rsidRDefault="00F128A5" w:rsidP="00F76882">
            <w:pPr>
              <w:pStyle w:val="Tabletext"/>
            </w:pPr>
            <w:r w:rsidRPr="0036007C">
              <w:t>Proportion</w:t>
            </w:r>
          </w:p>
        </w:tc>
        <w:tc>
          <w:tcPr>
            <w:tcW w:w="149" w:type="pct"/>
            <w:tcBorders>
              <w:top w:val="nil"/>
              <w:left w:val="nil"/>
              <w:bottom w:val="single" w:sz="4" w:space="0" w:color="auto"/>
              <w:right w:val="single" w:sz="4" w:space="0" w:color="auto"/>
            </w:tcBorders>
            <w:shd w:val="clear" w:color="000000" w:fill="BFBFBF"/>
            <w:noWrap/>
            <w:vAlign w:val="center"/>
          </w:tcPr>
          <w:p w14:paraId="1243EBC0" w14:textId="4AD63B26" w:rsidR="00F128A5" w:rsidRPr="0036007C" w:rsidRDefault="00F128A5" w:rsidP="00F76882">
            <w:pPr>
              <w:pStyle w:val="Tabletext"/>
              <w:rPr>
                <w:rFonts w:ascii="Aptos Narrow" w:hAnsi="Aptos Narrow" w:cs="Calibri"/>
                <w:sz w:val="22"/>
                <w:szCs w:val="22"/>
              </w:rPr>
            </w:pPr>
            <w:r w:rsidRPr="0036007C">
              <w:t>n</w:t>
            </w:r>
          </w:p>
        </w:tc>
        <w:tc>
          <w:tcPr>
            <w:tcW w:w="242" w:type="pct"/>
            <w:tcBorders>
              <w:top w:val="nil"/>
              <w:left w:val="nil"/>
              <w:bottom w:val="single" w:sz="4" w:space="0" w:color="auto"/>
              <w:right w:val="single" w:sz="4" w:space="0" w:color="auto"/>
            </w:tcBorders>
            <w:shd w:val="clear" w:color="000000" w:fill="BFBFBF"/>
            <w:noWrap/>
            <w:vAlign w:val="center"/>
          </w:tcPr>
          <w:p w14:paraId="52B7D288" w14:textId="17A7FEB1" w:rsidR="00F128A5" w:rsidRPr="0036007C" w:rsidRDefault="00F128A5" w:rsidP="00F76882">
            <w:pPr>
              <w:pStyle w:val="Tabletext"/>
              <w:rPr>
                <w:rFonts w:ascii="Aptos Narrow" w:hAnsi="Aptos Narrow" w:cs="Calibri"/>
                <w:sz w:val="22"/>
                <w:szCs w:val="22"/>
              </w:rPr>
            </w:pPr>
            <w:r w:rsidRPr="0036007C">
              <w:t>Proportion</w:t>
            </w:r>
          </w:p>
        </w:tc>
        <w:tc>
          <w:tcPr>
            <w:tcW w:w="147" w:type="pct"/>
            <w:tcBorders>
              <w:top w:val="nil"/>
              <w:left w:val="nil"/>
              <w:bottom w:val="single" w:sz="4" w:space="0" w:color="auto"/>
              <w:right w:val="single" w:sz="4" w:space="0" w:color="auto"/>
            </w:tcBorders>
            <w:shd w:val="clear" w:color="000000" w:fill="BFBFBF"/>
            <w:noWrap/>
            <w:vAlign w:val="center"/>
          </w:tcPr>
          <w:p w14:paraId="71148491" w14:textId="22E296A2" w:rsidR="00F128A5" w:rsidRPr="0036007C" w:rsidRDefault="00F128A5" w:rsidP="00F76882">
            <w:pPr>
              <w:pStyle w:val="Tabletext"/>
            </w:pPr>
            <w:r w:rsidRPr="0036007C">
              <w:t>n</w:t>
            </w:r>
          </w:p>
        </w:tc>
        <w:tc>
          <w:tcPr>
            <w:tcW w:w="242" w:type="pct"/>
            <w:tcBorders>
              <w:top w:val="nil"/>
              <w:left w:val="nil"/>
              <w:bottom w:val="single" w:sz="4" w:space="0" w:color="auto"/>
              <w:right w:val="single" w:sz="4" w:space="0" w:color="auto"/>
            </w:tcBorders>
            <w:shd w:val="clear" w:color="000000" w:fill="BFBFBF"/>
            <w:noWrap/>
            <w:vAlign w:val="center"/>
          </w:tcPr>
          <w:p w14:paraId="3B2EB4B9" w14:textId="69B97F85" w:rsidR="00F128A5" w:rsidRPr="0036007C" w:rsidRDefault="00F128A5" w:rsidP="00F76882">
            <w:pPr>
              <w:pStyle w:val="Tabletext"/>
            </w:pPr>
            <w:r w:rsidRPr="0036007C">
              <w:t>Proportion</w:t>
            </w:r>
          </w:p>
        </w:tc>
        <w:tc>
          <w:tcPr>
            <w:tcW w:w="147" w:type="pct"/>
            <w:tcBorders>
              <w:top w:val="nil"/>
              <w:left w:val="nil"/>
              <w:bottom w:val="single" w:sz="4" w:space="0" w:color="auto"/>
              <w:right w:val="single" w:sz="4" w:space="0" w:color="auto"/>
            </w:tcBorders>
            <w:shd w:val="clear" w:color="000000" w:fill="BFBFBF"/>
            <w:vAlign w:val="center"/>
          </w:tcPr>
          <w:p w14:paraId="21391891" w14:textId="012B9AB5" w:rsidR="00F128A5" w:rsidRPr="0036007C" w:rsidRDefault="00F128A5" w:rsidP="00F76882">
            <w:pPr>
              <w:pStyle w:val="Tabletext"/>
            </w:pPr>
            <w:r w:rsidRPr="0036007C">
              <w:t>n</w:t>
            </w:r>
          </w:p>
        </w:tc>
        <w:tc>
          <w:tcPr>
            <w:tcW w:w="240" w:type="pct"/>
            <w:tcBorders>
              <w:top w:val="nil"/>
              <w:left w:val="nil"/>
              <w:bottom w:val="single" w:sz="4" w:space="0" w:color="auto"/>
              <w:right w:val="single" w:sz="4" w:space="0" w:color="auto"/>
            </w:tcBorders>
            <w:shd w:val="clear" w:color="000000" w:fill="BFBFBF"/>
            <w:vAlign w:val="center"/>
          </w:tcPr>
          <w:p w14:paraId="498CAAD1" w14:textId="00DACED3" w:rsidR="00F128A5" w:rsidRPr="0036007C" w:rsidRDefault="00F128A5" w:rsidP="00F76882">
            <w:pPr>
              <w:pStyle w:val="Tabletext"/>
            </w:pPr>
            <w:r w:rsidRPr="0036007C">
              <w:t>Proportion</w:t>
            </w:r>
          </w:p>
        </w:tc>
      </w:tr>
      <w:tr w:rsidR="001A1076" w:rsidRPr="0036007C" w14:paraId="674B4A56" w14:textId="3DB5F473" w:rsidTr="001A1076">
        <w:trPr>
          <w:trHeight w:val="510"/>
        </w:trPr>
        <w:tc>
          <w:tcPr>
            <w:tcW w:w="710" w:type="pct"/>
            <w:tcBorders>
              <w:top w:val="nil"/>
              <w:left w:val="single" w:sz="4" w:space="0" w:color="auto"/>
              <w:bottom w:val="single" w:sz="4" w:space="0" w:color="auto"/>
              <w:right w:val="single" w:sz="4" w:space="0" w:color="auto"/>
            </w:tcBorders>
            <w:shd w:val="clear" w:color="000000" w:fill="BFBFBF"/>
            <w:noWrap/>
            <w:vAlign w:val="center"/>
            <w:hideMark/>
          </w:tcPr>
          <w:p w14:paraId="1CC56E6F" w14:textId="77777777" w:rsidR="00332A12" w:rsidRPr="007C3001" w:rsidRDefault="00332A12" w:rsidP="00F76882">
            <w:pPr>
              <w:pStyle w:val="Tabletextleft"/>
            </w:pPr>
            <w:r w:rsidRPr="007C3001">
              <w:t>≥20%</w:t>
            </w:r>
          </w:p>
        </w:tc>
        <w:tc>
          <w:tcPr>
            <w:tcW w:w="146" w:type="pct"/>
            <w:tcBorders>
              <w:top w:val="nil"/>
              <w:left w:val="nil"/>
              <w:bottom w:val="single" w:sz="4" w:space="0" w:color="auto"/>
              <w:right w:val="single" w:sz="4" w:space="0" w:color="auto"/>
            </w:tcBorders>
            <w:shd w:val="clear" w:color="000000" w:fill="BFBFBF"/>
            <w:noWrap/>
            <w:vAlign w:val="center"/>
            <w:hideMark/>
          </w:tcPr>
          <w:p w14:paraId="5D2A48A7" w14:textId="6C372A45" w:rsidR="00332A12" w:rsidRPr="00A33DD2" w:rsidRDefault="00332A12" w:rsidP="00F76882">
            <w:pPr>
              <w:pStyle w:val="Tabletext"/>
            </w:pPr>
            <w:r w:rsidRPr="00A33DD2">
              <w:t>10</w:t>
            </w:r>
          </w:p>
        </w:tc>
        <w:tc>
          <w:tcPr>
            <w:tcW w:w="241" w:type="pct"/>
            <w:tcBorders>
              <w:top w:val="nil"/>
              <w:left w:val="nil"/>
              <w:bottom w:val="single" w:sz="4" w:space="0" w:color="auto"/>
              <w:right w:val="single" w:sz="4" w:space="0" w:color="auto"/>
            </w:tcBorders>
            <w:shd w:val="clear" w:color="000000" w:fill="BFBFBF"/>
            <w:noWrap/>
            <w:vAlign w:val="center"/>
            <w:hideMark/>
          </w:tcPr>
          <w:p w14:paraId="3A320E94" w14:textId="546B61F3" w:rsidR="00332A12" w:rsidRPr="00A33DD2" w:rsidRDefault="00332A12" w:rsidP="00F76882">
            <w:pPr>
              <w:pStyle w:val="Tabletext"/>
            </w:pPr>
            <w:r w:rsidRPr="00A33DD2">
              <w:t>21%</w:t>
            </w:r>
          </w:p>
        </w:tc>
        <w:tc>
          <w:tcPr>
            <w:tcW w:w="147" w:type="pct"/>
            <w:tcBorders>
              <w:top w:val="nil"/>
              <w:left w:val="nil"/>
              <w:bottom w:val="single" w:sz="4" w:space="0" w:color="auto"/>
              <w:right w:val="single" w:sz="4" w:space="0" w:color="auto"/>
            </w:tcBorders>
            <w:shd w:val="clear" w:color="000000" w:fill="BFBFBF"/>
            <w:noWrap/>
            <w:vAlign w:val="center"/>
            <w:hideMark/>
          </w:tcPr>
          <w:p w14:paraId="2D660A6D" w14:textId="4EA9F832" w:rsidR="00332A12" w:rsidRPr="00A33DD2" w:rsidRDefault="00332A12" w:rsidP="00F76882">
            <w:pPr>
              <w:pStyle w:val="Tabletext"/>
            </w:pPr>
            <w:r w:rsidRPr="00A33DD2">
              <w:t>4</w:t>
            </w:r>
          </w:p>
        </w:tc>
        <w:tc>
          <w:tcPr>
            <w:tcW w:w="242" w:type="pct"/>
            <w:tcBorders>
              <w:top w:val="nil"/>
              <w:left w:val="nil"/>
              <w:bottom w:val="single" w:sz="4" w:space="0" w:color="auto"/>
              <w:right w:val="single" w:sz="4" w:space="0" w:color="auto"/>
            </w:tcBorders>
            <w:shd w:val="clear" w:color="000000" w:fill="BFBFBF"/>
            <w:noWrap/>
            <w:vAlign w:val="center"/>
            <w:hideMark/>
          </w:tcPr>
          <w:p w14:paraId="3EAAB617" w14:textId="124A63EC" w:rsidR="00332A12" w:rsidRPr="00A33DD2" w:rsidRDefault="00332A12" w:rsidP="00F76882">
            <w:pPr>
              <w:pStyle w:val="Tabletext"/>
            </w:pPr>
            <w:r w:rsidRPr="00A33DD2">
              <w:t>10%</w:t>
            </w:r>
          </w:p>
        </w:tc>
        <w:tc>
          <w:tcPr>
            <w:tcW w:w="147" w:type="pct"/>
            <w:tcBorders>
              <w:top w:val="nil"/>
              <w:left w:val="nil"/>
              <w:bottom w:val="single" w:sz="4" w:space="0" w:color="auto"/>
              <w:right w:val="single" w:sz="4" w:space="0" w:color="auto"/>
            </w:tcBorders>
            <w:shd w:val="clear" w:color="000000" w:fill="BFBFBF"/>
            <w:noWrap/>
            <w:vAlign w:val="center"/>
            <w:hideMark/>
          </w:tcPr>
          <w:p w14:paraId="36185690" w14:textId="4BD60F7B" w:rsidR="00332A12" w:rsidRPr="00A33DD2" w:rsidRDefault="00332A12" w:rsidP="00F76882">
            <w:pPr>
              <w:pStyle w:val="Tabletext"/>
            </w:pPr>
            <w:r w:rsidRPr="00A33DD2">
              <w:t>6</w:t>
            </w:r>
          </w:p>
        </w:tc>
        <w:tc>
          <w:tcPr>
            <w:tcW w:w="242" w:type="pct"/>
            <w:tcBorders>
              <w:top w:val="nil"/>
              <w:left w:val="nil"/>
              <w:bottom w:val="single" w:sz="4" w:space="0" w:color="auto"/>
              <w:right w:val="single" w:sz="4" w:space="0" w:color="auto"/>
            </w:tcBorders>
            <w:shd w:val="clear" w:color="000000" w:fill="BFBFBF"/>
            <w:noWrap/>
            <w:vAlign w:val="center"/>
            <w:hideMark/>
          </w:tcPr>
          <w:p w14:paraId="5EBDB3B8" w14:textId="1A7D0A2A" w:rsidR="00332A12" w:rsidRPr="00A33DD2" w:rsidRDefault="00332A12" w:rsidP="00F76882">
            <w:pPr>
              <w:pStyle w:val="Tabletext"/>
            </w:pPr>
            <w:r w:rsidRPr="00A33DD2">
              <w:t>12%</w:t>
            </w:r>
          </w:p>
        </w:tc>
        <w:tc>
          <w:tcPr>
            <w:tcW w:w="149" w:type="pct"/>
            <w:tcBorders>
              <w:top w:val="nil"/>
              <w:left w:val="nil"/>
              <w:bottom w:val="single" w:sz="4" w:space="0" w:color="auto"/>
              <w:right w:val="single" w:sz="4" w:space="0" w:color="auto"/>
            </w:tcBorders>
            <w:shd w:val="clear" w:color="000000" w:fill="BFBFBF"/>
            <w:noWrap/>
            <w:vAlign w:val="center"/>
            <w:hideMark/>
          </w:tcPr>
          <w:p w14:paraId="2EA478C7" w14:textId="39093941" w:rsidR="00332A12" w:rsidRPr="00A33DD2" w:rsidRDefault="00332A12" w:rsidP="00F76882">
            <w:pPr>
              <w:pStyle w:val="Tabletext"/>
            </w:pPr>
            <w:r w:rsidRPr="00A33DD2">
              <w:t>1</w:t>
            </w:r>
          </w:p>
        </w:tc>
        <w:tc>
          <w:tcPr>
            <w:tcW w:w="242" w:type="pct"/>
            <w:tcBorders>
              <w:top w:val="nil"/>
              <w:left w:val="nil"/>
              <w:bottom w:val="single" w:sz="4" w:space="0" w:color="auto"/>
              <w:right w:val="single" w:sz="4" w:space="0" w:color="auto"/>
            </w:tcBorders>
            <w:shd w:val="clear" w:color="000000" w:fill="BFBFBF"/>
            <w:noWrap/>
            <w:vAlign w:val="center"/>
            <w:hideMark/>
          </w:tcPr>
          <w:p w14:paraId="76BA4973" w14:textId="3F9651E1" w:rsidR="00332A12" w:rsidRPr="00A33DD2" w:rsidRDefault="00332A12" w:rsidP="00F76882">
            <w:pPr>
              <w:pStyle w:val="Tabletext"/>
            </w:pPr>
            <w:r w:rsidRPr="00A33DD2">
              <w:t>3%</w:t>
            </w:r>
          </w:p>
        </w:tc>
        <w:tc>
          <w:tcPr>
            <w:tcW w:w="149" w:type="pct"/>
            <w:tcBorders>
              <w:top w:val="nil"/>
              <w:left w:val="nil"/>
              <w:bottom w:val="single" w:sz="4" w:space="0" w:color="auto"/>
              <w:right w:val="single" w:sz="4" w:space="0" w:color="auto"/>
            </w:tcBorders>
            <w:shd w:val="clear" w:color="000000" w:fill="BFBFBF"/>
            <w:noWrap/>
            <w:vAlign w:val="center"/>
            <w:hideMark/>
          </w:tcPr>
          <w:p w14:paraId="63A0B4D7" w14:textId="0598681E" w:rsidR="00332A12" w:rsidRPr="00A33DD2" w:rsidRDefault="00332A12" w:rsidP="00F76882">
            <w:pPr>
              <w:pStyle w:val="Tabletext"/>
            </w:pPr>
            <w:r w:rsidRPr="00A33DD2">
              <w:t>3</w:t>
            </w:r>
          </w:p>
        </w:tc>
        <w:tc>
          <w:tcPr>
            <w:tcW w:w="242" w:type="pct"/>
            <w:tcBorders>
              <w:top w:val="nil"/>
              <w:left w:val="nil"/>
              <w:bottom w:val="single" w:sz="4" w:space="0" w:color="auto"/>
              <w:right w:val="single" w:sz="4" w:space="0" w:color="auto"/>
            </w:tcBorders>
            <w:shd w:val="clear" w:color="000000" w:fill="BFBFBF"/>
            <w:noWrap/>
            <w:vAlign w:val="center"/>
            <w:hideMark/>
          </w:tcPr>
          <w:p w14:paraId="274683E2" w14:textId="0F5620EA" w:rsidR="00332A12" w:rsidRPr="00A33DD2" w:rsidRDefault="00332A12" w:rsidP="00F76882">
            <w:pPr>
              <w:pStyle w:val="Tabletext"/>
            </w:pPr>
            <w:r w:rsidRPr="00A33DD2">
              <w:t>9%</w:t>
            </w:r>
          </w:p>
        </w:tc>
        <w:tc>
          <w:tcPr>
            <w:tcW w:w="149" w:type="pct"/>
            <w:tcBorders>
              <w:top w:val="nil"/>
              <w:left w:val="nil"/>
              <w:bottom w:val="single" w:sz="4" w:space="0" w:color="auto"/>
              <w:right w:val="single" w:sz="4" w:space="0" w:color="auto"/>
            </w:tcBorders>
            <w:shd w:val="clear" w:color="000000" w:fill="BFBFBF"/>
            <w:noWrap/>
            <w:vAlign w:val="center"/>
            <w:hideMark/>
          </w:tcPr>
          <w:p w14:paraId="573E3E88" w14:textId="732BC235" w:rsidR="00332A12" w:rsidRPr="00A33DD2" w:rsidRDefault="00332A12" w:rsidP="00F76882">
            <w:pPr>
              <w:pStyle w:val="Tabletext"/>
            </w:pPr>
            <w:r w:rsidRPr="00A33DD2">
              <w:t>12</w:t>
            </w:r>
          </w:p>
        </w:tc>
        <w:tc>
          <w:tcPr>
            <w:tcW w:w="242" w:type="pct"/>
            <w:tcBorders>
              <w:top w:val="nil"/>
              <w:left w:val="nil"/>
              <w:bottom w:val="single" w:sz="4" w:space="0" w:color="auto"/>
              <w:right w:val="single" w:sz="4" w:space="0" w:color="auto"/>
            </w:tcBorders>
            <w:shd w:val="clear" w:color="000000" w:fill="BFBFBF"/>
            <w:noWrap/>
            <w:vAlign w:val="center"/>
            <w:hideMark/>
          </w:tcPr>
          <w:p w14:paraId="09F1C18C" w14:textId="7FD75F04" w:rsidR="00332A12" w:rsidRPr="00A33DD2" w:rsidRDefault="00332A12" w:rsidP="00F76882">
            <w:pPr>
              <w:pStyle w:val="Tabletext"/>
            </w:pPr>
            <w:r w:rsidRPr="00A33DD2">
              <w:t>22%</w:t>
            </w:r>
          </w:p>
        </w:tc>
        <w:tc>
          <w:tcPr>
            <w:tcW w:w="149" w:type="pct"/>
            <w:tcBorders>
              <w:top w:val="nil"/>
              <w:left w:val="nil"/>
              <w:bottom w:val="single" w:sz="4" w:space="0" w:color="auto"/>
              <w:right w:val="single" w:sz="4" w:space="0" w:color="auto"/>
            </w:tcBorders>
            <w:shd w:val="clear" w:color="000000" w:fill="BFBFBF"/>
            <w:noWrap/>
            <w:vAlign w:val="center"/>
            <w:hideMark/>
          </w:tcPr>
          <w:p w14:paraId="1A9ADF0B" w14:textId="4909491C" w:rsidR="00332A12" w:rsidRPr="00A33DD2" w:rsidRDefault="00332A12" w:rsidP="00F76882">
            <w:pPr>
              <w:pStyle w:val="Tabletext"/>
            </w:pPr>
            <w:r w:rsidRPr="00A33DD2">
              <w:t>8</w:t>
            </w:r>
          </w:p>
        </w:tc>
        <w:tc>
          <w:tcPr>
            <w:tcW w:w="242" w:type="pct"/>
            <w:tcBorders>
              <w:top w:val="nil"/>
              <w:left w:val="nil"/>
              <w:bottom w:val="single" w:sz="4" w:space="0" w:color="auto"/>
              <w:right w:val="single" w:sz="4" w:space="0" w:color="auto"/>
            </w:tcBorders>
            <w:shd w:val="clear" w:color="000000" w:fill="BFBFBF"/>
            <w:noWrap/>
            <w:vAlign w:val="center"/>
            <w:hideMark/>
          </w:tcPr>
          <w:p w14:paraId="426B71E7" w14:textId="29620A2E" w:rsidR="00332A12" w:rsidRPr="00A33DD2" w:rsidRDefault="00332A12" w:rsidP="00F76882">
            <w:pPr>
              <w:pStyle w:val="Tabletext"/>
            </w:pPr>
            <w:r w:rsidRPr="00A33DD2">
              <w:t>19%</w:t>
            </w:r>
          </w:p>
        </w:tc>
        <w:tc>
          <w:tcPr>
            <w:tcW w:w="147" w:type="pct"/>
            <w:tcBorders>
              <w:top w:val="nil"/>
              <w:left w:val="nil"/>
              <w:bottom w:val="single" w:sz="4" w:space="0" w:color="auto"/>
              <w:right w:val="single" w:sz="4" w:space="0" w:color="auto"/>
            </w:tcBorders>
            <w:shd w:val="clear" w:color="000000" w:fill="BFBFBF"/>
            <w:noWrap/>
            <w:vAlign w:val="center"/>
            <w:hideMark/>
          </w:tcPr>
          <w:p w14:paraId="2EFD7AA5" w14:textId="2E73A11B" w:rsidR="00332A12" w:rsidRPr="00A33DD2" w:rsidRDefault="00332A12" w:rsidP="00F76882">
            <w:pPr>
              <w:pStyle w:val="Tabletext"/>
            </w:pPr>
            <w:r w:rsidRPr="00A33DD2">
              <w:t>3</w:t>
            </w:r>
          </w:p>
        </w:tc>
        <w:tc>
          <w:tcPr>
            <w:tcW w:w="242" w:type="pct"/>
            <w:tcBorders>
              <w:top w:val="nil"/>
              <w:left w:val="nil"/>
              <w:bottom w:val="single" w:sz="4" w:space="0" w:color="auto"/>
              <w:right w:val="single" w:sz="4" w:space="0" w:color="auto"/>
            </w:tcBorders>
            <w:shd w:val="clear" w:color="000000" w:fill="BFBFBF"/>
            <w:noWrap/>
            <w:vAlign w:val="center"/>
            <w:hideMark/>
          </w:tcPr>
          <w:p w14:paraId="4D56C99B" w14:textId="734C35DF" w:rsidR="00332A12" w:rsidRPr="00A33DD2" w:rsidRDefault="00332A12" w:rsidP="00F76882">
            <w:pPr>
              <w:pStyle w:val="Tabletext"/>
            </w:pPr>
            <w:r w:rsidRPr="00A33DD2">
              <w:t>8%</w:t>
            </w:r>
          </w:p>
        </w:tc>
        <w:tc>
          <w:tcPr>
            <w:tcW w:w="149" w:type="pct"/>
            <w:tcBorders>
              <w:top w:val="nil"/>
              <w:left w:val="nil"/>
              <w:bottom w:val="single" w:sz="4" w:space="0" w:color="auto"/>
              <w:right w:val="single" w:sz="4" w:space="0" w:color="auto"/>
            </w:tcBorders>
            <w:shd w:val="clear" w:color="000000" w:fill="BFBFBF"/>
            <w:noWrap/>
            <w:vAlign w:val="center"/>
          </w:tcPr>
          <w:p w14:paraId="15812BF5" w14:textId="113A6D33" w:rsidR="00332A12" w:rsidRPr="00A33DD2" w:rsidRDefault="00332A12" w:rsidP="00F76882">
            <w:pPr>
              <w:pStyle w:val="Tabletext"/>
            </w:pPr>
            <w:r w:rsidRPr="00A33DD2">
              <w:t>3</w:t>
            </w:r>
          </w:p>
        </w:tc>
        <w:tc>
          <w:tcPr>
            <w:tcW w:w="242" w:type="pct"/>
            <w:tcBorders>
              <w:top w:val="nil"/>
              <w:left w:val="nil"/>
              <w:bottom w:val="single" w:sz="4" w:space="0" w:color="auto"/>
              <w:right w:val="single" w:sz="4" w:space="0" w:color="auto"/>
            </w:tcBorders>
            <w:shd w:val="clear" w:color="000000" w:fill="BFBFBF"/>
            <w:noWrap/>
            <w:vAlign w:val="center"/>
          </w:tcPr>
          <w:p w14:paraId="17801805" w14:textId="3FBE1FE0" w:rsidR="00332A12" w:rsidRPr="00A33DD2" w:rsidRDefault="00332A12" w:rsidP="00F76882">
            <w:pPr>
              <w:pStyle w:val="Tabletext"/>
            </w:pPr>
            <w:r w:rsidRPr="00A33DD2">
              <w:t>7%</w:t>
            </w:r>
          </w:p>
        </w:tc>
        <w:tc>
          <w:tcPr>
            <w:tcW w:w="147" w:type="pct"/>
            <w:tcBorders>
              <w:top w:val="nil"/>
              <w:left w:val="nil"/>
              <w:bottom w:val="single" w:sz="4" w:space="0" w:color="auto"/>
              <w:right w:val="single" w:sz="4" w:space="0" w:color="auto"/>
            </w:tcBorders>
            <w:shd w:val="clear" w:color="000000" w:fill="BFBFBF"/>
            <w:noWrap/>
            <w:vAlign w:val="center"/>
            <w:hideMark/>
          </w:tcPr>
          <w:p w14:paraId="28262C45" w14:textId="77E50F70" w:rsidR="00332A12" w:rsidRPr="00A33DD2" w:rsidRDefault="00332A12" w:rsidP="00F76882">
            <w:pPr>
              <w:pStyle w:val="Tabletext"/>
            </w:pPr>
            <w:r w:rsidRPr="00A33DD2">
              <w:t>3</w:t>
            </w:r>
          </w:p>
        </w:tc>
        <w:tc>
          <w:tcPr>
            <w:tcW w:w="242" w:type="pct"/>
            <w:tcBorders>
              <w:top w:val="nil"/>
              <w:left w:val="nil"/>
              <w:bottom w:val="single" w:sz="4" w:space="0" w:color="auto"/>
              <w:right w:val="single" w:sz="4" w:space="0" w:color="auto"/>
            </w:tcBorders>
            <w:shd w:val="clear" w:color="000000" w:fill="BFBFBF"/>
            <w:noWrap/>
            <w:vAlign w:val="center"/>
            <w:hideMark/>
          </w:tcPr>
          <w:p w14:paraId="5B7D0C3C" w14:textId="5F8E9815" w:rsidR="00332A12" w:rsidRPr="00A33DD2" w:rsidRDefault="00332A12" w:rsidP="00F76882">
            <w:pPr>
              <w:pStyle w:val="Tabletext"/>
            </w:pPr>
            <w:r w:rsidRPr="00A33DD2">
              <w:t>10%</w:t>
            </w:r>
          </w:p>
        </w:tc>
        <w:tc>
          <w:tcPr>
            <w:tcW w:w="147" w:type="pct"/>
            <w:tcBorders>
              <w:top w:val="nil"/>
              <w:left w:val="nil"/>
              <w:bottom w:val="single" w:sz="4" w:space="0" w:color="auto"/>
              <w:right w:val="single" w:sz="4" w:space="0" w:color="auto"/>
            </w:tcBorders>
            <w:shd w:val="clear" w:color="000000" w:fill="BFBFBF"/>
            <w:vAlign w:val="center"/>
          </w:tcPr>
          <w:p w14:paraId="3262C5CF" w14:textId="7D172149" w:rsidR="00332A12" w:rsidRPr="00A33DD2" w:rsidRDefault="00332A12" w:rsidP="00F76882">
            <w:pPr>
              <w:pStyle w:val="Tabletext"/>
            </w:pPr>
            <w:r w:rsidRPr="00A33DD2">
              <w:t>4</w:t>
            </w:r>
          </w:p>
        </w:tc>
        <w:tc>
          <w:tcPr>
            <w:tcW w:w="240" w:type="pct"/>
            <w:tcBorders>
              <w:top w:val="nil"/>
              <w:left w:val="nil"/>
              <w:bottom w:val="single" w:sz="4" w:space="0" w:color="auto"/>
              <w:right w:val="single" w:sz="4" w:space="0" w:color="auto"/>
            </w:tcBorders>
            <w:shd w:val="clear" w:color="000000" w:fill="BFBFBF"/>
            <w:vAlign w:val="center"/>
          </w:tcPr>
          <w:p w14:paraId="086FA8FC" w14:textId="6EBECF25" w:rsidR="00332A12" w:rsidRPr="00A33DD2" w:rsidRDefault="00332A12" w:rsidP="00F76882">
            <w:pPr>
              <w:pStyle w:val="Tabletext"/>
            </w:pPr>
            <w:r w:rsidRPr="00A33DD2">
              <w:t>9%</w:t>
            </w:r>
          </w:p>
        </w:tc>
      </w:tr>
      <w:tr w:rsidR="001A1076" w:rsidRPr="0036007C" w14:paraId="701FE750" w14:textId="526BBEAC" w:rsidTr="001A1076">
        <w:trPr>
          <w:trHeight w:val="510"/>
        </w:trPr>
        <w:tc>
          <w:tcPr>
            <w:tcW w:w="710" w:type="pct"/>
            <w:tcBorders>
              <w:top w:val="nil"/>
              <w:left w:val="single" w:sz="4" w:space="0" w:color="auto"/>
              <w:bottom w:val="single" w:sz="4" w:space="0" w:color="auto"/>
              <w:right w:val="single" w:sz="4" w:space="0" w:color="auto"/>
            </w:tcBorders>
            <w:noWrap/>
            <w:vAlign w:val="center"/>
            <w:hideMark/>
          </w:tcPr>
          <w:p w14:paraId="4E6FBEB3" w14:textId="0C80527F" w:rsidR="00332A12" w:rsidRPr="007C3001" w:rsidRDefault="00332A12" w:rsidP="00F76882">
            <w:pPr>
              <w:pStyle w:val="Tabletextleft"/>
            </w:pPr>
            <w:r w:rsidRPr="007C3001">
              <w:t xml:space="preserve">≥10% </w:t>
            </w:r>
            <w:r w:rsidR="004F3084" w:rsidRPr="007C3001">
              <w:t xml:space="preserve">to </w:t>
            </w:r>
            <w:r w:rsidRPr="007C3001">
              <w:t>&lt;20%</w:t>
            </w:r>
          </w:p>
        </w:tc>
        <w:tc>
          <w:tcPr>
            <w:tcW w:w="146" w:type="pct"/>
            <w:tcBorders>
              <w:top w:val="nil"/>
              <w:left w:val="nil"/>
              <w:bottom w:val="single" w:sz="4" w:space="0" w:color="auto"/>
              <w:right w:val="single" w:sz="4" w:space="0" w:color="auto"/>
            </w:tcBorders>
            <w:noWrap/>
            <w:vAlign w:val="center"/>
            <w:hideMark/>
          </w:tcPr>
          <w:p w14:paraId="2FF3C3BA" w14:textId="13147E7D" w:rsidR="00332A12" w:rsidRPr="00A33DD2" w:rsidRDefault="00332A12" w:rsidP="00F76882">
            <w:pPr>
              <w:pStyle w:val="Tabletext"/>
            </w:pPr>
            <w:r w:rsidRPr="00A33DD2">
              <w:t>4</w:t>
            </w:r>
          </w:p>
        </w:tc>
        <w:tc>
          <w:tcPr>
            <w:tcW w:w="241" w:type="pct"/>
            <w:tcBorders>
              <w:top w:val="nil"/>
              <w:left w:val="nil"/>
              <w:bottom w:val="single" w:sz="4" w:space="0" w:color="auto"/>
              <w:right w:val="single" w:sz="4" w:space="0" w:color="auto"/>
            </w:tcBorders>
            <w:noWrap/>
            <w:vAlign w:val="center"/>
            <w:hideMark/>
          </w:tcPr>
          <w:p w14:paraId="35A88339" w14:textId="4B4D3B23" w:rsidR="00332A12" w:rsidRPr="00A33DD2" w:rsidRDefault="00332A12" w:rsidP="00F76882">
            <w:pPr>
              <w:pStyle w:val="Tabletext"/>
            </w:pPr>
            <w:r w:rsidRPr="00A33DD2">
              <w:t>9%</w:t>
            </w:r>
          </w:p>
        </w:tc>
        <w:tc>
          <w:tcPr>
            <w:tcW w:w="147" w:type="pct"/>
            <w:tcBorders>
              <w:top w:val="nil"/>
              <w:left w:val="nil"/>
              <w:bottom w:val="single" w:sz="4" w:space="0" w:color="auto"/>
              <w:right w:val="single" w:sz="4" w:space="0" w:color="auto"/>
            </w:tcBorders>
            <w:noWrap/>
            <w:vAlign w:val="center"/>
            <w:hideMark/>
          </w:tcPr>
          <w:p w14:paraId="1CBEF495" w14:textId="2706C5F6" w:rsidR="00332A12" w:rsidRPr="00A33DD2" w:rsidRDefault="00332A12" w:rsidP="00F76882">
            <w:pPr>
              <w:pStyle w:val="Tabletext"/>
            </w:pPr>
            <w:r w:rsidRPr="00A33DD2">
              <w:t>2</w:t>
            </w:r>
          </w:p>
        </w:tc>
        <w:tc>
          <w:tcPr>
            <w:tcW w:w="242" w:type="pct"/>
            <w:tcBorders>
              <w:top w:val="nil"/>
              <w:left w:val="nil"/>
              <w:bottom w:val="single" w:sz="4" w:space="0" w:color="auto"/>
              <w:right w:val="single" w:sz="4" w:space="0" w:color="auto"/>
            </w:tcBorders>
            <w:noWrap/>
            <w:vAlign w:val="center"/>
            <w:hideMark/>
          </w:tcPr>
          <w:p w14:paraId="64B9A78E" w14:textId="35D2706E" w:rsidR="00332A12" w:rsidRPr="00A33DD2" w:rsidRDefault="00332A12" w:rsidP="00F76882">
            <w:pPr>
              <w:pStyle w:val="Tabletext"/>
            </w:pPr>
            <w:r w:rsidRPr="00A33DD2">
              <w:t>5%</w:t>
            </w:r>
          </w:p>
        </w:tc>
        <w:tc>
          <w:tcPr>
            <w:tcW w:w="147" w:type="pct"/>
            <w:tcBorders>
              <w:top w:val="nil"/>
              <w:left w:val="nil"/>
              <w:bottom w:val="single" w:sz="4" w:space="0" w:color="auto"/>
              <w:right w:val="single" w:sz="4" w:space="0" w:color="auto"/>
            </w:tcBorders>
            <w:noWrap/>
            <w:vAlign w:val="center"/>
            <w:hideMark/>
          </w:tcPr>
          <w:p w14:paraId="415DF1F7" w14:textId="17FE3DEA" w:rsidR="00332A12" w:rsidRPr="00A33DD2" w:rsidRDefault="00332A12" w:rsidP="00F76882">
            <w:pPr>
              <w:pStyle w:val="Tabletext"/>
            </w:pPr>
            <w:r w:rsidRPr="00A33DD2">
              <w:t>9</w:t>
            </w:r>
          </w:p>
        </w:tc>
        <w:tc>
          <w:tcPr>
            <w:tcW w:w="242" w:type="pct"/>
            <w:tcBorders>
              <w:top w:val="nil"/>
              <w:left w:val="nil"/>
              <w:bottom w:val="single" w:sz="4" w:space="0" w:color="auto"/>
              <w:right w:val="single" w:sz="4" w:space="0" w:color="auto"/>
            </w:tcBorders>
            <w:noWrap/>
            <w:vAlign w:val="center"/>
            <w:hideMark/>
          </w:tcPr>
          <w:p w14:paraId="4C18627A" w14:textId="5603C5FD" w:rsidR="00332A12" w:rsidRPr="00A33DD2" w:rsidRDefault="00332A12" w:rsidP="00F76882">
            <w:pPr>
              <w:pStyle w:val="Tabletext"/>
            </w:pPr>
            <w:r w:rsidRPr="00A33DD2">
              <w:t>18%</w:t>
            </w:r>
          </w:p>
        </w:tc>
        <w:tc>
          <w:tcPr>
            <w:tcW w:w="149" w:type="pct"/>
            <w:tcBorders>
              <w:top w:val="nil"/>
              <w:left w:val="nil"/>
              <w:bottom w:val="single" w:sz="4" w:space="0" w:color="auto"/>
              <w:right w:val="single" w:sz="4" w:space="0" w:color="auto"/>
            </w:tcBorders>
            <w:noWrap/>
            <w:vAlign w:val="center"/>
            <w:hideMark/>
          </w:tcPr>
          <w:p w14:paraId="5E86C2AD" w14:textId="587A4193" w:rsidR="00332A12" w:rsidRPr="00A33DD2" w:rsidRDefault="00332A12" w:rsidP="00F76882">
            <w:pPr>
              <w:pStyle w:val="Tabletext"/>
            </w:pPr>
            <w:r w:rsidRPr="00A33DD2">
              <w:t>3</w:t>
            </w:r>
          </w:p>
        </w:tc>
        <w:tc>
          <w:tcPr>
            <w:tcW w:w="242" w:type="pct"/>
            <w:tcBorders>
              <w:top w:val="nil"/>
              <w:left w:val="nil"/>
              <w:bottom w:val="single" w:sz="4" w:space="0" w:color="auto"/>
              <w:right w:val="single" w:sz="4" w:space="0" w:color="auto"/>
            </w:tcBorders>
            <w:noWrap/>
            <w:vAlign w:val="center"/>
            <w:hideMark/>
          </w:tcPr>
          <w:p w14:paraId="72E75750" w14:textId="038EF161" w:rsidR="00332A12" w:rsidRPr="00A33DD2" w:rsidRDefault="00332A12" w:rsidP="00F76882">
            <w:pPr>
              <w:pStyle w:val="Tabletext"/>
            </w:pPr>
            <w:r w:rsidRPr="00A33DD2">
              <w:t>10%</w:t>
            </w:r>
          </w:p>
        </w:tc>
        <w:tc>
          <w:tcPr>
            <w:tcW w:w="149" w:type="pct"/>
            <w:tcBorders>
              <w:top w:val="nil"/>
              <w:left w:val="nil"/>
              <w:bottom w:val="single" w:sz="4" w:space="0" w:color="auto"/>
              <w:right w:val="single" w:sz="4" w:space="0" w:color="auto"/>
            </w:tcBorders>
            <w:noWrap/>
            <w:vAlign w:val="center"/>
            <w:hideMark/>
          </w:tcPr>
          <w:p w14:paraId="300D8A8E" w14:textId="5FAD765F" w:rsidR="00332A12" w:rsidRPr="00A33DD2" w:rsidRDefault="00332A12" w:rsidP="00F76882">
            <w:pPr>
              <w:pStyle w:val="Tabletext"/>
            </w:pPr>
            <w:r w:rsidRPr="00A33DD2">
              <w:t>13</w:t>
            </w:r>
          </w:p>
        </w:tc>
        <w:tc>
          <w:tcPr>
            <w:tcW w:w="242" w:type="pct"/>
            <w:tcBorders>
              <w:top w:val="nil"/>
              <w:left w:val="nil"/>
              <w:bottom w:val="single" w:sz="4" w:space="0" w:color="auto"/>
              <w:right w:val="single" w:sz="4" w:space="0" w:color="auto"/>
            </w:tcBorders>
            <w:noWrap/>
            <w:vAlign w:val="center"/>
            <w:hideMark/>
          </w:tcPr>
          <w:p w14:paraId="1289320B" w14:textId="62F40779" w:rsidR="00332A12" w:rsidRPr="00A33DD2" w:rsidRDefault="00332A12" w:rsidP="00F76882">
            <w:pPr>
              <w:pStyle w:val="Tabletext"/>
            </w:pPr>
            <w:r w:rsidRPr="00A33DD2">
              <w:t>37%</w:t>
            </w:r>
          </w:p>
        </w:tc>
        <w:tc>
          <w:tcPr>
            <w:tcW w:w="149" w:type="pct"/>
            <w:tcBorders>
              <w:top w:val="nil"/>
              <w:left w:val="nil"/>
              <w:bottom w:val="single" w:sz="4" w:space="0" w:color="auto"/>
              <w:right w:val="single" w:sz="4" w:space="0" w:color="auto"/>
            </w:tcBorders>
            <w:noWrap/>
            <w:vAlign w:val="center"/>
            <w:hideMark/>
          </w:tcPr>
          <w:p w14:paraId="34519C46" w14:textId="435F2EDD" w:rsidR="00332A12" w:rsidRPr="00A33DD2" w:rsidRDefault="00332A12" w:rsidP="00F76882">
            <w:pPr>
              <w:pStyle w:val="Tabletext"/>
            </w:pPr>
            <w:r w:rsidRPr="00A33DD2">
              <w:t>10</w:t>
            </w:r>
          </w:p>
        </w:tc>
        <w:tc>
          <w:tcPr>
            <w:tcW w:w="242" w:type="pct"/>
            <w:tcBorders>
              <w:top w:val="nil"/>
              <w:left w:val="nil"/>
              <w:bottom w:val="single" w:sz="4" w:space="0" w:color="auto"/>
              <w:right w:val="single" w:sz="4" w:space="0" w:color="auto"/>
            </w:tcBorders>
            <w:noWrap/>
            <w:vAlign w:val="center"/>
            <w:hideMark/>
          </w:tcPr>
          <w:p w14:paraId="39E4FFD3" w14:textId="247C3AA7" w:rsidR="00332A12" w:rsidRPr="00A33DD2" w:rsidRDefault="00332A12" w:rsidP="00F76882">
            <w:pPr>
              <w:pStyle w:val="Tabletext"/>
            </w:pPr>
            <w:r w:rsidRPr="00A33DD2">
              <w:t>18%</w:t>
            </w:r>
          </w:p>
        </w:tc>
        <w:tc>
          <w:tcPr>
            <w:tcW w:w="149" w:type="pct"/>
            <w:tcBorders>
              <w:top w:val="nil"/>
              <w:left w:val="nil"/>
              <w:bottom w:val="single" w:sz="4" w:space="0" w:color="auto"/>
              <w:right w:val="single" w:sz="4" w:space="0" w:color="auto"/>
            </w:tcBorders>
            <w:noWrap/>
            <w:vAlign w:val="center"/>
            <w:hideMark/>
          </w:tcPr>
          <w:p w14:paraId="213705B0" w14:textId="48BD9BA6" w:rsidR="00332A12" w:rsidRPr="00A33DD2" w:rsidRDefault="00332A12" w:rsidP="00F76882">
            <w:pPr>
              <w:pStyle w:val="Tabletext"/>
            </w:pPr>
            <w:r w:rsidRPr="00A33DD2">
              <w:t>13</w:t>
            </w:r>
          </w:p>
        </w:tc>
        <w:tc>
          <w:tcPr>
            <w:tcW w:w="242" w:type="pct"/>
            <w:tcBorders>
              <w:top w:val="nil"/>
              <w:left w:val="nil"/>
              <w:bottom w:val="single" w:sz="4" w:space="0" w:color="auto"/>
              <w:right w:val="single" w:sz="4" w:space="0" w:color="auto"/>
            </w:tcBorders>
            <w:noWrap/>
            <w:vAlign w:val="center"/>
            <w:hideMark/>
          </w:tcPr>
          <w:p w14:paraId="56E20814" w14:textId="761A4525" w:rsidR="00332A12" w:rsidRPr="00A33DD2" w:rsidRDefault="00332A12" w:rsidP="00F76882">
            <w:pPr>
              <w:pStyle w:val="Tabletext"/>
            </w:pPr>
            <w:r w:rsidRPr="00A33DD2">
              <w:t>30%</w:t>
            </w:r>
          </w:p>
        </w:tc>
        <w:tc>
          <w:tcPr>
            <w:tcW w:w="147" w:type="pct"/>
            <w:tcBorders>
              <w:top w:val="nil"/>
              <w:left w:val="nil"/>
              <w:bottom w:val="single" w:sz="4" w:space="0" w:color="auto"/>
              <w:right w:val="single" w:sz="4" w:space="0" w:color="auto"/>
            </w:tcBorders>
            <w:noWrap/>
            <w:vAlign w:val="center"/>
            <w:hideMark/>
          </w:tcPr>
          <w:p w14:paraId="385CCA9F" w14:textId="07D57013" w:rsidR="00332A12" w:rsidRPr="00A33DD2" w:rsidRDefault="00332A12" w:rsidP="00F76882">
            <w:pPr>
              <w:pStyle w:val="Tabletext"/>
            </w:pPr>
            <w:r w:rsidRPr="00A33DD2">
              <w:t>8</w:t>
            </w:r>
          </w:p>
        </w:tc>
        <w:tc>
          <w:tcPr>
            <w:tcW w:w="242" w:type="pct"/>
            <w:tcBorders>
              <w:top w:val="nil"/>
              <w:left w:val="nil"/>
              <w:bottom w:val="single" w:sz="4" w:space="0" w:color="auto"/>
              <w:right w:val="single" w:sz="4" w:space="0" w:color="auto"/>
            </w:tcBorders>
            <w:noWrap/>
            <w:vAlign w:val="center"/>
            <w:hideMark/>
          </w:tcPr>
          <w:p w14:paraId="5AD60A0E" w14:textId="10D4F754" w:rsidR="00332A12" w:rsidRPr="00A33DD2" w:rsidRDefault="00332A12" w:rsidP="00F76882">
            <w:pPr>
              <w:pStyle w:val="Tabletext"/>
            </w:pPr>
            <w:r w:rsidRPr="00A33DD2">
              <w:t>22%</w:t>
            </w:r>
          </w:p>
        </w:tc>
        <w:tc>
          <w:tcPr>
            <w:tcW w:w="149" w:type="pct"/>
            <w:tcBorders>
              <w:top w:val="nil"/>
              <w:left w:val="nil"/>
              <w:bottom w:val="single" w:sz="4" w:space="0" w:color="auto"/>
              <w:right w:val="single" w:sz="4" w:space="0" w:color="auto"/>
            </w:tcBorders>
            <w:noWrap/>
            <w:vAlign w:val="center"/>
          </w:tcPr>
          <w:p w14:paraId="604CA230" w14:textId="63E6F09D" w:rsidR="00332A12" w:rsidRPr="00A33DD2" w:rsidRDefault="00332A12" w:rsidP="00F76882">
            <w:pPr>
              <w:pStyle w:val="Tabletext"/>
            </w:pPr>
            <w:r w:rsidRPr="00A33DD2">
              <w:t>6</w:t>
            </w:r>
          </w:p>
        </w:tc>
        <w:tc>
          <w:tcPr>
            <w:tcW w:w="242" w:type="pct"/>
            <w:tcBorders>
              <w:top w:val="nil"/>
              <w:left w:val="nil"/>
              <w:bottom w:val="single" w:sz="4" w:space="0" w:color="auto"/>
              <w:right w:val="single" w:sz="4" w:space="0" w:color="auto"/>
            </w:tcBorders>
            <w:noWrap/>
            <w:vAlign w:val="center"/>
          </w:tcPr>
          <w:p w14:paraId="76F6E2E0" w14:textId="23F8911D" w:rsidR="00332A12" w:rsidRPr="00A33DD2" w:rsidRDefault="00332A12" w:rsidP="00F76882">
            <w:pPr>
              <w:pStyle w:val="Tabletext"/>
            </w:pPr>
            <w:r w:rsidRPr="00A33DD2">
              <w:t>15%</w:t>
            </w:r>
          </w:p>
        </w:tc>
        <w:tc>
          <w:tcPr>
            <w:tcW w:w="147" w:type="pct"/>
            <w:tcBorders>
              <w:top w:val="nil"/>
              <w:left w:val="nil"/>
              <w:bottom w:val="single" w:sz="4" w:space="0" w:color="auto"/>
              <w:right w:val="single" w:sz="4" w:space="0" w:color="auto"/>
            </w:tcBorders>
            <w:noWrap/>
            <w:vAlign w:val="center"/>
            <w:hideMark/>
          </w:tcPr>
          <w:p w14:paraId="786AAA9A" w14:textId="254C39D8" w:rsidR="00332A12" w:rsidRPr="00A33DD2" w:rsidRDefault="00332A12" w:rsidP="00F76882">
            <w:pPr>
              <w:pStyle w:val="Tabletext"/>
            </w:pPr>
            <w:r w:rsidRPr="00A33DD2">
              <w:t>4</w:t>
            </w:r>
          </w:p>
        </w:tc>
        <w:tc>
          <w:tcPr>
            <w:tcW w:w="242" w:type="pct"/>
            <w:tcBorders>
              <w:top w:val="nil"/>
              <w:left w:val="nil"/>
              <w:bottom w:val="single" w:sz="4" w:space="0" w:color="auto"/>
              <w:right w:val="single" w:sz="4" w:space="0" w:color="auto"/>
            </w:tcBorders>
            <w:noWrap/>
            <w:vAlign w:val="center"/>
            <w:hideMark/>
          </w:tcPr>
          <w:p w14:paraId="2F1FC045" w14:textId="3FEED4AE" w:rsidR="00332A12" w:rsidRPr="00A33DD2" w:rsidRDefault="00332A12" w:rsidP="00F76882">
            <w:pPr>
              <w:pStyle w:val="Tabletext"/>
            </w:pPr>
            <w:r w:rsidRPr="00A33DD2">
              <w:t>13%</w:t>
            </w:r>
          </w:p>
        </w:tc>
        <w:tc>
          <w:tcPr>
            <w:tcW w:w="147" w:type="pct"/>
            <w:tcBorders>
              <w:top w:val="nil"/>
              <w:left w:val="nil"/>
              <w:bottom w:val="single" w:sz="4" w:space="0" w:color="auto"/>
              <w:right w:val="single" w:sz="4" w:space="0" w:color="auto"/>
            </w:tcBorders>
            <w:vAlign w:val="center"/>
          </w:tcPr>
          <w:p w14:paraId="6B73D372" w14:textId="12924954" w:rsidR="00332A12" w:rsidRPr="00A33DD2" w:rsidRDefault="00332A12" w:rsidP="00F76882">
            <w:pPr>
              <w:pStyle w:val="Tabletext"/>
            </w:pPr>
            <w:r w:rsidRPr="00A33DD2">
              <w:t>5</w:t>
            </w:r>
          </w:p>
        </w:tc>
        <w:tc>
          <w:tcPr>
            <w:tcW w:w="240" w:type="pct"/>
            <w:tcBorders>
              <w:top w:val="nil"/>
              <w:left w:val="nil"/>
              <w:bottom w:val="single" w:sz="4" w:space="0" w:color="auto"/>
              <w:right w:val="single" w:sz="4" w:space="0" w:color="auto"/>
            </w:tcBorders>
            <w:vAlign w:val="center"/>
          </w:tcPr>
          <w:p w14:paraId="0A7EA6C7" w14:textId="797384B1" w:rsidR="00332A12" w:rsidRPr="00A33DD2" w:rsidRDefault="00332A12" w:rsidP="00F76882">
            <w:pPr>
              <w:pStyle w:val="Tabletext"/>
            </w:pPr>
            <w:r w:rsidRPr="00A33DD2">
              <w:t>11%</w:t>
            </w:r>
          </w:p>
        </w:tc>
      </w:tr>
      <w:tr w:rsidR="001A1076" w:rsidRPr="0036007C" w14:paraId="60F75330" w14:textId="0ACA3471" w:rsidTr="001A1076">
        <w:trPr>
          <w:trHeight w:val="510"/>
        </w:trPr>
        <w:tc>
          <w:tcPr>
            <w:tcW w:w="710" w:type="pct"/>
            <w:tcBorders>
              <w:top w:val="nil"/>
              <w:left w:val="single" w:sz="4" w:space="0" w:color="auto"/>
              <w:bottom w:val="single" w:sz="4" w:space="0" w:color="auto"/>
              <w:right w:val="single" w:sz="4" w:space="0" w:color="auto"/>
            </w:tcBorders>
            <w:shd w:val="clear" w:color="000000" w:fill="BFBFBF"/>
            <w:noWrap/>
            <w:vAlign w:val="center"/>
            <w:hideMark/>
          </w:tcPr>
          <w:p w14:paraId="12F9D683" w14:textId="31E98FCE" w:rsidR="00332A12" w:rsidRPr="007C3001" w:rsidRDefault="00332A12" w:rsidP="00F76882">
            <w:pPr>
              <w:pStyle w:val="Tabletextleft"/>
            </w:pPr>
            <w:r w:rsidRPr="007C3001">
              <w:t xml:space="preserve">≥5% </w:t>
            </w:r>
            <w:r w:rsidR="004F3084" w:rsidRPr="007C3001">
              <w:t xml:space="preserve">to </w:t>
            </w:r>
            <w:r w:rsidRPr="007C3001">
              <w:t xml:space="preserve">&lt;10% </w:t>
            </w:r>
          </w:p>
        </w:tc>
        <w:tc>
          <w:tcPr>
            <w:tcW w:w="146" w:type="pct"/>
            <w:tcBorders>
              <w:top w:val="nil"/>
              <w:left w:val="nil"/>
              <w:bottom w:val="single" w:sz="4" w:space="0" w:color="auto"/>
              <w:right w:val="single" w:sz="4" w:space="0" w:color="auto"/>
            </w:tcBorders>
            <w:shd w:val="clear" w:color="000000" w:fill="BFBFBF"/>
            <w:noWrap/>
            <w:vAlign w:val="center"/>
            <w:hideMark/>
          </w:tcPr>
          <w:p w14:paraId="15A7092E" w14:textId="7830A21E" w:rsidR="00332A12" w:rsidRPr="00A33DD2" w:rsidRDefault="00332A12" w:rsidP="00F76882">
            <w:pPr>
              <w:pStyle w:val="Tabletext"/>
            </w:pPr>
            <w:r w:rsidRPr="00A33DD2">
              <w:t>2</w:t>
            </w:r>
          </w:p>
        </w:tc>
        <w:tc>
          <w:tcPr>
            <w:tcW w:w="241" w:type="pct"/>
            <w:tcBorders>
              <w:top w:val="nil"/>
              <w:left w:val="nil"/>
              <w:bottom w:val="single" w:sz="4" w:space="0" w:color="auto"/>
              <w:right w:val="single" w:sz="4" w:space="0" w:color="auto"/>
            </w:tcBorders>
            <w:shd w:val="clear" w:color="000000" w:fill="BFBFBF"/>
            <w:noWrap/>
            <w:vAlign w:val="center"/>
            <w:hideMark/>
          </w:tcPr>
          <w:p w14:paraId="4417D5EB" w14:textId="11876CC8" w:rsidR="00332A12" w:rsidRPr="00A33DD2" w:rsidRDefault="00332A12" w:rsidP="00F76882">
            <w:pPr>
              <w:pStyle w:val="Tabletext"/>
            </w:pPr>
            <w:r w:rsidRPr="00A33DD2">
              <w:t>4%</w:t>
            </w:r>
          </w:p>
        </w:tc>
        <w:tc>
          <w:tcPr>
            <w:tcW w:w="147" w:type="pct"/>
            <w:tcBorders>
              <w:top w:val="nil"/>
              <w:left w:val="nil"/>
              <w:bottom w:val="single" w:sz="4" w:space="0" w:color="auto"/>
              <w:right w:val="single" w:sz="4" w:space="0" w:color="auto"/>
            </w:tcBorders>
            <w:shd w:val="clear" w:color="000000" w:fill="BFBFBF"/>
            <w:noWrap/>
            <w:vAlign w:val="center"/>
            <w:hideMark/>
          </w:tcPr>
          <w:p w14:paraId="617678A7" w14:textId="05CF3935" w:rsidR="00332A12" w:rsidRPr="00A33DD2" w:rsidRDefault="00332A12" w:rsidP="00F76882">
            <w:pPr>
              <w:pStyle w:val="Tabletext"/>
            </w:pPr>
            <w:r w:rsidRPr="00A33DD2">
              <w:t>3</w:t>
            </w:r>
          </w:p>
        </w:tc>
        <w:tc>
          <w:tcPr>
            <w:tcW w:w="242" w:type="pct"/>
            <w:tcBorders>
              <w:top w:val="nil"/>
              <w:left w:val="nil"/>
              <w:bottom w:val="single" w:sz="4" w:space="0" w:color="auto"/>
              <w:right w:val="single" w:sz="4" w:space="0" w:color="auto"/>
            </w:tcBorders>
            <w:shd w:val="clear" w:color="000000" w:fill="BFBFBF"/>
            <w:noWrap/>
            <w:vAlign w:val="center"/>
            <w:hideMark/>
          </w:tcPr>
          <w:p w14:paraId="18FF882B" w14:textId="21155B2C" w:rsidR="00332A12" w:rsidRPr="00A33DD2" w:rsidRDefault="00332A12" w:rsidP="00F76882">
            <w:pPr>
              <w:pStyle w:val="Tabletext"/>
            </w:pPr>
            <w:r w:rsidRPr="00A33DD2">
              <w:t>7%</w:t>
            </w:r>
          </w:p>
        </w:tc>
        <w:tc>
          <w:tcPr>
            <w:tcW w:w="147" w:type="pct"/>
            <w:tcBorders>
              <w:top w:val="nil"/>
              <w:left w:val="nil"/>
              <w:bottom w:val="single" w:sz="4" w:space="0" w:color="auto"/>
              <w:right w:val="single" w:sz="4" w:space="0" w:color="auto"/>
            </w:tcBorders>
            <w:shd w:val="clear" w:color="000000" w:fill="BFBFBF"/>
            <w:noWrap/>
            <w:vAlign w:val="center"/>
            <w:hideMark/>
          </w:tcPr>
          <w:p w14:paraId="1E17A9DF" w14:textId="4840A99E" w:rsidR="00332A12" w:rsidRPr="00A33DD2" w:rsidRDefault="00332A12" w:rsidP="00F76882">
            <w:pPr>
              <w:pStyle w:val="Tabletext"/>
            </w:pPr>
            <w:r w:rsidRPr="00A33DD2">
              <w:t>7</w:t>
            </w:r>
          </w:p>
        </w:tc>
        <w:tc>
          <w:tcPr>
            <w:tcW w:w="242" w:type="pct"/>
            <w:tcBorders>
              <w:top w:val="nil"/>
              <w:left w:val="nil"/>
              <w:bottom w:val="single" w:sz="4" w:space="0" w:color="auto"/>
              <w:right w:val="single" w:sz="4" w:space="0" w:color="auto"/>
            </w:tcBorders>
            <w:shd w:val="clear" w:color="000000" w:fill="BFBFBF"/>
            <w:noWrap/>
            <w:vAlign w:val="center"/>
            <w:hideMark/>
          </w:tcPr>
          <w:p w14:paraId="0CDC9819" w14:textId="7C719BD9" w:rsidR="00332A12" w:rsidRPr="00A33DD2" w:rsidRDefault="00332A12" w:rsidP="00F76882">
            <w:pPr>
              <w:pStyle w:val="Tabletext"/>
            </w:pPr>
            <w:r w:rsidRPr="00A33DD2">
              <w:t>14%</w:t>
            </w:r>
          </w:p>
        </w:tc>
        <w:tc>
          <w:tcPr>
            <w:tcW w:w="149" w:type="pct"/>
            <w:tcBorders>
              <w:top w:val="nil"/>
              <w:left w:val="nil"/>
              <w:bottom w:val="single" w:sz="4" w:space="0" w:color="auto"/>
              <w:right w:val="single" w:sz="4" w:space="0" w:color="auto"/>
            </w:tcBorders>
            <w:shd w:val="clear" w:color="000000" w:fill="BFBFBF"/>
            <w:noWrap/>
            <w:vAlign w:val="center"/>
            <w:hideMark/>
          </w:tcPr>
          <w:p w14:paraId="05C3A085" w14:textId="08929B81" w:rsidR="00332A12" w:rsidRPr="00A33DD2" w:rsidRDefault="00332A12" w:rsidP="00F76882">
            <w:pPr>
              <w:pStyle w:val="Tabletext"/>
            </w:pPr>
            <w:r w:rsidRPr="00A33DD2">
              <w:t>2</w:t>
            </w:r>
          </w:p>
        </w:tc>
        <w:tc>
          <w:tcPr>
            <w:tcW w:w="242" w:type="pct"/>
            <w:tcBorders>
              <w:top w:val="nil"/>
              <w:left w:val="nil"/>
              <w:bottom w:val="single" w:sz="4" w:space="0" w:color="auto"/>
              <w:right w:val="single" w:sz="4" w:space="0" w:color="auto"/>
            </w:tcBorders>
            <w:shd w:val="clear" w:color="000000" w:fill="BFBFBF"/>
            <w:noWrap/>
            <w:vAlign w:val="center"/>
            <w:hideMark/>
          </w:tcPr>
          <w:p w14:paraId="3CF1D2F4" w14:textId="00076773" w:rsidR="00332A12" w:rsidRPr="00A33DD2" w:rsidRDefault="00332A12" w:rsidP="00F76882">
            <w:pPr>
              <w:pStyle w:val="Tabletext"/>
            </w:pPr>
            <w:r w:rsidRPr="00A33DD2">
              <w:t>7%</w:t>
            </w:r>
          </w:p>
        </w:tc>
        <w:tc>
          <w:tcPr>
            <w:tcW w:w="149" w:type="pct"/>
            <w:tcBorders>
              <w:top w:val="nil"/>
              <w:left w:val="nil"/>
              <w:bottom w:val="single" w:sz="4" w:space="0" w:color="auto"/>
              <w:right w:val="single" w:sz="4" w:space="0" w:color="auto"/>
            </w:tcBorders>
            <w:shd w:val="clear" w:color="000000" w:fill="BFBFBF"/>
            <w:noWrap/>
            <w:vAlign w:val="center"/>
            <w:hideMark/>
          </w:tcPr>
          <w:p w14:paraId="24369CCE" w14:textId="2A6A5E8C" w:rsidR="00332A12" w:rsidRPr="00A33DD2" w:rsidRDefault="00332A12" w:rsidP="00F76882">
            <w:pPr>
              <w:pStyle w:val="Tabletext"/>
            </w:pPr>
            <w:r w:rsidRPr="00A33DD2">
              <w:t>4</w:t>
            </w:r>
          </w:p>
        </w:tc>
        <w:tc>
          <w:tcPr>
            <w:tcW w:w="242" w:type="pct"/>
            <w:tcBorders>
              <w:top w:val="nil"/>
              <w:left w:val="nil"/>
              <w:bottom w:val="single" w:sz="4" w:space="0" w:color="auto"/>
              <w:right w:val="single" w:sz="4" w:space="0" w:color="auto"/>
            </w:tcBorders>
            <w:shd w:val="clear" w:color="000000" w:fill="BFBFBF"/>
            <w:noWrap/>
            <w:vAlign w:val="center"/>
            <w:hideMark/>
          </w:tcPr>
          <w:p w14:paraId="5E2A4D39" w14:textId="7EB430C2" w:rsidR="00332A12" w:rsidRPr="00A33DD2" w:rsidRDefault="00332A12" w:rsidP="00F76882">
            <w:pPr>
              <w:pStyle w:val="Tabletext"/>
            </w:pPr>
            <w:r w:rsidRPr="00A33DD2">
              <w:t>11%</w:t>
            </w:r>
          </w:p>
        </w:tc>
        <w:tc>
          <w:tcPr>
            <w:tcW w:w="149" w:type="pct"/>
            <w:tcBorders>
              <w:top w:val="nil"/>
              <w:left w:val="nil"/>
              <w:bottom w:val="single" w:sz="4" w:space="0" w:color="auto"/>
              <w:right w:val="single" w:sz="4" w:space="0" w:color="auto"/>
            </w:tcBorders>
            <w:shd w:val="clear" w:color="000000" w:fill="BFBFBF"/>
            <w:noWrap/>
            <w:vAlign w:val="center"/>
            <w:hideMark/>
          </w:tcPr>
          <w:p w14:paraId="17E15B00" w14:textId="7E71F305" w:rsidR="00332A12" w:rsidRPr="00A33DD2" w:rsidRDefault="00332A12" w:rsidP="00F76882">
            <w:pPr>
              <w:pStyle w:val="Tabletext"/>
            </w:pPr>
            <w:r w:rsidRPr="00A33DD2">
              <w:t>4</w:t>
            </w:r>
          </w:p>
        </w:tc>
        <w:tc>
          <w:tcPr>
            <w:tcW w:w="242" w:type="pct"/>
            <w:tcBorders>
              <w:top w:val="nil"/>
              <w:left w:val="nil"/>
              <w:bottom w:val="single" w:sz="4" w:space="0" w:color="auto"/>
              <w:right w:val="single" w:sz="4" w:space="0" w:color="auto"/>
            </w:tcBorders>
            <w:shd w:val="clear" w:color="000000" w:fill="BFBFBF"/>
            <w:noWrap/>
            <w:vAlign w:val="center"/>
            <w:hideMark/>
          </w:tcPr>
          <w:p w14:paraId="3B6CD9EE" w14:textId="7AE5F8A3" w:rsidR="00332A12" w:rsidRPr="00A33DD2" w:rsidRDefault="00332A12" w:rsidP="00F76882">
            <w:pPr>
              <w:pStyle w:val="Tabletext"/>
            </w:pPr>
            <w:r w:rsidRPr="00A33DD2">
              <w:t>7%</w:t>
            </w:r>
          </w:p>
        </w:tc>
        <w:tc>
          <w:tcPr>
            <w:tcW w:w="149" w:type="pct"/>
            <w:tcBorders>
              <w:top w:val="nil"/>
              <w:left w:val="nil"/>
              <w:bottom w:val="single" w:sz="4" w:space="0" w:color="auto"/>
              <w:right w:val="single" w:sz="4" w:space="0" w:color="auto"/>
            </w:tcBorders>
            <w:shd w:val="clear" w:color="000000" w:fill="BFBFBF"/>
            <w:noWrap/>
            <w:vAlign w:val="center"/>
            <w:hideMark/>
          </w:tcPr>
          <w:p w14:paraId="59F14B83" w14:textId="5E474D1A" w:rsidR="00332A12" w:rsidRPr="00A33DD2" w:rsidRDefault="00332A12" w:rsidP="00F76882">
            <w:pPr>
              <w:pStyle w:val="Tabletext"/>
            </w:pPr>
            <w:r w:rsidRPr="00A33DD2">
              <w:t>6</w:t>
            </w:r>
          </w:p>
        </w:tc>
        <w:tc>
          <w:tcPr>
            <w:tcW w:w="242" w:type="pct"/>
            <w:tcBorders>
              <w:top w:val="nil"/>
              <w:left w:val="nil"/>
              <w:bottom w:val="single" w:sz="4" w:space="0" w:color="auto"/>
              <w:right w:val="single" w:sz="4" w:space="0" w:color="auto"/>
            </w:tcBorders>
            <w:shd w:val="clear" w:color="000000" w:fill="BFBFBF"/>
            <w:noWrap/>
            <w:vAlign w:val="center"/>
            <w:hideMark/>
          </w:tcPr>
          <w:p w14:paraId="18EAC871" w14:textId="1E00DF5E" w:rsidR="00332A12" w:rsidRPr="00A33DD2" w:rsidRDefault="00332A12" w:rsidP="00F76882">
            <w:pPr>
              <w:pStyle w:val="Tabletext"/>
            </w:pPr>
            <w:r w:rsidRPr="00A33DD2">
              <w:t>14%</w:t>
            </w:r>
          </w:p>
        </w:tc>
        <w:tc>
          <w:tcPr>
            <w:tcW w:w="147" w:type="pct"/>
            <w:tcBorders>
              <w:top w:val="nil"/>
              <w:left w:val="nil"/>
              <w:bottom w:val="single" w:sz="4" w:space="0" w:color="auto"/>
              <w:right w:val="single" w:sz="4" w:space="0" w:color="auto"/>
            </w:tcBorders>
            <w:shd w:val="clear" w:color="000000" w:fill="BFBFBF"/>
            <w:noWrap/>
            <w:vAlign w:val="center"/>
            <w:hideMark/>
          </w:tcPr>
          <w:p w14:paraId="02186774" w14:textId="020508EC" w:rsidR="00332A12" w:rsidRPr="00A33DD2" w:rsidRDefault="00332A12" w:rsidP="00F76882">
            <w:pPr>
              <w:pStyle w:val="Tabletext"/>
            </w:pPr>
            <w:r w:rsidRPr="00A33DD2">
              <w:t>8</w:t>
            </w:r>
          </w:p>
        </w:tc>
        <w:tc>
          <w:tcPr>
            <w:tcW w:w="242" w:type="pct"/>
            <w:tcBorders>
              <w:top w:val="nil"/>
              <w:left w:val="nil"/>
              <w:bottom w:val="single" w:sz="4" w:space="0" w:color="auto"/>
              <w:right w:val="single" w:sz="4" w:space="0" w:color="auto"/>
            </w:tcBorders>
            <w:shd w:val="clear" w:color="000000" w:fill="BFBFBF"/>
            <w:noWrap/>
            <w:vAlign w:val="center"/>
            <w:hideMark/>
          </w:tcPr>
          <w:p w14:paraId="7D457CCB" w14:textId="37406893" w:rsidR="00332A12" w:rsidRPr="00A33DD2" w:rsidRDefault="00332A12" w:rsidP="00F76882">
            <w:pPr>
              <w:pStyle w:val="Tabletext"/>
            </w:pPr>
            <w:r w:rsidRPr="00A33DD2">
              <w:t>22%</w:t>
            </w:r>
          </w:p>
        </w:tc>
        <w:tc>
          <w:tcPr>
            <w:tcW w:w="149" w:type="pct"/>
            <w:tcBorders>
              <w:top w:val="nil"/>
              <w:left w:val="nil"/>
              <w:bottom w:val="single" w:sz="4" w:space="0" w:color="auto"/>
              <w:right w:val="single" w:sz="4" w:space="0" w:color="auto"/>
            </w:tcBorders>
            <w:shd w:val="clear" w:color="000000" w:fill="BFBFBF"/>
            <w:noWrap/>
            <w:vAlign w:val="center"/>
          </w:tcPr>
          <w:p w14:paraId="6DD165AA" w14:textId="78E475EF" w:rsidR="00332A12" w:rsidRPr="00A33DD2" w:rsidRDefault="00332A12" w:rsidP="00F76882">
            <w:pPr>
              <w:pStyle w:val="Tabletext"/>
            </w:pPr>
            <w:r w:rsidRPr="00A33DD2">
              <w:t>7</w:t>
            </w:r>
          </w:p>
        </w:tc>
        <w:tc>
          <w:tcPr>
            <w:tcW w:w="242" w:type="pct"/>
            <w:tcBorders>
              <w:top w:val="nil"/>
              <w:left w:val="nil"/>
              <w:bottom w:val="single" w:sz="4" w:space="0" w:color="auto"/>
              <w:right w:val="single" w:sz="4" w:space="0" w:color="auto"/>
            </w:tcBorders>
            <w:shd w:val="clear" w:color="000000" w:fill="BFBFBF"/>
            <w:noWrap/>
            <w:vAlign w:val="center"/>
          </w:tcPr>
          <w:p w14:paraId="15362D83" w14:textId="00521D07" w:rsidR="00332A12" w:rsidRPr="00A33DD2" w:rsidRDefault="00332A12" w:rsidP="00F76882">
            <w:pPr>
              <w:pStyle w:val="Tabletext"/>
            </w:pPr>
            <w:r w:rsidRPr="00A33DD2">
              <w:t>17%</w:t>
            </w:r>
          </w:p>
        </w:tc>
        <w:tc>
          <w:tcPr>
            <w:tcW w:w="147" w:type="pct"/>
            <w:tcBorders>
              <w:top w:val="nil"/>
              <w:left w:val="nil"/>
              <w:bottom w:val="single" w:sz="4" w:space="0" w:color="auto"/>
              <w:right w:val="single" w:sz="4" w:space="0" w:color="auto"/>
            </w:tcBorders>
            <w:shd w:val="clear" w:color="000000" w:fill="BFBFBF"/>
            <w:noWrap/>
            <w:vAlign w:val="center"/>
            <w:hideMark/>
          </w:tcPr>
          <w:p w14:paraId="5A7CACB7" w14:textId="4CFE70C7" w:rsidR="00332A12" w:rsidRPr="00A33DD2" w:rsidRDefault="00332A12" w:rsidP="00F76882">
            <w:pPr>
              <w:pStyle w:val="Tabletext"/>
            </w:pPr>
            <w:r w:rsidRPr="00A33DD2">
              <w:t>2</w:t>
            </w:r>
          </w:p>
        </w:tc>
        <w:tc>
          <w:tcPr>
            <w:tcW w:w="242" w:type="pct"/>
            <w:tcBorders>
              <w:top w:val="nil"/>
              <w:left w:val="nil"/>
              <w:bottom w:val="single" w:sz="4" w:space="0" w:color="auto"/>
              <w:right w:val="single" w:sz="4" w:space="0" w:color="auto"/>
            </w:tcBorders>
            <w:shd w:val="clear" w:color="000000" w:fill="BFBFBF"/>
            <w:noWrap/>
            <w:vAlign w:val="center"/>
            <w:hideMark/>
          </w:tcPr>
          <w:p w14:paraId="7BFAD62C" w14:textId="2806A497" w:rsidR="00332A12" w:rsidRPr="00A33DD2" w:rsidRDefault="00332A12" w:rsidP="00F76882">
            <w:pPr>
              <w:pStyle w:val="Tabletext"/>
            </w:pPr>
            <w:r w:rsidRPr="00A33DD2">
              <w:t>6%</w:t>
            </w:r>
          </w:p>
        </w:tc>
        <w:tc>
          <w:tcPr>
            <w:tcW w:w="147" w:type="pct"/>
            <w:tcBorders>
              <w:top w:val="nil"/>
              <w:left w:val="nil"/>
              <w:bottom w:val="single" w:sz="4" w:space="0" w:color="auto"/>
              <w:right w:val="single" w:sz="4" w:space="0" w:color="auto"/>
            </w:tcBorders>
            <w:shd w:val="clear" w:color="000000" w:fill="BFBFBF"/>
            <w:vAlign w:val="center"/>
          </w:tcPr>
          <w:p w14:paraId="03C5F4E7" w14:textId="75875B53" w:rsidR="00332A12" w:rsidRPr="00A33DD2" w:rsidRDefault="00332A12" w:rsidP="00F76882">
            <w:pPr>
              <w:pStyle w:val="Tabletext"/>
            </w:pPr>
            <w:r w:rsidRPr="00A33DD2">
              <w:t>3</w:t>
            </w:r>
          </w:p>
        </w:tc>
        <w:tc>
          <w:tcPr>
            <w:tcW w:w="240" w:type="pct"/>
            <w:tcBorders>
              <w:top w:val="nil"/>
              <w:left w:val="nil"/>
              <w:bottom w:val="single" w:sz="4" w:space="0" w:color="auto"/>
              <w:right w:val="single" w:sz="4" w:space="0" w:color="auto"/>
            </w:tcBorders>
            <w:shd w:val="clear" w:color="000000" w:fill="BFBFBF"/>
            <w:vAlign w:val="center"/>
          </w:tcPr>
          <w:p w14:paraId="0A4A89AD" w14:textId="64976661" w:rsidR="00332A12" w:rsidRPr="00A33DD2" w:rsidRDefault="00332A12" w:rsidP="00F76882">
            <w:pPr>
              <w:pStyle w:val="Tabletext"/>
            </w:pPr>
            <w:r w:rsidRPr="00A33DD2">
              <w:t>7%</w:t>
            </w:r>
          </w:p>
        </w:tc>
      </w:tr>
      <w:tr w:rsidR="001A1076" w:rsidRPr="0036007C" w14:paraId="462FABE8" w14:textId="02857CC2" w:rsidTr="001A1076">
        <w:trPr>
          <w:trHeight w:val="510"/>
        </w:trPr>
        <w:tc>
          <w:tcPr>
            <w:tcW w:w="710" w:type="pct"/>
            <w:tcBorders>
              <w:top w:val="nil"/>
              <w:left w:val="single" w:sz="4" w:space="0" w:color="auto"/>
              <w:bottom w:val="single" w:sz="4" w:space="0" w:color="auto"/>
              <w:right w:val="single" w:sz="4" w:space="0" w:color="auto"/>
            </w:tcBorders>
            <w:noWrap/>
            <w:vAlign w:val="center"/>
            <w:hideMark/>
          </w:tcPr>
          <w:p w14:paraId="0B3F465C" w14:textId="683E981E" w:rsidR="00332A12" w:rsidRPr="007C3001" w:rsidRDefault="00332A12" w:rsidP="00F76882">
            <w:pPr>
              <w:pStyle w:val="Tabletextleft"/>
            </w:pPr>
            <w:r w:rsidRPr="007C3001">
              <w:t xml:space="preserve">&gt;0% </w:t>
            </w:r>
            <w:r w:rsidR="004F3084" w:rsidRPr="007C3001">
              <w:t xml:space="preserve">to </w:t>
            </w:r>
            <w:r w:rsidRPr="007C3001">
              <w:t xml:space="preserve">&lt;5% </w:t>
            </w:r>
          </w:p>
        </w:tc>
        <w:tc>
          <w:tcPr>
            <w:tcW w:w="146" w:type="pct"/>
            <w:tcBorders>
              <w:top w:val="nil"/>
              <w:left w:val="nil"/>
              <w:bottom w:val="single" w:sz="4" w:space="0" w:color="auto"/>
              <w:right w:val="single" w:sz="4" w:space="0" w:color="auto"/>
            </w:tcBorders>
            <w:noWrap/>
            <w:vAlign w:val="center"/>
            <w:hideMark/>
          </w:tcPr>
          <w:p w14:paraId="157AFCCF" w14:textId="18C89E2A" w:rsidR="00332A12" w:rsidRPr="00A33DD2" w:rsidRDefault="00332A12" w:rsidP="00F76882">
            <w:pPr>
              <w:pStyle w:val="Tabletext"/>
            </w:pPr>
            <w:r w:rsidRPr="00A33DD2">
              <w:t>6</w:t>
            </w:r>
          </w:p>
        </w:tc>
        <w:tc>
          <w:tcPr>
            <w:tcW w:w="241" w:type="pct"/>
            <w:tcBorders>
              <w:top w:val="nil"/>
              <w:left w:val="nil"/>
              <w:bottom w:val="single" w:sz="4" w:space="0" w:color="auto"/>
              <w:right w:val="single" w:sz="4" w:space="0" w:color="auto"/>
            </w:tcBorders>
            <w:noWrap/>
            <w:vAlign w:val="center"/>
            <w:hideMark/>
          </w:tcPr>
          <w:p w14:paraId="2A414C52" w14:textId="068B23DA" w:rsidR="00332A12" w:rsidRPr="00A33DD2" w:rsidRDefault="00332A12" w:rsidP="00F76882">
            <w:pPr>
              <w:pStyle w:val="Tabletext"/>
            </w:pPr>
            <w:r w:rsidRPr="00A33DD2">
              <w:t>13%</w:t>
            </w:r>
          </w:p>
        </w:tc>
        <w:tc>
          <w:tcPr>
            <w:tcW w:w="147" w:type="pct"/>
            <w:tcBorders>
              <w:top w:val="nil"/>
              <w:left w:val="nil"/>
              <w:bottom w:val="single" w:sz="4" w:space="0" w:color="auto"/>
              <w:right w:val="single" w:sz="4" w:space="0" w:color="auto"/>
            </w:tcBorders>
            <w:noWrap/>
            <w:vAlign w:val="center"/>
            <w:hideMark/>
          </w:tcPr>
          <w:p w14:paraId="2619A555" w14:textId="0097892A" w:rsidR="00332A12" w:rsidRPr="00A33DD2" w:rsidRDefault="00332A12" w:rsidP="00F76882">
            <w:pPr>
              <w:pStyle w:val="Tabletext"/>
            </w:pPr>
            <w:r w:rsidRPr="00A33DD2">
              <w:t>7</w:t>
            </w:r>
          </w:p>
        </w:tc>
        <w:tc>
          <w:tcPr>
            <w:tcW w:w="242" w:type="pct"/>
            <w:tcBorders>
              <w:top w:val="nil"/>
              <w:left w:val="nil"/>
              <w:bottom w:val="single" w:sz="4" w:space="0" w:color="auto"/>
              <w:right w:val="single" w:sz="4" w:space="0" w:color="auto"/>
            </w:tcBorders>
            <w:noWrap/>
            <w:vAlign w:val="center"/>
            <w:hideMark/>
          </w:tcPr>
          <w:p w14:paraId="40E8628E" w14:textId="365A04BC" w:rsidR="00332A12" w:rsidRPr="00A33DD2" w:rsidRDefault="00332A12" w:rsidP="00F76882">
            <w:pPr>
              <w:pStyle w:val="Tabletext"/>
            </w:pPr>
            <w:r w:rsidRPr="00A33DD2">
              <w:t>17%</w:t>
            </w:r>
          </w:p>
        </w:tc>
        <w:tc>
          <w:tcPr>
            <w:tcW w:w="147" w:type="pct"/>
            <w:tcBorders>
              <w:top w:val="nil"/>
              <w:left w:val="nil"/>
              <w:bottom w:val="single" w:sz="4" w:space="0" w:color="auto"/>
              <w:right w:val="single" w:sz="4" w:space="0" w:color="auto"/>
            </w:tcBorders>
            <w:noWrap/>
            <w:vAlign w:val="center"/>
            <w:hideMark/>
          </w:tcPr>
          <w:p w14:paraId="2E19AFAA" w14:textId="3AEAE2D7" w:rsidR="00332A12" w:rsidRPr="00A33DD2" w:rsidRDefault="00332A12" w:rsidP="00F76882">
            <w:pPr>
              <w:pStyle w:val="Tabletext"/>
            </w:pPr>
            <w:r w:rsidRPr="00A33DD2">
              <w:t>6</w:t>
            </w:r>
          </w:p>
        </w:tc>
        <w:tc>
          <w:tcPr>
            <w:tcW w:w="242" w:type="pct"/>
            <w:tcBorders>
              <w:top w:val="nil"/>
              <w:left w:val="nil"/>
              <w:bottom w:val="single" w:sz="4" w:space="0" w:color="auto"/>
              <w:right w:val="single" w:sz="4" w:space="0" w:color="auto"/>
            </w:tcBorders>
            <w:noWrap/>
            <w:vAlign w:val="center"/>
            <w:hideMark/>
          </w:tcPr>
          <w:p w14:paraId="2A74CA93" w14:textId="6381C923" w:rsidR="00332A12" w:rsidRPr="00A33DD2" w:rsidRDefault="00332A12" w:rsidP="00F76882">
            <w:pPr>
              <w:pStyle w:val="Tabletext"/>
            </w:pPr>
            <w:r w:rsidRPr="00A33DD2">
              <w:t>12%</w:t>
            </w:r>
          </w:p>
        </w:tc>
        <w:tc>
          <w:tcPr>
            <w:tcW w:w="149" w:type="pct"/>
            <w:tcBorders>
              <w:top w:val="nil"/>
              <w:left w:val="nil"/>
              <w:bottom w:val="single" w:sz="4" w:space="0" w:color="auto"/>
              <w:right w:val="single" w:sz="4" w:space="0" w:color="auto"/>
            </w:tcBorders>
            <w:noWrap/>
            <w:vAlign w:val="center"/>
            <w:hideMark/>
          </w:tcPr>
          <w:p w14:paraId="5D8C3D9F" w14:textId="5802F57B" w:rsidR="00332A12" w:rsidRPr="00A33DD2" w:rsidRDefault="00332A12" w:rsidP="00F76882">
            <w:pPr>
              <w:pStyle w:val="Tabletext"/>
            </w:pPr>
            <w:r w:rsidRPr="00A33DD2">
              <w:t>5</w:t>
            </w:r>
          </w:p>
        </w:tc>
        <w:tc>
          <w:tcPr>
            <w:tcW w:w="242" w:type="pct"/>
            <w:tcBorders>
              <w:top w:val="nil"/>
              <w:left w:val="nil"/>
              <w:bottom w:val="single" w:sz="4" w:space="0" w:color="auto"/>
              <w:right w:val="single" w:sz="4" w:space="0" w:color="auto"/>
            </w:tcBorders>
            <w:noWrap/>
            <w:vAlign w:val="center"/>
            <w:hideMark/>
          </w:tcPr>
          <w:p w14:paraId="6824DCE5" w14:textId="04C58384" w:rsidR="00332A12" w:rsidRPr="00A33DD2" w:rsidRDefault="00332A12" w:rsidP="00F76882">
            <w:pPr>
              <w:pStyle w:val="Tabletext"/>
            </w:pPr>
            <w:r w:rsidRPr="00A33DD2">
              <w:t>17%</w:t>
            </w:r>
          </w:p>
        </w:tc>
        <w:tc>
          <w:tcPr>
            <w:tcW w:w="149" w:type="pct"/>
            <w:tcBorders>
              <w:top w:val="nil"/>
              <w:left w:val="nil"/>
              <w:bottom w:val="single" w:sz="4" w:space="0" w:color="auto"/>
              <w:right w:val="single" w:sz="4" w:space="0" w:color="auto"/>
            </w:tcBorders>
            <w:noWrap/>
            <w:vAlign w:val="center"/>
            <w:hideMark/>
          </w:tcPr>
          <w:p w14:paraId="693B18C0" w14:textId="20621B73" w:rsidR="00332A12" w:rsidRPr="00A33DD2" w:rsidRDefault="00332A12" w:rsidP="00F76882">
            <w:pPr>
              <w:pStyle w:val="Tabletext"/>
            </w:pPr>
            <w:r w:rsidRPr="00A33DD2">
              <w:t>3</w:t>
            </w:r>
          </w:p>
        </w:tc>
        <w:tc>
          <w:tcPr>
            <w:tcW w:w="242" w:type="pct"/>
            <w:tcBorders>
              <w:top w:val="nil"/>
              <w:left w:val="nil"/>
              <w:bottom w:val="single" w:sz="4" w:space="0" w:color="auto"/>
              <w:right w:val="single" w:sz="4" w:space="0" w:color="auto"/>
            </w:tcBorders>
            <w:noWrap/>
            <w:vAlign w:val="center"/>
            <w:hideMark/>
          </w:tcPr>
          <w:p w14:paraId="1B317C9B" w14:textId="4661DD4E" w:rsidR="00332A12" w:rsidRPr="00A33DD2" w:rsidRDefault="00332A12" w:rsidP="00F76882">
            <w:pPr>
              <w:pStyle w:val="Tabletext"/>
            </w:pPr>
            <w:r w:rsidRPr="00A33DD2">
              <w:t>9%</w:t>
            </w:r>
          </w:p>
        </w:tc>
        <w:tc>
          <w:tcPr>
            <w:tcW w:w="149" w:type="pct"/>
            <w:tcBorders>
              <w:top w:val="nil"/>
              <w:left w:val="nil"/>
              <w:bottom w:val="single" w:sz="4" w:space="0" w:color="auto"/>
              <w:right w:val="single" w:sz="4" w:space="0" w:color="auto"/>
            </w:tcBorders>
            <w:noWrap/>
            <w:vAlign w:val="center"/>
            <w:hideMark/>
          </w:tcPr>
          <w:p w14:paraId="54860DA4" w14:textId="7D79B571" w:rsidR="00332A12" w:rsidRPr="00A33DD2" w:rsidRDefault="00332A12" w:rsidP="00F76882">
            <w:pPr>
              <w:pStyle w:val="Tabletext"/>
            </w:pPr>
            <w:r w:rsidRPr="00A33DD2">
              <w:t>6</w:t>
            </w:r>
          </w:p>
        </w:tc>
        <w:tc>
          <w:tcPr>
            <w:tcW w:w="242" w:type="pct"/>
            <w:tcBorders>
              <w:top w:val="nil"/>
              <w:left w:val="nil"/>
              <w:bottom w:val="single" w:sz="4" w:space="0" w:color="auto"/>
              <w:right w:val="single" w:sz="4" w:space="0" w:color="auto"/>
            </w:tcBorders>
            <w:noWrap/>
            <w:vAlign w:val="center"/>
            <w:hideMark/>
          </w:tcPr>
          <w:p w14:paraId="35C6236C" w14:textId="5FE6C10F" w:rsidR="00332A12" w:rsidRPr="00A33DD2" w:rsidRDefault="00332A12" w:rsidP="00F76882">
            <w:pPr>
              <w:pStyle w:val="Tabletext"/>
            </w:pPr>
            <w:r w:rsidRPr="00A33DD2">
              <w:t>11%</w:t>
            </w:r>
          </w:p>
        </w:tc>
        <w:tc>
          <w:tcPr>
            <w:tcW w:w="149" w:type="pct"/>
            <w:tcBorders>
              <w:top w:val="nil"/>
              <w:left w:val="nil"/>
              <w:bottom w:val="single" w:sz="4" w:space="0" w:color="auto"/>
              <w:right w:val="single" w:sz="4" w:space="0" w:color="auto"/>
            </w:tcBorders>
            <w:noWrap/>
            <w:vAlign w:val="center"/>
            <w:hideMark/>
          </w:tcPr>
          <w:p w14:paraId="0D49ADB8" w14:textId="35FD5A14" w:rsidR="00332A12" w:rsidRPr="00A33DD2" w:rsidRDefault="00332A12" w:rsidP="00F76882">
            <w:pPr>
              <w:pStyle w:val="Tabletext"/>
            </w:pPr>
            <w:r w:rsidRPr="00A33DD2">
              <w:t>2</w:t>
            </w:r>
          </w:p>
        </w:tc>
        <w:tc>
          <w:tcPr>
            <w:tcW w:w="242" w:type="pct"/>
            <w:tcBorders>
              <w:top w:val="nil"/>
              <w:left w:val="nil"/>
              <w:bottom w:val="single" w:sz="4" w:space="0" w:color="auto"/>
              <w:right w:val="single" w:sz="4" w:space="0" w:color="auto"/>
            </w:tcBorders>
            <w:noWrap/>
            <w:vAlign w:val="center"/>
            <w:hideMark/>
          </w:tcPr>
          <w:p w14:paraId="5E9A2A42" w14:textId="5426E733" w:rsidR="00332A12" w:rsidRPr="00A33DD2" w:rsidRDefault="00332A12" w:rsidP="00F76882">
            <w:pPr>
              <w:pStyle w:val="Tabletext"/>
            </w:pPr>
            <w:r w:rsidRPr="00A33DD2">
              <w:t>5%</w:t>
            </w:r>
          </w:p>
        </w:tc>
        <w:tc>
          <w:tcPr>
            <w:tcW w:w="147" w:type="pct"/>
            <w:tcBorders>
              <w:top w:val="nil"/>
              <w:left w:val="nil"/>
              <w:bottom w:val="single" w:sz="4" w:space="0" w:color="auto"/>
              <w:right w:val="single" w:sz="4" w:space="0" w:color="auto"/>
            </w:tcBorders>
            <w:noWrap/>
            <w:vAlign w:val="center"/>
            <w:hideMark/>
          </w:tcPr>
          <w:p w14:paraId="5B540B94" w14:textId="463E1FF9" w:rsidR="00332A12" w:rsidRPr="00A33DD2" w:rsidRDefault="00332A12" w:rsidP="00F76882">
            <w:pPr>
              <w:pStyle w:val="Tabletext"/>
            </w:pPr>
            <w:r w:rsidRPr="00A33DD2">
              <w:t>4</w:t>
            </w:r>
          </w:p>
        </w:tc>
        <w:tc>
          <w:tcPr>
            <w:tcW w:w="242" w:type="pct"/>
            <w:tcBorders>
              <w:top w:val="nil"/>
              <w:left w:val="nil"/>
              <w:bottom w:val="single" w:sz="4" w:space="0" w:color="auto"/>
              <w:right w:val="single" w:sz="4" w:space="0" w:color="auto"/>
            </w:tcBorders>
            <w:noWrap/>
            <w:vAlign w:val="center"/>
            <w:hideMark/>
          </w:tcPr>
          <w:p w14:paraId="424D124B" w14:textId="0B449E19" w:rsidR="00332A12" w:rsidRPr="00A33DD2" w:rsidRDefault="00332A12" w:rsidP="00F76882">
            <w:pPr>
              <w:pStyle w:val="Tabletext"/>
            </w:pPr>
            <w:r w:rsidRPr="00A33DD2">
              <w:t>11%</w:t>
            </w:r>
          </w:p>
        </w:tc>
        <w:tc>
          <w:tcPr>
            <w:tcW w:w="149" w:type="pct"/>
            <w:tcBorders>
              <w:top w:val="nil"/>
              <w:left w:val="nil"/>
              <w:bottom w:val="single" w:sz="4" w:space="0" w:color="auto"/>
              <w:right w:val="single" w:sz="4" w:space="0" w:color="auto"/>
            </w:tcBorders>
            <w:noWrap/>
            <w:vAlign w:val="center"/>
          </w:tcPr>
          <w:p w14:paraId="21C3A5CF" w14:textId="4BC943BD" w:rsidR="00332A12" w:rsidRPr="00A33DD2" w:rsidRDefault="00332A12" w:rsidP="00F76882">
            <w:pPr>
              <w:pStyle w:val="Tabletext"/>
            </w:pPr>
            <w:r w:rsidRPr="00A33DD2">
              <w:t>4</w:t>
            </w:r>
          </w:p>
        </w:tc>
        <w:tc>
          <w:tcPr>
            <w:tcW w:w="242" w:type="pct"/>
            <w:tcBorders>
              <w:top w:val="nil"/>
              <w:left w:val="nil"/>
              <w:bottom w:val="single" w:sz="4" w:space="0" w:color="auto"/>
              <w:right w:val="single" w:sz="4" w:space="0" w:color="auto"/>
            </w:tcBorders>
            <w:noWrap/>
            <w:vAlign w:val="center"/>
          </w:tcPr>
          <w:p w14:paraId="69BCB284" w14:textId="5B8EAC88" w:rsidR="00332A12" w:rsidRPr="00A33DD2" w:rsidRDefault="00332A12" w:rsidP="00F76882">
            <w:pPr>
              <w:pStyle w:val="Tabletext"/>
            </w:pPr>
            <w:r w:rsidRPr="00A33DD2">
              <w:t>10%</w:t>
            </w:r>
          </w:p>
        </w:tc>
        <w:tc>
          <w:tcPr>
            <w:tcW w:w="147" w:type="pct"/>
            <w:tcBorders>
              <w:top w:val="nil"/>
              <w:left w:val="nil"/>
              <w:bottom w:val="single" w:sz="4" w:space="0" w:color="auto"/>
              <w:right w:val="single" w:sz="4" w:space="0" w:color="auto"/>
            </w:tcBorders>
            <w:noWrap/>
            <w:vAlign w:val="center"/>
            <w:hideMark/>
          </w:tcPr>
          <w:p w14:paraId="07195443" w14:textId="6C46D550" w:rsidR="00332A12" w:rsidRPr="00A33DD2" w:rsidRDefault="00332A12" w:rsidP="00F76882">
            <w:pPr>
              <w:pStyle w:val="Tabletext"/>
            </w:pPr>
            <w:r w:rsidRPr="00A33DD2">
              <w:t>1</w:t>
            </w:r>
          </w:p>
        </w:tc>
        <w:tc>
          <w:tcPr>
            <w:tcW w:w="242" w:type="pct"/>
            <w:tcBorders>
              <w:top w:val="nil"/>
              <w:left w:val="nil"/>
              <w:bottom w:val="single" w:sz="4" w:space="0" w:color="auto"/>
              <w:right w:val="single" w:sz="4" w:space="0" w:color="auto"/>
            </w:tcBorders>
            <w:noWrap/>
            <w:vAlign w:val="center"/>
            <w:hideMark/>
          </w:tcPr>
          <w:p w14:paraId="71C24DCD" w14:textId="4590BA1B" w:rsidR="00332A12" w:rsidRPr="00A33DD2" w:rsidRDefault="00332A12" w:rsidP="00F76882">
            <w:pPr>
              <w:pStyle w:val="Tabletext"/>
            </w:pPr>
            <w:r w:rsidRPr="00A33DD2">
              <w:t>3%</w:t>
            </w:r>
          </w:p>
        </w:tc>
        <w:tc>
          <w:tcPr>
            <w:tcW w:w="147" w:type="pct"/>
            <w:tcBorders>
              <w:top w:val="nil"/>
              <w:left w:val="nil"/>
              <w:bottom w:val="single" w:sz="4" w:space="0" w:color="auto"/>
              <w:right w:val="single" w:sz="4" w:space="0" w:color="auto"/>
            </w:tcBorders>
            <w:vAlign w:val="center"/>
          </w:tcPr>
          <w:p w14:paraId="7C8F6F70" w14:textId="75070DD9" w:rsidR="00332A12" w:rsidRPr="00A33DD2" w:rsidRDefault="00332A12" w:rsidP="00F76882">
            <w:pPr>
              <w:pStyle w:val="Tabletext"/>
            </w:pPr>
            <w:r w:rsidRPr="00A33DD2">
              <w:t>6</w:t>
            </w:r>
          </w:p>
        </w:tc>
        <w:tc>
          <w:tcPr>
            <w:tcW w:w="240" w:type="pct"/>
            <w:tcBorders>
              <w:top w:val="nil"/>
              <w:left w:val="nil"/>
              <w:bottom w:val="single" w:sz="4" w:space="0" w:color="auto"/>
              <w:right w:val="single" w:sz="4" w:space="0" w:color="auto"/>
            </w:tcBorders>
            <w:vAlign w:val="center"/>
          </w:tcPr>
          <w:p w14:paraId="560FC969" w14:textId="261ED613" w:rsidR="00332A12" w:rsidRPr="00A33DD2" w:rsidRDefault="00332A12" w:rsidP="00F76882">
            <w:pPr>
              <w:pStyle w:val="Tabletext"/>
            </w:pPr>
            <w:r w:rsidRPr="00A33DD2">
              <w:t>13%</w:t>
            </w:r>
          </w:p>
        </w:tc>
      </w:tr>
      <w:tr w:rsidR="001A1076" w:rsidRPr="0036007C" w14:paraId="28AD6E4E" w14:textId="6815B68C" w:rsidTr="001A1076">
        <w:trPr>
          <w:trHeight w:val="510"/>
        </w:trPr>
        <w:tc>
          <w:tcPr>
            <w:tcW w:w="710" w:type="pct"/>
            <w:tcBorders>
              <w:top w:val="nil"/>
              <w:left w:val="single" w:sz="4" w:space="0" w:color="auto"/>
              <w:bottom w:val="single" w:sz="4" w:space="0" w:color="auto"/>
              <w:right w:val="single" w:sz="4" w:space="0" w:color="auto"/>
            </w:tcBorders>
            <w:shd w:val="clear" w:color="000000" w:fill="BFBFBF"/>
            <w:noWrap/>
            <w:vAlign w:val="center"/>
            <w:hideMark/>
          </w:tcPr>
          <w:p w14:paraId="2DE2B5A1" w14:textId="77777777" w:rsidR="00332A12" w:rsidRPr="007C3001" w:rsidRDefault="00332A12" w:rsidP="00F76882">
            <w:pPr>
              <w:pStyle w:val="Tabletextleft"/>
            </w:pPr>
            <w:r w:rsidRPr="007C3001">
              <w:t>0%</w:t>
            </w:r>
          </w:p>
        </w:tc>
        <w:tc>
          <w:tcPr>
            <w:tcW w:w="146" w:type="pct"/>
            <w:tcBorders>
              <w:top w:val="nil"/>
              <w:left w:val="nil"/>
              <w:bottom w:val="single" w:sz="4" w:space="0" w:color="auto"/>
              <w:right w:val="single" w:sz="4" w:space="0" w:color="auto"/>
            </w:tcBorders>
            <w:shd w:val="clear" w:color="000000" w:fill="BFBFBF"/>
            <w:noWrap/>
            <w:vAlign w:val="center"/>
            <w:hideMark/>
          </w:tcPr>
          <w:p w14:paraId="6D5EACDD" w14:textId="080762F5" w:rsidR="00332A12" w:rsidRPr="00A33DD2" w:rsidRDefault="00332A12" w:rsidP="00F76882">
            <w:pPr>
              <w:pStyle w:val="Tabletext"/>
            </w:pPr>
            <w:r w:rsidRPr="00A33DD2">
              <w:t>25</w:t>
            </w:r>
          </w:p>
        </w:tc>
        <w:tc>
          <w:tcPr>
            <w:tcW w:w="241" w:type="pct"/>
            <w:tcBorders>
              <w:top w:val="nil"/>
              <w:left w:val="nil"/>
              <w:bottom w:val="single" w:sz="4" w:space="0" w:color="auto"/>
              <w:right w:val="single" w:sz="4" w:space="0" w:color="auto"/>
            </w:tcBorders>
            <w:shd w:val="clear" w:color="000000" w:fill="BFBFBF"/>
            <w:noWrap/>
            <w:vAlign w:val="center"/>
            <w:hideMark/>
          </w:tcPr>
          <w:p w14:paraId="641A9025" w14:textId="40573E5D" w:rsidR="00332A12" w:rsidRPr="00A33DD2" w:rsidRDefault="00332A12" w:rsidP="00F76882">
            <w:pPr>
              <w:pStyle w:val="Tabletext"/>
            </w:pPr>
            <w:r w:rsidRPr="00A33DD2">
              <w:t>53%</w:t>
            </w:r>
          </w:p>
        </w:tc>
        <w:tc>
          <w:tcPr>
            <w:tcW w:w="147" w:type="pct"/>
            <w:tcBorders>
              <w:top w:val="nil"/>
              <w:left w:val="nil"/>
              <w:bottom w:val="single" w:sz="4" w:space="0" w:color="auto"/>
              <w:right w:val="single" w:sz="4" w:space="0" w:color="auto"/>
            </w:tcBorders>
            <w:shd w:val="clear" w:color="000000" w:fill="BFBFBF"/>
            <w:noWrap/>
            <w:vAlign w:val="center"/>
            <w:hideMark/>
          </w:tcPr>
          <w:p w14:paraId="6A18D100" w14:textId="5E5138D7" w:rsidR="00332A12" w:rsidRPr="00A33DD2" w:rsidRDefault="00332A12" w:rsidP="00F76882">
            <w:pPr>
              <w:pStyle w:val="Tabletext"/>
            </w:pPr>
            <w:r w:rsidRPr="00A33DD2">
              <w:t>25</w:t>
            </w:r>
          </w:p>
        </w:tc>
        <w:tc>
          <w:tcPr>
            <w:tcW w:w="242" w:type="pct"/>
            <w:tcBorders>
              <w:top w:val="nil"/>
              <w:left w:val="nil"/>
              <w:bottom w:val="single" w:sz="4" w:space="0" w:color="auto"/>
              <w:right w:val="single" w:sz="4" w:space="0" w:color="auto"/>
            </w:tcBorders>
            <w:shd w:val="clear" w:color="000000" w:fill="BFBFBF"/>
            <w:noWrap/>
            <w:vAlign w:val="center"/>
            <w:hideMark/>
          </w:tcPr>
          <w:p w14:paraId="5516ECFA" w14:textId="4363A261" w:rsidR="00332A12" w:rsidRPr="00A33DD2" w:rsidRDefault="00332A12" w:rsidP="00F76882">
            <w:pPr>
              <w:pStyle w:val="Tabletext"/>
            </w:pPr>
            <w:r w:rsidRPr="00A33DD2">
              <w:t>61%</w:t>
            </w:r>
          </w:p>
        </w:tc>
        <w:tc>
          <w:tcPr>
            <w:tcW w:w="147" w:type="pct"/>
            <w:tcBorders>
              <w:top w:val="nil"/>
              <w:left w:val="nil"/>
              <w:bottom w:val="single" w:sz="4" w:space="0" w:color="auto"/>
              <w:right w:val="single" w:sz="4" w:space="0" w:color="auto"/>
            </w:tcBorders>
            <w:shd w:val="clear" w:color="000000" w:fill="BFBFBF"/>
            <w:noWrap/>
            <w:vAlign w:val="center"/>
            <w:hideMark/>
          </w:tcPr>
          <w:p w14:paraId="6B8E15F3" w14:textId="1010BAE0" w:rsidR="00332A12" w:rsidRPr="00A33DD2" w:rsidRDefault="00332A12" w:rsidP="00F76882">
            <w:pPr>
              <w:pStyle w:val="Tabletext"/>
            </w:pPr>
            <w:r w:rsidRPr="00A33DD2">
              <w:t>22</w:t>
            </w:r>
          </w:p>
        </w:tc>
        <w:tc>
          <w:tcPr>
            <w:tcW w:w="242" w:type="pct"/>
            <w:tcBorders>
              <w:top w:val="nil"/>
              <w:left w:val="nil"/>
              <w:bottom w:val="single" w:sz="4" w:space="0" w:color="auto"/>
              <w:right w:val="single" w:sz="4" w:space="0" w:color="auto"/>
            </w:tcBorders>
            <w:shd w:val="clear" w:color="000000" w:fill="BFBFBF"/>
            <w:noWrap/>
            <w:vAlign w:val="center"/>
            <w:hideMark/>
          </w:tcPr>
          <w:p w14:paraId="44ECF108" w14:textId="3745660D" w:rsidR="00332A12" w:rsidRPr="00A33DD2" w:rsidRDefault="00332A12" w:rsidP="00F76882">
            <w:pPr>
              <w:pStyle w:val="Tabletext"/>
            </w:pPr>
            <w:r w:rsidRPr="00A33DD2">
              <w:t>44%</w:t>
            </w:r>
          </w:p>
        </w:tc>
        <w:tc>
          <w:tcPr>
            <w:tcW w:w="149" w:type="pct"/>
            <w:tcBorders>
              <w:top w:val="nil"/>
              <w:left w:val="nil"/>
              <w:bottom w:val="single" w:sz="4" w:space="0" w:color="auto"/>
              <w:right w:val="single" w:sz="4" w:space="0" w:color="auto"/>
            </w:tcBorders>
            <w:shd w:val="clear" w:color="000000" w:fill="BFBFBF"/>
            <w:noWrap/>
            <w:vAlign w:val="center"/>
            <w:hideMark/>
          </w:tcPr>
          <w:p w14:paraId="50E78D28" w14:textId="6CE9595D" w:rsidR="00332A12" w:rsidRPr="00A33DD2" w:rsidRDefault="00332A12" w:rsidP="00F76882">
            <w:pPr>
              <w:pStyle w:val="Tabletext"/>
            </w:pPr>
            <w:r w:rsidRPr="00A33DD2">
              <w:t>18</w:t>
            </w:r>
          </w:p>
        </w:tc>
        <w:tc>
          <w:tcPr>
            <w:tcW w:w="242" w:type="pct"/>
            <w:tcBorders>
              <w:top w:val="nil"/>
              <w:left w:val="nil"/>
              <w:bottom w:val="single" w:sz="4" w:space="0" w:color="auto"/>
              <w:right w:val="single" w:sz="4" w:space="0" w:color="auto"/>
            </w:tcBorders>
            <w:shd w:val="clear" w:color="000000" w:fill="BFBFBF"/>
            <w:noWrap/>
            <w:vAlign w:val="center"/>
            <w:hideMark/>
          </w:tcPr>
          <w:p w14:paraId="5E1F1BC9" w14:textId="62D7D29A" w:rsidR="00332A12" w:rsidRPr="00A33DD2" w:rsidRDefault="00332A12" w:rsidP="00F76882">
            <w:pPr>
              <w:pStyle w:val="Tabletext"/>
            </w:pPr>
            <w:r w:rsidRPr="00A33DD2">
              <w:t>62%</w:t>
            </w:r>
          </w:p>
        </w:tc>
        <w:tc>
          <w:tcPr>
            <w:tcW w:w="149" w:type="pct"/>
            <w:tcBorders>
              <w:top w:val="nil"/>
              <w:left w:val="nil"/>
              <w:bottom w:val="single" w:sz="4" w:space="0" w:color="auto"/>
              <w:right w:val="single" w:sz="4" w:space="0" w:color="auto"/>
            </w:tcBorders>
            <w:shd w:val="clear" w:color="000000" w:fill="BFBFBF"/>
            <w:noWrap/>
            <w:vAlign w:val="center"/>
            <w:hideMark/>
          </w:tcPr>
          <w:p w14:paraId="6A79C934" w14:textId="742AF31D" w:rsidR="00332A12" w:rsidRPr="00A33DD2" w:rsidRDefault="00332A12" w:rsidP="00F76882">
            <w:pPr>
              <w:pStyle w:val="Tabletext"/>
            </w:pPr>
            <w:r w:rsidRPr="00A33DD2">
              <w:t>12</w:t>
            </w:r>
          </w:p>
        </w:tc>
        <w:tc>
          <w:tcPr>
            <w:tcW w:w="242" w:type="pct"/>
            <w:tcBorders>
              <w:top w:val="nil"/>
              <w:left w:val="nil"/>
              <w:bottom w:val="single" w:sz="4" w:space="0" w:color="auto"/>
              <w:right w:val="single" w:sz="4" w:space="0" w:color="auto"/>
            </w:tcBorders>
            <w:shd w:val="clear" w:color="000000" w:fill="BFBFBF"/>
            <w:noWrap/>
            <w:vAlign w:val="center"/>
            <w:hideMark/>
          </w:tcPr>
          <w:p w14:paraId="5D28D244" w14:textId="173F3DA1" w:rsidR="00332A12" w:rsidRPr="00A33DD2" w:rsidRDefault="00332A12" w:rsidP="00F76882">
            <w:pPr>
              <w:pStyle w:val="Tabletext"/>
            </w:pPr>
            <w:r w:rsidRPr="00A33DD2">
              <w:t>34%</w:t>
            </w:r>
          </w:p>
        </w:tc>
        <w:tc>
          <w:tcPr>
            <w:tcW w:w="149" w:type="pct"/>
            <w:tcBorders>
              <w:top w:val="nil"/>
              <w:left w:val="nil"/>
              <w:bottom w:val="single" w:sz="4" w:space="0" w:color="auto"/>
              <w:right w:val="single" w:sz="4" w:space="0" w:color="auto"/>
            </w:tcBorders>
            <w:shd w:val="clear" w:color="000000" w:fill="BFBFBF"/>
            <w:noWrap/>
            <w:vAlign w:val="center"/>
            <w:hideMark/>
          </w:tcPr>
          <w:p w14:paraId="021756A5" w14:textId="5E64576C" w:rsidR="00332A12" w:rsidRPr="00A33DD2" w:rsidRDefault="00332A12" w:rsidP="00F76882">
            <w:pPr>
              <w:pStyle w:val="Tabletext"/>
            </w:pPr>
            <w:r w:rsidRPr="00A33DD2">
              <w:t>23</w:t>
            </w:r>
          </w:p>
        </w:tc>
        <w:tc>
          <w:tcPr>
            <w:tcW w:w="242" w:type="pct"/>
            <w:tcBorders>
              <w:top w:val="nil"/>
              <w:left w:val="nil"/>
              <w:bottom w:val="single" w:sz="4" w:space="0" w:color="auto"/>
              <w:right w:val="single" w:sz="4" w:space="0" w:color="auto"/>
            </w:tcBorders>
            <w:shd w:val="clear" w:color="000000" w:fill="BFBFBF"/>
            <w:noWrap/>
            <w:vAlign w:val="center"/>
            <w:hideMark/>
          </w:tcPr>
          <w:p w14:paraId="5463A68C" w14:textId="74C587AB" w:rsidR="00332A12" w:rsidRPr="00A33DD2" w:rsidRDefault="00332A12" w:rsidP="00F76882">
            <w:pPr>
              <w:pStyle w:val="Tabletext"/>
            </w:pPr>
            <w:r w:rsidRPr="00A33DD2">
              <w:t>42%</w:t>
            </w:r>
          </w:p>
        </w:tc>
        <w:tc>
          <w:tcPr>
            <w:tcW w:w="149" w:type="pct"/>
            <w:tcBorders>
              <w:top w:val="nil"/>
              <w:left w:val="nil"/>
              <w:bottom w:val="single" w:sz="4" w:space="0" w:color="auto"/>
              <w:right w:val="single" w:sz="4" w:space="0" w:color="auto"/>
            </w:tcBorders>
            <w:shd w:val="clear" w:color="000000" w:fill="BFBFBF"/>
            <w:noWrap/>
            <w:vAlign w:val="center"/>
            <w:hideMark/>
          </w:tcPr>
          <w:p w14:paraId="0DF921F4" w14:textId="2D0B7A1B" w:rsidR="00332A12" w:rsidRPr="00A33DD2" w:rsidRDefault="00332A12" w:rsidP="00F76882">
            <w:pPr>
              <w:pStyle w:val="Tabletext"/>
            </w:pPr>
            <w:r w:rsidRPr="00A33DD2">
              <w:t>14</w:t>
            </w:r>
          </w:p>
        </w:tc>
        <w:tc>
          <w:tcPr>
            <w:tcW w:w="242" w:type="pct"/>
            <w:tcBorders>
              <w:top w:val="nil"/>
              <w:left w:val="nil"/>
              <w:bottom w:val="single" w:sz="4" w:space="0" w:color="auto"/>
              <w:right w:val="single" w:sz="4" w:space="0" w:color="auto"/>
            </w:tcBorders>
            <w:shd w:val="clear" w:color="000000" w:fill="BFBFBF"/>
            <w:noWrap/>
            <w:vAlign w:val="center"/>
            <w:hideMark/>
          </w:tcPr>
          <w:p w14:paraId="299856FF" w14:textId="2B2B04DB" w:rsidR="00332A12" w:rsidRPr="00A33DD2" w:rsidRDefault="00332A12" w:rsidP="00F76882">
            <w:pPr>
              <w:pStyle w:val="Tabletext"/>
            </w:pPr>
            <w:r w:rsidRPr="00A33DD2">
              <w:t>33%</w:t>
            </w:r>
          </w:p>
        </w:tc>
        <w:tc>
          <w:tcPr>
            <w:tcW w:w="147" w:type="pct"/>
            <w:tcBorders>
              <w:top w:val="nil"/>
              <w:left w:val="nil"/>
              <w:bottom w:val="single" w:sz="4" w:space="0" w:color="auto"/>
              <w:right w:val="single" w:sz="4" w:space="0" w:color="auto"/>
            </w:tcBorders>
            <w:shd w:val="clear" w:color="000000" w:fill="BFBFBF"/>
            <w:noWrap/>
            <w:vAlign w:val="center"/>
            <w:hideMark/>
          </w:tcPr>
          <w:p w14:paraId="544E47CE" w14:textId="70C38FA5" w:rsidR="00332A12" w:rsidRPr="00A33DD2" w:rsidRDefault="00332A12" w:rsidP="00F76882">
            <w:pPr>
              <w:pStyle w:val="Tabletext"/>
            </w:pPr>
            <w:r w:rsidRPr="00A33DD2">
              <w:t>14</w:t>
            </w:r>
          </w:p>
        </w:tc>
        <w:tc>
          <w:tcPr>
            <w:tcW w:w="242" w:type="pct"/>
            <w:tcBorders>
              <w:top w:val="nil"/>
              <w:left w:val="nil"/>
              <w:bottom w:val="single" w:sz="4" w:space="0" w:color="auto"/>
              <w:right w:val="single" w:sz="4" w:space="0" w:color="auto"/>
            </w:tcBorders>
            <w:shd w:val="clear" w:color="000000" w:fill="BFBFBF"/>
            <w:noWrap/>
            <w:vAlign w:val="center"/>
            <w:hideMark/>
          </w:tcPr>
          <w:p w14:paraId="5A259B80" w14:textId="6E362FF4" w:rsidR="00332A12" w:rsidRPr="00A33DD2" w:rsidRDefault="00332A12" w:rsidP="00F76882">
            <w:pPr>
              <w:pStyle w:val="Tabletext"/>
            </w:pPr>
            <w:r w:rsidRPr="00A33DD2">
              <w:t>38%</w:t>
            </w:r>
          </w:p>
        </w:tc>
        <w:tc>
          <w:tcPr>
            <w:tcW w:w="149" w:type="pct"/>
            <w:tcBorders>
              <w:top w:val="nil"/>
              <w:left w:val="nil"/>
              <w:bottom w:val="single" w:sz="4" w:space="0" w:color="auto"/>
              <w:right w:val="single" w:sz="4" w:space="0" w:color="auto"/>
            </w:tcBorders>
            <w:shd w:val="clear" w:color="000000" w:fill="BFBFBF"/>
            <w:noWrap/>
            <w:vAlign w:val="center"/>
          </w:tcPr>
          <w:p w14:paraId="6FCB6C64" w14:textId="4A7B4BC4" w:rsidR="00332A12" w:rsidRPr="00A33DD2" w:rsidRDefault="00332A12" w:rsidP="00F76882">
            <w:pPr>
              <w:pStyle w:val="Tabletext"/>
            </w:pPr>
            <w:r w:rsidRPr="00A33DD2">
              <w:t>21</w:t>
            </w:r>
          </w:p>
        </w:tc>
        <w:tc>
          <w:tcPr>
            <w:tcW w:w="242" w:type="pct"/>
            <w:tcBorders>
              <w:top w:val="nil"/>
              <w:left w:val="nil"/>
              <w:bottom w:val="single" w:sz="4" w:space="0" w:color="auto"/>
              <w:right w:val="single" w:sz="4" w:space="0" w:color="auto"/>
            </w:tcBorders>
            <w:shd w:val="clear" w:color="000000" w:fill="BFBFBF"/>
            <w:noWrap/>
            <w:vAlign w:val="center"/>
          </w:tcPr>
          <w:p w14:paraId="6A0A31EF" w14:textId="3DBAEF68" w:rsidR="00332A12" w:rsidRPr="00A33DD2" w:rsidRDefault="00332A12" w:rsidP="00F76882">
            <w:pPr>
              <w:pStyle w:val="Tabletext"/>
            </w:pPr>
            <w:r w:rsidRPr="00A33DD2">
              <w:t>51%</w:t>
            </w:r>
          </w:p>
        </w:tc>
        <w:tc>
          <w:tcPr>
            <w:tcW w:w="147" w:type="pct"/>
            <w:tcBorders>
              <w:top w:val="nil"/>
              <w:left w:val="nil"/>
              <w:bottom w:val="single" w:sz="4" w:space="0" w:color="auto"/>
              <w:right w:val="single" w:sz="4" w:space="0" w:color="auto"/>
            </w:tcBorders>
            <w:shd w:val="clear" w:color="000000" w:fill="BFBFBF"/>
            <w:noWrap/>
            <w:vAlign w:val="center"/>
            <w:hideMark/>
          </w:tcPr>
          <w:p w14:paraId="242A9689" w14:textId="6BC4AD39" w:rsidR="00332A12" w:rsidRPr="00A33DD2" w:rsidRDefault="00332A12" w:rsidP="00F76882">
            <w:pPr>
              <w:pStyle w:val="Tabletext"/>
            </w:pPr>
            <w:r w:rsidRPr="00A33DD2">
              <w:t>21</w:t>
            </w:r>
          </w:p>
        </w:tc>
        <w:tc>
          <w:tcPr>
            <w:tcW w:w="242" w:type="pct"/>
            <w:tcBorders>
              <w:top w:val="nil"/>
              <w:left w:val="nil"/>
              <w:bottom w:val="single" w:sz="4" w:space="0" w:color="auto"/>
              <w:right w:val="single" w:sz="4" w:space="0" w:color="auto"/>
            </w:tcBorders>
            <w:shd w:val="clear" w:color="000000" w:fill="BFBFBF"/>
            <w:noWrap/>
            <w:vAlign w:val="center"/>
            <w:hideMark/>
          </w:tcPr>
          <w:p w14:paraId="10DDD127" w14:textId="34C72832" w:rsidR="00332A12" w:rsidRPr="00A33DD2" w:rsidRDefault="00332A12" w:rsidP="00F76882">
            <w:pPr>
              <w:pStyle w:val="Tabletext"/>
            </w:pPr>
            <w:r w:rsidRPr="00A33DD2">
              <w:t>68%</w:t>
            </w:r>
          </w:p>
        </w:tc>
        <w:tc>
          <w:tcPr>
            <w:tcW w:w="147" w:type="pct"/>
            <w:tcBorders>
              <w:top w:val="nil"/>
              <w:left w:val="nil"/>
              <w:bottom w:val="single" w:sz="4" w:space="0" w:color="auto"/>
              <w:right w:val="single" w:sz="4" w:space="0" w:color="auto"/>
            </w:tcBorders>
            <w:shd w:val="clear" w:color="000000" w:fill="BFBFBF"/>
            <w:vAlign w:val="center"/>
          </w:tcPr>
          <w:p w14:paraId="6322FE40" w14:textId="039D145D" w:rsidR="00332A12" w:rsidRPr="00A33DD2" w:rsidRDefault="00332A12" w:rsidP="00F76882">
            <w:pPr>
              <w:pStyle w:val="Tabletext"/>
            </w:pPr>
            <w:r w:rsidRPr="00A33DD2">
              <w:t>27</w:t>
            </w:r>
          </w:p>
        </w:tc>
        <w:tc>
          <w:tcPr>
            <w:tcW w:w="240" w:type="pct"/>
            <w:tcBorders>
              <w:top w:val="nil"/>
              <w:left w:val="nil"/>
              <w:bottom w:val="single" w:sz="4" w:space="0" w:color="auto"/>
              <w:right w:val="single" w:sz="4" w:space="0" w:color="auto"/>
            </w:tcBorders>
            <w:shd w:val="clear" w:color="000000" w:fill="BFBFBF"/>
            <w:vAlign w:val="center"/>
          </w:tcPr>
          <w:p w14:paraId="2408F745" w14:textId="434AEC64" w:rsidR="00332A12" w:rsidRPr="00A33DD2" w:rsidRDefault="00332A12" w:rsidP="00F76882">
            <w:pPr>
              <w:pStyle w:val="Tabletext"/>
            </w:pPr>
            <w:r w:rsidRPr="00A33DD2">
              <w:t>60%</w:t>
            </w:r>
          </w:p>
        </w:tc>
      </w:tr>
    </w:tbl>
    <w:p w14:paraId="37ADE988" w14:textId="0CF6B27A" w:rsidR="006F32BC" w:rsidRPr="00F415EC" w:rsidRDefault="006F32BC" w:rsidP="00F76882">
      <w:pPr>
        <w:pStyle w:val="tablefigfootnote"/>
      </w:pPr>
      <w:r w:rsidRPr="00F415EC">
        <w:t xml:space="preserve">* </w:t>
      </w:r>
      <w:r w:rsidR="00724329" w:rsidRPr="00F415EC">
        <w:t>As defined annually by each jurisdiction</w:t>
      </w:r>
      <w:r w:rsidR="00D27837" w:rsidRPr="00F415EC">
        <w:t>.</w:t>
      </w:r>
    </w:p>
    <w:p w14:paraId="6A8CA32A" w14:textId="20AF56CD" w:rsidR="00174E83" w:rsidRPr="00F415EC" w:rsidRDefault="006F32BC" w:rsidP="00F76882">
      <w:pPr>
        <w:pStyle w:val="tablefigfootnote"/>
      </w:pPr>
      <w:r w:rsidRPr="00F415EC">
        <w:t xml:space="preserve">† </w:t>
      </w:r>
      <w:r w:rsidR="00B55267" w:rsidRPr="00F415EC">
        <w:t>As per CDNA Guidelines.</w:t>
      </w:r>
      <w:r w:rsidR="00B17F72" w:rsidRPr="00F415EC">
        <w:t xml:space="preserve"> Includes communities that were not screened due to logistical or demographic reasons (</w:t>
      </w:r>
      <w:r w:rsidR="006C560C" w:rsidRPr="00F415EC">
        <w:t>i.e.</w:t>
      </w:r>
      <w:r w:rsidR="00B17F72" w:rsidRPr="00F415EC">
        <w:t>, no children in the 5</w:t>
      </w:r>
      <w:r w:rsidR="00AF7D8D" w:rsidRPr="00F415EC">
        <w:t>–</w:t>
      </w:r>
      <w:r w:rsidR="00B17F72" w:rsidRPr="00F415EC">
        <w:t>9</w:t>
      </w:r>
      <w:r w:rsidR="00972CF1" w:rsidRPr="00F415EC">
        <w:t>-</w:t>
      </w:r>
      <w:r w:rsidR="00B17F72" w:rsidRPr="00F415EC">
        <w:t>year age group).</w:t>
      </w:r>
      <w:r w:rsidR="00174E83" w:rsidRPr="00F415EC">
        <w:t xml:space="preserve"> </w:t>
      </w:r>
    </w:p>
    <w:p w14:paraId="504BB6E0" w14:textId="7075D8B1" w:rsidR="006F32BC" w:rsidRPr="004609FA" w:rsidRDefault="00174E83" w:rsidP="00F76882">
      <w:pPr>
        <w:pStyle w:val="tablefigfootnote"/>
      </w:pPr>
      <w:r w:rsidRPr="00F415EC">
        <w:t xml:space="preserve">‡ If more than one screening episode </w:t>
      </w:r>
      <w:r w:rsidR="00C96319" w:rsidRPr="00F415EC">
        <w:t xml:space="preserve">occurs </w:t>
      </w:r>
      <w:r w:rsidRPr="00F415EC">
        <w:t>during the calendar year</w:t>
      </w:r>
      <w:r w:rsidR="00C96319" w:rsidRPr="00F415EC">
        <w:t>,</w:t>
      </w:r>
      <w:r w:rsidRPr="00F415EC">
        <w:t xml:space="preserve"> data from </w:t>
      </w:r>
      <w:r w:rsidR="00C96319" w:rsidRPr="00F415EC">
        <w:t xml:space="preserve">the </w:t>
      </w:r>
      <w:r w:rsidRPr="00F415EC">
        <w:t>first screen is used.</w:t>
      </w:r>
      <w:r w:rsidR="006F32BC" w:rsidRPr="00A33DD2">
        <w:br w:type="page"/>
      </w:r>
    </w:p>
    <w:p w14:paraId="03B39B0D" w14:textId="77777777" w:rsidR="006F32BC" w:rsidRPr="00F76882" w:rsidRDefault="006F32BC" w:rsidP="00F76882">
      <w:pPr>
        <w:sectPr w:rsidR="006F32BC" w:rsidRPr="00F76882" w:rsidSect="00C04CBB">
          <w:pgSz w:w="16838" w:h="11906" w:orient="landscape"/>
          <w:pgMar w:top="720" w:right="720" w:bottom="720" w:left="720" w:header="709" w:footer="709" w:gutter="0"/>
          <w:cols w:space="708"/>
          <w:docGrid w:linePitch="360"/>
        </w:sectPr>
      </w:pPr>
      <w:bookmarkStart w:id="262" w:name="_Table_2.4_Treatment"/>
      <w:bookmarkEnd w:id="262"/>
    </w:p>
    <w:p w14:paraId="499C0D69" w14:textId="791D89F4" w:rsidR="00E54734" w:rsidRPr="003D3BBA" w:rsidRDefault="006F32BC" w:rsidP="00F76882">
      <w:pPr>
        <w:pStyle w:val="Tableheadings"/>
      </w:pPr>
      <w:bookmarkStart w:id="263" w:name="_Ref58336300"/>
      <w:bookmarkStart w:id="264" w:name="_Toc215224705"/>
      <w:bookmarkEnd w:id="258"/>
      <w:r w:rsidRPr="0036007C">
        <w:t xml:space="preserve">Table </w:t>
      </w:r>
      <w:r w:rsidR="005C73F0" w:rsidRPr="0036007C">
        <w:t>2</w:t>
      </w:r>
      <w:r w:rsidRPr="0036007C">
        <w:t>.</w:t>
      </w:r>
      <w:r w:rsidRPr="0036007C">
        <w:fldChar w:fldCharType="begin"/>
      </w:r>
      <w:r w:rsidRPr="0036007C">
        <w:instrText>SEQ Table \* ARABIC \s 1</w:instrText>
      </w:r>
      <w:r w:rsidRPr="0036007C">
        <w:fldChar w:fldCharType="separate"/>
      </w:r>
      <w:r w:rsidRPr="0036007C">
        <w:t>4</w:t>
      </w:r>
      <w:r w:rsidRPr="0036007C">
        <w:fldChar w:fldCharType="end"/>
      </w:r>
      <w:bookmarkEnd w:id="263"/>
      <w:r w:rsidRPr="0036007C">
        <w:tab/>
        <w:t>Treatment strategies by region, Northern Territory</w:t>
      </w:r>
      <w:r w:rsidR="001937AB" w:rsidRPr="0036007C">
        <w:t>,</w:t>
      </w:r>
      <w:r w:rsidRPr="0036007C">
        <w:t xml:space="preserve"> </w:t>
      </w:r>
      <w:r w:rsidR="00E76BB4" w:rsidRPr="0036007C">
        <w:t>202</w:t>
      </w:r>
      <w:r w:rsidR="00904E22" w:rsidRPr="0036007C">
        <w:t>4</w:t>
      </w:r>
      <w:bookmarkEnd w:id="264"/>
    </w:p>
    <w:tbl>
      <w:tblPr>
        <w:tblW w:w="5000" w:type="pct"/>
        <w:tblLook w:val="04A0" w:firstRow="1" w:lastRow="0" w:firstColumn="1" w:lastColumn="0" w:noHBand="0" w:noVBand="1"/>
        <w:tblCaption w:val="Treatment strategies by region, Northern Territory, 2024  "/>
        <w:tblDescription w:val="Table 2.4 compares the number of communities by whether and how required trachoma treatment was delivered. Data is presented for Alice Springs Remote, Barkly, Darwin Rural, Katherine, and the cumulative total.&#10;"/>
      </w:tblPr>
      <w:tblGrid>
        <w:gridCol w:w="2787"/>
        <w:gridCol w:w="1535"/>
        <w:gridCol w:w="1535"/>
        <w:gridCol w:w="1535"/>
        <w:gridCol w:w="1535"/>
        <w:gridCol w:w="1529"/>
      </w:tblGrid>
      <w:tr w:rsidR="0090435F" w:rsidRPr="0036007C" w14:paraId="7378EFF9" w14:textId="77777777" w:rsidTr="00F415EC">
        <w:trPr>
          <w:trHeight w:val="580"/>
          <w:tblHeader/>
        </w:trPr>
        <w:tc>
          <w:tcPr>
            <w:tcW w:w="1333"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5F5B20E5" w14:textId="77777777" w:rsidR="0090435F" w:rsidRPr="0036007C" w:rsidRDefault="0090435F" w:rsidP="00F76882">
            <w:pPr>
              <w:pStyle w:val="Tableheading"/>
              <w:rPr>
                <w:lang w:eastAsia="en-AU"/>
              </w:rPr>
            </w:pPr>
            <w:r w:rsidRPr="0036007C">
              <w:t>Number of communities</w:t>
            </w:r>
          </w:p>
        </w:tc>
        <w:tc>
          <w:tcPr>
            <w:tcW w:w="734" w:type="pct"/>
            <w:tcBorders>
              <w:top w:val="single" w:sz="4" w:space="0" w:color="auto"/>
              <w:left w:val="nil"/>
              <w:bottom w:val="single" w:sz="4" w:space="0" w:color="auto"/>
              <w:right w:val="single" w:sz="4" w:space="0" w:color="auto"/>
            </w:tcBorders>
            <w:shd w:val="clear" w:color="000000" w:fill="BFBFBF"/>
            <w:vAlign w:val="bottom"/>
            <w:hideMark/>
          </w:tcPr>
          <w:p w14:paraId="4609E0E9" w14:textId="77777777" w:rsidR="0090435F" w:rsidRPr="0036007C" w:rsidRDefault="0090435F" w:rsidP="00F76882">
            <w:pPr>
              <w:pStyle w:val="Tableheading"/>
            </w:pPr>
            <w:r w:rsidRPr="0036007C">
              <w:t>Alice Springs Remote</w:t>
            </w:r>
          </w:p>
        </w:tc>
        <w:tc>
          <w:tcPr>
            <w:tcW w:w="734" w:type="pct"/>
            <w:tcBorders>
              <w:top w:val="single" w:sz="4" w:space="0" w:color="auto"/>
              <w:left w:val="nil"/>
              <w:bottom w:val="single" w:sz="4" w:space="0" w:color="auto"/>
              <w:right w:val="single" w:sz="4" w:space="0" w:color="auto"/>
            </w:tcBorders>
            <w:shd w:val="clear" w:color="000000" w:fill="BFBFBF"/>
            <w:vAlign w:val="bottom"/>
            <w:hideMark/>
          </w:tcPr>
          <w:p w14:paraId="04061DD2" w14:textId="77777777" w:rsidR="0090435F" w:rsidRPr="0036007C" w:rsidRDefault="0090435F" w:rsidP="00F76882">
            <w:pPr>
              <w:pStyle w:val="Tableheading"/>
            </w:pPr>
            <w:r w:rsidRPr="0036007C">
              <w:t>Barkly</w:t>
            </w:r>
          </w:p>
        </w:tc>
        <w:tc>
          <w:tcPr>
            <w:tcW w:w="734" w:type="pct"/>
            <w:tcBorders>
              <w:top w:val="single" w:sz="4" w:space="0" w:color="auto"/>
              <w:left w:val="nil"/>
              <w:bottom w:val="single" w:sz="4" w:space="0" w:color="auto"/>
              <w:right w:val="single" w:sz="4" w:space="0" w:color="auto"/>
            </w:tcBorders>
            <w:shd w:val="clear" w:color="000000" w:fill="BFBFBF"/>
            <w:vAlign w:val="bottom"/>
          </w:tcPr>
          <w:p w14:paraId="35A72E93" w14:textId="09FE747E" w:rsidR="0090435F" w:rsidRPr="0036007C" w:rsidRDefault="0090435F" w:rsidP="00F76882">
            <w:pPr>
              <w:pStyle w:val="Tableheading"/>
            </w:pPr>
            <w:r w:rsidRPr="0036007C">
              <w:t>Darwin Rural</w:t>
            </w:r>
          </w:p>
        </w:tc>
        <w:tc>
          <w:tcPr>
            <w:tcW w:w="734"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79B2A63A" w14:textId="3B75EA38" w:rsidR="0090435F" w:rsidRPr="0036007C" w:rsidRDefault="0090435F" w:rsidP="00F76882">
            <w:pPr>
              <w:pStyle w:val="Tableheading"/>
            </w:pPr>
            <w:r w:rsidRPr="0036007C">
              <w:t>Katherine</w:t>
            </w:r>
          </w:p>
        </w:tc>
        <w:tc>
          <w:tcPr>
            <w:tcW w:w="731" w:type="pct"/>
            <w:tcBorders>
              <w:top w:val="single" w:sz="4" w:space="0" w:color="auto"/>
              <w:left w:val="nil"/>
              <w:bottom w:val="single" w:sz="4" w:space="0" w:color="auto"/>
              <w:right w:val="single" w:sz="4" w:space="0" w:color="auto"/>
            </w:tcBorders>
            <w:shd w:val="clear" w:color="000000" w:fill="BFBFBF"/>
            <w:vAlign w:val="bottom"/>
            <w:hideMark/>
          </w:tcPr>
          <w:p w14:paraId="559FEDF7" w14:textId="77777777" w:rsidR="0090435F" w:rsidRPr="0036007C" w:rsidRDefault="0090435F" w:rsidP="00F76882">
            <w:pPr>
              <w:pStyle w:val="Tableheading"/>
            </w:pPr>
            <w:r w:rsidRPr="0036007C">
              <w:t>Total</w:t>
            </w:r>
          </w:p>
        </w:tc>
      </w:tr>
      <w:tr w:rsidR="00FA09F5" w:rsidRPr="0036007C" w14:paraId="5308A6FF" w14:textId="77777777" w:rsidTr="00E9308B">
        <w:trPr>
          <w:trHeight w:val="580"/>
        </w:trPr>
        <w:tc>
          <w:tcPr>
            <w:tcW w:w="1333" w:type="pct"/>
            <w:tcBorders>
              <w:top w:val="nil"/>
              <w:left w:val="single" w:sz="4" w:space="0" w:color="auto"/>
              <w:bottom w:val="single" w:sz="4" w:space="0" w:color="auto"/>
              <w:right w:val="single" w:sz="4" w:space="0" w:color="auto"/>
            </w:tcBorders>
            <w:vAlign w:val="bottom"/>
            <w:hideMark/>
          </w:tcPr>
          <w:p w14:paraId="019B1C19" w14:textId="77777777" w:rsidR="00FA09F5" w:rsidRPr="0036007C" w:rsidRDefault="00FA09F5" w:rsidP="00F76882">
            <w:pPr>
              <w:pStyle w:val="Tabletextleft"/>
            </w:pPr>
            <w:r w:rsidRPr="0036007C">
              <w:t>Required treatment for trachoma</w:t>
            </w:r>
          </w:p>
        </w:tc>
        <w:tc>
          <w:tcPr>
            <w:tcW w:w="734" w:type="pct"/>
            <w:tcBorders>
              <w:top w:val="nil"/>
              <w:left w:val="nil"/>
              <w:bottom w:val="single" w:sz="4" w:space="0" w:color="auto"/>
              <w:right w:val="single" w:sz="4" w:space="0" w:color="auto"/>
            </w:tcBorders>
            <w:noWrap/>
            <w:vAlign w:val="bottom"/>
          </w:tcPr>
          <w:p w14:paraId="36918947" w14:textId="7B8517F2" w:rsidR="00FA09F5" w:rsidRPr="0036007C" w:rsidRDefault="00FA09F5" w:rsidP="00F76882">
            <w:pPr>
              <w:pStyle w:val="Tabletext"/>
            </w:pPr>
            <w:r w:rsidRPr="0036007C">
              <w:t>11</w:t>
            </w:r>
          </w:p>
        </w:tc>
        <w:tc>
          <w:tcPr>
            <w:tcW w:w="734" w:type="pct"/>
            <w:tcBorders>
              <w:top w:val="nil"/>
              <w:left w:val="nil"/>
              <w:bottom w:val="single" w:sz="4" w:space="0" w:color="auto"/>
              <w:right w:val="single" w:sz="4" w:space="0" w:color="auto"/>
            </w:tcBorders>
            <w:noWrap/>
            <w:vAlign w:val="bottom"/>
          </w:tcPr>
          <w:p w14:paraId="084C4A5B" w14:textId="3BF49959" w:rsidR="00FA09F5" w:rsidRPr="0036007C" w:rsidRDefault="00FA09F5" w:rsidP="00F76882">
            <w:pPr>
              <w:pStyle w:val="Tabletext"/>
            </w:pPr>
            <w:r w:rsidRPr="0036007C">
              <w:t>1</w:t>
            </w:r>
          </w:p>
        </w:tc>
        <w:tc>
          <w:tcPr>
            <w:tcW w:w="734" w:type="pct"/>
            <w:tcBorders>
              <w:top w:val="single" w:sz="4" w:space="0" w:color="auto"/>
              <w:left w:val="nil"/>
              <w:bottom w:val="single" w:sz="4" w:space="0" w:color="auto"/>
              <w:right w:val="single" w:sz="4" w:space="0" w:color="auto"/>
            </w:tcBorders>
            <w:vAlign w:val="bottom"/>
          </w:tcPr>
          <w:p w14:paraId="286CEA5B" w14:textId="31ABBDAE" w:rsidR="00FA09F5" w:rsidRPr="0036007C" w:rsidRDefault="00FA09F5" w:rsidP="00F76882">
            <w:pPr>
              <w:pStyle w:val="Tabletext"/>
            </w:pPr>
            <w:r w:rsidRPr="0036007C">
              <w:t>1</w:t>
            </w:r>
          </w:p>
        </w:tc>
        <w:tc>
          <w:tcPr>
            <w:tcW w:w="734" w:type="pct"/>
            <w:tcBorders>
              <w:top w:val="nil"/>
              <w:left w:val="single" w:sz="4" w:space="0" w:color="auto"/>
              <w:bottom w:val="single" w:sz="4" w:space="0" w:color="auto"/>
              <w:right w:val="single" w:sz="4" w:space="0" w:color="auto"/>
            </w:tcBorders>
            <w:noWrap/>
            <w:vAlign w:val="bottom"/>
          </w:tcPr>
          <w:p w14:paraId="71CD30AA" w14:textId="24988797" w:rsidR="00FA09F5" w:rsidRPr="0036007C" w:rsidRDefault="00FA09F5" w:rsidP="00F76882">
            <w:pPr>
              <w:pStyle w:val="Tabletext"/>
            </w:pPr>
            <w:r w:rsidRPr="0036007C">
              <w:t>5</w:t>
            </w:r>
          </w:p>
        </w:tc>
        <w:tc>
          <w:tcPr>
            <w:tcW w:w="731" w:type="pct"/>
            <w:tcBorders>
              <w:top w:val="nil"/>
              <w:left w:val="nil"/>
              <w:bottom w:val="single" w:sz="4" w:space="0" w:color="auto"/>
              <w:right w:val="single" w:sz="4" w:space="0" w:color="auto"/>
            </w:tcBorders>
            <w:noWrap/>
            <w:vAlign w:val="bottom"/>
          </w:tcPr>
          <w:p w14:paraId="67D0DF05" w14:textId="0A967B5C" w:rsidR="00FA09F5" w:rsidRPr="0036007C" w:rsidRDefault="00FA09F5" w:rsidP="00F76882">
            <w:pPr>
              <w:pStyle w:val="Tabletext"/>
            </w:pPr>
            <w:r w:rsidRPr="0036007C">
              <w:t>18</w:t>
            </w:r>
          </w:p>
        </w:tc>
      </w:tr>
      <w:tr w:rsidR="00FA09F5" w:rsidRPr="0036007C" w14:paraId="3FFA1D9F" w14:textId="77777777" w:rsidTr="00E9308B">
        <w:trPr>
          <w:trHeight w:val="290"/>
        </w:trPr>
        <w:tc>
          <w:tcPr>
            <w:tcW w:w="1333" w:type="pct"/>
            <w:tcBorders>
              <w:top w:val="nil"/>
              <w:left w:val="single" w:sz="4" w:space="0" w:color="auto"/>
              <w:bottom w:val="single" w:sz="4" w:space="0" w:color="auto"/>
              <w:right w:val="single" w:sz="4" w:space="0" w:color="auto"/>
            </w:tcBorders>
            <w:shd w:val="clear" w:color="000000" w:fill="BFBFBF"/>
            <w:vAlign w:val="bottom"/>
            <w:hideMark/>
          </w:tcPr>
          <w:p w14:paraId="0DFB58DC" w14:textId="77777777" w:rsidR="00FA09F5" w:rsidRPr="0036007C" w:rsidRDefault="00FA09F5" w:rsidP="00F76882">
            <w:pPr>
              <w:pStyle w:val="Tabletextleft"/>
            </w:pPr>
            <w:r w:rsidRPr="0036007C">
              <w:t>Treated for trachoma</w:t>
            </w:r>
          </w:p>
        </w:tc>
        <w:tc>
          <w:tcPr>
            <w:tcW w:w="734" w:type="pct"/>
            <w:tcBorders>
              <w:top w:val="nil"/>
              <w:left w:val="nil"/>
              <w:bottom w:val="single" w:sz="4" w:space="0" w:color="auto"/>
              <w:right w:val="single" w:sz="4" w:space="0" w:color="auto"/>
            </w:tcBorders>
            <w:shd w:val="clear" w:color="000000" w:fill="BFBFBF"/>
            <w:noWrap/>
            <w:vAlign w:val="bottom"/>
          </w:tcPr>
          <w:p w14:paraId="7E8CA9B0" w14:textId="4A07212F" w:rsidR="00FA09F5" w:rsidRPr="0036007C" w:rsidRDefault="00FA09F5" w:rsidP="00F76882">
            <w:pPr>
              <w:pStyle w:val="Tabletext"/>
            </w:pPr>
            <w:r w:rsidRPr="0036007C">
              <w:t>11</w:t>
            </w:r>
          </w:p>
        </w:tc>
        <w:tc>
          <w:tcPr>
            <w:tcW w:w="734" w:type="pct"/>
            <w:tcBorders>
              <w:top w:val="nil"/>
              <w:left w:val="nil"/>
              <w:bottom w:val="single" w:sz="4" w:space="0" w:color="auto"/>
              <w:right w:val="single" w:sz="4" w:space="0" w:color="auto"/>
            </w:tcBorders>
            <w:shd w:val="clear" w:color="000000" w:fill="BFBFBF"/>
            <w:noWrap/>
            <w:vAlign w:val="bottom"/>
          </w:tcPr>
          <w:p w14:paraId="7556C6DC" w14:textId="0E90DAB9" w:rsidR="00FA09F5" w:rsidRPr="0036007C" w:rsidRDefault="00FA09F5" w:rsidP="00F76882">
            <w:pPr>
              <w:pStyle w:val="Tabletext"/>
            </w:pPr>
            <w:r w:rsidRPr="0036007C">
              <w:t>1</w:t>
            </w:r>
          </w:p>
        </w:tc>
        <w:tc>
          <w:tcPr>
            <w:tcW w:w="734" w:type="pct"/>
            <w:tcBorders>
              <w:top w:val="single" w:sz="4" w:space="0" w:color="auto"/>
              <w:left w:val="nil"/>
              <w:bottom w:val="single" w:sz="4" w:space="0" w:color="auto"/>
              <w:right w:val="single" w:sz="4" w:space="0" w:color="auto"/>
            </w:tcBorders>
            <w:shd w:val="clear" w:color="000000" w:fill="BFBFBF"/>
            <w:vAlign w:val="bottom"/>
          </w:tcPr>
          <w:p w14:paraId="6E77973B" w14:textId="6623AC18" w:rsidR="00FA09F5" w:rsidRPr="0036007C" w:rsidRDefault="00FA09F5" w:rsidP="00F76882">
            <w:pPr>
              <w:pStyle w:val="Tabletext"/>
            </w:pPr>
            <w:r w:rsidRPr="0036007C">
              <w:t>1</w:t>
            </w:r>
          </w:p>
        </w:tc>
        <w:tc>
          <w:tcPr>
            <w:tcW w:w="734" w:type="pct"/>
            <w:tcBorders>
              <w:top w:val="nil"/>
              <w:left w:val="single" w:sz="4" w:space="0" w:color="auto"/>
              <w:bottom w:val="single" w:sz="4" w:space="0" w:color="auto"/>
              <w:right w:val="single" w:sz="4" w:space="0" w:color="auto"/>
            </w:tcBorders>
            <w:shd w:val="clear" w:color="000000" w:fill="BFBFBF"/>
            <w:noWrap/>
            <w:vAlign w:val="bottom"/>
          </w:tcPr>
          <w:p w14:paraId="1D17E4EE" w14:textId="018DFA1A" w:rsidR="00FA09F5" w:rsidRPr="0036007C" w:rsidRDefault="00FA09F5" w:rsidP="00F76882">
            <w:pPr>
              <w:pStyle w:val="Tabletext"/>
            </w:pPr>
            <w:r w:rsidRPr="0036007C">
              <w:t>5</w:t>
            </w:r>
          </w:p>
        </w:tc>
        <w:tc>
          <w:tcPr>
            <w:tcW w:w="731" w:type="pct"/>
            <w:tcBorders>
              <w:top w:val="nil"/>
              <w:left w:val="nil"/>
              <w:bottom w:val="single" w:sz="4" w:space="0" w:color="auto"/>
              <w:right w:val="single" w:sz="4" w:space="0" w:color="auto"/>
            </w:tcBorders>
            <w:shd w:val="clear" w:color="000000" w:fill="BFBFBF"/>
            <w:noWrap/>
            <w:vAlign w:val="bottom"/>
          </w:tcPr>
          <w:p w14:paraId="38B62D71" w14:textId="3EC061B5" w:rsidR="00FA09F5" w:rsidRPr="0036007C" w:rsidRDefault="00FA09F5" w:rsidP="00F76882">
            <w:pPr>
              <w:pStyle w:val="Tabletext"/>
            </w:pPr>
            <w:r w:rsidRPr="0036007C">
              <w:t>18</w:t>
            </w:r>
          </w:p>
        </w:tc>
      </w:tr>
      <w:tr w:rsidR="00FA09F5" w:rsidRPr="0036007C" w14:paraId="78E53898" w14:textId="77777777" w:rsidTr="00E9308B">
        <w:trPr>
          <w:trHeight w:val="290"/>
        </w:trPr>
        <w:tc>
          <w:tcPr>
            <w:tcW w:w="1333" w:type="pct"/>
            <w:tcBorders>
              <w:top w:val="nil"/>
              <w:left w:val="single" w:sz="4" w:space="0" w:color="auto"/>
              <w:bottom w:val="single" w:sz="4" w:space="0" w:color="auto"/>
              <w:right w:val="single" w:sz="4" w:space="0" w:color="auto"/>
            </w:tcBorders>
            <w:vAlign w:val="bottom"/>
            <w:hideMark/>
          </w:tcPr>
          <w:p w14:paraId="794F20DE" w14:textId="77777777" w:rsidR="00FA09F5" w:rsidRPr="0036007C" w:rsidRDefault="00FA09F5" w:rsidP="00F76882">
            <w:pPr>
              <w:pStyle w:val="Tabletextleft"/>
            </w:pPr>
            <w:r w:rsidRPr="0036007C">
              <w:t>Screened and treated</w:t>
            </w:r>
          </w:p>
        </w:tc>
        <w:tc>
          <w:tcPr>
            <w:tcW w:w="734" w:type="pct"/>
            <w:tcBorders>
              <w:top w:val="nil"/>
              <w:left w:val="nil"/>
              <w:bottom w:val="single" w:sz="4" w:space="0" w:color="auto"/>
              <w:right w:val="single" w:sz="4" w:space="0" w:color="auto"/>
            </w:tcBorders>
            <w:noWrap/>
            <w:vAlign w:val="bottom"/>
          </w:tcPr>
          <w:p w14:paraId="6BACE91F" w14:textId="75712150" w:rsidR="00FA09F5" w:rsidRPr="0036007C" w:rsidRDefault="00FA09F5" w:rsidP="00F76882">
            <w:pPr>
              <w:pStyle w:val="Tabletext"/>
            </w:pPr>
            <w:r w:rsidRPr="0036007C">
              <w:t>11</w:t>
            </w:r>
          </w:p>
        </w:tc>
        <w:tc>
          <w:tcPr>
            <w:tcW w:w="734" w:type="pct"/>
            <w:tcBorders>
              <w:top w:val="nil"/>
              <w:left w:val="nil"/>
              <w:bottom w:val="single" w:sz="4" w:space="0" w:color="auto"/>
              <w:right w:val="single" w:sz="4" w:space="0" w:color="auto"/>
            </w:tcBorders>
            <w:noWrap/>
            <w:vAlign w:val="bottom"/>
          </w:tcPr>
          <w:p w14:paraId="6378297E" w14:textId="1017E716" w:rsidR="00FA09F5" w:rsidRPr="0036007C" w:rsidRDefault="00FA09F5" w:rsidP="00F76882">
            <w:pPr>
              <w:pStyle w:val="Tabletext"/>
            </w:pPr>
            <w:r w:rsidRPr="0036007C">
              <w:t>1</w:t>
            </w:r>
          </w:p>
        </w:tc>
        <w:tc>
          <w:tcPr>
            <w:tcW w:w="734" w:type="pct"/>
            <w:tcBorders>
              <w:top w:val="single" w:sz="4" w:space="0" w:color="auto"/>
              <w:left w:val="nil"/>
              <w:bottom w:val="single" w:sz="4" w:space="0" w:color="auto"/>
              <w:right w:val="single" w:sz="4" w:space="0" w:color="auto"/>
            </w:tcBorders>
            <w:vAlign w:val="bottom"/>
          </w:tcPr>
          <w:p w14:paraId="1743BD63" w14:textId="0008F590" w:rsidR="00FA09F5" w:rsidRPr="0036007C" w:rsidRDefault="00FA09F5" w:rsidP="00F76882">
            <w:pPr>
              <w:pStyle w:val="Tabletext"/>
            </w:pPr>
            <w:r w:rsidRPr="0036007C">
              <w:t>1</w:t>
            </w:r>
          </w:p>
        </w:tc>
        <w:tc>
          <w:tcPr>
            <w:tcW w:w="734" w:type="pct"/>
            <w:tcBorders>
              <w:top w:val="nil"/>
              <w:left w:val="single" w:sz="4" w:space="0" w:color="auto"/>
              <w:bottom w:val="single" w:sz="4" w:space="0" w:color="auto"/>
              <w:right w:val="single" w:sz="4" w:space="0" w:color="auto"/>
            </w:tcBorders>
            <w:noWrap/>
            <w:vAlign w:val="bottom"/>
          </w:tcPr>
          <w:p w14:paraId="13DCC1E2" w14:textId="72C13C1F" w:rsidR="00FA09F5" w:rsidRPr="0036007C" w:rsidRDefault="00FA09F5" w:rsidP="00F76882">
            <w:pPr>
              <w:pStyle w:val="Tabletext"/>
            </w:pPr>
            <w:r w:rsidRPr="0036007C">
              <w:t>5</w:t>
            </w:r>
          </w:p>
        </w:tc>
        <w:tc>
          <w:tcPr>
            <w:tcW w:w="731" w:type="pct"/>
            <w:tcBorders>
              <w:top w:val="nil"/>
              <w:left w:val="nil"/>
              <w:bottom w:val="single" w:sz="4" w:space="0" w:color="auto"/>
              <w:right w:val="single" w:sz="4" w:space="0" w:color="auto"/>
            </w:tcBorders>
            <w:noWrap/>
            <w:vAlign w:val="bottom"/>
          </w:tcPr>
          <w:p w14:paraId="1706BF4A" w14:textId="7A2C74E9" w:rsidR="00FA09F5" w:rsidRPr="0036007C" w:rsidRDefault="00FA09F5" w:rsidP="00F76882">
            <w:pPr>
              <w:pStyle w:val="Tabletext"/>
            </w:pPr>
            <w:r w:rsidRPr="0036007C">
              <w:t>18</w:t>
            </w:r>
          </w:p>
        </w:tc>
      </w:tr>
      <w:tr w:rsidR="00FA09F5" w:rsidRPr="0036007C" w14:paraId="2E03CD66" w14:textId="77777777" w:rsidTr="00E9308B">
        <w:trPr>
          <w:trHeight w:val="290"/>
        </w:trPr>
        <w:tc>
          <w:tcPr>
            <w:tcW w:w="1333" w:type="pct"/>
            <w:tcBorders>
              <w:top w:val="nil"/>
              <w:left w:val="single" w:sz="4" w:space="0" w:color="auto"/>
              <w:bottom w:val="single" w:sz="4" w:space="0" w:color="auto"/>
              <w:right w:val="single" w:sz="4" w:space="0" w:color="auto"/>
            </w:tcBorders>
            <w:shd w:val="clear" w:color="000000" w:fill="BFBFBF"/>
            <w:vAlign w:val="bottom"/>
            <w:hideMark/>
          </w:tcPr>
          <w:p w14:paraId="0CB920B3" w14:textId="77777777" w:rsidR="00FA09F5" w:rsidRPr="0036007C" w:rsidRDefault="00FA09F5" w:rsidP="00F76882">
            <w:pPr>
              <w:pStyle w:val="Tabletextleft"/>
            </w:pPr>
            <w:r w:rsidRPr="0036007C">
              <w:t>Received treatment only</w:t>
            </w:r>
          </w:p>
        </w:tc>
        <w:tc>
          <w:tcPr>
            <w:tcW w:w="734" w:type="pct"/>
            <w:tcBorders>
              <w:top w:val="nil"/>
              <w:left w:val="nil"/>
              <w:bottom w:val="single" w:sz="4" w:space="0" w:color="auto"/>
              <w:right w:val="single" w:sz="4" w:space="0" w:color="auto"/>
            </w:tcBorders>
            <w:shd w:val="clear" w:color="000000" w:fill="BFBFBF"/>
            <w:noWrap/>
            <w:vAlign w:val="bottom"/>
          </w:tcPr>
          <w:p w14:paraId="352821B5" w14:textId="168DFBAB" w:rsidR="00FA09F5" w:rsidRPr="0036007C" w:rsidRDefault="00FA09F5" w:rsidP="00F76882">
            <w:pPr>
              <w:pStyle w:val="Tabletext"/>
            </w:pPr>
            <w:r w:rsidRPr="0036007C">
              <w:t>0</w:t>
            </w:r>
          </w:p>
        </w:tc>
        <w:tc>
          <w:tcPr>
            <w:tcW w:w="734" w:type="pct"/>
            <w:tcBorders>
              <w:top w:val="nil"/>
              <w:left w:val="nil"/>
              <w:bottom w:val="single" w:sz="4" w:space="0" w:color="auto"/>
              <w:right w:val="single" w:sz="4" w:space="0" w:color="auto"/>
            </w:tcBorders>
            <w:shd w:val="clear" w:color="000000" w:fill="BFBFBF"/>
            <w:noWrap/>
            <w:vAlign w:val="bottom"/>
          </w:tcPr>
          <w:p w14:paraId="5FA1FCCF" w14:textId="5FFC8DAF" w:rsidR="00FA09F5" w:rsidRPr="0036007C" w:rsidRDefault="00FA09F5" w:rsidP="00F76882">
            <w:pPr>
              <w:pStyle w:val="Tabletext"/>
            </w:pPr>
            <w:r w:rsidRPr="0036007C">
              <w:t>0</w:t>
            </w:r>
          </w:p>
        </w:tc>
        <w:tc>
          <w:tcPr>
            <w:tcW w:w="734" w:type="pct"/>
            <w:tcBorders>
              <w:top w:val="single" w:sz="4" w:space="0" w:color="auto"/>
              <w:left w:val="nil"/>
              <w:bottom w:val="single" w:sz="4" w:space="0" w:color="auto"/>
              <w:right w:val="single" w:sz="4" w:space="0" w:color="auto"/>
            </w:tcBorders>
            <w:shd w:val="clear" w:color="000000" w:fill="BFBFBF"/>
            <w:vAlign w:val="bottom"/>
          </w:tcPr>
          <w:p w14:paraId="7ABA99C2" w14:textId="76D4661C" w:rsidR="00FA09F5" w:rsidRPr="0036007C" w:rsidRDefault="00FA09F5" w:rsidP="00F76882">
            <w:pPr>
              <w:pStyle w:val="Tabletext"/>
            </w:pPr>
            <w:r w:rsidRPr="0036007C">
              <w:t>0</w:t>
            </w:r>
          </w:p>
        </w:tc>
        <w:tc>
          <w:tcPr>
            <w:tcW w:w="734" w:type="pct"/>
            <w:tcBorders>
              <w:top w:val="nil"/>
              <w:left w:val="single" w:sz="4" w:space="0" w:color="auto"/>
              <w:bottom w:val="single" w:sz="4" w:space="0" w:color="auto"/>
              <w:right w:val="single" w:sz="4" w:space="0" w:color="auto"/>
            </w:tcBorders>
            <w:shd w:val="clear" w:color="000000" w:fill="BFBFBF"/>
            <w:noWrap/>
            <w:vAlign w:val="bottom"/>
          </w:tcPr>
          <w:p w14:paraId="646C8C28" w14:textId="4D5E43D2" w:rsidR="00FA09F5" w:rsidRPr="0036007C" w:rsidRDefault="00FA09F5" w:rsidP="00F76882">
            <w:pPr>
              <w:pStyle w:val="Tabletext"/>
            </w:pPr>
            <w:r w:rsidRPr="0036007C">
              <w:t>0</w:t>
            </w:r>
          </w:p>
        </w:tc>
        <w:tc>
          <w:tcPr>
            <w:tcW w:w="731" w:type="pct"/>
            <w:tcBorders>
              <w:top w:val="nil"/>
              <w:left w:val="nil"/>
              <w:bottom w:val="single" w:sz="4" w:space="0" w:color="auto"/>
              <w:right w:val="single" w:sz="4" w:space="0" w:color="auto"/>
            </w:tcBorders>
            <w:shd w:val="clear" w:color="000000" w:fill="BFBFBF"/>
            <w:noWrap/>
            <w:vAlign w:val="bottom"/>
          </w:tcPr>
          <w:p w14:paraId="3349B725" w14:textId="345CAEAC" w:rsidR="00FA09F5" w:rsidRPr="0036007C" w:rsidRDefault="00FA09F5" w:rsidP="00F76882">
            <w:pPr>
              <w:pStyle w:val="Tabletext"/>
            </w:pPr>
            <w:r w:rsidRPr="0036007C">
              <w:t>0</w:t>
            </w:r>
          </w:p>
        </w:tc>
      </w:tr>
      <w:tr w:rsidR="00FA09F5" w:rsidRPr="0036007C" w14:paraId="0D69485B" w14:textId="77777777" w:rsidTr="00E9308B">
        <w:trPr>
          <w:trHeight w:val="580"/>
        </w:trPr>
        <w:tc>
          <w:tcPr>
            <w:tcW w:w="1333" w:type="pct"/>
            <w:tcBorders>
              <w:top w:val="nil"/>
              <w:left w:val="single" w:sz="4" w:space="0" w:color="auto"/>
              <w:bottom w:val="single" w:sz="4" w:space="0" w:color="auto"/>
              <w:right w:val="single" w:sz="4" w:space="0" w:color="auto"/>
            </w:tcBorders>
            <w:vAlign w:val="bottom"/>
            <w:hideMark/>
          </w:tcPr>
          <w:p w14:paraId="62EB9C6B" w14:textId="77777777" w:rsidR="00FA09F5" w:rsidRPr="0036007C" w:rsidRDefault="00FA09F5" w:rsidP="00F76882">
            <w:pPr>
              <w:pStyle w:val="Tabletextleft"/>
            </w:pPr>
            <w:r w:rsidRPr="0036007C">
              <w:t>Received 6-monthly treatment</w:t>
            </w:r>
          </w:p>
        </w:tc>
        <w:tc>
          <w:tcPr>
            <w:tcW w:w="734" w:type="pct"/>
            <w:tcBorders>
              <w:top w:val="nil"/>
              <w:left w:val="nil"/>
              <w:bottom w:val="single" w:sz="4" w:space="0" w:color="auto"/>
              <w:right w:val="single" w:sz="4" w:space="0" w:color="auto"/>
            </w:tcBorders>
            <w:noWrap/>
            <w:vAlign w:val="bottom"/>
          </w:tcPr>
          <w:p w14:paraId="03DC90F6" w14:textId="62A5DF17" w:rsidR="00FA09F5" w:rsidRPr="0036007C" w:rsidRDefault="00FA09F5" w:rsidP="00F76882">
            <w:pPr>
              <w:pStyle w:val="Tabletext"/>
            </w:pPr>
            <w:r w:rsidRPr="0036007C">
              <w:t>0</w:t>
            </w:r>
          </w:p>
        </w:tc>
        <w:tc>
          <w:tcPr>
            <w:tcW w:w="734" w:type="pct"/>
            <w:tcBorders>
              <w:top w:val="nil"/>
              <w:left w:val="nil"/>
              <w:bottom w:val="single" w:sz="4" w:space="0" w:color="auto"/>
              <w:right w:val="single" w:sz="4" w:space="0" w:color="auto"/>
            </w:tcBorders>
            <w:noWrap/>
            <w:vAlign w:val="bottom"/>
          </w:tcPr>
          <w:p w14:paraId="3FB1E9E9" w14:textId="106C50B2" w:rsidR="00FA09F5" w:rsidRPr="0036007C" w:rsidRDefault="00FA09F5" w:rsidP="00F76882">
            <w:pPr>
              <w:pStyle w:val="Tabletext"/>
            </w:pPr>
            <w:r w:rsidRPr="0036007C">
              <w:t>0</w:t>
            </w:r>
          </w:p>
        </w:tc>
        <w:tc>
          <w:tcPr>
            <w:tcW w:w="734" w:type="pct"/>
            <w:tcBorders>
              <w:top w:val="single" w:sz="4" w:space="0" w:color="auto"/>
              <w:left w:val="nil"/>
              <w:bottom w:val="single" w:sz="4" w:space="0" w:color="auto"/>
              <w:right w:val="single" w:sz="4" w:space="0" w:color="auto"/>
            </w:tcBorders>
            <w:vAlign w:val="bottom"/>
          </w:tcPr>
          <w:p w14:paraId="584B0FDF" w14:textId="26608040" w:rsidR="00FA09F5" w:rsidRPr="0036007C" w:rsidRDefault="00FA09F5" w:rsidP="00F76882">
            <w:pPr>
              <w:pStyle w:val="Tabletext"/>
            </w:pPr>
            <w:r w:rsidRPr="0036007C">
              <w:t>0</w:t>
            </w:r>
          </w:p>
        </w:tc>
        <w:tc>
          <w:tcPr>
            <w:tcW w:w="734" w:type="pct"/>
            <w:tcBorders>
              <w:top w:val="nil"/>
              <w:left w:val="single" w:sz="4" w:space="0" w:color="auto"/>
              <w:bottom w:val="single" w:sz="4" w:space="0" w:color="auto"/>
              <w:right w:val="single" w:sz="4" w:space="0" w:color="auto"/>
            </w:tcBorders>
            <w:noWrap/>
            <w:vAlign w:val="bottom"/>
          </w:tcPr>
          <w:p w14:paraId="2767607E" w14:textId="5F24EAF1" w:rsidR="00FA09F5" w:rsidRPr="0036007C" w:rsidRDefault="00FA09F5" w:rsidP="00F76882">
            <w:pPr>
              <w:pStyle w:val="Tabletext"/>
            </w:pPr>
            <w:r w:rsidRPr="0036007C">
              <w:t>0</w:t>
            </w:r>
          </w:p>
        </w:tc>
        <w:tc>
          <w:tcPr>
            <w:tcW w:w="731" w:type="pct"/>
            <w:tcBorders>
              <w:top w:val="nil"/>
              <w:left w:val="nil"/>
              <w:bottom w:val="single" w:sz="4" w:space="0" w:color="auto"/>
              <w:right w:val="single" w:sz="4" w:space="0" w:color="auto"/>
            </w:tcBorders>
            <w:noWrap/>
            <w:vAlign w:val="bottom"/>
          </w:tcPr>
          <w:p w14:paraId="43ED9B3D" w14:textId="26561BA2" w:rsidR="00FA09F5" w:rsidRPr="0036007C" w:rsidRDefault="00FA09F5" w:rsidP="00F76882">
            <w:pPr>
              <w:pStyle w:val="Tabletext"/>
            </w:pPr>
            <w:r w:rsidRPr="0036007C">
              <w:t>0</w:t>
            </w:r>
          </w:p>
        </w:tc>
      </w:tr>
      <w:tr w:rsidR="00FA09F5" w:rsidRPr="0036007C" w14:paraId="3BA503AB" w14:textId="77777777" w:rsidTr="00E9308B">
        <w:trPr>
          <w:trHeight w:val="290"/>
        </w:trPr>
        <w:tc>
          <w:tcPr>
            <w:tcW w:w="1333" w:type="pct"/>
            <w:tcBorders>
              <w:top w:val="nil"/>
              <w:left w:val="single" w:sz="4" w:space="0" w:color="auto"/>
              <w:bottom w:val="single" w:sz="4" w:space="0" w:color="auto"/>
              <w:right w:val="single" w:sz="4" w:space="0" w:color="auto"/>
            </w:tcBorders>
            <w:shd w:val="clear" w:color="000000" w:fill="BFBFBF"/>
            <w:vAlign w:val="bottom"/>
            <w:hideMark/>
          </w:tcPr>
          <w:p w14:paraId="1B0992B1" w14:textId="77777777" w:rsidR="00FA09F5" w:rsidRPr="0036007C" w:rsidRDefault="00FA09F5" w:rsidP="00F76882">
            <w:pPr>
              <w:pStyle w:val="Tabletextleft"/>
            </w:pPr>
            <w:r w:rsidRPr="0036007C">
              <w:t>Did not require treatment</w:t>
            </w:r>
          </w:p>
        </w:tc>
        <w:tc>
          <w:tcPr>
            <w:tcW w:w="734" w:type="pct"/>
            <w:tcBorders>
              <w:top w:val="nil"/>
              <w:left w:val="nil"/>
              <w:bottom w:val="single" w:sz="4" w:space="0" w:color="auto"/>
              <w:right w:val="single" w:sz="4" w:space="0" w:color="auto"/>
            </w:tcBorders>
            <w:shd w:val="clear" w:color="000000" w:fill="BFBFBF"/>
            <w:noWrap/>
            <w:vAlign w:val="bottom"/>
          </w:tcPr>
          <w:p w14:paraId="594D5CA7" w14:textId="506EE7E6" w:rsidR="00FA09F5" w:rsidRPr="0036007C" w:rsidRDefault="00FA09F5" w:rsidP="00F76882">
            <w:pPr>
              <w:pStyle w:val="Tabletext"/>
            </w:pPr>
            <w:r w:rsidRPr="0036007C">
              <w:t>15</w:t>
            </w:r>
          </w:p>
        </w:tc>
        <w:tc>
          <w:tcPr>
            <w:tcW w:w="734" w:type="pct"/>
            <w:tcBorders>
              <w:top w:val="nil"/>
              <w:left w:val="nil"/>
              <w:bottom w:val="single" w:sz="4" w:space="0" w:color="auto"/>
              <w:right w:val="single" w:sz="4" w:space="0" w:color="auto"/>
            </w:tcBorders>
            <w:shd w:val="clear" w:color="000000" w:fill="BFBFBF"/>
            <w:noWrap/>
            <w:vAlign w:val="bottom"/>
          </w:tcPr>
          <w:p w14:paraId="07E85008" w14:textId="49C3386C" w:rsidR="00FA09F5" w:rsidRPr="0036007C" w:rsidRDefault="00FA09F5" w:rsidP="00F76882">
            <w:pPr>
              <w:pStyle w:val="Tabletext"/>
            </w:pPr>
            <w:r w:rsidRPr="0036007C">
              <w:t>7</w:t>
            </w:r>
          </w:p>
        </w:tc>
        <w:tc>
          <w:tcPr>
            <w:tcW w:w="734" w:type="pct"/>
            <w:tcBorders>
              <w:top w:val="single" w:sz="4" w:space="0" w:color="auto"/>
              <w:left w:val="nil"/>
              <w:bottom w:val="single" w:sz="4" w:space="0" w:color="auto"/>
              <w:right w:val="single" w:sz="4" w:space="0" w:color="auto"/>
            </w:tcBorders>
            <w:shd w:val="clear" w:color="000000" w:fill="BFBFBF"/>
            <w:vAlign w:val="bottom"/>
          </w:tcPr>
          <w:p w14:paraId="0A8FD864" w14:textId="61586737" w:rsidR="00FA09F5" w:rsidRPr="0036007C" w:rsidRDefault="00FA09F5" w:rsidP="00F76882">
            <w:pPr>
              <w:pStyle w:val="Tabletext"/>
            </w:pPr>
            <w:r w:rsidRPr="0036007C">
              <w:t>1</w:t>
            </w:r>
          </w:p>
        </w:tc>
        <w:tc>
          <w:tcPr>
            <w:tcW w:w="734" w:type="pct"/>
            <w:tcBorders>
              <w:top w:val="nil"/>
              <w:left w:val="single" w:sz="4" w:space="0" w:color="auto"/>
              <w:bottom w:val="single" w:sz="4" w:space="0" w:color="auto"/>
              <w:right w:val="single" w:sz="4" w:space="0" w:color="auto"/>
            </w:tcBorders>
            <w:shd w:val="clear" w:color="000000" w:fill="BFBFBF"/>
            <w:noWrap/>
            <w:vAlign w:val="bottom"/>
          </w:tcPr>
          <w:p w14:paraId="765302D1" w14:textId="177C9CF9" w:rsidR="00FA09F5" w:rsidRPr="0036007C" w:rsidRDefault="00FA09F5" w:rsidP="00F76882">
            <w:pPr>
              <w:pStyle w:val="Tabletext"/>
            </w:pPr>
            <w:r w:rsidRPr="0036007C">
              <w:t>4</w:t>
            </w:r>
          </w:p>
        </w:tc>
        <w:tc>
          <w:tcPr>
            <w:tcW w:w="731" w:type="pct"/>
            <w:tcBorders>
              <w:top w:val="nil"/>
              <w:left w:val="nil"/>
              <w:bottom w:val="single" w:sz="4" w:space="0" w:color="auto"/>
              <w:right w:val="single" w:sz="4" w:space="0" w:color="auto"/>
            </w:tcBorders>
            <w:shd w:val="clear" w:color="000000" w:fill="BFBFBF"/>
            <w:noWrap/>
            <w:vAlign w:val="bottom"/>
          </w:tcPr>
          <w:p w14:paraId="69A009CE" w14:textId="229EB6D4" w:rsidR="00FA09F5" w:rsidRPr="0036007C" w:rsidRDefault="00FA09F5" w:rsidP="00F76882">
            <w:pPr>
              <w:pStyle w:val="Tabletext"/>
            </w:pPr>
            <w:r w:rsidRPr="0036007C">
              <w:t>27</w:t>
            </w:r>
          </w:p>
        </w:tc>
      </w:tr>
      <w:tr w:rsidR="00FA09F5" w:rsidRPr="0036007C" w14:paraId="2A696A80" w14:textId="77777777" w:rsidTr="00E9308B">
        <w:trPr>
          <w:trHeight w:val="580"/>
        </w:trPr>
        <w:tc>
          <w:tcPr>
            <w:tcW w:w="1333" w:type="pct"/>
            <w:tcBorders>
              <w:top w:val="nil"/>
              <w:left w:val="single" w:sz="4" w:space="0" w:color="auto"/>
              <w:bottom w:val="single" w:sz="4" w:space="0" w:color="auto"/>
              <w:right w:val="single" w:sz="4" w:space="0" w:color="auto"/>
            </w:tcBorders>
            <w:vAlign w:val="bottom"/>
            <w:hideMark/>
          </w:tcPr>
          <w:p w14:paraId="448A9D2C" w14:textId="262D1158" w:rsidR="00FA09F5" w:rsidRPr="0036007C" w:rsidRDefault="00FA09F5" w:rsidP="00F76882">
            <w:pPr>
              <w:pStyle w:val="Tabletextleft"/>
            </w:pPr>
            <w:r w:rsidRPr="0036007C">
              <w:t>Treated active trachoma and household</w:t>
            </w:r>
            <w:r w:rsidR="000A64E1" w:rsidRPr="0036007C">
              <w:t xml:space="preserve"> contact</w:t>
            </w:r>
            <w:r w:rsidRPr="0036007C">
              <w:t>s</w:t>
            </w:r>
          </w:p>
        </w:tc>
        <w:tc>
          <w:tcPr>
            <w:tcW w:w="734" w:type="pct"/>
            <w:tcBorders>
              <w:top w:val="nil"/>
              <w:left w:val="nil"/>
              <w:bottom w:val="single" w:sz="4" w:space="0" w:color="auto"/>
              <w:right w:val="single" w:sz="4" w:space="0" w:color="auto"/>
            </w:tcBorders>
            <w:noWrap/>
            <w:vAlign w:val="bottom"/>
          </w:tcPr>
          <w:p w14:paraId="14BC89F6" w14:textId="3DD8A999" w:rsidR="00FA09F5" w:rsidRPr="0036007C" w:rsidRDefault="00FA09F5" w:rsidP="00F76882">
            <w:pPr>
              <w:pStyle w:val="Tabletext"/>
            </w:pPr>
            <w:r w:rsidRPr="0036007C">
              <w:t>8</w:t>
            </w:r>
          </w:p>
        </w:tc>
        <w:tc>
          <w:tcPr>
            <w:tcW w:w="734" w:type="pct"/>
            <w:tcBorders>
              <w:top w:val="nil"/>
              <w:left w:val="nil"/>
              <w:bottom w:val="single" w:sz="4" w:space="0" w:color="auto"/>
              <w:right w:val="single" w:sz="4" w:space="0" w:color="auto"/>
            </w:tcBorders>
            <w:noWrap/>
            <w:vAlign w:val="bottom"/>
          </w:tcPr>
          <w:p w14:paraId="20056834" w14:textId="3BEF3078" w:rsidR="00FA09F5" w:rsidRPr="0036007C" w:rsidRDefault="00FA09F5" w:rsidP="00F76882">
            <w:pPr>
              <w:pStyle w:val="Tabletext"/>
            </w:pPr>
            <w:r w:rsidRPr="0036007C">
              <w:t>1</w:t>
            </w:r>
          </w:p>
        </w:tc>
        <w:tc>
          <w:tcPr>
            <w:tcW w:w="734" w:type="pct"/>
            <w:tcBorders>
              <w:top w:val="single" w:sz="4" w:space="0" w:color="auto"/>
              <w:left w:val="nil"/>
              <w:bottom w:val="single" w:sz="4" w:space="0" w:color="auto"/>
              <w:right w:val="single" w:sz="4" w:space="0" w:color="auto"/>
            </w:tcBorders>
            <w:vAlign w:val="bottom"/>
          </w:tcPr>
          <w:p w14:paraId="2E01DBFD" w14:textId="622335EC" w:rsidR="00FA09F5" w:rsidRPr="0036007C" w:rsidRDefault="00FA09F5" w:rsidP="00F76882">
            <w:pPr>
              <w:pStyle w:val="Tabletext"/>
            </w:pPr>
            <w:r w:rsidRPr="0036007C">
              <w:t>1</w:t>
            </w:r>
          </w:p>
        </w:tc>
        <w:tc>
          <w:tcPr>
            <w:tcW w:w="734" w:type="pct"/>
            <w:tcBorders>
              <w:top w:val="nil"/>
              <w:left w:val="single" w:sz="4" w:space="0" w:color="auto"/>
              <w:bottom w:val="single" w:sz="4" w:space="0" w:color="auto"/>
              <w:right w:val="single" w:sz="4" w:space="0" w:color="auto"/>
            </w:tcBorders>
            <w:noWrap/>
            <w:vAlign w:val="bottom"/>
          </w:tcPr>
          <w:p w14:paraId="0A7B5176" w14:textId="7BD87FC3" w:rsidR="00FA09F5" w:rsidRPr="0036007C" w:rsidRDefault="00FA09F5" w:rsidP="00F76882">
            <w:pPr>
              <w:pStyle w:val="Tabletext"/>
            </w:pPr>
            <w:r w:rsidRPr="0036007C">
              <w:t>2</w:t>
            </w:r>
          </w:p>
        </w:tc>
        <w:tc>
          <w:tcPr>
            <w:tcW w:w="731" w:type="pct"/>
            <w:tcBorders>
              <w:top w:val="nil"/>
              <w:left w:val="nil"/>
              <w:bottom w:val="single" w:sz="4" w:space="0" w:color="auto"/>
              <w:right w:val="single" w:sz="4" w:space="0" w:color="auto"/>
            </w:tcBorders>
            <w:noWrap/>
            <w:vAlign w:val="bottom"/>
          </w:tcPr>
          <w:p w14:paraId="37F0C2AE" w14:textId="3BAA64A9" w:rsidR="00FA09F5" w:rsidRPr="0036007C" w:rsidRDefault="00FA09F5" w:rsidP="00F76882">
            <w:pPr>
              <w:pStyle w:val="Tabletext"/>
            </w:pPr>
            <w:r w:rsidRPr="0036007C">
              <w:t>12</w:t>
            </w:r>
          </w:p>
        </w:tc>
      </w:tr>
      <w:tr w:rsidR="00FA09F5" w:rsidRPr="0036007C" w14:paraId="77542F9E" w14:textId="77777777" w:rsidTr="00E9308B">
        <w:trPr>
          <w:trHeight w:val="290"/>
        </w:trPr>
        <w:tc>
          <w:tcPr>
            <w:tcW w:w="1333" w:type="pct"/>
            <w:tcBorders>
              <w:top w:val="nil"/>
              <w:left w:val="single" w:sz="4" w:space="0" w:color="auto"/>
              <w:bottom w:val="single" w:sz="4" w:space="0" w:color="auto"/>
              <w:right w:val="single" w:sz="4" w:space="0" w:color="auto"/>
            </w:tcBorders>
            <w:shd w:val="clear" w:color="000000" w:fill="BFBFBF"/>
            <w:vAlign w:val="bottom"/>
            <w:hideMark/>
          </w:tcPr>
          <w:p w14:paraId="29276972" w14:textId="1F3066A7" w:rsidR="00FA09F5" w:rsidRPr="0036007C" w:rsidRDefault="00FA09F5" w:rsidP="00F76882">
            <w:pPr>
              <w:pStyle w:val="Tabletextleft"/>
            </w:pPr>
            <w:r w:rsidRPr="0036007C">
              <w:t>Community-wide treatment</w:t>
            </w:r>
          </w:p>
        </w:tc>
        <w:tc>
          <w:tcPr>
            <w:tcW w:w="734" w:type="pct"/>
            <w:tcBorders>
              <w:top w:val="nil"/>
              <w:left w:val="nil"/>
              <w:bottom w:val="single" w:sz="4" w:space="0" w:color="auto"/>
              <w:right w:val="single" w:sz="4" w:space="0" w:color="auto"/>
            </w:tcBorders>
            <w:shd w:val="clear" w:color="000000" w:fill="BFBFBF"/>
            <w:noWrap/>
            <w:vAlign w:val="bottom"/>
          </w:tcPr>
          <w:p w14:paraId="6805160D" w14:textId="12E474F3" w:rsidR="00FA09F5" w:rsidRPr="0036007C" w:rsidRDefault="00FA09F5" w:rsidP="00F76882">
            <w:pPr>
              <w:pStyle w:val="Tabletext"/>
            </w:pPr>
            <w:r w:rsidRPr="0036007C">
              <w:t>3</w:t>
            </w:r>
          </w:p>
        </w:tc>
        <w:tc>
          <w:tcPr>
            <w:tcW w:w="734" w:type="pct"/>
            <w:tcBorders>
              <w:top w:val="nil"/>
              <w:left w:val="nil"/>
              <w:bottom w:val="single" w:sz="4" w:space="0" w:color="auto"/>
              <w:right w:val="single" w:sz="4" w:space="0" w:color="auto"/>
            </w:tcBorders>
            <w:shd w:val="clear" w:color="000000" w:fill="BFBFBF"/>
            <w:noWrap/>
            <w:vAlign w:val="bottom"/>
          </w:tcPr>
          <w:p w14:paraId="262BD02F" w14:textId="616741AD" w:rsidR="00FA09F5" w:rsidRPr="0036007C" w:rsidRDefault="00FA09F5" w:rsidP="00F76882">
            <w:pPr>
              <w:pStyle w:val="Tabletext"/>
            </w:pPr>
            <w:r w:rsidRPr="0036007C">
              <w:t>0</w:t>
            </w:r>
          </w:p>
        </w:tc>
        <w:tc>
          <w:tcPr>
            <w:tcW w:w="734" w:type="pct"/>
            <w:tcBorders>
              <w:top w:val="single" w:sz="4" w:space="0" w:color="auto"/>
              <w:left w:val="nil"/>
              <w:bottom w:val="single" w:sz="4" w:space="0" w:color="auto"/>
              <w:right w:val="single" w:sz="4" w:space="0" w:color="auto"/>
            </w:tcBorders>
            <w:shd w:val="clear" w:color="000000" w:fill="BFBFBF"/>
            <w:vAlign w:val="bottom"/>
          </w:tcPr>
          <w:p w14:paraId="6EAACF9D" w14:textId="514F7AEA" w:rsidR="00FA09F5" w:rsidRPr="0036007C" w:rsidRDefault="00FA09F5" w:rsidP="00F76882">
            <w:pPr>
              <w:pStyle w:val="Tabletext"/>
            </w:pPr>
            <w:r w:rsidRPr="0036007C">
              <w:t>0</w:t>
            </w:r>
          </w:p>
        </w:tc>
        <w:tc>
          <w:tcPr>
            <w:tcW w:w="734" w:type="pct"/>
            <w:tcBorders>
              <w:top w:val="nil"/>
              <w:left w:val="single" w:sz="4" w:space="0" w:color="auto"/>
              <w:bottom w:val="single" w:sz="4" w:space="0" w:color="auto"/>
              <w:right w:val="single" w:sz="4" w:space="0" w:color="auto"/>
            </w:tcBorders>
            <w:shd w:val="clear" w:color="000000" w:fill="BFBFBF"/>
            <w:noWrap/>
            <w:vAlign w:val="bottom"/>
          </w:tcPr>
          <w:p w14:paraId="79DE5E48" w14:textId="712B4084" w:rsidR="00FA09F5" w:rsidRPr="0036007C" w:rsidRDefault="00FA09F5" w:rsidP="00F76882">
            <w:pPr>
              <w:pStyle w:val="Tabletext"/>
            </w:pPr>
            <w:r w:rsidRPr="0036007C">
              <w:t>3</w:t>
            </w:r>
          </w:p>
        </w:tc>
        <w:tc>
          <w:tcPr>
            <w:tcW w:w="731" w:type="pct"/>
            <w:tcBorders>
              <w:top w:val="nil"/>
              <w:left w:val="nil"/>
              <w:bottom w:val="single" w:sz="4" w:space="0" w:color="auto"/>
              <w:right w:val="single" w:sz="4" w:space="0" w:color="auto"/>
            </w:tcBorders>
            <w:shd w:val="clear" w:color="000000" w:fill="BFBFBF"/>
            <w:noWrap/>
            <w:vAlign w:val="bottom"/>
          </w:tcPr>
          <w:p w14:paraId="62D3EDBC" w14:textId="2356FC2B" w:rsidR="00FA09F5" w:rsidRPr="0036007C" w:rsidRDefault="00FA09F5" w:rsidP="00F76882">
            <w:pPr>
              <w:pStyle w:val="Tabletext"/>
            </w:pPr>
            <w:r w:rsidRPr="0036007C">
              <w:t>6</w:t>
            </w:r>
          </w:p>
        </w:tc>
      </w:tr>
      <w:tr w:rsidR="00FA09F5" w:rsidRPr="0036007C" w14:paraId="13E8A396" w14:textId="77777777" w:rsidTr="00E9308B">
        <w:trPr>
          <w:trHeight w:val="580"/>
        </w:trPr>
        <w:tc>
          <w:tcPr>
            <w:tcW w:w="1333" w:type="pct"/>
            <w:tcBorders>
              <w:top w:val="nil"/>
              <w:left w:val="single" w:sz="4" w:space="0" w:color="auto"/>
              <w:bottom w:val="single" w:sz="4" w:space="0" w:color="auto"/>
              <w:right w:val="single" w:sz="4" w:space="0" w:color="auto"/>
            </w:tcBorders>
            <w:vAlign w:val="bottom"/>
            <w:hideMark/>
          </w:tcPr>
          <w:p w14:paraId="73B3B6EF" w14:textId="77777777" w:rsidR="00FA09F5" w:rsidRPr="0036007C" w:rsidRDefault="00FA09F5" w:rsidP="00F76882">
            <w:pPr>
              <w:pStyle w:val="Tabletextleft"/>
            </w:pPr>
            <w:r w:rsidRPr="0036007C">
              <w:t>Not treated according to CDNA Guidelines</w:t>
            </w:r>
          </w:p>
        </w:tc>
        <w:tc>
          <w:tcPr>
            <w:tcW w:w="734" w:type="pct"/>
            <w:tcBorders>
              <w:top w:val="nil"/>
              <w:left w:val="nil"/>
              <w:bottom w:val="single" w:sz="4" w:space="0" w:color="auto"/>
              <w:right w:val="single" w:sz="4" w:space="0" w:color="auto"/>
            </w:tcBorders>
            <w:noWrap/>
            <w:vAlign w:val="bottom"/>
          </w:tcPr>
          <w:p w14:paraId="507DD673" w14:textId="5B14CCF8" w:rsidR="00FA09F5" w:rsidRPr="0036007C" w:rsidRDefault="00FA09F5" w:rsidP="00F76882">
            <w:pPr>
              <w:pStyle w:val="Tabletext"/>
            </w:pPr>
            <w:r w:rsidRPr="0036007C">
              <w:t>0</w:t>
            </w:r>
          </w:p>
        </w:tc>
        <w:tc>
          <w:tcPr>
            <w:tcW w:w="734" w:type="pct"/>
            <w:tcBorders>
              <w:top w:val="nil"/>
              <w:left w:val="nil"/>
              <w:bottom w:val="single" w:sz="4" w:space="0" w:color="auto"/>
              <w:right w:val="single" w:sz="4" w:space="0" w:color="auto"/>
            </w:tcBorders>
            <w:noWrap/>
            <w:vAlign w:val="bottom"/>
          </w:tcPr>
          <w:p w14:paraId="0698DBB6" w14:textId="48082DA5" w:rsidR="00FA09F5" w:rsidRPr="0036007C" w:rsidRDefault="00FA09F5" w:rsidP="00F76882">
            <w:pPr>
              <w:pStyle w:val="Tabletext"/>
            </w:pPr>
            <w:r w:rsidRPr="0036007C">
              <w:t>0</w:t>
            </w:r>
          </w:p>
        </w:tc>
        <w:tc>
          <w:tcPr>
            <w:tcW w:w="734" w:type="pct"/>
            <w:tcBorders>
              <w:top w:val="single" w:sz="4" w:space="0" w:color="auto"/>
              <w:left w:val="nil"/>
              <w:bottom w:val="single" w:sz="4" w:space="0" w:color="auto"/>
              <w:right w:val="single" w:sz="4" w:space="0" w:color="auto"/>
            </w:tcBorders>
            <w:vAlign w:val="bottom"/>
          </w:tcPr>
          <w:p w14:paraId="5DCB34BC" w14:textId="7CCBEDD3" w:rsidR="00FA09F5" w:rsidRPr="0036007C" w:rsidRDefault="00FA09F5" w:rsidP="00F76882">
            <w:pPr>
              <w:pStyle w:val="Tabletext"/>
            </w:pPr>
            <w:r w:rsidRPr="0036007C">
              <w:t>0</w:t>
            </w:r>
          </w:p>
        </w:tc>
        <w:tc>
          <w:tcPr>
            <w:tcW w:w="734" w:type="pct"/>
            <w:tcBorders>
              <w:top w:val="nil"/>
              <w:left w:val="single" w:sz="4" w:space="0" w:color="auto"/>
              <w:bottom w:val="single" w:sz="4" w:space="0" w:color="auto"/>
              <w:right w:val="single" w:sz="4" w:space="0" w:color="auto"/>
            </w:tcBorders>
            <w:noWrap/>
            <w:vAlign w:val="bottom"/>
          </w:tcPr>
          <w:p w14:paraId="3131981B" w14:textId="366FC485" w:rsidR="00FA09F5" w:rsidRPr="0036007C" w:rsidRDefault="00FA09F5" w:rsidP="00F76882">
            <w:pPr>
              <w:pStyle w:val="Tabletext"/>
            </w:pPr>
            <w:r w:rsidRPr="0036007C">
              <w:t>0</w:t>
            </w:r>
          </w:p>
        </w:tc>
        <w:tc>
          <w:tcPr>
            <w:tcW w:w="731" w:type="pct"/>
            <w:tcBorders>
              <w:top w:val="nil"/>
              <w:left w:val="nil"/>
              <w:bottom w:val="single" w:sz="4" w:space="0" w:color="auto"/>
              <w:right w:val="single" w:sz="4" w:space="0" w:color="auto"/>
            </w:tcBorders>
            <w:noWrap/>
            <w:vAlign w:val="bottom"/>
          </w:tcPr>
          <w:p w14:paraId="56A5061E" w14:textId="78D2E85F" w:rsidR="00FA09F5" w:rsidRPr="0036007C" w:rsidRDefault="00FA09F5" w:rsidP="00F76882">
            <w:pPr>
              <w:pStyle w:val="Tabletext"/>
            </w:pPr>
            <w:r w:rsidRPr="0036007C">
              <w:t>0</w:t>
            </w:r>
          </w:p>
        </w:tc>
      </w:tr>
    </w:tbl>
    <w:p w14:paraId="009AAAFD" w14:textId="41E7585F" w:rsidR="00D130A7" w:rsidRPr="0036007C" w:rsidRDefault="00D130A7" w:rsidP="00F76882">
      <w:pPr>
        <w:pStyle w:val="tablefigfootnote"/>
        <w:rPr>
          <w:lang w:eastAsia="en-US"/>
        </w:rPr>
        <w:sectPr w:rsidR="00D130A7" w:rsidRPr="0036007C" w:rsidSect="00C04CBB">
          <w:pgSz w:w="11906" w:h="16838"/>
          <w:pgMar w:top="720" w:right="720" w:bottom="720" w:left="720" w:header="709" w:footer="709" w:gutter="0"/>
          <w:cols w:space="708"/>
          <w:docGrid w:linePitch="360"/>
        </w:sectPr>
      </w:pPr>
    </w:p>
    <w:p w14:paraId="60AB4F55" w14:textId="23A7A91D" w:rsidR="005133F1" w:rsidRPr="006043C2" w:rsidRDefault="006F32BC" w:rsidP="00F76882">
      <w:pPr>
        <w:pStyle w:val="Tableheadings"/>
      </w:pPr>
      <w:bookmarkStart w:id="265" w:name="_Table_2.5_Trachoma"/>
      <w:bookmarkStart w:id="266" w:name="_Ref58336319"/>
      <w:bookmarkStart w:id="267" w:name="_Toc215224706"/>
      <w:bookmarkEnd w:id="265"/>
      <w:r w:rsidRPr="006043C2">
        <w:t xml:space="preserve">Table </w:t>
      </w:r>
      <w:r w:rsidR="005C73F0" w:rsidRPr="006043C2">
        <w:t>2</w:t>
      </w:r>
      <w:r w:rsidRPr="006043C2">
        <w:t>.</w:t>
      </w:r>
      <w:r w:rsidRPr="006043C2">
        <w:fldChar w:fldCharType="begin"/>
      </w:r>
      <w:r w:rsidRPr="006043C2">
        <w:instrText>SEQ Table \* ARABIC \s 1</w:instrText>
      </w:r>
      <w:r w:rsidRPr="006043C2">
        <w:fldChar w:fldCharType="separate"/>
      </w:r>
      <w:r w:rsidRPr="006043C2">
        <w:t>5</w:t>
      </w:r>
      <w:r w:rsidRPr="006043C2">
        <w:fldChar w:fldCharType="end"/>
      </w:r>
      <w:bookmarkEnd w:id="266"/>
      <w:r w:rsidRPr="006043C2">
        <w:tab/>
      </w:r>
      <w:r w:rsidR="000E4415" w:rsidRPr="006043C2">
        <w:t xml:space="preserve">Antibiotic distribution and coverage by age and </w:t>
      </w:r>
      <w:r w:rsidR="00616BE0" w:rsidRPr="006043C2">
        <w:t>region,</w:t>
      </w:r>
      <w:r w:rsidRPr="006043C2">
        <w:t xml:space="preserve"> Northern Territory</w:t>
      </w:r>
      <w:r w:rsidR="00273D38" w:rsidRPr="006043C2">
        <w:t>,</w:t>
      </w:r>
      <w:r w:rsidRPr="006043C2">
        <w:t xml:space="preserve"> </w:t>
      </w:r>
      <w:r w:rsidR="00E76BB4" w:rsidRPr="006043C2">
        <w:t>202</w:t>
      </w:r>
      <w:r w:rsidR="000E7881" w:rsidRPr="006043C2">
        <w:t>4</w:t>
      </w:r>
      <w:bookmarkEnd w:id="267"/>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Antibiotic distribution and coverage by age and region, Northern Territory, 2024 "/>
        <w:tblDescription w:val="Table 2.5 compares the numbers and proportions of persons who required and received treatment by the age groups: 0-4, 5–9, 10-14, 15+, and all years. Data is presented for Alice Springs Remote, Barkly, Darwin Rural, Katherine, and the cumulative total.&#10;"/>
      </w:tblPr>
      <w:tblGrid>
        <w:gridCol w:w="2123"/>
        <w:gridCol w:w="523"/>
        <w:gridCol w:w="523"/>
        <w:gridCol w:w="523"/>
        <w:gridCol w:w="523"/>
        <w:gridCol w:w="517"/>
        <w:gridCol w:w="6"/>
        <w:gridCol w:w="523"/>
        <w:gridCol w:w="523"/>
        <w:gridCol w:w="523"/>
        <w:gridCol w:w="523"/>
        <w:gridCol w:w="511"/>
        <w:gridCol w:w="12"/>
        <w:gridCol w:w="523"/>
        <w:gridCol w:w="523"/>
        <w:gridCol w:w="523"/>
        <w:gridCol w:w="523"/>
        <w:gridCol w:w="505"/>
        <w:gridCol w:w="18"/>
        <w:gridCol w:w="523"/>
        <w:gridCol w:w="523"/>
        <w:gridCol w:w="523"/>
        <w:gridCol w:w="523"/>
        <w:gridCol w:w="499"/>
        <w:gridCol w:w="24"/>
        <w:gridCol w:w="523"/>
        <w:gridCol w:w="523"/>
        <w:gridCol w:w="523"/>
        <w:gridCol w:w="523"/>
        <w:gridCol w:w="492"/>
        <w:gridCol w:w="33"/>
      </w:tblGrid>
      <w:tr w:rsidR="00607156" w:rsidRPr="0036007C" w14:paraId="74490254" w14:textId="77777777" w:rsidTr="006043C2">
        <w:trPr>
          <w:gridAfter w:val="1"/>
          <w:wAfter w:w="11" w:type="pct"/>
          <w:trHeight w:val="454"/>
          <w:tblHeader/>
        </w:trPr>
        <w:tc>
          <w:tcPr>
            <w:tcW w:w="698" w:type="pct"/>
            <w:shd w:val="clear" w:color="auto" w:fill="BFBFBF" w:themeFill="background1" w:themeFillShade="BF"/>
          </w:tcPr>
          <w:p w14:paraId="3F4E1CA8" w14:textId="77777777" w:rsidR="00607156" w:rsidRPr="0036007C" w:rsidRDefault="00607156" w:rsidP="00F76882">
            <w:pPr>
              <w:pStyle w:val="Tableheading"/>
            </w:pPr>
          </w:p>
        </w:tc>
        <w:tc>
          <w:tcPr>
            <w:tcW w:w="858" w:type="pct"/>
            <w:gridSpan w:val="5"/>
            <w:shd w:val="clear" w:color="auto" w:fill="BFBFBF" w:themeFill="background1" w:themeFillShade="BF"/>
            <w:noWrap/>
          </w:tcPr>
          <w:p w14:paraId="443CE97A" w14:textId="38750FC1" w:rsidR="00607156" w:rsidRPr="003D3BBA" w:rsidRDefault="00607156" w:rsidP="00F76882">
            <w:pPr>
              <w:pStyle w:val="Tableheading"/>
            </w:pPr>
            <w:r w:rsidRPr="003D3BBA">
              <w:t>Alice Springs Remote</w:t>
            </w:r>
          </w:p>
        </w:tc>
        <w:tc>
          <w:tcPr>
            <w:tcW w:w="858" w:type="pct"/>
            <w:gridSpan w:val="6"/>
            <w:shd w:val="clear" w:color="auto" w:fill="BFBFBF" w:themeFill="background1" w:themeFillShade="BF"/>
            <w:noWrap/>
          </w:tcPr>
          <w:p w14:paraId="7C2CCB5C" w14:textId="28576F57" w:rsidR="00607156" w:rsidRPr="003D3BBA" w:rsidRDefault="00607156" w:rsidP="00F76882">
            <w:pPr>
              <w:pStyle w:val="Tableheading"/>
            </w:pPr>
            <w:r w:rsidRPr="003D3BBA">
              <w:t>Barkly</w:t>
            </w:r>
          </w:p>
        </w:tc>
        <w:tc>
          <w:tcPr>
            <w:tcW w:w="858" w:type="pct"/>
            <w:gridSpan w:val="6"/>
            <w:shd w:val="clear" w:color="auto" w:fill="BFBFBF" w:themeFill="background1" w:themeFillShade="BF"/>
          </w:tcPr>
          <w:p w14:paraId="4854C9D9" w14:textId="07FE3F63" w:rsidR="00607156" w:rsidRPr="003D3BBA" w:rsidRDefault="00607156" w:rsidP="00F76882">
            <w:pPr>
              <w:pStyle w:val="Tableheading"/>
            </w:pPr>
            <w:r w:rsidRPr="003D3BBA">
              <w:t>Darwin Rural</w:t>
            </w:r>
          </w:p>
        </w:tc>
        <w:tc>
          <w:tcPr>
            <w:tcW w:w="858" w:type="pct"/>
            <w:gridSpan w:val="6"/>
            <w:shd w:val="clear" w:color="auto" w:fill="BFBFBF" w:themeFill="background1" w:themeFillShade="BF"/>
            <w:noWrap/>
          </w:tcPr>
          <w:p w14:paraId="598B7426" w14:textId="3CCF2ABF" w:rsidR="00607156" w:rsidRPr="003D3BBA" w:rsidRDefault="00607156" w:rsidP="00F76882">
            <w:pPr>
              <w:pStyle w:val="Tableheading"/>
            </w:pPr>
            <w:r w:rsidRPr="003D3BBA">
              <w:t>Katherine</w:t>
            </w:r>
          </w:p>
        </w:tc>
        <w:tc>
          <w:tcPr>
            <w:tcW w:w="858" w:type="pct"/>
            <w:gridSpan w:val="6"/>
            <w:shd w:val="clear" w:color="auto" w:fill="BFBFBF" w:themeFill="background1" w:themeFillShade="BF"/>
            <w:noWrap/>
          </w:tcPr>
          <w:p w14:paraId="407C1BF3" w14:textId="67B4E716" w:rsidR="00607156" w:rsidRPr="003D3BBA" w:rsidRDefault="00607156" w:rsidP="00F76882">
            <w:pPr>
              <w:pStyle w:val="Tableheading"/>
            </w:pPr>
            <w:r w:rsidRPr="003D3BBA">
              <w:t>Total</w:t>
            </w:r>
          </w:p>
        </w:tc>
      </w:tr>
      <w:tr w:rsidR="00B1031A" w:rsidRPr="0036007C" w14:paraId="74778B00" w14:textId="77777777" w:rsidTr="00C44879">
        <w:trPr>
          <w:trHeight w:val="257"/>
        </w:trPr>
        <w:tc>
          <w:tcPr>
            <w:tcW w:w="698" w:type="pct"/>
            <w:hideMark/>
          </w:tcPr>
          <w:p w14:paraId="10DC75BC" w14:textId="77777777" w:rsidR="00770148" w:rsidRPr="003D3BBA" w:rsidRDefault="00770148" w:rsidP="00F76882">
            <w:pPr>
              <w:pStyle w:val="Tabletextleft"/>
            </w:pPr>
            <w:r w:rsidRPr="003D3BBA">
              <w:t>Age group (years)</w:t>
            </w:r>
          </w:p>
        </w:tc>
        <w:tc>
          <w:tcPr>
            <w:tcW w:w="172" w:type="pct"/>
            <w:noWrap/>
            <w:hideMark/>
          </w:tcPr>
          <w:p w14:paraId="749D5947" w14:textId="079D11AF" w:rsidR="00770148" w:rsidRPr="003D3BBA" w:rsidRDefault="00770148" w:rsidP="00F76882">
            <w:pPr>
              <w:pStyle w:val="Tabletext"/>
            </w:pPr>
            <w:r w:rsidRPr="003D3BBA">
              <w:t>0–4</w:t>
            </w:r>
          </w:p>
        </w:tc>
        <w:tc>
          <w:tcPr>
            <w:tcW w:w="172" w:type="pct"/>
            <w:noWrap/>
            <w:hideMark/>
          </w:tcPr>
          <w:p w14:paraId="5376EA89" w14:textId="5E4E95BF" w:rsidR="00770148" w:rsidRPr="003D3BBA" w:rsidRDefault="00770148" w:rsidP="00F76882">
            <w:pPr>
              <w:pStyle w:val="Tabletext"/>
            </w:pPr>
            <w:r w:rsidRPr="003D3BBA">
              <w:t>5–9</w:t>
            </w:r>
          </w:p>
        </w:tc>
        <w:tc>
          <w:tcPr>
            <w:tcW w:w="172" w:type="pct"/>
            <w:noWrap/>
            <w:hideMark/>
          </w:tcPr>
          <w:p w14:paraId="1410596C" w14:textId="5E6876DE" w:rsidR="00770148" w:rsidRPr="003D3BBA" w:rsidRDefault="00770148" w:rsidP="00F76882">
            <w:pPr>
              <w:pStyle w:val="Tabletext"/>
            </w:pPr>
            <w:r w:rsidRPr="003D3BBA">
              <w:t>10–14</w:t>
            </w:r>
          </w:p>
        </w:tc>
        <w:tc>
          <w:tcPr>
            <w:tcW w:w="172" w:type="pct"/>
            <w:noWrap/>
            <w:hideMark/>
          </w:tcPr>
          <w:p w14:paraId="52433AEE" w14:textId="77777777" w:rsidR="00770148" w:rsidRPr="003D3BBA" w:rsidRDefault="00770148" w:rsidP="00F76882">
            <w:pPr>
              <w:pStyle w:val="Tabletext"/>
            </w:pPr>
            <w:r w:rsidRPr="003D3BBA">
              <w:t>15+</w:t>
            </w:r>
          </w:p>
        </w:tc>
        <w:tc>
          <w:tcPr>
            <w:tcW w:w="172" w:type="pct"/>
            <w:gridSpan w:val="2"/>
            <w:noWrap/>
            <w:hideMark/>
          </w:tcPr>
          <w:p w14:paraId="7838AD3A" w14:textId="77777777" w:rsidR="00770148" w:rsidRPr="003D3BBA" w:rsidRDefault="00770148" w:rsidP="00F76882">
            <w:pPr>
              <w:pStyle w:val="Tabletext"/>
            </w:pPr>
            <w:r w:rsidRPr="003D3BBA">
              <w:t>All</w:t>
            </w:r>
          </w:p>
        </w:tc>
        <w:tc>
          <w:tcPr>
            <w:tcW w:w="172" w:type="pct"/>
            <w:noWrap/>
            <w:hideMark/>
          </w:tcPr>
          <w:p w14:paraId="315A7212" w14:textId="1D76ED93" w:rsidR="00770148" w:rsidRPr="003D3BBA" w:rsidRDefault="00770148" w:rsidP="00F76882">
            <w:pPr>
              <w:pStyle w:val="Tabletext"/>
            </w:pPr>
            <w:r w:rsidRPr="003D3BBA">
              <w:t>0–4</w:t>
            </w:r>
          </w:p>
        </w:tc>
        <w:tc>
          <w:tcPr>
            <w:tcW w:w="172" w:type="pct"/>
            <w:noWrap/>
            <w:hideMark/>
          </w:tcPr>
          <w:p w14:paraId="75D6FADF" w14:textId="6336B416" w:rsidR="00770148" w:rsidRPr="003D3BBA" w:rsidRDefault="00770148" w:rsidP="00F76882">
            <w:pPr>
              <w:pStyle w:val="Tabletext"/>
            </w:pPr>
            <w:r w:rsidRPr="003D3BBA">
              <w:t>5–9</w:t>
            </w:r>
          </w:p>
        </w:tc>
        <w:tc>
          <w:tcPr>
            <w:tcW w:w="172" w:type="pct"/>
            <w:noWrap/>
            <w:hideMark/>
          </w:tcPr>
          <w:p w14:paraId="53633126" w14:textId="6D0BA345" w:rsidR="00770148" w:rsidRPr="003D3BBA" w:rsidRDefault="00770148" w:rsidP="00F76882">
            <w:pPr>
              <w:pStyle w:val="Tabletext"/>
            </w:pPr>
            <w:r w:rsidRPr="003D3BBA">
              <w:t>10–14</w:t>
            </w:r>
          </w:p>
        </w:tc>
        <w:tc>
          <w:tcPr>
            <w:tcW w:w="172" w:type="pct"/>
            <w:noWrap/>
            <w:hideMark/>
          </w:tcPr>
          <w:p w14:paraId="1F616DA0" w14:textId="77777777" w:rsidR="00770148" w:rsidRPr="003D3BBA" w:rsidRDefault="00770148" w:rsidP="00F76882">
            <w:pPr>
              <w:pStyle w:val="Tabletext"/>
            </w:pPr>
            <w:r w:rsidRPr="003D3BBA">
              <w:t>15+</w:t>
            </w:r>
          </w:p>
        </w:tc>
        <w:tc>
          <w:tcPr>
            <w:tcW w:w="172" w:type="pct"/>
            <w:gridSpan w:val="2"/>
            <w:noWrap/>
            <w:hideMark/>
          </w:tcPr>
          <w:p w14:paraId="77B75F66" w14:textId="77777777" w:rsidR="00770148" w:rsidRPr="003D3BBA" w:rsidRDefault="00770148" w:rsidP="00F76882">
            <w:pPr>
              <w:pStyle w:val="Tabletext"/>
            </w:pPr>
            <w:r w:rsidRPr="003D3BBA">
              <w:t>All</w:t>
            </w:r>
          </w:p>
        </w:tc>
        <w:tc>
          <w:tcPr>
            <w:tcW w:w="172" w:type="pct"/>
          </w:tcPr>
          <w:p w14:paraId="12E756A4" w14:textId="39E62DB7" w:rsidR="00770148" w:rsidRPr="003D3BBA" w:rsidRDefault="00770148" w:rsidP="00F76882">
            <w:pPr>
              <w:pStyle w:val="Tabletext"/>
            </w:pPr>
            <w:r w:rsidRPr="003D3BBA">
              <w:t>0–4</w:t>
            </w:r>
          </w:p>
        </w:tc>
        <w:tc>
          <w:tcPr>
            <w:tcW w:w="172" w:type="pct"/>
          </w:tcPr>
          <w:p w14:paraId="4FF38846" w14:textId="4E74A517" w:rsidR="00770148" w:rsidRPr="003D3BBA" w:rsidRDefault="00770148" w:rsidP="00F76882">
            <w:pPr>
              <w:pStyle w:val="Tabletext"/>
            </w:pPr>
            <w:r w:rsidRPr="003D3BBA">
              <w:t>5–9</w:t>
            </w:r>
          </w:p>
        </w:tc>
        <w:tc>
          <w:tcPr>
            <w:tcW w:w="172" w:type="pct"/>
          </w:tcPr>
          <w:p w14:paraId="4CBFD632" w14:textId="6BEE3480" w:rsidR="00770148" w:rsidRPr="003D3BBA" w:rsidRDefault="00770148" w:rsidP="00F76882">
            <w:pPr>
              <w:pStyle w:val="Tabletext"/>
            </w:pPr>
            <w:r w:rsidRPr="003D3BBA">
              <w:t>10–14</w:t>
            </w:r>
          </w:p>
        </w:tc>
        <w:tc>
          <w:tcPr>
            <w:tcW w:w="172" w:type="pct"/>
          </w:tcPr>
          <w:p w14:paraId="76892429" w14:textId="2C6107D7" w:rsidR="00770148" w:rsidRPr="003D3BBA" w:rsidRDefault="00770148" w:rsidP="00F76882">
            <w:pPr>
              <w:pStyle w:val="Tabletext"/>
            </w:pPr>
            <w:r w:rsidRPr="003D3BBA">
              <w:t>15+</w:t>
            </w:r>
          </w:p>
        </w:tc>
        <w:tc>
          <w:tcPr>
            <w:tcW w:w="172" w:type="pct"/>
            <w:gridSpan w:val="2"/>
          </w:tcPr>
          <w:p w14:paraId="23D205E9" w14:textId="217687F7" w:rsidR="00770148" w:rsidRPr="003D3BBA" w:rsidRDefault="00770148" w:rsidP="00F76882">
            <w:pPr>
              <w:pStyle w:val="Tabletext"/>
            </w:pPr>
            <w:r w:rsidRPr="003D3BBA">
              <w:t>All</w:t>
            </w:r>
          </w:p>
        </w:tc>
        <w:tc>
          <w:tcPr>
            <w:tcW w:w="172" w:type="pct"/>
            <w:noWrap/>
            <w:hideMark/>
          </w:tcPr>
          <w:p w14:paraId="50D3C8CF" w14:textId="7E0513B5" w:rsidR="00770148" w:rsidRPr="003D3BBA" w:rsidRDefault="00770148" w:rsidP="00F76882">
            <w:pPr>
              <w:pStyle w:val="Tabletext"/>
            </w:pPr>
            <w:r w:rsidRPr="003D3BBA">
              <w:t>0–4</w:t>
            </w:r>
          </w:p>
        </w:tc>
        <w:tc>
          <w:tcPr>
            <w:tcW w:w="172" w:type="pct"/>
            <w:noWrap/>
            <w:hideMark/>
          </w:tcPr>
          <w:p w14:paraId="67CB97AC" w14:textId="76D078B0" w:rsidR="00770148" w:rsidRPr="003D3BBA" w:rsidRDefault="00770148" w:rsidP="00F76882">
            <w:pPr>
              <w:pStyle w:val="Tabletext"/>
            </w:pPr>
            <w:r w:rsidRPr="003D3BBA">
              <w:t>5–9</w:t>
            </w:r>
          </w:p>
        </w:tc>
        <w:tc>
          <w:tcPr>
            <w:tcW w:w="172" w:type="pct"/>
            <w:noWrap/>
            <w:hideMark/>
          </w:tcPr>
          <w:p w14:paraId="08867F99" w14:textId="0937223A" w:rsidR="00770148" w:rsidRPr="003D3BBA" w:rsidRDefault="00770148" w:rsidP="00F76882">
            <w:pPr>
              <w:pStyle w:val="Tabletext"/>
            </w:pPr>
            <w:r w:rsidRPr="003D3BBA">
              <w:t>10–14</w:t>
            </w:r>
          </w:p>
        </w:tc>
        <w:tc>
          <w:tcPr>
            <w:tcW w:w="172" w:type="pct"/>
            <w:noWrap/>
            <w:hideMark/>
          </w:tcPr>
          <w:p w14:paraId="2AD9C974" w14:textId="77777777" w:rsidR="00770148" w:rsidRPr="003D3BBA" w:rsidRDefault="00770148" w:rsidP="00F76882">
            <w:pPr>
              <w:pStyle w:val="Tabletext"/>
            </w:pPr>
            <w:r w:rsidRPr="003D3BBA">
              <w:t>15+</w:t>
            </w:r>
          </w:p>
        </w:tc>
        <w:tc>
          <w:tcPr>
            <w:tcW w:w="172" w:type="pct"/>
            <w:gridSpan w:val="2"/>
            <w:noWrap/>
            <w:hideMark/>
          </w:tcPr>
          <w:p w14:paraId="00123BD0" w14:textId="77777777" w:rsidR="00770148" w:rsidRPr="003D3BBA" w:rsidRDefault="00770148" w:rsidP="00F76882">
            <w:pPr>
              <w:pStyle w:val="Tabletext"/>
            </w:pPr>
            <w:r w:rsidRPr="003D3BBA">
              <w:t>All</w:t>
            </w:r>
          </w:p>
        </w:tc>
        <w:tc>
          <w:tcPr>
            <w:tcW w:w="172" w:type="pct"/>
            <w:noWrap/>
            <w:hideMark/>
          </w:tcPr>
          <w:p w14:paraId="568D57C7" w14:textId="6EC39FC7" w:rsidR="00770148" w:rsidRPr="003D3BBA" w:rsidRDefault="00770148" w:rsidP="00F76882">
            <w:pPr>
              <w:pStyle w:val="Tabletext"/>
            </w:pPr>
            <w:r w:rsidRPr="003D3BBA">
              <w:t>0–4</w:t>
            </w:r>
          </w:p>
        </w:tc>
        <w:tc>
          <w:tcPr>
            <w:tcW w:w="172" w:type="pct"/>
            <w:noWrap/>
            <w:hideMark/>
          </w:tcPr>
          <w:p w14:paraId="076D567F" w14:textId="5673C1E2" w:rsidR="00770148" w:rsidRPr="003D3BBA" w:rsidRDefault="00770148" w:rsidP="00F76882">
            <w:pPr>
              <w:pStyle w:val="Tabletext"/>
            </w:pPr>
            <w:r w:rsidRPr="003D3BBA">
              <w:t>5–9</w:t>
            </w:r>
          </w:p>
        </w:tc>
        <w:tc>
          <w:tcPr>
            <w:tcW w:w="172" w:type="pct"/>
            <w:noWrap/>
            <w:hideMark/>
          </w:tcPr>
          <w:p w14:paraId="089C0827" w14:textId="43A3E5D4" w:rsidR="00770148" w:rsidRPr="003D3BBA" w:rsidRDefault="00770148" w:rsidP="00F76882">
            <w:pPr>
              <w:pStyle w:val="Tabletext"/>
            </w:pPr>
            <w:r w:rsidRPr="003D3BBA">
              <w:t>10–14</w:t>
            </w:r>
          </w:p>
        </w:tc>
        <w:tc>
          <w:tcPr>
            <w:tcW w:w="172" w:type="pct"/>
            <w:noWrap/>
            <w:hideMark/>
          </w:tcPr>
          <w:p w14:paraId="64F1749E" w14:textId="77777777" w:rsidR="00770148" w:rsidRPr="003D3BBA" w:rsidRDefault="00770148" w:rsidP="00F76882">
            <w:pPr>
              <w:pStyle w:val="Tabletext"/>
            </w:pPr>
            <w:r w:rsidRPr="003D3BBA">
              <w:t>15+</w:t>
            </w:r>
          </w:p>
        </w:tc>
        <w:tc>
          <w:tcPr>
            <w:tcW w:w="172" w:type="pct"/>
            <w:gridSpan w:val="2"/>
            <w:noWrap/>
            <w:hideMark/>
          </w:tcPr>
          <w:p w14:paraId="1E13B0EF" w14:textId="77777777" w:rsidR="00770148" w:rsidRPr="003D3BBA" w:rsidRDefault="00770148" w:rsidP="00F76882">
            <w:pPr>
              <w:pStyle w:val="Tabletext"/>
            </w:pPr>
            <w:r w:rsidRPr="003D3BBA">
              <w:t>All</w:t>
            </w:r>
          </w:p>
        </w:tc>
      </w:tr>
      <w:tr w:rsidR="00B1031A" w:rsidRPr="0036007C" w14:paraId="4B01926B" w14:textId="77777777" w:rsidTr="00C44879">
        <w:trPr>
          <w:trHeight w:val="515"/>
        </w:trPr>
        <w:tc>
          <w:tcPr>
            <w:tcW w:w="698" w:type="pct"/>
            <w:shd w:val="clear" w:color="000000" w:fill="BFBFBF"/>
            <w:hideMark/>
          </w:tcPr>
          <w:p w14:paraId="291C7876" w14:textId="77777777" w:rsidR="00FD611F" w:rsidRPr="003D3BBA" w:rsidRDefault="00FD611F" w:rsidP="00F76882">
            <w:pPr>
              <w:pStyle w:val="Tabletextleft"/>
            </w:pPr>
            <w:r w:rsidRPr="003D3BBA">
              <w:t>Requiring treatment for active trachoma</w:t>
            </w:r>
          </w:p>
        </w:tc>
        <w:tc>
          <w:tcPr>
            <w:tcW w:w="172" w:type="pct"/>
            <w:shd w:val="clear" w:color="000000" w:fill="BFBFBF"/>
            <w:noWrap/>
          </w:tcPr>
          <w:p w14:paraId="44460B47" w14:textId="44A5BA5D" w:rsidR="00FD611F" w:rsidRPr="003D3BBA" w:rsidRDefault="00FD611F" w:rsidP="00F76882">
            <w:pPr>
              <w:pStyle w:val="Tabletext"/>
            </w:pPr>
            <w:r w:rsidRPr="003D3BBA">
              <w:t>1</w:t>
            </w:r>
          </w:p>
        </w:tc>
        <w:tc>
          <w:tcPr>
            <w:tcW w:w="172" w:type="pct"/>
            <w:shd w:val="clear" w:color="000000" w:fill="BFBFBF"/>
            <w:noWrap/>
          </w:tcPr>
          <w:p w14:paraId="4E2B766A" w14:textId="24EB63DE" w:rsidR="00FD611F" w:rsidRPr="003D3BBA" w:rsidRDefault="00FD611F" w:rsidP="00F76882">
            <w:pPr>
              <w:pStyle w:val="Tabletext"/>
            </w:pPr>
            <w:r w:rsidRPr="003D3BBA">
              <w:t>27</w:t>
            </w:r>
          </w:p>
        </w:tc>
        <w:tc>
          <w:tcPr>
            <w:tcW w:w="172" w:type="pct"/>
            <w:shd w:val="clear" w:color="000000" w:fill="BFBFBF"/>
            <w:noWrap/>
          </w:tcPr>
          <w:p w14:paraId="746A8F41" w14:textId="75630C91" w:rsidR="00FD611F" w:rsidRPr="003D3BBA" w:rsidRDefault="00FD611F" w:rsidP="00F76882">
            <w:pPr>
              <w:pStyle w:val="Tabletext"/>
            </w:pPr>
            <w:r w:rsidRPr="003D3BBA">
              <w:t>2</w:t>
            </w:r>
          </w:p>
        </w:tc>
        <w:tc>
          <w:tcPr>
            <w:tcW w:w="172" w:type="pct"/>
            <w:shd w:val="clear" w:color="000000" w:fill="000000"/>
            <w:noWrap/>
          </w:tcPr>
          <w:p w14:paraId="3706AD25" w14:textId="73E61D78" w:rsidR="00FD611F" w:rsidRPr="003D3BBA" w:rsidRDefault="00FD611F" w:rsidP="00F76882">
            <w:pPr>
              <w:pStyle w:val="Tabletext"/>
            </w:pPr>
            <w:r w:rsidRPr="003D3BBA">
              <w:t> </w:t>
            </w:r>
          </w:p>
        </w:tc>
        <w:tc>
          <w:tcPr>
            <w:tcW w:w="172" w:type="pct"/>
            <w:gridSpan w:val="2"/>
            <w:shd w:val="clear" w:color="000000" w:fill="BFBFBF"/>
            <w:noWrap/>
          </w:tcPr>
          <w:p w14:paraId="162D3A16" w14:textId="5E057C1A" w:rsidR="00FD611F" w:rsidRPr="003D3BBA" w:rsidRDefault="00FD611F" w:rsidP="00F76882">
            <w:pPr>
              <w:pStyle w:val="Tabletext"/>
            </w:pPr>
            <w:r w:rsidRPr="003D3BBA">
              <w:t>30</w:t>
            </w:r>
          </w:p>
        </w:tc>
        <w:tc>
          <w:tcPr>
            <w:tcW w:w="172" w:type="pct"/>
            <w:shd w:val="clear" w:color="000000" w:fill="BFBFBF"/>
            <w:noWrap/>
          </w:tcPr>
          <w:p w14:paraId="601A2912" w14:textId="1376E6DC" w:rsidR="00FD611F" w:rsidRPr="003D3BBA" w:rsidRDefault="00FD611F" w:rsidP="00F76882">
            <w:pPr>
              <w:pStyle w:val="Tabletext"/>
            </w:pPr>
            <w:r w:rsidRPr="003D3BBA">
              <w:t>0</w:t>
            </w:r>
          </w:p>
        </w:tc>
        <w:tc>
          <w:tcPr>
            <w:tcW w:w="172" w:type="pct"/>
            <w:shd w:val="clear" w:color="000000" w:fill="BFBFBF"/>
            <w:noWrap/>
          </w:tcPr>
          <w:p w14:paraId="66A67187" w14:textId="53835199" w:rsidR="00FD611F" w:rsidRPr="003D3BBA" w:rsidRDefault="00FD611F" w:rsidP="00F76882">
            <w:pPr>
              <w:pStyle w:val="Tabletext"/>
            </w:pPr>
            <w:r w:rsidRPr="003D3BBA">
              <w:t>1</w:t>
            </w:r>
          </w:p>
        </w:tc>
        <w:tc>
          <w:tcPr>
            <w:tcW w:w="172" w:type="pct"/>
            <w:shd w:val="clear" w:color="000000" w:fill="BFBFBF"/>
            <w:noWrap/>
          </w:tcPr>
          <w:p w14:paraId="1A5E27A7" w14:textId="6FDE45F4" w:rsidR="00FD611F" w:rsidRPr="003D3BBA" w:rsidRDefault="00FD611F" w:rsidP="00F76882">
            <w:pPr>
              <w:pStyle w:val="Tabletext"/>
            </w:pPr>
            <w:r w:rsidRPr="003D3BBA">
              <w:t>1</w:t>
            </w:r>
          </w:p>
        </w:tc>
        <w:tc>
          <w:tcPr>
            <w:tcW w:w="172" w:type="pct"/>
            <w:shd w:val="clear" w:color="000000" w:fill="000000"/>
            <w:noWrap/>
          </w:tcPr>
          <w:p w14:paraId="292402D1" w14:textId="3D2E86A5" w:rsidR="00FD611F" w:rsidRPr="003D3BBA" w:rsidRDefault="00FD611F" w:rsidP="00F76882">
            <w:pPr>
              <w:pStyle w:val="Tabletext"/>
            </w:pPr>
            <w:r w:rsidRPr="003D3BBA">
              <w:t> </w:t>
            </w:r>
          </w:p>
        </w:tc>
        <w:tc>
          <w:tcPr>
            <w:tcW w:w="172" w:type="pct"/>
            <w:gridSpan w:val="2"/>
            <w:shd w:val="clear" w:color="000000" w:fill="BFBFBF"/>
            <w:noWrap/>
          </w:tcPr>
          <w:p w14:paraId="658CDAE6" w14:textId="3CF03C16" w:rsidR="00FD611F" w:rsidRPr="003D3BBA" w:rsidRDefault="00FD611F" w:rsidP="00F76882">
            <w:pPr>
              <w:pStyle w:val="Tabletext"/>
            </w:pPr>
            <w:r w:rsidRPr="003D3BBA">
              <w:t>2</w:t>
            </w:r>
          </w:p>
        </w:tc>
        <w:tc>
          <w:tcPr>
            <w:tcW w:w="172" w:type="pct"/>
            <w:shd w:val="clear" w:color="000000" w:fill="BFBFBF"/>
          </w:tcPr>
          <w:p w14:paraId="263B8867" w14:textId="673DF128" w:rsidR="00FD611F" w:rsidRPr="003D3BBA" w:rsidRDefault="00FD611F" w:rsidP="00F76882">
            <w:pPr>
              <w:pStyle w:val="Tabletext"/>
            </w:pPr>
            <w:r w:rsidRPr="003D3BBA">
              <w:t>0</w:t>
            </w:r>
          </w:p>
        </w:tc>
        <w:tc>
          <w:tcPr>
            <w:tcW w:w="172" w:type="pct"/>
            <w:shd w:val="clear" w:color="auto" w:fill="BFBFBF"/>
          </w:tcPr>
          <w:p w14:paraId="54ECA139" w14:textId="4E596B37" w:rsidR="00FD611F" w:rsidRPr="003D3BBA" w:rsidRDefault="00FD611F" w:rsidP="00F76882">
            <w:pPr>
              <w:pStyle w:val="Tabletext"/>
            </w:pPr>
            <w:r w:rsidRPr="003D3BBA">
              <w:t>1</w:t>
            </w:r>
          </w:p>
        </w:tc>
        <w:tc>
          <w:tcPr>
            <w:tcW w:w="172" w:type="pct"/>
            <w:shd w:val="clear" w:color="000000" w:fill="BFBFBF"/>
          </w:tcPr>
          <w:p w14:paraId="14F1DE54" w14:textId="5772F518" w:rsidR="00FD611F" w:rsidRPr="003D3BBA" w:rsidRDefault="00FD611F" w:rsidP="00F76882">
            <w:pPr>
              <w:pStyle w:val="Tabletext"/>
            </w:pPr>
            <w:r w:rsidRPr="003D3BBA">
              <w:t>0</w:t>
            </w:r>
          </w:p>
        </w:tc>
        <w:tc>
          <w:tcPr>
            <w:tcW w:w="172" w:type="pct"/>
            <w:shd w:val="clear" w:color="auto" w:fill="2F2B20" w:themeFill="text1"/>
          </w:tcPr>
          <w:p w14:paraId="1DEAEF18" w14:textId="70318AEF" w:rsidR="00FD611F" w:rsidRPr="003D3BBA" w:rsidRDefault="00FD611F" w:rsidP="00F76882">
            <w:pPr>
              <w:pStyle w:val="Tabletext"/>
            </w:pPr>
            <w:r w:rsidRPr="003D3BBA">
              <w:t> </w:t>
            </w:r>
          </w:p>
        </w:tc>
        <w:tc>
          <w:tcPr>
            <w:tcW w:w="172" w:type="pct"/>
            <w:gridSpan w:val="2"/>
            <w:shd w:val="clear" w:color="000000" w:fill="BFBFBF"/>
          </w:tcPr>
          <w:p w14:paraId="573918D4" w14:textId="37ABDE46" w:rsidR="00FD611F" w:rsidRPr="003D3BBA" w:rsidRDefault="00FD611F" w:rsidP="00F76882">
            <w:pPr>
              <w:pStyle w:val="Tabletext"/>
            </w:pPr>
            <w:r w:rsidRPr="003D3BBA">
              <w:t>1</w:t>
            </w:r>
          </w:p>
        </w:tc>
        <w:tc>
          <w:tcPr>
            <w:tcW w:w="172" w:type="pct"/>
            <w:shd w:val="clear" w:color="000000" w:fill="BFBFBF"/>
            <w:noWrap/>
          </w:tcPr>
          <w:p w14:paraId="67B694A0" w14:textId="577AE930" w:rsidR="00FD611F" w:rsidRPr="003D3BBA" w:rsidRDefault="00FD611F" w:rsidP="00F76882">
            <w:pPr>
              <w:pStyle w:val="Tabletext"/>
            </w:pPr>
            <w:r w:rsidRPr="003D3BBA">
              <w:t>0</w:t>
            </w:r>
          </w:p>
        </w:tc>
        <w:tc>
          <w:tcPr>
            <w:tcW w:w="172" w:type="pct"/>
            <w:shd w:val="clear" w:color="000000" w:fill="BFBFBF"/>
            <w:noWrap/>
          </w:tcPr>
          <w:p w14:paraId="6270AD9E" w14:textId="2150B466" w:rsidR="00FD611F" w:rsidRPr="003D3BBA" w:rsidRDefault="00FD611F" w:rsidP="00F76882">
            <w:pPr>
              <w:pStyle w:val="Tabletext"/>
            </w:pPr>
            <w:r w:rsidRPr="003D3BBA">
              <w:t>27</w:t>
            </w:r>
          </w:p>
        </w:tc>
        <w:tc>
          <w:tcPr>
            <w:tcW w:w="172" w:type="pct"/>
            <w:shd w:val="clear" w:color="000000" w:fill="BFBFBF"/>
            <w:noWrap/>
          </w:tcPr>
          <w:p w14:paraId="17C16B08" w14:textId="30257E5A" w:rsidR="00FD611F" w:rsidRPr="003D3BBA" w:rsidRDefault="00FD611F" w:rsidP="00F76882">
            <w:pPr>
              <w:pStyle w:val="Tabletext"/>
            </w:pPr>
            <w:r w:rsidRPr="003D3BBA">
              <w:t>0</w:t>
            </w:r>
          </w:p>
        </w:tc>
        <w:tc>
          <w:tcPr>
            <w:tcW w:w="172" w:type="pct"/>
            <w:shd w:val="clear" w:color="000000" w:fill="000000"/>
            <w:noWrap/>
          </w:tcPr>
          <w:p w14:paraId="7233C335" w14:textId="296D1F9C" w:rsidR="00FD611F" w:rsidRPr="003D3BBA" w:rsidRDefault="00FD611F" w:rsidP="00F76882">
            <w:pPr>
              <w:pStyle w:val="Tabletext"/>
            </w:pPr>
            <w:r w:rsidRPr="003D3BBA">
              <w:t> </w:t>
            </w:r>
          </w:p>
        </w:tc>
        <w:tc>
          <w:tcPr>
            <w:tcW w:w="172" w:type="pct"/>
            <w:gridSpan w:val="2"/>
            <w:shd w:val="clear" w:color="000000" w:fill="BFBFBF"/>
            <w:noWrap/>
          </w:tcPr>
          <w:p w14:paraId="46D4B606" w14:textId="5A626023" w:rsidR="00FD611F" w:rsidRPr="003D3BBA" w:rsidRDefault="00FD611F" w:rsidP="00F76882">
            <w:pPr>
              <w:pStyle w:val="Tabletext"/>
            </w:pPr>
            <w:r w:rsidRPr="003D3BBA">
              <w:t>27</w:t>
            </w:r>
          </w:p>
        </w:tc>
        <w:tc>
          <w:tcPr>
            <w:tcW w:w="172" w:type="pct"/>
            <w:shd w:val="clear" w:color="000000" w:fill="BFBFBF"/>
            <w:noWrap/>
          </w:tcPr>
          <w:p w14:paraId="6957E210" w14:textId="0B0F0EF6" w:rsidR="00FD611F" w:rsidRPr="003D3BBA" w:rsidRDefault="00FD611F" w:rsidP="00F76882">
            <w:pPr>
              <w:pStyle w:val="Tabletext"/>
            </w:pPr>
            <w:r w:rsidRPr="003D3BBA">
              <w:t>1</w:t>
            </w:r>
          </w:p>
        </w:tc>
        <w:tc>
          <w:tcPr>
            <w:tcW w:w="172" w:type="pct"/>
            <w:shd w:val="clear" w:color="000000" w:fill="BFBFBF"/>
            <w:noWrap/>
          </w:tcPr>
          <w:p w14:paraId="6B887081" w14:textId="5BBDAA97" w:rsidR="00FD611F" w:rsidRPr="003D3BBA" w:rsidRDefault="00FD611F" w:rsidP="00F76882">
            <w:pPr>
              <w:pStyle w:val="Tabletext"/>
            </w:pPr>
            <w:r w:rsidRPr="003D3BBA">
              <w:t>56</w:t>
            </w:r>
          </w:p>
        </w:tc>
        <w:tc>
          <w:tcPr>
            <w:tcW w:w="172" w:type="pct"/>
            <w:shd w:val="clear" w:color="000000" w:fill="BFBFBF"/>
            <w:noWrap/>
          </w:tcPr>
          <w:p w14:paraId="6C50E5E5" w14:textId="164637AD" w:rsidR="00FD611F" w:rsidRPr="003D3BBA" w:rsidRDefault="00FD611F" w:rsidP="00F76882">
            <w:pPr>
              <w:pStyle w:val="Tabletext"/>
            </w:pPr>
            <w:r w:rsidRPr="003D3BBA">
              <w:t>3</w:t>
            </w:r>
          </w:p>
        </w:tc>
        <w:tc>
          <w:tcPr>
            <w:tcW w:w="172" w:type="pct"/>
            <w:shd w:val="clear" w:color="000000" w:fill="000000"/>
            <w:noWrap/>
          </w:tcPr>
          <w:p w14:paraId="769064B8" w14:textId="1ED2B301" w:rsidR="00FD611F" w:rsidRPr="003D3BBA" w:rsidRDefault="00FD611F" w:rsidP="00F76882">
            <w:pPr>
              <w:pStyle w:val="Tabletext"/>
            </w:pPr>
            <w:r w:rsidRPr="003D3BBA">
              <w:t> </w:t>
            </w:r>
          </w:p>
        </w:tc>
        <w:tc>
          <w:tcPr>
            <w:tcW w:w="172" w:type="pct"/>
            <w:gridSpan w:val="2"/>
            <w:shd w:val="clear" w:color="000000" w:fill="BFBFBF"/>
            <w:noWrap/>
          </w:tcPr>
          <w:p w14:paraId="1C74E1A7" w14:textId="1429E7F6" w:rsidR="00FD611F" w:rsidRPr="003D3BBA" w:rsidRDefault="00FD611F" w:rsidP="00F76882">
            <w:pPr>
              <w:pStyle w:val="Tabletext"/>
            </w:pPr>
            <w:r w:rsidRPr="003D3BBA">
              <w:t>60</w:t>
            </w:r>
          </w:p>
        </w:tc>
      </w:tr>
      <w:tr w:rsidR="00B1031A" w:rsidRPr="0036007C" w14:paraId="54B72B00" w14:textId="77777777" w:rsidTr="00C44879">
        <w:trPr>
          <w:trHeight w:val="515"/>
        </w:trPr>
        <w:tc>
          <w:tcPr>
            <w:tcW w:w="698" w:type="pct"/>
            <w:hideMark/>
          </w:tcPr>
          <w:p w14:paraId="165AE90B" w14:textId="77777777" w:rsidR="00FD611F" w:rsidRPr="003D3BBA" w:rsidRDefault="00FD611F" w:rsidP="00F76882">
            <w:pPr>
              <w:pStyle w:val="Tabletextleft"/>
            </w:pPr>
            <w:r w:rsidRPr="003D3BBA">
              <w:t>Received treatment for active trachoma</w:t>
            </w:r>
          </w:p>
        </w:tc>
        <w:tc>
          <w:tcPr>
            <w:tcW w:w="172" w:type="pct"/>
            <w:noWrap/>
          </w:tcPr>
          <w:p w14:paraId="38AAFA20" w14:textId="26B47D7E" w:rsidR="00FD611F" w:rsidRPr="003D3BBA" w:rsidRDefault="00FD611F" w:rsidP="00F76882">
            <w:pPr>
              <w:pStyle w:val="Tabletext"/>
            </w:pPr>
            <w:r w:rsidRPr="003D3BBA">
              <w:t>1</w:t>
            </w:r>
          </w:p>
        </w:tc>
        <w:tc>
          <w:tcPr>
            <w:tcW w:w="172" w:type="pct"/>
            <w:noWrap/>
          </w:tcPr>
          <w:p w14:paraId="124A8122" w14:textId="753F1C4B" w:rsidR="00FD611F" w:rsidRPr="003D3BBA" w:rsidRDefault="00FD611F" w:rsidP="00F76882">
            <w:pPr>
              <w:pStyle w:val="Tabletext"/>
            </w:pPr>
            <w:r w:rsidRPr="003D3BBA">
              <w:t>24</w:t>
            </w:r>
          </w:p>
        </w:tc>
        <w:tc>
          <w:tcPr>
            <w:tcW w:w="172" w:type="pct"/>
            <w:noWrap/>
          </w:tcPr>
          <w:p w14:paraId="4F48B138" w14:textId="112D5B11" w:rsidR="00FD611F" w:rsidRPr="003D3BBA" w:rsidRDefault="00FD611F" w:rsidP="00F76882">
            <w:pPr>
              <w:pStyle w:val="Tabletext"/>
            </w:pPr>
            <w:r w:rsidRPr="003D3BBA">
              <w:t>2</w:t>
            </w:r>
          </w:p>
        </w:tc>
        <w:tc>
          <w:tcPr>
            <w:tcW w:w="172" w:type="pct"/>
            <w:shd w:val="clear" w:color="000000" w:fill="000000"/>
            <w:noWrap/>
          </w:tcPr>
          <w:p w14:paraId="32C39034" w14:textId="140B4B5C" w:rsidR="00FD611F" w:rsidRPr="003D3BBA" w:rsidRDefault="00FD611F" w:rsidP="00F76882">
            <w:pPr>
              <w:pStyle w:val="Tabletext"/>
            </w:pPr>
            <w:r w:rsidRPr="003D3BBA">
              <w:t> </w:t>
            </w:r>
          </w:p>
        </w:tc>
        <w:tc>
          <w:tcPr>
            <w:tcW w:w="172" w:type="pct"/>
            <w:gridSpan w:val="2"/>
            <w:noWrap/>
          </w:tcPr>
          <w:p w14:paraId="137FF316" w14:textId="1056B409" w:rsidR="00FD611F" w:rsidRPr="003D3BBA" w:rsidRDefault="00FD611F" w:rsidP="00F76882">
            <w:pPr>
              <w:pStyle w:val="Tabletext"/>
            </w:pPr>
            <w:r w:rsidRPr="003D3BBA">
              <w:t>27</w:t>
            </w:r>
          </w:p>
        </w:tc>
        <w:tc>
          <w:tcPr>
            <w:tcW w:w="172" w:type="pct"/>
            <w:noWrap/>
          </w:tcPr>
          <w:p w14:paraId="2E9D3E74" w14:textId="694565CE" w:rsidR="00FD611F" w:rsidRPr="003D3BBA" w:rsidRDefault="00FD611F" w:rsidP="00F76882">
            <w:pPr>
              <w:pStyle w:val="Tabletext"/>
            </w:pPr>
            <w:r w:rsidRPr="003D3BBA">
              <w:t>0</w:t>
            </w:r>
          </w:p>
        </w:tc>
        <w:tc>
          <w:tcPr>
            <w:tcW w:w="172" w:type="pct"/>
            <w:noWrap/>
          </w:tcPr>
          <w:p w14:paraId="6171A91A" w14:textId="265F73F1" w:rsidR="00FD611F" w:rsidRPr="003D3BBA" w:rsidRDefault="00FD611F" w:rsidP="00F76882">
            <w:pPr>
              <w:pStyle w:val="Tabletext"/>
            </w:pPr>
            <w:r w:rsidRPr="003D3BBA">
              <w:t>1</w:t>
            </w:r>
          </w:p>
        </w:tc>
        <w:tc>
          <w:tcPr>
            <w:tcW w:w="172" w:type="pct"/>
            <w:noWrap/>
          </w:tcPr>
          <w:p w14:paraId="607136CA" w14:textId="36EFB1CD" w:rsidR="00FD611F" w:rsidRPr="003D3BBA" w:rsidRDefault="00FD611F" w:rsidP="00F76882">
            <w:pPr>
              <w:pStyle w:val="Tabletext"/>
            </w:pPr>
            <w:r w:rsidRPr="003D3BBA">
              <w:t>1</w:t>
            </w:r>
          </w:p>
        </w:tc>
        <w:tc>
          <w:tcPr>
            <w:tcW w:w="172" w:type="pct"/>
            <w:shd w:val="clear" w:color="000000" w:fill="000000"/>
            <w:noWrap/>
          </w:tcPr>
          <w:p w14:paraId="724FD63F" w14:textId="2484E9BB" w:rsidR="00FD611F" w:rsidRPr="003D3BBA" w:rsidRDefault="00FD611F" w:rsidP="00F76882">
            <w:pPr>
              <w:pStyle w:val="Tabletext"/>
            </w:pPr>
            <w:r w:rsidRPr="003D3BBA">
              <w:t> </w:t>
            </w:r>
          </w:p>
        </w:tc>
        <w:tc>
          <w:tcPr>
            <w:tcW w:w="172" w:type="pct"/>
            <w:gridSpan w:val="2"/>
            <w:noWrap/>
          </w:tcPr>
          <w:p w14:paraId="7BDB1A2E" w14:textId="1A075FC3" w:rsidR="00FD611F" w:rsidRPr="003D3BBA" w:rsidRDefault="00FD611F" w:rsidP="00F76882">
            <w:pPr>
              <w:pStyle w:val="Tabletext"/>
            </w:pPr>
            <w:r w:rsidRPr="003D3BBA">
              <w:t>2</w:t>
            </w:r>
          </w:p>
        </w:tc>
        <w:tc>
          <w:tcPr>
            <w:tcW w:w="172" w:type="pct"/>
          </w:tcPr>
          <w:p w14:paraId="71C4BCD9" w14:textId="27F1717E" w:rsidR="00FD611F" w:rsidRPr="003D3BBA" w:rsidRDefault="00FD611F" w:rsidP="00F76882">
            <w:pPr>
              <w:pStyle w:val="Tabletext"/>
            </w:pPr>
            <w:r w:rsidRPr="003D3BBA">
              <w:t>0</w:t>
            </w:r>
          </w:p>
        </w:tc>
        <w:tc>
          <w:tcPr>
            <w:tcW w:w="172" w:type="pct"/>
          </w:tcPr>
          <w:p w14:paraId="238DD143" w14:textId="749BA458" w:rsidR="00FD611F" w:rsidRPr="003D3BBA" w:rsidRDefault="00FD611F" w:rsidP="00F76882">
            <w:pPr>
              <w:pStyle w:val="Tabletext"/>
            </w:pPr>
            <w:r w:rsidRPr="003D3BBA">
              <w:t>1</w:t>
            </w:r>
          </w:p>
        </w:tc>
        <w:tc>
          <w:tcPr>
            <w:tcW w:w="172" w:type="pct"/>
          </w:tcPr>
          <w:p w14:paraId="12A1B7B5" w14:textId="11FCBF4E" w:rsidR="00FD611F" w:rsidRPr="003D3BBA" w:rsidRDefault="00FD611F" w:rsidP="00F76882">
            <w:pPr>
              <w:pStyle w:val="Tabletext"/>
            </w:pPr>
            <w:r w:rsidRPr="003D3BBA">
              <w:t>0</w:t>
            </w:r>
          </w:p>
        </w:tc>
        <w:tc>
          <w:tcPr>
            <w:tcW w:w="172" w:type="pct"/>
            <w:shd w:val="clear" w:color="auto" w:fill="2F2B20" w:themeFill="text1"/>
          </w:tcPr>
          <w:p w14:paraId="61114F5A" w14:textId="2843C637" w:rsidR="00FD611F" w:rsidRPr="003D3BBA" w:rsidRDefault="00FD611F" w:rsidP="00F76882">
            <w:pPr>
              <w:pStyle w:val="Tabletext"/>
            </w:pPr>
            <w:r w:rsidRPr="003D3BBA">
              <w:t> </w:t>
            </w:r>
          </w:p>
        </w:tc>
        <w:tc>
          <w:tcPr>
            <w:tcW w:w="172" w:type="pct"/>
            <w:gridSpan w:val="2"/>
          </w:tcPr>
          <w:p w14:paraId="3DC8CFA1" w14:textId="4B17EC45" w:rsidR="00FD611F" w:rsidRPr="003D3BBA" w:rsidRDefault="00FD611F" w:rsidP="00F76882">
            <w:pPr>
              <w:pStyle w:val="Tabletext"/>
            </w:pPr>
            <w:r w:rsidRPr="003D3BBA">
              <w:t>1</w:t>
            </w:r>
          </w:p>
        </w:tc>
        <w:tc>
          <w:tcPr>
            <w:tcW w:w="172" w:type="pct"/>
            <w:noWrap/>
          </w:tcPr>
          <w:p w14:paraId="1F885B1D" w14:textId="6FCFE70F" w:rsidR="00FD611F" w:rsidRPr="003D3BBA" w:rsidRDefault="00FD611F" w:rsidP="00F76882">
            <w:pPr>
              <w:pStyle w:val="Tabletext"/>
            </w:pPr>
            <w:r w:rsidRPr="003D3BBA">
              <w:t>0</w:t>
            </w:r>
          </w:p>
        </w:tc>
        <w:tc>
          <w:tcPr>
            <w:tcW w:w="172" w:type="pct"/>
            <w:noWrap/>
          </w:tcPr>
          <w:p w14:paraId="4D1C1983" w14:textId="15E01C0B" w:rsidR="00FD611F" w:rsidRPr="003D3BBA" w:rsidRDefault="00FD611F" w:rsidP="00F76882">
            <w:pPr>
              <w:pStyle w:val="Tabletext"/>
            </w:pPr>
            <w:r w:rsidRPr="003D3BBA">
              <w:t>27</w:t>
            </w:r>
          </w:p>
        </w:tc>
        <w:tc>
          <w:tcPr>
            <w:tcW w:w="172" w:type="pct"/>
            <w:noWrap/>
          </w:tcPr>
          <w:p w14:paraId="4A0B9659" w14:textId="51A0938F" w:rsidR="00FD611F" w:rsidRPr="003D3BBA" w:rsidRDefault="00FD611F" w:rsidP="00F76882">
            <w:pPr>
              <w:pStyle w:val="Tabletext"/>
            </w:pPr>
            <w:r w:rsidRPr="003D3BBA">
              <w:t>0</w:t>
            </w:r>
          </w:p>
        </w:tc>
        <w:tc>
          <w:tcPr>
            <w:tcW w:w="172" w:type="pct"/>
            <w:shd w:val="clear" w:color="000000" w:fill="000000"/>
            <w:noWrap/>
          </w:tcPr>
          <w:p w14:paraId="3993B36B" w14:textId="1849AC51" w:rsidR="00FD611F" w:rsidRPr="003D3BBA" w:rsidRDefault="00FD611F" w:rsidP="00F76882">
            <w:pPr>
              <w:pStyle w:val="Tabletext"/>
            </w:pPr>
            <w:r w:rsidRPr="003D3BBA">
              <w:t> </w:t>
            </w:r>
          </w:p>
        </w:tc>
        <w:tc>
          <w:tcPr>
            <w:tcW w:w="172" w:type="pct"/>
            <w:gridSpan w:val="2"/>
            <w:noWrap/>
          </w:tcPr>
          <w:p w14:paraId="7256D69A" w14:textId="5D647152" w:rsidR="00FD611F" w:rsidRPr="003D3BBA" w:rsidRDefault="00FD611F" w:rsidP="00F76882">
            <w:pPr>
              <w:pStyle w:val="Tabletext"/>
            </w:pPr>
            <w:r w:rsidRPr="003D3BBA">
              <w:t>27</w:t>
            </w:r>
          </w:p>
        </w:tc>
        <w:tc>
          <w:tcPr>
            <w:tcW w:w="172" w:type="pct"/>
            <w:noWrap/>
          </w:tcPr>
          <w:p w14:paraId="0873BDC5" w14:textId="715C4515" w:rsidR="00FD611F" w:rsidRPr="003D3BBA" w:rsidRDefault="00FD611F" w:rsidP="00F76882">
            <w:pPr>
              <w:pStyle w:val="Tabletext"/>
            </w:pPr>
            <w:r w:rsidRPr="003D3BBA">
              <w:t>1</w:t>
            </w:r>
          </w:p>
        </w:tc>
        <w:tc>
          <w:tcPr>
            <w:tcW w:w="172" w:type="pct"/>
            <w:noWrap/>
          </w:tcPr>
          <w:p w14:paraId="5B43F0BA" w14:textId="7BD31EDA" w:rsidR="00FD611F" w:rsidRPr="003D3BBA" w:rsidRDefault="00FD611F" w:rsidP="00F76882">
            <w:pPr>
              <w:pStyle w:val="Tabletext"/>
            </w:pPr>
            <w:r w:rsidRPr="003D3BBA">
              <w:t>53</w:t>
            </w:r>
          </w:p>
        </w:tc>
        <w:tc>
          <w:tcPr>
            <w:tcW w:w="172" w:type="pct"/>
            <w:noWrap/>
          </w:tcPr>
          <w:p w14:paraId="5876F852" w14:textId="6D538482" w:rsidR="00FD611F" w:rsidRPr="003D3BBA" w:rsidRDefault="00FD611F" w:rsidP="00F76882">
            <w:pPr>
              <w:pStyle w:val="Tabletext"/>
            </w:pPr>
            <w:r w:rsidRPr="003D3BBA">
              <w:t>3</w:t>
            </w:r>
          </w:p>
        </w:tc>
        <w:tc>
          <w:tcPr>
            <w:tcW w:w="172" w:type="pct"/>
            <w:shd w:val="clear" w:color="000000" w:fill="000000"/>
            <w:noWrap/>
          </w:tcPr>
          <w:p w14:paraId="67213914" w14:textId="380F5E0C" w:rsidR="00FD611F" w:rsidRPr="003D3BBA" w:rsidRDefault="00FD611F" w:rsidP="00F76882">
            <w:pPr>
              <w:pStyle w:val="Tabletext"/>
            </w:pPr>
            <w:r w:rsidRPr="003D3BBA">
              <w:t> </w:t>
            </w:r>
          </w:p>
        </w:tc>
        <w:tc>
          <w:tcPr>
            <w:tcW w:w="172" w:type="pct"/>
            <w:gridSpan w:val="2"/>
            <w:noWrap/>
          </w:tcPr>
          <w:p w14:paraId="0097A590" w14:textId="4097BEB6" w:rsidR="00FD611F" w:rsidRPr="003D3BBA" w:rsidRDefault="00FD611F" w:rsidP="00F76882">
            <w:pPr>
              <w:pStyle w:val="Tabletext"/>
            </w:pPr>
            <w:r w:rsidRPr="003D3BBA">
              <w:t>57</w:t>
            </w:r>
          </w:p>
        </w:tc>
      </w:tr>
      <w:tr w:rsidR="00B1031A" w:rsidRPr="0036007C" w14:paraId="4C8BB01D" w14:textId="77777777" w:rsidTr="00C44879">
        <w:trPr>
          <w:trHeight w:val="773"/>
        </w:trPr>
        <w:tc>
          <w:tcPr>
            <w:tcW w:w="698" w:type="pct"/>
            <w:shd w:val="clear" w:color="000000" w:fill="BFBFBF"/>
            <w:hideMark/>
          </w:tcPr>
          <w:p w14:paraId="11F986DB" w14:textId="77777777" w:rsidR="00FD611F" w:rsidRPr="006043C2" w:rsidRDefault="00FD611F" w:rsidP="00F76882">
            <w:pPr>
              <w:pStyle w:val="Tabletextleft"/>
              <w:rPr>
                <w:rStyle w:val="Emphasis"/>
              </w:rPr>
            </w:pPr>
            <w:r w:rsidRPr="006043C2">
              <w:rPr>
                <w:rStyle w:val="Emphasis"/>
              </w:rPr>
              <w:t>Received treatment for active trachoma (%)</w:t>
            </w:r>
          </w:p>
        </w:tc>
        <w:tc>
          <w:tcPr>
            <w:tcW w:w="172" w:type="pct"/>
            <w:shd w:val="clear" w:color="000000" w:fill="BFBFBF"/>
            <w:noWrap/>
          </w:tcPr>
          <w:p w14:paraId="2CB7350F" w14:textId="187C297B" w:rsidR="00FD611F" w:rsidRPr="003D3BBA" w:rsidRDefault="00FD611F" w:rsidP="00F76882">
            <w:pPr>
              <w:pStyle w:val="Tabletext"/>
              <w:rPr>
                <w:rStyle w:val="Emphasis"/>
              </w:rPr>
            </w:pPr>
            <w:r w:rsidRPr="003D3BBA">
              <w:rPr>
                <w:rStyle w:val="Emphasis"/>
              </w:rPr>
              <w:t>100</w:t>
            </w:r>
          </w:p>
        </w:tc>
        <w:tc>
          <w:tcPr>
            <w:tcW w:w="172" w:type="pct"/>
            <w:shd w:val="clear" w:color="000000" w:fill="BFBFBF"/>
            <w:noWrap/>
          </w:tcPr>
          <w:p w14:paraId="0B7B4E74" w14:textId="6E501398" w:rsidR="00FD611F" w:rsidRPr="003D3BBA" w:rsidRDefault="00FD611F" w:rsidP="00F76882">
            <w:pPr>
              <w:pStyle w:val="Tabletext"/>
              <w:rPr>
                <w:rStyle w:val="Emphasis"/>
              </w:rPr>
            </w:pPr>
            <w:r w:rsidRPr="003D3BBA">
              <w:rPr>
                <w:rStyle w:val="Emphasis"/>
              </w:rPr>
              <w:t>89</w:t>
            </w:r>
          </w:p>
        </w:tc>
        <w:tc>
          <w:tcPr>
            <w:tcW w:w="172" w:type="pct"/>
            <w:shd w:val="clear" w:color="000000" w:fill="BFBFBF"/>
            <w:noWrap/>
          </w:tcPr>
          <w:p w14:paraId="147D6EFE" w14:textId="110CAC1A" w:rsidR="00FD611F" w:rsidRPr="003D3BBA" w:rsidRDefault="00FD611F" w:rsidP="00F76882">
            <w:pPr>
              <w:pStyle w:val="Tabletext"/>
              <w:rPr>
                <w:rStyle w:val="Emphasis"/>
              </w:rPr>
            </w:pPr>
            <w:r w:rsidRPr="003D3BBA">
              <w:rPr>
                <w:rStyle w:val="Emphasis"/>
              </w:rPr>
              <w:t>100</w:t>
            </w:r>
          </w:p>
        </w:tc>
        <w:tc>
          <w:tcPr>
            <w:tcW w:w="172" w:type="pct"/>
            <w:shd w:val="clear" w:color="000000" w:fill="000000"/>
            <w:noWrap/>
          </w:tcPr>
          <w:p w14:paraId="2B17B841" w14:textId="2E331AEB" w:rsidR="00FD611F" w:rsidRPr="003D3BBA" w:rsidRDefault="00FD611F" w:rsidP="00F76882">
            <w:pPr>
              <w:pStyle w:val="Tabletext"/>
              <w:rPr>
                <w:rStyle w:val="Emphasis"/>
              </w:rPr>
            </w:pPr>
            <w:r w:rsidRPr="003D3BBA">
              <w:rPr>
                <w:rStyle w:val="Emphasis"/>
              </w:rPr>
              <w:t> </w:t>
            </w:r>
          </w:p>
        </w:tc>
        <w:tc>
          <w:tcPr>
            <w:tcW w:w="172" w:type="pct"/>
            <w:gridSpan w:val="2"/>
            <w:shd w:val="clear" w:color="000000" w:fill="BFBFBF"/>
            <w:noWrap/>
          </w:tcPr>
          <w:p w14:paraId="48044F02" w14:textId="799C690F" w:rsidR="00FD611F" w:rsidRPr="003D3BBA" w:rsidRDefault="00FD611F" w:rsidP="00F76882">
            <w:pPr>
              <w:pStyle w:val="Tabletext"/>
              <w:rPr>
                <w:rStyle w:val="Emphasis"/>
              </w:rPr>
            </w:pPr>
            <w:r w:rsidRPr="003D3BBA">
              <w:rPr>
                <w:rStyle w:val="Emphasis"/>
              </w:rPr>
              <w:t>90</w:t>
            </w:r>
          </w:p>
        </w:tc>
        <w:tc>
          <w:tcPr>
            <w:tcW w:w="172" w:type="pct"/>
            <w:shd w:val="clear" w:color="000000" w:fill="BFBFBF"/>
            <w:noWrap/>
          </w:tcPr>
          <w:p w14:paraId="6857DECF" w14:textId="00774D6E" w:rsidR="00FD611F" w:rsidRPr="003D3BBA" w:rsidRDefault="00FD611F" w:rsidP="00F76882">
            <w:pPr>
              <w:pStyle w:val="Tabletext"/>
              <w:rPr>
                <w:rStyle w:val="Emphasis"/>
              </w:rPr>
            </w:pPr>
            <w:r w:rsidRPr="003D3BBA">
              <w:rPr>
                <w:rStyle w:val="Emphasis"/>
              </w:rPr>
              <w:t>N/A</w:t>
            </w:r>
          </w:p>
        </w:tc>
        <w:tc>
          <w:tcPr>
            <w:tcW w:w="172" w:type="pct"/>
            <w:shd w:val="clear" w:color="000000" w:fill="BFBFBF"/>
            <w:noWrap/>
          </w:tcPr>
          <w:p w14:paraId="0E0B984C" w14:textId="7BE21481" w:rsidR="00FD611F" w:rsidRPr="003D3BBA" w:rsidRDefault="00FD611F" w:rsidP="00F76882">
            <w:pPr>
              <w:pStyle w:val="Tabletext"/>
              <w:rPr>
                <w:rStyle w:val="Emphasis"/>
              </w:rPr>
            </w:pPr>
            <w:r w:rsidRPr="003D3BBA">
              <w:rPr>
                <w:rStyle w:val="Emphasis"/>
              </w:rPr>
              <w:t>100</w:t>
            </w:r>
          </w:p>
        </w:tc>
        <w:tc>
          <w:tcPr>
            <w:tcW w:w="172" w:type="pct"/>
            <w:shd w:val="clear" w:color="000000" w:fill="BFBFBF"/>
            <w:noWrap/>
          </w:tcPr>
          <w:p w14:paraId="6DDE6111" w14:textId="2B3984C3" w:rsidR="00FD611F" w:rsidRPr="003D3BBA" w:rsidRDefault="00FD611F" w:rsidP="00F76882">
            <w:pPr>
              <w:pStyle w:val="Tabletext"/>
              <w:rPr>
                <w:rStyle w:val="Emphasis"/>
              </w:rPr>
            </w:pPr>
            <w:r w:rsidRPr="003D3BBA">
              <w:rPr>
                <w:rStyle w:val="Emphasis"/>
              </w:rPr>
              <w:t>100</w:t>
            </w:r>
          </w:p>
        </w:tc>
        <w:tc>
          <w:tcPr>
            <w:tcW w:w="172" w:type="pct"/>
            <w:shd w:val="clear" w:color="000000" w:fill="000000"/>
            <w:noWrap/>
          </w:tcPr>
          <w:p w14:paraId="073EB1A1" w14:textId="58A7016F" w:rsidR="00FD611F" w:rsidRPr="003D3BBA" w:rsidRDefault="00FD611F" w:rsidP="00F76882">
            <w:pPr>
              <w:pStyle w:val="Tabletext"/>
              <w:rPr>
                <w:rStyle w:val="Emphasis"/>
              </w:rPr>
            </w:pPr>
            <w:r w:rsidRPr="003D3BBA">
              <w:rPr>
                <w:rStyle w:val="Emphasis"/>
              </w:rPr>
              <w:t> </w:t>
            </w:r>
          </w:p>
        </w:tc>
        <w:tc>
          <w:tcPr>
            <w:tcW w:w="172" w:type="pct"/>
            <w:gridSpan w:val="2"/>
            <w:shd w:val="clear" w:color="000000" w:fill="BFBFBF"/>
            <w:noWrap/>
          </w:tcPr>
          <w:p w14:paraId="0B31290F" w14:textId="19EEDBF0" w:rsidR="00FD611F" w:rsidRPr="003D3BBA" w:rsidRDefault="00FD611F" w:rsidP="00F76882">
            <w:pPr>
              <w:pStyle w:val="Tabletext"/>
              <w:rPr>
                <w:rStyle w:val="Emphasis"/>
              </w:rPr>
            </w:pPr>
            <w:r w:rsidRPr="003D3BBA">
              <w:rPr>
                <w:rStyle w:val="Emphasis"/>
              </w:rPr>
              <w:t>100</w:t>
            </w:r>
          </w:p>
        </w:tc>
        <w:tc>
          <w:tcPr>
            <w:tcW w:w="172" w:type="pct"/>
            <w:shd w:val="clear" w:color="000000" w:fill="BFBFBF"/>
          </w:tcPr>
          <w:p w14:paraId="28F6E8DD" w14:textId="7B784D24" w:rsidR="00FD611F" w:rsidRPr="003D3BBA" w:rsidRDefault="00FD611F" w:rsidP="00F76882">
            <w:pPr>
              <w:pStyle w:val="Tabletext"/>
              <w:rPr>
                <w:rStyle w:val="Emphasis"/>
              </w:rPr>
            </w:pPr>
            <w:r w:rsidRPr="003D3BBA">
              <w:rPr>
                <w:rStyle w:val="Emphasis"/>
              </w:rPr>
              <w:t>N/A</w:t>
            </w:r>
          </w:p>
        </w:tc>
        <w:tc>
          <w:tcPr>
            <w:tcW w:w="172" w:type="pct"/>
            <w:shd w:val="clear" w:color="000000" w:fill="BFBFBF"/>
          </w:tcPr>
          <w:p w14:paraId="23503915" w14:textId="51345ECE" w:rsidR="00FD611F" w:rsidRPr="003D3BBA" w:rsidRDefault="00FD611F" w:rsidP="00F76882">
            <w:pPr>
              <w:pStyle w:val="Tabletext"/>
              <w:rPr>
                <w:rStyle w:val="Emphasis"/>
              </w:rPr>
            </w:pPr>
            <w:r w:rsidRPr="003D3BBA">
              <w:rPr>
                <w:rStyle w:val="Emphasis"/>
              </w:rPr>
              <w:t>100</w:t>
            </w:r>
          </w:p>
        </w:tc>
        <w:tc>
          <w:tcPr>
            <w:tcW w:w="172" w:type="pct"/>
            <w:shd w:val="clear" w:color="000000" w:fill="BFBFBF"/>
          </w:tcPr>
          <w:p w14:paraId="57AAA974" w14:textId="6125E112" w:rsidR="00FD611F" w:rsidRPr="003D3BBA" w:rsidRDefault="00FD611F" w:rsidP="00F76882">
            <w:pPr>
              <w:pStyle w:val="Tabletext"/>
              <w:rPr>
                <w:rStyle w:val="Emphasis"/>
              </w:rPr>
            </w:pPr>
            <w:r w:rsidRPr="003D3BBA">
              <w:rPr>
                <w:rStyle w:val="Emphasis"/>
              </w:rPr>
              <w:t>N/A</w:t>
            </w:r>
          </w:p>
        </w:tc>
        <w:tc>
          <w:tcPr>
            <w:tcW w:w="172" w:type="pct"/>
            <w:shd w:val="clear" w:color="auto" w:fill="2F2B20" w:themeFill="text1"/>
          </w:tcPr>
          <w:p w14:paraId="4933A447" w14:textId="05386063" w:rsidR="00FD611F" w:rsidRPr="003D3BBA" w:rsidRDefault="00FD611F" w:rsidP="00F76882">
            <w:pPr>
              <w:pStyle w:val="Tabletext"/>
              <w:rPr>
                <w:rStyle w:val="Emphasis"/>
              </w:rPr>
            </w:pPr>
            <w:r w:rsidRPr="003D3BBA">
              <w:rPr>
                <w:rStyle w:val="Emphasis"/>
              </w:rPr>
              <w:t> </w:t>
            </w:r>
          </w:p>
        </w:tc>
        <w:tc>
          <w:tcPr>
            <w:tcW w:w="172" w:type="pct"/>
            <w:gridSpan w:val="2"/>
            <w:shd w:val="clear" w:color="000000" w:fill="BFBFBF"/>
          </w:tcPr>
          <w:p w14:paraId="760DAB9A" w14:textId="5ED65835" w:rsidR="00FD611F" w:rsidRPr="003D3BBA" w:rsidRDefault="00FD611F" w:rsidP="00F76882">
            <w:pPr>
              <w:pStyle w:val="Tabletext"/>
              <w:rPr>
                <w:rStyle w:val="Emphasis"/>
              </w:rPr>
            </w:pPr>
            <w:r w:rsidRPr="003D3BBA">
              <w:rPr>
                <w:rStyle w:val="Emphasis"/>
              </w:rPr>
              <w:t>100</w:t>
            </w:r>
          </w:p>
        </w:tc>
        <w:tc>
          <w:tcPr>
            <w:tcW w:w="172" w:type="pct"/>
            <w:shd w:val="clear" w:color="000000" w:fill="BFBFBF"/>
            <w:noWrap/>
          </w:tcPr>
          <w:p w14:paraId="7800E76F" w14:textId="6002C377" w:rsidR="00FD611F" w:rsidRPr="003D3BBA" w:rsidRDefault="00FD611F" w:rsidP="00F76882">
            <w:pPr>
              <w:pStyle w:val="Tabletext"/>
              <w:rPr>
                <w:rStyle w:val="Emphasis"/>
              </w:rPr>
            </w:pPr>
            <w:r w:rsidRPr="003D3BBA">
              <w:rPr>
                <w:rStyle w:val="Emphasis"/>
              </w:rPr>
              <w:t>N/A</w:t>
            </w:r>
          </w:p>
        </w:tc>
        <w:tc>
          <w:tcPr>
            <w:tcW w:w="172" w:type="pct"/>
            <w:shd w:val="clear" w:color="000000" w:fill="BFBFBF"/>
            <w:noWrap/>
          </w:tcPr>
          <w:p w14:paraId="55BB7600" w14:textId="6511A0BE" w:rsidR="00FD611F" w:rsidRPr="003D3BBA" w:rsidRDefault="00FD611F" w:rsidP="00F76882">
            <w:pPr>
              <w:pStyle w:val="Tabletext"/>
              <w:rPr>
                <w:rStyle w:val="Emphasis"/>
              </w:rPr>
            </w:pPr>
            <w:r w:rsidRPr="003D3BBA">
              <w:rPr>
                <w:rStyle w:val="Emphasis"/>
              </w:rPr>
              <w:t>100</w:t>
            </w:r>
          </w:p>
        </w:tc>
        <w:tc>
          <w:tcPr>
            <w:tcW w:w="172" w:type="pct"/>
            <w:shd w:val="clear" w:color="000000" w:fill="BFBFBF"/>
            <w:noWrap/>
          </w:tcPr>
          <w:p w14:paraId="13AAAE67" w14:textId="7050842B" w:rsidR="00FD611F" w:rsidRPr="003D3BBA" w:rsidRDefault="00FD611F" w:rsidP="00F76882">
            <w:pPr>
              <w:pStyle w:val="Tabletext"/>
              <w:rPr>
                <w:rStyle w:val="Emphasis"/>
              </w:rPr>
            </w:pPr>
            <w:r w:rsidRPr="003D3BBA">
              <w:rPr>
                <w:rStyle w:val="Emphasis"/>
              </w:rPr>
              <w:t>N/A</w:t>
            </w:r>
          </w:p>
        </w:tc>
        <w:tc>
          <w:tcPr>
            <w:tcW w:w="172" w:type="pct"/>
            <w:shd w:val="clear" w:color="000000" w:fill="000000"/>
            <w:noWrap/>
          </w:tcPr>
          <w:p w14:paraId="15F15513" w14:textId="5BEB5C15" w:rsidR="00FD611F" w:rsidRPr="003D3BBA" w:rsidRDefault="00FD611F" w:rsidP="00F76882">
            <w:pPr>
              <w:pStyle w:val="Tabletext"/>
              <w:rPr>
                <w:rStyle w:val="Emphasis"/>
              </w:rPr>
            </w:pPr>
            <w:r w:rsidRPr="003D3BBA">
              <w:rPr>
                <w:rStyle w:val="Emphasis"/>
              </w:rPr>
              <w:t> </w:t>
            </w:r>
          </w:p>
        </w:tc>
        <w:tc>
          <w:tcPr>
            <w:tcW w:w="172" w:type="pct"/>
            <w:gridSpan w:val="2"/>
            <w:shd w:val="clear" w:color="000000" w:fill="BFBFBF"/>
            <w:noWrap/>
          </w:tcPr>
          <w:p w14:paraId="66598175" w14:textId="6F387235" w:rsidR="00FD611F" w:rsidRPr="003D3BBA" w:rsidRDefault="00FD611F" w:rsidP="00F76882">
            <w:pPr>
              <w:pStyle w:val="Tabletext"/>
              <w:rPr>
                <w:rStyle w:val="Emphasis"/>
              </w:rPr>
            </w:pPr>
            <w:r w:rsidRPr="003D3BBA">
              <w:rPr>
                <w:rStyle w:val="Emphasis"/>
              </w:rPr>
              <w:t>100</w:t>
            </w:r>
          </w:p>
        </w:tc>
        <w:tc>
          <w:tcPr>
            <w:tcW w:w="172" w:type="pct"/>
            <w:shd w:val="clear" w:color="000000" w:fill="BFBFBF"/>
            <w:noWrap/>
          </w:tcPr>
          <w:p w14:paraId="12C85141" w14:textId="638260A0" w:rsidR="00FD611F" w:rsidRPr="003D3BBA" w:rsidRDefault="00FD611F" w:rsidP="00F76882">
            <w:pPr>
              <w:pStyle w:val="Tabletext"/>
              <w:rPr>
                <w:rStyle w:val="Emphasis"/>
              </w:rPr>
            </w:pPr>
            <w:r w:rsidRPr="003D3BBA">
              <w:rPr>
                <w:rStyle w:val="Emphasis"/>
              </w:rPr>
              <w:t>100</w:t>
            </w:r>
          </w:p>
        </w:tc>
        <w:tc>
          <w:tcPr>
            <w:tcW w:w="172" w:type="pct"/>
            <w:shd w:val="clear" w:color="000000" w:fill="BFBFBF"/>
            <w:noWrap/>
          </w:tcPr>
          <w:p w14:paraId="29E1E5BC" w14:textId="1BC1C041" w:rsidR="00FD611F" w:rsidRPr="003D3BBA" w:rsidRDefault="00FD611F" w:rsidP="00F76882">
            <w:pPr>
              <w:pStyle w:val="Tabletext"/>
              <w:rPr>
                <w:rStyle w:val="Emphasis"/>
              </w:rPr>
            </w:pPr>
            <w:r w:rsidRPr="003D3BBA">
              <w:rPr>
                <w:rStyle w:val="Emphasis"/>
              </w:rPr>
              <w:t>95</w:t>
            </w:r>
          </w:p>
        </w:tc>
        <w:tc>
          <w:tcPr>
            <w:tcW w:w="172" w:type="pct"/>
            <w:shd w:val="clear" w:color="000000" w:fill="BFBFBF"/>
            <w:noWrap/>
          </w:tcPr>
          <w:p w14:paraId="5A371CD6" w14:textId="72F94731" w:rsidR="00FD611F" w:rsidRPr="003D3BBA" w:rsidRDefault="00FD611F" w:rsidP="00F76882">
            <w:pPr>
              <w:pStyle w:val="Tabletext"/>
              <w:rPr>
                <w:rStyle w:val="Emphasis"/>
              </w:rPr>
            </w:pPr>
            <w:r w:rsidRPr="003D3BBA">
              <w:rPr>
                <w:rStyle w:val="Emphasis"/>
              </w:rPr>
              <w:t>100</w:t>
            </w:r>
          </w:p>
        </w:tc>
        <w:tc>
          <w:tcPr>
            <w:tcW w:w="172" w:type="pct"/>
            <w:shd w:val="clear" w:color="000000" w:fill="000000"/>
            <w:noWrap/>
          </w:tcPr>
          <w:p w14:paraId="0F5A18C9" w14:textId="602D0AE0" w:rsidR="00FD611F" w:rsidRPr="003D3BBA" w:rsidRDefault="00FD611F" w:rsidP="00F76882">
            <w:pPr>
              <w:pStyle w:val="Tabletext"/>
              <w:rPr>
                <w:rStyle w:val="Emphasis"/>
              </w:rPr>
            </w:pPr>
            <w:r w:rsidRPr="003D3BBA">
              <w:rPr>
                <w:rStyle w:val="Emphasis"/>
              </w:rPr>
              <w:t> </w:t>
            </w:r>
          </w:p>
        </w:tc>
        <w:tc>
          <w:tcPr>
            <w:tcW w:w="172" w:type="pct"/>
            <w:gridSpan w:val="2"/>
            <w:shd w:val="clear" w:color="000000" w:fill="BFBFBF"/>
            <w:noWrap/>
          </w:tcPr>
          <w:p w14:paraId="0E757EBC" w14:textId="3B0718C1" w:rsidR="00FD611F" w:rsidRPr="003D3BBA" w:rsidRDefault="00FD611F" w:rsidP="00F76882">
            <w:pPr>
              <w:pStyle w:val="Tabletext"/>
              <w:rPr>
                <w:rStyle w:val="Emphasis"/>
              </w:rPr>
            </w:pPr>
            <w:r w:rsidRPr="003D3BBA">
              <w:rPr>
                <w:rStyle w:val="Emphasis"/>
              </w:rPr>
              <w:t>95</w:t>
            </w:r>
          </w:p>
        </w:tc>
      </w:tr>
      <w:tr w:rsidR="00B1031A" w:rsidRPr="0036007C" w14:paraId="0B81CBCF" w14:textId="77777777" w:rsidTr="00C44879">
        <w:trPr>
          <w:trHeight w:val="515"/>
        </w:trPr>
        <w:tc>
          <w:tcPr>
            <w:tcW w:w="698" w:type="pct"/>
            <w:hideMark/>
          </w:tcPr>
          <w:p w14:paraId="25F01CC2" w14:textId="77777777" w:rsidR="00FD611F" w:rsidRPr="003D3BBA" w:rsidRDefault="00FD611F" w:rsidP="00F76882">
            <w:pPr>
              <w:pStyle w:val="Tabletextleft"/>
            </w:pPr>
            <w:r w:rsidRPr="003D3BBA">
              <w:t>Estimated community members* requiring treatment</w:t>
            </w:r>
          </w:p>
        </w:tc>
        <w:tc>
          <w:tcPr>
            <w:tcW w:w="172" w:type="pct"/>
            <w:noWrap/>
          </w:tcPr>
          <w:p w14:paraId="078BF840" w14:textId="1A4D74BD" w:rsidR="00FD611F" w:rsidRPr="003D3BBA" w:rsidRDefault="00FD611F" w:rsidP="00F76882">
            <w:pPr>
              <w:pStyle w:val="Tabletext"/>
            </w:pPr>
            <w:r w:rsidRPr="003D3BBA">
              <w:t>88</w:t>
            </w:r>
          </w:p>
        </w:tc>
        <w:tc>
          <w:tcPr>
            <w:tcW w:w="172" w:type="pct"/>
            <w:noWrap/>
          </w:tcPr>
          <w:p w14:paraId="1FBF6474" w14:textId="28843B39" w:rsidR="00FD611F" w:rsidRPr="003D3BBA" w:rsidRDefault="00FD611F" w:rsidP="00F76882">
            <w:pPr>
              <w:pStyle w:val="Tabletext"/>
            </w:pPr>
            <w:r w:rsidRPr="003D3BBA">
              <w:t>136</w:t>
            </w:r>
          </w:p>
        </w:tc>
        <w:tc>
          <w:tcPr>
            <w:tcW w:w="172" w:type="pct"/>
            <w:noWrap/>
          </w:tcPr>
          <w:p w14:paraId="0C7D6845" w14:textId="73E0B4E6" w:rsidR="00FD611F" w:rsidRPr="003D3BBA" w:rsidRDefault="00FD611F" w:rsidP="00F76882">
            <w:pPr>
              <w:pStyle w:val="Tabletext"/>
            </w:pPr>
            <w:r w:rsidRPr="003D3BBA">
              <w:t>140</w:t>
            </w:r>
          </w:p>
        </w:tc>
        <w:tc>
          <w:tcPr>
            <w:tcW w:w="172" w:type="pct"/>
            <w:noWrap/>
          </w:tcPr>
          <w:p w14:paraId="4215E666" w14:textId="0E88C86E" w:rsidR="00FD611F" w:rsidRPr="003D3BBA" w:rsidRDefault="00FD611F" w:rsidP="00F76882">
            <w:pPr>
              <w:pStyle w:val="Tabletext"/>
            </w:pPr>
            <w:r w:rsidRPr="003D3BBA">
              <w:t>811</w:t>
            </w:r>
          </w:p>
        </w:tc>
        <w:tc>
          <w:tcPr>
            <w:tcW w:w="172" w:type="pct"/>
            <w:gridSpan w:val="2"/>
            <w:noWrap/>
          </w:tcPr>
          <w:p w14:paraId="5D34ADE5" w14:textId="307DD497" w:rsidR="00FD611F" w:rsidRPr="003D3BBA" w:rsidRDefault="00FD611F" w:rsidP="00F76882">
            <w:pPr>
              <w:pStyle w:val="Tabletext"/>
            </w:pPr>
            <w:r w:rsidRPr="003D3BBA">
              <w:t>1175</w:t>
            </w:r>
          </w:p>
        </w:tc>
        <w:tc>
          <w:tcPr>
            <w:tcW w:w="172" w:type="pct"/>
            <w:noWrap/>
          </w:tcPr>
          <w:p w14:paraId="49001809" w14:textId="66517A46" w:rsidR="00FD611F" w:rsidRPr="003D3BBA" w:rsidRDefault="00FD611F" w:rsidP="00F76882">
            <w:pPr>
              <w:pStyle w:val="Tabletext"/>
            </w:pPr>
            <w:r w:rsidRPr="003D3BBA">
              <w:t>0</w:t>
            </w:r>
          </w:p>
        </w:tc>
        <w:tc>
          <w:tcPr>
            <w:tcW w:w="172" w:type="pct"/>
            <w:noWrap/>
          </w:tcPr>
          <w:p w14:paraId="23A6F60D" w14:textId="5ECCABF7" w:rsidR="00FD611F" w:rsidRPr="003D3BBA" w:rsidRDefault="00FD611F" w:rsidP="00F76882">
            <w:pPr>
              <w:pStyle w:val="Tabletext"/>
            </w:pPr>
            <w:r w:rsidRPr="003D3BBA">
              <w:t>2</w:t>
            </w:r>
          </w:p>
        </w:tc>
        <w:tc>
          <w:tcPr>
            <w:tcW w:w="172" w:type="pct"/>
            <w:noWrap/>
          </w:tcPr>
          <w:p w14:paraId="573A0FF6" w14:textId="6CEE0915" w:rsidR="00FD611F" w:rsidRPr="003D3BBA" w:rsidRDefault="00FD611F" w:rsidP="00F76882">
            <w:pPr>
              <w:pStyle w:val="Tabletext"/>
            </w:pPr>
            <w:r w:rsidRPr="003D3BBA">
              <w:t>3</w:t>
            </w:r>
          </w:p>
        </w:tc>
        <w:tc>
          <w:tcPr>
            <w:tcW w:w="172" w:type="pct"/>
            <w:noWrap/>
          </w:tcPr>
          <w:p w14:paraId="698335E5" w14:textId="02DF491E" w:rsidR="00FD611F" w:rsidRPr="003D3BBA" w:rsidRDefault="00FD611F" w:rsidP="00F76882">
            <w:pPr>
              <w:pStyle w:val="Tabletext"/>
            </w:pPr>
            <w:r w:rsidRPr="003D3BBA">
              <w:t>8</w:t>
            </w:r>
          </w:p>
        </w:tc>
        <w:tc>
          <w:tcPr>
            <w:tcW w:w="172" w:type="pct"/>
            <w:gridSpan w:val="2"/>
            <w:noWrap/>
          </w:tcPr>
          <w:p w14:paraId="69B770C0" w14:textId="4B04B952" w:rsidR="00FD611F" w:rsidRPr="003D3BBA" w:rsidRDefault="00FD611F" w:rsidP="00F76882">
            <w:pPr>
              <w:pStyle w:val="Tabletext"/>
            </w:pPr>
            <w:r w:rsidRPr="003D3BBA">
              <w:t>13</w:t>
            </w:r>
          </w:p>
        </w:tc>
        <w:tc>
          <w:tcPr>
            <w:tcW w:w="172" w:type="pct"/>
          </w:tcPr>
          <w:p w14:paraId="60634180" w14:textId="0F466C31" w:rsidR="00FD611F" w:rsidRPr="003D3BBA" w:rsidRDefault="00FD611F" w:rsidP="00F76882">
            <w:pPr>
              <w:pStyle w:val="Tabletext"/>
            </w:pPr>
            <w:r w:rsidRPr="003D3BBA">
              <w:t>1</w:t>
            </w:r>
          </w:p>
        </w:tc>
        <w:tc>
          <w:tcPr>
            <w:tcW w:w="172" w:type="pct"/>
          </w:tcPr>
          <w:p w14:paraId="5AD4AABC" w14:textId="1BB13F69" w:rsidR="00FD611F" w:rsidRPr="003D3BBA" w:rsidRDefault="00FD611F" w:rsidP="00F76882">
            <w:pPr>
              <w:pStyle w:val="Tabletext"/>
            </w:pPr>
            <w:r w:rsidRPr="003D3BBA">
              <w:t>0</w:t>
            </w:r>
          </w:p>
        </w:tc>
        <w:tc>
          <w:tcPr>
            <w:tcW w:w="172" w:type="pct"/>
          </w:tcPr>
          <w:p w14:paraId="2BA6C2F8" w14:textId="79DA6E0A" w:rsidR="00FD611F" w:rsidRPr="003D3BBA" w:rsidRDefault="00FD611F" w:rsidP="00F76882">
            <w:pPr>
              <w:pStyle w:val="Tabletext"/>
            </w:pPr>
            <w:r w:rsidRPr="003D3BBA">
              <w:t>1</w:t>
            </w:r>
          </w:p>
        </w:tc>
        <w:tc>
          <w:tcPr>
            <w:tcW w:w="172" w:type="pct"/>
          </w:tcPr>
          <w:p w14:paraId="37926150" w14:textId="4BBC801A" w:rsidR="00FD611F" w:rsidRPr="003D3BBA" w:rsidRDefault="00FD611F" w:rsidP="00F76882">
            <w:pPr>
              <w:pStyle w:val="Tabletext"/>
            </w:pPr>
            <w:r w:rsidRPr="003D3BBA">
              <w:t>4</w:t>
            </w:r>
          </w:p>
        </w:tc>
        <w:tc>
          <w:tcPr>
            <w:tcW w:w="172" w:type="pct"/>
            <w:gridSpan w:val="2"/>
          </w:tcPr>
          <w:p w14:paraId="7DF1C363" w14:textId="198B32B3" w:rsidR="00FD611F" w:rsidRPr="003D3BBA" w:rsidRDefault="00FD611F" w:rsidP="00F76882">
            <w:pPr>
              <w:pStyle w:val="Tabletext"/>
            </w:pPr>
            <w:r w:rsidRPr="003D3BBA">
              <w:t>6</w:t>
            </w:r>
          </w:p>
        </w:tc>
        <w:tc>
          <w:tcPr>
            <w:tcW w:w="172" w:type="pct"/>
            <w:noWrap/>
          </w:tcPr>
          <w:p w14:paraId="3D6D586E" w14:textId="0C24BAEC" w:rsidR="00FD611F" w:rsidRPr="003D3BBA" w:rsidRDefault="00FD611F" w:rsidP="00F76882">
            <w:pPr>
              <w:pStyle w:val="Tabletext"/>
            </w:pPr>
            <w:r w:rsidRPr="003D3BBA">
              <w:t>186</w:t>
            </w:r>
          </w:p>
        </w:tc>
        <w:tc>
          <w:tcPr>
            <w:tcW w:w="172" w:type="pct"/>
            <w:noWrap/>
          </w:tcPr>
          <w:p w14:paraId="26E65645" w14:textId="7823A48E" w:rsidR="00FD611F" w:rsidRPr="003D3BBA" w:rsidRDefault="00FD611F" w:rsidP="00F76882">
            <w:pPr>
              <w:pStyle w:val="Tabletext"/>
            </w:pPr>
            <w:r w:rsidRPr="003D3BBA">
              <w:t>162</w:t>
            </w:r>
          </w:p>
        </w:tc>
        <w:tc>
          <w:tcPr>
            <w:tcW w:w="172" w:type="pct"/>
            <w:noWrap/>
          </w:tcPr>
          <w:p w14:paraId="6D885487" w14:textId="0A6CDDF7" w:rsidR="00FD611F" w:rsidRPr="003D3BBA" w:rsidRDefault="00FD611F" w:rsidP="00F76882">
            <w:pPr>
              <w:pStyle w:val="Tabletext"/>
            </w:pPr>
            <w:r w:rsidRPr="003D3BBA">
              <w:t>207</w:t>
            </w:r>
          </w:p>
        </w:tc>
        <w:tc>
          <w:tcPr>
            <w:tcW w:w="172" w:type="pct"/>
            <w:noWrap/>
          </w:tcPr>
          <w:p w14:paraId="221FB97A" w14:textId="0D8C024F" w:rsidR="00FD611F" w:rsidRPr="003D3BBA" w:rsidRDefault="00FD611F" w:rsidP="00F76882">
            <w:pPr>
              <w:pStyle w:val="Tabletext"/>
            </w:pPr>
            <w:r w:rsidRPr="003D3BBA">
              <w:t>1189</w:t>
            </w:r>
          </w:p>
        </w:tc>
        <w:tc>
          <w:tcPr>
            <w:tcW w:w="172" w:type="pct"/>
            <w:gridSpan w:val="2"/>
            <w:noWrap/>
          </w:tcPr>
          <w:p w14:paraId="361B4FAB" w14:textId="4F413F4E" w:rsidR="00FD611F" w:rsidRPr="003D3BBA" w:rsidRDefault="00FD611F" w:rsidP="00F76882">
            <w:pPr>
              <w:pStyle w:val="Tabletext"/>
            </w:pPr>
            <w:r w:rsidRPr="003D3BBA">
              <w:t>1744</w:t>
            </w:r>
          </w:p>
        </w:tc>
        <w:tc>
          <w:tcPr>
            <w:tcW w:w="172" w:type="pct"/>
            <w:noWrap/>
          </w:tcPr>
          <w:p w14:paraId="50CC1E80" w14:textId="15266C6E" w:rsidR="00FD611F" w:rsidRPr="003D3BBA" w:rsidRDefault="00FD611F" w:rsidP="00F76882">
            <w:pPr>
              <w:pStyle w:val="Tabletext"/>
            </w:pPr>
            <w:r w:rsidRPr="003D3BBA">
              <w:t>275</w:t>
            </w:r>
          </w:p>
        </w:tc>
        <w:tc>
          <w:tcPr>
            <w:tcW w:w="172" w:type="pct"/>
            <w:noWrap/>
          </w:tcPr>
          <w:p w14:paraId="41BAE400" w14:textId="7E1A6A4F" w:rsidR="00FD611F" w:rsidRPr="003D3BBA" w:rsidRDefault="00FD611F" w:rsidP="00F76882">
            <w:pPr>
              <w:pStyle w:val="Tabletext"/>
            </w:pPr>
            <w:r w:rsidRPr="003D3BBA">
              <w:t>300</w:t>
            </w:r>
          </w:p>
        </w:tc>
        <w:tc>
          <w:tcPr>
            <w:tcW w:w="172" w:type="pct"/>
            <w:noWrap/>
          </w:tcPr>
          <w:p w14:paraId="39C9A320" w14:textId="566D5B4C" w:rsidR="00FD611F" w:rsidRPr="003D3BBA" w:rsidRDefault="00FD611F" w:rsidP="00F76882">
            <w:pPr>
              <w:pStyle w:val="Tabletext"/>
            </w:pPr>
            <w:r w:rsidRPr="003D3BBA">
              <w:t>351</w:t>
            </w:r>
          </w:p>
        </w:tc>
        <w:tc>
          <w:tcPr>
            <w:tcW w:w="172" w:type="pct"/>
            <w:noWrap/>
          </w:tcPr>
          <w:p w14:paraId="0783D546" w14:textId="3C546387" w:rsidR="00FD611F" w:rsidRPr="003D3BBA" w:rsidRDefault="00FD611F" w:rsidP="00F76882">
            <w:pPr>
              <w:pStyle w:val="Tabletext"/>
            </w:pPr>
            <w:r w:rsidRPr="003D3BBA">
              <w:t>2012</w:t>
            </w:r>
          </w:p>
        </w:tc>
        <w:tc>
          <w:tcPr>
            <w:tcW w:w="172" w:type="pct"/>
            <w:gridSpan w:val="2"/>
            <w:noWrap/>
          </w:tcPr>
          <w:p w14:paraId="67999F51" w14:textId="0C7B019F" w:rsidR="00FD611F" w:rsidRPr="003D3BBA" w:rsidRDefault="00FD611F" w:rsidP="00F76882">
            <w:pPr>
              <w:pStyle w:val="Tabletext"/>
            </w:pPr>
            <w:r w:rsidRPr="003D3BBA">
              <w:t>2938</w:t>
            </w:r>
          </w:p>
        </w:tc>
      </w:tr>
      <w:tr w:rsidR="00B1031A" w:rsidRPr="0036007C" w14:paraId="19E2CE9B" w14:textId="77777777" w:rsidTr="00C44879">
        <w:trPr>
          <w:trHeight w:val="515"/>
        </w:trPr>
        <w:tc>
          <w:tcPr>
            <w:tcW w:w="698" w:type="pct"/>
            <w:shd w:val="clear" w:color="000000" w:fill="BFBFBF"/>
            <w:hideMark/>
          </w:tcPr>
          <w:p w14:paraId="0D746E76" w14:textId="77777777" w:rsidR="00FD611F" w:rsidRPr="003D3BBA" w:rsidRDefault="00FD611F" w:rsidP="00F76882">
            <w:pPr>
              <w:pStyle w:val="Tabletextleft"/>
            </w:pPr>
            <w:r w:rsidRPr="003D3BBA">
              <w:t>Number of community members who received treatment</w:t>
            </w:r>
          </w:p>
        </w:tc>
        <w:tc>
          <w:tcPr>
            <w:tcW w:w="172" w:type="pct"/>
            <w:shd w:val="clear" w:color="000000" w:fill="BFBFBF"/>
            <w:noWrap/>
          </w:tcPr>
          <w:p w14:paraId="46BE696D" w14:textId="65F9E07D" w:rsidR="00FD611F" w:rsidRPr="003D3BBA" w:rsidRDefault="00FD611F" w:rsidP="00F76882">
            <w:pPr>
              <w:pStyle w:val="Tabletext"/>
            </w:pPr>
            <w:r w:rsidRPr="003D3BBA">
              <w:t>64</w:t>
            </w:r>
          </w:p>
        </w:tc>
        <w:tc>
          <w:tcPr>
            <w:tcW w:w="172" w:type="pct"/>
            <w:shd w:val="clear" w:color="000000" w:fill="BFBFBF"/>
            <w:noWrap/>
          </w:tcPr>
          <w:p w14:paraId="11DF5C28" w14:textId="3E26104C" w:rsidR="00FD611F" w:rsidRPr="003D3BBA" w:rsidRDefault="00FD611F" w:rsidP="00F76882">
            <w:pPr>
              <w:pStyle w:val="Tabletext"/>
            </w:pPr>
            <w:r w:rsidRPr="003D3BBA">
              <w:t>89</w:t>
            </w:r>
          </w:p>
        </w:tc>
        <w:tc>
          <w:tcPr>
            <w:tcW w:w="172" w:type="pct"/>
            <w:shd w:val="clear" w:color="000000" w:fill="BFBFBF"/>
            <w:noWrap/>
          </w:tcPr>
          <w:p w14:paraId="40DF310A" w14:textId="554C1B3C" w:rsidR="00FD611F" w:rsidRPr="003D3BBA" w:rsidRDefault="00FD611F" w:rsidP="00F76882">
            <w:pPr>
              <w:pStyle w:val="Tabletext"/>
            </w:pPr>
            <w:r w:rsidRPr="003D3BBA">
              <w:t>84</w:t>
            </w:r>
          </w:p>
        </w:tc>
        <w:tc>
          <w:tcPr>
            <w:tcW w:w="172" w:type="pct"/>
            <w:shd w:val="clear" w:color="000000" w:fill="BFBFBF"/>
            <w:noWrap/>
          </w:tcPr>
          <w:p w14:paraId="4D69238D" w14:textId="63BDAEA7" w:rsidR="00FD611F" w:rsidRPr="003D3BBA" w:rsidRDefault="00FD611F" w:rsidP="00F76882">
            <w:pPr>
              <w:pStyle w:val="Tabletext"/>
            </w:pPr>
            <w:r w:rsidRPr="003D3BBA">
              <w:t>499</w:t>
            </w:r>
          </w:p>
        </w:tc>
        <w:tc>
          <w:tcPr>
            <w:tcW w:w="172" w:type="pct"/>
            <w:gridSpan w:val="2"/>
            <w:shd w:val="clear" w:color="000000" w:fill="BFBFBF"/>
            <w:noWrap/>
          </w:tcPr>
          <w:p w14:paraId="5585A6AC" w14:textId="7EE21F0C" w:rsidR="00FD611F" w:rsidRPr="003D3BBA" w:rsidRDefault="00FD611F" w:rsidP="00F76882">
            <w:pPr>
              <w:pStyle w:val="Tabletext"/>
            </w:pPr>
            <w:r w:rsidRPr="003D3BBA">
              <w:t>736</w:t>
            </w:r>
          </w:p>
        </w:tc>
        <w:tc>
          <w:tcPr>
            <w:tcW w:w="172" w:type="pct"/>
            <w:shd w:val="clear" w:color="000000" w:fill="BFBFBF"/>
            <w:noWrap/>
          </w:tcPr>
          <w:p w14:paraId="0357F525" w14:textId="43CDFC28" w:rsidR="00FD611F" w:rsidRPr="003D3BBA" w:rsidRDefault="00FD611F" w:rsidP="00F76882">
            <w:pPr>
              <w:pStyle w:val="Tabletext"/>
            </w:pPr>
            <w:r w:rsidRPr="003D3BBA">
              <w:t>0</w:t>
            </w:r>
          </w:p>
        </w:tc>
        <w:tc>
          <w:tcPr>
            <w:tcW w:w="172" w:type="pct"/>
            <w:shd w:val="clear" w:color="000000" w:fill="BFBFBF"/>
            <w:noWrap/>
          </w:tcPr>
          <w:p w14:paraId="60644C0E" w14:textId="504F5A7B" w:rsidR="00FD611F" w:rsidRPr="003D3BBA" w:rsidRDefault="00FD611F" w:rsidP="00F76882">
            <w:pPr>
              <w:pStyle w:val="Tabletext"/>
            </w:pPr>
            <w:r w:rsidRPr="003D3BBA">
              <w:t>2</w:t>
            </w:r>
          </w:p>
        </w:tc>
        <w:tc>
          <w:tcPr>
            <w:tcW w:w="172" w:type="pct"/>
            <w:shd w:val="clear" w:color="000000" w:fill="BFBFBF"/>
            <w:noWrap/>
          </w:tcPr>
          <w:p w14:paraId="02C69719" w14:textId="0F4EF342" w:rsidR="00FD611F" w:rsidRPr="003D3BBA" w:rsidRDefault="00FD611F" w:rsidP="00F76882">
            <w:pPr>
              <w:pStyle w:val="Tabletext"/>
            </w:pPr>
            <w:r w:rsidRPr="003D3BBA">
              <w:t>3</w:t>
            </w:r>
          </w:p>
        </w:tc>
        <w:tc>
          <w:tcPr>
            <w:tcW w:w="172" w:type="pct"/>
            <w:shd w:val="clear" w:color="000000" w:fill="BFBFBF"/>
            <w:noWrap/>
          </w:tcPr>
          <w:p w14:paraId="179F3DAD" w14:textId="62D6E4E5" w:rsidR="00FD611F" w:rsidRPr="003D3BBA" w:rsidRDefault="00FD611F" w:rsidP="00F76882">
            <w:pPr>
              <w:pStyle w:val="Tabletext"/>
            </w:pPr>
            <w:r w:rsidRPr="003D3BBA">
              <w:t>8</w:t>
            </w:r>
          </w:p>
        </w:tc>
        <w:tc>
          <w:tcPr>
            <w:tcW w:w="172" w:type="pct"/>
            <w:gridSpan w:val="2"/>
            <w:shd w:val="clear" w:color="000000" w:fill="BFBFBF"/>
            <w:noWrap/>
          </w:tcPr>
          <w:p w14:paraId="530DD40A" w14:textId="69180EB0" w:rsidR="00FD611F" w:rsidRPr="003D3BBA" w:rsidRDefault="00FD611F" w:rsidP="00F76882">
            <w:pPr>
              <w:pStyle w:val="Tabletext"/>
            </w:pPr>
            <w:r w:rsidRPr="003D3BBA">
              <w:t>13</w:t>
            </w:r>
          </w:p>
        </w:tc>
        <w:tc>
          <w:tcPr>
            <w:tcW w:w="172" w:type="pct"/>
            <w:shd w:val="clear" w:color="000000" w:fill="BFBFBF"/>
          </w:tcPr>
          <w:p w14:paraId="2CFB3D16" w14:textId="5AF86C8C" w:rsidR="00FD611F" w:rsidRPr="003D3BBA" w:rsidRDefault="00FD611F" w:rsidP="00F76882">
            <w:pPr>
              <w:pStyle w:val="Tabletext"/>
            </w:pPr>
            <w:r w:rsidRPr="003D3BBA">
              <w:t>1</w:t>
            </w:r>
          </w:p>
        </w:tc>
        <w:tc>
          <w:tcPr>
            <w:tcW w:w="172" w:type="pct"/>
            <w:shd w:val="clear" w:color="000000" w:fill="BFBFBF"/>
          </w:tcPr>
          <w:p w14:paraId="3D634577" w14:textId="0769254F" w:rsidR="00FD611F" w:rsidRPr="003D3BBA" w:rsidRDefault="00FD611F" w:rsidP="00F76882">
            <w:pPr>
              <w:pStyle w:val="Tabletext"/>
            </w:pPr>
            <w:r w:rsidRPr="003D3BBA">
              <w:t>0</w:t>
            </w:r>
          </w:p>
        </w:tc>
        <w:tc>
          <w:tcPr>
            <w:tcW w:w="172" w:type="pct"/>
            <w:shd w:val="clear" w:color="000000" w:fill="BFBFBF"/>
          </w:tcPr>
          <w:p w14:paraId="246CC338" w14:textId="67C8F122" w:rsidR="00FD611F" w:rsidRPr="003D3BBA" w:rsidRDefault="00FD611F" w:rsidP="00F76882">
            <w:pPr>
              <w:pStyle w:val="Tabletext"/>
            </w:pPr>
            <w:r w:rsidRPr="003D3BBA">
              <w:t>1</w:t>
            </w:r>
          </w:p>
        </w:tc>
        <w:tc>
          <w:tcPr>
            <w:tcW w:w="172" w:type="pct"/>
            <w:shd w:val="clear" w:color="000000" w:fill="BFBFBF"/>
          </w:tcPr>
          <w:p w14:paraId="7B89FEC7" w14:textId="22D7905A" w:rsidR="00FD611F" w:rsidRPr="003D3BBA" w:rsidRDefault="00FD611F" w:rsidP="00F76882">
            <w:pPr>
              <w:pStyle w:val="Tabletext"/>
            </w:pPr>
            <w:r w:rsidRPr="003D3BBA">
              <w:t>4</w:t>
            </w:r>
          </w:p>
        </w:tc>
        <w:tc>
          <w:tcPr>
            <w:tcW w:w="172" w:type="pct"/>
            <w:gridSpan w:val="2"/>
            <w:shd w:val="clear" w:color="000000" w:fill="BFBFBF"/>
          </w:tcPr>
          <w:p w14:paraId="46AF6898" w14:textId="42C98EDB" w:rsidR="00FD611F" w:rsidRPr="003D3BBA" w:rsidRDefault="00FD611F" w:rsidP="00F76882">
            <w:pPr>
              <w:pStyle w:val="Tabletext"/>
            </w:pPr>
            <w:r w:rsidRPr="003D3BBA">
              <w:t>6</w:t>
            </w:r>
          </w:p>
        </w:tc>
        <w:tc>
          <w:tcPr>
            <w:tcW w:w="172" w:type="pct"/>
            <w:shd w:val="clear" w:color="000000" w:fill="BFBFBF"/>
            <w:noWrap/>
          </w:tcPr>
          <w:p w14:paraId="548C6B55" w14:textId="497A504F" w:rsidR="00FD611F" w:rsidRPr="003D3BBA" w:rsidRDefault="00FD611F" w:rsidP="00F76882">
            <w:pPr>
              <w:pStyle w:val="Tabletext"/>
            </w:pPr>
            <w:r w:rsidRPr="003D3BBA">
              <w:t>72</w:t>
            </w:r>
          </w:p>
        </w:tc>
        <w:tc>
          <w:tcPr>
            <w:tcW w:w="172" w:type="pct"/>
            <w:shd w:val="clear" w:color="000000" w:fill="BFBFBF"/>
            <w:noWrap/>
          </w:tcPr>
          <w:p w14:paraId="29FE84B5" w14:textId="7467BDFD" w:rsidR="00FD611F" w:rsidRPr="003D3BBA" w:rsidRDefault="00FD611F" w:rsidP="00F76882">
            <w:pPr>
              <w:pStyle w:val="Tabletext"/>
            </w:pPr>
            <w:r w:rsidRPr="003D3BBA">
              <w:t>115</w:t>
            </w:r>
          </w:p>
        </w:tc>
        <w:tc>
          <w:tcPr>
            <w:tcW w:w="172" w:type="pct"/>
            <w:shd w:val="clear" w:color="000000" w:fill="BFBFBF"/>
            <w:noWrap/>
          </w:tcPr>
          <w:p w14:paraId="2435CBA7" w14:textId="4AF08434" w:rsidR="00FD611F" w:rsidRPr="003D3BBA" w:rsidRDefault="00FD611F" w:rsidP="00F76882">
            <w:pPr>
              <w:pStyle w:val="Tabletext"/>
            </w:pPr>
            <w:r w:rsidRPr="003D3BBA">
              <w:t>82</w:t>
            </w:r>
          </w:p>
        </w:tc>
        <w:tc>
          <w:tcPr>
            <w:tcW w:w="172" w:type="pct"/>
            <w:shd w:val="clear" w:color="000000" w:fill="BFBFBF"/>
            <w:noWrap/>
          </w:tcPr>
          <w:p w14:paraId="3ED28C7A" w14:textId="080C8AF2" w:rsidR="00FD611F" w:rsidRPr="003D3BBA" w:rsidRDefault="00FD611F" w:rsidP="00F76882">
            <w:pPr>
              <w:pStyle w:val="Tabletext"/>
            </w:pPr>
            <w:r w:rsidRPr="003D3BBA">
              <w:t>501</w:t>
            </w:r>
          </w:p>
        </w:tc>
        <w:tc>
          <w:tcPr>
            <w:tcW w:w="172" w:type="pct"/>
            <w:gridSpan w:val="2"/>
            <w:shd w:val="clear" w:color="000000" w:fill="BFBFBF"/>
            <w:noWrap/>
          </w:tcPr>
          <w:p w14:paraId="2E63F0C0" w14:textId="643B2766" w:rsidR="00FD611F" w:rsidRPr="003D3BBA" w:rsidRDefault="00FD611F" w:rsidP="00F76882">
            <w:pPr>
              <w:pStyle w:val="Tabletext"/>
            </w:pPr>
            <w:r w:rsidRPr="003D3BBA">
              <w:t>770</w:t>
            </w:r>
          </w:p>
        </w:tc>
        <w:tc>
          <w:tcPr>
            <w:tcW w:w="172" w:type="pct"/>
            <w:shd w:val="clear" w:color="000000" w:fill="BFBFBF"/>
            <w:noWrap/>
          </w:tcPr>
          <w:p w14:paraId="4B17B3B7" w14:textId="4C636AD1" w:rsidR="00FD611F" w:rsidRPr="003D3BBA" w:rsidRDefault="00FD611F" w:rsidP="00F76882">
            <w:pPr>
              <w:pStyle w:val="Tabletext"/>
            </w:pPr>
            <w:r w:rsidRPr="003D3BBA">
              <w:t>137</w:t>
            </w:r>
          </w:p>
        </w:tc>
        <w:tc>
          <w:tcPr>
            <w:tcW w:w="172" w:type="pct"/>
            <w:shd w:val="clear" w:color="000000" w:fill="BFBFBF"/>
            <w:noWrap/>
          </w:tcPr>
          <w:p w14:paraId="675655A2" w14:textId="1D05A9F2" w:rsidR="00FD611F" w:rsidRPr="003D3BBA" w:rsidRDefault="00FD611F" w:rsidP="00F76882">
            <w:pPr>
              <w:pStyle w:val="Tabletext"/>
            </w:pPr>
            <w:r w:rsidRPr="003D3BBA">
              <w:t>206</w:t>
            </w:r>
          </w:p>
        </w:tc>
        <w:tc>
          <w:tcPr>
            <w:tcW w:w="172" w:type="pct"/>
            <w:shd w:val="clear" w:color="000000" w:fill="BFBFBF"/>
            <w:noWrap/>
          </w:tcPr>
          <w:p w14:paraId="7620261A" w14:textId="7D557078" w:rsidR="00FD611F" w:rsidRPr="003D3BBA" w:rsidRDefault="00FD611F" w:rsidP="00F76882">
            <w:pPr>
              <w:pStyle w:val="Tabletext"/>
            </w:pPr>
            <w:r w:rsidRPr="003D3BBA">
              <w:t>170</w:t>
            </w:r>
          </w:p>
        </w:tc>
        <w:tc>
          <w:tcPr>
            <w:tcW w:w="172" w:type="pct"/>
            <w:shd w:val="clear" w:color="000000" w:fill="BFBFBF"/>
            <w:noWrap/>
          </w:tcPr>
          <w:p w14:paraId="4A62B61F" w14:textId="51C89757" w:rsidR="00FD611F" w:rsidRPr="003D3BBA" w:rsidRDefault="00FD611F" w:rsidP="00F76882">
            <w:pPr>
              <w:pStyle w:val="Tabletext"/>
            </w:pPr>
            <w:r w:rsidRPr="003D3BBA">
              <w:t>1012</w:t>
            </w:r>
          </w:p>
        </w:tc>
        <w:tc>
          <w:tcPr>
            <w:tcW w:w="172" w:type="pct"/>
            <w:gridSpan w:val="2"/>
            <w:shd w:val="clear" w:color="000000" w:fill="BFBFBF"/>
            <w:noWrap/>
          </w:tcPr>
          <w:p w14:paraId="47F194B5" w14:textId="1762C63D" w:rsidR="00FD611F" w:rsidRPr="003D3BBA" w:rsidRDefault="00FD611F" w:rsidP="00F76882">
            <w:pPr>
              <w:pStyle w:val="Tabletext"/>
            </w:pPr>
            <w:r w:rsidRPr="003D3BBA">
              <w:t>1525</w:t>
            </w:r>
          </w:p>
        </w:tc>
      </w:tr>
      <w:tr w:rsidR="00B1031A" w:rsidRPr="0036007C" w14:paraId="08918C7C" w14:textId="77777777" w:rsidTr="00C44879">
        <w:trPr>
          <w:trHeight w:val="773"/>
        </w:trPr>
        <w:tc>
          <w:tcPr>
            <w:tcW w:w="698" w:type="pct"/>
            <w:hideMark/>
          </w:tcPr>
          <w:p w14:paraId="2D1CC489" w14:textId="77777777" w:rsidR="00FD611F" w:rsidRPr="006043C2" w:rsidRDefault="00FD611F" w:rsidP="00F76882">
            <w:pPr>
              <w:pStyle w:val="Tabletextleft"/>
              <w:rPr>
                <w:rStyle w:val="Emphasis"/>
              </w:rPr>
            </w:pPr>
            <w:r w:rsidRPr="006043C2">
              <w:rPr>
                <w:rStyle w:val="Emphasis"/>
              </w:rPr>
              <w:t>Estimated community members who received treatment (%)</w:t>
            </w:r>
          </w:p>
        </w:tc>
        <w:tc>
          <w:tcPr>
            <w:tcW w:w="172" w:type="pct"/>
            <w:noWrap/>
          </w:tcPr>
          <w:p w14:paraId="43AC8666" w14:textId="435BDFA3" w:rsidR="00FD611F" w:rsidRPr="003D3BBA" w:rsidRDefault="00FD611F" w:rsidP="00F76882">
            <w:pPr>
              <w:pStyle w:val="Tabletext"/>
              <w:rPr>
                <w:rStyle w:val="Emphasis"/>
              </w:rPr>
            </w:pPr>
            <w:r w:rsidRPr="003D3BBA">
              <w:rPr>
                <w:rStyle w:val="Emphasis"/>
              </w:rPr>
              <w:t>73</w:t>
            </w:r>
          </w:p>
        </w:tc>
        <w:tc>
          <w:tcPr>
            <w:tcW w:w="172" w:type="pct"/>
            <w:noWrap/>
          </w:tcPr>
          <w:p w14:paraId="4CACCD99" w14:textId="369F4303" w:rsidR="00FD611F" w:rsidRPr="003D3BBA" w:rsidRDefault="00FD611F" w:rsidP="00F76882">
            <w:pPr>
              <w:pStyle w:val="Tabletext"/>
              <w:rPr>
                <w:rStyle w:val="Emphasis"/>
              </w:rPr>
            </w:pPr>
            <w:r w:rsidRPr="003D3BBA">
              <w:rPr>
                <w:rStyle w:val="Emphasis"/>
              </w:rPr>
              <w:t>65</w:t>
            </w:r>
          </w:p>
        </w:tc>
        <w:tc>
          <w:tcPr>
            <w:tcW w:w="172" w:type="pct"/>
            <w:noWrap/>
          </w:tcPr>
          <w:p w14:paraId="1C58388E" w14:textId="16DA98EB" w:rsidR="00FD611F" w:rsidRPr="003D3BBA" w:rsidRDefault="00FD611F" w:rsidP="00F76882">
            <w:pPr>
              <w:pStyle w:val="Tabletext"/>
              <w:rPr>
                <w:rStyle w:val="Emphasis"/>
              </w:rPr>
            </w:pPr>
            <w:r w:rsidRPr="003D3BBA">
              <w:rPr>
                <w:rStyle w:val="Emphasis"/>
              </w:rPr>
              <w:t>60</w:t>
            </w:r>
          </w:p>
        </w:tc>
        <w:tc>
          <w:tcPr>
            <w:tcW w:w="172" w:type="pct"/>
            <w:noWrap/>
          </w:tcPr>
          <w:p w14:paraId="7F7E6E7B" w14:textId="5B292624" w:rsidR="00FD611F" w:rsidRPr="003D3BBA" w:rsidRDefault="00FD611F" w:rsidP="00F76882">
            <w:pPr>
              <w:pStyle w:val="Tabletext"/>
              <w:rPr>
                <w:rStyle w:val="Emphasis"/>
              </w:rPr>
            </w:pPr>
            <w:r w:rsidRPr="003D3BBA">
              <w:rPr>
                <w:rStyle w:val="Emphasis"/>
              </w:rPr>
              <w:t>62</w:t>
            </w:r>
          </w:p>
        </w:tc>
        <w:tc>
          <w:tcPr>
            <w:tcW w:w="172" w:type="pct"/>
            <w:gridSpan w:val="2"/>
            <w:noWrap/>
          </w:tcPr>
          <w:p w14:paraId="30616F27" w14:textId="54A92AD0" w:rsidR="00FD611F" w:rsidRPr="003D3BBA" w:rsidRDefault="00FD611F" w:rsidP="00F76882">
            <w:pPr>
              <w:pStyle w:val="Tabletext"/>
              <w:rPr>
                <w:rStyle w:val="Emphasis"/>
              </w:rPr>
            </w:pPr>
            <w:r w:rsidRPr="003D3BBA">
              <w:rPr>
                <w:rStyle w:val="Emphasis"/>
              </w:rPr>
              <w:t>63</w:t>
            </w:r>
          </w:p>
        </w:tc>
        <w:tc>
          <w:tcPr>
            <w:tcW w:w="172" w:type="pct"/>
            <w:noWrap/>
          </w:tcPr>
          <w:p w14:paraId="24F1F86C" w14:textId="78DC5170" w:rsidR="00FD611F" w:rsidRPr="003D3BBA" w:rsidRDefault="00FD611F" w:rsidP="00F76882">
            <w:pPr>
              <w:pStyle w:val="Tabletext"/>
              <w:rPr>
                <w:rStyle w:val="Emphasis"/>
              </w:rPr>
            </w:pPr>
            <w:r w:rsidRPr="003D3BBA">
              <w:rPr>
                <w:rStyle w:val="Emphasis"/>
              </w:rPr>
              <w:t>N/A</w:t>
            </w:r>
          </w:p>
        </w:tc>
        <w:tc>
          <w:tcPr>
            <w:tcW w:w="172" w:type="pct"/>
            <w:noWrap/>
          </w:tcPr>
          <w:p w14:paraId="71D4051F" w14:textId="372D3AC3" w:rsidR="00FD611F" w:rsidRPr="003D3BBA" w:rsidRDefault="00FD611F" w:rsidP="00F76882">
            <w:pPr>
              <w:pStyle w:val="Tabletext"/>
              <w:rPr>
                <w:rStyle w:val="Emphasis"/>
              </w:rPr>
            </w:pPr>
            <w:r w:rsidRPr="003D3BBA">
              <w:rPr>
                <w:rStyle w:val="Emphasis"/>
              </w:rPr>
              <w:t>100</w:t>
            </w:r>
          </w:p>
        </w:tc>
        <w:tc>
          <w:tcPr>
            <w:tcW w:w="172" w:type="pct"/>
            <w:shd w:val="clear" w:color="000000" w:fill="FFFFFF"/>
            <w:noWrap/>
          </w:tcPr>
          <w:p w14:paraId="6DD577CF" w14:textId="5D341518" w:rsidR="00FD611F" w:rsidRPr="003D3BBA" w:rsidRDefault="00FD611F" w:rsidP="00F76882">
            <w:pPr>
              <w:pStyle w:val="Tabletext"/>
              <w:rPr>
                <w:rStyle w:val="Emphasis"/>
              </w:rPr>
            </w:pPr>
            <w:r w:rsidRPr="003D3BBA">
              <w:rPr>
                <w:rStyle w:val="Emphasis"/>
              </w:rPr>
              <w:t>100</w:t>
            </w:r>
          </w:p>
        </w:tc>
        <w:tc>
          <w:tcPr>
            <w:tcW w:w="172" w:type="pct"/>
            <w:noWrap/>
          </w:tcPr>
          <w:p w14:paraId="316242A7" w14:textId="321A13C9" w:rsidR="00FD611F" w:rsidRPr="003D3BBA" w:rsidRDefault="00FD611F" w:rsidP="00F76882">
            <w:pPr>
              <w:pStyle w:val="Tabletext"/>
              <w:rPr>
                <w:rStyle w:val="Emphasis"/>
              </w:rPr>
            </w:pPr>
            <w:r w:rsidRPr="003D3BBA">
              <w:rPr>
                <w:rStyle w:val="Emphasis"/>
              </w:rPr>
              <w:t>100</w:t>
            </w:r>
          </w:p>
        </w:tc>
        <w:tc>
          <w:tcPr>
            <w:tcW w:w="172" w:type="pct"/>
            <w:gridSpan w:val="2"/>
            <w:noWrap/>
          </w:tcPr>
          <w:p w14:paraId="21A3BD4A" w14:textId="2D75C63C" w:rsidR="00FD611F" w:rsidRPr="003D3BBA" w:rsidRDefault="00FD611F" w:rsidP="00F76882">
            <w:pPr>
              <w:pStyle w:val="Tabletext"/>
              <w:rPr>
                <w:rStyle w:val="Emphasis"/>
              </w:rPr>
            </w:pPr>
            <w:r w:rsidRPr="003D3BBA">
              <w:rPr>
                <w:rStyle w:val="Emphasis"/>
              </w:rPr>
              <w:t>100</w:t>
            </w:r>
          </w:p>
        </w:tc>
        <w:tc>
          <w:tcPr>
            <w:tcW w:w="172" w:type="pct"/>
          </w:tcPr>
          <w:p w14:paraId="65CB02D3" w14:textId="1A42B8D3" w:rsidR="00FD611F" w:rsidRPr="003D3BBA" w:rsidRDefault="00FD611F" w:rsidP="00F76882">
            <w:pPr>
              <w:pStyle w:val="Tabletext"/>
              <w:rPr>
                <w:rStyle w:val="Emphasis"/>
              </w:rPr>
            </w:pPr>
            <w:r w:rsidRPr="003D3BBA">
              <w:rPr>
                <w:rStyle w:val="Emphasis"/>
              </w:rPr>
              <w:t>100</w:t>
            </w:r>
          </w:p>
        </w:tc>
        <w:tc>
          <w:tcPr>
            <w:tcW w:w="172" w:type="pct"/>
          </w:tcPr>
          <w:p w14:paraId="38384526" w14:textId="47F3DF8E" w:rsidR="00FD611F" w:rsidRPr="003D3BBA" w:rsidRDefault="0097514C" w:rsidP="00F76882">
            <w:pPr>
              <w:pStyle w:val="Tabletext"/>
              <w:rPr>
                <w:rStyle w:val="Emphasis"/>
              </w:rPr>
            </w:pPr>
            <w:r w:rsidRPr="003D3BBA">
              <w:rPr>
                <w:rStyle w:val="Emphasis"/>
              </w:rPr>
              <w:t>N/A</w:t>
            </w:r>
          </w:p>
        </w:tc>
        <w:tc>
          <w:tcPr>
            <w:tcW w:w="172" w:type="pct"/>
          </w:tcPr>
          <w:p w14:paraId="61C19D3E" w14:textId="3ABF558D" w:rsidR="00FD611F" w:rsidRPr="003D3BBA" w:rsidRDefault="00FD611F" w:rsidP="00F76882">
            <w:pPr>
              <w:pStyle w:val="Tabletext"/>
              <w:rPr>
                <w:rStyle w:val="Emphasis"/>
              </w:rPr>
            </w:pPr>
            <w:r w:rsidRPr="003D3BBA">
              <w:rPr>
                <w:rStyle w:val="Emphasis"/>
              </w:rPr>
              <w:t>100</w:t>
            </w:r>
          </w:p>
        </w:tc>
        <w:tc>
          <w:tcPr>
            <w:tcW w:w="172" w:type="pct"/>
          </w:tcPr>
          <w:p w14:paraId="5BBA3694" w14:textId="5941DD1C" w:rsidR="00FD611F" w:rsidRPr="003D3BBA" w:rsidRDefault="00FD611F" w:rsidP="00F76882">
            <w:pPr>
              <w:pStyle w:val="Tabletext"/>
              <w:rPr>
                <w:rStyle w:val="Emphasis"/>
              </w:rPr>
            </w:pPr>
            <w:r w:rsidRPr="003D3BBA">
              <w:rPr>
                <w:rStyle w:val="Emphasis"/>
              </w:rPr>
              <w:t>100</w:t>
            </w:r>
          </w:p>
        </w:tc>
        <w:tc>
          <w:tcPr>
            <w:tcW w:w="172" w:type="pct"/>
            <w:gridSpan w:val="2"/>
          </w:tcPr>
          <w:p w14:paraId="3EE3BDAB" w14:textId="4ECC61AC" w:rsidR="00FD611F" w:rsidRPr="003D3BBA" w:rsidRDefault="00FD611F" w:rsidP="00F76882">
            <w:pPr>
              <w:pStyle w:val="Tabletext"/>
              <w:rPr>
                <w:rStyle w:val="Emphasis"/>
              </w:rPr>
            </w:pPr>
            <w:r w:rsidRPr="003D3BBA">
              <w:rPr>
                <w:rStyle w:val="Emphasis"/>
              </w:rPr>
              <w:t>100</w:t>
            </w:r>
          </w:p>
        </w:tc>
        <w:tc>
          <w:tcPr>
            <w:tcW w:w="172" w:type="pct"/>
            <w:noWrap/>
          </w:tcPr>
          <w:p w14:paraId="21A17156" w14:textId="11CBEFE9" w:rsidR="00FD611F" w:rsidRPr="003D3BBA" w:rsidRDefault="00FD611F" w:rsidP="00F76882">
            <w:pPr>
              <w:pStyle w:val="Tabletext"/>
              <w:rPr>
                <w:rStyle w:val="Emphasis"/>
              </w:rPr>
            </w:pPr>
            <w:r w:rsidRPr="003D3BBA">
              <w:rPr>
                <w:rStyle w:val="Emphasis"/>
              </w:rPr>
              <w:t>39</w:t>
            </w:r>
          </w:p>
        </w:tc>
        <w:tc>
          <w:tcPr>
            <w:tcW w:w="172" w:type="pct"/>
            <w:noWrap/>
          </w:tcPr>
          <w:p w14:paraId="4985C596" w14:textId="57BF6AC0" w:rsidR="00FD611F" w:rsidRPr="003D3BBA" w:rsidRDefault="00FD611F" w:rsidP="00F76882">
            <w:pPr>
              <w:pStyle w:val="Tabletext"/>
              <w:rPr>
                <w:rStyle w:val="Emphasis"/>
              </w:rPr>
            </w:pPr>
            <w:r w:rsidRPr="003D3BBA">
              <w:rPr>
                <w:rStyle w:val="Emphasis"/>
              </w:rPr>
              <w:t>71</w:t>
            </w:r>
          </w:p>
        </w:tc>
        <w:tc>
          <w:tcPr>
            <w:tcW w:w="172" w:type="pct"/>
            <w:noWrap/>
          </w:tcPr>
          <w:p w14:paraId="2BF9E110" w14:textId="656F2EED" w:rsidR="00FD611F" w:rsidRPr="003D3BBA" w:rsidRDefault="00FD611F" w:rsidP="00F76882">
            <w:pPr>
              <w:pStyle w:val="Tabletext"/>
              <w:rPr>
                <w:rStyle w:val="Emphasis"/>
              </w:rPr>
            </w:pPr>
            <w:r w:rsidRPr="003D3BBA">
              <w:rPr>
                <w:rStyle w:val="Emphasis"/>
              </w:rPr>
              <w:t>40</w:t>
            </w:r>
          </w:p>
        </w:tc>
        <w:tc>
          <w:tcPr>
            <w:tcW w:w="172" w:type="pct"/>
            <w:noWrap/>
          </w:tcPr>
          <w:p w14:paraId="2C3BE6ED" w14:textId="75681881" w:rsidR="00FD611F" w:rsidRPr="003D3BBA" w:rsidRDefault="00FD611F" w:rsidP="00F76882">
            <w:pPr>
              <w:pStyle w:val="Tabletext"/>
              <w:rPr>
                <w:rStyle w:val="Emphasis"/>
              </w:rPr>
            </w:pPr>
            <w:r w:rsidRPr="003D3BBA">
              <w:rPr>
                <w:rStyle w:val="Emphasis"/>
              </w:rPr>
              <w:t>42</w:t>
            </w:r>
          </w:p>
        </w:tc>
        <w:tc>
          <w:tcPr>
            <w:tcW w:w="172" w:type="pct"/>
            <w:gridSpan w:val="2"/>
            <w:noWrap/>
          </w:tcPr>
          <w:p w14:paraId="1116C9D9" w14:textId="358107F9" w:rsidR="00FD611F" w:rsidRPr="003D3BBA" w:rsidRDefault="00FD611F" w:rsidP="00F76882">
            <w:pPr>
              <w:pStyle w:val="Tabletext"/>
              <w:rPr>
                <w:rStyle w:val="Emphasis"/>
              </w:rPr>
            </w:pPr>
            <w:r w:rsidRPr="003D3BBA">
              <w:rPr>
                <w:rStyle w:val="Emphasis"/>
              </w:rPr>
              <w:t>44</w:t>
            </w:r>
          </w:p>
        </w:tc>
        <w:tc>
          <w:tcPr>
            <w:tcW w:w="172" w:type="pct"/>
            <w:noWrap/>
          </w:tcPr>
          <w:p w14:paraId="324A42B4" w14:textId="321B9FB8" w:rsidR="00FD611F" w:rsidRPr="003D3BBA" w:rsidRDefault="00FD611F" w:rsidP="00F76882">
            <w:pPr>
              <w:pStyle w:val="Tabletext"/>
              <w:rPr>
                <w:rStyle w:val="Emphasis"/>
              </w:rPr>
            </w:pPr>
            <w:r w:rsidRPr="003D3BBA">
              <w:rPr>
                <w:rStyle w:val="Emphasis"/>
              </w:rPr>
              <w:t>50</w:t>
            </w:r>
          </w:p>
        </w:tc>
        <w:tc>
          <w:tcPr>
            <w:tcW w:w="172" w:type="pct"/>
            <w:noWrap/>
          </w:tcPr>
          <w:p w14:paraId="65EDC80F" w14:textId="68CB1B86" w:rsidR="00FD611F" w:rsidRPr="003D3BBA" w:rsidRDefault="00FD611F" w:rsidP="00F76882">
            <w:pPr>
              <w:pStyle w:val="Tabletext"/>
              <w:rPr>
                <w:rStyle w:val="Emphasis"/>
              </w:rPr>
            </w:pPr>
            <w:r w:rsidRPr="003D3BBA">
              <w:rPr>
                <w:rStyle w:val="Emphasis"/>
              </w:rPr>
              <w:t>69</w:t>
            </w:r>
          </w:p>
        </w:tc>
        <w:tc>
          <w:tcPr>
            <w:tcW w:w="172" w:type="pct"/>
            <w:noWrap/>
          </w:tcPr>
          <w:p w14:paraId="6E20CB07" w14:textId="52EBE109" w:rsidR="00FD611F" w:rsidRPr="003D3BBA" w:rsidRDefault="00FD611F" w:rsidP="00F76882">
            <w:pPr>
              <w:pStyle w:val="Tabletext"/>
              <w:rPr>
                <w:rStyle w:val="Emphasis"/>
              </w:rPr>
            </w:pPr>
            <w:r w:rsidRPr="003D3BBA">
              <w:rPr>
                <w:rStyle w:val="Emphasis"/>
              </w:rPr>
              <w:t>48</w:t>
            </w:r>
          </w:p>
        </w:tc>
        <w:tc>
          <w:tcPr>
            <w:tcW w:w="172" w:type="pct"/>
            <w:noWrap/>
          </w:tcPr>
          <w:p w14:paraId="7B19B4BD" w14:textId="3E24EBB0" w:rsidR="00FD611F" w:rsidRPr="003D3BBA" w:rsidRDefault="00FD611F" w:rsidP="00F76882">
            <w:pPr>
              <w:pStyle w:val="Tabletext"/>
              <w:rPr>
                <w:rStyle w:val="Emphasis"/>
              </w:rPr>
            </w:pPr>
            <w:r w:rsidRPr="003D3BBA">
              <w:rPr>
                <w:rStyle w:val="Emphasis"/>
              </w:rPr>
              <w:t>50</w:t>
            </w:r>
          </w:p>
        </w:tc>
        <w:tc>
          <w:tcPr>
            <w:tcW w:w="172" w:type="pct"/>
            <w:gridSpan w:val="2"/>
            <w:noWrap/>
          </w:tcPr>
          <w:p w14:paraId="2437B7C3" w14:textId="29729B7A" w:rsidR="00FD611F" w:rsidRPr="003D3BBA" w:rsidRDefault="00FD611F" w:rsidP="00F76882">
            <w:pPr>
              <w:pStyle w:val="Tabletext"/>
              <w:rPr>
                <w:rStyle w:val="Emphasis"/>
              </w:rPr>
            </w:pPr>
            <w:r w:rsidRPr="003D3BBA">
              <w:rPr>
                <w:rStyle w:val="Emphasis"/>
              </w:rPr>
              <w:t>52</w:t>
            </w:r>
          </w:p>
        </w:tc>
      </w:tr>
      <w:tr w:rsidR="00B1031A" w:rsidRPr="0036007C" w14:paraId="6529B977" w14:textId="77777777" w:rsidTr="00C44879">
        <w:trPr>
          <w:trHeight w:val="515"/>
        </w:trPr>
        <w:tc>
          <w:tcPr>
            <w:tcW w:w="698" w:type="pct"/>
            <w:shd w:val="clear" w:color="000000" w:fill="BFBFBF"/>
            <w:hideMark/>
          </w:tcPr>
          <w:p w14:paraId="52C71FF3" w14:textId="77777777" w:rsidR="00FD611F" w:rsidRPr="003D3BBA" w:rsidRDefault="00FD611F" w:rsidP="00F76882">
            <w:pPr>
              <w:pStyle w:val="Tabletextleft"/>
            </w:pPr>
            <w:r w:rsidRPr="003D3BBA">
              <w:t>Number of community members that refused treatment</w:t>
            </w:r>
          </w:p>
        </w:tc>
        <w:tc>
          <w:tcPr>
            <w:tcW w:w="172" w:type="pct"/>
            <w:shd w:val="clear" w:color="000000" w:fill="BFBFBF"/>
            <w:noWrap/>
          </w:tcPr>
          <w:p w14:paraId="3C21A23E" w14:textId="2CC35750" w:rsidR="00FD611F" w:rsidRPr="003D3BBA" w:rsidRDefault="00FD611F" w:rsidP="00F76882">
            <w:pPr>
              <w:pStyle w:val="Tabletext"/>
            </w:pPr>
            <w:r w:rsidRPr="003D3BBA">
              <w:t>5</w:t>
            </w:r>
          </w:p>
        </w:tc>
        <w:tc>
          <w:tcPr>
            <w:tcW w:w="172" w:type="pct"/>
            <w:shd w:val="clear" w:color="000000" w:fill="BFBFBF"/>
            <w:noWrap/>
          </w:tcPr>
          <w:p w14:paraId="7159ECC0" w14:textId="5CF9502F" w:rsidR="00FD611F" w:rsidRPr="003D3BBA" w:rsidRDefault="00FD611F" w:rsidP="00F76882">
            <w:pPr>
              <w:pStyle w:val="Tabletext"/>
            </w:pPr>
            <w:r w:rsidRPr="003D3BBA">
              <w:t>7</w:t>
            </w:r>
          </w:p>
        </w:tc>
        <w:tc>
          <w:tcPr>
            <w:tcW w:w="172" w:type="pct"/>
            <w:shd w:val="clear" w:color="000000" w:fill="BFBFBF"/>
            <w:noWrap/>
          </w:tcPr>
          <w:p w14:paraId="21DC85DA" w14:textId="6385F6C9" w:rsidR="00FD611F" w:rsidRPr="003D3BBA" w:rsidRDefault="00FD611F" w:rsidP="00F76882">
            <w:pPr>
              <w:pStyle w:val="Tabletext"/>
            </w:pPr>
            <w:r w:rsidRPr="003D3BBA">
              <w:t>6</w:t>
            </w:r>
          </w:p>
        </w:tc>
        <w:tc>
          <w:tcPr>
            <w:tcW w:w="172" w:type="pct"/>
            <w:shd w:val="clear" w:color="000000" w:fill="BFBFBF"/>
            <w:noWrap/>
          </w:tcPr>
          <w:p w14:paraId="2407B8AA" w14:textId="25596373" w:rsidR="00FD611F" w:rsidRPr="003D3BBA" w:rsidRDefault="00FD611F" w:rsidP="00F76882">
            <w:pPr>
              <w:pStyle w:val="Tabletext"/>
            </w:pPr>
            <w:r w:rsidRPr="003D3BBA">
              <w:t>34</w:t>
            </w:r>
          </w:p>
        </w:tc>
        <w:tc>
          <w:tcPr>
            <w:tcW w:w="172" w:type="pct"/>
            <w:gridSpan w:val="2"/>
            <w:shd w:val="clear" w:color="000000" w:fill="BFBFBF"/>
            <w:noWrap/>
          </w:tcPr>
          <w:p w14:paraId="57441BA3" w14:textId="7148F1DD" w:rsidR="00FD611F" w:rsidRPr="003D3BBA" w:rsidRDefault="00FD611F" w:rsidP="00F76882">
            <w:pPr>
              <w:pStyle w:val="Tabletext"/>
            </w:pPr>
            <w:r w:rsidRPr="003D3BBA">
              <w:t>52</w:t>
            </w:r>
          </w:p>
        </w:tc>
        <w:tc>
          <w:tcPr>
            <w:tcW w:w="172" w:type="pct"/>
            <w:shd w:val="clear" w:color="000000" w:fill="BFBFBF"/>
            <w:noWrap/>
          </w:tcPr>
          <w:p w14:paraId="6AE519CC" w14:textId="1673A93E" w:rsidR="00FD611F" w:rsidRPr="003D3BBA" w:rsidRDefault="00FD611F" w:rsidP="00F76882">
            <w:pPr>
              <w:pStyle w:val="Tabletext"/>
            </w:pPr>
            <w:r w:rsidRPr="003D3BBA">
              <w:t>0</w:t>
            </w:r>
          </w:p>
        </w:tc>
        <w:tc>
          <w:tcPr>
            <w:tcW w:w="172" w:type="pct"/>
            <w:shd w:val="clear" w:color="000000" w:fill="BFBFBF"/>
            <w:noWrap/>
          </w:tcPr>
          <w:p w14:paraId="721BA24A" w14:textId="6E307009" w:rsidR="00FD611F" w:rsidRPr="003D3BBA" w:rsidRDefault="00FD611F" w:rsidP="00F76882">
            <w:pPr>
              <w:pStyle w:val="Tabletext"/>
            </w:pPr>
            <w:r w:rsidRPr="003D3BBA">
              <w:t>0</w:t>
            </w:r>
          </w:p>
        </w:tc>
        <w:tc>
          <w:tcPr>
            <w:tcW w:w="172" w:type="pct"/>
            <w:shd w:val="clear" w:color="000000" w:fill="BFBFBF"/>
            <w:noWrap/>
          </w:tcPr>
          <w:p w14:paraId="292DE267" w14:textId="5346F22B" w:rsidR="00FD611F" w:rsidRPr="003D3BBA" w:rsidRDefault="00FD611F" w:rsidP="00F76882">
            <w:pPr>
              <w:pStyle w:val="Tabletext"/>
            </w:pPr>
            <w:r w:rsidRPr="003D3BBA">
              <w:t>0</w:t>
            </w:r>
          </w:p>
        </w:tc>
        <w:tc>
          <w:tcPr>
            <w:tcW w:w="172" w:type="pct"/>
            <w:shd w:val="clear" w:color="000000" w:fill="BFBFBF"/>
            <w:noWrap/>
          </w:tcPr>
          <w:p w14:paraId="60534416" w14:textId="63C540D9" w:rsidR="00FD611F" w:rsidRPr="003D3BBA" w:rsidRDefault="00FD611F" w:rsidP="00F76882">
            <w:pPr>
              <w:pStyle w:val="Tabletext"/>
            </w:pPr>
            <w:r w:rsidRPr="003D3BBA">
              <w:t>0</w:t>
            </w:r>
          </w:p>
        </w:tc>
        <w:tc>
          <w:tcPr>
            <w:tcW w:w="172" w:type="pct"/>
            <w:gridSpan w:val="2"/>
            <w:shd w:val="clear" w:color="000000" w:fill="BFBFBF"/>
            <w:noWrap/>
          </w:tcPr>
          <w:p w14:paraId="7567E272" w14:textId="2155ADE2" w:rsidR="00FD611F" w:rsidRPr="003D3BBA" w:rsidRDefault="00FD611F" w:rsidP="00F76882">
            <w:pPr>
              <w:pStyle w:val="Tabletext"/>
            </w:pPr>
            <w:r w:rsidRPr="003D3BBA">
              <w:t>0</w:t>
            </w:r>
          </w:p>
        </w:tc>
        <w:tc>
          <w:tcPr>
            <w:tcW w:w="172" w:type="pct"/>
            <w:shd w:val="clear" w:color="000000" w:fill="BFBFBF"/>
          </w:tcPr>
          <w:p w14:paraId="17252262" w14:textId="6EFC83E7" w:rsidR="00FD611F" w:rsidRPr="003D3BBA" w:rsidRDefault="00FD611F" w:rsidP="00F76882">
            <w:pPr>
              <w:pStyle w:val="Tabletext"/>
            </w:pPr>
            <w:r w:rsidRPr="003D3BBA">
              <w:t>0</w:t>
            </w:r>
          </w:p>
        </w:tc>
        <w:tc>
          <w:tcPr>
            <w:tcW w:w="172" w:type="pct"/>
            <w:shd w:val="clear" w:color="000000" w:fill="BFBFBF"/>
          </w:tcPr>
          <w:p w14:paraId="06A4BECE" w14:textId="685D15B9" w:rsidR="00FD611F" w:rsidRPr="003D3BBA" w:rsidRDefault="00FD611F" w:rsidP="00F76882">
            <w:pPr>
              <w:pStyle w:val="Tabletext"/>
            </w:pPr>
            <w:r w:rsidRPr="003D3BBA">
              <w:t>0</w:t>
            </w:r>
          </w:p>
        </w:tc>
        <w:tc>
          <w:tcPr>
            <w:tcW w:w="172" w:type="pct"/>
            <w:shd w:val="clear" w:color="000000" w:fill="BFBFBF"/>
          </w:tcPr>
          <w:p w14:paraId="793896F6" w14:textId="56174E1F" w:rsidR="00FD611F" w:rsidRPr="003D3BBA" w:rsidRDefault="00FD611F" w:rsidP="00F76882">
            <w:pPr>
              <w:pStyle w:val="Tabletext"/>
            </w:pPr>
            <w:r w:rsidRPr="003D3BBA">
              <w:t>0</w:t>
            </w:r>
          </w:p>
        </w:tc>
        <w:tc>
          <w:tcPr>
            <w:tcW w:w="172" w:type="pct"/>
            <w:shd w:val="clear" w:color="000000" w:fill="BFBFBF"/>
          </w:tcPr>
          <w:p w14:paraId="0B044911" w14:textId="571CD506" w:rsidR="00FD611F" w:rsidRPr="003D3BBA" w:rsidRDefault="00FD611F" w:rsidP="00F76882">
            <w:pPr>
              <w:pStyle w:val="Tabletext"/>
            </w:pPr>
            <w:r w:rsidRPr="003D3BBA">
              <w:t>0</w:t>
            </w:r>
          </w:p>
        </w:tc>
        <w:tc>
          <w:tcPr>
            <w:tcW w:w="172" w:type="pct"/>
            <w:gridSpan w:val="2"/>
            <w:shd w:val="clear" w:color="000000" w:fill="BFBFBF"/>
          </w:tcPr>
          <w:p w14:paraId="15FBFACB" w14:textId="08253840" w:rsidR="00FD611F" w:rsidRPr="003D3BBA" w:rsidRDefault="00FD611F" w:rsidP="00F76882">
            <w:pPr>
              <w:pStyle w:val="Tabletext"/>
            </w:pPr>
            <w:r w:rsidRPr="003D3BBA">
              <w:t>0</w:t>
            </w:r>
          </w:p>
        </w:tc>
        <w:tc>
          <w:tcPr>
            <w:tcW w:w="172" w:type="pct"/>
            <w:shd w:val="clear" w:color="000000" w:fill="BFBFBF"/>
            <w:noWrap/>
          </w:tcPr>
          <w:p w14:paraId="2D67232E" w14:textId="16EBA666" w:rsidR="00FD611F" w:rsidRPr="003D3BBA" w:rsidRDefault="00FD611F" w:rsidP="00F76882">
            <w:pPr>
              <w:pStyle w:val="Tabletext"/>
            </w:pPr>
            <w:r w:rsidRPr="003D3BBA">
              <w:t>6</w:t>
            </w:r>
          </w:p>
        </w:tc>
        <w:tc>
          <w:tcPr>
            <w:tcW w:w="172" w:type="pct"/>
            <w:shd w:val="clear" w:color="000000" w:fill="BFBFBF"/>
            <w:noWrap/>
          </w:tcPr>
          <w:p w14:paraId="68BD679C" w14:textId="695B64E7" w:rsidR="00FD611F" w:rsidRPr="003D3BBA" w:rsidRDefault="00FD611F" w:rsidP="00F76882">
            <w:pPr>
              <w:pStyle w:val="Tabletext"/>
            </w:pPr>
            <w:r w:rsidRPr="003D3BBA">
              <w:t>0</w:t>
            </w:r>
          </w:p>
        </w:tc>
        <w:tc>
          <w:tcPr>
            <w:tcW w:w="172" w:type="pct"/>
            <w:shd w:val="clear" w:color="000000" w:fill="BFBFBF"/>
            <w:noWrap/>
          </w:tcPr>
          <w:p w14:paraId="453CCBF3" w14:textId="723AE78D" w:rsidR="00FD611F" w:rsidRPr="003D3BBA" w:rsidRDefault="00FD611F" w:rsidP="00F76882">
            <w:pPr>
              <w:pStyle w:val="Tabletext"/>
            </w:pPr>
            <w:r w:rsidRPr="003D3BBA">
              <w:t>6</w:t>
            </w:r>
          </w:p>
        </w:tc>
        <w:tc>
          <w:tcPr>
            <w:tcW w:w="172" w:type="pct"/>
            <w:shd w:val="clear" w:color="000000" w:fill="BFBFBF"/>
            <w:noWrap/>
          </w:tcPr>
          <w:p w14:paraId="486901EB" w14:textId="58D2132B" w:rsidR="00FD611F" w:rsidRPr="003D3BBA" w:rsidRDefault="00FD611F" w:rsidP="00F76882">
            <w:pPr>
              <w:pStyle w:val="Tabletext"/>
            </w:pPr>
            <w:r w:rsidRPr="003D3BBA">
              <w:t>52</w:t>
            </w:r>
          </w:p>
        </w:tc>
        <w:tc>
          <w:tcPr>
            <w:tcW w:w="172" w:type="pct"/>
            <w:gridSpan w:val="2"/>
            <w:shd w:val="clear" w:color="000000" w:fill="BFBFBF"/>
            <w:noWrap/>
          </w:tcPr>
          <w:p w14:paraId="7F7B69A3" w14:textId="0E3637B5" w:rsidR="00FD611F" w:rsidRPr="003D3BBA" w:rsidRDefault="00FD611F" w:rsidP="00F76882">
            <w:pPr>
              <w:pStyle w:val="Tabletext"/>
            </w:pPr>
            <w:r w:rsidRPr="003D3BBA">
              <w:t>64</w:t>
            </w:r>
          </w:p>
        </w:tc>
        <w:tc>
          <w:tcPr>
            <w:tcW w:w="172" w:type="pct"/>
            <w:shd w:val="clear" w:color="000000" w:fill="BFBFBF"/>
            <w:noWrap/>
          </w:tcPr>
          <w:p w14:paraId="3C90872E" w14:textId="5103E17C" w:rsidR="00FD611F" w:rsidRPr="003D3BBA" w:rsidRDefault="00FD611F" w:rsidP="00F76882">
            <w:pPr>
              <w:pStyle w:val="Tabletext"/>
            </w:pPr>
            <w:r w:rsidRPr="003D3BBA">
              <w:t>11</w:t>
            </w:r>
          </w:p>
        </w:tc>
        <w:tc>
          <w:tcPr>
            <w:tcW w:w="172" w:type="pct"/>
            <w:shd w:val="clear" w:color="000000" w:fill="BFBFBF"/>
            <w:noWrap/>
          </w:tcPr>
          <w:p w14:paraId="0F9EB805" w14:textId="1CEE3DDF" w:rsidR="00FD611F" w:rsidRPr="003D3BBA" w:rsidRDefault="00FD611F" w:rsidP="00F76882">
            <w:pPr>
              <w:pStyle w:val="Tabletext"/>
            </w:pPr>
            <w:r w:rsidRPr="003D3BBA">
              <w:t>7</w:t>
            </w:r>
          </w:p>
        </w:tc>
        <w:tc>
          <w:tcPr>
            <w:tcW w:w="172" w:type="pct"/>
            <w:shd w:val="clear" w:color="000000" w:fill="BFBFBF"/>
            <w:noWrap/>
          </w:tcPr>
          <w:p w14:paraId="57065628" w14:textId="7AC85618" w:rsidR="00FD611F" w:rsidRPr="003D3BBA" w:rsidRDefault="00FD611F" w:rsidP="00F76882">
            <w:pPr>
              <w:pStyle w:val="Tabletext"/>
            </w:pPr>
            <w:r w:rsidRPr="003D3BBA">
              <w:t>12</w:t>
            </w:r>
          </w:p>
        </w:tc>
        <w:tc>
          <w:tcPr>
            <w:tcW w:w="172" w:type="pct"/>
            <w:shd w:val="clear" w:color="000000" w:fill="BFBFBF"/>
            <w:noWrap/>
          </w:tcPr>
          <w:p w14:paraId="29241B2B" w14:textId="729BDEDC" w:rsidR="00FD611F" w:rsidRPr="003D3BBA" w:rsidRDefault="00FD611F" w:rsidP="00F76882">
            <w:pPr>
              <w:pStyle w:val="Tabletext"/>
            </w:pPr>
            <w:r w:rsidRPr="003D3BBA">
              <w:t>86</w:t>
            </w:r>
          </w:p>
        </w:tc>
        <w:tc>
          <w:tcPr>
            <w:tcW w:w="172" w:type="pct"/>
            <w:gridSpan w:val="2"/>
            <w:shd w:val="clear" w:color="000000" w:fill="BFBFBF"/>
            <w:noWrap/>
          </w:tcPr>
          <w:p w14:paraId="693303E8" w14:textId="60C19FC5" w:rsidR="00FD611F" w:rsidRPr="003D3BBA" w:rsidRDefault="00FD611F" w:rsidP="00F76882">
            <w:pPr>
              <w:pStyle w:val="Tabletext"/>
            </w:pPr>
            <w:r w:rsidRPr="003D3BBA">
              <w:t>116</w:t>
            </w:r>
          </w:p>
        </w:tc>
      </w:tr>
      <w:tr w:rsidR="00B1031A" w:rsidRPr="0036007C" w14:paraId="2DDD90EC" w14:textId="77777777" w:rsidTr="00C44879">
        <w:trPr>
          <w:trHeight w:val="515"/>
        </w:trPr>
        <w:tc>
          <w:tcPr>
            <w:tcW w:w="698" w:type="pct"/>
            <w:hideMark/>
          </w:tcPr>
          <w:p w14:paraId="0CBCF070" w14:textId="77777777" w:rsidR="00FD611F" w:rsidRPr="003D3BBA" w:rsidRDefault="00FD611F" w:rsidP="00F76882">
            <w:pPr>
              <w:pStyle w:val="Tabletextleft"/>
            </w:pPr>
            <w:r w:rsidRPr="003D3BBA">
              <w:t>Total number of doses of azithromycin delivered</w:t>
            </w:r>
          </w:p>
        </w:tc>
        <w:tc>
          <w:tcPr>
            <w:tcW w:w="172" w:type="pct"/>
            <w:noWrap/>
          </w:tcPr>
          <w:p w14:paraId="4760A2DF" w14:textId="7F1B4086" w:rsidR="00FD611F" w:rsidRPr="003D3BBA" w:rsidRDefault="00FD611F" w:rsidP="00F76882">
            <w:r w:rsidRPr="003D3BBA">
              <w:t>65</w:t>
            </w:r>
          </w:p>
        </w:tc>
        <w:tc>
          <w:tcPr>
            <w:tcW w:w="172" w:type="pct"/>
            <w:noWrap/>
          </w:tcPr>
          <w:p w14:paraId="615528F7" w14:textId="53874D77" w:rsidR="00FD611F" w:rsidRPr="003D3BBA" w:rsidRDefault="00FD611F" w:rsidP="00F76882">
            <w:r w:rsidRPr="003D3BBA">
              <w:t>113</w:t>
            </w:r>
          </w:p>
        </w:tc>
        <w:tc>
          <w:tcPr>
            <w:tcW w:w="172" w:type="pct"/>
            <w:noWrap/>
          </w:tcPr>
          <w:p w14:paraId="1B117169" w14:textId="08B3A095" w:rsidR="00FD611F" w:rsidRPr="003D3BBA" w:rsidRDefault="00FD611F" w:rsidP="00F76882">
            <w:r w:rsidRPr="003D3BBA">
              <w:t>86</w:t>
            </w:r>
          </w:p>
        </w:tc>
        <w:tc>
          <w:tcPr>
            <w:tcW w:w="172" w:type="pct"/>
            <w:noWrap/>
          </w:tcPr>
          <w:p w14:paraId="07388F48" w14:textId="6E241924" w:rsidR="00FD611F" w:rsidRPr="003D3BBA" w:rsidRDefault="00FD611F" w:rsidP="00F76882">
            <w:r w:rsidRPr="003D3BBA">
              <w:t>499</w:t>
            </w:r>
          </w:p>
        </w:tc>
        <w:tc>
          <w:tcPr>
            <w:tcW w:w="172" w:type="pct"/>
            <w:gridSpan w:val="2"/>
            <w:noWrap/>
          </w:tcPr>
          <w:p w14:paraId="1FDD713C" w14:textId="79E56FF0" w:rsidR="00FD611F" w:rsidRPr="003D3BBA" w:rsidRDefault="00FD611F" w:rsidP="00F76882">
            <w:r w:rsidRPr="003D3BBA">
              <w:t>763</w:t>
            </w:r>
          </w:p>
        </w:tc>
        <w:tc>
          <w:tcPr>
            <w:tcW w:w="172" w:type="pct"/>
            <w:noWrap/>
          </w:tcPr>
          <w:p w14:paraId="0D4DC77E" w14:textId="72043FBF" w:rsidR="00FD611F" w:rsidRPr="003D3BBA" w:rsidRDefault="00FD611F" w:rsidP="00F76882">
            <w:r w:rsidRPr="003D3BBA">
              <w:t>0</w:t>
            </w:r>
          </w:p>
        </w:tc>
        <w:tc>
          <w:tcPr>
            <w:tcW w:w="172" w:type="pct"/>
            <w:noWrap/>
          </w:tcPr>
          <w:p w14:paraId="7BEAE531" w14:textId="280E8271" w:rsidR="00FD611F" w:rsidRPr="003D3BBA" w:rsidRDefault="00FD611F" w:rsidP="00F76882">
            <w:r w:rsidRPr="003D3BBA">
              <w:t>3</w:t>
            </w:r>
          </w:p>
        </w:tc>
        <w:tc>
          <w:tcPr>
            <w:tcW w:w="172" w:type="pct"/>
            <w:noWrap/>
          </w:tcPr>
          <w:p w14:paraId="7D678062" w14:textId="4FAEECDC" w:rsidR="00FD611F" w:rsidRPr="003D3BBA" w:rsidRDefault="00FD611F" w:rsidP="00F76882">
            <w:r w:rsidRPr="003D3BBA">
              <w:t>4</w:t>
            </w:r>
          </w:p>
        </w:tc>
        <w:tc>
          <w:tcPr>
            <w:tcW w:w="172" w:type="pct"/>
            <w:noWrap/>
          </w:tcPr>
          <w:p w14:paraId="06B52BE9" w14:textId="04C19C87" w:rsidR="00FD611F" w:rsidRPr="003D3BBA" w:rsidRDefault="00FD611F" w:rsidP="00F76882">
            <w:r w:rsidRPr="003D3BBA">
              <w:t>8</w:t>
            </w:r>
          </w:p>
        </w:tc>
        <w:tc>
          <w:tcPr>
            <w:tcW w:w="172" w:type="pct"/>
            <w:gridSpan w:val="2"/>
            <w:noWrap/>
          </w:tcPr>
          <w:p w14:paraId="6F624A4E" w14:textId="129E8A0A" w:rsidR="00FD611F" w:rsidRPr="003D3BBA" w:rsidRDefault="00FD611F" w:rsidP="00F76882">
            <w:r w:rsidRPr="003D3BBA">
              <w:t>15</w:t>
            </w:r>
          </w:p>
        </w:tc>
        <w:tc>
          <w:tcPr>
            <w:tcW w:w="172" w:type="pct"/>
          </w:tcPr>
          <w:p w14:paraId="797DB913" w14:textId="67224E70" w:rsidR="00FD611F" w:rsidRPr="003D3BBA" w:rsidRDefault="00FD611F" w:rsidP="00F76882">
            <w:r w:rsidRPr="003D3BBA">
              <w:t>1</w:t>
            </w:r>
          </w:p>
        </w:tc>
        <w:tc>
          <w:tcPr>
            <w:tcW w:w="172" w:type="pct"/>
          </w:tcPr>
          <w:p w14:paraId="673212AC" w14:textId="2A28105B" w:rsidR="00FD611F" w:rsidRPr="003D3BBA" w:rsidRDefault="00FD611F" w:rsidP="00F76882">
            <w:r w:rsidRPr="003D3BBA">
              <w:t>1</w:t>
            </w:r>
          </w:p>
        </w:tc>
        <w:tc>
          <w:tcPr>
            <w:tcW w:w="172" w:type="pct"/>
          </w:tcPr>
          <w:p w14:paraId="07034B98" w14:textId="5E083B96" w:rsidR="00FD611F" w:rsidRPr="003D3BBA" w:rsidRDefault="00FD611F" w:rsidP="00F76882">
            <w:r w:rsidRPr="003D3BBA">
              <w:t>1</w:t>
            </w:r>
          </w:p>
        </w:tc>
        <w:tc>
          <w:tcPr>
            <w:tcW w:w="172" w:type="pct"/>
          </w:tcPr>
          <w:p w14:paraId="2477CA68" w14:textId="7CE2E319" w:rsidR="00FD611F" w:rsidRPr="003D3BBA" w:rsidRDefault="00FD611F" w:rsidP="00F76882">
            <w:r w:rsidRPr="003D3BBA">
              <w:t>4</w:t>
            </w:r>
          </w:p>
        </w:tc>
        <w:tc>
          <w:tcPr>
            <w:tcW w:w="172" w:type="pct"/>
            <w:gridSpan w:val="2"/>
          </w:tcPr>
          <w:p w14:paraId="2AB8D261" w14:textId="272F2EB8" w:rsidR="00FD611F" w:rsidRPr="003D3BBA" w:rsidRDefault="00FD611F" w:rsidP="00F76882">
            <w:r w:rsidRPr="003D3BBA">
              <w:t>7</w:t>
            </w:r>
          </w:p>
        </w:tc>
        <w:tc>
          <w:tcPr>
            <w:tcW w:w="172" w:type="pct"/>
            <w:noWrap/>
          </w:tcPr>
          <w:p w14:paraId="28C9892D" w14:textId="58200D67" w:rsidR="00FD611F" w:rsidRPr="003D3BBA" w:rsidRDefault="00FD611F" w:rsidP="00F76882">
            <w:r w:rsidRPr="003D3BBA">
              <w:t>72</w:t>
            </w:r>
          </w:p>
        </w:tc>
        <w:tc>
          <w:tcPr>
            <w:tcW w:w="172" w:type="pct"/>
            <w:noWrap/>
          </w:tcPr>
          <w:p w14:paraId="56A03A1F" w14:textId="60AF09F9" w:rsidR="00FD611F" w:rsidRPr="003D3BBA" w:rsidRDefault="00FD611F" w:rsidP="00F76882">
            <w:r w:rsidRPr="003D3BBA">
              <w:t>142</w:t>
            </w:r>
          </w:p>
        </w:tc>
        <w:tc>
          <w:tcPr>
            <w:tcW w:w="172" w:type="pct"/>
            <w:noWrap/>
          </w:tcPr>
          <w:p w14:paraId="5BE288A2" w14:textId="361E8254" w:rsidR="00FD611F" w:rsidRPr="003D3BBA" w:rsidRDefault="00FD611F" w:rsidP="00F76882">
            <w:r w:rsidRPr="003D3BBA">
              <w:t>82</w:t>
            </w:r>
          </w:p>
        </w:tc>
        <w:tc>
          <w:tcPr>
            <w:tcW w:w="172" w:type="pct"/>
            <w:noWrap/>
          </w:tcPr>
          <w:p w14:paraId="1CA092BC" w14:textId="4B7AA76F" w:rsidR="00FD611F" w:rsidRPr="003D3BBA" w:rsidRDefault="00FD611F" w:rsidP="00F76882">
            <w:r w:rsidRPr="003D3BBA">
              <w:t>501</w:t>
            </w:r>
          </w:p>
        </w:tc>
        <w:tc>
          <w:tcPr>
            <w:tcW w:w="172" w:type="pct"/>
            <w:gridSpan w:val="2"/>
            <w:noWrap/>
          </w:tcPr>
          <w:p w14:paraId="5729EEA4" w14:textId="3B761BC6" w:rsidR="00FD611F" w:rsidRPr="003D3BBA" w:rsidRDefault="00FD611F" w:rsidP="00F76882">
            <w:r w:rsidRPr="003D3BBA">
              <w:t>797</w:t>
            </w:r>
          </w:p>
        </w:tc>
        <w:tc>
          <w:tcPr>
            <w:tcW w:w="172" w:type="pct"/>
            <w:noWrap/>
          </w:tcPr>
          <w:p w14:paraId="7EB4FA31" w14:textId="3D145B96" w:rsidR="00FD611F" w:rsidRPr="003D3BBA" w:rsidRDefault="00FD611F" w:rsidP="00F76882">
            <w:r w:rsidRPr="003D3BBA">
              <w:t>138</w:t>
            </w:r>
          </w:p>
        </w:tc>
        <w:tc>
          <w:tcPr>
            <w:tcW w:w="172" w:type="pct"/>
            <w:noWrap/>
          </w:tcPr>
          <w:p w14:paraId="7FEF2A39" w14:textId="510A6F78" w:rsidR="00FD611F" w:rsidRPr="003D3BBA" w:rsidRDefault="00FD611F" w:rsidP="00F76882">
            <w:r w:rsidRPr="003D3BBA">
              <w:t>259</w:t>
            </w:r>
          </w:p>
        </w:tc>
        <w:tc>
          <w:tcPr>
            <w:tcW w:w="172" w:type="pct"/>
            <w:noWrap/>
          </w:tcPr>
          <w:p w14:paraId="1533D9CD" w14:textId="1863309A" w:rsidR="00FD611F" w:rsidRPr="003D3BBA" w:rsidRDefault="00FD611F" w:rsidP="00F76882">
            <w:r w:rsidRPr="003D3BBA">
              <w:t>173</w:t>
            </w:r>
          </w:p>
        </w:tc>
        <w:tc>
          <w:tcPr>
            <w:tcW w:w="172" w:type="pct"/>
            <w:noWrap/>
          </w:tcPr>
          <w:p w14:paraId="01374227" w14:textId="304C4DE7" w:rsidR="00FD611F" w:rsidRPr="003D3BBA" w:rsidRDefault="00FD611F" w:rsidP="00F76882">
            <w:r w:rsidRPr="003D3BBA">
              <w:t>1012</w:t>
            </w:r>
          </w:p>
        </w:tc>
        <w:tc>
          <w:tcPr>
            <w:tcW w:w="172" w:type="pct"/>
            <w:gridSpan w:val="2"/>
            <w:noWrap/>
          </w:tcPr>
          <w:p w14:paraId="3FF179E1" w14:textId="7A55551B" w:rsidR="00FD611F" w:rsidRPr="003D3BBA" w:rsidRDefault="00FD611F" w:rsidP="00F76882">
            <w:r w:rsidRPr="003D3BBA">
              <w:t>1582</w:t>
            </w:r>
          </w:p>
        </w:tc>
      </w:tr>
      <w:tr w:rsidR="00B1031A" w:rsidRPr="0036007C" w14:paraId="01DA035E" w14:textId="77777777" w:rsidTr="00C44879">
        <w:trPr>
          <w:trHeight w:val="773"/>
        </w:trPr>
        <w:tc>
          <w:tcPr>
            <w:tcW w:w="698" w:type="pct"/>
            <w:shd w:val="clear" w:color="000000" w:fill="BFBFBF"/>
            <w:hideMark/>
          </w:tcPr>
          <w:p w14:paraId="280D670E" w14:textId="77777777" w:rsidR="00FD611F" w:rsidRPr="001B4458" w:rsidRDefault="00FD611F" w:rsidP="00F76882">
            <w:pPr>
              <w:pStyle w:val="Tabletextleft"/>
              <w:rPr>
                <w:rStyle w:val="Emphasis"/>
              </w:rPr>
            </w:pPr>
            <w:r w:rsidRPr="001B4458">
              <w:rPr>
                <w:rStyle w:val="Emphasis"/>
              </w:rPr>
              <w:t>Estimated overall treatment coverage (%)</w:t>
            </w:r>
          </w:p>
        </w:tc>
        <w:tc>
          <w:tcPr>
            <w:tcW w:w="172" w:type="pct"/>
            <w:shd w:val="clear" w:color="000000" w:fill="BFBFBF"/>
            <w:noWrap/>
          </w:tcPr>
          <w:p w14:paraId="25375C34" w14:textId="36AEE3DF" w:rsidR="00FD611F" w:rsidRPr="003D3BBA" w:rsidRDefault="00FD611F" w:rsidP="00F76882">
            <w:pPr>
              <w:pStyle w:val="Tabletext"/>
              <w:rPr>
                <w:rStyle w:val="Emphasis"/>
              </w:rPr>
            </w:pPr>
            <w:r w:rsidRPr="003D3BBA">
              <w:rPr>
                <w:rStyle w:val="Emphasis"/>
              </w:rPr>
              <w:t>73</w:t>
            </w:r>
          </w:p>
        </w:tc>
        <w:tc>
          <w:tcPr>
            <w:tcW w:w="172" w:type="pct"/>
            <w:shd w:val="clear" w:color="000000" w:fill="BFBFBF"/>
            <w:noWrap/>
          </w:tcPr>
          <w:p w14:paraId="57D901BE" w14:textId="6E68AD9D" w:rsidR="00FD611F" w:rsidRPr="003D3BBA" w:rsidRDefault="00FD611F" w:rsidP="00F76882">
            <w:pPr>
              <w:pStyle w:val="Tabletext"/>
              <w:rPr>
                <w:rStyle w:val="Emphasis"/>
              </w:rPr>
            </w:pPr>
            <w:r w:rsidRPr="003D3BBA">
              <w:rPr>
                <w:rStyle w:val="Emphasis"/>
              </w:rPr>
              <w:t>69</w:t>
            </w:r>
          </w:p>
        </w:tc>
        <w:tc>
          <w:tcPr>
            <w:tcW w:w="172" w:type="pct"/>
            <w:shd w:val="clear" w:color="000000" w:fill="BFBFBF"/>
            <w:noWrap/>
          </w:tcPr>
          <w:p w14:paraId="3B24C179" w14:textId="40D94470" w:rsidR="00FD611F" w:rsidRPr="003D3BBA" w:rsidRDefault="00FD611F" w:rsidP="00F76882">
            <w:pPr>
              <w:pStyle w:val="Tabletext"/>
              <w:rPr>
                <w:rStyle w:val="Emphasis"/>
              </w:rPr>
            </w:pPr>
            <w:r w:rsidRPr="003D3BBA">
              <w:rPr>
                <w:rStyle w:val="Emphasis"/>
              </w:rPr>
              <w:t>61</w:t>
            </w:r>
          </w:p>
        </w:tc>
        <w:tc>
          <w:tcPr>
            <w:tcW w:w="172" w:type="pct"/>
            <w:shd w:val="clear" w:color="000000" w:fill="BFBFBF"/>
            <w:noWrap/>
          </w:tcPr>
          <w:p w14:paraId="0C1F0492" w14:textId="6A2365CF" w:rsidR="00FD611F" w:rsidRPr="003D3BBA" w:rsidRDefault="00FD611F" w:rsidP="00F76882">
            <w:pPr>
              <w:pStyle w:val="Tabletext"/>
              <w:rPr>
                <w:rStyle w:val="Emphasis"/>
              </w:rPr>
            </w:pPr>
            <w:r w:rsidRPr="003D3BBA">
              <w:rPr>
                <w:rStyle w:val="Emphasis"/>
              </w:rPr>
              <w:t>62</w:t>
            </w:r>
          </w:p>
        </w:tc>
        <w:tc>
          <w:tcPr>
            <w:tcW w:w="172" w:type="pct"/>
            <w:gridSpan w:val="2"/>
            <w:shd w:val="clear" w:color="000000" w:fill="BFBFBF"/>
            <w:noWrap/>
          </w:tcPr>
          <w:p w14:paraId="1CFEFEB4" w14:textId="6B05B054" w:rsidR="00FD611F" w:rsidRPr="003D3BBA" w:rsidRDefault="00FD611F" w:rsidP="00F76882">
            <w:pPr>
              <w:pStyle w:val="Tabletext"/>
              <w:rPr>
                <w:rStyle w:val="Emphasis"/>
              </w:rPr>
            </w:pPr>
            <w:r w:rsidRPr="003D3BBA">
              <w:rPr>
                <w:rStyle w:val="Emphasis"/>
              </w:rPr>
              <w:t>63</w:t>
            </w:r>
          </w:p>
        </w:tc>
        <w:tc>
          <w:tcPr>
            <w:tcW w:w="172" w:type="pct"/>
            <w:shd w:val="clear" w:color="000000" w:fill="BFBFBF"/>
            <w:noWrap/>
          </w:tcPr>
          <w:p w14:paraId="7D7DF290" w14:textId="544A8990" w:rsidR="00FD611F" w:rsidRPr="003D3BBA" w:rsidRDefault="00FD611F" w:rsidP="00F76882">
            <w:pPr>
              <w:pStyle w:val="Tabletext"/>
              <w:rPr>
                <w:rStyle w:val="Emphasis"/>
              </w:rPr>
            </w:pPr>
            <w:r w:rsidRPr="003D3BBA">
              <w:rPr>
                <w:rStyle w:val="Emphasis"/>
              </w:rPr>
              <w:t>N/A</w:t>
            </w:r>
          </w:p>
        </w:tc>
        <w:tc>
          <w:tcPr>
            <w:tcW w:w="172" w:type="pct"/>
            <w:shd w:val="clear" w:color="000000" w:fill="BFBFBF"/>
            <w:noWrap/>
          </w:tcPr>
          <w:p w14:paraId="63CF80D6" w14:textId="4A8C4DAD" w:rsidR="00FD611F" w:rsidRPr="003D3BBA" w:rsidRDefault="00FD611F" w:rsidP="00F76882">
            <w:pPr>
              <w:pStyle w:val="Tabletext"/>
              <w:rPr>
                <w:rStyle w:val="Emphasis"/>
              </w:rPr>
            </w:pPr>
            <w:r w:rsidRPr="003D3BBA">
              <w:rPr>
                <w:rStyle w:val="Emphasis"/>
              </w:rPr>
              <w:t>100</w:t>
            </w:r>
          </w:p>
        </w:tc>
        <w:tc>
          <w:tcPr>
            <w:tcW w:w="172" w:type="pct"/>
            <w:shd w:val="clear" w:color="000000" w:fill="BFBFBF"/>
            <w:noWrap/>
          </w:tcPr>
          <w:p w14:paraId="2A8E7BC4" w14:textId="038CC310" w:rsidR="00FD611F" w:rsidRPr="003D3BBA" w:rsidRDefault="00FD611F" w:rsidP="00F76882">
            <w:pPr>
              <w:pStyle w:val="Tabletext"/>
              <w:rPr>
                <w:rStyle w:val="Emphasis"/>
              </w:rPr>
            </w:pPr>
            <w:r w:rsidRPr="003D3BBA">
              <w:rPr>
                <w:rStyle w:val="Emphasis"/>
              </w:rPr>
              <w:t>100</w:t>
            </w:r>
          </w:p>
        </w:tc>
        <w:tc>
          <w:tcPr>
            <w:tcW w:w="172" w:type="pct"/>
            <w:shd w:val="clear" w:color="000000" w:fill="BFBFBF"/>
            <w:noWrap/>
          </w:tcPr>
          <w:p w14:paraId="372EE8DE" w14:textId="4A23EECA" w:rsidR="00FD611F" w:rsidRPr="003D3BBA" w:rsidRDefault="00FD611F" w:rsidP="00F76882">
            <w:pPr>
              <w:pStyle w:val="Tabletext"/>
              <w:rPr>
                <w:rStyle w:val="Emphasis"/>
              </w:rPr>
            </w:pPr>
            <w:r w:rsidRPr="003D3BBA">
              <w:rPr>
                <w:rStyle w:val="Emphasis"/>
              </w:rPr>
              <w:t>100</w:t>
            </w:r>
          </w:p>
        </w:tc>
        <w:tc>
          <w:tcPr>
            <w:tcW w:w="172" w:type="pct"/>
            <w:gridSpan w:val="2"/>
            <w:shd w:val="clear" w:color="000000" w:fill="BFBFBF"/>
            <w:noWrap/>
          </w:tcPr>
          <w:p w14:paraId="1DA85E3F" w14:textId="5F8C9B24" w:rsidR="00FD611F" w:rsidRPr="003D3BBA" w:rsidRDefault="00FD611F" w:rsidP="00F76882">
            <w:pPr>
              <w:pStyle w:val="Tabletext"/>
              <w:rPr>
                <w:rStyle w:val="Emphasis"/>
              </w:rPr>
            </w:pPr>
            <w:r w:rsidRPr="003D3BBA">
              <w:rPr>
                <w:rStyle w:val="Emphasis"/>
              </w:rPr>
              <w:t>100</w:t>
            </w:r>
          </w:p>
        </w:tc>
        <w:tc>
          <w:tcPr>
            <w:tcW w:w="172" w:type="pct"/>
            <w:shd w:val="clear" w:color="000000" w:fill="BFBFBF"/>
          </w:tcPr>
          <w:p w14:paraId="1E2C5C1E" w14:textId="3028932A" w:rsidR="00FD611F" w:rsidRPr="003D3BBA" w:rsidRDefault="00FD611F" w:rsidP="00F76882">
            <w:pPr>
              <w:pStyle w:val="Tabletext"/>
              <w:rPr>
                <w:rStyle w:val="Emphasis"/>
              </w:rPr>
            </w:pPr>
            <w:r w:rsidRPr="003D3BBA">
              <w:rPr>
                <w:rStyle w:val="Emphasis"/>
              </w:rPr>
              <w:t>100</w:t>
            </w:r>
          </w:p>
        </w:tc>
        <w:tc>
          <w:tcPr>
            <w:tcW w:w="172" w:type="pct"/>
            <w:shd w:val="clear" w:color="000000" w:fill="BFBFBF"/>
          </w:tcPr>
          <w:p w14:paraId="26D6BA40" w14:textId="1FA278FE" w:rsidR="00FD611F" w:rsidRPr="003D3BBA" w:rsidRDefault="00FD611F" w:rsidP="00F76882">
            <w:pPr>
              <w:pStyle w:val="Tabletext"/>
              <w:rPr>
                <w:rStyle w:val="Emphasis"/>
              </w:rPr>
            </w:pPr>
            <w:r w:rsidRPr="003D3BBA">
              <w:rPr>
                <w:rStyle w:val="Emphasis"/>
              </w:rPr>
              <w:t>100</w:t>
            </w:r>
          </w:p>
        </w:tc>
        <w:tc>
          <w:tcPr>
            <w:tcW w:w="172" w:type="pct"/>
            <w:shd w:val="clear" w:color="000000" w:fill="BFBFBF"/>
          </w:tcPr>
          <w:p w14:paraId="16B3EA71" w14:textId="37086DBC" w:rsidR="00FD611F" w:rsidRPr="003D3BBA" w:rsidRDefault="00FD611F" w:rsidP="00F76882">
            <w:pPr>
              <w:pStyle w:val="Tabletext"/>
              <w:rPr>
                <w:rStyle w:val="Emphasis"/>
              </w:rPr>
            </w:pPr>
            <w:r w:rsidRPr="003D3BBA">
              <w:rPr>
                <w:rStyle w:val="Emphasis"/>
              </w:rPr>
              <w:t>100</w:t>
            </w:r>
          </w:p>
        </w:tc>
        <w:tc>
          <w:tcPr>
            <w:tcW w:w="172" w:type="pct"/>
            <w:shd w:val="clear" w:color="000000" w:fill="BFBFBF"/>
          </w:tcPr>
          <w:p w14:paraId="0F35A594" w14:textId="59668762" w:rsidR="00FD611F" w:rsidRPr="003D3BBA" w:rsidRDefault="00FD611F" w:rsidP="00F76882">
            <w:pPr>
              <w:pStyle w:val="Tabletext"/>
              <w:rPr>
                <w:rStyle w:val="Emphasis"/>
              </w:rPr>
            </w:pPr>
            <w:r w:rsidRPr="003D3BBA">
              <w:rPr>
                <w:rStyle w:val="Emphasis"/>
              </w:rPr>
              <w:t>100</w:t>
            </w:r>
          </w:p>
        </w:tc>
        <w:tc>
          <w:tcPr>
            <w:tcW w:w="172" w:type="pct"/>
            <w:gridSpan w:val="2"/>
            <w:shd w:val="clear" w:color="000000" w:fill="BFBFBF"/>
          </w:tcPr>
          <w:p w14:paraId="04665063" w14:textId="4D649C62" w:rsidR="00FD611F" w:rsidRPr="003D3BBA" w:rsidRDefault="00FD611F" w:rsidP="00F76882">
            <w:pPr>
              <w:pStyle w:val="Tabletext"/>
              <w:rPr>
                <w:rStyle w:val="Emphasis"/>
              </w:rPr>
            </w:pPr>
            <w:r w:rsidRPr="003D3BBA">
              <w:rPr>
                <w:rStyle w:val="Emphasis"/>
              </w:rPr>
              <w:t>100</w:t>
            </w:r>
          </w:p>
        </w:tc>
        <w:tc>
          <w:tcPr>
            <w:tcW w:w="172" w:type="pct"/>
            <w:shd w:val="clear" w:color="000000" w:fill="BFBFBF"/>
            <w:noWrap/>
          </w:tcPr>
          <w:p w14:paraId="5F34694E" w14:textId="27D03704" w:rsidR="00FD611F" w:rsidRPr="003D3BBA" w:rsidRDefault="00FD611F" w:rsidP="00F76882">
            <w:pPr>
              <w:pStyle w:val="Tabletext"/>
              <w:rPr>
                <w:rStyle w:val="Emphasis"/>
              </w:rPr>
            </w:pPr>
            <w:r w:rsidRPr="003D3BBA">
              <w:rPr>
                <w:rStyle w:val="Emphasis"/>
              </w:rPr>
              <w:t>39</w:t>
            </w:r>
          </w:p>
        </w:tc>
        <w:tc>
          <w:tcPr>
            <w:tcW w:w="172" w:type="pct"/>
            <w:shd w:val="clear" w:color="000000" w:fill="BFBFBF"/>
            <w:noWrap/>
          </w:tcPr>
          <w:p w14:paraId="78B8CE0B" w14:textId="79DB5F01" w:rsidR="00FD611F" w:rsidRPr="003D3BBA" w:rsidRDefault="00FD611F" w:rsidP="00F76882">
            <w:pPr>
              <w:pStyle w:val="Tabletext"/>
              <w:rPr>
                <w:rStyle w:val="Emphasis"/>
              </w:rPr>
            </w:pPr>
            <w:r w:rsidRPr="003D3BBA">
              <w:rPr>
                <w:rStyle w:val="Emphasis"/>
              </w:rPr>
              <w:t>75</w:t>
            </w:r>
          </w:p>
        </w:tc>
        <w:tc>
          <w:tcPr>
            <w:tcW w:w="172" w:type="pct"/>
            <w:shd w:val="clear" w:color="000000" w:fill="BFBFBF"/>
            <w:noWrap/>
          </w:tcPr>
          <w:p w14:paraId="64C56DBC" w14:textId="6FD89F4C" w:rsidR="00FD611F" w:rsidRPr="003D3BBA" w:rsidRDefault="00FD611F" w:rsidP="00F76882">
            <w:pPr>
              <w:pStyle w:val="Tabletext"/>
              <w:rPr>
                <w:rStyle w:val="Emphasis"/>
              </w:rPr>
            </w:pPr>
            <w:r w:rsidRPr="003D3BBA">
              <w:rPr>
                <w:rStyle w:val="Emphasis"/>
              </w:rPr>
              <w:t>40</w:t>
            </w:r>
          </w:p>
        </w:tc>
        <w:tc>
          <w:tcPr>
            <w:tcW w:w="172" w:type="pct"/>
            <w:shd w:val="clear" w:color="000000" w:fill="BFBFBF"/>
            <w:noWrap/>
          </w:tcPr>
          <w:p w14:paraId="050FBB50" w14:textId="64642337" w:rsidR="00FD611F" w:rsidRPr="003D3BBA" w:rsidRDefault="00FD611F" w:rsidP="00F76882">
            <w:pPr>
              <w:pStyle w:val="Tabletext"/>
              <w:rPr>
                <w:rStyle w:val="Emphasis"/>
              </w:rPr>
            </w:pPr>
            <w:r w:rsidRPr="003D3BBA">
              <w:rPr>
                <w:rStyle w:val="Emphasis"/>
              </w:rPr>
              <w:t>42</w:t>
            </w:r>
          </w:p>
        </w:tc>
        <w:tc>
          <w:tcPr>
            <w:tcW w:w="172" w:type="pct"/>
            <w:gridSpan w:val="2"/>
            <w:shd w:val="clear" w:color="000000" w:fill="BFBFBF"/>
            <w:noWrap/>
          </w:tcPr>
          <w:p w14:paraId="4791A2C3" w14:textId="70A7D184" w:rsidR="00FD611F" w:rsidRPr="003D3BBA" w:rsidRDefault="00FD611F" w:rsidP="00F76882">
            <w:pPr>
              <w:pStyle w:val="Tabletext"/>
              <w:rPr>
                <w:rStyle w:val="Emphasis"/>
              </w:rPr>
            </w:pPr>
            <w:r w:rsidRPr="003D3BBA">
              <w:rPr>
                <w:rStyle w:val="Emphasis"/>
              </w:rPr>
              <w:t>45</w:t>
            </w:r>
          </w:p>
        </w:tc>
        <w:tc>
          <w:tcPr>
            <w:tcW w:w="172" w:type="pct"/>
            <w:shd w:val="clear" w:color="000000" w:fill="BFBFBF"/>
            <w:noWrap/>
          </w:tcPr>
          <w:p w14:paraId="391DDD3F" w14:textId="711D9B4D" w:rsidR="00FD611F" w:rsidRPr="003D3BBA" w:rsidRDefault="00FD611F" w:rsidP="00F76882">
            <w:pPr>
              <w:pStyle w:val="Tabletext"/>
              <w:rPr>
                <w:rStyle w:val="Emphasis"/>
              </w:rPr>
            </w:pPr>
            <w:r w:rsidRPr="003D3BBA">
              <w:rPr>
                <w:rStyle w:val="Emphasis"/>
              </w:rPr>
              <w:t>50</w:t>
            </w:r>
          </w:p>
        </w:tc>
        <w:tc>
          <w:tcPr>
            <w:tcW w:w="172" w:type="pct"/>
            <w:shd w:val="clear" w:color="000000" w:fill="BFBFBF"/>
            <w:noWrap/>
          </w:tcPr>
          <w:p w14:paraId="49BD7B86" w14:textId="17DBDDF9" w:rsidR="00FD611F" w:rsidRPr="003D3BBA" w:rsidRDefault="00FD611F" w:rsidP="00F76882">
            <w:pPr>
              <w:pStyle w:val="Tabletext"/>
              <w:rPr>
                <w:rStyle w:val="Emphasis"/>
              </w:rPr>
            </w:pPr>
            <w:r w:rsidRPr="003D3BBA">
              <w:rPr>
                <w:rStyle w:val="Emphasis"/>
              </w:rPr>
              <w:t>73</w:t>
            </w:r>
          </w:p>
        </w:tc>
        <w:tc>
          <w:tcPr>
            <w:tcW w:w="172" w:type="pct"/>
            <w:shd w:val="clear" w:color="000000" w:fill="BFBFBF"/>
            <w:noWrap/>
          </w:tcPr>
          <w:p w14:paraId="0538A205" w14:textId="68DF5CD1" w:rsidR="00FD611F" w:rsidRPr="003D3BBA" w:rsidRDefault="00FD611F" w:rsidP="00F76882">
            <w:pPr>
              <w:pStyle w:val="Tabletext"/>
              <w:rPr>
                <w:rStyle w:val="Emphasis"/>
              </w:rPr>
            </w:pPr>
            <w:r w:rsidRPr="003D3BBA">
              <w:rPr>
                <w:rStyle w:val="Emphasis"/>
              </w:rPr>
              <w:t>49</w:t>
            </w:r>
          </w:p>
        </w:tc>
        <w:tc>
          <w:tcPr>
            <w:tcW w:w="172" w:type="pct"/>
            <w:shd w:val="clear" w:color="000000" w:fill="BFBFBF"/>
            <w:noWrap/>
          </w:tcPr>
          <w:p w14:paraId="68AC413A" w14:textId="5BF8A314" w:rsidR="00FD611F" w:rsidRPr="003D3BBA" w:rsidRDefault="00FD611F" w:rsidP="00F76882">
            <w:pPr>
              <w:pStyle w:val="Tabletext"/>
              <w:rPr>
                <w:rStyle w:val="Emphasis"/>
              </w:rPr>
            </w:pPr>
            <w:r w:rsidRPr="003D3BBA">
              <w:rPr>
                <w:rStyle w:val="Emphasis"/>
              </w:rPr>
              <w:t>50</w:t>
            </w:r>
          </w:p>
        </w:tc>
        <w:tc>
          <w:tcPr>
            <w:tcW w:w="172" w:type="pct"/>
            <w:gridSpan w:val="2"/>
            <w:shd w:val="clear" w:color="000000" w:fill="BFBFBF"/>
            <w:noWrap/>
          </w:tcPr>
          <w:p w14:paraId="334F3CBE" w14:textId="6C951858" w:rsidR="00FD611F" w:rsidRPr="003D3BBA" w:rsidRDefault="00FD611F" w:rsidP="00F76882">
            <w:pPr>
              <w:pStyle w:val="Tabletext"/>
              <w:rPr>
                <w:rStyle w:val="Emphasis"/>
              </w:rPr>
            </w:pPr>
            <w:r w:rsidRPr="003D3BBA">
              <w:rPr>
                <w:rStyle w:val="Emphasis"/>
              </w:rPr>
              <w:t>53</w:t>
            </w:r>
          </w:p>
        </w:tc>
      </w:tr>
    </w:tbl>
    <w:p w14:paraId="09895D90" w14:textId="4F2A5139" w:rsidR="00EB6FE1" w:rsidRPr="00A33DD2" w:rsidRDefault="00EB6FE1" w:rsidP="00F76882">
      <w:pPr>
        <w:pStyle w:val="tablefigfootnote"/>
      </w:pPr>
      <w:r w:rsidRPr="00A33DD2">
        <w:t>* Estimated as per CDNA Guidelines</w:t>
      </w:r>
    </w:p>
    <w:p w14:paraId="59D97CFA" w14:textId="77777777" w:rsidR="00730B34" w:rsidRPr="0036007C" w:rsidRDefault="00730B34" w:rsidP="00F76882">
      <w:pPr>
        <w:pStyle w:val="Tableheadings"/>
        <w:sectPr w:rsidR="00730B34" w:rsidRPr="0036007C" w:rsidSect="00C04CBB">
          <w:pgSz w:w="16838" w:h="11906" w:orient="landscape"/>
          <w:pgMar w:top="720" w:right="720" w:bottom="720" w:left="720" w:header="709" w:footer="709" w:gutter="0"/>
          <w:cols w:space="708"/>
          <w:docGrid w:linePitch="360"/>
        </w:sectPr>
      </w:pPr>
      <w:bookmarkStart w:id="268" w:name="_Ref58336333"/>
    </w:p>
    <w:p w14:paraId="04862C37" w14:textId="79B93A19" w:rsidR="00BC6398" w:rsidRPr="0036007C" w:rsidRDefault="006F32BC" w:rsidP="00F76882">
      <w:pPr>
        <w:pStyle w:val="Tableheadings"/>
      </w:pPr>
      <w:bookmarkStart w:id="269" w:name="_Toc215224707"/>
      <w:r w:rsidRPr="0036007C">
        <w:t xml:space="preserve">Table </w:t>
      </w:r>
      <w:bookmarkEnd w:id="268"/>
      <w:r w:rsidR="005C73F0" w:rsidRPr="0036007C">
        <w:t>2.6</w:t>
      </w:r>
      <w:r w:rsidRPr="0036007C">
        <w:tab/>
      </w:r>
      <w:r w:rsidR="00EE4A30" w:rsidRPr="0036007C">
        <w:t xml:space="preserve">Trachomatous </w:t>
      </w:r>
      <w:r w:rsidR="000A3F46" w:rsidRPr="0036007C">
        <w:t>trichiasis</w:t>
      </w:r>
      <w:r w:rsidR="009665DD" w:rsidRPr="0036007C">
        <w:t xml:space="preserve"> (TT)</w:t>
      </w:r>
      <w:r w:rsidR="000A3F46" w:rsidRPr="0036007C">
        <w:t xml:space="preserve"> screening coverage, </w:t>
      </w:r>
      <w:r w:rsidR="00703A0F" w:rsidRPr="0036007C">
        <w:t>TT screened proportion</w:t>
      </w:r>
      <w:r w:rsidR="000A64E1" w:rsidRPr="0036007C">
        <w:t xml:space="preserve">, and </w:t>
      </w:r>
      <w:r w:rsidR="00860B6A" w:rsidRPr="0036007C">
        <w:t>surgery</w:t>
      </w:r>
      <w:r w:rsidR="000A3F46" w:rsidRPr="0036007C">
        <w:t xml:space="preserve"> among Indigenous </w:t>
      </w:r>
      <w:r w:rsidR="00AA1627" w:rsidRPr="0036007C">
        <w:t>persons</w:t>
      </w:r>
      <w:r w:rsidR="000A3F46" w:rsidRPr="0036007C">
        <w:t xml:space="preserve"> </w:t>
      </w:r>
      <w:r w:rsidRPr="0036007C">
        <w:t>by region, Northern Territory</w:t>
      </w:r>
      <w:r w:rsidR="00273D38" w:rsidRPr="0036007C">
        <w:t>,</w:t>
      </w:r>
      <w:r w:rsidRPr="0036007C">
        <w:t xml:space="preserve"> </w:t>
      </w:r>
      <w:r w:rsidR="00E76BB4" w:rsidRPr="0036007C">
        <w:t>202</w:t>
      </w:r>
      <w:r w:rsidR="000E7881" w:rsidRPr="0036007C">
        <w:t>4</w:t>
      </w:r>
      <w:bookmarkEnd w:id="269"/>
    </w:p>
    <w:tbl>
      <w:tblPr>
        <w:tblW w:w="14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rachomatous trichiasis (TT) screening coverage, TT screened proportion, and surgery among Indigenous persons by region, Northern Territory, 2024"/>
        <w:tblDescription w:val="Table 2.6 compares numbers and proportions of persons aged 15-39 and 40+ years screened, confirmed as a new TT case, and received surgery. Data is presented for Alice Springs Remote, Barkly, Darwin Rural, East Arnhem, Katherine, and the cumulative total.&#10;"/>
      </w:tblPr>
      <w:tblGrid>
        <w:gridCol w:w="2680"/>
        <w:gridCol w:w="935"/>
        <w:gridCol w:w="935"/>
        <w:gridCol w:w="935"/>
        <w:gridCol w:w="935"/>
        <w:gridCol w:w="935"/>
        <w:gridCol w:w="935"/>
        <w:gridCol w:w="935"/>
        <w:gridCol w:w="935"/>
        <w:gridCol w:w="935"/>
        <w:gridCol w:w="935"/>
        <w:gridCol w:w="935"/>
        <w:gridCol w:w="935"/>
        <w:gridCol w:w="935"/>
      </w:tblGrid>
      <w:tr w:rsidR="00BC6398" w:rsidRPr="0036007C" w14:paraId="57903A4B" w14:textId="77777777" w:rsidTr="004609FA">
        <w:trPr>
          <w:trHeight w:val="290"/>
          <w:tblHeader/>
        </w:trPr>
        <w:tc>
          <w:tcPr>
            <w:tcW w:w="2680" w:type="dxa"/>
            <w:shd w:val="clear" w:color="000000" w:fill="BFBFBF"/>
            <w:vAlign w:val="bottom"/>
          </w:tcPr>
          <w:p w14:paraId="375D69DD" w14:textId="77777777" w:rsidR="00BC6398" w:rsidRPr="0036007C" w:rsidRDefault="00BC6398" w:rsidP="00F76882">
            <w:pPr>
              <w:pStyle w:val="Tableheading"/>
            </w:pPr>
          </w:p>
        </w:tc>
        <w:tc>
          <w:tcPr>
            <w:tcW w:w="1870" w:type="dxa"/>
            <w:gridSpan w:val="2"/>
            <w:shd w:val="clear" w:color="000000" w:fill="BFBFBF"/>
            <w:noWrap/>
            <w:vAlign w:val="center"/>
          </w:tcPr>
          <w:p w14:paraId="107D2850" w14:textId="3D646AA3" w:rsidR="00BC6398" w:rsidRPr="0036007C" w:rsidRDefault="00BC6398" w:rsidP="00F76882">
            <w:pPr>
              <w:pStyle w:val="Tableheading"/>
            </w:pPr>
            <w:r w:rsidRPr="0036007C">
              <w:t>Alice Springs Remote</w:t>
            </w:r>
          </w:p>
        </w:tc>
        <w:tc>
          <w:tcPr>
            <w:tcW w:w="1870" w:type="dxa"/>
            <w:gridSpan w:val="2"/>
            <w:shd w:val="clear" w:color="000000" w:fill="BFBFBF"/>
            <w:noWrap/>
            <w:vAlign w:val="center"/>
          </w:tcPr>
          <w:p w14:paraId="4F6767E6" w14:textId="505BBB6B" w:rsidR="00BC6398" w:rsidRPr="0036007C" w:rsidRDefault="00BC6398" w:rsidP="00F76882">
            <w:pPr>
              <w:pStyle w:val="Tableheading"/>
            </w:pPr>
            <w:r w:rsidRPr="0036007C">
              <w:t>Barkly</w:t>
            </w:r>
          </w:p>
        </w:tc>
        <w:tc>
          <w:tcPr>
            <w:tcW w:w="1870" w:type="dxa"/>
            <w:gridSpan w:val="2"/>
            <w:shd w:val="clear" w:color="000000" w:fill="BFBFBF"/>
            <w:noWrap/>
            <w:vAlign w:val="center"/>
          </w:tcPr>
          <w:p w14:paraId="0842AF3D" w14:textId="6A31C74B" w:rsidR="00BC6398" w:rsidRPr="0036007C" w:rsidRDefault="00BC6398" w:rsidP="00F76882">
            <w:pPr>
              <w:pStyle w:val="Tableheading"/>
            </w:pPr>
            <w:r w:rsidRPr="0036007C">
              <w:t>Darwin Rural</w:t>
            </w:r>
          </w:p>
        </w:tc>
        <w:tc>
          <w:tcPr>
            <w:tcW w:w="1870" w:type="dxa"/>
            <w:gridSpan w:val="2"/>
            <w:shd w:val="clear" w:color="000000" w:fill="BFBFBF"/>
            <w:noWrap/>
            <w:vAlign w:val="center"/>
          </w:tcPr>
          <w:p w14:paraId="7A83CA40" w14:textId="12B776C5" w:rsidR="00BC6398" w:rsidRPr="0036007C" w:rsidRDefault="00BC6398" w:rsidP="00F76882">
            <w:pPr>
              <w:pStyle w:val="Tableheading"/>
            </w:pPr>
            <w:r w:rsidRPr="0036007C">
              <w:t>East Arnhem</w:t>
            </w:r>
          </w:p>
        </w:tc>
        <w:tc>
          <w:tcPr>
            <w:tcW w:w="1870" w:type="dxa"/>
            <w:gridSpan w:val="2"/>
            <w:shd w:val="clear" w:color="000000" w:fill="BFBFBF"/>
            <w:noWrap/>
            <w:vAlign w:val="center"/>
          </w:tcPr>
          <w:p w14:paraId="016F87D0" w14:textId="235413F9" w:rsidR="00BC6398" w:rsidRPr="0036007C" w:rsidRDefault="00BC6398" w:rsidP="00F76882">
            <w:pPr>
              <w:pStyle w:val="Tableheading"/>
            </w:pPr>
            <w:r w:rsidRPr="0036007C">
              <w:t>Katherine</w:t>
            </w:r>
          </w:p>
        </w:tc>
        <w:tc>
          <w:tcPr>
            <w:tcW w:w="2805" w:type="dxa"/>
            <w:gridSpan w:val="3"/>
            <w:shd w:val="clear" w:color="000000" w:fill="BFBFBF"/>
            <w:noWrap/>
            <w:vAlign w:val="center"/>
          </w:tcPr>
          <w:p w14:paraId="5C6987EB" w14:textId="6B8EF7F8" w:rsidR="00BC6398" w:rsidRPr="0036007C" w:rsidRDefault="00BC6398" w:rsidP="00F76882">
            <w:pPr>
              <w:pStyle w:val="Tableheading"/>
            </w:pPr>
            <w:r w:rsidRPr="0036007C">
              <w:t>Total</w:t>
            </w:r>
          </w:p>
        </w:tc>
      </w:tr>
      <w:tr w:rsidR="00BC6398" w:rsidRPr="0036007C" w14:paraId="4C14CEC1" w14:textId="77777777" w:rsidTr="00BC6398">
        <w:trPr>
          <w:trHeight w:val="290"/>
        </w:trPr>
        <w:tc>
          <w:tcPr>
            <w:tcW w:w="2680" w:type="dxa"/>
            <w:shd w:val="clear" w:color="auto" w:fill="FFFFFF" w:themeFill="background1"/>
            <w:vAlign w:val="bottom"/>
          </w:tcPr>
          <w:p w14:paraId="7C2727F1" w14:textId="242CA23B" w:rsidR="00BC6398" w:rsidRPr="0036007C" w:rsidRDefault="00BC6398" w:rsidP="00F76882">
            <w:pPr>
              <w:pStyle w:val="Tabletextleft"/>
            </w:pPr>
            <w:r w:rsidRPr="0036007C">
              <w:t xml:space="preserve">Number of communities screened for </w:t>
            </w:r>
            <w:r w:rsidR="009665DD" w:rsidRPr="0036007C">
              <w:t>TT</w:t>
            </w:r>
          </w:p>
        </w:tc>
        <w:tc>
          <w:tcPr>
            <w:tcW w:w="1870" w:type="dxa"/>
            <w:gridSpan w:val="2"/>
            <w:shd w:val="clear" w:color="auto" w:fill="FFFFFF" w:themeFill="background1"/>
            <w:noWrap/>
            <w:vAlign w:val="center"/>
          </w:tcPr>
          <w:p w14:paraId="42EEB93E" w14:textId="39F8579D" w:rsidR="00BC6398" w:rsidRPr="00FA7B58" w:rsidRDefault="00BC6398" w:rsidP="00F76882">
            <w:pPr>
              <w:pStyle w:val="Tabletext"/>
            </w:pPr>
            <w:r w:rsidRPr="00FA7B58">
              <w:t>27</w:t>
            </w:r>
          </w:p>
        </w:tc>
        <w:tc>
          <w:tcPr>
            <w:tcW w:w="1870" w:type="dxa"/>
            <w:gridSpan w:val="2"/>
            <w:shd w:val="clear" w:color="auto" w:fill="FFFFFF" w:themeFill="background1"/>
            <w:noWrap/>
            <w:vAlign w:val="center"/>
          </w:tcPr>
          <w:p w14:paraId="0C06D30B" w14:textId="0745F61C" w:rsidR="00BC6398" w:rsidRPr="00FA7B58" w:rsidRDefault="00BC6398" w:rsidP="00F76882">
            <w:pPr>
              <w:pStyle w:val="Tabletext"/>
            </w:pPr>
            <w:r w:rsidRPr="00FA7B58">
              <w:t>9</w:t>
            </w:r>
          </w:p>
        </w:tc>
        <w:tc>
          <w:tcPr>
            <w:tcW w:w="1870" w:type="dxa"/>
            <w:gridSpan w:val="2"/>
            <w:shd w:val="clear" w:color="auto" w:fill="FFFFFF" w:themeFill="background1"/>
            <w:noWrap/>
            <w:vAlign w:val="center"/>
          </w:tcPr>
          <w:p w14:paraId="771E659A" w14:textId="21FF3C02" w:rsidR="00BC6398" w:rsidRPr="00FA7B58" w:rsidRDefault="00BC6398" w:rsidP="00F76882">
            <w:pPr>
              <w:pStyle w:val="Tabletext"/>
            </w:pPr>
            <w:r w:rsidRPr="00FA7B58">
              <w:t>15</w:t>
            </w:r>
          </w:p>
        </w:tc>
        <w:tc>
          <w:tcPr>
            <w:tcW w:w="1870" w:type="dxa"/>
            <w:gridSpan w:val="2"/>
            <w:shd w:val="clear" w:color="auto" w:fill="FFFFFF" w:themeFill="background1"/>
            <w:noWrap/>
            <w:vAlign w:val="center"/>
          </w:tcPr>
          <w:p w14:paraId="242119BA" w14:textId="57ADD62B" w:rsidR="00BC6398" w:rsidRPr="00FA7B58" w:rsidRDefault="00BC6398" w:rsidP="00F76882">
            <w:pPr>
              <w:pStyle w:val="Tabletext"/>
            </w:pPr>
            <w:r w:rsidRPr="00FA7B58">
              <w:t>17</w:t>
            </w:r>
          </w:p>
        </w:tc>
        <w:tc>
          <w:tcPr>
            <w:tcW w:w="1870" w:type="dxa"/>
            <w:gridSpan w:val="2"/>
            <w:shd w:val="clear" w:color="auto" w:fill="FFFFFF" w:themeFill="background1"/>
            <w:noWrap/>
            <w:vAlign w:val="center"/>
          </w:tcPr>
          <w:p w14:paraId="75BEA71F" w14:textId="42FE075D" w:rsidR="00BC6398" w:rsidRPr="00FA7B58" w:rsidRDefault="00BC6398" w:rsidP="00F76882">
            <w:pPr>
              <w:pStyle w:val="Tabletext"/>
            </w:pPr>
            <w:r w:rsidRPr="00FA7B58">
              <w:t>21</w:t>
            </w:r>
          </w:p>
        </w:tc>
        <w:tc>
          <w:tcPr>
            <w:tcW w:w="2805" w:type="dxa"/>
            <w:gridSpan w:val="3"/>
            <w:shd w:val="clear" w:color="auto" w:fill="FFFFFF" w:themeFill="background1"/>
            <w:noWrap/>
            <w:vAlign w:val="center"/>
          </w:tcPr>
          <w:p w14:paraId="164765B0" w14:textId="266D4929" w:rsidR="00BC6398" w:rsidRPr="00FA7B58" w:rsidRDefault="00BC6398" w:rsidP="00F76882">
            <w:pPr>
              <w:pStyle w:val="Tabletext"/>
            </w:pPr>
            <w:r w:rsidRPr="00FA7B58">
              <w:t>89</w:t>
            </w:r>
          </w:p>
        </w:tc>
      </w:tr>
      <w:tr w:rsidR="003E4CE4" w:rsidRPr="0036007C" w14:paraId="219CABCA" w14:textId="77777777" w:rsidTr="00BC6398">
        <w:trPr>
          <w:trHeight w:val="290"/>
        </w:trPr>
        <w:tc>
          <w:tcPr>
            <w:tcW w:w="2680" w:type="dxa"/>
            <w:shd w:val="clear" w:color="000000" w:fill="BFBFBF"/>
            <w:vAlign w:val="bottom"/>
            <w:hideMark/>
          </w:tcPr>
          <w:p w14:paraId="6C91326D" w14:textId="0C332C8E" w:rsidR="003E4CE4" w:rsidRPr="0036007C" w:rsidRDefault="003E4CE4" w:rsidP="00F76882">
            <w:pPr>
              <w:pStyle w:val="Tabletextleft"/>
            </w:pPr>
            <w:r w:rsidRPr="0036007C">
              <w:t>Age group (years)</w:t>
            </w:r>
          </w:p>
        </w:tc>
        <w:tc>
          <w:tcPr>
            <w:tcW w:w="935" w:type="dxa"/>
            <w:shd w:val="clear" w:color="000000" w:fill="BFBFBF"/>
            <w:noWrap/>
            <w:vAlign w:val="bottom"/>
            <w:hideMark/>
          </w:tcPr>
          <w:p w14:paraId="19487D2E" w14:textId="1237A37B" w:rsidR="003E4CE4" w:rsidRPr="00FA7B58" w:rsidRDefault="003E4CE4" w:rsidP="00F76882">
            <w:pPr>
              <w:pStyle w:val="Tabletext"/>
            </w:pPr>
            <w:r w:rsidRPr="00FA7B58">
              <w:t>15–39</w:t>
            </w:r>
          </w:p>
        </w:tc>
        <w:tc>
          <w:tcPr>
            <w:tcW w:w="935" w:type="dxa"/>
            <w:shd w:val="clear" w:color="000000" w:fill="BFBFBF"/>
            <w:noWrap/>
            <w:vAlign w:val="bottom"/>
            <w:hideMark/>
          </w:tcPr>
          <w:p w14:paraId="0CF711AD" w14:textId="77777777" w:rsidR="003E4CE4" w:rsidRPr="00FA7B58" w:rsidRDefault="003E4CE4" w:rsidP="00F76882">
            <w:pPr>
              <w:pStyle w:val="Tabletext"/>
            </w:pPr>
            <w:r w:rsidRPr="00FA7B58">
              <w:t>40+</w:t>
            </w:r>
          </w:p>
        </w:tc>
        <w:tc>
          <w:tcPr>
            <w:tcW w:w="935" w:type="dxa"/>
            <w:shd w:val="clear" w:color="000000" w:fill="BFBFBF"/>
            <w:noWrap/>
            <w:vAlign w:val="bottom"/>
            <w:hideMark/>
          </w:tcPr>
          <w:p w14:paraId="7D6DC3A7" w14:textId="14D2E749" w:rsidR="003E4CE4" w:rsidRPr="00FA7B58" w:rsidRDefault="003E4CE4" w:rsidP="00F76882">
            <w:pPr>
              <w:pStyle w:val="Tabletext"/>
            </w:pPr>
            <w:r w:rsidRPr="00FA7B58">
              <w:t>15–39</w:t>
            </w:r>
          </w:p>
        </w:tc>
        <w:tc>
          <w:tcPr>
            <w:tcW w:w="935" w:type="dxa"/>
            <w:shd w:val="clear" w:color="000000" w:fill="BFBFBF"/>
            <w:noWrap/>
            <w:vAlign w:val="bottom"/>
            <w:hideMark/>
          </w:tcPr>
          <w:p w14:paraId="76F7EB81" w14:textId="77777777" w:rsidR="003E4CE4" w:rsidRPr="00FA7B58" w:rsidRDefault="003E4CE4" w:rsidP="00F76882">
            <w:pPr>
              <w:pStyle w:val="Tabletext"/>
            </w:pPr>
            <w:r w:rsidRPr="00FA7B58">
              <w:t>40+</w:t>
            </w:r>
          </w:p>
        </w:tc>
        <w:tc>
          <w:tcPr>
            <w:tcW w:w="935" w:type="dxa"/>
            <w:shd w:val="clear" w:color="000000" w:fill="BFBFBF"/>
            <w:noWrap/>
            <w:vAlign w:val="bottom"/>
            <w:hideMark/>
          </w:tcPr>
          <w:p w14:paraId="2012AE39" w14:textId="5C9C189E" w:rsidR="003E4CE4" w:rsidRPr="00FA7B58" w:rsidRDefault="003E4CE4" w:rsidP="00F76882">
            <w:pPr>
              <w:pStyle w:val="Tabletext"/>
            </w:pPr>
            <w:r w:rsidRPr="00FA7B58">
              <w:t>15–39</w:t>
            </w:r>
          </w:p>
        </w:tc>
        <w:tc>
          <w:tcPr>
            <w:tcW w:w="935" w:type="dxa"/>
            <w:shd w:val="clear" w:color="000000" w:fill="BFBFBF"/>
            <w:noWrap/>
            <w:vAlign w:val="bottom"/>
            <w:hideMark/>
          </w:tcPr>
          <w:p w14:paraId="07B28C04" w14:textId="77777777" w:rsidR="003E4CE4" w:rsidRPr="00FA7B58" w:rsidRDefault="003E4CE4" w:rsidP="00F76882">
            <w:pPr>
              <w:pStyle w:val="Tabletext"/>
            </w:pPr>
            <w:r w:rsidRPr="00FA7B58">
              <w:t>40+</w:t>
            </w:r>
          </w:p>
        </w:tc>
        <w:tc>
          <w:tcPr>
            <w:tcW w:w="935" w:type="dxa"/>
            <w:shd w:val="clear" w:color="000000" w:fill="BFBFBF"/>
            <w:noWrap/>
            <w:vAlign w:val="bottom"/>
            <w:hideMark/>
          </w:tcPr>
          <w:p w14:paraId="67B2179E" w14:textId="4132C73E" w:rsidR="003E4CE4" w:rsidRPr="00FA7B58" w:rsidRDefault="003E4CE4" w:rsidP="00F76882">
            <w:pPr>
              <w:pStyle w:val="Tabletext"/>
            </w:pPr>
            <w:r w:rsidRPr="00FA7B58">
              <w:t>15–39</w:t>
            </w:r>
          </w:p>
        </w:tc>
        <w:tc>
          <w:tcPr>
            <w:tcW w:w="935" w:type="dxa"/>
            <w:shd w:val="clear" w:color="000000" w:fill="BFBFBF"/>
            <w:noWrap/>
            <w:vAlign w:val="bottom"/>
            <w:hideMark/>
          </w:tcPr>
          <w:p w14:paraId="36410202" w14:textId="77777777" w:rsidR="003E4CE4" w:rsidRPr="00FA7B58" w:rsidRDefault="003E4CE4" w:rsidP="00F76882">
            <w:pPr>
              <w:pStyle w:val="Tabletext"/>
            </w:pPr>
            <w:r w:rsidRPr="00FA7B58">
              <w:t>40+</w:t>
            </w:r>
          </w:p>
        </w:tc>
        <w:tc>
          <w:tcPr>
            <w:tcW w:w="935" w:type="dxa"/>
            <w:shd w:val="clear" w:color="000000" w:fill="BFBFBF"/>
            <w:noWrap/>
            <w:vAlign w:val="bottom"/>
            <w:hideMark/>
          </w:tcPr>
          <w:p w14:paraId="76F6D8FF" w14:textId="647A7B1B" w:rsidR="003E4CE4" w:rsidRPr="00FA7B58" w:rsidRDefault="003E4CE4" w:rsidP="00F76882">
            <w:pPr>
              <w:pStyle w:val="Tabletext"/>
            </w:pPr>
            <w:r w:rsidRPr="00FA7B58">
              <w:t>15–39</w:t>
            </w:r>
          </w:p>
        </w:tc>
        <w:tc>
          <w:tcPr>
            <w:tcW w:w="935" w:type="dxa"/>
            <w:shd w:val="clear" w:color="000000" w:fill="BFBFBF"/>
            <w:noWrap/>
            <w:vAlign w:val="bottom"/>
            <w:hideMark/>
          </w:tcPr>
          <w:p w14:paraId="76EF9968" w14:textId="77777777" w:rsidR="003E4CE4" w:rsidRPr="00FA7B58" w:rsidRDefault="003E4CE4" w:rsidP="00F76882">
            <w:pPr>
              <w:pStyle w:val="Tabletext"/>
            </w:pPr>
            <w:r w:rsidRPr="00FA7B58">
              <w:t>40+</w:t>
            </w:r>
          </w:p>
        </w:tc>
        <w:tc>
          <w:tcPr>
            <w:tcW w:w="935" w:type="dxa"/>
            <w:shd w:val="clear" w:color="000000" w:fill="BFBFBF"/>
            <w:noWrap/>
            <w:vAlign w:val="bottom"/>
            <w:hideMark/>
          </w:tcPr>
          <w:p w14:paraId="60DD24D6" w14:textId="0D9E782A" w:rsidR="003E4CE4" w:rsidRPr="00FA7B58" w:rsidRDefault="003E4CE4" w:rsidP="00F76882">
            <w:pPr>
              <w:pStyle w:val="Tabletext"/>
            </w:pPr>
            <w:r w:rsidRPr="00FA7B58">
              <w:t>15–39</w:t>
            </w:r>
          </w:p>
        </w:tc>
        <w:tc>
          <w:tcPr>
            <w:tcW w:w="935" w:type="dxa"/>
            <w:shd w:val="clear" w:color="000000" w:fill="BFBFBF"/>
            <w:noWrap/>
            <w:vAlign w:val="bottom"/>
            <w:hideMark/>
          </w:tcPr>
          <w:p w14:paraId="1EDB21E7" w14:textId="77777777" w:rsidR="003E4CE4" w:rsidRPr="00FA7B58" w:rsidRDefault="003E4CE4" w:rsidP="00F76882">
            <w:pPr>
              <w:pStyle w:val="Tabletext"/>
            </w:pPr>
            <w:r w:rsidRPr="00FA7B58">
              <w:t>40+</w:t>
            </w:r>
          </w:p>
        </w:tc>
        <w:tc>
          <w:tcPr>
            <w:tcW w:w="935" w:type="dxa"/>
            <w:shd w:val="clear" w:color="000000" w:fill="BFBFBF"/>
            <w:noWrap/>
            <w:vAlign w:val="bottom"/>
            <w:hideMark/>
          </w:tcPr>
          <w:p w14:paraId="57B04D92" w14:textId="77777777" w:rsidR="003E4CE4" w:rsidRPr="00FA7B58" w:rsidRDefault="003E4CE4" w:rsidP="00F76882">
            <w:pPr>
              <w:pStyle w:val="Tabletext"/>
            </w:pPr>
            <w:r w:rsidRPr="00FA7B58">
              <w:t>15+</w:t>
            </w:r>
          </w:p>
        </w:tc>
      </w:tr>
      <w:tr w:rsidR="000D6CD7" w:rsidRPr="0036007C" w14:paraId="717D20ED" w14:textId="77777777" w:rsidTr="006B7ECA">
        <w:trPr>
          <w:trHeight w:val="290"/>
        </w:trPr>
        <w:tc>
          <w:tcPr>
            <w:tcW w:w="2680" w:type="dxa"/>
            <w:vAlign w:val="bottom"/>
            <w:hideMark/>
          </w:tcPr>
          <w:p w14:paraId="12771E61" w14:textId="2FD7838F" w:rsidR="000D6CD7" w:rsidRPr="0036007C" w:rsidRDefault="000D6CD7" w:rsidP="00F76882">
            <w:pPr>
              <w:pStyle w:val="Tabletextleft"/>
            </w:pPr>
            <w:r w:rsidRPr="0036007C">
              <w:t>Adults examined</w:t>
            </w:r>
            <w:r w:rsidRPr="007C3001">
              <w:t>*</w:t>
            </w:r>
          </w:p>
        </w:tc>
        <w:tc>
          <w:tcPr>
            <w:tcW w:w="935" w:type="dxa"/>
            <w:noWrap/>
            <w:vAlign w:val="center"/>
          </w:tcPr>
          <w:p w14:paraId="7ED53957" w14:textId="395A8BA4" w:rsidR="000D6CD7" w:rsidRPr="00FA7B58" w:rsidRDefault="000D6CD7" w:rsidP="00F76882">
            <w:pPr>
              <w:pStyle w:val="Tabletext"/>
            </w:pPr>
            <w:r w:rsidRPr="00FA7B58">
              <w:t>2140</w:t>
            </w:r>
          </w:p>
        </w:tc>
        <w:tc>
          <w:tcPr>
            <w:tcW w:w="935" w:type="dxa"/>
            <w:noWrap/>
            <w:vAlign w:val="center"/>
          </w:tcPr>
          <w:p w14:paraId="5505B118" w14:textId="61ABF3E9" w:rsidR="000D6CD7" w:rsidRPr="00FA7B58" w:rsidRDefault="000D6CD7" w:rsidP="00F76882">
            <w:pPr>
              <w:pStyle w:val="Tabletext"/>
            </w:pPr>
            <w:r w:rsidRPr="00FA7B58">
              <w:t>2342</w:t>
            </w:r>
          </w:p>
        </w:tc>
        <w:tc>
          <w:tcPr>
            <w:tcW w:w="935" w:type="dxa"/>
            <w:noWrap/>
            <w:vAlign w:val="center"/>
          </w:tcPr>
          <w:p w14:paraId="5667D489" w14:textId="1CB9099D" w:rsidR="000D6CD7" w:rsidRPr="00FA7B58" w:rsidRDefault="000D6CD7" w:rsidP="00F76882">
            <w:pPr>
              <w:pStyle w:val="Tabletext"/>
            </w:pPr>
            <w:r w:rsidRPr="00FA7B58">
              <w:t>301</w:t>
            </w:r>
          </w:p>
        </w:tc>
        <w:tc>
          <w:tcPr>
            <w:tcW w:w="935" w:type="dxa"/>
            <w:noWrap/>
            <w:vAlign w:val="center"/>
          </w:tcPr>
          <w:p w14:paraId="68517E68" w14:textId="01B288F5" w:rsidR="000D6CD7" w:rsidRPr="00FA7B58" w:rsidRDefault="000D6CD7" w:rsidP="00F76882">
            <w:pPr>
              <w:pStyle w:val="Tabletext"/>
            </w:pPr>
            <w:r w:rsidRPr="00FA7B58">
              <w:t>353</w:t>
            </w:r>
          </w:p>
        </w:tc>
        <w:tc>
          <w:tcPr>
            <w:tcW w:w="935" w:type="dxa"/>
            <w:noWrap/>
            <w:vAlign w:val="center"/>
          </w:tcPr>
          <w:p w14:paraId="196B588A" w14:textId="393CC5F8" w:rsidR="000D6CD7" w:rsidRPr="00FA7B58" w:rsidRDefault="000D6CD7" w:rsidP="00F76882">
            <w:pPr>
              <w:pStyle w:val="Tabletext"/>
            </w:pPr>
            <w:r w:rsidRPr="00FA7B58">
              <w:t>2541</w:t>
            </w:r>
          </w:p>
        </w:tc>
        <w:tc>
          <w:tcPr>
            <w:tcW w:w="935" w:type="dxa"/>
            <w:noWrap/>
            <w:vAlign w:val="center"/>
          </w:tcPr>
          <w:p w14:paraId="46306A2B" w14:textId="05628830" w:rsidR="000D6CD7" w:rsidRPr="00FA7B58" w:rsidRDefault="000D6CD7" w:rsidP="00F76882">
            <w:pPr>
              <w:pStyle w:val="Tabletext"/>
            </w:pPr>
            <w:r w:rsidRPr="00FA7B58">
              <w:t>223</w:t>
            </w:r>
            <w:r w:rsidR="00713495" w:rsidRPr="00FA7B58">
              <w:t>1</w:t>
            </w:r>
          </w:p>
        </w:tc>
        <w:tc>
          <w:tcPr>
            <w:tcW w:w="935" w:type="dxa"/>
            <w:noWrap/>
            <w:vAlign w:val="center"/>
          </w:tcPr>
          <w:p w14:paraId="4A65CAC3" w14:textId="2ED0A1B6" w:rsidR="000D6CD7" w:rsidRPr="00FA7B58" w:rsidRDefault="000D6CD7" w:rsidP="00F76882">
            <w:pPr>
              <w:pStyle w:val="Tabletext"/>
            </w:pPr>
            <w:r w:rsidRPr="00FA7B58">
              <w:t>423</w:t>
            </w:r>
          </w:p>
        </w:tc>
        <w:tc>
          <w:tcPr>
            <w:tcW w:w="935" w:type="dxa"/>
            <w:noWrap/>
            <w:vAlign w:val="center"/>
          </w:tcPr>
          <w:p w14:paraId="3E207E32" w14:textId="14D89684" w:rsidR="000D6CD7" w:rsidRPr="00FA7B58" w:rsidRDefault="000D6CD7" w:rsidP="00F76882">
            <w:pPr>
              <w:pStyle w:val="Tabletext"/>
            </w:pPr>
            <w:r w:rsidRPr="00FA7B58">
              <w:t>473</w:t>
            </w:r>
          </w:p>
        </w:tc>
        <w:tc>
          <w:tcPr>
            <w:tcW w:w="935" w:type="dxa"/>
            <w:noWrap/>
            <w:vAlign w:val="center"/>
          </w:tcPr>
          <w:p w14:paraId="7F961874" w14:textId="5412FFCC" w:rsidR="000D6CD7" w:rsidRPr="00FA7B58" w:rsidRDefault="000D6CD7" w:rsidP="00F76882">
            <w:pPr>
              <w:pStyle w:val="Tabletext"/>
            </w:pPr>
            <w:r w:rsidRPr="00FA7B58">
              <w:t>2315</w:t>
            </w:r>
          </w:p>
        </w:tc>
        <w:tc>
          <w:tcPr>
            <w:tcW w:w="935" w:type="dxa"/>
            <w:noWrap/>
            <w:vAlign w:val="center"/>
          </w:tcPr>
          <w:p w14:paraId="3C35279B" w14:textId="77EC17A3" w:rsidR="000D6CD7" w:rsidRPr="00FA7B58" w:rsidRDefault="000D6CD7" w:rsidP="00F76882">
            <w:pPr>
              <w:pStyle w:val="Tabletext"/>
            </w:pPr>
            <w:r w:rsidRPr="00FA7B58">
              <w:t>2157</w:t>
            </w:r>
          </w:p>
        </w:tc>
        <w:tc>
          <w:tcPr>
            <w:tcW w:w="935" w:type="dxa"/>
            <w:noWrap/>
            <w:vAlign w:val="center"/>
          </w:tcPr>
          <w:p w14:paraId="5E3D3CC0" w14:textId="3753C2F3" w:rsidR="000D6CD7" w:rsidRPr="00FA7B58" w:rsidRDefault="000D6CD7" w:rsidP="00F76882">
            <w:pPr>
              <w:pStyle w:val="Tabletext"/>
            </w:pPr>
            <w:r w:rsidRPr="00FA7B58">
              <w:t>7720</w:t>
            </w:r>
          </w:p>
        </w:tc>
        <w:tc>
          <w:tcPr>
            <w:tcW w:w="935" w:type="dxa"/>
            <w:noWrap/>
            <w:vAlign w:val="center"/>
          </w:tcPr>
          <w:p w14:paraId="6E506A9D" w14:textId="54855002" w:rsidR="000D6CD7" w:rsidRPr="00FA7B58" w:rsidRDefault="000D6CD7" w:rsidP="00F76882">
            <w:pPr>
              <w:pStyle w:val="Tabletext"/>
            </w:pPr>
            <w:r w:rsidRPr="00FA7B58">
              <w:t>755</w:t>
            </w:r>
            <w:r w:rsidR="00713495" w:rsidRPr="00FA7B58">
              <w:t>6</w:t>
            </w:r>
          </w:p>
        </w:tc>
        <w:tc>
          <w:tcPr>
            <w:tcW w:w="935" w:type="dxa"/>
            <w:noWrap/>
            <w:vAlign w:val="center"/>
          </w:tcPr>
          <w:p w14:paraId="1E16F336" w14:textId="5D7C9100" w:rsidR="000D6CD7" w:rsidRPr="00FA7B58" w:rsidRDefault="000D6CD7" w:rsidP="00F76882">
            <w:pPr>
              <w:pStyle w:val="Tabletext"/>
            </w:pPr>
            <w:r w:rsidRPr="00FA7B58">
              <w:t>1527</w:t>
            </w:r>
            <w:r w:rsidR="00713495" w:rsidRPr="00FA7B58">
              <w:t>6</w:t>
            </w:r>
          </w:p>
        </w:tc>
      </w:tr>
      <w:tr w:rsidR="009665DD" w:rsidRPr="0036007C" w14:paraId="761E0CF1" w14:textId="77777777" w:rsidTr="00BC6398">
        <w:trPr>
          <w:trHeight w:val="290"/>
        </w:trPr>
        <w:tc>
          <w:tcPr>
            <w:tcW w:w="2680" w:type="dxa"/>
            <w:shd w:val="clear" w:color="000000" w:fill="BFBFBF"/>
            <w:vAlign w:val="bottom"/>
            <w:hideMark/>
          </w:tcPr>
          <w:p w14:paraId="68651AC8" w14:textId="5D5C4F1B" w:rsidR="009665DD" w:rsidRPr="0036007C" w:rsidRDefault="009665DD" w:rsidP="00F76882">
            <w:pPr>
              <w:pStyle w:val="Tabletextleft"/>
            </w:pPr>
            <w:r w:rsidRPr="0036007C">
              <w:t>With TT</w:t>
            </w:r>
            <w:r w:rsidRPr="007C3001">
              <w:t xml:space="preserve"> †</w:t>
            </w:r>
          </w:p>
        </w:tc>
        <w:tc>
          <w:tcPr>
            <w:tcW w:w="935" w:type="dxa"/>
            <w:shd w:val="clear" w:color="000000" w:fill="BFBFBF"/>
            <w:noWrap/>
            <w:vAlign w:val="bottom"/>
          </w:tcPr>
          <w:p w14:paraId="09C16013" w14:textId="7F5EB2AA" w:rsidR="009665DD" w:rsidRPr="00FA7B58" w:rsidRDefault="009665DD" w:rsidP="00F76882">
            <w:pPr>
              <w:pStyle w:val="Tabletext"/>
            </w:pPr>
            <w:r w:rsidRPr="00FA7B58">
              <w:t>0</w:t>
            </w:r>
          </w:p>
        </w:tc>
        <w:tc>
          <w:tcPr>
            <w:tcW w:w="935" w:type="dxa"/>
            <w:shd w:val="clear" w:color="000000" w:fill="BFBFBF"/>
            <w:noWrap/>
            <w:vAlign w:val="bottom"/>
          </w:tcPr>
          <w:p w14:paraId="5A8F5E37" w14:textId="6EF93185" w:rsidR="009665DD" w:rsidRPr="00FA7B58" w:rsidRDefault="009665DD" w:rsidP="00F76882">
            <w:pPr>
              <w:pStyle w:val="Tabletext"/>
            </w:pPr>
            <w:r w:rsidRPr="00FA7B58">
              <w:t>1</w:t>
            </w:r>
          </w:p>
        </w:tc>
        <w:tc>
          <w:tcPr>
            <w:tcW w:w="935" w:type="dxa"/>
            <w:shd w:val="clear" w:color="000000" w:fill="BFBFBF"/>
            <w:noWrap/>
            <w:vAlign w:val="bottom"/>
          </w:tcPr>
          <w:p w14:paraId="491E4F5A" w14:textId="68EDAEA1" w:rsidR="009665DD" w:rsidRPr="00FA7B58" w:rsidRDefault="009665DD" w:rsidP="00F76882">
            <w:pPr>
              <w:pStyle w:val="Tabletext"/>
            </w:pPr>
            <w:r w:rsidRPr="00FA7B58">
              <w:t>0</w:t>
            </w:r>
          </w:p>
        </w:tc>
        <w:tc>
          <w:tcPr>
            <w:tcW w:w="935" w:type="dxa"/>
            <w:shd w:val="clear" w:color="000000" w:fill="BFBFBF"/>
            <w:noWrap/>
            <w:vAlign w:val="bottom"/>
          </w:tcPr>
          <w:p w14:paraId="2AD714B3" w14:textId="01514550" w:rsidR="009665DD" w:rsidRPr="00FA7B58" w:rsidRDefault="009665DD" w:rsidP="00F76882">
            <w:pPr>
              <w:pStyle w:val="Tabletext"/>
            </w:pPr>
            <w:r w:rsidRPr="00FA7B58">
              <w:t>2</w:t>
            </w:r>
          </w:p>
        </w:tc>
        <w:tc>
          <w:tcPr>
            <w:tcW w:w="935" w:type="dxa"/>
            <w:shd w:val="clear" w:color="000000" w:fill="BFBFBF"/>
            <w:noWrap/>
            <w:vAlign w:val="bottom"/>
          </w:tcPr>
          <w:p w14:paraId="1841EB2D" w14:textId="25DCB3FA" w:rsidR="009665DD" w:rsidRPr="00FA7B58" w:rsidRDefault="009665DD" w:rsidP="00F76882">
            <w:pPr>
              <w:pStyle w:val="Tabletext"/>
            </w:pPr>
            <w:r w:rsidRPr="00FA7B58">
              <w:t>0</w:t>
            </w:r>
          </w:p>
        </w:tc>
        <w:tc>
          <w:tcPr>
            <w:tcW w:w="935" w:type="dxa"/>
            <w:shd w:val="clear" w:color="000000" w:fill="BFBFBF"/>
            <w:noWrap/>
            <w:vAlign w:val="bottom"/>
          </w:tcPr>
          <w:p w14:paraId="33E7D026" w14:textId="1EF15437" w:rsidR="009665DD" w:rsidRPr="00FA7B58" w:rsidRDefault="009665DD" w:rsidP="00F76882">
            <w:pPr>
              <w:pStyle w:val="Tabletext"/>
            </w:pPr>
            <w:r w:rsidRPr="00FA7B58">
              <w:t>0</w:t>
            </w:r>
          </w:p>
        </w:tc>
        <w:tc>
          <w:tcPr>
            <w:tcW w:w="935" w:type="dxa"/>
            <w:shd w:val="clear" w:color="000000" w:fill="BFBFBF"/>
            <w:noWrap/>
            <w:vAlign w:val="bottom"/>
          </w:tcPr>
          <w:p w14:paraId="5F29217D" w14:textId="2B389185" w:rsidR="009665DD" w:rsidRPr="00FA7B58" w:rsidRDefault="009665DD" w:rsidP="00F76882">
            <w:pPr>
              <w:pStyle w:val="Tabletext"/>
            </w:pPr>
            <w:r w:rsidRPr="00FA7B58">
              <w:t>0</w:t>
            </w:r>
          </w:p>
        </w:tc>
        <w:tc>
          <w:tcPr>
            <w:tcW w:w="935" w:type="dxa"/>
            <w:shd w:val="clear" w:color="000000" w:fill="BFBFBF"/>
            <w:noWrap/>
            <w:vAlign w:val="bottom"/>
          </w:tcPr>
          <w:p w14:paraId="47F69087" w14:textId="34335ABF" w:rsidR="009665DD" w:rsidRPr="00FA7B58" w:rsidRDefault="009665DD" w:rsidP="00F76882">
            <w:pPr>
              <w:pStyle w:val="Tabletext"/>
            </w:pPr>
            <w:r w:rsidRPr="00FA7B58">
              <w:t>1</w:t>
            </w:r>
          </w:p>
        </w:tc>
        <w:tc>
          <w:tcPr>
            <w:tcW w:w="935" w:type="dxa"/>
            <w:shd w:val="clear" w:color="000000" w:fill="BFBFBF"/>
            <w:noWrap/>
            <w:vAlign w:val="bottom"/>
          </w:tcPr>
          <w:p w14:paraId="591355E5" w14:textId="312D0ECB" w:rsidR="009665DD" w:rsidRPr="00FA7B58" w:rsidRDefault="009665DD" w:rsidP="00F76882">
            <w:pPr>
              <w:pStyle w:val="Tabletext"/>
            </w:pPr>
            <w:r w:rsidRPr="00FA7B58">
              <w:t>0</w:t>
            </w:r>
          </w:p>
        </w:tc>
        <w:tc>
          <w:tcPr>
            <w:tcW w:w="935" w:type="dxa"/>
            <w:shd w:val="clear" w:color="000000" w:fill="BFBFBF"/>
            <w:noWrap/>
            <w:vAlign w:val="bottom"/>
          </w:tcPr>
          <w:p w14:paraId="55D31DA3" w14:textId="289D42D3" w:rsidR="009665DD" w:rsidRPr="00FA7B58" w:rsidRDefault="009665DD" w:rsidP="00F76882">
            <w:pPr>
              <w:pStyle w:val="Tabletext"/>
            </w:pPr>
            <w:r w:rsidRPr="00FA7B58">
              <w:t>1</w:t>
            </w:r>
          </w:p>
        </w:tc>
        <w:tc>
          <w:tcPr>
            <w:tcW w:w="935" w:type="dxa"/>
            <w:shd w:val="clear" w:color="000000" w:fill="BFBFBF"/>
            <w:noWrap/>
            <w:vAlign w:val="bottom"/>
          </w:tcPr>
          <w:p w14:paraId="1F24E230" w14:textId="341955E8" w:rsidR="009665DD" w:rsidRPr="00FA7B58" w:rsidRDefault="009665DD" w:rsidP="00F76882">
            <w:pPr>
              <w:pStyle w:val="Tabletext"/>
            </w:pPr>
            <w:r w:rsidRPr="00FA7B58">
              <w:t>0</w:t>
            </w:r>
          </w:p>
        </w:tc>
        <w:tc>
          <w:tcPr>
            <w:tcW w:w="935" w:type="dxa"/>
            <w:shd w:val="clear" w:color="000000" w:fill="BFBFBF"/>
            <w:noWrap/>
            <w:vAlign w:val="bottom"/>
          </w:tcPr>
          <w:p w14:paraId="65061B75" w14:textId="4B017EC8" w:rsidR="009665DD" w:rsidRPr="00FA7B58" w:rsidRDefault="009665DD" w:rsidP="00F76882">
            <w:pPr>
              <w:pStyle w:val="Tabletext"/>
            </w:pPr>
            <w:r w:rsidRPr="00FA7B58">
              <w:t>5</w:t>
            </w:r>
          </w:p>
        </w:tc>
        <w:tc>
          <w:tcPr>
            <w:tcW w:w="935" w:type="dxa"/>
            <w:shd w:val="clear" w:color="000000" w:fill="BFBFBF"/>
            <w:noWrap/>
            <w:vAlign w:val="bottom"/>
          </w:tcPr>
          <w:p w14:paraId="36585768" w14:textId="1369AA85" w:rsidR="009665DD" w:rsidRPr="00FA7B58" w:rsidRDefault="009665DD" w:rsidP="00F76882">
            <w:pPr>
              <w:pStyle w:val="Tabletext"/>
            </w:pPr>
            <w:r w:rsidRPr="00FA7B58">
              <w:t>5</w:t>
            </w:r>
          </w:p>
        </w:tc>
      </w:tr>
      <w:tr w:rsidR="009665DD" w:rsidRPr="0036007C" w14:paraId="20080BAC" w14:textId="77777777" w:rsidTr="00BC6398">
        <w:trPr>
          <w:trHeight w:val="290"/>
        </w:trPr>
        <w:tc>
          <w:tcPr>
            <w:tcW w:w="2680" w:type="dxa"/>
            <w:vAlign w:val="bottom"/>
            <w:hideMark/>
          </w:tcPr>
          <w:p w14:paraId="79E3636C" w14:textId="57FF9F5F" w:rsidR="009665DD" w:rsidRPr="00FA7B58" w:rsidRDefault="009665DD" w:rsidP="00F76882">
            <w:pPr>
              <w:pStyle w:val="Tabletextleft"/>
            </w:pPr>
            <w:r w:rsidRPr="00FA7B58">
              <w:t>With TT (%)</w:t>
            </w:r>
          </w:p>
        </w:tc>
        <w:tc>
          <w:tcPr>
            <w:tcW w:w="935" w:type="dxa"/>
            <w:noWrap/>
            <w:vAlign w:val="bottom"/>
          </w:tcPr>
          <w:p w14:paraId="236A1967" w14:textId="57BF62AB" w:rsidR="009665DD" w:rsidRPr="0063016C" w:rsidRDefault="009665DD" w:rsidP="00F76882">
            <w:pPr>
              <w:pStyle w:val="Tabletext"/>
              <w:rPr>
                <w:rStyle w:val="Emphasis"/>
              </w:rPr>
            </w:pPr>
            <w:r w:rsidRPr="0063016C">
              <w:rPr>
                <w:rStyle w:val="Emphasis"/>
              </w:rPr>
              <w:t>0.00</w:t>
            </w:r>
          </w:p>
        </w:tc>
        <w:tc>
          <w:tcPr>
            <w:tcW w:w="935" w:type="dxa"/>
            <w:noWrap/>
            <w:vAlign w:val="bottom"/>
          </w:tcPr>
          <w:p w14:paraId="385D3EF0" w14:textId="6439165B" w:rsidR="009665DD" w:rsidRPr="0063016C" w:rsidRDefault="009665DD" w:rsidP="00F76882">
            <w:pPr>
              <w:pStyle w:val="Tabletext"/>
              <w:rPr>
                <w:rStyle w:val="Emphasis"/>
              </w:rPr>
            </w:pPr>
            <w:r w:rsidRPr="0063016C">
              <w:rPr>
                <w:rStyle w:val="Emphasis"/>
              </w:rPr>
              <w:t>0.04</w:t>
            </w:r>
          </w:p>
        </w:tc>
        <w:tc>
          <w:tcPr>
            <w:tcW w:w="935" w:type="dxa"/>
            <w:noWrap/>
            <w:vAlign w:val="bottom"/>
          </w:tcPr>
          <w:p w14:paraId="6C4451B4" w14:textId="7D1B91E6" w:rsidR="009665DD" w:rsidRPr="0063016C" w:rsidRDefault="009665DD" w:rsidP="00F76882">
            <w:pPr>
              <w:pStyle w:val="Tabletext"/>
              <w:rPr>
                <w:rStyle w:val="Emphasis"/>
              </w:rPr>
            </w:pPr>
            <w:r w:rsidRPr="0063016C">
              <w:rPr>
                <w:rStyle w:val="Emphasis"/>
              </w:rPr>
              <w:t>0.00</w:t>
            </w:r>
          </w:p>
        </w:tc>
        <w:tc>
          <w:tcPr>
            <w:tcW w:w="935" w:type="dxa"/>
            <w:noWrap/>
            <w:vAlign w:val="bottom"/>
          </w:tcPr>
          <w:p w14:paraId="13FF6266" w14:textId="25B91387" w:rsidR="009665DD" w:rsidRPr="0063016C" w:rsidRDefault="009665DD" w:rsidP="00F76882">
            <w:pPr>
              <w:pStyle w:val="Tabletext"/>
              <w:rPr>
                <w:rStyle w:val="Emphasis"/>
              </w:rPr>
            </w:pPr>
            <w:r w:rsidRPr="0063016C">
              <w:rPr>
                <w:rStyle w:val="Emphasis"/>
              </w:rPr>
              <w:t>0.57</w:t>
            </w:r>
          </w:p>
        </w:tc>
        <w:tc>
          <w:tcPr>
            <w:tcW w:w="935" w:type="dxa"/>
            <w:noWrap/>
            <w:vAlign w:val="bottom"/>
          </w:tcPr>
          <w:p w14:paraId="476EAE35" w14:textId="482ED5F8" w:rsidR="009665DD" w:rsidRPr="0063016C" w:rsidRDefault="009665DD" w:rsidP="00F76882">
            <w:pPr>
              <w:pStyle w:val="Tabletext"/>
              <w:rPr>
                <w:rStyle w:val="Emphasis"/>
              </w:rPr>
            </w:pPr>
            <w:r w:rsidRPr="0063016C">
              <w:rPr>
                <w:rStyle w:val="Emphasis"/>
              </w:rPr>
              <w:t>0.00</w:t>
            </w:r>
          </w:p>
        </w:tc>
        <w:tc>
          <w:tcPr>
            <w:tcW w:w="935" w:type="dxa"/>
            <w:noWrap/>
            <w:vAlign w:val="bottom"/>
          </w:tcPr>
          <w:p w14:paraId="7C1E0835" w14:textId="47D36036" w:rsidR="009665DD" w:rsidRPr="0063016C" w:rsidRDefault="009665DD" w:rsidP="00F76882">
            <w:pPr>
              <w:pStyle w:val="Tabletext"/>
              <w:rPr>
                <w:rStyle w:val="Emphasis"/>
              </w:rPr>
            </w:pPr>
            <w:r w:rsidRPr="0063016C">
              <w:rPr>
                <w:rStyle w:val="Emphasis"/>
              </w:rPr>
              <w:t>0.00</w:t>
            </w:r>
          </w:p>
        </w:tc>
        <w:tc>
          <w:tcPr>
            <w:tcW w:w="935" w:type="dxa"/>
            <w:noWrap/>
            <w:vAlign w:val="bottom"/>
          </w:tcPr>
          <w:p w14:paraId="272DDB1B" w14:textId="131EDEA6" w:rsidR="009665DD" w:rsidRPr="0063016C" w:rsidRDefault="009665DD" w:rsidP="00F76882">
            <w:pPr>
              <w:pStyle w:val="Tabletext"/>
              <w:rPr>
                <w:rStyle w:val="Emphasis"/>
              </w:rPr>
            </w:pPr>
            <w:r w:rsidRPr="0063016C">
              <w:rPr>
                <w:rStyle w:val="Emphasis"/>
              </w:rPr>
              <w:t>0.00</w:t>
            </w:r>
          </w:p>
        </w:tc>
        <w:tc>
          <w:tcPr>
            <w:tcW w:w="935" w:type="dxa"/>
            <w:noWrap/>
            <w:vAlign w:val="bottom"/>
          </w:tcPr>
          <w:p w14:paraId="253B6C68" w14:textId="2250306B" w:rsidR="009665DD" w:rsidRPr="0063016C" w:rsidRDefault="009665DD" w:rsidP="00F76882">
            <w:pPr>
              <w:pStyle w:val="Tabletext"/>
              <w:rPr>
                <w:rStyle w:val="Emphasis"/>
              </w:rPr>
            </w:pPr>
            <w:r w:rsidRPr="0063016C">
              <w:rPr>
                <w:rStyle w:val="Emphasis"/>
              </w:rPr>
              <w:t>0.21</w:t>
            </w:r>
          </w:p>
        </w:tc>
        <w:tc>
          <w:tcPr>
            <w:tcW w:w="935" w:type="dxa"/>
            <w:noWrap/>
            <w:vAlign w:val="bottom"/>
          </w:tcPr>
          <w:p w14:paraId="73BAA433" w14:textId="795E2F7E" w:rsidR="009665DD" w:rsidRPr="0063016C" w:rsidRDefault="009665DD" w:rsidP="00F76882">
            <w:pPr>
              <w:pStyle w:val="Tabletext"/>
              <w:rPr>
                <w:rStyle w:val="Emphasis"/>
              </w:rPr>
            </w:pPr>
            <w:r w:rsidRPr="0063016C">
              <w:rPr>
                <w:rStyle w:val="Emphasis"/>
              </w:rPr>
              <w:t>0.00</w:t>
            </w:r>
          </w:p>
        </w:tc>
        <w:tc>
          <w:tcPr>
            <w:tcW w:w="935" w:type="dxa"/>
            <w:noWrap/>
            <w:vAlign w:val="bottom"/>
          </w:tcPr>
          <w:p w14:paraId="5A3A313C" w14:textId="2D50DE93" w:rsidR="009665DD" w:rsidRPr="0063016C" w:rsidRDefault="009665DD" w:rsidP="00F76882">
            <w:pPr>
              <w:pStyle w:val="Tabletext"/>
              <w:rPr>
                <w:rStyle w:val="Emphasis"/>
              </w:rPr>
            </w:pPr>
            <w:r w:rsidRPr="0063016C">
              <w:rPr>
                <w:rStyle w:val="Emphasis"/>
              </w:rPr>
              <w:t>0.05</w:t>
            </w:r>
          </w:p>
        </w:tc>
        <w:tc>
          <w:tcPr>
            <w:tcW w:w="935" w:type="dxa"/>
            <w:noWrap/>
            <w:vAlign w:val="bottom"/>
          </w:tcPr>
          <w:p w14:paraId="057FBC9E" w14:textId="1277732A" w:rsidR="009665DD" w:rsidRPr="0063016C" w:rsidRDefault="009665DD" w:rsidP="00F76882">
            <w:pPr>
              <w:pStyle w:val="Tabletext"/>
              <w:rPr>
                <w:rStyle w:val="Emphasis"/>
              </w:rPr>
            </w:pPr>
            <w:r w:rsidRPr="0063016C">
              <w:rPr>
                <w:rStyle w:val="Emphasis"/>
              </w:rPr>
              <w:t>0.00</w:t>
            </w:r>
          </w:p>
        </w:tc>
        <w:tc>
          <w:tcPr>
            <w:tcW w:w="935" w:type="dxa"/>
            <w:noWrap/>
            <w:vAlign w:val="bottom"/>
          </w:tcPr>
          <w:p w14:paraId="1073A981" w14:textId="0B89C9DC" w:rsidR="009665DD" w:rsidRPr="0063016C" w:rsidRDefault="009665DD" w:rsidP="00F76882">
            <w:pPr>
              <w:pStyle w:val="Tabletext"/>
              <w:rPr>
                <w:rStyle w:val="Emphasis"/>
              </w:rPr>
            </w:pPr>
            <w:r w:rsidRPr="0063016C">
              <w:rPr>
                <w:rStyle w:val="Emphasis"/>
              </w:rPr>
              <w:t>0.07</w:t>
            </w:r>
          </w:p>
        </w:tc>
        <w:tc>
          <w:tcPr>
            <w:tcW w:w="935" w:type="dxa"/>
            <w:noWrap/>
            <w:vAlign w:val="bottom"/>
          </w:tcPr>
          <w:p w14:paraId="403A84DE" w14:textId="4011A7DB" w:rsidR="009665DD" w:rsidRPr="0063016C" w:rsidRDefault="009665DD" w:rsidP="00F76882">
            <w:pPr>
              <w:pStyle w:val="Tabletext"/>
              <w:rPr>
                <w:rStyle w:val="Emphasis"/>
              </w:rPr>
            </w:pPr>
            <w:r w:rsidRPr="0063016C">
              <w:rPr>
                <w:rStyle w:val="Emphasis"/>
              </w:rPr>
              <w:t>0.03</w:t>
            </w:r>
          </w:p>
        </w:tc>
      </w:tr>
      <w:tr w:rsidR="000D6CD7" w:rsidRPr="00FA7B58" w14:paraId="54065ECD" w14:textId="77777777" w:rsidTr="00BC6398">
        <w:trPr>
          <w:trHeight w:val="290"/>
        </w:trPr>
        <w:tc>
          <w:tcPr>
            <w:tcW w:w="2680" w:type="dxa"/>
            <w:shd w:val="clear" w:color="000000" w:fill="BFBFBF"/>
            <w:vAlign w:val="bottom"/>
            <w:hideMark/>
          </w:tcPr>
          <w:p w14:paraId="6FB482D9" w14:textId="07B3A1EA" w:rsidR="000D6CD7" w:rsidRPr="0036007C" w:rsidRDefault="000D6CD7" w:rsidP="00F76882">
            <w:pPr>
              <w:pStyle w:val="Tabletextleft"/>
            </w:pPr>
            <w:r w:rsidRPr="0036007C">
              <w:t>Surgery in past 12 months</w:t>
            </w:r>
            <w:r w:rsidRPr="007C3001">
              <w:t>‡</w:t>
            </w:r>
          </w:p>
        </w:tc>
        <w:tc>
          <w:tcPr>
            <w:tcW w:w="935" w:type="dxa"/>
            <w:shd w:val="clear" w:color="000000" w:fill="BFBFBF"/>
            <w:noWrap/>
            <w:vAlign w:val="bottom"/>
          </w:tcPr>
          <w:p w14:paraId="7B0CB5F7" w14:textId="00615979" w:rsidR="000D6CD7" w:rsidRPr="00FA7B58" w:rsidRDefault="000D6CD7" w:rsidP="00F76882">
            <w:pPr>
              <w:pStyle w:val="Tabletext"/>
            </w:pPr>
            <w:r w:rsidRPr="00FA7B58">
              <w:t>0</w:t>
            </w:r>
          </w:p>
        </w:tc>
        <w:tc>
          <w:tcPr>
            <w:tcW w:w="935" w:type="dxa"/>
            <w:shd w:val="clear" w:color="000000" w:fill="BFBFBF"/>
            <w:noWrap/>
            <w:vAlign w:val="bottom"/>
          </w:tcPr>
          <w:p w14:paraId="31ADBDBE" w14:textId="31B2336D" w:rsidR="000D6CD7" w:rsidRPr="00FA7B58" w:rsidRDefault="000D6CD7" w:rsidP="00F76882">
            <w:pPr>
              <w:pStyle w:val="Tabletext"/>
            </w:pPr>
            <w:r w:rsidRPr="00FA7B58">
              <w:t>2</w:t>
            </w:r>
          </w:p>
        </w:tc>
        <w:tc>
          <w:tcPr>
            <w:tcW w:w="935" w:type="dxa"/>
            <w:shd w:val="clear" w:color="000000" w:fill="BFBFBF"/>
            <w:noWrap/>
            <w:vAlign w:val="bottom"/>
          </w:tcPr>
          <w:p w14:paraId="7154E2FC" w14:textId="1C6BA67B" w:rsidR="000D6CD7" w:rsidRPr="00FA7B58" w:rsidRDefault="000D6CD7" w:rsidP="00F76882">
            <w:pPr>
              <w:pStyle w:val="Tabletext"/>
            </w:pPr>
            <w:r w:rsidRPr="00FA7B58">
              <w:t>0</w:t>
            </w:r>
          </w:p>
        </w:tc>
        <w:tc>
          <w:tcPr>
            <w:tcW w:w="935" w:type="dxa"/>
            <w:shd w:val="clear" w:color="000000" w:fill="BFBFBF"/>
            <w:noWrap/>
            <w:vAlign w:val="bottom"/>
          </w:tcPr>
          <w:p w14:paraId="6094C9E4" w14:textId="68DE824A" w:rsidR="000D6CD7" w:rsidRPr="00FA7B58" w:rsidRDefault="000D6CD7" w:rsidP="00F76882">
            <w:pPr>
              <w:pStyle w:val="Tabletext"/>
            </w:pPr>
            <w:r w:rsidRPr="00FA7B58">
              <w:t>0</w:t>
            </w:r>
          </w:p>
        </w:tc>
        <w:tc>
          <w:tcPr>
            <w:tcW w:w="935" w:type="dxa"/>
            <w:shd w:val="clear" w:color="000000" w:fill="BFBFBF"/>
            <w:noWrap/>
            <w:vAlign w:val="bottom"/>
          </w:tcPr>
          <w:p w14:paraId="471222D8" w14:textId="3B394745" w:rsidR="000D6CD7" w:rsidRPr="00FA7B58" w:rsidRDefault="000D6CD7" w:rsidP="00F76882">
            <w:pPr>
              <w:pStyle w:val="Tabletext"/>
            </w:pPr>
            <w:r w:rsidRPr="00FA7B58">
              <w:t>0</w:t>
            </w:r>
          </w:p>
        </w:tc>
        <w:tc>
          <w:tcPr>
            <w:tcW w:w="935" w:type="dxa"/>
            <w:shd w:val="clear" w:color="000000" w:fill="BFBFBF"/>
            <w:noWrap/>
            <w:vAlign w:val="bottom"/>
          </w:tcPr>
          <w:p w14:paraId="1DCF8B58" w14:textId="1F6FFB9C" w:rsidR="000D6CD7" w:rsidRPr="00FA7B58" w:rsidRDefault="000D6CD7" w:rsidP="00F76882">
            <w:pPr>
              <w:pStyle w:val="Tabletext"/>
            </w:pPr>
            <w:r w:rsidRPr="00FA7B58">
              <w:t>0</w:t>
            </w:r>
          </w:p>
        </w:tc>
        <w:tc>
          <w:tcPr>
            <w:tcW w:w="935" w:type="dxa"/>
            <w:shd w:val="clear" w:color="000000" w:fill="BFBFBF"/>
            <w:noWrap/>
            <w:vAlign w:val="bottom"/>
          </w:tcPr>
          <w:p w14:paraId="3E215E66" w14:textId="26144579" w:rsidR="000D6CD7" w:rsidRPr="00FA7B58" w:rsidRDefault="000D6CD7" w:rsidP="00F76882">
            <w:pPr>
              <w:pStyle w:val="Tabletext"/>
            </w:pPr>
            <w:r w:rsidRPr="00FA7B58">
              <w:t>0</w:t>
            </w:r>
          </w:p>
        </w:tc>
        <w:tc>
          <w:tcPr>
            <w:tcW w:w="935" w:type="dxa"/>
            <w:shd w:val="clear" w:color="000000" w:fill="BFBFBF"/>
            <w:noWrap/>
            <w:vAlign w:val="bottom"/>
          </w:tcPr>
          <w:p w14:paraId="212F4812" w14:textId="72B9F677" w:rsidR="000D6CD7" w:rsidRPr="00FA7B58" w:rsidRDefault="000D6CD7" w:rsidP="00F76882">
            <w:pPr>
              <w:pStyle w:val="Tabletext"/>
            </w:pPr>
            <w:r w:rsidRPr="00FA7B58">
              <w:t>0</w:t>
            </w:r>
          </w:p>
        </w:tc>
        <w:tc>
          <w:tcPr>
            <w:tcW w:w="935" w:type="dxa"/>
            <w:shd w:val="clear" w:color="000000" w:fill="BFBFBF"/>
            <w:noWrap/>
            <w:vAlign w:val="bottom"/>
          </w:tcPr>
          <w:p w14:paraId="2DECAC4A" w14:textId="63312652" w:rsidR="000D6CD7" w:rsidRPr="00FA7B58" w:rsidRDefault="000D6CD7" w:rsidP="00F76882">
            <w:pPr>
              <w:pStyle w:val="Tabletext"/>
            </w:pPr>
            <w:r w:rsidRPr="00FA7B58">
              <w:t>0</w:t>
            </w:r>
          </w:p>
        </w:tc>
        <w:tc>
          <w:tcPr>
            <w:tcW w:w="935" w:type="dxa"/>
            <w:shd w:val="clear" w:color="000000" w:fill="BFBFBF"/>
            <w:noWrap/>
            <w:vAlign w:val="bottom"/>
          </w:tcPr>
          <w:p w14:paraId="6B9A4CE0" w14:textId="6F97F1A0" w:rsidR="000D6CD7" w:rsidRPr="00FA7B58" w:rsidRDefault="000D6CD7" w:rsidP="00F76882">
            <w:pPr>
              <w:pStyle w:val="Tabletext"/>
            </w:pPr>
            <w:r w:rsidRPr="00FA7B58">
              <w:t>0</w:t>
            </w:r>
          </w:p>
        </w:tc>
        <w:tc>
          <w:tcPr>
            <w:tcW w:w="935" w:type="dxa"/>
            <w:shd w:val="clear" w:color="000000" w:fill="BFBFBF"/>
            <w:noWrap/>
            <w:vAlign w:val="bottom"/>
          </w:tcPr>
          <w:p w14:paraId="19841DD8" w14:textId="331D7F29" w:rsidR="000D6CD7" w:rsidRPr="00FA7B58" w:rsidRDefault="000D6CD7" w:rsidP="00F76882">
            <w:pPr>
              <w:pStyle w:val="Tabletext"/>
            </w:pPr>
            <w:r w:rsidRPr="00FA7B58">
              <w:t>0</w:t>
            </w:r>
          </w:p>
        </w:tc>
        <w:tc>
          <w:tcPr>
            <w:tcW w:w="935" w:type="dxa"/>
            <w:shd w:val="clear" w:color="000000" w:fill="BFBFBF"/>
            <w:noWrap/>
            <w:vAlign w:val="bottom"/>
          </w:tcPr>
          <w:p w14:paraId="7C79B3AB" w14:textId="0DA42170" w:rsidR="000D6CD7" w:rsidRPr="00FA7B58" w:rsidRDefault="000D6CD7" w:rsidP="00F76882">
            <w:pPr>
              <w:pStyle w:val="Tabletext"/>
            </w:pPr>
            <w:r w:rsidRPr="00FA7B58">
              <w:t>2</w:t>
            </w:r>
          </w:p>
        </w:tc>
        <w:tc>
          <w:tcPr>
            <w:tcW w:w="935" w:type="dxa"/>
            <w:shd w:val="clear" w:color="000000" w:fill="BFBFBF"/>
            <w:noWrap/>
            <w:vAlign w:val="bottom"/>
          </w:tcPr>
          <w:p w14:paraId="63EE9CE8" w14:textId="6CA37B7C" w:rsidR="000D6CD7" w:rsidRPr="00FA7B58" w:rsidRDefault="000D6CD7" w:rsidP="00F76882">
            <w:pPr>
              <w:pStyle w:val="Tabletext"/>
            </w:pPr>
            <w:r w:rsidRPr="00FA7B58">
              <w:t>2</w:t>
            </w:r>
          </w:p>
        </w:tc>
      </w:tr>
    </w:tbl>
    <w:p w14:paraId="330C5587" w14:textId="37D2F333" w:rsidR="005F4644" w:rsidRPr="00A33DD2" w:rsidRDefault="005F4644" w:rsidP="00F76882">
      <w:pPr>
        <w:pStyle w:val="tablefigfootnote"/>
      </w:pPr>
      <w:bookmarkStart w:id="270" w:name="_Ref58336364"/>
      <w:r w:rsidRPr="00A33DD2">
        <w:t>* This number may not account for all adults who may be examined in routine adult health checks and may also include multiple screenings</w:t>
      </w:r>
      <w:r w:rsidR="00EF33CB" w:rsidRPr="00A33DD2">
        <w:t xml:space="preserve"> per patient</w:t>
      </w:r>
      <w:r w:rsidRPr="00A33DD2">
        <w:t>. Screening is linked to trachoma endemic regions and does not consider changing endemic regions over time and transiency between regions.</w:t>
      </w:r>
    </w:p>
    <w:p w14:paraId="7B39F8E0" w14:textId="77777777" w:rsidR="005F4644" w:rsidRPr="00A33DD2" w:rsidRDefault="005F4644" w:rsidP="00F76882">
      <w:pPr>
        <w:pStyle w:val="tablefigfootnote"/>
      </w:pPr>
      <w:r w:rsidRPr="00A33DD2">
        <w:t>† Defined as cases ‘previously unknown to the health system’.</w:t>
      </w:r>
    </w:p>
    <w:p w14:paraId="7A0DAB99" w14:textId="445E9F46" w:rsidR="005F4644" w:rsidRPr="00A33DD2" w:rsidRDefault="005F4644" w:rsidP="00F76882">
      <w:pPr>
        <w:pStyle w:val="tablefigfootnote"/>
      </w:pPr>
      <w:r w:rsidRPr="00A33DD2">
        <w:t>‡ Surgery may include cases identified in previous years.</w:t>
      </w:r>
    </w:p>
    <w:p w14:paraId="079C7970" w14:textId="77777777" w:rsidR="00730B34" w:rsidRPr="0036007C" w:rsidRDefault="00730B34" w:rsidP="00F76882">
      <w:pPr>
        <w:pStyle w:val="Tableheadings"/>
        <w:sectPr w:rsidR="00730B34" w:rsidRPr="0036007C" w:rsidSect="00C04CBB">
          <w:pgSz w:w="16838" w:h="11906" w:orient="landscape"/>
          <w:pgMar w:top="720" w:right="720" w:bottom="720" w:left="720" w:header="709" w:footer="709" w:gutter="0"/>
          <w:cols w:space="708"/>
          <w:docGrid w:linePitch="360"/>
        </w:sectPr>
      </w:pPr>
    </w:p>
    <w:p w14:paraId="560ACF7C" w14:textId="3724BDDE" w:rsidR="006F32BC" w:rsidRPr="0036007C" w:rsidRDefault="006F32BC" w:rsidP="00F76882">
      <w:pPr>
        <w:pStyle w:val="Tableheadings"/>
      </w:pPr>
      <w:bookmarkStart w:id="271" w:name="_Toc215224708"/>
      <w:r w:rsidRPr="0036007C">
        <w:t xml:space="preserve">Table </w:t>
      </w:r>
      <w:r w:rsidR="005C73F0" w:rsidRPr="0036007C">
        <w:t>2</w:t>
      </w:r>
      <w:r w:rsidRPr="0036007C">
        <w:t>.</w:t>
      </w:r>
      <w:r w:rsidRPr="0036007C">
        <w:fldChar w:fldCharType="begin"/>
      </w:r>
      <w:r w:rsidRPr="0036007C">
        <w:instrText>SEQ Table \* ARABIC \s 1</w:instrText>
      </w:r>
      <w:r w:rsidRPr="0036007C">
        <w:fldChar w:fldCharType="separate"/>
      </w:r>
      <w:r w:rsidRPr="0036007C">
        <w:t>7</w:t>
      </w:r>
      <w:r w:rsidRPr="0036007C">
        <w:fldChar w:fldCharType="end"/>
      </w:r>
      <w:bookmarkEnd w:id="270"/>
      <w:r w:rsidRPr="0036007C">
        <w:tab/>
        <w:t>Health promotion activities by region, Northern Territory</w:t>
      </w:r>
      <w:r w:rsidR="00273D38" w:rsidRPr="0036007C">
        <w:t>,</w:t>
      </w:r>
      <w:r w:rsidRPr="0036007C">
        <w:t xml:space="preserve"> </w:t>
      </w:r>
      <w:r w:rsidR="00E76BB4" w:rsidRPr="0036007C">
        <w:t>202</w:t>
      </w:r>
      <w:r w:rsidR="000E7881" w:rsidRPr="0036007C">
        <w:t>4</w:t>
      </w:r>
      <w:bookmarkEnd w:id="271"/>
    </w:p>
    <w:tbl>
      <w:tblPr>
        <w:tblStyle w:val="trach4"/>
        <w:tblW w:w="4814" w:type="pct"/>
        <w:tblInd w:w="7" w:type="dxa"/>
        <w:tblLayout w:type="fixed"/>
        <w:tblLook w:val="04A0" w:firstRow="1" w:lastRow="0" w:firstColumn="1" w:lastColumn="0" w:noHBand="0" w:noVBand="1"/>
        <w:tblCaption w:val="Health promotion activities by region, Northern Territory, 2024  "/>
        <w:tblDescription w:val="Table 2.7 summarises health promotion activities, broken down by method, target audience, and delivery frequency. Data is presented for Alice Springs Remote, Barkly, Darwin Rural, Katherine, and the cumulative total.&#10;"/>
      </w:tblPr>
      <w:tblGrid>
        <w:gridCol w:w="3109"/>
        <w:gridCol w:w="1519"/>
        <w:gridCol w:w="1219"/>
        <w:gridCol w:w="1368"/>
        <w:gridCol w:w="1523"/>
        <w:gridCol w:w="1333"/>
      </w:tblGrid>
      <w:tr w:rsidR="0002397A" w:rsidRPr="0036007C" w14:paraId="7737F836" w14:textId="77777777" w:rsidTr="004609FA">
        <w:trPr>
          <w:cnfStyle w:val="100000000000" w:firstRow="1" w:lastRow="0" w:firstColumn="0" w:lastColumn="0" w:oddVBand="0" w:evenVBand="0" w:oddHBand="0" w:evenHBand="0" w:firstRowFirstColumn="0" w:firstRowLastColumn="0" w:lastRowFirstColumn="0" w:lastRowLastColumn="0"/>
          <w:trHeight w:val="571"/>
          <w:tblHeader/>
        </w:trPr>
        <w:tc>
          <w:tcPr>
            <w:tcW w:w="1544" w:type="pct"/>
            <w:hideMark/>
          </w:tcPr>
          <w:p w14:paraId="28FD1B9E" w14:textId="77777777" w:rsidR="0034408B" w:rsidRPr="0036007C" w:rsidRDefault="0034408B" w:rsidP="00F76882">
            <w:pPr>
              <w:pStyle w:val="Tableheading"/>
              <w:rPr>
                <w:lang w:eastAsia="en-AU"/>
              </w:rPr>
            </w:pPr>
            <w:r w:rsidRPr="0036007C">
              <w:t> </w:t>
            </w:r>
          </w:p>
        </w:tc>
        <w:tc>
          <w:tcPr>
            <w:tcW w:w="754" w:type="pct"/>
            <w:noWrap/>
            <w:hideMark/>
          </w:tcPr>
          <w:p w14:paraId="1119538B" w14:textId="77777777" w:rsidR="0034408B" w:rsidRPr="0036007C" w:rsidRDefault="0034408B" w:rsidP="00F76882">
            <w:pPr>
              <w:pStyle w:val="Tableheading"/>
            </w:pPr>
            <w:r w:rsidRPr="0036007C">
              <w:t>Alice Springs Remote</w:t>
            </w:r>
          </w:p>
        </w:tc>
        <w:tc>
          <w:tcPr>
            <w:tcW w:w="605" w:type="pct"/>
            <w:noWrap/>
            <w:hideMark/>
          </w:tcPr>
          <w:p w14:paraId="13A6B87E" w14:textId="77777777" w:rsidR="0034408B" w:rsidRPr="0036007C" w:rsidRDefault="0034408B" w:rsidP="00F76882">
            <w:pPr>
              <w:pStyle w:val="Tableheading"/>
            </w:pPr>
            <w:r w:rsidRPr="0036007C">
              <w:t>Barkly</w:t>
            </w:r>
          </w:p>
        </w:tc>
        <w:tc>
          <w:tcPr>
            <w:tcW w:w="679" w:type="pct"/>
          </w:tcPr>
          <w:p w14:paraId="0472D7B8" w14:textId="0E41FAB8" w:rsidR="0034408B" w:rsidRPr="0036007C" w:rsidRDefault="00B93189" w:rsidP="00F76882">
            <w:pPr>
              <w:pStyle w:val="Tableheading"/>
            </w:pPr>
            <w:r w:rsidRPr="0036007C">
              <w:t>Darwin Rural</w:t>
            </w:r>
          </w:p>
        </w:tc>
        <w:tc>
          <w:tcPr>
            <w:tcW w:w="756" w:type="pct"/>
            <w:noWrap/>
            <w:hideMark/>
          </w:tcPr>
          <w:p w14:paraId="7E0067B3" w14:textId="3582001D" w:rsidR="0034408B" w:rsidRPr="0036007C" w:rsidRDefault="0034408B" w:rsidP="00F76882">
            <w:pPr>
              <w:pStyle w:val="Tableheading"/>
            </w:pPr>
            <w:r w:rsidRPr="0036007C">
              <w:t>Katherine</w:t>
            </w:r>
          </w:p>
        </w:tc>
        <w:tc>
          <w:tcPr>
            <w:tcW w:w="662" w:type="pct"/>
            <w:noWrap/>
            <w:hideMark/>
          </w:tcPr>
          <w:p w14:paraId="70974B7D" w14:textId="77777777" w:rsidR="0034408B" w:rsidRPr="0036007C" w:rsidRDefault="0034408B" w:rsidP="00F76882">
            <w:pPr>
              <w:pStyle w:val="Tableheading"/>
            </w:pPr>
            <w:r w:rsidRPr="0036007C">
              <w:t>Total</w:t>
            </w:r>
          </w:p>
        </w:tc>
      </w:tr>
      <w:tr w:rsidR="00675476" w:rsidRPr="0036007C" w14:paraId="07EA26EA" w14:textId="77777777" w:rsidTr="00424E64">
        <w:trPr>
          <w:trHeight w:val="571"/>
        </w:trPr>
        <w:tc>
          <w:tcPr>
            <w:tcW w:w="1544" w:type="pct"/>
            <w:hideMark/>
          </w:tcPr>
          <w:p w14:paraId="393A2EEC" w14:textId="77777777" w:rsidR="0009773D" w:rsidRPr="0036007C" w:rsidRDefault="0009773D" w:rsidP="00F76882">
            <w:pPr>
              <w:pStyle w:val="Tabletextleft"/>
            </w:pPr>
            <w:r w:rsidRPr="0036007C">
              <w:t>Number of communities that reported health promotion activities</w:t>
            </w:r>
          </w:p>
        </w:tc>
        <w:tc>
          <w:tcPr>
            <w:tcW w:w="754" w:type="pct"/>
            <w:noWrap/>
          </w:tcPr>
          <w:p w14:paraId="0826DE97" w14:textId="2C100C4B" w:rsidR="0009773D" w:rsidRPr="00A33DD2" w:rsidRDefault="0009773D" w:rsidP="00F76882">
            <w:pPr>
              <w:pStyle w:val="Tabletext"/>
            </w:pPr>
            <w:r w:rsidRPr="00A33DD2">
              <w:t>26</w:t>
            </w:r>
          </w:p>
        </w:tc>
        <w:tc>
          <w:tcPr>
            <w:tcW w:w="605" w:type="pct"/>
            <w:noWrap/>
          </w:tcPr>
          <w:p w14:paraId="56360BF0" w14:textId="7EB45BC7" w:rsidR="0009773D" w:rsidRPr="00A33DD2" w:rsidRDefault="0009773D" w:rsidP="00F76882">
            <w:pPr>
              <w:pStyle w:val="Tabletext"/>
            </w:pPr>
            <w:r w:rsidRPr="00A33DD2">
              <w:t>8</w:t>
            </w:r>
          </w:p>
        </w:tc>
        <w:tc>
          <w:tcPr>
            <w:tcW w:w="679" w:type="pct"/>
          </w:tcPr>
          <w:p w14:paraId="71410C19" w14:textId="6831ECE2" w:rsidR="0009773D" w:rsidRPr="00A33DD2" w:rsidRDefault="0009773D" w:rsidP="00F76882">
            <w:pPr>
              <w:pStyle w:val="Tabletext"/>
            </w:pPr>
            <w:r w:rsidRPr="00A33DD2">
              <w:t>2</w:t>
            </w:r>
          </w:p>
        </w:tc>
        <w:tc>
          <w:tcPr>
            <w:tcW w:w="756" w:type="pct"/>
            <w:noWrap/>
          </w:tcPr>
          <w:p w14:paraId="7274E228" w14:textId="5E598339" w:rsidR="0009773D" w:rsidRPr="00A33DD2" w:rsidRDefault="0009773D" w:rsidP="00F76882">
            <w:pPr>
              <w:pStyle w:val="Tabletext"/>
            </w:pPr>
            <w:r w:rsidRPr="00A33DD2">
              <w:t>1</w:t>
            </w:r>
          </w:p>
        </w:tc>
        <w:tc>
          <w:tcPr>
            <w:tcW w:w="662" w:type="pct"/>
            <w:noWrap/>
          </w:tcPr>
          <w:p w14:paraId="09150EEC" w14:textId="2B0C1BD7" w:rsidR="0009773D" w:rsidRPr="00A33DD2" w:rsidRDefault="0009773D" w:rsidP="00F76882">
            <w:pPr>
              <w:pStyle w:val="Tabletext"/>
            </w:pPr>
            <w:r w:rsidRPr="00A33DD2">
              <w:t>37</w:t>
            </w:r>
          </w:p>
        </w:tc>
      </w:tr>
      <w:tr w:rsidR="0002397A" w:rsidRPr="0036007C" w14:paraId="2FBA3433" w14:textId="77777777" w:rsidTr="00424E64">
        <w:trPr>
          <w:cnfStyle w:val="000000010000" w:firstRow="0" w:lastRow="0" w:firstColumn="0" w:lastColumn="0" w:oddVBand="0" w:evenVBand="0" w:oddHBand="0" w:evenHBand="1" w:firstRowFirstColumn="0" w:firstRowLastColumn="0" w:lastRowFirstColumn="0" w:lastRowLastColumn="0"/>
          <w:trHeight w:val="571"/>
        </w:trPr>
        <w:tc>
          <w:tcPr>
            <w:tcW w:w="1544" w:type="pct"/>
            <w:hideMark/>
          </w:tcPr>
          <w:p w14:paraId="3CE394CF" w14:textId="77777777" w:rsidR="0009773D" w:rsidRPr="0036007C" w:rsidRDefault="0009773D" w:rsidP="00F76882">
            <w:pPr>
              <w:pStyle w:val="Tabletextleft"/>
            </w:pPr>
            <w:r w:rsidRPr="0036007C">
              <w:t>Total number of programs reported</w:t>
            </w:r>
          </w:p>
        </w:tc>
        <w:tc>
          <w:tcPr>
            <w:tcW w:w="754" w:type="pct"/>
            <w:noWrap/>
          </w:tcPr>
          <w:p w14:paraId="01D08CB7" w14:textId="0A94E3CC" w:rsidR="0009773D" w:rsidRPr="00A33DD2" w:rsidRDefault="0009773D" w:rsidP="00F76882">
            <w:pPr>
              <w:pStyle w:val="Tabletext"/>
            </w:pPr>
            <w:r w:rsidRPr="00A33DD2">
              <w:t>74</w:t>
            </w:r>
          </w:p>
        </w:tc>
        <w:tc>
          <w:tcPr>
            <w:tcW w:w="605" w:type="pct"/>
            <w:noWrap/>
          </w:tcPr>
          <w:p w14:paraId="38B2EED8" w14:textId="0CF3B0AD" w:rsidR="0009773D" w:rsidRPr="00A33DD2" w:rsidRDefault="0009773D" w:rsidP="00F76882">
            <w:pPr>
              <w:pStyle w:val="Tabletext"/>
            </w:pPr>
            <w:r w:rsidRPr="00A33DD2">
              <w:t>21</w:t>
            </w:r>
          </w:p>
        </w:tc>
        <w:tc>
          <w:tcPr>
            <w:tcW w:w="679" w:type="pct"/>
          </w:tcPr>
          <w:p w14:paraId="2472AA4C" w14:textId="7BCD8CB9" w:rsidR="0009773D" w:rsidRPr="00A33DD2" w:rsidRDefault="0009773D" w:rsidP="00F76882">
            <w:pPr>
              <w:pStyle w:val="Tabletext"/>
            </w:pPr>
            <w:r w:rsidRPr="00A33DD2">
              <w:t>9</w:t>
            </w:r>
          </w:p>
        </w:tc>
        <w:tc>
          <w:tcPr>
            <w:tcW w:w="756" w:type="pct"/>
            <w:noWrap/>
          </w:tcPr>
          <w:p w14:paraId="4381AE4F" w14:textId="179C9809" w:rsidR="0009773D" w:rsidRPr="00A33DD2" w:rsidRDefault="0009773D" w:rsidP="00F76882">
            <w:pPr>
              <w:pStyle w:val="Tabletext"/>
            </w:pPr>
            <w:r w:rsidRPr="00A33DD2">
              <w:t>3</w:t>
            </w:r>
          </w:p>
        </w:tc>
        <w:tc>
          <w:tcPr>
            <w:tcW w:w="662" w:type="pct"/>
            <w:noWrap/>
          </w:tcPr>
          <w:p w14:paraId="6108F55F" w14:textId="6D814A70" w:rsidR="0009773D" w:rsidRPr="00A33DD2" w:rsidRDefault="0009773D" w:rsidP="00F76882">
            <w:pPr>
              <w:pStyle w:val="Tabletext"/>
            </w:pPr>
            <w:r w:rsidRPr="00A33DD2">
              <w:t>107</w:t>
            </w:r>
          </w:p>
        </w:tc>
      </w:tr>
      <w:tr w:rsidR="00675476" w:rsidRPr="0036007C" w14:paraId="71CC0F61" w14:textId="77777777" w:rsidTr="00424E64">
        <w:trPr>
          <w:trHeight w:val="510"/>
        </w:trPr>
        <w:tc>
          <w:tcPr>
            <w:tcW w:w="5000" w:type="pct"/>
            <w:gridSpan w:val="6"/>
          </w:tcPr>
          <w:p w14:paraId="0506D2A7" w14:textId="25D5614B" w:rsidR="001B53BC" w:rsidRPr="004609FA" w:rsidRDefault="001B53BC" w:rsidP="00F76882">
            <w:pPr>
              <w:pStyle w:val="Tabletextleft"/>
              <w:rPr>
                <w:rStyle w:val="Strong"/>
              </w:rPr>
            </w:pPr>
            <w:r w:rsidRPr="004609FA">
              <w:rPr>
                <w:rStyle w:val="Strong"/>
              </w:rPr>
              <w:t>Methods of health promotion</w:t>
            </w:r>
          </w:p>
        </w:tc>
      </w:tr>
      <w:tr w:rsidR="0002397A" w:rsidRPr="0036007C" w14:paraId="1218B604" w14:textId="77777777" w:rsidTr="00424E64">
        <w:trPr>
          <w:cnfStyle w:val="000000010000" w:firstRow="0" w:lastRow="0" w:firstColumn="0" w:lastColumn="0" w:oddVBand="0" w:evenVBand="0" w:oddHBand="0" w:evenHBand="1" w:firstRowFirstColumn="0" w:firstRowLastColumn="0" w:lastRowFirstColumn="0" w:lastRowLastColumn="0"/>
          <w:trHeight w:val="454"/>
        </w:trPr>
        <w:tc>
          <w:tcPr>
            <w:tcW w:w="1544" w:type="pct"/>
            <w:hideMark/>
          </w:tcPr>
          <w:p w14:paraId="2AFECD0E" w14:textId="77777777" w:rsidR="00024876" w:rsidRPr="0036007C" w:rsidRDefault="00024876" w:rsidP="00F76882">
            <w:pPr>
              <w:pStyle w:val="Tabletextleft"/>
            </w:pPr>
            <w:r w:rsidRPr="0036007C">
              <w:t>One-on-one discussion</w:t>
            </w:r>
          </w:p>
        </w:tc>
        <w:tc>
          <w:tcPr>
            <w:tcW w:w="754" w:type="pct"/>
            <w:noWrap/>
          </w:tcPr>
          <w:p w14:paraId="0C0D663C" w14:textId="54B8A05C" w:rsidR="00024876" w:rsidRPr="00A33DD2" w:rsidRDefault="00024876" w:rsidP="00F76882">
            <w:pPr>
              <w:pStyle w:val="Tabletext"/>
            </w:pPr>
            <w:r w:rsidRPr="00A33DD2">
              <w:t>57</w:t>
            </w:r>
          </w:p>
        </w:tc>
        <w:tc>
          <w:tcPr>
            <w:tcW w:w="605" w:type="pct"/>
            <w:noWrap/>
          </w:tcPr>
          <w:p w14:paraId="7917BE98" w14:textId="49ECC79B" w:rsidR="00024876" w:rsidRPr="00A33DD2" w:rsidRDefault="00024876" w:rsidP="00F76882">
            <w:pPr>
              <w:pStyle w:val="Tabletext"/>
            </w:pPr>
            <w:r w:rsidRPr="00A33DD2">
              <w:t>14</w:t>
            </w:r>
          </w:p>
        </w:tc>
        <w:tc>
          <w:tcPr>
            <w:tcW w:w="679" w:type="pct"/>
          </w:tcPr>
          <w:p w14:paraId="26C99E6C" w14:textId="1BB26B83" w:rsidR="00024876" w:rsidRPr="00A33DD2" w:rsidRDefault="00024876" w:rsidP="00F76882">
            <w:pPr>
              <w:pStyle w:val="Tabletext"/>
            </w:pPr>
            <w:r w:rsidRPr="00A33DD2">
              <w:t>7</w:t>
            </w:r>
          </w:p>
        </w:tc>
        <w:tc>
          <w:tcPr>
            <w:tcW w:w="756" w:type="pct"/>
            <w:noWrap/>
          </w:tcPr>
          <w:p w14:paraId="1EF7D345" w14:textId="26D35124" w:rsidR="00024876" w:rsidRPr="00A33DD2" w:rsidRDefault="00024876" w:rsidP="00F76882">
            <w:pPr>
              <w:pStyle w:val="Tabletext"/>
            </w:pPr>
            <w:r w:rsidRPr="00A33DD2">
              <w:t>2</w:t>
            </w:r>
          </w:p>
        </w:tc>
        <w:tc>
          <w:tcPr>
            <w:tcW w:w="662" w:type="pct"/>
            <w:noWrap/>
          </w:tcPr>
          <w:p w14:paraId="2470AFE5" w14:textId="13DC8FAC" w:rsidR="00024876" w:rsidRPr="00A33DD2" w:rsidRDefault="00024876" w:rsidP="00F76882">
            <w:pPr>
              <w:pStyle w:val="Tabletext"/>
            </w:pPr>
            <w:r w:rsidRPr="00A33DD2">
              <w:t>80</w:t>
            </w:r>
          </w:p>
        </w:tc>
      </w:tr>
      <w:tr w:rsidR="00675476" w:rsidRPr="0036007C" w14:paraId="331FC680" w14:textId="77777777" w:rsidTr="00424E64">
        <w:trPr>
          <w:trHeight w:val="454"/>
        </w:trPr>
        <w:tc>
          <w:tcPr>
            <w:tcW w:w="1544" w:type="pct"/>
            <w:hideMark/>
          </w:tcPr>
          <w:p w14:paraId="590B786A" w14:textId="77777777" w:rsidR="00024876" w:rsidRPr="0036007C" w:rsidRDefault="00024876" w:rsidP="00F76882">
            <w:pPr>
              <w:pStyle w:val="Tabletextleft"/>
            </w:pPr>
            <w:r w:rsidRPr="0036007C">
              <w:t>Presentation to group</w:t>
            </w:r>
          </w:p>
        </w:tc>
        <w:tc>
          <w:tcPr>
            <w:tcW w:w="754" w:type="pct"/>
            <w:noWrap/>
          </w:tcPr>
          <w:p w14:paraId="281766DB" w14:textId="0F8078CD" w:rsidR="00024876" w:rsidRPr="00A33DD2" w:rsidRDefault="00024876" w:rsidP="00F76882">
            <w:pPr>
              <w:pStyle w:val="Tabletext"/>
            </w:pPr>
            <w:r w:rsidRPr="00A33DD2">
              <w:t>15</w:t>
            </w:r>
          </w:p>
        </w:tc>
        <w:tc>
          <w:tcPr>
            <w:tcW w:w="605" w:type="pct"/>
            <w:noWrap/>
          </w:tcPr>
          <w:p w14:paraId="24D1AC10" w14:textId="4EA7169B" w:rsidR="00024876" w:rsidRPr="00A33DD2" w:rsidRDefault="00024876" w:rsidP="00F76882">
            <w:pPr>
              <w:pStyle w:val="Tabletext"/>
            </w:pPr>
            <w:r w:rsidRPr="00A33DD2">
              <w:t>4</w:t>
            </w:r>
          </w:p>
        </w:tc>
        <w:tc>
          <w:tcPr>
            <w:tcW w:w="679" w:type="pct"/>
          </w:tcPr>
          <w:p w14:paraId="74AA3F0B" w14:textId="7B1B12BE" w:rsidR="00024876" w:rsidRPr="00A33DD2" w:rsidRDefault="00024876" w:rsidP="00F76882">
            <w:pPr>
              <w:pStyle w:val="Tabletext"/>
            </w:pPr>
            <w:r w:rsidRPr="00A33DD2">
              <w:t>1</w:t>
            </w:r>
          </w:p>
        </w:tc>
        <w:tc>
          <w:tcPr>
            <w:tcW w:w="756" w:type="pct"/>
            <w:noWrap/>
          </w:tcPr>
          <w:p w14:paraId="1AC2A6C0" w14:textId="58AB0C71" w:rsidR="00024876" w:rsidRPr="00A33DD2" w:rsidRDefault="00024876" w:rsidP="00F76882">
            <w:pPr>
              <w:pStyle w:val="Tabletext"/>
            </w:pPr>
            <w:r w:rsidRPr="00A33DD2">
              <w:t>0</w:t>
            </w:r>
          </w:p>
        </w:tc>
        <w:tc>
          <w:tcPr>
            <w:tcW w:w="662" w:type="pct"/>
            <w:noWrap/>
          </w:tcPr>
          <w:p w14:paraId="3883CB6C" w14:textId="350929FC" w:rsidR="00024876" w:rsidRPr="00A33DD2" w:rsidRDefault="00024876" w:rsidP="00F76882">
            <w:pPr>
              <w:pStyle w:val="Tabletext"/>
            </w:pPr>
            <w:r w:rsidRPr="00A33DD2">
              <w:t>20</w:t>
            </w:r>
          </w:p>
        </w:tc>
      </w:tr>
      <w:tr w:rsidR="0002397A" w:rsidRPr="0036007C" w14:paraId="79A83EEE" w14:textId="77777777" w:rsidTr="00424E64">
        <w:trPr>
          <w:cnfStyle w:val="000000010000" w:firstRow="0" w:lastRow="0" w:firstColumn="0" w:lastColumn="0" w:oddVBand="0" w:evenVBand="0" w:oddHBand="0" w:evenHBand="1" w:firstRowFirstColumn="0" w:firstRowLastColumn="0" w:lastRowFirstColumn="0" w:lastRowLastColumn="0"/>
          <w:trHeight w:val="454"/>
        </w:trPr>
        <w:tc>
          <w:tcPr>
            <w:tcW w:w="1544" w:type="pct"/>
            <w:hideMark/>
          </w:tcPr>
          <w:p w14:paraId="650EF54A" w14:textId="77777777" w:rsidR="00024876" w:rsidRPr="0036007C" w:rsidRDefault="00024876" w:rsidP="00F76882">
            <w:pPr>
              <w:pStyle w:val="Tabletextleft"/>
            </w:pPr>
            <w:r w:rsidRPr="0036007C">
              <w:t>Interactive group session</w:t>
            </w:r>
          </w:p>
        </w:tc>
        <w:tc>
          <w:tcPr>
            <w:tcW w:w="754" w:type="pct"/>
            <w:noWrap/>
          </w:tcPr>
          <w:p w14:paraId="09E4FB17" w14:textId="3B9C87B5" w:rsidR="00024876" w:rsidRPr="00A33DD2" w:rsidRDefault="00024876" w:rsidP="00F76882">
            <w:pPr>
              <w:pStyle w:val="Tabletext"/>
            </w:pPr>
            <w:r w:rsidRPr="00A33DD2">
              <w:t>36</w:t>
            </w:r>
          </w:p>
        </w:tc>
        <w:tc>
          <w:tcPr>
            <w:tcW w:w="605" w:type="pct"/>
            <w:noWrap/>
          </w:tcPr>
          <w:p w14:paraId="308167B7" w14:textId="7F0EF873" w:rsidR="00024876" w:rsidRPr="00A33DD2" w:rsidRDefault="00024876" w:rsidP="00F76882">
            <w:pPr>
              <w:pStyle w:val="Tabletext"/>
            </w:pPr>
            <w:r w:rsidRPr="00A33DD2">
              <w:t>14</w:t>
            </w:r>
          </w:p>
        </w:tc>
        <w:tc>
          <w:tcPr>
            <w:tcW w:w="679" w:type="pct"/>
          </w:tcPr>
          <w:p w14:paraId="145BFE56" w14:textId="7C5E61D7" w:rsidR="00024876" w:rsidRPr="00A33DD2" w:rsidRDefault="00024876" w:rsidP="00F76882">
            <w:pPr>
              <w:pStyle w:val="Tabletext"/>
            </w:pPr>
            <w:r w:rsidRPr="00A33DD2">
              <w:t>2</w:t>
            </w:r>
          </w:p>
        </w:tc>
        <w:tc>
          <w:tcPr>
            <w:tcW w:w="756" w:type="pct"/>
            <w:noWrap/>
          </w:tcPr>
          <w:p w14:paraId="6F74A075" w14:textId="4BDC5DEE" w:rsidR="00024876" w:rsidRPr="00A33DD2" w:rsidRDefault="00024876" w:rsidP="00F76882">
            <w:pPr>
              <w:pStyle w:val="Tabletext"/>
            </w:pPr>
            <w:r w:rsidRPr="00A33DD2">
              <w:t>1</w:t>
            </w:r>
          </w:p>
        </w:tc>
        <w:tc>
          <w:tcPr>
            <w:tcW w:w="662" w:type="pct"/>
            <w:noWrap/>
          </w:tcPr>
          <w:p w14:paraId="683CA58F" w14:textId="600C51CB" w:rsidR="00024876" w:rsidRPr="00A33DD2" w:rsidRDefault="00024876" w:rsidP="00F76882">
            <w:pPr>
              <w:pStyle w:val="Tabletext"/>
            </w:pPr>
            <w:r w:rsidRPr="00A33DD2">
              <w:t>53</w:t>
            </w:r>
          </w:p>
        </w:tc>
      </w:tr>
      <w:tr w:rsidR="00675476" w:rsidRPr="0036007C" w14:paraId="20FF2083" w14:textId="77777777" w:rsidTr="00424E64">
        <w:trPr>
          <w:trHeight w:val="454"/>
        </w:trPr>
        <w:tc>
          <w:tcPr>
            <w:tcW w:w="1544" w:type="pct"/>
            <w:hideMark/>
          </w:tcPr>
          <w:p w14:paraId="46832473" w14:textId="77777777" w:rsidR="00024876" w:rsidRPr="0036007C" w:rsidRDefault="00024876" w:rsidP="00F76882">
            <w:pPr>
              <w:pStyle w:val="Tabletextleft"/>
            </w:pPr>
            <w:r w:rsidRPr="0036007C">
              <w:t>Social marketing</w:t>
            </w:r>
          </w:p>
        </w:tc>
        <w:tc>
          <w:tcPr>
            <w:tcW w:w="754" w:type="pct"/>
            <w:noWrap/>
          </w:tcPr>
          <w:p w14:paraId="301A3083" w14:textId="53AACCE2" w:rsidR="00024876" w:rsidRPr="00A33DD2" w:rsidRDefault="00024876" w:rsidP="00F76882">
            <w:pPr>
              <w:pStyle w:val="Tabletext"/>
            </w:pPr>
            <w:r w:rsidRPr="00A33DD2">
              <w:t>5</w:t>
            </w:r>
          </w:p>
        </w:tc>
        <w:tc>
          <w:tcPr>
            <w:tcW w:w="605" w:type="pct"/>
            <w:noWrap/>
          </w:tcPr>
          <w:p w14:paraId="77C3D82B" w14:textId="5A82E8C5" w:rsidR="00024876" w:rsidRPr="00A33DD2" w:rsidRDefault="00024876" w:rsidP="00F76882">
            <w:pPr>
              <w:pStyle w:val="Tabletext"/>
            </w:pPr>
            <w:r w:rsidRPr="00A33DD2">
              <w:t>1</w:t>
            </w:r>
          </w:p>
        </w:tc>
        <w:tc>
          <w:tcPr>
            <w:tcW w:w="679" w:type="pct"/>
          </w:tcPr>
          <w:p w14:paraId="6C55FFE4" w14:textId="6B28B245" w:rsidR="00024876" w:rsidRPr="00A33DD2" w:rsidRDefault="00024876" w:rsidP="00F76882">
            <w:pPr>
              <w:pStyle w:val="Tabletext"/>
            </w:pPr>
            <w:r w:rsidRPr="00A33DD2">
              <w:t>0</w:t>
            </w:r>
          </w:p>
        </w:tc>
        <w:tc>
          <w:tcPr>
            <w:tcW w:w="756" w:type="pct"/>
            <w:noWrap/>
          </w:tcPr>
          <w:p w14:paraId="2F48EDDF" w14:textId="134BDFB4" w:rsidR="00024876" w:rsidRPr="00A33DD2" w:rsidRDefault="00024876" w:rsidP="00F76882">
            <w:pPr>
              <w:pStyle w:val="Tabletext"/>
            </w:pPr>
            <w:r w:rsidRPr="00A33DD2">
              <w:t>0</w:t>
            </w:r>
          </w:p>
        </w:tc>
        <w:tc>
          <w:tcPr>
            <w:tcW w:w="662" w:type="pct"/>
            <w:noWrap/>
          </w:tcPr>
          <w:p w14:paraId="1BDA4E6B" w14:textId="60D1BFC0" w:rsidR="00024876" w:rsidRPr="00A33DD2" w:rsidRDefault="00024876" w:rsidP="00F76882">
            <w:pPr>
              <w:pStyle w:val="Tabletext"/>
            </w:pPr>
            <w:r w:rsidRPr="00A33DD2">
              <w:t>6</w:t>
            </w:r>
          </w:p>
        </w:tc>
      </w:tr>
      <w:tr w:rsidR="0002397A" w:rsidRPr="0036007C" w14:paraId="7CD16046" w14:textId="77777777" w:rsidTr="00424E64">
        <w:trPr>
          <w:cnfStyle w:val="000000010000" w:firstRow="0" w:lastRow="0" w:firstColumn="0" w:lastColumn="0" w:oddVBand="0" w:evenVBand="0" w:oddHBand="0" w:evenHBand="1" w:firstRowFirstColumn="0" w:firstRowLastColumn="0" w:lastRowFirstColumn="0" w:lastRowLastColumn="0"/>
          <w:trHeight w:val="454"/>
        </w:trPr>
        <w:tc>
          <w:tcPr>
            <w:tcW w:w="1544" w:type="pct"/>
            <w:hideMark/>
          </w:tcPr>
          <w:p w14:paraId="768EF98F" w14:textId="77777777" w:rsidR="00024876" w:rsidRPr="0036007C" w:rsidRDefault="00024876" w:rsidP="00F76882">
            <w:pPr>
              <w:pStyle w:val="Tabletextleft"/>
            </w:pPr>
            <w:r w:rsidRPr="0036007C">
              <w:t>Print material/mass media</w:t>
            </w:r>
          </w:p>
        </w:tc>
        <w:tc>
          <w:tcPr>
            <w:tcW w:w="754" w:type="pct"/>
            <w:noWrap/>
          </w:tcPr>
          <w:p w14:paraId="6608D716" w14:textId="69B60DE7" w:rsidR="00024876" w:rsidRPr="00A33DD2" w:rsidRDefault="00024876" w:rsidP="00F76882">
            <w:pPr>
              <w:pStyle w:val="Tabletext"/>
            </w:pPr>
            <w:r w:rsidRPr="00A33DD2">
              <w:t>10</w:t>
            </w:r>
          </w:p>
        </w:tc>
        <w:tc>
          <w:tcPr>
            <w:tcW w:w="605" w:type="pct"/>
            <w:noWrap/>
          </w:tcPr>
          <w:p w14:paraId="7C3055CF" w14:textId="08403901" w:rsidR="00024876" w:rsidRPr="00A33DD2" w:rsidRDefault="00024876" w:rsidP="00F76882">
            <w:pPr>
              <w:pStyle w:val="Tabletext"/>
            </w:pPr>
            <w:r w:rsidRPr="00A33DD2">
              <w:t>4</w:t>
            </w:r>
          </w:p>
        </w:tc>
        <w:tc>
          <w:tcPr>
            <w:tcW w:w="679" w:type="pct"/>
          </w:tcPr>
          <w:p w14:paraId="18CC5396" w14:textId="22D785ED" w:rsidR="00024876" w:rsidRPr="00A33DD2" w:rsidRDefault="00024876" w:rsidP="00F76882">
            <w:pPr>
              <w:pStyle w:val="Tabletext"/>
            </w:pPr>
            <w:r w:rsidRPr="00A33DD2">
              <w:t>0</w:t>
            </w:r>
          </w:p>
        </w:tc>
        <w:tc>
          <w:tcPr>
            <w:tcW w:w="756" w:type="pct"/>
            <w:noWrap/>
          </w:tcPr>
          <w:p w14:paraId="6558D8D6" w14:textId="41398F2B" w:rsidR="00024876" w:rsidRPr="00A33DD2" w:rsidRDefault="00024876" w:rsidP="00F76882">
            <w:pPr>
              <w:pStyle w:val="Tabletext"/>
            </w:pPr>
            <w:r w:rsidRPr="00A33DD2">
              <w:t>0</w:t>
            </w:r>
          </w:p>
        </w:tc>
        <w:tc>
          <w:tcPr>
            <w:tcW w:w="662" w:type="pct"/>
            <w:noWrap/>
          </w:tcPr>
          <w:p w14:paraId="1C8386A6" w14:textId="583635B1" w:rsidR="00024876" w:rsidRPr="00A33DD2" w:rsidRDefault="00024876" w:rsidP="00F76882">
            <w:pPr>
              <w:pStyle w:val="Tabletext"/>
            </w:pPr>
            <w:r w:rsidRPr="00A33DD2">
              <w:t>14</w:t>
            </w:r>
          </w:p>
        </w:tc>
      </w:tr>
      <w:tr w:rsidR="00675476" w:rsidRPr="0036007C" w14:paraId="233B4B03" w14:textId="77777777" w:rsidTr="00424E64">
        <w:trPr>
          <w:trHeight w:val="454"/>
        </w:trPr>
        <w:tc>
          <w:tcPr>
            <w:tcW w:w="1544" w:type="pct"/>
            <w:hideMark/>
          </w:tcPr>
          <w:p w14:paraId="076752B2" w14:textId="77777777" w:rsidR="00024876" w:rsidRPr="0036007C" w:rsidRDefault="00024876" w:rsidP="00F76882">
            <w:pPr>
              <w:pStyle w:val="Tabletextleft"/>
            </w:pPr>
            <w:r w:rsidRPr="0036007C">
              <w:t>Sporting/community events</w:t>
            </w:r>
          </w:p>
        </w:tc>
        <w:tc>
          <w:tcPr>
            <w:tcW w:w="754" w:type="pct"/>
            <w:noWrap/>
          </w:tcPr>
          <w:p w14:paraId="21DC347B" w14:textId="32B6B5AC" w:rsidR="00024876" w:rsidRPr="00A33DD2" w:rsidRDefault="00024876" w:rsidP="00F76882">
            <w:pPr>
              <w:pStyle w:val="Tabletext"/>
            </w:pPr>
            <w:r w:rsidRPr="00A33DD2">
              <w:t>7</w:t>
            </w:r>
          </w:p>
        </w:tc>
        <w:tc>
          <w:tcPr>
            <w:tcW w:w="605" w:type="pct"/>
            <w:noWrap/>
          </w:tcPr>
          <w:p w14:paraId="17D626E8" w14:textId="26645051" w:rsidR="00024876" w:rsidRPr="00A33DD2" w:rsidRDefault="00024876" w:rsidP="00F76882">
            <w:pPr>
              <w:pStyle w:val="Tabletext"/>
            </w:pPr>
            <w:r w:rsidRPr="00A33DD2">
              <w:t>0</w:t>
            </w:r>
          </w:p>
        </w:tc>
        <w:tc>
          <w:tcPr>
            <w:tcW w:w="679" w:type="pct"/>
          </w:tcPr>
          <w:p w14:paraId="6AE38050" w14:textId="7169FC2E" w:rsidR="00024876" w:rsidRPr="00A33DD2" w:rsidRDefault="00024876" w:rsidP="00F76882">
            <w:pPr>
              <w:pStyle w:val="Tabletext"/>
            </w:pPr>
            <w:r w:rsidRPr="00A33DD2">
              <w:t>1</w:t>
            </w:r>
          </w:p>
        </w:tc>
        <w:tc>
          <w:tcPr>
            <w:tcW w:w="756" w:type="pct"/>
            <w:noWrap/>
          </w:tcPr>
          <w:p w14:paraId="0D9F4C0E" w14:textId="09FC58DD" w:rsidR="00024876" w:rsidRPr="00A33DD2" w:rsidRDefault="00024876" w:rsidP="00F76882">
            <w:pPr>
              <w:pStyle w:val="Tabletext"/>
            </w:pPr>
            <w:r w:rsidRPr="00A33DD2">
              <w:t>0</w:t>
            </w:r>
          </w:p>
        </w:tc>
        <w:tc>
          <w:tcPr>
            <w:tcW w:w="662" w:type="pct"/>
            <w:noWrap/>
          </w:tcPr>
          <w:p w14:paraId="33356A49" w14:textId="30E9DC58" w:rsidR="00024876" w:rsidRPr="00A33DD2" w:rsidRDefault="00024876" w:rsidP="00F76882">
            <w:pPr>
              <w:pStyle w:val="Tabletext"/>
            </w:pPr>
            <w:r w:rsidRPr="00A33DD2">
              <w:t>8</w:t>
            </w:r>
          </w:p>
        </w:tc>
      </w:tr>
      <w:tr w:rsidR="0002397A" w:rsidRPr="0036007C" w14:paraId="1EFEBA74" w14:textId="77777777" w:rsidTr="00424E64">
        <w:trPr>
          <w:cnfStyle w:val="000000010000" w:firstRow="0" w:lastRow="0" w:firstColumn="0" w:lastColumn="0" w:oddVBand="0" w:evenVBand="0" w:oddHBand="0" w:evenHBand="1" w:firstRowFirstColumn="0" w:firstRowLastColumn="0" w:lastRowFirstColumn="0" w:lastRowLastColumn="0"/>
          <w:trHeight w:val="454"/>
        </w:trPr>
        <w:tc>
          <w:tcPr>
            <w:tcW w:w="1544" w:type="pct"/>
            <w:hideMark/>
          </w:tcPr>
          <w:p w14:paraId="34B9796C" w14:textId="77777777" w:rsidR="00024876" w:rsidRPr="0036007C" w:rsidRDefault="00024876" w:rsidP="00F76882">
            <w:pPr>
              <w:pStyle w:val="Tabletextleft"/>
            </w:pPr>
            <w:r w:rsidRPr="0036007C">
              <w:t>Other</w:t>
            </w:r>
          </w:p>
        </w:tc>
        <w:tc>
          <w:tcPr>
            <w:tcW w:w="754" w:type="pct"/>
            <w:noWrap/>
          </w:tcPr>
          <w:p w14:paraId="4A73FB13" w14:textId="16B6EF71" w:rsidR="00024876" w:rsidRPr="00A33DD2" w:rsidRDefault="00024876" w:rsidP="00F76882">
            <w:pPr>
              <w:pStyle w:val="Tabletext"/>
            </w:pPr>
            <w:r w:rsidRPr="00A33DD2">
              <w:t>9</w:t>
            </w:r>
          </w:p>
        </w:tc>
        <w:tc>
          <w:tcPr>
            <w:tcW w:w="605" w:type="pct"/>
            <w:noWrap/>
          </w:tcPr>
          <w:p w14:paraId="5E73F5BF" w14:textId="030C82DE" w:rsidR="00024876" w:rsidRPr="00A33DD2" w:rsidRDefault="00024876" w:rsidP="00F76882">
            <w:pPr>
              <w:pStyle w:val="Tabletext"/>
            </w:pPr>
            <w:r w:rsidRPr="00A33DD2">
              <w:t>2</w:t>
            </w:r>
          </w:p>
        </w:tc>
        <w:tc>
          <w:tcPr>
            <w:tcW w:w="679" w:type="pct"/>
          </w:tcPr>
          <w:p w14:paraId="210EBC6C" w14:textId="120536B3" w:rsidR="00024876" w:rsidRPr="00A33DD2" w:rsidRDefault="00024876" w:rsidP="00F76882">
            <w:pPr>
              <w:pStyle w:val="Tabletext"/>
            </w:pPr>
            <w:r w:rsidRPr="00A33DD2">
              <w:t>2</w:t>
            </w:r>
          </w:p>
        </w:tc>
        <w:tc>
          <w:tcPr>
            <w:tcW w:w="756" w:type="pct"/>
            <w:noWrap/>
          </w:tcPr>
          <w:p w14:paraId="21A7852B" w14:textId="6D101F68" w:rsidR="00024876" w:rsidRPr="00A33DD2" w:rsidRDefault="00024876" w:rsidP="00F76882">
            <w:pPr>
              <w:pStyle w:val="Tabletext"/>
            </w:pPr>
            <w:r w:rsidRPr="00A33DD2">
              <w:t>0</w:t>
            </w:r>
          </w:p>
        </w:tc>
        <w:tc>
          <w:tcPr>
            <w:tcW w:w="662" w:type="pct"/>
            <w:noWrap/>
          </w:tcPr>
          <w:p w14:paraId="32AC81DD" w14:textId="1E91DA56" w:rsidR="00024876" w:rsidRPr="00A33DD2" w:rsidRDefault="00024876" w:rsidP="00F76882">
            <w:pPr>
              <w:pStyle w:val="Tabletext"/>
            </w:pPr>
            <w:r w:rsidRPr="00A33DD2">
              <w:t>13</w:t>
            </w:r>
          </w:p>
        </w:tc>
      </w:tr>
      <w:tr w:rsidR="00675476" w:rsidRPr="0036007C" w14:paraId="43B1C040" w14:textId="77777777" w:rsidTr="00424E64">
        <w:trPr>
          <w:trHeight w:val="510"/>
        </w:trPr>
        <w:tc>
          <w:tcPr>
            <w:tcW w:w="5000" w:type="pct"/>
            <w:gridSpan w:val="6"/>
          </w:tcPr>
          <w:p w14:paraId="1CBE182A" w14:textId="6C0DDF60" w:rsidR="001B53BC" w:rsidRPr="004609FA" w:rsidRDefault="001B53BC" w:rsidP="00F76882">
            <w:pPr>
              <w:pStyle w:val="Tabletextleft"/>
              <w:rPr>
                <w:rStyle w:val="Strong"/>
              </w:rPr>
            </w:pPr>
            <w:r w:rsidRPr="004609FA">
              <w:rPr>
                <w:rStyle w:val="Strong"/>
              </w:rPr>
              <w:t>Target audience</w:t>
            </w:r>
          </w:p>
        </w:tc>
      </w:tr>
      <w:tr w:rsidR="0002397A" w:rsidRPr="0036007C" w14:paraId="1BE5E1F1" w14:textId="77777777" w:rsidTr="00424E64">
        <w:trPr>
          <w:cnfStyle w:val="000000010000" w:firstRow="0" w:lastRow="0" w:firstColumn="0" w:lastColumn="0" w:oddVBand="0" w:evenVBand="0" w:oddHBand="0" w:evenHBand="1" w:firstRowFirstColumn="0" w:firstRowLastColumn="0" w:lastRowFirstColumn="0" w:lastRowLastColumn="0"/>
          <w:trHeight w:val="454"/>
        </w:trPr>
        <w:tc>
          <w:tcPr>
            <w:tcW w:w="1544" w:type="pct"/>
            <w:hideMark/>
          </w:tcPr>
          <w:p w14:paraId="56D5D026" w14:textId="77777777" w:rsidR="00024876" w:rsidRPr="0036007C" w:rsidRDefault="00024876" w:rsidP="00F76882">
            <w:pPr>
              <w:pStyle w:val="Tabletextleft"/>
            </w:pPr>
            <w:r w:rsidRPr="0036007C">
              <w:t>Health professionals/staff</w:t>
            </w:r>
          </w:p>
        </w:tc>
        <w:tc>
          <w:tcPr>
            <w:tcW w:w="754" w:type="pct"/>
            <w:noWrap/>
          </w:tcPr>
          <w:p w14:paraId="639F1CC4" w14:textId="1C78ECFF" w:rsidR="00024876" w:rsidRPr="00A33DD2" w:rsidRDefault="00024876" w:rsidP="00F76882">
            <w:pPr>
              <w:pStyle w:val="Tabletext"/>
            </w:pPr>
            <w:r w:rsidRPr="00A33DD2">
              <w:t>19</w:t>
            </w:r>
          </w:p>
        </w:tc>
        <w:tc>
          <w:tcPr>
            <w:tcW w:w="605" w:type="pct"/>
            <w:noWrap/>
          </w:tcPr>
          <w:p w14:paraId="6A1F78AC" w14:textId="6628A729" w:rsidR="00024876" w:rsidRPr="00A33DD2" w:rsidRDefault="00024876" w:rsidP="00F76882">
            <w:pPr>
              <w:pStyle w:val="Tabletext"/>
            </w:pPr>
            <w:r w:rsidRPr="00A33DD2">
              <w:t>6</w:t>
            </w:r>
          </w:p>
        </w:tc>
        <w:tc>
          <w:tcPr>
            <w:tcW w:w="679" w:type="pct"/>
          </w:tcPr>
          <w:p w14:paraId="0E587ECE" w14:textId="40A1B666" w:rsidR="00024876" w:rsidRPr="00A33DD2" w:rsidRDefault="00024876" w:rsidP="00F76882">
            <w:pPr>
              <w:pStyle w:val="Tabletext"/>
            </w:pPr>
            <w:r w:rsidRPr="00A33DD2">
              <w:t>2</w:t>
            </w:r>
          </w:p>
        </w:tc>
        <w:tc>
          <w:tcPr>
            <w:tcW w:w="756" w:type="pct"/>
            <w:noWrap/>
          </w:tcPr>
          <w:p w14:paraId="546546C9" w14:textId="16DF2D1E" w:rsidR="00024876" w:rsidRPr="00A33DD2" w:rsidRDefault="00024876" w:rsidP="00F76882">
            <w:pPr>
              <w:pStyle w:val="Tabletext"/>
            </w:pPr>
            <w:r w:rsidRPr="00A33DD2">
              <w:t>1</w:t>
            </w:r>
          </w:p>
        </w:tc>
        <w:tc>
          <w:tcPr>
            <w:tcW w:w="662" w:type="pct"/>
            <w:noWrap/>
          </w:tcPr>
          <w:p w14:paraId="4C5960DD" w14:textId="0AD28502" w:rsidR="00024876" w:rsidRPr="00A33DD2" w:rsidRDefault="00024876" w:rsidP="00F76882">
            <w:pPr>
              <w:pStyle w:val="Tabletext"/>
            </w:pPr>
            <w:r w:rsidRPr="00A33DD2">
              <w:t>28</w:t>
            </w:r>
          </w:p>
        </w:tc>
      </w:tr>
      <w:tr w:rsidR="00675476" w:rsidRPr="0036007C" w14:paraId="691D779A" w14:textId="77777777" w:rsidTr="00424E64">
        <w:trPr>
          <w:trHeight w:val="454"/>
        </w:trPr>
        <w:tc>
          <w:tcPr>
            <w:tcW w:w="1544" w:type="pct"/>
            <w:hideMark/>
          </w:tcPr>
          <w:p w14:paraId="5D19A45B" w14:textId="77777777" w:rsidR="00024876" w:rsidRPr="0036007C" w:rsidRDefault="00024876" w:rsidP="00F76882">
            <w:pPr>
              <w:pStyle w:val="Tabletextleft"/>
            </w:pPr>
            <w:r w:rsidRPr="0036007C">
              <w:t>Children</w:t>
            </w:r>
          </w:p>
        </w:tc>
        <w:tc>
          <w:tcPr>
            <w:tcW w:w="754" w:type="pct"/>
            <w:noWrap/>
          </w:tcPr>
          <w:p w14:paraId="3BC30DAD" w14:textId="49455E8A" w:rsidR="00024876" w:rsidRPr="00A33DD2" w:rsidRDefault="00024876" w:rsidP="00F76882">
            <w:pPr>
              <w:pStyle w:val="Tabletext"/>
            </w:pPr>
            <w:r w:rsidRPr="00A33DD2">
              <w:t>38</w:t>
            </w:r>
          </w:p>
        </w:tc>
        <w:tc>
          <w:tcPr>
            <w:tcW w:w="605" w:type="pct"/>
            <w:noWrap/>
          </w:tcPr>
          <w:p w14:paraId="44F07ECA" w14:textId="0548B28C" w:rsidR="00024876" w:rsidRPr="00A33DD2" w:rsidRDefault="00024876" w:rsidP="00F76882">
            <w:pPr>
              <w:pStyle w:val="Tabletext"/>
            </w:pPr>
            <w:r w:rsidRPr="00A33DD2">
              <w:t>13</w:t>
            </w:r>
          </w:p>
        </w:tc>
        <w:tc>
          <w:tcPr>
            <w:tcW w:w="679" w:type="pct"/>
          </w:tcPr>
          <w:p w14:paraId="3AC63B65" w14:textId="50F6533D" w:rsidR="00024876" w:rsidRPr="00A33DD2" w:rsidRDefault="00024876" w:rsidP="00F76882">
            <w:pPr>
              <w:pStyle w:val="Tabletext"/>
            </w:pPr>
            <w:r w:rsidRPr="00A33DD2">
              <w:t>2</w:t>
            </w:r>
          </w:p>
        </w:tc>
        <w:tc>
          <w:tcPr>
            <w:tcW w:w="756" w:type="pct"/>
            <w:noWrap/>
          </w:tcPr>
          <w:p w14:paraId="593CD629" w14:textId="14E435B6" w:rsidR="00024876" w:rsidRPr="00A33DD2" w:rsidRDefault="00024876" w:rsidP="00F76882">
            <w:pPr>
              <w:pStyle w:val="Tabletext"/>
            </w:pPr>
            <w:r w:rsidRPr="00A33DD2">
              <w:t>1</w:t>
            </w:r>
          </w:p>
        </w:tc>
        <w:tc>
          <w:tcPr>
            <w:tcW w:w="662" w:type="pct"/>
            <w:noWrap/>
          </w:tcPr>
          <w:p w14:paraId="0DF0C760" w14:textId="11ED45D6" w:rsidR="00024876" w:rsidRPr="00A33DD2" w:rsidRDefault="00024876" w:rsidP="00F76882">
            <w:pPr>
              <w:pStyle w:val="Tabletext"/>
            </w:pPr>
            <w:r w:rsidRPr="00A33DD2">
              <w:t>54</w:t>
            </w:r>
          </w:p>
        </w:tc>
      </w:tr>
      <w:tr w:rsidR="0002397A" w:rsidRPr="0036007C" w14:paraId="659F97E8" w14:textId="77777777" w:rsidTr="00424E64">
        <w:trPr>
          <w:cnfStyle w:val="000000010000" w:firstRow="0" w:lastRow="0" w:firstColumn="0" w:lastColumn="0" w:oddVBand="0" w:evenVBand="0" w:oddHBand="0" w:evenHBand="1" w:firstRowFirstColumn="0" w:firstRowLastColumn="0" w:lastRowFirstColumn="0" w:lastRowLastColumn="0"/>
          <w:trHeight w:val="454"/>
        </w:trPr>
        <w:tc>
          <w:tcPr>
            <w:tcW w:w="1544" w:type="pct"/>
            <w:hideMark/>
          </w:tcPr>
          <w:p w14:paraId="2A8244F6" w14:textId="77777777" w:rsidR="00024876" w:rsidRPr="0036007C" w:rsidRDefault="00024876" w:rsidP="00F76882">
            <w:pPr>
              <w:pStyle w:val="Tabletextleft"/>
            </w:pPr>
            <w:r w:rsidRPr="0036007C">
              <w:t>Youth</w:t>
            </w:r>
          </w:p>
        </w:tc>
        <w:tc>
          <w:tcPr>
            <w:tcW w:w="754" w:type="pct"/>
            <w:noWrap/>
          </w:tcPr>
          <w:p w14:paraId="629C4810" w14:textId="569CD77E" w:rsidR="00024876" w:rsidRPr="00A33DD2" w:rsidRDefault="00024876" w:rsidP="00F76882">
            <w:pPr>
              <w:pStyle w:val="Tabletext"/>
            </w:pPr>
            <w:r w:rsidRPr="00A33DD2">
              <w:t>14</w:t>
            </w:r>
          </w:p>
        </w:tc>
        <w:tc>
          <w:tcPr>
            <w:tcW w:w="605" w:type="pct"/>
            <w:noWrap/>
          </w:tcPr>
          <w:p w14:paraId="20857E95" w14:textId="5A03D1D1" w:rsidR="00024876" w:rsidRPr="00A33DD2" w:rsidRDefault="00024876" w:rsidP="00F76882">
            <w:pPr>
              <w:pStyle w:val="Tabletext"/>
            </w:pPr>
            <w:r w:rsidRPr="00A33DD2">
              <w:t>0</w:t>
            </w:r>
          </w:p>
        </w:tc>
        <w:tc>
          <w:tcPr>
            <w:tcW w:w="679" w:type="pct"/>
          </w:tcPr>
          <w:p w14:paraId="6F633F51" w14:textId="5F951EFB" w:rsidR="00024876" w:rsidRPr="00A33DD2" w:rsidRDefault="00024876" w:rsidP="00F76882">
            <w:pPr>
              <w:pStyle w:val="Tabletext"/>
            </w:pPr>
            <w:r w:rsidRPr="00A33DD2">
              <w:t>0</w:t>
            </w:r>
          </w:p>
        </w:tc>
        <w:tc>
          <w:tcPr>
            <w:tcW w:w="756" w:type="pct"/>
            <w:noWrap/>
          </w:tcPr>
          <w:p w14:paraId="3C55DBC4" w14:textId="76D27E23" w:rsidR="00024876" w:rsidRPr="00A33DD2" w:rsidRDefault="00024876" w:rsidP="00F76882">
            <w:pPr>
              <w:pStyle w:val="Tabletext"/>
            </w:pPr>
            <w:r w:rsidRPr="00A33DD2">
              <w:t>0</w:t>
            </w:r>
          </w:p>
        </w:tc>
        <w:tc>
          <w:tcPr>
            <w:tcW w:w="662" w:type="pct"/>
            <w:noWrap/>
          </w:tcPr>
          <w:p w14:paraId="44DCCC8A" w14:textId="043E07B2" w:rsidR="00024876" w:rsidRPr="00A33DD2" w:rsidRDefault="00024876" w:rsidP="00F76882">
            <w:pPr>
              <w:pStyle w:val="Tabletext"/>
            </w:pPr>
            <w:r w:rsidRPr="00A33DD2">
              <w:t>14</w:t>
            </w:r>
          </w:p>
        </w:tc>
      </w:tr>
      <w:tr w:rsidR="00675476" w:rsidRPr="0036007C" w14:paraId="01F482C6" w14:textId="77777777" w:rsidTr="00424E64">
        <w:trPr>
          <w:trHeight w:val="454"/>
        </w:trPr>
        <w:tc>
          <w:tcPr>
            <w:tcW w:w="1544" w:type="pct"/>
            <w:hideMark/>
          </w:tcPr>
          <w:p w14:paraId="36938DF4" w14:textId="09ACDF23" w:rsidR="00024876" w:rsidRPr="0036007C" w:rsidRDefault="00024876" w:rsidP="00F76882">
            <w:pPr>
              <w:pStyle w:val="Tabletextleft"/>
            </w:pPr>
            <w:proofErr w:type="gramStart"/>
            <w:r w:rsidRPr="0036007C">
              <w:t>Teachers</w:t>
            </w:r>
            <w:proofErr w:type="gramEnd"/>
            <w:r w:rsidRPr="0036007C">
              <w:t>/childcare/</w:t>
            </w:r>
            <w:r w:rsidR="007F6EE1" w:rsidRPr="0036007C">
              <w:t xml:space="preserve"> </w:t>
            </w:r>
            <w:r w:rsidRPr="0036007C">
              <w:t>preschool staff</w:t>
            </w:r>
          </w:p>
        </w:tc>
        <w:tc>
          <w:tcPr>
            <w:tcW w:w="754" w:type="pct"/>
            <w:noWrap/>
          </w:tcPr>
          <w:p w14:paraId="55B987FB" w14:textId="5AB9D842" w:rsidR="00024876" w:rsidRPr="00A33DD2" w:rsidRDefault="00024876" w:rsidP="00F76882">
            <w:pPr>
              <w:pStyle w:val="Tabletext"/>
            </w:pPr>
            <w:r w:rsidRPr="00A33DD2">
              <w:t>29</w:t>
            </w:r>
          </w:p>
        </w:tc>
        <w:tc>
          <w:tcPr>
            <w:tcW w:w="605" w:type="pct"/>
            <w:noWrap/>
          </w:tcPr>
          <w:p w14:paraId="49A286D1" w14:textId="26AA3658" w:rsidR="00024876" w:rsidRPr="00A33DD2" w:rsidRDefault="00024876" w:rsidP="00F76882">
            <w:pPr>
              <w:pStyle w:val="Tabletext"/>
            </w:pPr>
            <w:r w:rsidRPr="00A33DD2">
              <w:t>11</w:t>
            </w:r>
          </w:p>
        </w:tc>
        <w:tc>
          <w:tcPr>
            <w:tcW w:w="679" w:type="pct"/>
          </w:tcPr>
          <w:p w14:paraId="6D99B3E8" w14:textId="6AF383B1" w:rsidR="00024876" w:rsidRPr="00A33DD2" w:rsidRDefault="00024876" w:rsidP="00F76882">
            <w:pPr>
              <w:pStyle w:val="Tabletext"/>
            </w:pPr>
            <w:r w:rsidRPr="00A33DD2">
              <w:t>3</w:t>
            </w:r>
          </w:p>
        </w:tc>
        <w:tc>
          <w:tcPr>
            <w:tcW w:w="756" w:type="pct"/>
            <w:noWrap/>
          </w:tcPr>
          <w:p w14:paraId="7B1AE992" w14:textId="1B100035" w:rsidR="00024876" w:rsidRPr="00A33DD2" w:rsidRDefault="00024876" w:rsidP="00F76882">
            <w:pPr>
              <w:pStyle w:val="Tabletext"/>
            </w:pPr>
            <w:r w:rsidRPr="00A33DD2">
              <w:t>1</w:t>
            </w:r>
          </w:p>
        </w:tc>
        <w:tc>
          <w:tcPr>
            <w:tcW w:w="662" w:type="pct"/>
            <w:noWrap/>
          </w:tcPr>
          <w:p w14:paraId="527F8A96" w14:textId="4FE4C21A" w:rsidR="00024876" w:rsidRPr="00A33DD2" w:rsidRDefault="00024876" w:rsidP="00F76882">
            <w:pPr>
              <w:pStyle w:val="Tabletext"/>
            </w:pPr>
            <w:r w:rsidRPr="00A33DD2">
              <w:t>44</w:t>
            </w:r>
          </w:p>
        </w:tc>
      </w:tr>
      <w:tr w:rsidR="0002397A" w:rsidRPr="0036007C" w14:paraId="76F96E6F" w14:textId="77777777" w:rsidTr="00424E64">
        <w:trPr>
          <w:cnfStyle w:val="000000010000" w:firstRow="0" w:lastRow="0" w:firstColumn="0" w:lastColumn="0" w:oddVBand="0" w:evenVBand="0" w:oddHBand="0" w:evenHBand="1" w:firstRowFirstColumn="0" w:firstRowLastColumn="0" w:lastRowFirstColumn="0" w:lastRowLastColumn="0"/>
          <w:trHeight w:val="454"/>
        </w:trPr>
        <w:tc>
          <w:tcPr>
            <w:tcW w:w="1544" w:type="pct"/>
            <w:hideMark/>
          </w:tcPr>
          <w:p w14:paraId="1C499716" w14:textId="77777777" w:rsidR="00024876" w:rsidRPr="0036007C" w:rsidRDefault="00024876" w:rsidP="00F76882">
            <w:pPr>
              <w:pStyle w:val="Tabletextleft"/>
            </w:pPr>
            <w:r w:rsidRPr="0036007C">
              <w:t>Caregivers/parents</w:t>
            </w:r>
          </w:p>
        </w:tc>
        <w:tc>
          <w:tcPr>
            <w:tcW w:w="754" w:type="pct"/>
            <w:noWrap/>
          </w:tcPr>
          <w:p w14:paraId="4E35E077" w14:textId="15F738EA" w:rsidR="00024876" w:rsidRPr="00A33DD2" w:rsidRDefault="00024876" w:rsidP="00F76882">
            <w:pPr>
              <w:pStyle w:val="Tabletext"/>
            </w:pPr>
            <w:r w:rsidRPr="00A33DD2">
              <w:t>30</w:t>
            </w:r>
          </w:p>
        </w:tc>
        <w:tc>
          <w:tcPr>
            <w:tcW w:w="605" w:type="pct"/>
            <w:noWrap/>
          </w:tcPr>
          <w:p w14:paraId="03F10BED" w14:textId="484F17D6" w:rsidR="00024876" w:rsidRPr="00A33DD2" w:rsidRDefault="00024876" w:rsidP="00F76882">
            <w:pPr>
              <w:pStyle w:val="Tabletext"/>
            </w:pPr>
            <w:r w:rsidRPr="00A33DD2">
              <w:t>5</w:t>
            </w:r>
          </w:p>
        </w:tc>
        <w:tc>
          <w:tcPr>
            <w:tcW w:w="679" w:type="pct"/>
          </w:tcPr>
          <w:p w14:paraId="174A8B8D" w14:textId="1D525ABD" w:rsidR="00024876" w:rsidRPr="00A33DD2" w:rsidRDefault="00024876" w:rsidP="00F76882">
            <w:pPr>
              <w:pStyle w:val="Tabletext"/>
            </w:pPr>
            <w:r w:rsidRPr="00A33DD2">
              <w:t>5</w:t>
            </w:r>
          </w:p>
        </w:tc>
        <w:tc>
          <w:tcPr>
            <w:tcW w:w="756" w:type="pct"/>
            <w:noWrap/>
          </w:tcPr>
          <w:p w14:paraId="51633CA4" w14:textId="7B6FD102" w:rsidR="00024876" w:rsidRPr="00A33DD2" w:rsidRDefault="00024876" w:rsidP="00F76882">
            <w:pPr>
              <w:pStyle w:val="Tabletext"/>
            </w:pPr>
            <w:r w:rsidRPr="00A33DD2">
              <w:t>2</w:t>
            </w:r>
          </w:p>
        </w:tc>
        <w:tc>
          <w:tcPr>
            <w:tcW w:w="662" w:type="pct"/>
            <w:noWrap/>
          </w:tcPr>
          <w:p w14:paraId="671A4C99" w14:textId="0BB23D74" w:rsidR="00024876" w:rsidRPr="00A33DD2" w:rsidRDefault="00024876" w:rsidP="00F76882">
            <w:pPr>
              <w:pStyle w:val="Tabletext"/>
            </w:pPr>
            <w:r w:rsidRPr="00A33DD2">
              <w:t>42</w:t>
            </w:r>
          </w:p>
        </w:tc>
      </w:tr>
      <w:tr w:rsidR="00675476" w:rsidRPr="0036007C" w14:paraId="559CABDE" w14:textId="77777777" w:rsidTr="00424E64">
        <w:trPr>
          <w:trHeight w:val="454"/>
        </w:trPr>
        <w:tc>
          <w:tcPr>
            <w:tcW w:w="1544" w:type="pct"/>
            <w:hideMark/>
          </w:tcPr>
          <w:p w14:paraId="5A0E84E5" w14:textId="77777777" w:rsidR="00024876" w:rsidRPr="0036007C" w:rsidRDefault="00024876" w:rsidP="00F76882">
            <w:pPr>
              <w:pStyle w:val="Tabletextleft"/>
            </w:pPr>
            <w:r w:rsidRPr="0036007C">
              <w:t>Community members</w:t>
            </w:r>
          </w:p>
        </w:tc>
        <w:tc>
          <w:tcPr>
            <w:tcW w:w="754" w:type="pct"/>
            <w:noWrap/>
          </w:tcPr>
          <w:p w14:paraId="7A0D26AB" w14:textId="4FEC4B34" w:rsidR="00024876" w:rsidRPr="00A33DD2" w:rsidRDefault="00024876" w:rsidP="00F76882">
            <w:pPr>
              <w:pStyle w:val="Tabletext"/>
            </w:pPr>
            <w:r w:rsidRPr="00A33DD2">
              <w:t>40</w:t>
            </w:r>
          </w:p>
        </w:tc>
        <w:tc>
          <w:tcPr>
            <w:tcW w:w="605" w:type="pct"/>
            <w:noWrap/>
          </w:tcPr>
          <w:p w14:paraId="65917A63" w14:textId="370DEF58" w:rsidR="00024876" w:rsidRPr="00A33DD2" w:rsidRDefault="00024876" w:rsidP="00F76882">
            <w:pPr>
              <w:pStyle w:val="Tabletext"/>
            </w:pPr>
            <w:r w:rsidRPr="00A33DD2">
              <w:t>10</w:t>
            </w:r>
          </w:p>
        </w:tc>
        <w:tc>
          <w:tcPr>
            <w:tcW w:w="679" w:type="pct"/>
          </w:tcPr>
          <w:p w14:paraId="04044730" w14:textId="2CA3DA90" w:rsidR="00024876" w:rsidRPr="00A33DD2" w:rsidRDefault="00024876" w:rsidP="00F76882">
            <w:pPr>
              <w:pStyle w:val="Tabletext"/>
            </w:pPr>
            <w:r w:rsidRPr="00A33DD2">
              <w:t>4</w:t>
            </w:r>
          </w:p>
        </w:tc>
        <w:tc>
          <w:tcPr>
            <w:tcW w:w="756" w:type="pct"/>
            <w:noWrap/>
          </w:tcPr>
          <w:p w14:paraId="19110301" w14:textId="250486C1" w:rsidR="00024876" w:rsidRPr="00A33DD2" w:rsidRDefault="00024876" w:rsidP="00F76882">
            <w:pPr>
              <w:pStyle w:val="Tabletext"/>
            </w:pPr>
            <w:r w:rsidRPr="00A33DD2">
              <w:t>1</w:t>
            </w:r>
          </w:p>
        </w:tc>
        <w:tc>
          <w:tcPr>
            <w:tcW w:w="662" w:type="pct"/>
            <w:noWrap/>
          </w:tcPr>
          <w:p w14:paraId="3CAD0B70" w14:textId="39B255AF" w:rsidR="00024876" w:rsidRPr="00A33DD2" w:rsidRDefault="00024876" w:rsidP="00F76882">
            <w:pPr>
              <w:pStyle w:val="Tabletext"/>
            </w:pPr>
            <w:r w:rsidRPr="00A33DD2">
              <w:t>55</w:t>
            </w:r>
          </w:p>
        </w:tc>
      </w:tr>
      <w:tr w:rsidR="0002397A" w:rsidRPr="0036007C" w14:paraId="26FB63F3" w14:textId="77777777" w:rsidTr="00424E64">
        <w:trPr>
          <w:cnfStyle w:val="000000010000" w:firstRow="0" w:lastRow="0" w:firstColumn="0" w:lastColumn="0" w:oddVBand="0" w:evenVBand="0" w:oddHBand="0" w:evenHBand="1" w:firstRowFirstColumn="0" w:firstRowLastColumn="0" w:lastRowFirstColumn="0" w:lastRowLastColumn="0"/>
          <w:trHeight w:val="454"/>
        </w:trPr>
        <w:tc>
          <w:tcPr>
            <w:tcW w:w="1544" w:type="pct"/>
            <w:hideMark/>
          </w:tcPr>
          <w:p w14:paraId="767A37DD" w14:textId="726B7682" w:rsidR="00024876" w:rsidRPr="0036007C" w:rsidRDefault="00024876" w:rsidP="00F76882">
            <w:pPr>
              <w:pStyle w:val="Tabletextleft"/>
            </w:pPr>
            <w:r w:rsidRPr="0036007C">
              <w:t>Community educators/</w:t>
            </w:r>
            <w:r w:rsidR="0002397A" w:rsidRPr="0036007C">
              <w:t xml:space="preserve"> </w:t>
            </w:r>
            <w:r w:rsidRPr="0036007C">
              <w:t>health promoters</w:t>
            </w:r>
          </w:p>
        </w:tc>
        <w:tc>
          <w:tcPr>
            <w:tcW w:w="754" w:type="pct"/>
            <w:noWrap/>
          </w:tcPr>
          <w:p w14:paraId="49BE1FC8" w14:textId="098DDD90" w:rsidR="00024876" w:rsidRPr="00A33DD2" w:rsidRDefault="00024876" w:rsidP="00F76882">
            <w:pPr>
              <w:pStyle w:val="Tabletext"/>
            </w:pPr>
            <w:r w:rsidRPr="00A33DD2">
              <w:t>8</w:t>
            </w:r>
          </w:p>
        </w:tc>
        <w:tc>
          <w:tcPr>
            <w:tcW w:w="605" w:type="pct"/>
            <w:noWrap/>
          </w:tcPr>
          <w:p w14:paraId="1DD6174C" w14:textId="22799FA0" w:rsidR="00024876" w:rsidRPr="00A33DD2" w:rsidRDefault="00024876" w:rsidP="00F76882">
            <w:pPr>
              <w:pStyle w:val="Tabletext"/>
            </w:pPr>
            <w:r w:rsidRPr="00A33DD2">
              <w:t>3</w:t>
            </w:r>
          </w:p>
        </w:tc>
        <w:tc>
          <w:tcPr>
            <w:tcW w:w="679" w:type="pct"/>
          </w:tcPr>
          <w:p w14:paraId="05AB1C69" w14:textId="2EED8D73" w:rsidR="00024876" w:rsidRPr="00A33DD2" w:rsidRDefault="00024876" w:rsidP="00F76882">
            <w:pPr>
              <w:pStyle w:val="Tabletext"/>
            </w:pPr>
            <w:r w:rsidRPr="00A33DD2">
              <w:t>0</w:t>
            </w:r>
          </w:p>
        </w:tc>
        <w:tc>
          <w:tcPr>
            <w:tcW w:w="756" w:type="pct"/>
            <w:noWrap/>
          </w:tcPr>
          <w:p w14:paraId="394877B5" w14:textId="6A5843D3" w:rsidR="00024876" w:rsidRPr="00A33DD2" w:rsidRDefault="00024876" w:rsidP="00F76882">
            <w:pPr>
              <w:pStyle w:val="Tabletext"/>
            </w:pPr>
            <w:r w:rsidRPr="00A33DD2">
              <w:t>0</w:t>
            </w:r>
          </w:p>
        </w:tc>
        <w:tc>
          <w:tcPr>
            <w:tcW w:w="662" w:type="pct"/>
            <w:noWrap/>
          </w:tcPr>
          <w:p w14:paraId="2C251DF7" w14:textId="572EE7B1" w:rsidR="00024876" w:rsidRPr="00A33DD2" w:rsidRDefault="00024876" w:rsidP="00F76882">
            <w:pPr>
              <w:pStyle w:val="Tabletext"/>
            </w:pPr>
            <w:r w:rsidRPr="00A33DD2">
              <w:t>11</w:t>
            </w:r>
          </w:p>
        </w:tc>
      </w:tr>
      <w:tr w:rsidR="00675476" w:rsidRPr="0036007C" w14:paraId="0BBA672D" w14:textId="77777777" w:rsidTr="00424E64">
        <w:trPr>
          <w:trHeight w:val="454"/>
        </w:trPr>
        <w:tc>
          <w:tcPr>
            <w:tcW w:w="1544" w:type="pct"/>
            <w:hideMark/>
          </w:tcPr>
          <w:p w14:paraId="1536253E" w14:textId="77777777" w:rsidR="00024876" w:rsidRPr="0036007C" w:rsidRDefault="00024876" w:rsidP="00F76882">
            <w:pPr>
              <w:pStyle w:val="Tabletextleft"/>
            </w:pPr>
            <w:r w:rsidRPr="0036007C">
              <w:t>Interagency members</w:t>
            </w:r>
          </w:p>
        </w:tc>
        <w:tc>
          <w:tcPr>
            <w:tcW w:w="754" w:type="pct"/>
            <w:noWrap/>
          </w:tcPr>
          <w:p w14:paraId="593F6555" w14:textId="3D7B5CAC" w:rsidR="00024876" w:rsidRPr="00A33DD2" w:rsidRDefault="00024876" w:rsidP="00F76882">
            <w:pPr>
              <w:pStyle w:val="Tabletext"/>
            </w:pPr>
            <w:r w:rsidRPr="00A33DD2">
              <w:t>9</w:t>
            </w:r>
          </w:p>
        </w:tc>
        <w:tc>
          <w:tcPr>
            <w:tcW w:w="605" w:type="pct"/>
            <w:noWrap/>
          </w:tcPr>
          <w:p w14:paraId="701F555A" w14:textId="409F177D" w:rsidR="00024876" w:rsidRPr="00A33DD2" w:rsidRDefault="00024876" w:rsidP="00F76882">
            <w:pPr>
              <w:pStyle w:val="Tabletext"/>
            </w:pPr>
            <w:r w:rsidRPr="00A33DD2">
              <w:t>2</w:t>
            </w:r>
          </w:p>
        </w:tc>
        <w:tc>
          <w:tcPr>
            <w:tcW w:w="679" w:type="pct"/>
          </w:tcPr>
          <w:p w14:paraId="63033C10" w14:textId="3254EA8E" w:rsidR="00024876" w:rsidRPr="00A33DD2" w:rsidRDefault="00024876" w:rsidP="00F76882">
            <w:pPr>
              <w:pStyle w:val="Tabletext"/>
            </w:pPr>
            <w:r w:rsidRPr="00A33DD2">
              <w:t>2</w:t>
            </w:r>
          </w:p>
        </w:tc>
        <w:tc>
          <w:tcPr>
            <w:tcW w:w="756" w:type="pct"/>
            <w:noWrap/>
          </w:tcPr>
          <w:p w14:paraId="7D1A57FA" w14:textId="7EB722BF" w:rsidR="00024876" w:rsidRPr="00A33DD2" w:rsidRDefault="00024876" w:rsidP="00F76882">
            <w:pPr>
              <w:pStyle w:val="Tabletext"/>
            </w:pPr>
            <w:r w:rsidRPr="00A33DD2">
              <w:t>0</w:t>
            </w:r>
          </w:p>
        </w:tc>
        <w:tc>
          <w:tcPr>
            <w:tcW w:w="662" w:type="pct"/>
            <w:noWrap/>
          </w:tcPr>
          <w:p w14:paraId="76ADFC71" w14:textId="52BCFF6F" w:rsidR="00024876" w:rsidRPr="00A33DD2" w:rsidRDefault="00024876" w:rsidP="00F76882">
            <w:pPr>
              <w:pStyle w:val="Tabletext"/>
            </w:pPr>
            <w:r w:rsidRPr="00A33DD2">
              <w:t>13</w:t>
            </w:r>
          </w:p>
        </w:tc>
      </w:tr>
      <w:tr w:rsidR="00675476" w:rsidRPr="0036007C" w14:paraId="11D45D8E" w14:textId="77777777" w:rsidTr="00424E64">
        <w:trPr>
          <w:cnfStyle w:val="000000010000" w:firstRow="0" w:lastRow="0" w:firstColumn="0" w:lastColumn="0" w:oddVBand="0" w:evenVBand="0" w:oddHBand="0" w:evenHBand="1" w:firstRowFirstColumn="0" w:firstRowLastColumn="0" w:lastRowFirstColumn="0" w:lastRowLastColumn="0"/>
          <w:trHeight w:val="510"/>
        </w:trPr>
        <w:tc>
          <w:tcPr>
            <w:tcW w:w="5000" w:type="pct"/>
            <w:gridSpan w:val="6"/>
          </w:tcPr>
          <w:p w14:paraId="234E670F" w14:textId="55CFD9BA" w:rsidR="001B53BC" w:rsidRPr="004609FA" w:rsidRDefault="001B53BC" w:rsidP="00F76882">
            <w:pPr>
              <w:pStyle w:val="Tabletextleft"/>
              <w:rPr>
                <w:rStyle w:val="Strong"/>
              </w:rPr>
            </w:pPr>
            <w:r w:rsidRPr="004609FA">
              <w:rPr>
                <w:rStyle w:val="Strong"/>
              </w:rPr>
              <w:t>Frequency of health promotion activities</w:t>
            </w:r>
          </w:p>
        </w:tc>
      </w:tr>
      <w:tr w:rsidR="00675476" w:rsidRPr="0036007C" w14:paraId="57A159D9" w14:textId="77777777" w:rsidTr="00424E64">
        <w:trPr>
          <w:trHeight w:val="454"/>
        </w:trPr>
        <w:tc>
          <w:tcPr>
            <w:tcW w:w="1544" w:type="pct"/>
            <w:hideMark/>
          </w:tcPr>
          <w:p w14:paraId="34865AC6" w14:textId="77777777" w:rsidR="00024876" w:rsidRPr="0036007C" w:rsidRDefault="00024876" w:rsidP="00F76882">
            <w:pPr>
              <w:pStyle w:val="Tabletextleft"/>
            </w:pPr>
            <w:r w:rsidRPr="0036007C">
              <w:t>Once</w:t>
            </w:r>
          </w:p>
        </w:tc>
        <w:tc>
          <w:tcPr>
            <w:tcW w:w="754" w:type="pct"/>
            <w:noWrap/>
          </w:tcPr>
          <w:p w14:paraId="21552A6F" w14:textId="01CF736A" w:rsidR="00024876" w:rsidRPr="00A33DD2" w:rsidRDefault="00024876" w:rsidP="00F76882">
            <w:pPr>
              <w:pStyle w:val="Tabletext"/>
            </w:pPr>
            <w:r w:rsidRPr="00A33DD2">
              <w:t>61</w:t>
            </w:r>
          </w:p>
        </w:tc>
        <w:tc>
          <w:tcPr>
            <w:tcW w:w="605" w:type="pct"/>
            <w:noWrap/>
          </w:tcPr>
          <w:p w14:paraId="5B49A942" w14:textId="0E8B4FA6" w:rsidR="00024876" w:rsidRPr="00A33DD2" w:rsidRDefault="00024876" w:rsidP="00F76882">
            <w:pPr>
              <w:pStyle w:val="Tabletext"/>
            </w:pPr>
            <w:r w:rsidRPr="00A33DD2">
              <w:t>20</w:t>
            </w:r>
          </w:p>
        </w:tc>
        <w:tc>
          <w:tcPr>
            <w:tcW w:w="679" w:type="pct"/>
          </w:tcPr>
          <w:p w14:paraId="2766CBBB" w14:textId="117B583F" w:rsidR="00024876" w:rsidRPr="00A33DD2" w:rsidRDefault="00024876" w:rsidP="00F76882">
            <w:pPr>
              <w:pStyle w:val="Tabletext"/>
            </w:pPr>
            <w:r w:rsidRPr="00A33DD2">
              <w:t>9</w:t>
            </w:r>
          </w:p>
        </w:tc>
        <w:tc>
          <w:tcPr>
            <w:tcW w:w="756" w:type="pct"/>
            <w:noWrap/>
          </w:tcPr>
          <w:p w14:paraId="33EF2703" w14:textId="43F51133" w:rsidR="00024876" w:rsidRPr="00A33DD2" w:rsidRDefault="00024876" w:rsidP="00F76882">
            <w:pPr>
              <w:pStyle w:val="Tabletext"/>
            </w:pPr>
            <w:r w:rsidRPr="00A33DD2">
              <w:t>3</w:t>
            </w:r>
          </w:p>
        </w:tc>
        <w:tc>
          <w:tcPr>
            <w:tcW w:w="662" w:type="pct"/>
            <w:noWrap/>
          </w:tcPr>
          <w:p w14:paraId="78B8765A" w14:textId="2BA1A0BA" w:rsidR="00024876" w:rsidRPr="00A33DD2" w:rsidRDefault="00024876" w:rsidP="00F76882">
            <w:pPr>
              <w:pStyle w:val="Tabletext"/>
            </w:pPr>
            <w:r w:rsidRPr="00A33DD2">
              <w:t>93</w:t>
            </w:r>
          </w:p>
        </w:tc>
      </w:tr>
      <w:tr w:rsidR="0002397A" w:rsidRPr="0036007C" w14:paraId="63318973" w14:textId="77777777" w:rsidTr="00424E64">
        <w:trPr>
          <w:cnfStyle w:val="000000010000" w:firstRow="0" w:lastRow="0" w:firstColumn="0" w:lastColumn="0" w:oddVBand="0" w:evenVBand="0" w:oddHBand="0" w:evenHBand="1" w:firstRowFirstColumn="0" w:firstRowLastColumn="0" w:lastRowFirstColumn="0" w:lastRowLastColumn="0"/>
          <w:trHeight w:val="454"/>
        </w:trPr>
        <w:tc>
          <w:tcPr>
            <w:tcW w:w="1544" w:type="pct"/>
            <w:hideMark/>
          </w:tcPr>
          <w:p w14:paraId="6400BD1C" w14:textId="7D111B3D" w:rsidR="00024876" w:rsidRPr="0036007C" w:rsidRDefault="00024876" w:rsidP="00F76882">
            <w:pPr>
              <w:pStyle w:val="Tabletextleft"/>
            </w:pPr>
            <w:r w:rsidRPr="0036007C">
              <w:t>Occasional</w:t>
            </w:r>
            <w:r w:rsidR="00C05DE7" w:rsidRPr="0036007C">
              <w:t>*</w:t>
            </w:r>
          </w:p>
        </w:tc>
        <w:tc>
          <w:tcPr>
            <w:tcW w:w="754" w:type="pct"/>
            <w:noWrap/>
          </w:tcPr>
          <w:p w14:paraId="0B63CEDD" w14:textId="729FD92F" w:rsidR="00024876" w:rsidRPr="00A33DD2" w:rsidRDefault="00024876" w:rsidP="00F76882">
            <w:pPr>
              <w:pStyle w:val="Tabletext"/>
            </w:pPr>
            <w:r w:rsidRPr="00A33DD2">
              <w:t>13</w:t>
            </w:r>
          </w:p>
        </w:tc>
        <w:tc>
          <w:tcPr>
            <w:tcW w:w="605" w:type="pct"/>
            <w:noWrap/>
          </w:tcPr>
          <w:p w14:paraId="0F03B926" w14:textId="795BC334" w:rsidR="00024876" w:rsidRPr="00A33DD2" w:rsidRDefault="00024876" w:rsidP="00F76882">
            <w:pPr>
              <w:pStyle w:val="Tabletext"/>
            </w:pPr>
            <w:r w:rsidRPr="00A33DD2">
              <w:t>1</w:t>
            </w:r>
          </w:p>
        </w:tc>
        <w:tc>
          <w:tcPr>
            <w:tcW w:w="679" w:type="pct"/>
          </w:tcPr>
          <w:p w14:paraId="194E6910" w14:textId="505C87B8" w:rsidR="00024876" w:rsidRPr="00A33DD2" w:rsidRDefault="00024876" w:rsidP="00F76882">
            <w:pPr>
              <w:pStyle w:val="Tabletext"/>
            </w:pPr>
            <w:r w:rsidRPr="00A33DD2">
              <w:t>0</w:t>
            </w:r>
          </w:p>
        </w:tc>
        <w:tc>
          <w:tcPr>
            <w:tcW w:w="756" w:type="pct"/>
            <w:noWrap/>
          </w:tcPr>
          <w:p w14:paraId="1CE29783" w14:textId="08CF71FE" w:rsidR="00024876" w:rsidRPr="00A33DD2" w:rsidRDefault="00024876" w:rsidP="00F76882">
            <w:pPr>
              <w:pStyle w:val="Tabletext"/>
            </w:pPr>
            <w:r w:rsidRPr="00A33DD2">
              <w:t>0</w:t>
            </w:r>
          </w:p>
        </w:tc>
        <w:tc>
          <w:tcPr>
            <w:tcW w:w="662" w:type="pct"/>
            <w:noWrap/>
          </w:tcPr>
          <w:p w14:paraId="3BDB329D" w14:textId="1954D014" w:rsidR="00024876" w:rsidRPr="00A33DD2" w:rsidRDefault="00024876" w:rsidP="00F76882">
            <w:pPr>
              <w:pStyle w:val="Tabletext"/>
            </w:pPr>
            <w:r w:rsidRPr="00A33DD2">
              <w:t>14</w:t>
            </w:r>
          </w:p>
        </w:tc>
      </w:tr>
      <w:tr w:rsidR="00675476" w:rsidRPr="0036007C" w14:paraId="26EDF598" w14:textId="77777777" w:rsidTr="00424E64">
        <w:trPr>
          <w:trHeight w:val="454"/>
        </w:trPr>
        <w:tc>
          <w:tcPr>
            <w:tcW w:w="1544" w:type="pct"/>
            <w:hideMark/>
          </w:tcPr>
          <w:p w14:paraId="7E72E780" w14:textId="144EF90F" w:rsidR="00024876" w:rsidRPr="0036007C" w:rsidRDefault="00024876" w:rsidP="00F76882">
            <w:pPr>
              <w:pStyle w:val="Tabletextleft"/>
            </w:pPr>
            <w:r w:rsidRPr="0036007C">
              <w:t>Regular</w:t>
            </w:r>
            <w:r w:rsidR="00C05DE7" w:rsidRPr="0036007C">
              <w:t>†</w:t>
            </w:r>
          </w:p>
        </w:tc>
        <w:tc>
          <w:tcPr>
            <w:tcW w:w="754" w:type="pct"/>
            <w:noWrap/>
          </w:tcPr>
          <w:p w14:paraId="19281AD4" w14:textId="65BF4895" w:rsidR="00024876" w:rsidRPr="00A33DD2" w:rsidRDefault="00024876" w:rsidP="00F76882">
            <w:pPr>
              <w:pStyle w:val="Tabletext"/>
            </w:pPr>
            <w:r w:rsidRPr="00A33DD2">
              <w:t>0</w:t>
            </w:r>
          </w:p>
        </w:tc>
        <w:tc>
          <w:tcPr>
            <w:tcW w:w="605" w:type="pct"/>
            <w:noWrap/>
          </w:tcPr>
          <w:p w14:paraId="3299FE46" w14:textId="76507A9B" w:rsidR="00024876" w:rsidRPr="00A33DD2" w:rsidRDefault="00024876" w:rsidP="00F76882">
            <w:pPr>
              <w:pStyle w:val="Tabletext"/>
            </w:pPr>
            <w:r w:rsidRPr="00A33DD2">
              <w:t>0</w:t>
            </w:r>
          </w:p>
        </w:tc>
        <w:tc>
          <w:tcPr>
            <w:tcW w:w="679" w:type="pct"/>
          </w:tcPr>
          <w:p w14:paraId="29E03F5C" w14:textId="087C7D87" w:rsidR="00024876" w:rsidRPr="00A33DD2" w:rsidRDefault="00024876" w:rsidP="00F76882">
            <w:pPr>
              <w:pStyle w:val="Tabletext"/>
            </w:pPr>
            <w:r w:rsidRPr="00A33DD2">
              <w:t>0</w:t>
            </w:r>
          </w:p>
        </w:tc>
        <w:tc>
          <w:tcPr>
            <w:tcW w:w="756" w:type="pct"/>
            <w:noWrap/>
          </w:tcPr>
          <w:p w14:paraId="58BC934D" w14:textId="2AE86934" w:rsidR="00024876" w:rsidRPr="00A33DD2" w:rsidRDefault="00024876" w:rsidP="00F76882">
            <w:pPr>
              <w:pStyle w:val="Tabletext"/>
            </w:pPr>
            <w:r w:rsidRPr="00A33DD2">
              <w:t>0</w:t>
            </w:r>
          </w:p>
        </w:tc>
        <w:tc>
          <w:tcPr>
            <w:tcW w:w="662" w:type="pct"/>
            <w:noWrap/>
          </w:tcPr>
          <w:p w14:paraId="556BE2F0" w14:textId="3118BC78" w:rsidR="00024876" w:rsidRPr="00A33DD2" w:rsidRDefault="00024876" w:rsidP="00F76882">
            <w:pPr>
              <w:pStyle w:val="Tabletext"/>
            </w:pPr>
            <w:r w:rsidRPr="00A33DD2">
              <w:t>0</w:t>
            </w:r>
          </w:p>
        </w:tc>
      </w:tr>
      <w:tr w:rsidR="0002397A" w:rsidRPr="0036007C" w14:paraId="411581B5" w14:textId="77777777" w:rsidTr="00424E64">
        <w:trPr>
          <w:cnfStyle w:val="000000010000" w:firstRow="0" w:lastRow="0" w:firstColumn="0" w:lastColumn="0" w:oddVBand="0" w:evenVBand="0" w:oddHBand="0" w:evenHBand="1" w:firstRowFirstColumn="0" w:firstRowLastColumn="0" w:lastRowFirstColumn="0" w:lastRowLastColumn="0"/>
          <w:trHeight w:val="454"/>
        </w:trPr>
        <w:tc>
          <w:tcPr>
            <w:tcW w:w="1544" w:type="pct"/>
            <w:hideMark/>
          </w:tcPr>
          <w:p w14:paraId="11F38AFC" w14:textId="77777777" w:rsidR="00024876" w:rsidRPr="0036007C" w:rsidRDefault="00024876" w:rsidP="00F76882">
            <w:pPr>
              <w:pStyle w:val="Tabletextleft"/>
            </w:pPr>
            <w:r w:rsidRPr="0036007C">
              <w:t>Ongoing/routine</w:t>
            </w:r>
          </w:p>
        </w:tc>
        <w:tc>
          <w:tcPr>
            <w:tcW w:w="754" w:type="pct"/>
            <w:noWrap/>
          </w:tcPr>
          <w:p w14:paraId="472792F4" w14:textId="1D031380" w:rsidR="00024876" w:rsidRPr="00A33DD2" w:rsidRDefault="00024876" w:rsidP="00F76882">
            <w:pPr>
              <w:pStyle w:val="Tabletext"/>
            </w:pPr>
            <w:r w:rsidRPr="00A33DD2">
              <w:t>0</w:t>
            </w:r>
          </w:p>
        </w:tc>
        <w:tc>
          <w:tcPr>
            <w:tcW w:w="605" w:type="pct"/>
            <w:noWrap/>
          </w:tcPr>
          <w:p w14:paraId="543D7753" w14:textId="1A0FC90E" w:rsidR="00024876" w:rsidRPr="00A33DD2" w:rsidRDefault="00024876" w:rsidP="00F76882">
            <w:pPr>
              <w:pStyle w:val="Tabletext"/>
            </w:pPr>
            <w:r w:rsidRPr="00A33DD2">
              <w:t>0</w:t>
            </w:r>
          </w:p>
        </w:tc>
        <w:tc>
          <w:tcPr>
            <w:tcW w:w="679" w:type="pct"/>
          </w:tcPr>
          <w:p w14:paraId="205F0A65" w14:textId="6AA0D05C" w:rsidR="00024876" w:rsidRPr="00A33DD2" w:rsidRDefault="00024876" w:rsidP="00F76882">
            <w:pPr>
              <w:pStyle w:val="Tabletext"/>
            </w:pPr>
            <w:r w:rsidRPr="00A33DD2">
              <w:t>0</w:t>
            </w:r>
          </w:p>
        </w:tc>
        <w:tc>
          <w:tcPr>
            <w:tcW w:w="756" w:type="pct"/>
            <w:noWrap/>
          </w:tcPr>
          <w:p w14:paraId="55179F71" w14:textId="3666550E" w:rsidR="00024876" w:rsidRPr="00A33DD2" w:rsidRDefault="00024876" w:rsidP="00F76882">
            <w:pPr>
              <w:pStyle w:val="Tabletext"/>
            </w:pPr>
            <w:r w:rsidRPr="00A33DD2">
              <w:t>0</w:t>
            </w:r>
          </w:p>
        </w:tc>
        <w:tc>
          <w:tcPr>
            <w:tcW w:w="662" w:type="pct"/>
            <w:noWrap/>
          </w:tcPr>
          <w:p w14:paraId="064C884C" w14:textId="0ED9C8B0" w:rsidR="00024876" w:rsidRPr="00A33DD2" w:rsidRDefault="00024876" w:rsidP="00F76882">
            <w:pPr>
              <w:pStyle w:val="Tabletext"/>
            </w:pPr>
            <w:r w:rsidRPr="00A33DD2">
              <w:t>0</w:t>
            </w:r>
          </w:p>
        </w:tc>
      </w:tr>
    </w:tbl>
    <w:p w14:paraId="1C0723E0" w14:textId="34B57EB4" w:rsidR="006F32BC" w:rsidRPr="007C3001" w:rsidRDefault="00F64DA6" w:rsidP="00F76882">
      <w:pPr>
        <w:pStyle w:val="tablefigfootnote"/>
      </w:pPr>
      <w:r w:rsidRPr="007C3001">
        <w:t>*</w:t>
      </w:r>
      <w:r w:rsidR="00734856" w:rsidRPr="007C3001">
        <w:t xml:space="preserve"> </w:t>
      </w:r>
      <w:r w:rsidR="006F32BC" w:rsidRPr="007C3001">
        <w:t>2</w:t>
      </w:r>
      <w:r w:rsidR="003D00CE" w:rsidRPr="007C3001">
        <w:t>–</w:t>
      </w:r>
      <w:r w:rsidR="006F32BC" w:rsidRPr="007C3001">
        <w:t>4 times per year</w:t>
      </w:r>
    </w:p>
    <w:p w14:paraId="58F80B0F" w14:textId="31CA9975" w:rsidR="006F32BC" w:rsidRPr="007C3001" w:rsidRDefault="00C05DE7" w:rsidP="00F76882">
      <w:pPr>
        <w:pStyle w:val="tablefigfootnote"/>
      </w:pPr>
      <w:proofErr w:type="gramStart"/>
      <w:r w:rsidRPr="007C3001">
        <w:t xml:space="preserve">† </w:t>
      </w:r>
      <w:r w:rsidR="006F32BC" w:rsidRPr="007C3001">
        <w:t xml:space="preserve"> 5</w:t>
      </w:r>
      <w:proofErr w:type="gramEnd"/>
      <w:r w:rsidR="003D00CE" w:rsidRPr="007C3001">
        <w:t>–</w:t>
      </w:r>
      <w:r w:rsidR="006F32BC" w:rsidRPr="007C3001">
        <w:t>12 times per year</w:t>
      </w:r>
    </w:p>
    <w:p w14:paraId="26366C06" w14:textId="77777777" w:rsidR="005F58BD" w:rsidRPr="00F76882" w:rsidRDefault="005F58BD" w:rsidP="00F76882"/>
    <w:p w14:paraId="3ECD319D" w14:textId="77777777" w:rsidR="007C3001" w:rsidRPr="00F76882" w:rsidRDefault="007C3001" w:rsidP="00F76882">
      <w:pPr>
        <w:sectPr w:rsidR="007C3001" w:rsidRPr="00F76882" w:rsidSect="00C04CBB">
          <w:pgSz w:w="11906" w:h="16838"/>
          <w:pgMar w:top="720" w:right="720" w:bottom="720" w:left="720" w:header="709" w:footer="709" w:gutter="0"/>
          <w:cols w:space="708"/>
          <w:docGrid w:linePitch="360"/>
        </w:sectPr>
      </w:pPr>
    </w:p>
    <w:p w14:paraId="60F534D7" w14:textId="7134AF6D" w:rsidR="00EC591F" w:rsidRPr="00174EA5" w:rsidRDefault="00EC591F" w:rsidP="00F76882">
      <w:pPr>
        <w:pStyle w:val="Heading2"/>
      </w:pPr>
      <w:bookmarkStart w:id="272" w:name="_Toc203986548"/>
      <w:bookmarkStart w:id="273" w:name="_Toc490035377"/>
      <w:bookmarkStart w:id="274" w:name="_Toc490035393"/>
      <w:bookmarkStart w:id="275" w:name="_Toc417373559"/>
      <w:bookmarkStart w:id="276" w:name="_Toc215236958"/>
      <w:bookmarkEnd w:id="222"/>
      <w:bookmarkEnd w:id="223"/>
      <w:r w:rsidRPr="00174EA5">
        <w:t xml:space="preserve">Queensland </w:t>
      </w:r>
      <w:r w:rsidR="00885B8C" w:rsidRPr="00174EA5">
        <w:t>r</w:t>
      </w:r>
      <w:r w:rsidRPr="00174EA5">
        <w:t>esults</w:t>
      </w:r>
      <w:bookmarkEnd w:id="272"/>
      <w:bookmarkEnd w:id="276"/>
    </w:p>
    <w:p w14:paraId="1332174E" w14:textId="77777777" w:rsidR="00EC591F" w:rsidRPr="006043C2" w:rsidRDefault="00EC591F" w:rsidP="00F76882">
      <w:pPr>
        <w:pStyle w:val="Heading3"/>
      </w:pPr>
      <w:r w:rsidRPr="006043C2">
        <w:t>Health promotion</w:t>
      </w:r>
    </w:p>
    <w:p w14:paraId="658ECDC6" w14:textId="128FCDBE" w:rsidR="00134BF0" w:rsidRPr="0036007C" w:rsidRDefault="002517F6" w:rsidP="00F76882">
      <w:r w:rsidRPr="0036007C">
        <w:t>Queensland (</w:t>
      </w:r>
      <w:r w:rsidR="00C93F39" w:rsidRPr="0036007C">
        <w:t>Qld</w:t>
      </w:r>
      <w:r w:rsidRPr="0036007C">
        <w:t>)</w:t>
      </w:r>
      <w:r w:rsidR="00F73AF1" w:rsidRPr="0036007C">
        <w:t xml:space="preserve"> had no communities considered at risk of trachoma in </w:t>
      </w:r>
      <w:proofErr w:type="gramStart"/>
      <w:r w:rsidR="00F73AF1" w:rsidRPr="0036007C">
        <w:t>2024,</w:t>
      </w:r>
      <w:proofErr w:type="gramEnd"/>
      <w:r w:rsidR="00F73AF1" w:rsidRPr="0036007C">
        <w:t xml:space="preserve"> however h</w:t>
      </w:r>
      <w:r w:rsidR="00134BF0" w:rsidRPr="0036007C">
        <w:t xml:space="preserve">ygiene health promotion education and activities continued in one large community historically at risk </w:t>
      </w:r>
      <w:r w:rsidR="00F73AF1" w:rsidRPr="0036007C">
        <w:t xml:space="preserve">to </w:t>
      </w:r>
      <w:r w:rsidR="0004271D" w:rsidRPr="0036007C">
        <w:t xml:space="preserve">sustain </w:t>
      </w:r>
      <w:r w:rsidR="00C0111F" w:rsidRPr="0036007C">
        <w:t>achievements</w:t>
      </w:r>
      <w:r w:rsidR="004729B6" w:rsidRPr="0036007C">
        <w:t xml:space="preserve"> (Table 3.1)</w:t>
      </w:r>
      <w:r w:rsidR="00134BF0" w:rsidRPr="0036007C">
        <w:t xml:space="preserve">. </w:t>
      </w:r>
      <w:r w:rsidR="00DE210E" w:rsidRPr="0036007C">
        <w:t xml:space="preserve">The </w:t>
      </w:r>
      <w:r w:rsidR="00C93F39" w:rsidRPr="0036007C">
        <w:t>Qld</w:t>
      </w:r>
      <w:r w:rsidR="00134BF0" w:rsidRPr="0036007C">
        <w:t xml:space="preserve"> Health </w:t>
      </w:r>
      <w:r w:rsidR="00764A56" w:rsidRPr="0036007C">
        <w:t>T</w:t>
      </w:r>
      <w:r w:rsidR="00134BF0" w:rsidRPr="0036007C">
        <w:t xml:space="preserve">rachoma </w:t>
      </w:r>
      <w:r w:rsidR="00764A56" w:rsidRPr="0036007C">
        <w:t>T</w:t>
      </w:r>
      <w:r w:rsidR="00134BF0" w:rsidRPr="0036007C">
        <w:t>eam, in collaboration with local council and school staff, delivered health promotion sessions to all levels K-10 at the community’s school three times throughout the school year</w:t>
      </w:r>
      <w:r w:rsidR="0003127A" w:rsidRPr="0036007C">
        <w:t>. A</w:t>
      </w:r>
      <w:r w:rsidR="00134BF0" w:rsidRPr="0036007C">
        <w:t xml:space="preserve"> wide range of audio and visual resources </w:t>
      </w:r>
      <w:r w:rsidR="009726C9" w:rsidRPr="0036007C">
        <w:t xml:space="preserve">are used </w:t>
      </w:r>
      <w:r w:rsidR="00134BF0" w:rsidRPr="0036007C">
        <w:t xml:space="preserve">to promote </w:t>
      </w:r>
      <w:r w:rsidR="00134BF0" w:rsidRPr="00C6114D">
        <w:rPr>
          <w:rStyle w:val="Emphasis"/>
        </w:rPr>
        <w:t>Milpa’s Six Steps to Stop Germs</w:t>
      </w:r>
      <w:r w:rsidR="00134BF0" w:rsidRPr="0036007C">
        <w:t xml:space="preserve"> messages, as well as practical hand washing and tooth brushing demonstrations. Hygiene packs, including face washer, soap, toothbrush</w:t>
      </w:r>
      <w:r w:rsidR="000A64E1" w:rsidRPr="0036007C">
        <w:t xml:space="preserve"> and </w:t>
      </w:r>
      <w:r w:rsidR="00134BF0" w:rsidRPr="0036007C">
        <w:t>toothpaste (age specific), tissues</w:t>
      </w:r>
      <w:r w:rsidR="000A64E1" w:rsidRPr="0036007C">
        <w:t>,</w:t>
      </w:r>
      <w:r w:rsidR="00134BF0" w:rsidRPr="0036007C">
        <w:t xml:space="preserve"> and hairbrush</w:t>
      </w:r>
      <w:r w:rsidR="00746735" w:rsidRPr="0036007C">
        <w:t>,</w:t>
      </w:r>
      <w:r w:rsidR="00134BF0" w:rsidRPr="0036007C">
        <w:t xml:space="preserve"> were also distributed to reinforce the six steps.</w:t>
      </w:r>
      <w:r w:rsidR="00F3668A" w:rsidRPr="0036007C">
        <w:t xml:space="preserve"> In 2024</w:t>
      </w:r>
      <w:r w:rsidR="00FD2BB2" w:rsidRPr="0036007C">
        <w:t>,</w:t>
      </w:r>
      <w:r w:rsidR="00F3668A" w:rsidRPr="0036007C">
        <w:t xml:space="preserve"> the </w:t>
      </w:r>
      <w:r w:rsidR="00764A56" w:rsidRPr="0036007C">
        <w:t>T</w:t>
      </w:r>
      <w:r w:rsidR="00F3668A" w:rsidRPr="0036007C">
        <w:t xml:space="preserve">rachoma </w:t>
      </w:r>
      <w:r w:rsidR="00764A56" w:rsidRPr="0036007C">
        <w:t>T</w:t>
      </w:r>
      <w:r w:rsidR="00F3668A" w:rsidRPr="0036007C">
        <w:t xml:space="preserve">eam involved the </w:t>
      </w:r>
      <w:r w:rsidR="0004493E" w:rsidRPr="0036007C">
        <w:t>D</w:t>
      </w:r>
      <w:r w:rsidR="00F3668A" w:rsidRPr="0036007C">
        <w:t xml:space="preserve">ental </w:t>
      </w:r>
      <w:r w:rsidR="0004493E" w:rsidRPr="0036007C">
        <w:t>H</w:t>
      </w:r>
      <w:r w:rsidR="00F3668A" w:rsidRPr="0036007C">
        <w:t xml:space="preserve">ealth </w:t>
      </w:r>
      <w:r w:rsidR="0004493E" w:rsidRPr="0036007C">
        <w:t>T</w:t>
      </w:r>
      <w:r w:rsidR="00F3668A" w:rsidRPr="0036007C">
        <w:t>eam in program delivery</w:t>
      </w:r>
      <w:r w:rsidR="0083756F" w:rsidRPr="0036007C">
        <w:t xml:space="preserve"> to support a holistic focus </w:t>
      </w:r>
      <w:r w:rsidR="008A7043" w:rsidRPr="0036007C">
        <w:t>in</w:t>
      </w:r>
      <w:r w:rsidR="0083756F" w:rsidRPr="0036007C">
        <w:t xml:space="preserve"> health messaging</w:t>
      </w:r>
      <w:r w:rsidR="001C13CF" w:rsidRPr="0036007C">
        <w:t>.</w:t>
      </w:r>
      <w:r w:rsidR="00134BF0" w:rsidRPr="0036007C">
        <w:t xml:space="preserve"> For older children, sessions were delivered in partnership with the </w:t>
      </w:r>
      <w:r w:rsidR="00746735" w:rsidRPr="0036007C">
        <w:t>S</w:t>
      </w:r>
      <w:r w:rsidR="00134BF0" w:rsidRPr="0036007C">
        <w:t xml:space="preserve">kin </w:t>
      </w:r>
      <w:r w:rsidR="00746735" w:rsidRPr="0036007C">
        <w:t>H</w:t>
      </w:r>
      <w:r w:rsidR="00134BF0" w:rsidRPr="0036007C">
        <w:t xml:space="preserve">ealth </w:t>
      </w:r>
      <w:r w:rsidR="00746735" w:rsidRPr="0036007C">
        <w:t>T</w:t>
      </w:r>
      <w:r w:rsidR="00134BF0" w:rsidRPr="0036007C">
        <w:t>eam, which has created a pathway to enable regular ongoing skin health assessments to be undertaken at the school.</w:t>
      </w:r>
      <w:r w:rsidR="00F3668A" w:rsidRPr="0036007C">
        <w:t xml:space="preserve"> Th</w:t>
      </w:r>
      <w:r w:rsidR="00A95578" w:rsidRPr="0036007C">
        <w:t>ese</w:t>
      </w:r>
      <w:r w:rsidR="00F3668A" w:rsidRPr="0036007C">
        <w:t xml:space="preserve"> model</w:t>
      </w:r>
      <w:r w:rsidR="00A95578" w:rsidRPr="0036007C">
        <w:t>s</w:t>
      </w:r>
      <w:r w:rsidR="00F3668A" w:rsidRPr="0036007C">
        <w:t xml:space="preserve"> of co-program delivery will be further expanded in 2025.</w:t>
      </w:r>
    </w:p>
    <w:p w14:paraId="6B282B51" w14:textId="7AE5CFAD" w:rsidR="00134BF0" w:rsidRPr="0036007C" w:rsidRDefault="00134BF0" w:rsidP="00F76882">
      <w:r w:rsidRPr="0036007C">
        <w:t>The</w:t>
      </w:r>
      <w:r w:rsidR="009C6A19" w:rsidRPr="0036007C">
        <w:t xml:space="preserve"> </w:t>
      </w:r>
      <w:r w:rsidR="00C93F39" w:rsidRPr="0036007C">
        <w:t>Qld</w:t>
      </w:r>
      <w:r w:rsidR="009C6A19" w:rsidRPr="0036007C">
        <w:t xml:space="preserve"> Health </w:t>
      </w:r>
      <w:r w:rsidR="0028382E" w:rsidRPr="0036007C">
        <w:t>T</w:t>
      </w:r>
      <w:r w:rsidR="009C6A19" w:rsidRPr="0036007C">
        <w:t>rachoma</w:t>
      </w:r>
      <w:r w:rsidRPr="0036007C">
        <w:t xml:space="preserve"> </w:t>
      </w:r>
      <w:r w:rsidR="0028382E" w:rsidRPr="0036007C">
        <w:t>T</w:t>
      </w:r>
      <w:r w:rsidRPr="0036007C">
        <w:t xml:space="preserve">eam also provided </w:t>
      </w:r>
      <w:r w:rsidR="003A7613" w:rsidRPr="0036007C">
        <w:t xml:space="preserve">interactive </w:t>
      </w:r>
      <w:r w:rsidRPr="0036007C">
        <w:t xml:space="preserve">health promotion education during the annual health fair and at the Rheumatic Heart Disease Health Summit in conjunction with the community health team. </w:t>
      </w:r>
    </w:p>
    <w:p w14:paraId="0B040BCB" w14:textId="1B17B3A0" w:rsidR="00134BF0" w:rsidRPr="0036007C" w:rsidRDefault="00134BF0" w:rsidP="00F76882">
      <w:r w:rsidRPr="0036007C">
        <w:t>Three soap distributions were organised in 2024, equating to approximately 5,000 bars of soap. In addition, 30 large household cleaning kits were purchased which included mops, buckets, hoses</w:t>
      </w:r>
      <w:r w:rsidR="009174BE" w:rsidRPr="0036007C">
        <w:t xml:space="preserve">, and </w:t>
      </w:r>
      <w:r w:rsidRPr="0036007C">
        <w:t>household cleaning supplies. Distribution of these hygiene resources was arranged via service providers, healthcare, council</w:t>
      </w:r>
      <w:r w:rsidR="009174BE" w:rsidRPr="0036007C">
        <w:t xml:space="preserve">, and </w:t>
      </w:r>
      <w:r w:rsidRPr="0036007C">
        <w:t xml:space="preserve">non-government organisations. </w:t>
      </w:r>
    </w:p>
    <w:p w14:paraId="55C878A4" w14:textId="3DF1A9D4" w:rsidR="00EC591F" w:rsidRPr="007C3001" w:rsidRDefault="003930E9" w:rsidP="00F76882">
      <w:r w:rsidRPr="007C3001">
        <w:br w:type="page"/>
      </w:r>
    </w:p>
    <w:p w14:paraId="06C913A8" w14:textId="77777777" w:rsidR="00EC591F" w:rsidRPr="00A33DD2" w:rsidRDefault="00EC591F" w:rsidP="00F76882">
      <w:pPr>
        <w:sectPr w:rsidR="00EC591F" w:rsidRPr="00A33DD2" w:rsidSect="00C04CBB">
          <w:headerReference w:type="even" r:id="rId37"/>
          <w:headerReference w:type="default" r:id="rId38"/>
          <w:footerReference w:type="default" r:id="rId39"/>
          <w:headerReference w:type="first" r:id="rId40"/>
          <w:pgSz w:w="11906" w:h="16838"/>
          <w:pgMar w:top="1440" w:right="1440" w:bottom="1440" w:left="1440" w:header="708" w:footer="708" w:gutter="0"/>
          <w:cols w:space="708"/>
          <w:docGrid w:linePitch="360"/>
        </w:sectPr>
      </w:pPr>
    </w:p>
    <w:p w14:paraId="6B03D2F8" w14:textId="77777777" w:rsidR="00EC591F" w:rsidRPr="00174EA5" w:rsidRDefault="00EC591F" w:rsidP="00F76882">
      <w:pPr>
        <w:pStyle w:val="Heading2"/>
      </w:pPr>
      <w:bookmarkStart w:id="277" w:name="_Toc203986549"/>
      <w:bookmarkStart w:id="278" w:name="_Toc215236959"/>
      <w:r w:rsidRPr="00174EA5">
        <w:t>Figures and Tables – Queensland</w:t>
      </w:r>
      <w:bookmarkStart w:id="279" w:name="_Toc520298321"/>
      <w:bookmarkEnd w:id="277"/>
      <w:bookmarkEnd w:id="278"/>
    </w:p>
    <w:p w14:paraId="60B3002A" w14:textId="734A43AE" w:rsidR="00420B45" w:rsidRPr="0036007C" w:rsidRDefault="00420B45" w:rsidP="00F76882">
      <w:pPr>
        <w:pStyle w:val="Tableheadings"/>
      </w:pPr>
      <w:bookmarkStart w:id="280" w:name="_Ref58336518"/>
      <w:bookmarkStart w:id="281" w:name="_Toc520298322"/>
      <w:bookmarkStart w:id="282" w:name="_Toc215224709"/>
      <w:bookmarkEnd w:id="279"/>
      <w:r w:rsidRPr="0036007C">
        <w:t xml:space="preserve">Table </w:t>
      </w:r>
      <w:r w:rsidR="00BA03B6" w:rsidRPr="0036007C">
        <w:t>3</w:t>
      </w:r>
      <w:r w:rsidR="000B2552" w:rsidRPr="0036007C">
        <w:t>.</w:t>
      </w:r>
      <w:bookmarkEnd w:id="280"/>
      <w:r w:rsidR="007B4853" w:rsidRPr="0036007C">
        <w:t>1</w:t>
      </w:r>
      <w:r w:rsidRPr="0036007C">
        <w:tab/>
        <w:t>Health promotion activities</w:t>
      </w:r>
      <w:r w:rsidR="00240C5A" w:rsidRPr="0036007C">
        <w:t>,</w:t>
      </w:r>
      <w:r w:rsidRPr="0036007C">
        <w:t xml:space="preserve"> Queensland</w:t>
      </w:r>
      <w:r w:rsidR="00273D38" w:rsidRPr="0036007C">
        <w:t>,</w:t>
      </w:r>
      <w:r w:rsidRPr="0036007C">
        <w:t xml:space="preserve"> </w:t>
      </w:r>
      <w:r w:rsidR="00E76BB4" w:rsidRPr="0036007C">
        <w:t>202</w:t>
      </w:r>
      <w:r w:rsidR="00F327BE" w:rsidRPr="0036007C">
        <w:t>4</w:t>
      </w:r>
      <w:bookmarkEnd w:id="282"/>
    </w:p>
    <w:tbl>
      <w:tblPr>
        <w:tblStyle w:val="trach4"/>
        <w:tblW w:w="8519" w:type="dxa"/>
        <w:tblInd w:w="0" w:type="dxa"/>
        <w:tblLook w:val="04A0" w:firstRow="1" w:lastRow="0" w:firstColumn="1" w:lastColumn="0" w:noHBand="0" w:noVBand="1"/>
        <w:tblCaption w:val="Health promotion activities, Queensland, 2024"/>
        <w:tblDescription w:val="Table 3.1 summarises health promotion activities, broken down by method, target audience, and delivery frequency.&#10;"/>
      </w:tblPr>
      <w:tblGrid>
        <w:gridCol w:w="6669"/>
        <w:gridCol w:w="1850"/>
      </w:tblGrid>
      <w:tr w:rsidR="00117DAD" w:rsidRPr="0036007C" w14:paraId="6A05CABF" w14:textId="77777777" w:rsidTr="00380E2F">
        <w:trPr>
          <w:cnfStyle w:val="100000000000" w:firstRow="1" w:lastRow="0" w:firstColumn="0" w:lastColumn="0" w:oddVBand="0" w:evenVBand="0" w:oddHBand="0" w:evenHBand="0" w:firstRowFirstColumn="0" w:firstRowLastColumn="0" w:lastRowFirstColumn="0" w:lastRowLastColumn="0"/>
          <w:trHeight w:val="464"/>
          <w:tblHeader/>
        </w:trPr>
        <w:tc>
          <w:tcPr>
            <w:tcW w:w="8519" w:type="dxa"/>
            <w:gridSpan w:val="2"/>
            <w:hideMark/>
          </w:tcPr>
          <w:bookmarkEnd w:id="281"/>
          <w:p w14:paraId="142EFF53" w14:textId="77777777" w:rsidR="00FA4E1B" w:rsidRPr="00380E2F" w:rsidRDefault="00FA4E1B" w:rsidP="00F76882">
            <w:pPr>
              <w:pStyle w:val="Tableheading"/>
            </w:pPr>
            <w:r w:rsidRPr="00380E2F">
              <w:t>Queensland</w:t>
            </w:r>
          </w:p>
        </w:tc>
      </w:tr>
      <w:tr w:rsidR="00117DAD" w:rsidRPr="0036007C" w14:paraId="63901FE5" w14:textId="77777777" w:rsidTr="00C0111F">
        <w:trPr>
          <w:trHeight w:val="465"/>
        </w:trPr>
        <w:tc>
          <w:tcPr>
            <w:tcW w:w="6669" w:type="dxa"/>
            <w:hideMark/>
          </w:tcPr>
          <w:p w14:paraId="7B3FF90B" w14:textId="77777777" w:rsidR="00FA4E1B" w:rsidRPr="0036007C" w:rsidRDefault="00FA4E1B" w:rsidP="00F76882">
            <w:pPr>
              <w:pStyle w:val="Tabletextleft"/>
            </w:pPr>
            <w:r w:rsidRPr="0036007C">
              <w:t>Number of communities that reported health promotion activities</w:t>
            </w:r>
          </w:p>
        </w:tc>
        <w:tc>
          <w:tcPr>
            <w:tcW w:w="1850" w:type="dxa"/>
            <w:noWrap/>
          </w:tcPr>
          <w:p w14:paraId="60421E45" w14:textId="19023890" w:rsidR="00FA4E1B" w:rsidRPr="0036007C" w:rsidRDefault="00C0111F" w:rsidP="00F76882">
            <w:pPr>
              <w:pStyle w:val="Tabletext"/>
            </w:pPr>
            <w:r w:rsidRPr="0036007C">
              <w:t>1</w:t>
            </w:r>
          </w:p>
        </w:tc>
      </w:tr>
      <w:tr w:rsidR="00117DAD" w:rsidRPr="0036007C" w14:paraId="26E08677" w14:textId="77777777" w:rsidTr="00C0111F">
        <w:trPr>
          <w:cnfStyle w:val="000000010000" w:firstRow="0" w:lastRow="0" w:firstColumn="0" w:lastColumn="0" w:oddVBand="0" w:evenVBand="0" w:oddHBand="0" w:evenHBand="1" w:firstRowFirstColumn="0" w:firstRowLastColumn="0" w:lastRowFirstColumn="0" w:lastRowLastColumn="0"/>
          <w:trHeight w:val="464"/>
        </w:trPr>
        <w:tc>
          <w:tcPr>
            <w:tcW w:w="6669" w:type="dxa"/>
            <w:hideMark/>
          </w:tcPr>
          <w:p w14:paraId="2B248470" w14:textId="77777777" w:rsidR="00FA4E1B" w:rsidRPr="0036007C" w:rsidRDefault="00FA4E1B" w:rsidP="00F76882">
            <w:pPr>
              <w:pStyle w:val="Tabletextleft"/>
            </w:pPr>
            <w:r w:rsidRPr="0036007C">
              <w:t>Total number of programs reported</w:t>
            </w:r>
          </w:p>
        </w:tc>
        <w:tc>
          <w:tcPr>
            <w:tcW w:w="1850" w:type="dxa"/>
            <w:noWrap/>
          </w:tcPr>
          <w:p w14:paraId="32F973E9" w14:textId="22BF8CDF" w:rsidR="00FA4E1B" w:rsidRPr="0036007C" w:rsidRDefault="00295C22" w:rsidP="00F76882">
            <w:pPr>
              <w:pStyle w:val="Tabletext"/>
            </w:pPr>
            <w:r w:rsidRPr="0036007C">
              <w:t>3</w:t>
            </w:r>
          </w:p>
        </w:tc>
      </w:tr>
      <w:tr w:rsidR="00117DAD" w:rsidRPr="0036007C" w14:paraId="4432E68F" w14:textId="77777777" w:rsidTr="00E7650E">
        <w:trPr>
          <w:trHeight w:val="464"/>
        </w:trPr>
        <w:tc>
          <w:tcPr>
            <w:tcW w:w="8519" w:type="dxa"/>
            <w:gridSpan w:val="2"/>
            <w:hideMark/>
          </w:tcPr>
          <w:p w14:paraId="0E934E63" w14:textId="77777777" w:rsidR="00FA4E1B" w:rsidRPr="00380E2F" w:rsidRDefault="00FA4E1B" w:rsidP="00F76882">
            <w:pPr>
              <w:pStyle w:val="Tabletextleft"/>
              <w:rPr>
                <w:rStyle w:val="Strong"/>
              </w:rPr>
            </w:pPr>
            <w:r w:rsidRPr="00380E2F">
              <w:rPr>
                <w:rStyle w:val="Strong"/>
              </w:rPr>
              <w:t>Method of health promotion activities</w:t>
            </w:r>
          </w:p>
        </w:tc>
      </w:tr>
      <w:tr w:rsidR="00117DAD" w:rsidRPr="0036007C" w14:paraId="1930A413" w14:textId="77777777" w:rsidTr="00824FEE">
        <w:trPr>
          <w:cnfStyle w:val="000000010000" w:firstRow="0" w:lastRow="0" w:firstColumn="0" w:lastColumn="0" w:oddVBand="0" w:evenVBand="0" w:oddHBand="0" w:evenHBand="1" w:firstRowFirstColumn="0" w:firstRowLastColumn="0" w:lastRowFirstColumn="0" w:lastRowLastColumn="0"/>
          <w:trHeight w:val="464"/>
        </w:trPr>
        <w:tc>
          <w:tcPr>
            <w:tcW w:w="6669" w:type="dxa"/>
            <w:hideMark/>
          </w:tcPr>
          <w:p w14:paraId="6FC3D76F" w14:textId="77777777" w:rsidR="00FA4E1B" w:rsidRPr="0036007C" w:rsidRDefault="00FA4E1B" w:rsidP="00F76882">
            <w:pPr>
              <w:pStyle w:val="Tabletextleft"/>
            </w:pPr>
            <w:r w:rsidRPr="0036007C">
              <w:t>One-on-one discussion</w:t>
            </w:r>
          </w:p>
        </w:tc>
        <w:tc>
          <w:tcPr>
            <w:tcW w:w="1850" w:type="dxa"/>
            <w:noWrap/>
          </w:tcPr>
          <w:p w14:paraId="472CB536" w14:textId="37313F6B" w:rsidR="00FA4E1B" w:rsidRPr="0036007C" w:rsidRDefault="00A51DDF" w:rsidP="00F76882">
            <w:pPr>
              <w:pStyle w:val="Tabletext"/>
            </w:pPr>
            <w:r w:rsidRPr="0036007C">
              <w:t>0</w:t>
            </w:r>
          </w:p>
        </w:tc>
      </w:tr>
      <w:tr w:rsidR="00117DAD" w:rsidRPr="0036007C" w14:paraId="78BEF907" w14:textId="77777777" w:rsidTr="00824FEE">
        <w:trPr>
          <w:trHeight w:val="464"/>
        </w:trPr>
        <w:tc>
          <w:tcPr>
            <w:tcW w:w="6669" w:type="dxa"/>
            <w:hideMark/>
          </w:tcPr>
          <w:p w14:paraId="7A131D01" w14:textId="77777777" w:rsidR="00FA4E1B" w:rsidRPr="0036007C" w:rsidRDefault="00FA4E1B" w:rsidP="00F76882">
            <w:pPr>
              <w:pStyle w:val="Tabletextleft"/>
            </w:pPr>
            <w:r w:rsidRPr="0036007C">
              <w:t>Presentation to group</w:t>
            </w:r>
          </w:p>
        </w:tc>
        <w:tc>
          <w:tcPr>
            <w:tcW w:w="1850" w:type="dxa"/>
            <w:noWrap/>
          </w:tcPr>
          <w:p w14:paraId="4A4CA0BB" w14:textId="4CB866FA" w:rsidR="00FA4E1B" w:rsidRPr="0036007C" w:rsidRDefault="00A51DDF" w:rsidP="00F76882">
            <w:pPr>
              <w:pStyle w:val="Tabletext"/>
            </w:pPr>
            <w:r w:rsidRPr="0036007C">
              <w:t>0</w:t>
            </w:r>
          </w:p>
        </w:tc>
      </w:tr>
      <w:tr w:rsidR="00117DAD" w:rsidRPr="0036007C" w14:paraId="5918B838" w14:textId="77777777" w:rsidTr="00824FEE">
        <w:trPr>
          <w:cnfStyle w:val="000000010000" w:firstRow="0" w:lastRow="0" w:firstColumn="0" w:lastColumn="0" w:oddVBand="0" w:evenVBand="0" w:oddHBand="0" w:evenHBand="1" w:firstRowFirstColumn="0" w:firstRowLastColumn="0" w:lastRowFirstColumn="0" w:lastRowLastColumn="0"/>
          <w:trHeight w:val="464"/>
        </w:trPr>
        <w:tc>
          <w:tcPr>
            <w:tcW w:w="6669" w:type="dxa"/>
            <w:hideMark/>
          </w:tcPr>
          <w:p w14:paraId="51646C3D" w14:textId="77777777" w:rsidR="00FA4E1B" w:rsidRPr="0036007C" w:rsidRDefault="00FA4E1B" w:rsidP="00F76882">
            <w:pPr>
              <w:pStyle w:val="Tabletextleft"/>
            </w:pPr>
            <w:r w:rsidRPr="0036007C">
              <w:t>Interactive group session</w:t>
            </w:r>
          </w:p>
        </w:tc>
        <w:tc>
          <w:tcPr>
            <w:tcW w:w="1850" w:type="dxa"/>
            <w:noWrap/>
          </w:tcPr>
          <w:p w14:paraId="1499532E" w14:textId="0F885136" w:rsidR="00FA4E1B" w:rsidRPr="0036007C" w:rsidRDefault="007A2D50" w:rsidP="00F76882">
            <w:pPr>
              <w:pStyle w:val="Tabletext"/>
            </w:pPr>
            <w:r w:rsidRPr="0036007C">
              <w:t>1</w:t>
            </w:r>
          </w:p>
        </w:tc>
      </w:tr>
      <w:tr w:rsidR="00117DAD" w:rsidRPr="0036007C" w14:paraId="0ADD54AF" w14:textId="77777777" w:rsidTr="00824FEE">
        <w:trPr>
          <w:trHeight w:val="464"/>
        </w:trPr>
        <w:tc>
          <w:tcPr>
            <w:tcW w:w="6669" w:type="dxa"/>
            <w:hideMark/>
          </w:tcPr>
          <w:p w14:paraId="24601223" w14:textId="77777777" w:rsidR="00FA4E1B" w:rsidRPr="0036007C" w:rsidRDefault="00FA4E1B" w:rsidP="00F76882">
            <w:pPr>
              <w:pStyle w:val="Tabletextleft"/>
            </w:pPr>
            <w:r w:rsidRPr="0036007C">
              <w:t>Social marketing</w:t>
            </w:r>
          </w:p>
        </w:tc>
        <w:tc>
          <w:tcPr>
            <w:tcW w:w="1850" w:type="dxa"/>
            <w:noWrap/>
          </w:tcPr>
          <w:p w14:paraId="14A4A1BC" w14:textId="29C3E649" w:rsidR="00FA4E1B" w:rsidRPr="0036007C" w:rsidRDefault="00A51DDF" w:rsidP="00F76882">
            <w:pPr>
              <w:pStyle w:val="Tabletext"/>
            </w:pPr>
            <w:r w:rsidRPr="0036007C">
              <w:t>0</w:t>
            </w:r>
          </w:p>
        </w:tc>
      </w:tr>
      <w:tr w:rsidR="00117DAD" w:rsidRPr="0036007C" w14:paraId="57FAE591" w14:textId="77777777" w:rsidTr="00824FEE">
        <w:trPr>
          <w:cnfStyle w:val="000000010000" w:firstRow="0" w:lastRow="0" w:firstColumn="0" w:lastColumn="0" w:oddVBand="0" w:evenVBand="0" w:oddHBand="0" w:evenHBand="1" w:firstRowFirstColumn="0" w:firstRowLastColumn="0" w:lastRowFirstColumn="0" w:lastRowLastColumn="0"/>
          <w:trHeight w:val="464"/>
        </w:trPr>
        <w:tc>
          <w:tcPr>
            <w:tcW w:w="6669" w:type="dxa"/>
            <w:hideMark/>
          </w:tcPr>
          <w:p w14:paraId="68067791" w14:textId="77777777" w:rsidR="00FA4E1B" w:rsidRPr="0036007C" w:rsidRDefault="00FA4E1B" w:rsidP="00F76882">
            <w:pPr>
              <w:pStyle w:val="Tabletextleft"/>
            </w:pPr>
            <w:r w:rsidRPr="0036007C">
              <w:t>Print material/mass media</w:t>
            </w:r>
          </w:p>
        </w:tc>
        <w:tc>
          <w:tcPr>
            <w:tcW w:w="1850" w:type="dxa"/>
            <w:noWrap/>
          </w:tcPr>
          <w:p w14:paraId="5B25E624" w14:textId="09E35B51" w:rsidR="00FA4E1B" w:rsidRPr="0036007C" w:rsidRDefault="00A51DDF" w:rsidP="00F76882">
            <w:pPr>
              <w:pStyle w:val="Tabletext"/>
            </w:pPr>
            <w:r w:rsidRPr="0036007C">
              <w:t>0</w:t>
            </w:r>
          </w:p>
        </w:tc>
      </w:tr>
      <w:tr w:rsidR="00117DAD" w:rsidRPr="0036007C" w14:paraId="24EEE6E7" w14:textId="77777777" w:rsidTr="00824FEE">
        <w:trPr>
          <w:trHeight w:val="464"/>
        </w:trPr>
        <w:tc>
          <w:tcPr>
            <w:tcW w:w="6669" w:type="dxa"/>
            <w:hideMark/>
          </w:tcPr>
          <w:p w14:paraId="4F45DA7E" w14:textId="77777777" w:rsidR="00FA4E1B" w:rsidRPr="0036007C" w:rsidRDefault="00FA4E1B" w:rsidP="00F76882">
            <w:pPr>
              <w:pStyle w:val="Tabletextleft"/>
            </w:pPr>
            <w:r w:rsidRPr="0036007C">
              <w:t>Sporting/community events</w:t>
            </w:r>
          </w:p>
        </w:tc>
        <w:tc>
          <w:tcPr>
            <w:tcW w:w="1850" w:type="dxa"/>
            <w:noWrap/>
          </w:tcPr>
          <w:p w14:paraId="45DC066A" w14:textId="211251CB" w:rsidR="00FA4E1B" w:rsidRPr="0036007C" w:rsidRDefault="005F636E" w:rsidP="00F76882">
            <w:pPr>
              <w:pStyle w:val="Tabletext"/>
            </w:pPr>
            <w:r w:rsidRPr="0036007C">
              <w:t>1</w:t>
            </w:r>
          </w:p>
        </w:tc>
      </w:tr>
      <w:tr w:rsidR="00117DAD" w:rsidRPr="0036007C" w14:paraId="7191EE15" w14:textId="77777777" w:rsidTr="00824FEE">
        <w:trPr>
          <w:cnfStyle w:val="000000010000" w:firstRow="0" w:lastRow="0" w:firstColumn="0" w:lastColumn="0" w:oddVBand="0" w:evenVBand="0" w:oddHBand="0" w:evenHBand="1" w:firstRowFirstColumn="0" w:firstRowLastColumn="0" w:lastRowFirstColumn="0" w:lastRowLastColumn="0"/>
          <w:trHeight w:val="464"/>
        </w:trPr>
        <w:tc>
          <w:tcPr>
            <w:tcW w:w="6669" w:type="dxa"/>
            <w:hideMark/>
          </w:tcPr>
          <w:p w14:paraId="7C1CEFF3" w14:textId="77777777" w:rsidR="00FA4E1B" w:rsidRPr="0036007C" w:rsidRDefault="00FA4E1B" w:rsidP="00F76882">
            <w:pPr>
              <w:pStyle w:val="Tabletextleft"/>
            </w:pPr>
            <w:r w:rsidRPr="0036007C">
              <w:t>Other</w:t>
            </w:r>
          </w:p>
        </w:tc>
        <w:tc>
          <w:tcPr>
            <w:tcW w:w="1850" w:type="dxa"/>
            <w:noWrap/>
          </w:tcPr>
          <w:p w14:paraId="7D2E3AC7" w14:textId="7BA03D69" w:rsidR="00FA4E1B" w:rsidRPr="0036007C" w:rsidRDefault="007A2D50" w:rsidP="00F76882">
            <w:pPr>
              <w:pStyle w:val="Tabletext"/>
            </w:pPr>
            <w:r w:rsidRPr="0036007C">
              <w:t>1</w:t>
            </w:r>
          </w:p>
        </w:tc>
      </w:tr>
      <w:tr w:rsidR="00117DAD" w:rsidRPr="0036007C" w14:paraId="500B898A" w14:textId="77777777" w:rsidTr="00E7650E">
        <w:trPr>
          <w:trHeight w:val="464"/>
        </w:trPr>
        <w:tc>
          <w:tcPr>
            <w:tcW w:w="8519" w:type="dxa"/>
            <w:gridSpan w:val="2"/>
            <w:hideMark/>
          </w:tcPr>
          <w:p w14:paraId="06679D55" w14:textId="77777777" w:rsidR="00FA4E1B" w:rsidRPr="00380E2F" w:rsidRDefault="00FA4E1B" w:rsidP="00F76882">
            <w:pPr>
              <w:pStyle w:val="Tabletextleft"/>
              <w:rPr>
                <w:rStyle w:val="Strong"/>
              </w:rPr>
            </w:pPr>
            <w:r w:rsidRPr="00380E2F">
              <w:rPr>
                <w:rStyle w:val="Strong"/>
              </w:rPr>
              <w:t>Target audience</w:t>
            </w:r>
          </w:p>
        </w:tc>
      </w:tr>
      <w:tr w:rsidR="00117DAD" w:rsidRPr="0036007C" w14:paraId="6F9A5E2C" w14:textId="77777777" w:rsidTr="00824FEE">
        <w:trPr>
          <w:cnfStyle w:val="000000010000" w:firstRow="0" w:lastRow="0" w:firstColumn="0" w:lastColumn="0" w:oddVBand="0" w:evenVBand="0" w:oddHBand="0" w:evenHBand="1" w:firstRowFirstColumn="0" w:firstRowLastColumn="0" w:lastRowFirstColumn="0" w:lastRowLastColumn="0"/>
          <w:trHeight w:val="464"/>
        </w:trPr>
        <w:tc>
          <w:tcPr>
            <w:tcW w:w="6669" w:type="dxa"/>
            <w:hideMark/>
          </w:tcPr>
          <w:p w14:paraId="65A84DCB" w14:textId="77777777" w:rsidR="00FA4E1B" w:rsidRPr="0036007C" w:rsidRDefault="00FA4E1B" w:rsidP="00F76882">
            <w:pPr>
              <w:pStyle w:val="Tabletextleft"/>
            </w:pPr>
            <w:r w:rsidRPr="0036007C">
              <w:t>Health professional/staff</w:t>
            </w:r>
          </w:p>
        </w:tc>
        <w:tc>
          <w:tcPr>
            <w:tcW w:w="1850" w:type="dxa"/>
            <w:noWrap/>
          </w:tcPr>
          <w:p w14:paraId="04BD5CB6" w14:textId="216FA0D0" w:rsidR="00FA4E1B" w:rsidRPr="0036007C" w:rsidRDefault="00A51DDF" w:rsidP="00F76882">
            <w:pPr>
              <w:pStyle w:val="Tabletext"/>
            </w:pPr>
            <w:r w:rsidRPr="0036007C">
              <w:t>0</w:t>
            </w:r>
          </w:p>
        </w:tc>
      </w:tr>
      <w:tr w:rsidR="00117DAD" w:rsidRPr="0036007C" w14:paraId="3957D35E" w14:textId="77777777" w:rsidTr="00824FEE">
        <w:trPr>
          <w:trHeight w:val="464"/>
        </w:trPr>
        <w:tc>
          <w:tcPr>
            <w:tcW w:w="6669" w:type="dxa"/>
            <w:hideMark/>
          </w:tcPr>
          <w:p w14:paraId="101BB6B2" w14:textId="77777777" w:rsidR="00FA4E1B" w:rsidRPr="0036007C" w:rsidRDefault="00FA4E1B" w:rsidP="00F76882">
            <w:pPr>
              <w:pStyle w:val="Tabletextleft"/>
            </w:pPr>
            <w:r w:rsidRPr="0036007C">
              <w:t>Children</w:t>
            </w:r>
          </w:p>
        </w:tc>
        <w:tc>
          <w:tcPr>
            <w:tcW w:w="1850" w:type="dxa"/>
            <w:noWrap/>
          </w:tcPr>
          <w:p w14:paraId="123C961F" w14:textId="1779AE08" w:rsidR="00FA4E1B" w:rsidRPr="0036007C" w:rsidRDefault="007A2D50" w:rsidP="00F76882">
            <w:pPr>
              <w:pStyle w:val="Tabletext"/>
            </w:pPr>
            <w:r w:rsidRPr="0036007C">
              <w:t>1</w:t>
            </w:r>
          </w:p>
        </w:tc>
      </w:tr>
      <w:tr w:rsidR="00117DAD" w:rsidRPr="0036007C" w14:paraId="5A04FC2A" w14:textId="77777777" w:rsidTr="00824FEE">
        <w:trPr>
          <w:cnfStyle w:val="000000010000" w:firstRow="0" w:lastRow="0" w:firstColumn="0" w:lastColumn="0" w:oddVBand="0" w:evenVBand="0" w:oddHBand="0" w:evenHBand="1" w:firstRowFirstColumn="0" w:firstRowLastColumn="0" w:lastRowFirstColumn="0" w:lastRowLastColumn="0"/>
          <w:trHeight w:val="464"/>
        </w:trPr>
        <w:tc>
          <w:tcPr>
            <w:tcW w:w="6669" w:type="dxa"/>
            <w:hideMark/>
          </w:tcPr>
          <w:p w14:paraId="79548826" w14:textId="77777777" w:rsidR="00FA4E1B" w:rsidRPr="0036007C" w:rsidRDefault="00FA4E1B" w:rsidP="00F76882">
            <w:pPr>
              <w:pStyle w:val="Tabletextleft"/>
            </w:pPr>
            <w:r w:rsidRPr="0036007C">
              <w:t>Youth</w:t>
            </w:r>
          </w:p>
        </w:tc>
        <w:tc>
          <w:tcPr>
            <w:tcW w:w="1850" w:type="dxa"/>
            <w:noWrap/>
          </w:tcPr>
          <w:p w14:paraId="3AF81330" w14:textId="1B1FF102" w:rsidR="00FA4E1B" w:rsidRPr="0036007C" w:rsidRDefault="009A7D3B" w:rsidP="00F76882">
            <w:pPr>
              <w:pStyle w:val="Tabletext"/>
            </w:pPr>
            <w:r w:rsidRPr="0036007C">
              <w:t>1</w:t>
            </w:r>
          </w:p>
        </w:tc>
      </w:tr>
      <w:tr w:rsidR="00117DAD" w:rsidRPr="0036007C" w14:paraId="2D6BC9C1" w14:textId="77777777" w:rsidTr="00824FEE">
        <w:trPr>
          <w:trHeight w:val="464"/>
        </w:trPr>
        <w:tc>
          <w:tcPr>
            <w:tcW w:w="6669" w:type="dxa"/>
            <w:hideMark/>
          </w:tcPr>
          <w:p w14:paraId="0C4ACE66" w14:textId="77777777" w:rsidR="00FA4E1B" w:rsidRPr="0036007C" w:rsidRDefault="00FA4E1B" w:rsidP="00F76882">
            <w:pPr>
              <w:pStyle w:val="Tabletextleft"/>
            </w:pPr>
            <w:r w:rsidRPr="0036007C">
              <w:t>Teachers/childcare/preschool staff</w:t>
            </w:r>
          </w:p>
        </w:tc>
        <w:tc>
          <w:tcPr>
            <w:tcW w:w="1850" w:type="dxa"/>
            <w:noWrap/>
          </w:tcPr>
          <w:p w14:paraId="2CDCCB30" w14:textId="3B588D92" w:rsidR="00FA4E1B" w:rsidRPr="0036007C" w:rsidRDefault="00F03D38" w:rsidP="00F76882">
            <w:pPr>
              <w:pStyle w:val="Tabletext"/>
            </w:pPr>
            <w:r w:rsidRPr="0036007C">
              <w:t>1</w:t>
            </w:r>
          </w:p>
        </w:tc>
      </w:tr>
      <w:tr w:rsidR="00117DAD" w:rsidRPr="0036007C" w14:paraId="64BE7591" w14:textId="77777777" w:rsidTr="00824FEE">
        <w:trPr>
          <w:cnfStyle w:val="000000010000" w:firstRow="0" w:lastRow="0" w:firstColumn="0" w:lastColumn="0" w:oddVBand="0" w:evenVBand="0" w:oddHBand="0" w:evenHBand="1" w:firstRowFirstColumn="0" w:firstRowLastColumn="0" w:lastRowFirstColumn="0" w:lastRowLastColumn="0"/>
          <w:trHeight w:val="464"/>
        </w:trPr>
        <w:tc>
          <w:tcPr>
            <w:tcW w:w="6669" w:type="dxa"/>
            <w:hideMark/>
          </w:tcPr>
          <w:p w14:paraId="1B27B85F" w14:textId="77777777" w:rsidR="00FA4E1B" w:rsidRPr="0036007C" w:rsidRDefault="00FA4E1B" w:rsidP="00F76882">
            <w:pPr>
              <w:pStyle w:val="Tabletextleft"/>
            </w:pPr>
            <w:r w:rsidRPr="0036007C">
              <w:t>Caregivers/parents</w:t>
            </w:r>
          </w:p>
        </w:tc>
        <w:tc>
          <w:tcPr>
            <w:tcW w:w="1850" w:type="dxa"/>
            <w:noWrap/>
          </w:tcPr>
          <w:p w14:paraId="5DD8E462" w14:textId="1CE7E781" w:rsidR="00FA4E1B" w:rsidRPr="0036007C" w:rsidRDefault="00A51DDF" w:rsidP="00F76882">
            <w:pPr>
              <w:pStyle w:val="Tabletext"/>
            </w:pPr>
            <w:r w:rsidRPr="0036007C">
              <w:t>0</w:t>
            </w:r>
          </w:p>
        </w:tc>
      </w:tr>
      <w:tr w:rsidR="00117DAD" w:rsidRPr="0036007C" w14:paraId="7D05382B" w14:textId="77777777" w:rsidTr="00824FEE">
        <w:trPr>
          <w:trHeight w:val="464"/>
        </w:trPr>
        <w:tc>
          <w:tcPr>
            <w:tcW w:w="6669" w:type="dxa"/>
            <w:hideMark/>
          </w:tcPr>
          <w:p w14:paraId="79B12014" w14:textId="77777777" w:rsidR="00FA4E1B" w:rsidRPr="0036007C" w:rsidRDefault="00FA4E1B" w:rsidP="00F76882">
            <w:pPr>
              <w:pStyle w:val="Tabletextleft"/>
            </w:pPr>
            <w:r w:rsidRPr="0036007C">
              <w:t>Community members</w:t>
            </w:r>
          </w:p>
        </w:tc>
        <w:tc>
          <w:tcPr>
            <w:tcW w:w="1850" w:type="dxa"/>
            <w:noWrap/>
          </w:tcPr>
          <w:p w14:paraId="1B288865" w14:textId="03DDA9D3" w:rsidR="00FA4E1B" w:rsidRPr="0036007C" w:rsidRDefault="00D021C6" w:rsidP="00F76882">
            <w:pPr>
              <w:pStyle w:val="Tabletext"/>
            </w:pPr>
            <w:r w:rsidRPr="0036007C">
              <w:t>1</w:t>
            </w:r>
          </w:p>
        </w:tc>
      </w:tr>
      <w:tr w:rsidR="00117DAD" w:rsidRPr="0036007C" w14:paraId="1976B9F6" w14:textId="77777777" w:rsidTr="00BF1960">
        <w:trPr>
          <w:cnfStyle w:val="000000010000" w:firstRow="0" w:lastRow="0" w:firstColumn="0" w:lastColumn="0" w:oddVBand="0" w:evenVBand="0" w:oddHBand="0" w:evenHBand="1" w:firstRowFirstColumn="0" w:firstRowLastColumn="0" w:lastRowFirstColumn="0" w:lastRowLastColumn="0"/>
          <w:trHeight w:val="465"/>
        </w:trPr>
        <w:tc>
          <w:tcPr>
            <w:tcW w:w="6669" w:type="dxa"/>
            <w:hideMark/>
          </w:tcPr>
          <w:p w14:paraId="4C48D3A3" w14:textId="77777777" w:rsidR="00FA4E1B" w:rsidRPr="0036007C" w:rsidRDefault="00FA4E1B" w:rsidP="00F76882">
            <w:pPr>
              <w:pStyle w:val="Tabletextleft"/>
            </w:pPr>
            <w:r w:rsidRPr="0036007C">
              <w:t>Community educators/health promoters</w:t>
            </w:r>
          </w:p>
        </w:tc>
        <w:tc>
          <w:tcPr>
            <w:tcW w:w="1850" w:type="dxa"/>
            <w:noWrap/>
          </w:tcPr>
          <w:p w14:paraId="20EC0489" w14:textId="3F259220" w:rsidR="00FA4E1B" w:rsidRPr="0036007C" w:rsidRDefault="00A51DDF" w:rsidP="00F76882">
            <w:pPr>
              <w:pStyle w:val="Tabletext"/>
            </w:pPr>
            <w:r w:rsidRPr="0036007C">
              <w:t>0</w:t>
            </w:r>
          </w:p>
        </w:tc>
      </w:tr>
      <w:tr w:rsidR="00117DAD" w:rsidRPr="0036007C" w14:paraId="4AF5ACD3" w14:textId="77777777" w:rsidTr="00824FEE">
        <w:trPr>
          <w:trHeight w:val="464"/>
        </w:trPr>
        <w:tc>
          <w:tcPr>
            <w:tcW w:w="6669" w:type="dxa"/>
            <w:hideMark/>
          </w:tcPr>
          <w:p w14:paraId="7AC8E310" w14:textId="77777777" w:rsidR="00FA4E1B" w:rsidRPr="0036007C" w:rsidRDefault="00FA4E1B" w:rsidP="00F76882">
            <w:pPr>
              <w:pStyle w:val="Tabletextleft"/>
            </w:pPr>
            <w:r w:rsidRPr="0036007C">
              <w:t>Interagency members</w:t>
            </w:r>
          </w:p>
        </w:tc>
        <w:tc>
          <w:tcPr>
            <w:tcW w:w="1850" w:type="dxa"/>
            <w:noWrap/>
          </w:tcPr>
          <w:p w14:paraId="07BBCEB5" w14:textId="5D978E13" w:rsidR="00FA4E1B" w:rsidRPr="0036007C" w:rsidRDefault="00A51DDF" w:rsidP="00F76882">
            <w:pPr>
              <w:pStyle w:val="Tabletext"/>
            </w:pPr>
            <w:r w:rsidRPr="0036007C">
              <w:t>0</w:t>
            </w:r>
          </w:p>
        </w:tc>
      </w:tr>
      <w:tr w:rsidR="00117DAD" w:rsidRPr="0036007C" w14:paraId="25DFD5F4" w14:textId="77777777" w:rsidTr="00E7650E">
        <w:trPr>
          <w:cnfStyle w:val="000000010000" w:firstRow="0" w:lastRow="0" w:firstColumn="0" w:lastColumn="0" w:oddVBand="0" w:evenVBand="0" w:oddHBand="0" w:evenHBand="1" w:firstRowFirstColumn="0" w:firstRowLastColumn="0" w:lastRowFirstColumn="0" w:lastRowLastColumn="0"/>
          <w:trHeight w:val="464"/>
        </w:trPr>
        <w:tc>
          <w:tcPr>
            <w:tcW w:w="8519" w:type="dxa"/>
            <w:gridSpan w:val="2"/>
            <w:hideMark/>
          </w:tcPr>
          <w:p w14:paraId="4DF407E6" w14:textId="77777777" w:rsidR="00FA4E1B" w:rsidRPr="00380E2F" w:rsidRDefault="00FA4E1B" w:rsidP="00F76882">
            <w:pPr>
              <w:pStyle w:val="Tabletextleft"/>
              <w:rPr>
                <w:rStyle w:val="Strong"/>
              </w:rPr>
            </w:pPr>
            <w:r w:rsidRPr="00380E2F">
              <w:rPr>
                <w:rStyle w:val="Strong"/>
              </w:rPr>
              <w:t xml:space="preserve">Frequency of health promotion activities </w:t>
            </w:r>
          </w:p>
        </w:tc>
      </w:tr>
      <w:tr w:rsidR="00117DAD" w:rsidRPr="0036007C" w14:paraId="3F578023" w14:textId="77777777" w:rsidTr="00824FEE">
        <w:trPr>
          <w:trHeight w:val="464"/>
        </w:trPr>
        <w:tc>
          <w:tcPr>
            <w:tcW w:w="6669" w:type="dxa"/>
            <w:hideMark/>
          </w:tcPr>
          <w:p w14:paraId="171FAB7D" w14:textId="77777777" w:rsidR="00FA4E1B" w:rsidRPr="0036007C" w:rsidRDefault="00FA4E1B" w:rsidP="00F76882">
            <w:pPr>
              <w:pStyle w:val="Tabletextleft"/>
            </w:pPr>
            <w:r w:rsidRPr="0036007C">
              <w:t>Once</w:t>
            </w:r>
          </w:p>
        </w:tc>
        <w:tc>
          <w:tcPr>
            <w:tcW w:w="1850" w:type="dxa"/>
            <w:noWrap/>
          </w:tcPr>
          <w:p w14:paraId="35029694" w14:textId="3931B28D" w:rsidR="00FA4E1B" w:rsidRPr="0036007C" w:rsidRDefault="00A51DDF" w:rsidP="00F76882">
            <w:pPr>
              <w:pStyle w:val="Tabletext"/>
            </w:pPr>
            <w:r w:rsidRPr="0036007C">
              <w:t>0</w:t>
            </w:r>
          </w:p>
        </w:tc>
      </w:tr>
      <w:tr w:rsidR="00117DAD" w:rsidRPr="0036007C" w14:paraId="654210D3" w14:textId="77777777" w:rsidTr="00824FEE">
        <w:trPr>
          <w:cnfStyle w:val="000000010000" w:firstRow="0" w:lastRow="0" w:firstColumn="0" w:lastColumn="0" w:oddVBand="0" w:evenVBand="0" w:oddHBand="0" w:evenHBand="1" w:firstRowFirstColumn="0" w:firstRowLastColumn="0" w:lastRowFirstColumn="0" w:lastRowLastColumn="0"/>
          <w:trHeight w:val="464"/>
        </w:trPr>
        <w:tc>
          <w:tcPr>
            <w:tcW w:w="6669" w:type="dxa"/>
            <w:hideMark/>
          </w:tcPr>
          <w:p w14:paraId="1ADB866C" w14:textId="70A861D8" w:rsidR="00FA4E1B" w:rsidRPr="0036007C" w:rsidRDefault="00FA4E1B" w:rsidP="00F76882">
            <w:pPr>
              <w:pStyle w:val="Tabletextleft"/>
            </w:pPr>
            <w:r w:rsidRPr="0036007C">
              <w:t>Occasional*</w:t>
            </w:r>
          </w:p>
        </w:tc>
        <w:tc>
          <w:tcPr>
            <w:tcW w:w="1850" w:type="dxa"/>
            <w:noWrap/>
          </w:tcPr>
          <w:p w14:paraId="72C0B08D" w14:textId="4FF9D785" w:rsidR="00FA4E1B" w:rsidRPr="0036007C" w:rsidRDefault="00B054BD" w:rsidP="00F76882">
            <w:pPr>
              <w:pStyle w:val="Tabletext"/>
            </w:pPr>
            <w:r w:rsidRPr="0036007C">
              <w:t>3</w:t>
            </w:r>
          </w:p>
        </w:tc>
      </w:tr>
      <w:tr w:rsidR="00117DAD" w:rsidRPr="0036007C" w14:paraId="3ACFA300" w14:textId="77777777" w:rsidTr="00824FEE">
        <w:trPr>
          <w:trHeight w:val="464"/>
        </w:trPr>
        <w:tc>
          <w:tcPr>
            <w:tcW w:w="6669" w:type="dxa"/>
            <w:hideMark/>
          </w:tcPr>
          <w:p w14:paraId="328C5561" w14:textId="77777777" w:rsidR="00FA4E1B" w:rsidRPr="0036007C" w:rsidRDefault="00FA4E1B" w:rsidP="00F76882">
            <w:pPr>
              <w:pStyle w:val="Tabletextleft"/>
            </w:pPr>
            <w:r w:rsidRPr="0036007C">
              <w:t>Regular†</w:t>
            </w:r>
          </w:p>
        </w:tc>
        <w:tc>
          <w:tcPr>
            <w:tcW w:w="1850" w:type="dxa"/>
            <w:noWrap/>
          </w:tcPr>
          <w:p w14:paraId="4CB44533" w14:textId="57B4F1A4" w:rsidR="00FA4E1B" w:rsidRPr="0036007C" w:rsidRDefault="00A51DDF" w:rsidP="00F76882">
            <w:pPr>
              <w:pStyle w:val="Tabletext"/>
            </w:pPr>
            <w:r w:rsidRPr="0036007C">
              <w:t>0</w:t>
            </w:r>
          </w:p>
        </w:tc>
      </w:tr>
      <w:tr w:rsidR="00117DAD" w:rsidRPr="0036007C" w14:paraId="16D08D90" w14:textId="77777777" w:rsidTr="00824FEE">
        <w:trPr>
          <w:cnfStyle w:val="000000010000" w:firstRow="0" w:lastRow="0" w:firstColumn="0" w:lastColumn="0" w:oddVBand="0" w:evenVBand="0" w:oddHBand="0" w:evenHBand="1" w:firstRowFirstColumn="0" w:firstRowLastColumn="0" w:lastRowFirstColumn="0" w:lastRowLastColumn="0"/>
          <w:trHeight w:val="464"/>
        </w:trPr>
        <w:tc>
          <w:tcPr>
            <w:tcW w:w="6669" w:type="dxa"/>
            <w:hideMark/>
          </w:tcPr>
          <w:p w14:paraId="4AACF8F0" w14:textId="77777777" w:rsidR="00FA4E1B" w:rsidRPr="0036007C" w:rsidRDefault="00FA4E1B" w:rsidP="00F76882">
            <w:pPr>
              <w:pStyle w:val="Tabletextleft"/>
            </w:pPr>
            <w:r w:rsidRPr="0036007C">
              <w:t>Ongoing/routine</w:t>
            </w:r>
          </w:p>
        </w:tc>
        <w:tc>
          <w:tcPr>
            <w:tcW w:w="1850" w:type="dxa"/>
            <w:noWrap/>
          </w:tcPr>
          <w:p w14:paraId="68D6E308" w14:textId="0A81E02E" w:rsidR="00FA4E1B" w:rsidRPr="0036007C" w:rsidRDefault="00927416" w:rsidP="00F76882">
            <w:pPr>
              <w:pStyle w:val="Tabletext"/>
            </w:pPr>
            <w:r w:rsidRPr="0036007C">
              <w:t>0</w:t>
            </w:r>
          </w:p>
        </w:tc>
      </w:tr>
    </w:tbl>
    <w:p w14:paraId="74097F85" w14:textId="5598B429" w:rsidR="00FA6770" w:rsidRPr="001B4458" w:rsidRDefault="00FA6770" w:rsidP="00F76882">
      <w:pPr>
        <w:pStyle w:val="tablefigfootnote"/>
      </w:pPr>
      <w:r w:rsidRPr="001B4458">
        <w:t>*2</w:t>
      </w:r>
      <w:r w:rsidR="003D00CE" w:rsidRPr="001B4458">
        <w:t>–</w:t>
      </w:r>
      <w:r w:rsidRPr="001B4458">
        <w:t>4 times per year</w:t>
      </w:r>
      <w:r w:rsidR="000B597D" w:rsidRPr="001B4458">
        <w:t>.</w:t>
      </w:r>
    </w:p>
    <w:p w14:paraId="5229EC0D" w14:textId="4DEFB03D" w:rsidR="00B76417" w:rsidRPr="001B4458" w:rsidRDefault="00FA6770" w:rsidP="00F76882">
      <w:pPr>
        <w:pStyle w:val="tablefigfootnote"/>
      </w:pPr>
      <w:r w:rsidRPr="001B4458">
        <w:t>† 5</w:t>
      </w:r>
      <w:r w:rsidR="003D00CE" w:rsidRPr="001B4458">
        <w:t>–</w:t>
      </w:r>
      <w:r w:rsidRPr="001B4458">
        <w:t>12 times per year</w:t>
      </w:r>
      <w:r w:rsidR="000B597D" w:rsidRPr="0036007C">
        <w:t>.</w:t>
      </w:r>
      <w:r w:rsidR="00B76417" w:rsidRPr="0036007C">
        <w:br w:type="page"/>
      </w:r>
    </w:p>
    <w:p w14:paraId="1DE3345E" w14:textId="3FF91867" w:rsidR="00724975" w:rsidRPr="0036007C" w:rsidRDefault="00724975" w:rsidP="00F76882">
      <w:pPr>
        <w:pStyle w:val="Heading2"/>
      </w:pPr>
      <w:bookmarkStart w:id="283" w:name="_Toc203986550"/>
      <w:bookmarkStart w:id="284" w:name="_Toc215236960"/>
      <w:r w:rsidRPr="0036007C">
        <w:t>South Australia results</w:t>
      </w:r>
      <w:bookmarkEnd w:id="273"/>
      <w:bookmarkEnd w:id="283"/>
      <w:bookmarkEnd w:id="284"/>
    </w:p>
    <w:p w14:paraId="305CCC0C" w14:textId="77777777" w:rsidR="00C574D9" w:rsidRPr="0036007C" w:rsidRDefault="00C574D9" w:rsidP="00F76882">
      <w:pPr>
        <w:pStyle w:val="Heading3"/>
      </w:pPr>
      <w:bookmarkStart w:id="285" w:name="_Toc485747811"/>
      <w:bookmarkStart w:id="286" w:name="_Toc490035383"/>
      <w:bookmarkStart w:id="287" w:name="_Toc497062657"/>
      <w:bookmarkStart w:id="288" w:name="_Toc490035385"/>
      <w:bookmarkStart w:id="289" w:name="Table41"/>
      <w:bookmarkStart w:id="290" w:name="_Toc392153931"/>
      <w:bookmarkStart w:id="291" w:name="_Toc396991196"/>
      <w:bookmarkStart w:id="292" w:name="_Toc417534556"/>
      <w:bookmarkStart w:id="293" w:name="_Toc418771187"/>
      <w:r w:rsidRPr="0036007C">
        <w:t>Trachoma program coverage</w:t>
      </w:r>
    </w:p>
    <w:p w14:paraId="730CC74A" w14:textId="36D452FD" w:rsidR="00C574D9" w:rsidRPr="0036007C" w:rsidRDefault="00C574D9" w:rsidP="00F76882">
      <w:pPr>
        <w:pStyle w:val="TableofFigures"/>
      </w:pPr>
      <w:r w:rsidRPr="0036007C">
        <w:t xml:space="preserve">In </w:t>
      </w:r>
      <w:r w:rsidR="00E76BB4" w:rsidRPr="0036007C">
        <w:t>202</w:t>
      </w:r>
      <w:r w:rsidR="00703E03" w:rsidRPr="0036007C">
        <w:t>4</w:t>
      </w:r>
      <w:r w:rsidR="0072116E" w:rsidRPr="0036007C">
        <w:t>,</w:t>
      </w:r>
      <w:r w:rsidRPr="0036007C">
        <w:t xml:space="preserve"> SA identified 1</w:t>
      </w:r>
      <w:r w:rsidR="000A5CC7" w:rsidRPr="0036007C">
        <w:t>6</w:t>
      </w:r>
      <w:r w:rsidRPr="0036007C">
        <w:t xml:space="preserve"> communities in </w:t>
      </w:r>
      <w:r w:rsidR="00046C9F" w:rsidRPr="0036007C">
        <w:t>three</w:t>
      </w:r>
      <w:r w:rsidR="00B43F05" w:rsidRPr="0036007C">
        <w:t xml:space="preserve"> </w:t>
      </w:r>
      <w:r w:rsidRPr="0036007C">
        <w:t xml:space="preserve">regions as </w:t>
      </w:r>
      <w:r w:rsidR="000A5CC7" w:rsidRPr="0036007C">
        <w:t xml:space="preserve">requiring screening for </w:t>
      </w:r>
      <w:r w:rsidRPr="0036007C">
        <w:t>trachoma (</w:t>
      </w:r>
      <w:r w:rsidRPr="0036007C">
        <w:fldChar w:fldCharType="begin"/>
      </w:r>
      <w:r w:rsidRPr="0036007C">
        <w:instrText xml:space="preserve"> REF _Ref58330739 \h  \* MERGEFORMAT </w:instrText>
      </w:r>
      <w:r w:rsidRPr="0036007C">
        <w:fldChar w:fldCharType="separate"/>
      </w:r>
      <w:r w:rsidRPr="0036007C">
        <w:t>Figure 4.2</w:t>
      </w:r>
      <w:r w:rsidRPr="0036007C">
        <w:fldChar w:fldCharType="end"/>
      </w:r>
      <w:r w:rsidR="00EE18D0" w:rsidRPr="0036007C">
        <w:t xml:space="preserve">, </w:t>
      </w:r>
      <w:r w:rsidRPr="0036007C">
        <w:fldChar w:fldCharType="begin"/>
      </w:r>
      <w:r w:rsidRPr="0036007C">
        <w:instrText xml:space="preserve"> REF _Ref58336610 \h  \* MERGEFORMAT </w:instrText>
      </w:r>
      <w:r w:rsidRPr="0036007C">
        <w:fldChar w:fldCharType="separate"/>
      </w:r>
      <w:r w:rsidR="00EE18D0" w:rsidRPr="0036007C">
        <w:t>Table 4.1</w:t>
      </w:r>
      <w:r w:rsidRPr="0036007C">
        <w:fldChar w:fldCharType="end"/>
      </w:r>
      <w:r w:rsidRPr="0036007C">
        <w:t>).</w:t>
      </w:r>
      <w:r w:rsidR="00A07AEA" w:rsidRPr="0036007C">
        <w:t xml:space="preserve"> </w:t>
      </w:r>
      <w:r w:rsidR="00E15CAF" w:rsidRPr="0036007C">
        <w:t>Of these 16 communities, 11</w:t>
      </w:r>
      <w:r w:rsidR="00A07AEA" w:rsidRPr="0036007C">
        <w:t xml:space="preserve"> </w:t>
      </w:r>
      <w:r w:rsidR="00455874" w:rsidRPr="0036007C">
        <w:t>we</w:t>
      </w:r>
      <w:r w:rsidR="00A07AEA" w:rsidRPr="0036007C">
        <w:t xml:space="preserve">re considered currently at </w:t>
      </w:r>
      <w:r w:rsidR="00F85F5C" w:rsidRPr="0036007C">
        <w:t xml:space="preserve">risk of trachoma. </w:t>
      </w:r>
      <w:r w:rsidR="006B6E1C" w:rsidRPr="0036007C">
        <w:t xml:space="preserve">The </w:t>
      </w:r>
      <w:r w:rsidR="0081024B" w:rsidRPr="0036007C">
        <w:t>other</w:t>
      </w:r>
      <w:r w:rsidR="006B6E1C" w:rsidRPr="0036007C">
        <w:t xml:space="preserve"> five communities</w:t>
      </w:r>
      <w:r w:rsidR="00AC521C" w:rsidRPr="0036007C">
        <w:t xml:space="preserve"> were</w:t>
      </w:r>
      <w:r w:rsidR="00F85F5C" w:rsidRPr="0036007C">
        <w:t xml:space="preserve"> previously removed from the at-risk register </w:t>
      </w:r>
      <w:r w:rsidR="00AC521C" w:rsidRPr="0036007C">
        <w:t xml:space="preserve">however </w:t>
      </w:r>
      <w:r w:rsidR="00990D78" w:rsidRPr="0036007C">
        <w:t xml:space="preserve">due to population linkages to current at-risk communities </w:t>
      </w:r>
      <w:r w:rsidR="00AC521C" w:rsidRPr="0036007C">
        <w:t>were also</w:t>
      </w:r>
      <w:r w:rsidR="00F85F5C" w:rsidRPr="0036007C">
        <w:t xml:space="preserve"> screened as part </w:t>
      </w:r>
      <w:r w:rsidR="00B1458B" w:rsidRPr="0036007C">
        <w:t>evidence confirmation for</w:t>
      </w:r>
      <w:r w:rsidR="00F85F5C" w:rsidRPr="0036007C">
        <w:t xml:space="preserve"> final-year dossier validation </w:t>
      </w:r>
      <w:r w:rsidR="00B1458B" w:rsidRPr="0036007C">
        <w:t>surveillance</w:t>
      </w:r>
      <w:r w:rsidR="00A07AEA" w:rsidRPr="0036007C">
        <w:t>.</w:t>
      </w:r>
    </w:p>
    <w:p w14:paraId="43F9CEA2" w14:textId="1C756B87" w:rsidR="00C574D9" w:rsidRPr="0036007C" w:rsidRDefault="00F85F5C" w:rsidP="00F76882">
      <w:pPr>
        <w:pStyle w:val="TableofFigures"/>
      </w:pPr>
      <w:r w:rsidRPr="0036007C">
        <w:t xml:space="preserve">15 of the 16 </w:t>
      </w:r>
      <w:r w:rsidR="00C574D9" w:rsidRPr="0036007C">
        <w:t>communities</w:t>
      </w:r>
      <w:r w:rsidR="00FF0D7B" w:rsidRPr="0036007C">
        <w:t xml:space="preserve"> (94%)</w:t>
      </w:r>
      <w:r w:rsidR="00C574D9" w:rsidRPr="0036007C">
        <w:t xml:space="preserve"> that required screening were screened for trachoma</w:t>
      </w:r>
      <w:r w:rsidR="006A67C1" w:rsidRPr="0036007C">
        <w:t xml:space="preserve"> in 202</w:t>
      </w:r>
      <w:r w:rsidR="00703E03" w:rsidRPr="0036007C">
        <w:t>4</w:t>
      </w:r>
      <w:r w:rsidR="00C574D9" w:rsidRPr="0036007C">
        <w:t xml:space="preserve"> (</w:t>
      </w:r>
      <w:r w:rsidR="006A033C">
        <w:t xml:space="preserve">Figure 4.3, </w:t>
      </w:r>
      <w:r w:rsidR="00C574D9" w:rsidRPr="0036007C">
        <w:fldChar w:fldCharType="begin"/>
      </w:r>
      <w:r w:rsidR="00C574D9" w:rsidRPr="0036007C">
        <w:instrText xml:space="preserve"> REF _Ref58336610 \h  \* MERGEFORMAT </w:instrText>
      </w:r>
      <w:r w:rsidR="00C574D9" w:rsidRPr="0036007C">
        <w:fldChar w:fldCharType="separate"/>
      </w:r>
      <w:r w:rsidR="00C574D9" w:rsidRPr="0036007C">
        <w:t>Table 4.1</w:t>
      </w:r>
      <w:r w:rsidR="00C574D9" w:rsidRPr="0036007C">
        <w:fldChar w:fldCharType="end"/>
      </w:r>
      <w:r w:rsidR="00C574D9" w:rsidRPr="0036007C">
        <w:t>).</w:t>
      </w:r>
    </w:p>
    <w:p w14:paraId="6178EC20" w14:textId="4BA6459C" w:rsidR="00C574D9" w:rsidRPr="0036007C" w:rsidRDefault="00046C9F" w:rsidP="00F76882">
      <w:pPr>
        <w:pStyle w:val="Heading3"/>
      </w:pPr>
      <w:bookmarkStart w:id="294" w:name="_Toc497062653"/>
      <w:bookmarkStart w:id="295" w:name="_Toc490035379"/>
      <w:bookmarkStart w:id="296" w:name="_Toc485747807"/>
      <w:r w:rsidRPr="0036007C">
        <w:t>Trachoma s</w:t>
      </w:r>
      <w:r w:rsidR="00C574D9" w:rsidRPr="0036007C">
        <w:t>creening coverage</w:t>
      </w:r>
      <w:bookmarkEnd w:id="294"/>
      <w:bookmarkEnd w:id="295"/>
      <w:bookmarkEnd w:id="296"/>
      <w:r w:rsidR="00D34F05" w:rsidRPr="0036007C">
        <w:t xml:space="preserve"> </w:t>
      </w:r>
    </w:p>
    <w:p w14:paraId="77076834" w14:textId="68793487" w:rsidR="00C574D9" w:rsidRPr="00A33DD2" w:rsidRDefault="00575C4D" w:rsidP="00F76882">
      <w:pPr>
        <w:pStyle w:val="TableofFigures"/>
      </w:pPr>
      <w:r w:rsidRPr="0036007C">
        <w:t>Within</w:t>
      </w:r>
      <w:r w:rsidR="00D1361D" w:rsidRPr="0036007C">
        <w:t xml:space="preserve"> </w:t>
      </w:r>
      <w:r w:rsidR="00046C9F" w:rsidRPr="0036007C">
        <w:t>the</w:t>
      </w:r>
      <w:r w:rsidR="008E0E47" w:rsidRPr="0036007C">
        <w:t>se</w:t>
      </w:r>
      <w:r w:rsidR="00046C9F" w:rsidRPr="0036007C">
        <w:t xml:space="preserve"> 1</w:t>
      </w:r>
      <w:r w:rsidR="00956ECD" w:rsidRPr="0036007C">
        <w:t>5</w:t>
      </w:r>
      <w:r w:rsidR="00046C9F" w:rsidRPr="0036007C">
        <w:t xml:space="preserve"> communities, </w:t>
      </w:r>
      <w:r w:rsidR="00D1361D" w:rsidRPr="0036007C">
        <w:t>91</w:t>
      </w:r>
      <w:r w:rsidR="00046C9F" w:rsidRPr="0036007C">
        <w:t>%</w:t>
      </w:r>
      <w:r w:rsidR="00E7520A" w:rsidRPr="0036007C">
        <w:t xml:space="preserve"> of children (446</w:t>
      </w:r>
      <w:r w:rsidR="00D1361D" w:rsidRPr="0036007C">
        <w:t>/490</w:t>
      </w:r>
      <w:r w:rsidR="00E7520A" w:rsidRPr="0036007C">
        <w:t>)</w:t>
      </w:r>
      <w:r w:rsidR="00D1361D" w:rsidRPr="0036007C">
        <w:t xml:space="preserve"> </w:t>
      </w:r>
      <w:r w:rsidR="00E7520A" w:rsidRPr="0036007C">
        <w:t>were screened for trachoma</w:t>
      </w:r>
      <w:r w:rsidR="001A63BA" w:rsidRPr="0036007C">
        <w:t xml:space="preserve">. Screening coverage ranged from 86% in the </w:t>
      </w:r>
      <w:r w:rsidR="00F373E8" w:rsidRPr="0036007C">
        <w:t>APY Lands</w:t>
      </w:r>
      <w:r w:rsidR="001A63BA" w:rsidRPr="0036007C">
        <w:t xml:space="preserve"> region to </w:t>
      </w:r>
      <w:r w:rsidR="00F373E8" w:rsidRPr="0036007C">
        <w:t>99</w:t>
      </w:r>
      <w:r w:rsidR="001A63BA" w:rsidRPr="0036007C">
        <w:t xml:space="preserve">% in the </w:t>
      </w:r>
      <w:r w:rsidR="006A3283" w:rsidRPr="0036007C">
        <w:t>Eyre and Western</w:t>
      </w:r>
      <w:r w:rsidR="001A63BA" w:rsidRPr="0036007C">
        <w:t xml:space="preserve"> region</w:t>
      </w:r>
      <w:r w:rsidR="00046C9F" w:rsidRPr="0036007C">
        <w:t xml:space="preserve"> </w:t>
      </w:r>
      <w:r w:rsidR="00C574D9" w:rsidRPr="0036007C">
        <w:t>(</w:t>
      </w:r>
      <w:r w:rsidR="00C574D9" w:rsidRPr="0036007C">
        <w:fldChar w:fldCharType="begin"/>
      </w:r>
      <w:r w:rsidR="00C574D9" w:rsidRPr="0036007C">
        <w:instrText xml:space="preserve"> REF _Ref58336629 \h  \* MERGEFORMAT </w:instrText>
      </w:r>
      <w:r w:rsidR="00C574D9" w:rsidRPr="0036007C">
        <w:fldChar w:fldCharType="separate"/>
      </w:r>
      <w:r w:rsidR="00C574D9" w:rsidRPr="0036007C">
        <w:t>Table 4.2</w:t>
      </w:r>
      <w:r w:rsidR="00C574D9" w:rsidRPr="0036007C">
        <w:fldChar w:fldCharType="end"/>
      </w:r>
      <w:r w:rsidR="00C574D9" w:rsidRPr="0036007C">
        <w:t>).</w:t>
      </w:r>
    </w:p>
    <w:p w14:paraId="72359843" w14:textId="77777777" w:rsidR="00C574D9" w:rsidRPr="0036007C" w:rsidRDefault="00C574D9" w:rsidP="00F76882">
      <w:pPr>
        <w:pStyle w:val="Heading3"/>
      </w:pPr>
      <w:r w:rsidRPr="0036007C">
        <w:t>Facial cleanliness</w:t>
      </w:r>
    </w:p>
    <w:p w14:paraId="0D1F2878" w14:textId="2CA513B3" w:rsidR="00C574D9" w:rsidRPr="0036007C" w:rsidRDefault="004D1FE8" w:rsidP="00F76882">
      <w:pPr>
        <w:pStyle w:val="TableofFigures"/>
      </w:pPr>
      <w:r w:rsidRPr="0036007C">
        <w:t xml:space="preserve">Facial cleanliness </w:t>
      </w:r>
      <w:r w:rsidR="00C574D9" w:rsidRPr="0036007C">
        <w:t>was assessed in all communities that were screened</w:t>
      </w:r>
      <w:r w:rsidR="00AE033C" w:rsidRPr="0036007C">
        <w:t xml:space="preserve"> (data not shown)</w:t>
      </w:r>
      <w:r w:rsidR="00C574D9" w:rsidRPr="0036007C">
        <w:t>.</w:t>
      </w:r>
    </w:p>
    <w:p w14:paraId="7F604D3F" w14:textId="2B2F0136" w:rsidR="00C574D9" w:rsidRPr="0036007C" w:rsidRDefault="00C574D9" w:rsidP="00F76882">
      <w:pPr>
        <w:pStyle w:val="TableofFigures"/>
      </w:pPr>
      <w:r w:rsidRPr="0036007C">
        <w:t xml:space="preserve">The </w:t>
      </w:r>
      <w:r w:rsidR="003C35B7" w:rsidRPr="0036007C">
        <w:t xml:space="preserve">total </w:t>
      </w:r>
      <w:r w:rsidRPr="0036007C">
        <w:t>pr</w:t>
      </w:r>
      <w:r w:rsidR="004D1FE8" w:rsidRPr="0036007C">
        <w:t>oportion</w:t>
      </w:r>
      <w:r w:rsidRPr="0036007C">
        <w:t xml:space="preserve"> of clean faces among children aged 5</w:t>
      </w:r>
      <w:r w:rsidR="003D00CE" w:rsidRPr="0036007C">
        <w:t>–</w:t>
      </w:r>
      <w:r w:rsidRPr="0036007C">
        <w:t xml:space="preserve">9 years </w:t>
      </w:r>
      <w:r w:rsidR="005507F7" w:rsidRPr="0036007C">
        <w:t>across</w:t>
      </w:r>
      <w:r w:rsidRPr="0036007C">
        <w:t xml:space="preserve"> screened communities was </w:t>
      </w:r>
      <w:r w:rsidR="00B95B10" w:rsidRPr="0036007C">
        <w:t>8</w:t>
      </w:r>
      <w:r w:rsidR="003C35B7" w:rsidRPr="0036007C">
        <w:t>9</w:t>
      </w:r>
      <w:r w:rsidRPr="0036007C">
        <w:t>%</w:t>
      </w:r>
      <w:r w:rsidR="0044332B" w:rsidRPr="0036007C">
        <w:t xml:space="preserve"> (390/436)</w:t>
      </w:r>
      <w:r w:rsidR="004D1FE8" w:rsidRPr="0036007C">
        <w:t xml:space="preserve">. Proportions </w:t>
      </w:r>
      <w:r w:rsidR="00A85231" w:rsidRPr="0036007C">
        <w:t xml:space="preserve">ranged from </w:t>
      </w:r>
      <w:r w:rsidR="00761426" w:rsidRPr="0036007C">
        <w:t>82</w:t>
      </w:r>
      <w:r w:rsidR="00A85231" w:rsidRPr="0036007C">
        <w:t xml:space="preserve">% in the </w:t>
      </w:r>
      <w:r w:rsidR="00761426" w:rsidRPr="0036007C">
        <w:t xml:space="preserve">APY Lands </w:t>
      </w:r>
      <w:r w:rsidR="00A85231" w:rsidRPr="0036007C">
        <w:t>region to 9</w:t>
      </w:r>
      <w:r w:rsidR="00761426" w:rsidRPr="0036007C">
        <w:t>9</w:t>
      </w:r>
      <w:r w:rsidR="00A85231" w:rsidRPr="0036007C">
        <w:t xml:space="preserve">% in the </w:t>
      </w:r>
      <w:r w:rsidR="00761426" w:rsidRPr="0036007C">
        <w:t xml:space="preserve">Far North region </w:t>
      </w:r>
      <w:r w:rsidRPr="0036007C">
        <w:t>(</w:t>
      </w:r>
      <w:r w:rsidRPr="0036007C">
        <w:fldChar w:fldCharType="begin"/>
      </w:r>
      <w:r w:rsidRPr="0036007C">
        <w:instrText xml:space="preserve"> REF _Ref58330855 \h  \* MERGEFORMAT </w:instrText>
      </w:r>
      <w:r w:rsidRPr="0036007C">
        <w:fldChar w:fldCharType="separate"/>
      </w:r>
      <w:r w:rsidRPr="0036007C">
        <w:t>Figure 4.</w:t>
      </w:r>
      <w:r w:rsidR="00D151DA" w:rsidRPr="0036007C">
        <w:t>4</w:t>
      </w:r>
      <w:r w:rsidRPr="0036007C">
        <w:fldChar w:fldCharType="end"/>
      </w:r>
      <w:r w:rsidR="00EE18D0" w:rsidRPr="0036007C">
        <w:t xml:space="preserve">, </w:t>
      </w:r>
      <w:r w:rsidRPr="0036007C">
        <w:fldChar w:fldCharType="begin"/>
      </w:r>
      <w:r w:rsidRPr="0036007C">
        <w:instrText xml:space="preserve"> REF _Ref58336629 \h  \* MERGEFORMAT </w:instrText>
      </w:r>
      <w:r w:rsidRPr="0036007C">
        <w:fldChar w:fldCharType="separate"/>
      </w:r>
      <w:r w:rsidR="00EE18D0" w:rsidRPr="0036007C">
        <w:t>Table 4.2</w:t>
      </w:r>
      <w:r w:rsidRPr="0036007C">
        <w:fldChar w:fldCharType="end"/>
      </w:r>
      <w:r w:rsidRPr="0036007C">
        <w:t>).</w:t>
      </w:r>
    </w:p>
    <w:p w14:paraId="2C8058EF" w14:textId="77777777" w:rsidR="00C574D9" w:rsidRPr="0036007C" w:rsidRDefault="00C574D9" w:rsidP="00F76882">
      <w:pPr>
        <w:pStyle w:val="Heading3"/>
      </w:pPr>
      <w:bookmarkStart w:id="297" w:name="_Toc497062655"/>
      <w:bookmarkStart w:id="298" w:name="_Toc490035381"/>
      <w:bookmarkStart w:id="299" w:name="_Toc485747809"/>
      <w:r w:rsidRPr="0036007C">
        <w:t>Trachoma prevalence</w:t>
      </w:r>
      <w:bookmarkEnd w:id="297"/>
      <w:bookmarkEnd w:id="298"/>
      <w:bookmarkEnd w:id="299"/>
    </w:p>
    <w:p w14:paraId="75CF5B65" w14:textId="4733F790" w:rsidR="00C574D9" w:rsidRPr="0036007C" w:rsidRDefault="00C574D9" w:rsidP="00F76882">
      <w:pPr>
        <w:pStyle w:val="TableofFigures"/>
      </w:pPr>
      <w:r w:rsidRPr="0036007C">
        <w:t xml:space="preserve">No trachoma was reported in </w:t>
      </w:r>
      <w:r w:rsidR="0040090F" w:rsidRPr="0036007C">
        <w:t>children aged</w:t>
      </w:r>
      <w:r w:rsidRPr="0036007C">
        <w:t xml:space="preserve"> 5</w:t>
      </w:r>
      <w:r w:rsidR="003D00CE" w:rsidRPr="0036007C">
        <w:t>–</w:t>
      </w:r>
      <w:r w:rsidRPr="0036007C">
        <w:t>9</w:t>
      </w:r>
      <w:r w:rsidR="0040090F" w:rsidRPr="0036007C">
        <w:t xml:space="preserve"> years</w:t>
      </w:r>
      <w:r w:rsidRPr="0036007C">
        <w:t xml:space="preserve"> </w:t>
      </w:r>
      <w:r w:rsidR="0054186E" w:rsidRPr="0036007C">
        <w:t>among</w:t>
      </w:r>
      <w:r w:rsidR="008145A1" w:rsidRPr="0036007C">
        <w:t xml:space="preserve"> communities screened</w:t>
      </w:r>
      <w:r w:rsidRPr="0036007C">
        <w:t xml:space="preserve"> </w:t>
      </w:r>
      <w:r w:rsidR="00CE7EB5" w:rsidRPr="0036007C">
        <w:t>in 202</w:t>
      </w:r>
      <w:r w:rsidR="00703E03" w:rsidRPr="0036007C">
        <w:t>4</w:t>
      </w:r>
      <w:r w:rsidR="00A10AA8" w:rsidRPr="0036007C">
        <w:t xml:space="preserve">. </w:t>
      </w:r>
      <w:r w:rsidR="00983D07" w:rsidRPr="0036007C">
        <w:t>The o</w:t>
      </w:r>
      <w:r w:rsidR="00A10AA8" w:rsidRPr="0036007C">
        <w:t>verall prevalence of trachoma remains at 0.0%</w:t>
      </w:r>
      <w:r w:rsidR="00046C9F" w:rsidRPr="0036007C">
        <w:t xml:space="preserve"> in SA</w:t>
      </w:r>
      <w:r w:rsidR="00CE7EB5" w:rsidRPr="0036007C">
        <w:t xml:space="preserve"> </w:t>
      </w:r>
      <w:r w:rsidR="00CC6A42" w:rsidRPr="0036007C">
        <w:t>(Figure 4.</w:t>
      </w:r>
      <w:r w:rsidR="00CC16F6" w:rsidRPr="0036007C">
        <w:t>5</w:t>
      </w:r>
      <w:r w:rsidR="00CC6A42" w:rsidRPr="0036007C">
        <w:t>c</w:t>
      </w:r>
      <w:r w:rsidR="00EE18D0" w:rsidRPr="0036007C">
        <w:t xml:space="preserve">, </w:t>
      </w:r>
      <w:r w:rsidR="00E95B78" w:rsidRPr="0036007C">
        <w:fldChar w:fldCharType="begin"/>
      </w:r>
      <w:r w:rsidR="00E95B78" w:rsidRPr="0036007C">
        <w:instrText xml:space="preserve"> REF _Ref58336629 \h  \* MERGEFORMAT </w:instrText>
      </w:r>
      <w:r w:rsidR="00E95B78" w:rsidRPr="0036007C">
        <w:fldChar w:fldCharType="separate"/>
      </w:r>
      <w:r w:rsidR="00E95B78" w:rsidRPr="0036007C">
        <w:t>Table 4.2</w:t>
      </w:r>
      <w:r w:rsidR="00E95B78" w:rsidRPr="0036007C">
        <w:fldChar w:fldCharType="end"/>
      </w:r>
      <w:r w:rsidRPr="0036007C">
        <w:t>).</w:t>
      </w:r>
    </w:p>
    <w:p w14:paraId="1A90E577" w14:textId="77777777" w:rsidR="00C574D9" w:rsidRPr="0036007C" w:rsidRDefault="00C574D9" w:rsidP="00F76882">
      <w:pPr>
        <w:pStyle w:val="Heading3"/>
      </w:pPr>
      <w:bookmarkStart w:id="300" w:name="_Toc497062656"/>
      <w:bookmarkStart w:id="301" w:name="_Toc490035382"/>
      <w:bookmarkStart w:id="302" w:name="_Toc485747810"/>
      <w:r w:rsidRPr="0036007C">
        <w:t>Treatment delivery and coverage</w:t>
      </w:r>
      <w:bookmarkEnd w:id="300"/>
      <w:bookmarkEnd w:id="301"/>
      <w:bookmarkEnd w:id="302"/>
    </w:p>
    <w:p w14:paraId="43BFB6EF" w14:textId="0AEAA6DC" w:rsidR="00C574D9" w:rsidRPr="0036007C" w:rsidRDefault="00EE1F43" w:rsidP="00F76882">
      <w:pPr>
        <w:pStyle w:val="TableofFigures"/>
      </w:pPr>
      <w:r w:rsidRPr="0036007C">
        <w:t xml:space="preserve">No </w:t>
      </w:r>
      <w:r w:rsidR="00ED2E80" w:rsidRPr="0036007C">
        <w:t>t</w:t>
      </w:r>
      <w:r w:rsidR="00C574D9" w:rsidRPr="0036007C">
        <w:t xml:space="preserve">reatment </w:t>
      </w:r>
      <w:r w:rsidR="008B535B" w:rsidRPr="0036007C">
        <w:t xml:space="preserve">for trachoma </w:t>
      </w:r>
      <w:r w:rsidR="00ED2E80" w:rsidRPr="0036007C">
        <w:t>was required in any of the</w:t>
      </w:r>
      <w:r w:rsidR="008B535B" w:rsidRPr="0036007C">
        <w:t xml:space="preserve"> 15 </w:t>
      </w:r>
      <w:r w:rsidR="00ED2E80" w:rsidRPr="0036007C">
        <w:t>communities screened</w:t>
      </w:r>
      <w:r w:rsidR="00C574D9" w:rsidRPr="0036007C">
        <w:t xml:space="preserve"> (</w:t>
      </w:r>
      <w:r w:rsidR="00C574D9" w:rsidRPr="0036007C">
        <w:fldChar w:fldCharType="begin"/>
      </w:r>
      <w:r w:rsidR="00C574D9" w:rsidRPr="0036007C">
        <w:instrText xml:space="preserve"> REF _Ref58336670 \h  \* MERGEFORMAT </w:instrText>
      </w:r>
      <w:r w:rsidR="00C574D9" w:rsidRPr="0036007C">
        <w:fldChar w:fldCharType="separate"/>
      </w:r>
      <w:r w:rsidR="00C574D9" w:rsidRPr="0036007C">
        <w:t>Table 4.4</w:t>
      </w:r>
      <w:r w:rsidR="00C574D9" w:rsidRPr="0036007C">
        <w:fldChar w:fldCharType="end"/>
      </w:r>
      <w:r w:rsidR="00C574D9" w:rsidRPr="0036007C">
        <w:t>).</w:t>
      </w:r>
    </w:p>
    <w:p w14:paraId="350F608F" w14:textId="45DFA8DF" w:rsidR="001272E9" w:rsidRPr="006043C2" w:rsidRDefault="00D048BD" w:rsidP="00F76882">
      <w:pPr>
        <w:pStyle w:val="Heading3"/>
      </w:pPr>
      <w:r w:rsidRPr="006043C2">
        <w:t xml:space="preserve">Trachomatous </w:t>
      </w:r>
      <w:r w:rsidR="00634A44" w:rsidRPr="006043C2">
        <w:t>T</w:t>
      </w:r>
      <w:r w:rsidR="001272E9" w:rsidRPr="006043C2">
        <w:t>richiasis</w:t>
      </w:r>
      <w:r w:rsidR="00704415" w:rsidRPr="006043C2">
        <w:t xml:space="preserve"> (TT)</w:t>
      </w:r>
    </w:p>
    <w:p w14:paraId="27739DD1" w14:textId="01FD36DF" w:rsidR="00C574D9" w:rsidRPr="0036007C" w:rsidRDefault="00C574D9" w:rsidP="00F76882">
      <w:pPr>
        <w:pStyle w:val="TableofFigures"/>
      </w:pPr>
      <w:r w:rsidRPr="0036007C">
        <w:t xml:space="preserve">Screening for </w:t>
      </w:r>
      <w:r w:rsidR="00A9557B" w:rsidRPr="0036007C">
        <w:t>TT</w:t>
      </w:r>
      <w:r w:rsidRPr="0036007C">
        <w:t xml:space="preserve"> was undertaken in 1</w:t>
      </w:r>
      <w:r w:rsidR="009B3306" w:rsidRPr="0036007C">
        <w:t>3</w:t>
      </w:r>
      <w:r w:rsidRPr="0036007C">
        <w:t xml:space="preserve"> communities</w:t>
      </w:r>
      <w:r w:rsidR="00760D35" w:rsidRPr="0036007C">
        <w:t>,</w:t>
      </w:r>
      <w:r w:rsidR="001657E9" w:rsidRPr="0036007C">
        <w:t xml:space="preserve"> with</w:t>
      </w:r>
      <w:r w:rsidRPr="0036007C">
        <w:t xml:space="preserve"> </w:t>
      </w:r>
      <w:r w:rsidR="00703E03" w:rsidRPr="0036007C">
        <w:t>1</w:t>
      </w:r>
      <w:r w:rsidR="00C3405D" w:rsidRPr="0036007C">
        <w:t>,</w:t>
      </w:r>
      <w:r w:rsidR="00703E03" w:rsidRPr="0036007C">
        <w:t>0</w:t>
      </w:r>
      <w:r w:rsidR="00302C88" w:rsidRPr="0036007C">
        <w:t>5</w:t>
      </w:r>
      <w:r w:rsidR="00703E03" w:rsidRPr="0036007C">
        <w:t>4</w:t>
      </w:r>
      <w:r w:rsidR="00E648C3" w:rsidRPr="0036007C">
        <w:t xml:space="preserve"> </w:t>
      </w:r>
      <w:r w:rsidR="00046C9F" w:rsidRPr="0036007C">
        <w:t>persons</w:t>
      </w:r>
      <w:r w:rsidRPr="0036007C">
        <w:t xml:space="preserve"> aged 15 years and over screened</w:t>
      </w:r>
      <w:r w:rsidR="00AA046F" w:rsidRPr="0036007C">
        <w:t xml:space="preserve"> </w:t>
      </w:r>
      <w:r w:rsidRPr="0036007C">
        <w:t>(</w:t>
      </w:r>
      <w:r w:rsidR="00F40387" w:rsidRPr="0036007C">
        <w:t>Table 4.5</w:t>
      </w:r>
      <w:r w:rsidRPr="0036007C">
        <w:t>).</w:t>
      </w:r>
    </w:p>
    <w:p w14:paraId="197A2209" w14:textId="1D020499" w:rsidR="00C574D9" w:rsidRPr="0036007C" w:rsidRDefault="00703E03" w:rsidP="00F76882">
      <w:pPr>
        <w:pStyle w:val="TableofFigures"/>
      </w:pPr>
      <w:r w:rsidRPr="0036007C">
        <w:t>Three</w:t>
      </w:r>
      <w:r w:rsidR="0052471A" w:rsidRPr="0036007C">
        <w:t xml:space="preserve"> cases of </w:t>
      </w:r>
      <w:r w:rsidR="00A9557B" w:rsidRPr="0036007C">
        <w:t>TT</w:t>
      </w:r>
      <w:r w:rsidR="0052471A" w:rsidRPr="0036007C">
        <w:t xml:space="preserve"> were detected among persons screened in 202</w:t>
      </w:r>
      <w:r w:rsidRPr="0036007C">
        <w:t>4</w:t>
      </w:r>
      <w:r w:rsidR="00080F60" w:rsidRPr="0036007C">
        <w:t>,</w:t>
      </w:r>
      <w:r w:rsidR="000470A3" w:rsidRPr="0036007C">
        <w:t xml:space="preserve"> a rate of 0.3%</w:t>
      </w:r>
      <w:r w:rsidR="0052471A" w:rsidRPr="0036007C">
        <w:t xml:space="preserve"> </w:t>
      </w:r>
      <w:r w:rsidR="00C574D9" w:rsidRPr="0036007C">
        <w:t>(</w:t>
      </w:r>
      <w:r w:rsidR="00BE3E3A" w:rsidRPr="0036007C">
        <w:t>Table 4.5</w:t>
      </w:r>
      <w:r w:rsidR="00C574D9" w:rsidRPr="0036007C">
        <w:t>).</w:t>
      </w:r>
    </w:p>
    <w:p w14:paraId="38AC4CCB" w14:textId="014A284C" w:rsidR="000470A3" w:rsidRPr="0036007C" w:rsidRDefault="000470A3" w:rsidP="00F76882">
      <w:pPr>
        <w:pStyle w:val="TableofFigures"/>
      </w:pPr>
      <w:r w:rsidRPr="0036007C">
        <w:t xml:space="preserve">No persons were </w:t>
      </w:r>
      <w:r w:rsidR="00ED1FBD" w:rsidRPr="0036007C">
        <w:t xml:space="preserve">identified as having received surgery to correct </w:t>
      </w:r>
      <w:r w:rsidR="00A9557B" w:rsidRPr="0036007C">
        <w:t>TT</w:t>
      </w:r>
      <w:r w:rsidR="00ED1FBD" w:rsidRPr="0036007C">
        <w:t xml:space="preserve"> in the past 12 months (Table 4.5).</w:t>
      </w:r>
    </w:p>
    <w:p w14:paraId="3057A14B" w14:textId="77777777" w:rsidR="004808CB" w:rsidRPr="0036007C" w:rsidRDefault="004808CB" w:rsidP="00F76882">
      <w:pPr>
        <w:pStyle w:val="Heading3"/>
      </w:pPr>
      <w:bookmarkStart w:id="303" w:name="Figure31"/>
      <w:bookmarkStart w:id="304" w:name="_Toc392153906"/>
      <w:bookmarkEnd w:id="285"/>
      <w:bookmarkEnd w:id="286"/>
      <w:bookmarkEnd w:id="287"/>
      <w:r w:rsidRPr="0036007C">
        <w:t>Health promotion and environmental health activities</w:t>
      </w:r>
    </w:p>
    <w:p w14:paraId="2CD37584" w14:textId="6E91D24B" w:rsidR="004808CB" w:rsidRPr="0036007C" w:rsidRDefault="004808CB" w:rsidP="00F76882">
      <w:r w:rsidRPr="0036007C">
        <w:t>The SA Government in collaboration with Aboriginal partners and other key stakeholders has adopted a comprehensive approach to address the</w:t>
      </w:r>
      <w:r w:rsidR="000C2A2A" w:rsidRPr="0036007C">
        <w:t xml:space="preserve"> f</w:t>
      </w:r>
      <w:r w:rsidRPr="0036007C">
        <w:t xml:space="preserve">acial </w:t>
      </w:r>
      <w:r w:rsidR="00B91CFB" w:rsidRPr="0036007C">
        <w:t>cleanliness and</w:t>
      </w:r>
      <w:r w:rsidRPr="0036007C">
        <w:t xml:space="preserve"> </w:t>
      </w:r>
      <w:r w:rsidR="000C2A2A" w:rsidRPr="0036007C">
        <w:t>e</w:t>
      </w:r>
      <w:r w:rsidRPr="0036007C">
        <w:t>nvironmental improvement components of the SAFE strategy across three regions: Eyre and Far North, Flinders and Upper North, and the APY Lands. This approach aims to:</w:t>
      </w:r>
    </w:p>
    <w:p w14:paraId="4750166E" w14:textId="77777777" w:rsidR="004808CB" w:rsidRPr="001B4458" w:rsidRDefault="004808CB" w:rsidP="00F76882">
      <w:pPr>
        <w:pStyle w:val="TableofFigures"/>
      </w:pPr>
      <w:r w:rsidRPr="001B4458">
        <w:t>Implement initiatives to improve environmental health sustainably.</w:t>
      </w:r>
    </w:p>
    <w:p w14:paraId="66794CC1" w14:textId="77777777" w:rsidR="004808CB" w:rsidRPr="001B4458" w:rsidRDefault="004808CB" w:rsidP="00F76882">
      <w:pPr>
        <w:pStyle w:val="TableofFigures"/>
      </w:pPr>
      <w:r w:rsidRPr="001B4458">
        <w:t>Enhance health literacy among community members.</w:t>
      </w:r>
    </w:p>
    <w:p w14:paraId="56827D4D" w14:textId="77777777" w:rsidR="004808CB" w:rsidRPr="001B4458" w:rsidRDefault="004808CB" w:rsidP="00F76882">
      <w:pPr>
        <w:pStyle w:val="TableofFigures"/>
      </w:pPr>
      <w:r w:rsidRPr="001B4458">
        <w:t>Encourage behaviours that reduce the risk of trachoma and other infectious diseases.</w:t>
      </w:r>
    </w:p>
    <w:p w14:paraId="670DD01B" w14:textId="77777777" w:rsidR="004808CB" w:rsidRPr="001B4458" w:rsidRDefault="004808CB" w:rsidP="00F76882">
      <w:pPr>
        <w:pStyle w:val="TableofFigures"/>
      </w:pPr>
      <w:r w:rsidRPr="001B4458">
        <w:t>Ensure quicker access to home repairs and maintenance services.</w:t>
      </w:r>
    </w:p>
    <w:p w14:paraId="17F5938C" w14:textId="4AC12ED9" w:rsidR="004808CB" w:rsidRPr="0036007C" w:rsidRDefault="004808CB" w:rsidP="00F76882">
      <w:r w:rsidRPr="0036007C">
        <w:t>In 2024, 23</w:t>
      </w:r>
      <w:r w:rsidR="001104E5" w:rsidRPr="0036007C">
        <w:rPr>
          <w:rStyle w:val="FootnoteReference"/>
        </w:rPr>
        <w:footnoteReference w:id="5"/>
      </w:r>
      <w:r w:rsidRPr="0036007C">
        <w:t xml:space="preserve"> currently and formerly at-risk communities across the jurisdiction received </w:t>
      </w:r>
      <w:r w:rsidR="000C35CB" w:rsidRPr="0036007C">
        <w:t xml:space="preserve">facial cleanliness </w:t>
      </w:r>
      <w:r w:rsidRPr="0036007C">
        <w:t xml:space="preserve">health promotion activities and environmental health improvement measures under the trachoma funding initiative. A standout achievement for the year was the Flinders and Upper North </w:t>
      </w:r>
      <w:r w:rsidR="000C35CB" w:rsidRPr="0036007C">
        <w:t>T</w:t>
      </w:r>
      <w:r w:rsidRPr="0036007C">
        <w:t xml:space="preserve">rachoma </w:t>
      </w:r>
      <w:r w:rsidR="000C35CB" w:rsidRPr="0036007C">
        <w:t>T</w:t>
      </w:r>
      <w:r w:rsidRPr="0036007C">
        <w:t>eam honoured with the "Our People, Our Pride: Excellence in Aboriginal Health and Wellbeing" award.</w:t>
      </w:r>
    </w:p>
    <w:p w14:paraId="432A1F60" w14:textId="77777777" w:rsidR="004808CB" w:rsidRPr="0036007C" w:rsidRDefault="004808CB" w:rsidP="00F76882">
      <w:r w:rsidRPr="0036007C">
        <w:t>Initiatives to improve facial cleanliness in 2024 included:</w:t>
      </w:r>
    </w:p>
    <w:p w14:paraId="42028496" w14:textId="199CA034" w:rsidR="004808CB" w:rsidRPr="001B4458" w:rsidRDefault="004808CB" w:rsidP="00F76882">
      <w:pPr>
        <w:pStyle w:val="TableofFigures"/>
      </w:pPr>
      <w:r w:rsidRPr="001B4458">
        <w:t xml:space="preserve">Health promotion and education activities (including visits from Milpa the Goanna, the mascot for eye health) were delivered to students and staff at twenty schools located in </w:t>
      </w:r>
      <w:r w:rsidR="000C35CB" w:rsidRPr="001B4458">
        <w:t>the three</w:t>
      </w:r>
      <w:r w:rsidRPr="001B4458">
        <w:t xml:space="preserve"> regions. Face-washing routines have been embedded in regular school practice in Aboriginal communities.</w:t>
      </w:r>
    </w:p>
    <w:p w14:paraId="75A538BE" w14:textId="77777777" w:rsidR="004808CB" w:rsidRPr="001B4458" w:rsidRDefault="004808CB" w:rsidP="00F76882">
      <w:pPr>
        <w:pStyle w:val="TableofFigures"/>
      </w:pPr>
      <w:r w:rsidRPr="001B4458">
        <w:t>Trachoma prevention messages were posted regularly during 2024 on social media across rural SA.</w:t>
      </w:r>
    </w:p>
    <w:p w14:paraId="5E7ED173" w14:textId="7752C801" w:rsidR="004808CB" w:rsidRPr="001B4458" w:rsidRDefault="004808CB" w:rsidP="00F76882">
      <w:pPr>
        <w:pStyle w:val="TableofFigures"/>
      </w:pPr>
      <w:r w:rsidRPr="001B4458">
        <w:t xml:space="preserve">Key partners donated cleaning products, clothing, blankets, sanitisers, towels, and soap, which were delivered across Aboriginal communities. Additionally, new washing machines and dryers have been purchased for community laundry facilities. </w:t>
      </w:r>
    </w:p>
    <w:p w14:paraId="42360F81" w14:textId="7940DDB9" w:rsidR="004808CB" w:rsidRPr="001B4458" w:rsidRDefault="004808CB" w:rsidP="00F76882">
      <w:pPr>
        <w:pStyle w:val="TableofFigures"/>
      </w:pPr>
      <w:proofErr w:type="spellStart"/>
      <w:r w:rsidRPr="001B4458">
        <w:t>Nganampa</w:t>
      </w:r>
      <w:proofErr w:type="spellEnd"/>
      <w:r w:rsidRPr="001B4458">
        <w:t xml:space="preserve"> Health Council continues to support the provision of handwashing facilities in community locations and as part of key community events.</w:t>
      </w:r>
    </w:p>
    <w:p w14:paraId="2EFDA2D4" w14:textId="673D2D8B" w:rsidR="004808CB" w:rsidRPr="0036007C" w:rsidRDefault="004808CB" w:rsidP="00F76882">
      <w:r w:rsidRPr="0036007C">
        <w:t>Environmental health staff continue to conduct home assessments in at-risk communities to address any hardware concerns that impede healthy living practices</w:t>
      </w:r>
      <w:r w:rsidR="009563E1" w:rsidRPr="0036007C">
        <w:t>, such as plumbing, dust control</w:t>
      </w:r>
      <w:r w:rsidR="00594ABA" w:rsidRPr="0036007C">
        <w:t>, waste management</w:t>
      </w:r>
      <w:r w:rsidR="009174BE" w:rsidRPr="0036007C">
        <w:t xml:space="preserve">, and </w:t>
      </w:r>
      <w:r w:rsidR="00594ABA" w:rsidRPr="0036007C">
        <w:t>pest control</w:t>
      </w:r>
      <w:r w:rsidRPr="0036007C">
        <w:t>. In</w:t>
      </w:r>
      <w:r w:rsidR="00F46B79" w:rsidRPr="0036007C">
        <w:t xml:space="preserve"> 2024</w:t>
      </w:r>
      <w:r w:rsidRPr="0036007C">
        <w:t xml:space="preserve">: </w:t>
      </w:r>
    </w:p>
    <w:p w14:paraId="535C661F" w14:textId="77777777" w:rsidR="004808CB" w:rsidRPr="001B4458" w:rsidRDefault="004808CB" w:rsidP="00F76882">
      <w:pPr>
        <w:pStyle w:val="TableofFigures"/>
      </w:pPr>
      <w:r w:rsidRPr="001B4458">
        <w:t xml:space="preserve">103 dwellings received health hardware assessments and associated repairs. </w:t>
      </w:r>
    </w:p>
    <w:p w14:paraId="1AC69B91" w14:textId="77777777" w:rsidR="004808CB" w:rsidRPr="001B4458" w:rsidRDefault="004808CB" w:rsidP="00F76882">
      <w:pPr>
        <w:pStyle w:val="TableofFigures"/>
      </w:pPr>
      <w:r w:rsidRPr="001B4458">
        <w:t>Advocacy and assistance were provided to 58 households for the reporting of more complex repairs and maintenance needs to the relevant SA Government agency.</w:t>
      </w:r>
    </w:p>
    <w:p w14:paraId="504AB728" w14:textId="77777777" w:rsidR="004808CB" w:rsidRPr="001B4458" w:rsidRDefault="004808CB" w:rsidP="00F76882">
      <w:pPr>
        <w:pStyle w:val="TableofFigures"/>
      </w:pPr>
      <w:r w:rsidRPr="001B4458">
        <w:t xml:space="preserve">401 householders participated in environmental health education activities. </w:t>
      </w:r>
    </w:p>
    <w:p w14:paraId="5D615D2F" w14:textId="0E72A8BA" w:rsidR="004808CB" w:rsidRPr="0036007C" w:rsidRDefault="004808CB" w:rsidP="00F76882">
      <w:r w:rsidRPr="0036007C">
        <w:t>In addition, the SA government is advancing its Water Quality Initiative program to tackle drinking water quality issues in remote communities. This program involves investment in testing, funding, and governance structure</w:t>
      </w:r>
      <w:r w:rsidR="00FC41D3" w:rsidRPr="0036007C">
        <w:t>s</w:t>
      </w:r>
      <w:r w:rsidRPr="0036007C">
        <w:t xml:space="preserve"> to support the implementation of sustainable water treatment technologies. </w:t>
      </w:r>
    </w:p>
    <w:p w14:paraId="26D29FB4" w14:textId="77777777" w:rsidR="00773E32" w:rsidRPr="00F76882" w:rsidRDefault="00773E32" w:rsidP="00F76882">
      <w:r w:rsidRPr="0036007C">
        <w:br w:type="page"/>
      </w:r>
    </w:p>
    <w:p w14:paraId="7B20AC2A" w14:textId="3E0D7F1F" w:rsidR="00C574D9" w:rsidRPr="00956E49" w:rsidRDefault="00C574D9" w:rsidP="00F76882">
      <w:pPr>
        <w:pStyle w:val="Heading2"/>
      </w:pPr>
      <w:bookmarkStart w:id="305" w:name="_Toc203986551"/>
      <w:bookmarkStart w:id="306" w:name="_Toc215236961"/>
      <w:r w:rsidRPr="00956E49">
        <w:t>Figures and Tables – South Australia</w:t>
      </w:r>
      <w:bookmarkEnd w:id="305"/>
      <w:bookmarkEnd w:id="306"/>
    </w:p>
    <w:p w14:paraId="39C24F33" w14:textId="25D18EC2" w:rsidR="00C70E2B" w:rsidRPr="0036007C" w:rsidRDefault="00C574D9" w:rsidP="00F76882">
      <w:pPr>
        <w:pStyle w:val="FigureHeadings"/>
      </w:pPr>
      <w:bookmarkStart w:id="307" w:name="_Toc215237059"/>
      <w:bookmarkEnd w:id="303"/>
      <w:bookmarkEnd w:id="304"/>
      <w:r w:rsidRPr="0036007C">
        <w:t xml:space="preserve">Figure </w:t>
      </w:r>
      <w:r w:rsidR="00BA03B6" w:rsidRPr="0036007C">
        <w:t>4</w:t>
      </w:r>
      <w:r w:rsidRPr="0036007C">
        <w:t>.</w:t>
      </w:r>
      <w:r w:rsidRPr="0036007C">
        <w:fldChar w:fldCharType="begin"/>
      </w:r>
      <w:r w:rsidRPr="0036007C">
        <w:instrText>SEQ Figure \* ARABIC \s 1</w:instrText>
      </w:r>
      <w:r w:rsidRPr="0036007C">
        <w:fldChar w:fldCharType="separate"/>
      </w:r>
      <w:r w:rsidRPr="0036007C">
        <w:t>1</w:t>
      </w:r>
      <w:r w:rsidRPr="0036007C">
        <w:fldChar w:fldCharType="end"/>
      </w:r>
      <w:r w:rsidRPr="0036007C">
        <w:tab/>
      </w:r>
      <w:r w:rsidR="00E01DAC" w:rsidRPr="0036007C">
        <w:t>Overall trachoma prevalence in children aged 5</w:t>
      </w:r>
      <w:r w:rsidR="003D00CE" w:rsidRPr="0036007C">
        <w:t>–</w:t>
      </w:r>
      <w:r w:rsidR="00E01DAC" w:rsidRPr="0036007C">
        <w:t>9 years by region</w:t>
      </w:r>
      <w:r w:rsidRPr="0036007C">
        <w:t xml:space="preserve">, South Australia, </w:t>
      </w:r>
      <w:r w:rsidR="00E76BB4" w:rsidRPr="0036007C">
        <w:t>202</w:t>
      </w:r>
      <w:r w:rsidR="00824FEE" w:rsidRPr="0036007C">
        <w:t>4</w:t>
      </w:r>
      <w:bookmarkEnd w:id="307"/>
    </w:p>
    <w:p w14:paraId="7AFF3209" w14:textId="534A8C2D" w:rsidR="00043DC4" w:rsidRPr="00F76882" w:rsidRDefault="00773E32" w:rsidP="00F76882">
      <w:bookmarkStart w:id="308" w:name="_Ref58330739"/>
      <w:r w:rsidRPr="00FF7193">
        <w:rPr>
          <w:noProof/>
        </w:rPr>
        <w:drawing>
          <wp:inline distT="0" distB="0" distL="0" distR="0" wp14:anchorId="6DF07C93" wp14:editId="7C03EE0B">
            <wp:extent cx="6454140" cy="7778750"/>
            <wp:effectExtent l="0" t="0" r="3810" b="0"/>
            <wp:docPr id="1812795211" name="Picture 6" descr="Overall trachoma prevalence in children aged 5–9 years by region, South Australia, 2024&#10;Figure 4.1 is a map of South Australia that visualises regional overall trachoma prevalence in five categories. Overall trachoma prevalence is zero in APY Lands, Eyre and Western, and Far North regions. The South-east corner of South Australia and York and Mid North region are considered not at-risk for tracho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95211" name="Picture 6" descr="Overall trachoma prevalence in children aged 5–9 years by region, South Australia, 2024&#10;Figure 4.1 is a map of South Australia that visualises regional overall trachoma prevalence in five categories. Overall trachoma prevalence is zero in APY Lands, Eyre and Western, and Far North regions. The South-east corner of South Australia and York and Mid North region are considered not at-risk for trachoma.&#10;"/>
                    <pic:cNvPicPr/>
                  </pic:nvPicPr>
                  <pic:blipFill rotWithShape="1">
                    <a:blip r:embed="rId41"/>
                    <a:srcRect t="13184" b="7260"/>
                    <a:stretch/>
                  </pic:blipFill>
                  <pic:spPr bwMode="auto">
                    <a:xfrm>
                      <a:off x="0" y="0"/>
                      <a:ext cx="6454140" cy="7778750"/>
                    </a:xfrm>
                    <a:prstGeom prst="rect">
                      <a:avLst/>
                    </a:prstGeom>
                    <a:ln>
                      <a:noFill/>
                    </a:ln>
                    <a:extLst>
                      <a:ext uri="{53640926-AAD7-44D8-BBD7-CCE9431645EC}">
                        <a14:shadowObscured xmlns:a14="http://schemas.microsoft.com/office/drawing/2010/main"/>
                      </a:ext>
                    </a:extLst>
                  </pic:spPr>
                </pic:pic>
              </a:graphicData>
            </a:graphic>
          </wp:inline>
        </w:drawing>
      </w:r>
      <w:r w:rsidR="00043DC4" w:rsidRPr="0036007C">
        <w:br w:type="page"/>
      </w:r>
    </w:p>
    <w:p w14:paraId="4A8125D7" w14:textId="23155BFB" w:rsidR="00C574D9" w:rsidRPr="00495326" w:rsidRDefault="00C574D9" w:rsidP="00F76882">
      <w:pPr>
        <w:pStyle w:val="FigureHeadings"/>
      </w:pPr>
      <w:bookmarkStart w:id="309" w:name="_Toc215237060"/>
      <w:r w:rsidRPr="0036007C">
        <w:t xml:space="preserve">Figure </w:t>
      </w:r>
      <w:bookmarkEnd w:id="308"/>
      <w:r w:rsidR="00121A32" w:rsidRPr="0036007C">
        <w:t>4.2</w:t>
      </w:r>
      <w:r w:rsidRPr="0036007C">
        <w:tab/>
        <w:t>Number of at-risk communities</w:t>
      </w:r>
      <w:r w:rsidR="001411D2" w:rsidRPr="0036007C">
        <w:t>*</w:t>
      </w:r>
      <w:r w:rsidRPr="0036007C">
        <w:t xml:space="preserve"> by region, South Australia</w:t>
      </w:r>
      <w:r w:rsidR="00273D38" w:rsidRPr="0036007C">
        <w:t>,</w:t>
      </w:r>
      <w:r w:rsidRPr="0036007C">
        <w:t xml:space="preserve"> 2007</w:t>
      </w:r>
      <w:r w:rsidR="003D00CE" w:rsidRPr="0036007C">
        <w:t>–</w:t>
      </w:r>
      <w:r w:rsidR="00E76BB4" w:rsidRPr="0036007C">
        <w:t>202</w:t>
      </w:r>
      <w:r w:rsidR="00824FEE" w:rsidRPr="0036007C">
        <w:t>4</w:t>
      </w:r>
      <w:bookmarkEnd w:id="309"/>
    </w:p>
    <w:p w14:paraId="57958D0F" w14:textId="3289D959" w:rsidR="00C574D9" w:rsidRPr="00C002DA" w:rsidRDefault="006B1607" w:rsidP="00F76882">
      <w:r w:rsidRPr="00C002DA">
        <w:drawing>
          <wp:inline distT="0" distB="0" distL="0" distR="0" wp14:anchorId="6D640CD0" wp14:editId="45EB50C0">
            <wp:extent cx="6300000" cy="3456000"/>
            <wp:effectExtent l="0" t="0" r="5715" b="0"/>
            <wp:docPr id="1117566344" name="Chart 1" descr="Number of at-risk communities by region, South Australia, 2007–2024&#10;Figure 4.2 is a line graph for four regions with number of communities on the Y-axis and year on the X-axis.&#10;In the APY Lands region, the number of at-risk communities has remained virtually unchanged, at 10 in 2007 and nine in 2024.&#10;In the Eyre and Western region, the number of at-risk communities was stable at 23 from 2007 to 2011, sharply declining to six in 2012 and remaining generally low, with four communities considered at-risk in 2023.&#10;In the Far North region, the number of at-risk communities has declined overall from six in 2007 to three in 2024.&#10;In the Yorke and Mid North region there was an initial small increase in the number of at-risk communities from 29 in 2007 to 33 in the years 2008 to 2010. After this, there was a rapid decline and since 2013 there have been no communities considered at-risk in this region.&#10;">
              <a:extLst xmlns:a="http://schemas.openxmlformats.org/drawingml/2006/main">
                <a:ext uri="{FF2B5EF4-FFF2-40B4-BE49-F238E27FC236}">
                  <a16:creationId xmlns:a16="http://schemas.microsoft.com/office/drawing/2014/main" id="{9C2D3E33-DA64-4CF6-B004-2127284476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2949B74" w14:textId="77777777" w:rsidR="001411D2" w:rsidRPr="00A33DD2" w:rsidRDefault="001411D2" w:rsidP="00F76882">
      <w:pPr>
        <w:pStyle w:val="tablefigfootnote"/>
      </w:pPr>
      <w:r w:rsidRPr="00A33DD2">
        <w:t>* 2024 data points include communities identified for evidence confirmation screening for final-year dossier validation surveillance (refer to Findings and interpretation).</w:t>
      </w:r>
    </w:p>
    <w:p w14:paraId="1F515E21" w14:textId="0983B281" w:rsidR="00C574D9" w:rsidRPr="0036007C" w:rsidRDefault="00C574D9" w:rsidP="00F76882">
      <w:pPr>
        <w:pStyle w:val="FigureHeadings"/>
      </w:pPr>
      <w:bookmarkStart w:id="310" w:name="_Toc215237061"/>
      <w:r w:rsidRPr="0036007C">
        <w:t xml:space="preserve">Figure </w:t>
      </w:r>
      <w:r w:rsidR="001B1723" w:rsidRPr="0036007C">
        <w:t>4.3</w:t>
      </w:r>
      <w:r w:rsidRPr="0036007C">
        <w:tab/>
      </w:r>
      <w:r w:rsidR="007459E6" w:rsidRPr="0036007C">
        <w:t>Number of at-risk communities according to trachoma control strategy implemented by region</w:t>
      </w:r>
      <w:r w:rsidRPr="0036007C">
        <w:t>, South Australia</w:t>
      </w:r>
      <w:r w:rsidR="00273D38" w:rsidRPr="0036007C">
        <w:t>,</w:t>
      </w:r>
      <w:r w:rsidRPr="0036007C">
        <w:t xml:space="preserve"> </w:t>
      </w:r>
      <w:r w:rsidR="00E76BB4" w:rsidRPr="0036007C">
        <w:t>202</w:t>
      </w:r>
      <w:r w:rsidR="00824FEE" w:rsidRPr="0036007C">
        <w:t>4</w:t>
      </w:r>
      <w:bookmarkEnd w:id="310"/>
    </w:p>
    <w:p w14:paraId="31E9E5ED" w14:textId="489107C2" w:rsidR="00551F1C" w:rsidRPr="00C002DA" w:rsidRDefault="001246F1" w:rsidP="00F76882">
      <w:bookmarkStart w:id="311" w:name="Figure35"/>
      <w:bookmarkStart w:id="312" w:name="_Toc392153910"/>
      <w:r w:rsidRPr="00C002DA">
        <w:drawing>
          <wp:inline distT="0" distB="0" distL="0" distR="0" wp14:anchorId="7EE377D6" wp14:editId="24BFB322">
            <wp:extent cx="5910350" cy="4089600"/>
            <wp:effectExtent l="0" t="0" r="0" b="6350"/>
            <wp:docPr id="779042422" name="Chart 1" descr="Number of at-risk communities according to trachoma control strategy implemented by region, South Australia, 2024&#10;Figure 4.3 is a stacked bar graph with number of communities on the Y-axis and region on the X-axis.&#10;The APY Lands region column shows all nine at-risk communities were screened and no treatment was required.&#10;The Eyre and Western region column indicates that of the four at-risk communities in the region:&#10;One was not screened or treated; and&#10;Three were screened and no treatment was required. &#10;The Far North region column shows that all three at-risk communities were screened and no treatment was required.&#10;">
              <a:extLst xmlns:a="http://schemas.openxmlformats.org/drawingml/2006/main">
                <a:ext uri="{FF2B5EF4-FFF2-40B4-BE49-F238E27FC236}">
                  <a16:creationId xmlns:a16="http://schemas.microsoft.com/office/drawing/2014/main" id="{F95FF7F8-7683-4AD0-9C90-56EEB5F833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F592F69" w14:textId="1FF37E43" w:rsidR="00C574D9" w:rsidRPr="0036007C" w:rsidRDefault="00C574D9" w:rsidP="00F76882">
      <w:pPr>
        <w:pStyle w:val="FigureHeadings"/>
      </w:pPr>
      <w:bookmarkStart w:id="313" w:name="_Ref58330855"/>
      <w:bookmarkStart w:id="314" w:name="_Toc215237062"/>
      <w:bookmarkEnd w:id="311"/>
      <w:bookmarkEnd w:id="312"/>
      <w:r w:rsidRPr="0036007C">
        <w:t xml:space="preserve">Figure </w:t>
      </w:r>
      <w:r w:rsidR="00966506" w:rsidRPr="0036007C">
        <w:t>4.</w:t>
      </w:r>
      <w:bookmarkEnd w:id="313"/>
      <w:r w:rsidR="00CA193A" w:rsidRPr="0036007C">
        <w:t>4</w:t>
      </w:r>
      <w:r w:rsidRPr="0036007C">
        <w:tab/>
        <w:t>Proportion of screened children aged 5</w:t>
      </w:r>
      <w:r w:rsidR="003D00CE" w:rsidRPr="0036007C">
        <w:t>–</w:t>
      </w:r>
      <w:r w:rsidRPr="0036007C">
        <w:t>9 years who had a clean face by region, South Australia</w:t>
      </w:r>
      <w:r w:rsidR="00273D38" w:rsidRPr="0036007C">
        <w:t>,</w:t>
      </w:r>
      <w:r w:rsidRPr="0036007C">
        <w:t xml:space="preserve"> 2007</w:t>
      </w:r>
      <w:r w:rsidR="003D00CE" w:rsidRPr="0036007C">
        <w:t>–</w:t>
      </w:r>
      <w:r w:rsidR="00E76BB4" w:rsidRPr="0036007C">
        <w:t>202</w:t>
      </w:r>
      <w:r w:rsidR="00845180" w:rsidRPr="0036007C">
        <w:t>4</w:t>
      </w:r>
      <w:bookmarkEnd w:id="314"/>
    </w:p>
    <w:p w14:paraId="466CB6DC" w14:textId="3374E1E5" w:rsidR="000657B5" w:rsidRPr="00F76882" w:rsidRDefault="006003E3" w:rsidP="00F76882">
      <w:r w:rsidRPr="00FF7193">
        <w:rPr>
          <w:noProof/>
        </w:rPr>
        <w:drawing>
          <wp:inline distT="0" distB="0" distL="0" distR="0" wp14:anchorId="260AEFD3" wp14:editId="0A4FDD37">
            <wp:extent cx="6300000" cy="3456000"/>
            <wp:effectExtent l="0" t="0" r="5715" b="0"/>
            <wp:docPr id="214927129" name="Chart 1" descr="Proportion of screened children aged 5–9 years who had a clean face by region, South Australia, 2007–2024&#10;Figure 4.4 is a line graph for three regions with proportion on the Y-axis and year on the X-axis.&#10;In the APY Lands region, the proportion of children with clean faces has risen and fallen in a wave-like pattern, with a high of 89% in 2011 and a low of 51% in 2015.&#10;In the Eyre and Western region, the proportion of children with clean faces decreased from 100% in 2007 to 47% in 2011. Since then, proportions have risen to 92% in 2024, with frequent marked yearly fluctuations during this period.&#10;In the Far North region, the proportion of children with clean faces has generally remained between 85% to 100% between 2007 and 2024.&#10;">
              <a:extLst xmlns:a="http://schemas.openxmlformats.org/drawingml/2006/main">
                <a:ext uri="{FF2B5EF4-FFF2-40B4-BE49-F238E27FC236}">
                  <a16:creationId xmlns:a16="http://schemas.microsoft.com/office/drawing/2014/main" id="{4C493F1A-CA38-C12E-09ED-EA537A0F03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70DD4D5" w14:textId="384C7E90" w:rsidR="00BE6202" w:rsidRPr="0036007C" w:rsidRDefault="00C574D9" w:rsidP="00F76882">
      <w:pPr>
        <w:pStyle w:val="FigureHeadings"/>
      </w:pPr>
      <w:bookmarkStart w:id="315" w:name="_Toc215237063"/>
      <w:r w:rsidRPr="0036007C">
        <w:t xml:space="preserve">Figure </w:t>
      </w:r>
      <w:r w:rsidR="00966506" w:rsidRPr="0036007C">
        <w:t>4</w:t>
      </w:r>
      <w:r w:rsidRPr="0036007C">
        <w:t>.</w:t>
      </w:r>
      <w:r w:rsidR="00CA193A" w:rsidRPr="0036007C">
        <w:t>5</w:t>
      </w:r>
      <w:r w:rsidRPr="0036007C">
        <w:t>a</w:t>
      </w:r>
      <w:r w:rsidRPr="0036007C">
        <w:tab/>
      </w:r>
      <w:r w:rsidR="007459E6" w:rsidRPr="0036007C">
        <w:t xml:space="preserve">Observed prevalence of clinical findings consistent with </w:t>
      </w:r>
      <w:r w:rsidR="00735963" w:rsidRPr="0036007C">
        <w:t>trachomatous inflammation—follicular/intense</w:t>
      </w:r>
      <w:r w:rsidR="00821FC6" w:rsidRPr="0036007C">
        <w:t>*</w:t>
      </w:r>
      <w:r w:rsidR="00735963" w:rsidRPr="0036007C">
        <w:t xml:space="preserve"> </w:t>
      </w:r>
      <w:r w:rsidR="007459E6" w:rsidRPr="0036007C">
        <w:t>among screened children aged 5</w:t>
      </w:r>
      <w:r w:rsidR="003D00CE" w:rsidRPr="0036007C">
        <w:t>–</w:t>
      </w:r>
      <w:r w:rsidR="007459E6" w:rsidRPr="0036007C">
        <w:t>9 years by region</w:t>
      </w:r>
      <w:r w:rsidRPr="0036007C">
        <w:t>, South Australia</w:t>
      </w:r>
      <w:r w:rsidR="00732509" w:rsidRPr="0036007C">
        <w:t>,</w:t>
      </w:r>
      <w:r w:rsidRPr="0036007C">
        <w:t xml:space="preserve"> 2007</w:t>
      </w:r>
      <w:r w:rsidR="003D00CE" w:rsidRPr="0036007C">
        <w:t>–</w:t>
      </w:r>
      <w:r w:rsidR="00E76BB4" w:rsidRPr="0036007C">
        <w:t>202</w:t>
      </w:r>
      <w:r w:rsidR="00845180" w:rsidRPr="0036007C">
        <w:t>4</w:t>
      </w:r>
      <w:bookmarkEnd w:id="315"/>
    </w:p>
    <w:p w14:paraId="58B0A8F7" w14:textId="7914D580" w:rsidR="00C574D9" w:rsidRPr="00C002DA" w:rsidRDefault="00E86716" w:rsidP="00F76882">
      <w:r w:rsidRPr="00C002DA">
        <w:drawing>
          <wp:inline distT="0" distB="0" distL="0" distR="0" wp14:anchorId="2F4F8D62" wp14:editId="326F356B">
            <wp:extent cx="6300000" cy="3456000"/>
            <wp:effectExtent l="0" t="0" r="5715" b="0"/>
            <wp:docPr id="90668131" name="Chart 1" descr="Observed prevalence of clinical findings consistent with trachomatous inflammation—follicular/intense among screened children aged 5–9 years by region, South Australia, 2007–2024&#10;Figure 4.5a is a line graph for three regions with proportion on the Y-axis and year on the X-axis.&#10;In the APY Lands region, observed trachoma prevalence fluctuated sharply between 3.0% and 15% from 2007 to 2013, followed by a general decline, with observed prevalence remaining at 0% since 2022.&#10;In the Eyre and Western region, observed trachoma prevalence declined from 15% in 2007 to 0% in 2018, although with wide yearly fluctuations during the period. Observed prevalence has remained at 0% apart from a small spike to 2.9% in 2021.&#10;In the Far North region, observed trachoma prevalence remained at 0% from 2007 to 2012, followed by a brief period of increase to peak at 6.7% in 2015. Observed prevalence then declined to reach 0% again in 2019 and has since remained generally stable.&#10;">
              <a:extLst xmlns:a="http://schemas.openxmlformats.org/drawingml/2006/main">
                <a:ext uri="{FF2B5EF4-FFF2-40B4-BE49-F238E27FC236}">
                  <a16:creationId xmlns:a16="http://schemas.microsoft.com/office/drawing/2014/main" id="{80EE62A8-3E31-46BD-A63C-7FB970C6BC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3819C62" w14:textId="199E9CC7" w:rsidR="00821FC6" w:rsidRPr="007C3001" w:rsidRDefault="00821FC6" w:rsidP="00F76882">
      <w:pPr>
        <w:pStyle w:val="FootnoteText"/>
      </w:pPr>
      <w:r w:rsidRPr="0036007C">
        <w:t>*According to WHO simplified trachoma grading criteria</w:t>
      </w:r>
      <w:r w:rsidRPr="0036007C">
        <w:fldChar w:fldCharType="begin">
          <w:fldData xml:space="preserve">PEVuZE5vdGU+PENpdGU+PEF1dGhvcj5Tb2xvbW9uPC9BdXRob3I+PFllYXI+MjAyMDwvWWVhcj48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</w:fldData>
        </w:fldChar>
      </w:r>
      <w:r w:rsidRPr="0036007C">
        <w:instrText xml:space="preserve"> ADDIN EN.CITE </w:instrText>
      </w:r>
      <w:r w:rsidRPr="0036007C">
        <w:fldChar w:fldCharType="begin">
          <w:fldData xml:space="preserve">PEVuZE5vdGU+PENpdGU+PEF1dGhvcj5Tb2xvbW9uPC9BdXRob3I+PFllYXI+MjAyMDwvWWVhcj48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</w:fldData>
        </w:fldChar>
      </w:r>
      <w:r w:rsidRPr="0036007C">
        <w:instrText xml:space="preserve"> ADDIN EN.CITE.DATA </w:instrText>
      </w:r>
      <w:r w:rsidRPr="0036007C">
        <w:fldChar w:fldCharType="end"/>
      </w:r>
      <w:r w:rsidRPr="0036007C">
        <w:fldChar w:fldCharType="separate"/>
      </w:r>
      <w:r w:rsidRPr="00495326">
        <w:rPr>
          <w:rStyle w:val="SuperscriptChar"/>
        </w:rPr>
        <w:t>2</w:t>
      </w:r>
      <w:r w:rsidRPr="0036007C">
        <w:fldChar w:fldCharType="end"/>
      </w:r>
    </w:p>
    <w:p w14:paraId="0C4EEFB0" w14:textId="44416F10" w:rsidR="00C574D9" w:rsidRPr="0036007C" w:rsidRDefault="00C574D9" w:rsidP="00F76882">
      <w:pPr>
        <w:pStyle w:val="FigureHeadings"/>
      </w:pPr>
      <w:bookmarkStart w:id="316" w:name="_Toc215237064"/>
      <w:r w:rsidRPr="0036007C">
        <w:t>Figure 4.</w:t>
      </w:r>
      <w:r w:rsidR="00CA193A" w:rsidRPr="0036007C">
        <w:t>5</w:t>
      </w:r>
      <w:r w:rsidRPr="0036007C">
        <w:t>b</w:t>
      </w:r>
      <w:r w:rsidRPr="0036007C">
        <w:tab/>
        <w:t xml:space="preserve">Estimated prevalence </w:t>
      </w:r>
      <w:r w:rsidR="00760D35" w:rsidRPr="0036007C">
        <w:t>of trachoma</w:t>
      </w:r>
      <w:r w:rsidRPr="0036007C">
        <w:t xml:space="preserve"> among children aged 5</w:t>
      </w:r>
      <w:r w:rsidR="003D00CE" w:rsidRPr="0036007C">
        <w:t>–</w:t>
      </w:r>
      <w:r w:rsidRPr="0036007C">
        <w:t>9 years in all at-risk communities* by region, South Australia</w:t>
      </w:r>
      <w:r w:rsidR="00732509" w:rsidRPr="0036007C">
        <w:t>,</w:t>
      </w:r>
      <w:r w:rsidRPr="0036007C">
        <w:t xml:space="preserve"> 2007</w:t>
      </w:r>
      <w:r w:rsidR="003D00CE" w:rsidRPr="0036007C">
        <w:t>–</w:t>
      </w:r>
      <w:r w:rsidR="00E76BB4" w:rsidRPr="0036007C">
        <w:t>202</w:t>
      </w:r>
      <w:r w:rsidR="00845180" w:rsidRPr="0036007C">
        <w:t>4</w:t>
      </w:r>
      <w:bookmarkEnd w:id="316"/>
    </w:p>
    <w:p w14:paraId="4B4DF240" w14:textId="7816639F" w:rsidR="00C574D9" w:rsidRPr="00C002DA" w:rsidRDefault="004F1CD9" w:rsidP="00F76882">
      <w:r w:rsidRPr="00C002DA">
        <w:drawing>
          <wp:inline distT="0" distB="0" distL="0" distR="0" wp14:anchorId="0DF8D190" wp14:editId="0D9B547E">
            <wp:extent cx="6300000" cy="3456000"/>
            <wp:effectExtent l="0" t="0" r="5715" b="0"/>
            <wp:docPr id="61075793" name="Chart 1" descr="Estimated prevalence of trachoma among children aged 5–9 years in all at-risk communities by region, South Australia, 2007–2024 &#10;Figure 4.5b is a line graph for four regions with proportion on the Y-axis and year on the X-axis.&#10;In the APY Lands region, estimated trachoma prevalence fluctuated sharply between 2.9% and 14% from 2007 to 2014, followed by a general decline, with estimated prevalence remaining at 0% since 2022.&#10;In the Eyre and Western Region, estimated trachoma prevalence fluctuated sharply between 1.1% and 16% from 2007 to 2012. Smaller fluctuations between 0% and 3.9% continued until 2017, and since then estimated prevalence has generally remained at 0%.&#10;In the Far North region, estimated trachoma prevalence generally remained at or close to 0% from 2007 to 2024, apart from a spike to 6.5% in 2015.&#10;In the Yorke and Mid North region estimated prevalence has remained at 0% since 2011.&#10;">
              <a:extLst xmlns:a="http://schemas.openxmlformats.org/drawingml/2006/main">
                <a:ext uri="{FF2B5EF4-FFF2-40B4-BE49-F238E27FC236}">
                  <a16:creationId xmlns:a16="http://schemas.microsoft.com/office/drawing/2014/main" id="{8BF99E71-AC10-41BD-80E8-AD327654C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8536DC0" w14:textId="53DBB8CA" w:rsidR="00C574D9" w:rsidRPr="00F76882" w:rsidRDefault="00C574D9" w:rsidP="00F76882">
      <w:r w:rsidRPr="00F76882">
        <w:t xml:space="preserve">* Most recent estimates carried forward in at-risk communities that did not screen in </w:t>
      </w:r>
      <w:r w:rsidR="00C3405D" w:rsidRPr="00F76882">
        <w:t>2024</w:t>
      </w:r>
      <w:r w:rsidR="000B597D" w:rsidRPr="00F76882">
        <w:t>.</w:t>
      </w:r>
    </w:p>
    <w:p w14:paraId="152D0BB6" w14:textId="7533D8EA" w:rsidR="00C574D9" w:rsidRPr="0036007C" w:rsidRDefault="00C574D9" w:rsidP="00F76882">
      <w:pPr>
        <w:pStyle w:val="FigureHeadings"/>
      </w:pPr>
      <w:bookmarkStart w:id="317" w:name="_Toc215237065"/>
      <w:r w:rsidRPr="0036007C">
        <w:t>Figure 4.</w:t>
      </w:r>
      <w:r w:rsidR="00CA193A" w:rsidRPr="0036007C">
        <w:t>5</w:t>
      </w:r>
      <w:r w:rsidRPr="0036007C">
        <w:t>c</w:t>
      </w:r>
      <w:r w:rsidRPr="0036007C">
        <w:tab/>
        <w:t xml:space="preserve">Overall prevalence </w:t>
      </w:r>
      <w:r w:rsidR="00760D35" w:rsidRPr="0036007C">
        <w:t>of trachoma</w:t>
      </w:r>
      <w:r w:rsidRPr="0036007C">
        <w:t xml:space="preserve"> among children aged 5</w:t>
      </w:r>
      <w:r w:rsidR="003D00CE" w:rsidRPr="0036007C">
        <w:t>–</w:t>
      </w:r>
      <w:r w:rsidRPr="0036007C">
        <w:t>9 years in all communities* by region, South Australia</w:t>
      </w:r>
      <w:r w:rsidR="00732509" w:rsidRPr="0036007C">
        <w:t>,</w:t>
      </w:r>
      <w:r w:rsidRPr="0036007C">
        <w:t xml:space="preserve"> 2007</w:t>
      </w:r>
      <w:r w:rsidR="003D00CE" w:rsidRPr="0036007C">
        <w:t>–</w:t>
      </w:r>
      <w:r w:rsidR="00E76BB4" w:rsidRPr="0036007C">
        <w:t>202</w:t>
      </w:r>
      <w:r w:rsidR="00845180" w:rsidRPr="0036007C">
        <w:t>4</w:t>
      </w:r>
      <w:bookmarkEnd w:id="317"/>
    </w:p>
    <w:p w14:paraId="7C26FD89" w14:textId="697E00BB" w:rsidR="00C574D9" w:rsidRPr="00C002DA" w:rsidRDefault="00306207" w:rsidP="00F76882">
      <w:r w:rsidRPr="00C002DA">
        <w:drawing>
          <wp:inline distT="0" distB="0" distL="0" distR="0" wp14:anchorId="21EEEAB7" wp14:editId="493E8B66">
            <wp:extent cx="6300000" cy="3456000"/>
            <wp:effectExtent l="0" t="0" r="5715" b="0"/>
            <wp:docPr id="668147522" name="Chart 1" descr="Overall prevalence of trachoma among children aged 5–9 years in all communities by region, South Australia, 2007–2024&#10;Figure 4.5c is a line graph for four regions with proportion on the Y-axis and year on the X-axis.&#10;In the APY Lands region, large fluctuations in yearly overall prevalence were seen between 3.0% and 15%  from 2007 to 2013. Following this, overall prevalence generally declined steadily to remain at 0% from 2019, apart from a small spike in 2020-2021.&#10;In the Eyre and Western region, whilst large fluctuations in yearly figures were seen initially, overall trachoma prevalence generally decreased over time from 15% in 2007 to 1.5% in 2017, and since then has remained at or close to 0%.&#10;In the Far North region, overall trachoma prevalence generally remained at or close to 0% from 2007 to 2024, apart from a short spike to slightly above 5% in 2015-2016.&#10;In the Yorke and Mid North region overall prevalence has remained at 0% since 2011.&#10;">
              <a:extLst xmlns:a="http://schemas.openxmlformats.org/drawingml/2006/main">
                <a:ext uri="{FF2B5EF4-FFF2-40B4-BE49-F238E27FC236}">
                  <a16:creationId xmlns:a16="http://schemas.microsoft.com/office/drawing/2014/main" id="{AB4BEACE-5C78-44A8-9127-B84CEAA89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ED9685A" w14:textId="62AA714F" w:rsidR="00C574D9" w:rsidRPr="0036007C" w:rsidRDefault="00C574D9" w:rsidP="00F76882">
      <w:pPr>
        <w:pStyle w:val="tablefigfootnote"/>
        <w:rPr>
          <w:lang w:eastAsia="en-US"/>
        </w:rPr>
      </w:pPr>
      <w:r w:rsidRPr="0036007C">
        <w:rPr>
          <w:lang w:eastAsia="en-US"/>
        </w:rPr>
        <w:t xml:space="preserve">* Calculated carrying forward most recent data in all communities considered </w:t>
      </w:r>
      <w:r w:rsidR="00A603DB" w:rsidRPr="0036007C">
        <w:rPr>
          <w:lang w:eastAsia="en-US"/>
        </w:rPr>
        <w:t>at risk</w:t>
      </w:r>
      <w:r w:rsidRPr="0036007C">
        <w:rPr>
          <w:lang w:eastAsia="en-US"/>
        </w:rPr>
        <w:t xml:space="preserve"> of trachoma at </w:t>
      </w:r>
      <w:r w:rsidR="0018260E" w:rsidRPr="0036007C">
        <w:rPr>
          <w:lang w:eastAsia="en-US"/>
        </w:rPr>
        <w:t xml:space="preserve">any point </w:t>
      </w:r>
      <w:r w:rsidRPr="0036007C">
        <w:rPr>
          <w:lang w:eastAsia="en-US"/>
        </w:rPr>
        <w:t>since 2007</w:t>
      </w:r>
      <w:r w:rsidR="000B597D" w:rsidRPr="0036007C">
        <w:rPr>
          <w:lang w:eastAsia="en-US"/>
        </w:rPr>
        <w:t>.</w:t>
      </w:r>
    </w:p>
    <w:p w14:paraId="7F2FD128" w14:textId="7A8E8951" w:rsidR="00192A43" w:rsidRPr="0036007C" w:rsidRDefault="00C574D9" w:rsidP="00F76882">
      <w:pPr>
        <w:pStyle w:val="FigureHeadings"/>
      </w:pPr>
      <w:bookmarkStart w:id="318" w:name="_Ref58330907"/>
      <w:bookmarkStart w:id="319" w:name="Figure39"/>
      <w:bookmarkStart w:id="320" w:name="_Toc392153914"/>
      <w:bookmarkStart w:id="321" w:name="_Toc215237066"/>
      <w:r w:rsidRPr="0036007C">
        <w:t xml:space="preserve">Figure </w:t>
      </w:r>
      <w:r w:rsidR="00966506" w:rsidRPr="0036007C">
        <w:t>4.</w:t>
      </w:r>
      <w:bookmarkEnd w:id="318"/>
      <w:r w:rsidR="00CA193A" w:rsidRPr="0036007C">
        <w:t>6</w:t>
      </w:r>
      <w:r w:rsidRPr="0036007C">
        <w:tab/>
      </w:r>
      <w:r w:rsidR="005D69DB" w:rsidRPr="0036007C">
        <w:t xml:space="preserve">Number of </w:t>
      </w:r>
      <w:r w:rsidR="00967349" w:rsidRPr="0036007C">
        <w:t xml:space="preserve">screened </w:t>
      </w:r>
      <w:r w:rsidR="005D69DB" w:rsidRPr="0036007C">
        <w:t>at-risk communities according to the level of observed trachoma prevalence in children aged 5</w:t>
      </w:r>
      <w:r w:rsidR="003D00CE" w:rsidRPr="0036007C">
        <w:t>–</w:t>
      </w:r>
      <w:r w:rsidR="005D69DB" w:rsidRPr="0036007C">
        <w:t>9 years by region</w:t>
      </w:r>
      <w:r w:rsidRPr="0036007C">
        <w:t>, South Australia</w:t>
      </w:r>
      <w:r w:rsidR="00732509" w:rsidRPr="0036007C">
        <w:t>,</w:t>
      </w:r>
      <w:r w:rsidRPr="0036007C">
        <w:t xml:space="preserve"> </w:t>
      </w:r>
      <w:r w:rsidR="00E76BB4" w:rsidRPr="0036007C">
        <w:t>202</w:t>
      </w:r>
      <w:r w:rsidR="00845180" w:rsidRPr="0036007C">
        <w:t>4</w:t>
      </w:r>
      <w:bookmarkEnd w:id="321"/>
    </w:p>
    <w:p w14:paraId="0984DA04" w14:textId="3CF7FE7F" w:rsidR="00624E1A" w:rsidRPr="00C002DA" w:rsidRDefault="00624E1A" w:rsidP="00F76882">
      <w:r w:rsidRPr="00C002DA">
        <w:drawing>
          <wp:inline distT="0" distB="0" distL="0" distR="0" wp14:anchorId="10EB3145" wp14:editId="04A61FC0">
            <wp:extent cx="5940000" cy="3456000"/>
            <wp:effectExtent l="0" t="0" r="3810" b="0"/>
            <wp:docPr id="347130099" name="Chart 1" descr="Number of screened at-risk communities according to the level of observed trachoma prevalence in children aged 5–9 years by region, South Australia, 2024&#10;Figure 4.6 is a stacked bar graph with number of communities on the Y-axis and region on the X-axis.&#10;The APY Lands region column indicates that of the nine at-risk communities screened, all had no trachoma.&#10;The Eyre and Western region column indicates that of the three at-risk communities screened, all had no trachoma.&#10;The Far North region column indicates that of the three at-risk communities screened, all had no trachoma.&#10;">
              <a:extLst xmlns:a="http://schemas.openxmlformats.org/drawingml/2006/main">
                <a:ext uri="{FF2B5EF4-FFF2-40B4-BE49-F238E27FC236}">
                  <a16:creationId xmlns:a16="http://schemas.microsoft.com/office/drawing/2014/main" id="{2AE9BC3D-BEB0-48E5-847A-D8C42AA940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3F64350" w14:textId="2CA08009" w:rsidR="00C574D9" w:rsidRPr="0036007C" w:rsidRDefault="00C574D9" w:rsidP="00F76882">
      <w:pPr>
        <w:pStyle w:val="FigureHeadings"/>
      </w:pPr>
      <w:bookmarkStart w:id="322" w:name="_Ref58330918"/>
      <w:bookmarkStart w:id="323" w:name="_Toc215237067"/>
      <w:bookmarkEnd w:id="319"/>
      <w:bookmarkEnd w:id="320"/>
      <w:r w:rsidRPr="0036007C">
        <w:t xml:space="preserve">Figure </w:t>
      </w:r>
      <w:r w:rsidR="00966506" w:rsidRPr="0036007C">
        <w:t>4</w:t>
      </w:r>
      <w:r w:rsidRPr="0036007C">
        <w:t>.</w:t>
      </w:r>
      <w:bookmarkEnd w:id="322"/>
      <w:r w:rsidR="00CA193A" w:rsidRPr="0036007C">
        <w:t>7</w:t>
      </w:r>
      <w:r w:rsidRPr="0036007C">
        <w:tab/>
        <w:t>Number of doses of azithromycin administered for the treatment of trachoma by region, South Australia</w:t>
      </w:r>
      <w:r w:rsidR="00732509" w:rsidRPr="0036007C">
        <w:t>,</w:t>
      </w:r>
      <w:r w:rsidRPr="0036007C">
        <w:t xml:space="preserve"> 2007</w:t>
      </w:r>
      <w:r w:rsidR="003D00CE" w:rsidRPr="0036007C">
        <w:t>–</w:t>
      </w:r>
      <w:r w:rsidR="00E76BB4" w:rsidRPr="0036007C">
        <w:t>202</w:t>
      </w:r>
      <w:r w:rsidR="00845180" w:rsidRPr="0036007C">
        <w:t>4</w:t>
      </w:r>
      <w:bookmarkEnd w:id="323"/>
    </w:p>
    <w:p w14:paraId="051A5F8A" w14:textId="5632D8B2" w:rsidR="00FD7B5D" w:rsidRPr="00C002DA" w:rsidRDefault="00D114F5" w:rsidP="00F76882">
      <w:bookmarkStart w:id="324" w:name="_Ref58336610"/>
      <w:r w:rsidRPr="00C002DA">
        <w:drawing>
          <wp:inline distT="0" distB="0" distL="0" distR="0" wp14:anchorId="77AFFD3A" wp14:editId="58341013">
            <wp:extent cx="6300000" cy="3456000"/>
            <wp:effectExtent l="0" t="0" r="0" b="0"/>
            <wp:docPr id="1051561656" name="Chart 1" descr="Number of doses of azithromycin administered for the treatment of trachoma by region, South Australia, 2007–2024&#10;Figure 4.7 is a line graph for three regions with number of azithromycin doses on the Y-axis and year on the X-axis.&#10;In the APY Lands region, yearly doses administered rose from 12 in 2007 to peak at 328 doses in 2015. Following this, yearly dose numbers generally declined and have remained at zero since 2022.&#10;In the Eyre and Western region, yearly doses administered initially remained low from 2007 to 2009, with a spike to 322 doses in 2011. Following this, doses administered generally declined to less than 50 per year and have remained at zero since 2022.&#10;In the Far North region, doses administered remained at zero from 2007 to 2012. Numbers then rose steadily to peak at 211 doses in 2016, before dropping back sharply to below 20 doses per year from 2017 to 2019. Apart from a brief spike to 88 doses in 2020, dose numbers have returned to zero since 2021.&#10;">
              <a:extLst xmlns:a="http://schemas.openxmlformats.org/drawingml/2006/main">
                <a:ext uri="{FF2B5EF4-FFF2-40B4-BE49-F238E27FC236}">
                  <a16:creationId xmlns:a16="http://schemas.microsoft.com/office/drawing/2014/main" id="{426DA5CD-F2FE-42D5-8F96-EBB56FA1EB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00FD7B5D" w:rsidRPr="00C002DA">
        <w:br w:type="page"/>
      </w:r>
    </w:p>
    <w:p w14:paraId="69811386" w14:textId="2594456D" w:rsidR="00C574D9" w:rsidRPr="0036007C" w:rsidRDefault="00C574D9" w:rsidP="00F76882">
      <w:pPr>
        <w:pStyle w:val="Tableheadings"/>
      </w:pPr>
      <w:bookmarkStart w:id="325" w:name="_Toc215224710"/>
      <w:r w:rsidRPr="0036007C">
        <w:t xml:space="preserve">Table </w:t>
      </w:r>
      <w:r w:rsidR="00942F34" w:rsidRPr="0036007C">
        <w:t>4</w:t>
      </w:r>
      <w:r w:rsidRPr="0036007C">
        <w:t>.</w:t>
      </w:r>
      <w:r w:rsidRPr="0036007C">
        <w:fldChar w:fldCharType="begin"/>
      </w:r>
      <w:r w:rsidRPr="0036007C">
        <w:instrText>SEQ Table \* ARABIC \s 1</w:instrText>
      </w:r>
      <w:r w:rsidRPr="0036007C">
        <w:fldChar w:fldCharType="separate"/>
      </w:r>
      <w:r w:rsidRPr="0036007C">
        <w:t>1</w:t>
      </w:r>
      <w:r w:rsidRPr="0036007C">
        <w:fldChar w:fldCharType="end"/>
      </w:r>
      <w:bookmarkEnd w:id="324"/>
      <w:r w:rsidRPr="0036007C">
        <w:tab/>
        <w:t xml:space="preserve">Trachoma control delivery in </w:t>
      </w:r>
      <w:r w:rsidR="00046C9F" w:rsidRPr="0036007C">
        <w:t>at-risk communities</w:t>
      </w:r>
      <w:r w:rsidRPr="0036007C">
        <w:t xml:space="preserve"> by region, South Australia</w:t>
      </w:r>
      <w:r w:rsidR="00732509" w:rsidRPr="0036007C">
        <w:t>,</w:t>
      </w:r>
      <w:r w:rsidRPr="0036007C">
        <w:t xml:space="preserve"> </w:t>
      </w:r>
      <w:r w:rsidR="00E76BB4" w:rsidRPr="0036007C">
        <w:t>202</w:t>
      </w:r>
      <w:r w:rsidR="00845180" w:rsidRPr="0036007C">
        <w:t>4</w:t>
      </w:r>
      <w:bookmarkEnd w:id="325"/>
    </w:p>
    <w:tbl>
      <w:tblPr>
        <w:tblW w:w="5000" w:type="pct"/>
        <w:tblLook w:val="04A0" w:firstRow="1" w:lastRow="0" w:firstColumn="1" w:lastColumn="0" w:noHBand="0" w:noVBand="1"/>
        <w:tblCaption w:val="Trachoma control delivery in at-risk communities by region, South Australia, 2024"/>
        <w:tblDescription w:val="Table 4.1 compares the number of at-risk communities by the type of screening and/or treatment intervention. Data is presented for the APY Lands, Eyre and Western, Far North, and the cumulative total.&#10;"/>
      </w:tblPr>
      <w:tblGrid>
        <w:gridCol w:w="3272"/>
        <w:gridCol w:w="1797"/>
        <w:gridCol w:w="1797"/>
        <w:gridCol w:w="1796"/>
        <w:gridCol w:w="1794"/>
      </w:tblGrid>
      <w:tr w:rsidR="00046C9F" w:rsidRPr="0036007C" w14:paraId="66FC3443" w14:textId="77777777" w:rsidTr="004609FA">
        <w:trPr>
          <w:trHeight w:val="580"/>
          <w:tblHeader/>
        </w:trPr>
        <w:tc>
          <w:tcPr>
            <w:tcW w:w="1564" w:type="pct"/>
            <w:tcBorders>
              <w:top w:val="single" w:sz="4" w:space="0" w:color="auto"/>
              <w:left w:val="single" w:sz="4" w:space="0" w:color="auto"/>
              <w:bottom w:val="single" w:sz="4" w:space="0" w:color="auto"/>
              <w:right w:val="single" w:sz="4" w:space="0" w:color="auto"/>
            </w:tcBorders>
            <w:shd w:val="clear" w:color="000000" w:fill="BFBFBF"/>
            <w:hideMark/>
          </w:tcPr>
          <w:p w14:paraId="290B8CF6" w14:textId="77777777" w:rsidR="00046C9F" w:rsidRPr="0036007C" w:rsidRDefault="00046C9F" w:rsidP="00F76882">
            <w:pPr>
              <w:pStyle w:val="Tableheading"/>
              <w:rPr>
                <w:lang w:eastAsia="en-AU"/>
              </w:rPr>
            </w:pPr>
            <w:r w:rsidRPr="0036007C">
              <w:t>Number of communities</w:t>
            </w:r>
          </w:p>
        </w:tc>
        <w:tc>
          <w:tcPr>
            <w:tcW w:w="859" w:type="pct"/>
            <w:tcBorders>
              <w:top w:val="single" w:sz="4" w:space="0" w:color="auto"/>
              <w:left w:val="nil"/>
              <w:bottom w:val="single" w:sz="4" w:space="0" w:color="auto"/>
              <w:right w:val="single" w:sz="4" w:space="0" w:color="auto"/>
            </w:tcBorders>
            <w:shd w:val="clear" w:color="000000" w:fill="BFBFBF"/>
            <w:noWrap/>
            <w:hideMark/>
          </w:tcPr>
          <w:p w14:paraId="3B2B790F" w14:textId="77777777" w:rsidR="00046C9F" w:rsidRPr="0036007C" w:rsidRDefault="00046C9F" w:rsidP="00F76882">
            <w:pPr>
              <w:pStyle w:val="Tableheading"/>
            </w:pPr>
            <w:r w:rsidRPr="0036007C">
              <w:t>APY Lands</w:t>
            </w:r>
          </w:p>
        </w:tc>
        <w:tc>
          <w:tcPr>
            <w:tcW w:w="859" w:type="pct"/>
            <w:tcBorders>
              <w:top w:val="single" w:sz="4" w:space="0" w:color="auto"/>
              <w:left w:val="nil"/>
              <w:bottom w:val="single" w:sz="4" w:space="0" w:color="auto"/>
              <w:right w:val="single" w:sz="4" w:space="0" w:color="auto"/>
            </w:tcBorders>
            <w:shd w:val="clear" w:color="000000" w:fill="BFBFBF"/>
            <w:hideMark/>
          </w:tcPr>
          <w:p w14:paraId="0DCFF710" w14:textId="77777777" w:rsidR="00046C9F" w:rsidRPr="0036007C" w:rsidRDefault="00046C9F" w:rsidP="00F76882">
            <w:pPr>
              <w:pStyle w:val="Tableheading"/>
            </w:pPr>
            <w:r w:rsidRPr="0036007C">
              <w:t>Eyre and Western</w:t>
            </w:r>
          </w:p>
        </w:tc>
        <w:tc>
          <w:tcPr>
            <w:tcW w:w="859" w:type="pct"/>
            <w:tcBorders>
              <w:top w:val="single" w:sz="4" w:space="0" w:color="auto"/>
              <w:left w:val="nil"/>
              <w:bottom w:val="single" w:sz="4" w:space="0" w:color="auto"/>
              <w:right w:val="single" w:sz="4" w:space="0" w:color="auto"/>
            </w:tcBorders>
            <w:shd w:val="clear" w:color="000000" w:fill="BFBFBF"/>
            <w:noWrap/>
            <w:hideMark/>
          </w:tcPr>
          <w:p w14:paraId="7E45E6A4" w14:textId="77777777" w:rsidR="00046C9F" w:rsidRPr="0036007C" w:rsidRDefault="00046C9F" w:rsidP="00F76882">
            <w:pPr>
              <w:pStyle w:val="Tableheading"/>
            </w:pPr>
            <w:r w:rsidRPr="0036007C">
              <w:t>Far North</w:t>
            </w:r>
          </w:p>
        </w:tc>
        <w:tc>
          <w:tcPr>
            <w:tcW w:w="858" w:type="pct"/>
            <w:tcBorders>
              <w:top w:val="single" w:sz="4" w:space="0" w:color="auto"/>
              <w:left w:val="nil"/>
              <w:bottom w:val="single" w:sz="4" w:space="0" w:color="auto"/>
              <w:right w:val="single" w:sz="4" w:space="0" w:color="auto"/>
            </w:tcBorders>
            <w:shd w:val="clear" w:color="000000" w:fill="BFBFBF"/>
            <w:noWrap/>
            <w:hideMark/>
          </w:tcPr>
          <w:p w14:paraId="5AAE2CDE" w14:textId="77777777" w:rsidR="00046C9F" w:rsidRPr="0036007C" w:rsidRDefault="00046C9F" w:rsidP="00F76882">
            <w:pPr>
              <w:pStyle w:val="Tableheading"/>
            </w:pPr>
            <w:r w:rsidRPr="0036007C">
              <w:t>Total</w:t>
            </w:r>
          </w:p>
        </w:tc>
      </w:tr>
      <w:tr w:rsidR="00427968" w:rsidRPr="0036007C" w14:paraId="5616B3CA" w14:textId="77777777" w:rsidTr="001E6D87">
        <w:trPr>
          <w:trHeight w:val="290"/>
        </w:trPr>
        <w:tc>
          <w:tcPr>
            <w:tcW w:w="1564" w:type="pct"/>
            <w:tcBorders>
              <w:top w:val="nil"/>
              <w:left w:val="single" w:sz="4" w:space="0" w:color="auto"/>
              <w:bottom w:val="single" w:sz="4" w:space="0" w:color="auto"/>
              <w:right w:val="single" w:sz="4" w:space="0" w:color="auto"/>
            </w:tcBorders>
            <w:hideMark/>
          </w:tcPr>
          <w:p w14:paraId="746DD297" w14:textId="0230CF7B" w:rsidR="00427968" w:rsidRPr="0036007C" w:rsidRDefault="00427968" w:rsidP="00F76882">
            <w:pPr>
              <w:pStyle w:val="Tabletextleft"/>
            </w:pPr>
            <w:r w:rsidRPr="0036007C">
              <w:t>At risk (A)</w:t>
            </w:r>
            <w:r w:rsidR="004323D3" w:rsidRPr="0036007C">
              <w:t>*</w:t>
            </w:r>
          </w:p>
        </w:tc>
        <w:tc>
          <w:tcPr>
            <w:tcW w:w="859" w:type="pct"/>
            <w:tcBorders>
              <w:top w:val="nil"/>
              <w:left w:val="nil"/>
              <w:bottom w:val="single" w:sz="4" w:space="0" w:color="auto"/>
              <w:right w:val="single" w:sz="4" w:space="0" w:color="auto"/>
            </w:tcBorders>
            <w:noWrap/>
          </w:tcPr>
          <w:p w14:paraId="3434EC68" w14:textId="2F8F6805" w:rsidR="00427968" w:rsidRPr="0036007C" w:rsidRDefault="00427968" w:rsidP="00F76882">
            <w:pPr>
              <w:pStyle w:val="Tabletext"/>
            </w:pPr>
            <w:r w:rsidRPr="0036007C">
              <w:t>9</w:t>
            </w:r>
          </w:p>
        </w:tc>
        <w:tc>
          <w:tcPr>
            <w:tcW w:w="859" w:type="pct"/>
            <w:tcBorders>
              <w:top w:val="nil"/>
              <w:left w:val="nil"/>
              <w:bottom w:val="single" w:sz="4" w:space="0" w:color="auto"/>
              <w:right w:val="single" w:sz="4" w:space="0" w:color="auto"/>
            </w:tcBorders>
            <w:noWrap/>
          </w:tcPr>
          <w:p w14:paraId="6D5E2DDE" w14:textId="2B9644E2" w:rsidR="00427968" w:rsidRPr="0036007C" w:rsidRDefault="00427968" w:rsidP="00F76882">
            <w:pPr>
              <w:pStyle w:val="Tabletext"/>
            </w:pPr>
            <w:r w:rsidRPr="0036007C">
              <w:t>4</w:t>
            </w:r>
          </w:p>
        </w:tc>
        <w:tc>
          <w:tcPr>
            <w:tcW w:w="859" w:type="pct"/>
            <w:tcBorders>
              <w:top w:val="nil"/>
              <w:left w:val="nil"/>
              <w:bottom w:val="single" w:sz="4" w:space="0" w:color="auto"/>
              <w:right w:val="single" w:sz="4" w:space="0" w:color="auto"/>
            </w:tcBorders>
            <w:noWrap/>
          </w:tcPr>
          <w:p w14:paraId="5112808E" w14:textId="3EDD6D5D" w:rsidR="00427968" w:rsidRPr="0036007C" w:rsidRDefault="00427968" w:rsidP="00F76882">
            <w:pPr>
              <w:pStyle w:val="Tabletext"/>
            </w:pPr>
            <w:r w:rsidRPr="0036007C">
              <w:t>3</w:t>
            </w:r>
          </w:p>
        </w:tc>
        <w:tc>
          <w:tcPr>
            <w:tcW w:w="858" w:type="pct"/>
            <w:tcBorders>
              <w:top w:val="nil"/>
              <w:left w:val="nil"/>
              <w:bottom w:val="single" w:sz="4" w:space="0" w:color="auto"/>
              <w:right w:val="single" w:sz="4" w:space="0" w:color="auto"/>
            </w:tcBorders>
            <w:noWrap/>
          </w:tcPr>
          <w:p w14:paraId="4DDA986F" w14:textId="4FB96BC4" w:rsidR="00427968" w:rsidRPr="0036007C" w:rsidRDefault="00427968" w:rsidP="00F76882">
            <w:pPr>
              <w:pStyle w:val="Tabletext"/>
            </w:pPr>
            <w:r w:rsidRPr="0036007C">
              <w:t>16</w:t>
            </w:r>
          </w:p>
        </w:tc>
      </w:tr>
      <w:tr w:rsidR="00427968" w:rsidRPr="0036007C" w14:paraId="30D6FFA7" w14:textId="77777777" w:rsidTr="001E6D87">
        <w:trPr>
          <w:trHeight w:val="580"/>
        </w:trPr>
        <w:tc>
          <w:tcPr>
            <w:tcW w:w="1564" w:type="pct"/>
            <w:tcBorders>
              <w:top w:val="nil"/>
              <w:left w:val="single" w:sz="4" w:space="0" w:color="auto"/>
              <w:bottom w:val="single" w:sz="4" w:space="0" w:color="auto"/>
              <w:right w:val="single" w:sz="4" w:space="0" w:color="auto"/>
            </w:tcBorders>
            <w:shd w:val="clear" w:color="000000" w:fill="BFBFBF"/>
            <w:hideMark/>
          </w:tcPr>
          <w:p w14:paraId="3FFC2194" w14:textId="77777777" w:rsidR="00427968" w:rsidRPr="0036007C" w:rsidRDefault="00427968" w:rsidP="00F76882">
            <w:pPr>
              <w:pStyle w:val="Tabletextleft"/>
            </w:pPr>
            <w:r w:rsidRPr="0036007C">
              <w:t>Requiring screening for trachoma (B)</w:t>
            </w:r>
          </w:p>
        </w:tc>
        <w:tc>
          <w:tcPr>
            <w:tcW w:w="859" w:type="pct"/>
            <w:tcBorders>
              <w:top w:val="nil"/>
              <w:left w:val="nil"/>
              <w:bottom w:val="single" w:sz="4" w:space="0" w:color="auto"/>
              <w:right w:val="single" w:sz="4" w:space="0" w:color="auto"/>
            </w:tcBorders>
            <w:shd w:val="clear" w:color="000000" w:fill="BFBFBF"/>
            <w:noWrap/>
          </w:tcPr>
          <w:p w14:paraId="46A0F266" w14:textId="17681606" w:rsidR="00427968" w:rsidRPr="0036007C" w:rsidRDefault="00427968" w:rsidP="00F76882">
            <w:pPr>
              <w:pStyle w:val="Tabletext"/>
            </w:pPr>
            <w:r w:rsidRPr="0036007C">
              <w:t>9</w:t>
            </w:r>
          </w:p>
        </w:tc>
        <w:tc>
          <w:tcPr>
            <w:tcW w:w="859" w:type="pct"/>
            <w:tcBorders>
              <w:top w:val="nil"/>
              <w:left w:val="nil"/>
              <w:bottom w:val="single" w:sz="4" w:space="0" w:color="auto"/>
              <w:right w:val="single" w:sz="4" w:space="0" w:color="auto"/>
            </w:tcBorders>
            <w:shd w:val="clear" w:color="000000" w:fill="BFBFBF"/>
            <w:noWrap/>
          </w:tcPr>
          <w:p w14:paraId="277FFF69" w14:textId="0F21932A" w:rsidR="00427968" w:rsidRPr="0036007C" w:rsidRDefault="00427968" w:rsidP="00F76882">
            <w:pPr>
              <w:pStyle w:val="Tabletext"/>
            </w:pPr>
            <w:r w:rsidRPr="0036007C">
              <w:t>4</w:t>
            </w:r>
          </w:p>
        </w:tc>
        <w:tc>
          <w:tcPr>
            <w:tcW w:w="859" w:type="pct"/>
            <w:tcBorders>
              <w:top w:val="nil"/>
              <w:left w:val="nil"/>
              <w:bottom w:val="single" w:sz="4" w:space="0" w:color="auto"/>
              <w:right w:val="single" w:sz="4" w:space="0" w:color="auto"/>
            </w:tcBorders>
            <w:shd w:val="clear" w:color="000000" w:fill="BFBFBF"/>
            <w:noWrap/>
          </w:tcPr>
          <w:p w14:paraId="74761624" w14:textId="16176177" w:rsidR="00427968" w:rsidRPr="0036007C" w:rsidRDefault="00427968" w:rsidP="00F76882">
            <w:pPr>
              <w:pStyle w:val="Tabletext"/>
            </w:pPr>
            <w:r w:rsidRPr="0036007C">
              <w:t>3</w:t>
            </w:r>
          </w:p>
        </w:tc>
        <w:tc>
          <w:tcPr>
            <w:tcW w:w="858" w:type="pct"/>
            <w:tcBorders>
              <w:top w:val="nil"/>
              <w:left w:val="nil"/>
              <w:bottom w:val="single" w:sz="4" w:space="0" w:color="auto"/>
              <w:right w:val="single" w:sz="4" w:space="0" w:color="auto"/>
            </w:tcBorders>
            <w:shd w:val="clear" w:color="000000" w:fill="BFBFBF"/>
            <w:noWrap/>
          </w:tcPr>
          <w:p w14:paraId="713C495A" w14:textId="1A02D658" w:rsidR="00427968" w:rsidRPr="0036007C" w:rsidRDefault="00427968" w:rsidP="00F76882">
            <w:pPr>
              <w:pStyle w:val="Tabletext"/>
            </w:pPr>
            <w:r w:rsidRPr="0036007C">
              <w:t>16</w:t>
            </w:r>
          </w:p>
        </w:tc>
      </w:tr>
      <w:tr w:rsidR="00427968" w:rsidRPr="0036007C" w14:paraId="42D2D60E" w14:textId="77777777" w:rsidTr="001E6D87">
        <w:trPr>
          <w:trHeight w:val="290"/>
        </w:trPr>
        <w:tc>
          <w:tcPr>
            <w:tcW w:w="1564" w:type="pct"/>
            <w:tcBorders>
              <w:top w:val="nil"/>
              <w:left w:val="single" w:sz="4" w:space="0" w:color="auto"/>
              <w:bottom w:val="single" w:sz="4" w:space="0" w:color="auto"/>
              <w:right w:val="single" w:sz="4" w:space="0" w:color="auto"/>
            </w:tcBorders>
            <w:hideMark/>
          </w:tcPr>
          <w:p w14:paraId="431A6A2E" w14:textId="77777777" w:rsidR="00427968" w:rsidRPr="0036007C" w:rsidRDefault="00427968" w:rsidP="00F76882">
            <w:pPr>
              <w:pStyle w:val="Tabletextleft"/>
            </w:pPr>
            <w:r w:rsidRPr="0036007C">
              <w:t>Screened for trachoma (C)</w:t>
            </w:r>
          </w:p>
        </w:tc>
        <w:tc>
          <w:tcPr>
            <w:tcW w:w="859" w:type="pct"/>
            <w:tcBorders>
              <w:top w:val="nil"/>
              <w:left w:val="nil"/>
              <w:bottom w:val="single" w:sz="4" w:space="0" w:color="auto"/>
              <w:right w:val="single" w:sz="4" w:space="0" w:color="auto"/>
            </w:tcBorders>
            <w:noWrap/>
          </w:tcPr>
          <w:p w14:paraId="67684F9C" w14:textId="79E5A5B6" w:rsidR="00427968" w:rsidRPr="0036007C" w:rsidRDefault="00427968" w:rsidP="00F76882">
            <w:pPr>
              <w:pStyle w:val="Tabletext"/>
            </w:pPr>
            <w:r w:rsidRPr="0036007C">
              <w:t>9</w:t>
            </w:r>
          </w:p>
        </w:tc>
        <w:tc>
          <w:tcPr>
            <w:tcW w:w="859" w:type="pct"/>
            <w:tcBorders>
              <w:top w:val="nil"/>
              <w:left w:val="nil"/>
              <w:bottom w:val="single" w:sz="4" w:space="0" w:color="auto"/>
              <w:right w:val="single" w:sz="4" w:space="0" w:color="auto"/>
            </w:tcBorders>
            <w:noWrap/>
          </w:tcPr>
          <w:p w14:paraId="27C2F8E7" w14:textId="7A133CB6" w:rsidR="00427968" w:rsidRPr="0036007C" w:rsidRDefault="00427968" w:rsidP="00F76882">
            <w:pPr>
              <w:pStyle w:val="Tabletext"/>
            </w:pPr>
            <w:r w:rsidRPr="0036007C">
              <w:t>3</w:t>
            </w:r>
          </w:p>
        </w:tc>
        <w:tc>
          <w:tcPr>
            <w:tcW w:w="859" w:type="pct"/>
            <w:tcBorders>
              <w:top w:val="nil"/>
              <w:left w:val="nil"/>
              <w:bottom w:val="single" w:sz="4" w:space="0" w:color="auto"/>
              <w:right w:val="single" w:sz="4" w:space="0" w:color="auto"/>
            </w:tcBorders>
            <w:noWrap/>
          </w:tcPr>
          <w:p w14:paraId="7DD3789A" w14:textId="4F0D0D39" w:rsidR="00427968" w:rsidRPr="0036007C" w:rsidRDefault="00427968" w:rsidP="00F76882">
            <w:pPr>
              <w:pStyle w:val="Tabletext"/>
            </w:pPr>
            <w:r w:rsidRPr="0036007C">
              <w:t>3</w:t>
            </w:r>
          </w:p>
        </w:tc>
        <w:tc>
          <w:tcPr>
            <w:tcW w:w="858" w:type="pct"/>
            <w:tcBorders>
              <w:top w:val="nil"/>
              <w:left w:val="nil"/>
              <w:bottom w:val="single" w:sz="4" w:space="0" w:color="auto"/>
              <w:right w:val="single" w:sz="4" w:space="0" w:color="auto"/>
            </w:tcBorders>
            <w:noWrap/>
          </w:tcPr>
          <w:p w14:paraId="34C69F1C" w14:textId="42C12E55" w:rsidR="00427968" w:rsidRPr="0036007C" w:rsidRDefault="00427968" w:rsidP="00F76882">
            <w:pPr>
              <w:pStyle w:val="Tabletext"/>
            </w:pPr>
            <w:r w:rsidRPr="0036007C">
              <w:t>15</w:t>
            </w:r>
          </w:p>
        </w:tc>
      </w:tr>
      <w:tr w:rsidR="00427968" w:rsidRPr="0036007C" w14:paraId="795611D6" w14:textId="77777777" w:rsidTr="001E6D87">
        <w:trPr>
          <w:trHeight w:val="580"/>
        </w:trPr>
        <w:tc>
          <w:tcPr>
            <w:tcW w:w="1564" w:type="pct"/>
            <w:tcBorders>
              <w:top w:val="nil"/>
              <w:left w:val="single" w:sz="4" w:space="0" w:color="auto"/>
              <w:bottom w:val="single" w:sz="4" w:space="0" w:color="auto"/>
              <w:right w:val="single" w:sz="4" w:space="0" w:color="auto"/>
            </w:tcBorders>
            <w:shd w:val="clear" w:color="000000" w:fill="BFBFBF"/>
            <w:hideMark/>
          </w:tcPr>
          <w:p w14:paraId="2D6AAB9B" w14:textId="77777777" w:rsidR="00427968" w:rsidRPr="0036007C" w:rsidRDefault="00427968" w:rsidP="00F76882">
            <w:pPr>
              <w:pStyle w:val="Tabletextleft"/>
            </w:pPr>
            <w:r w:rsidRPr="0036007C">
              <w:t>Requiring treatment without screening† (D)</w:t>
            </w:r>
          </w:p>
        </w:tc>
        <w:tc>
          <w:tcPr>
            <w:tcW w:w="859" w:type="pct"/>
            <w:tcBorders>
              <w:top w:val="nil"/>
              <w:left w:val="nil"/>
              <w:bottom w:val="single" w:sz="4" w:space="0" w:color="auto"/>
              <w:right w:val="single" w:sz="4" w:space="0" w:color="auto"/>
            </w:tcBorders>
            <w:shd w:val="clear" w:color="000000" w:fill="BFBFBF"/>
            <w:noWrap/>
          </w:tcPr>
          <w:p w14:paraId="70462EF3" w14:textId="081B3891" w:rsidR="00427968" w:rsidRPr="0036007C" w:rsidRDefault="00427968" w:rsidP="00F76882">
            <w:pPr>
              <w:pStyle w:val="Tabletext"/>
            </w:pPr>
            <w:r w:rsidRPr="0036007C">
              <w:t>0</w:t>
            </w:r>
          </w:p>
        </w:tc>
        <w:tc>
          <w:tcPr>
            <w:tcW w:w="859" w:type="pct"/>
            <w:tcBorders>
              <w:top w:val="nil"/>
              <w:left w:val="nil"/>
              <w:bottom w:val="single" w:sz="4" w:space="0" w:color="auto"/>
              <w:right w:val="single" w:sz="4" w:space="0" w:color="auto"/>
            </w:tcBorders>
            <w:shd w:val="clear" w:color="000000" w:fill="BFBFBF"/>
            <w:noWrap/>
          </w:tcPr>
          <w:p w14:paraId="4F8411B8" w14:textId="1755C34F" w:rsidR="00427968" w:rsidRPr="0036007C" w:rsidRDefault="00427968" w:rsidP="00F76882">
            <w:pPr>
              <w:pStyle w:val="Tabletext"/>
            </w:pPr>
            <w:r w:rsidRPr="0036007C">
              <w:t>0</w:t>
            </w:r>
          </w:p>
        </w:tc>
        <w:tc>
          <w:tcPr>
            <w:tcW w:w="859" w:type="pct"/>
            <w:tcBorders>
              <w:top w:val="nil"/>
              <w:left w:val="nil"/>
              <w:bottom w:val="single" w:sz="4" w:space="0" w:color="auto"/>
              <w:right w:val="single" w:sz="4" w:space="0" w:color="auto"/>
            </w:tcBorders>
            <w:shd w:val="clear" w:color="000000" w:fill="BFBFBF"/>
            <w:noWrap/>
          </w:tcPr>
          <w:p w14:paraId="18A899FC" w14:textId="50325CC1" w:rsidR="00427968" w:rsidRPr="0036007C" w:rsidRDefault="00427968" w:rsidP="00F76882">
            <w:pPr>
              <w:pStyle w:val="Tabletext"/>
            </w:pPr>
            <w:r w:rsidRPr="0036007C">
              <w:t>0</w:t>
            </w:r>
          </w:p>
        </w:tc>
        <w:tc>
          <w:tcPr>
            <w:tcW w:w="858" w:type="pct"/>
            <w:tcBorders>
              <w:top w:val="nil"/>
              <w:left w:val="nil"/>
              <w:bottom w:val="single" w:sz="4" w:space="0" w:color="auto"/>
              <w:right w:val="single" w:sz="4" w:space="0" w:color="auto"/>
            </w:tcBorders>
            <w:shd w:val="clear" w:color="000000" w:fill="BFBFBF"/>
            <w:noWrap/>
          </w:tcPr>
          <w:p w14:paraId="17281FBB" w14:textId="371D34A7" w:rsidR="00427968" w:rsidRPr="0036007C" w:rsidRDefault="00427968" w:rsidP="00F76882">
            <w:pPr>
              <w:pStyle w:val="Tabletext"/>
            </w:pPr>
            <w:r w:rsidRPr="0036007C">
              <w:t>0</w:t>
            </w:r>
          </w:p>
        </w:tc>
      </w:tr>
      <w:tr w:rsidR="00427968" w:rsidRPr="0036007C" w14:paraId="3555FAE1" w14:textId="77777777" w:rsidTr="001E6D87">
        <w:trPr>
          <w:trHeight w:val="580"/>
        </w:trPr>
        <w:tc>
          <w:tcPr>
            <w:tcW w:w="1564" w:type="pct"/>
            <w:tcBorders>
              <w:top w:val="nil"/>
              <w:left w:val="single" w:sz="4" w:space="0" w:color="auto"/>
              <w:bottom w:val="single" w:sz="4" w:space="0" w:color="auto"/>
              <w:right w:val="single" w:sz="4" w:space="0" w:color="auto"/>
            </w:tcBorders>
            <w:hideMark/>
          </w:tcPr>
          <w:p w14:paraId="75F734D4" w14:textId="7E03E04D" w:rsidR="00427968" w:rsidRPr="0036007C" w:rsidRDefault="00427968" w:rsidP="00F76882">
            <w:pPr>
              <w:pStyle w:val="Tabletextleft"/>
            </w:pPr>
            <w:r w:rsidRPr="0036007C">
              <w:t>Received treatment without screening (E)</w:t>
            </w:r>
          </w:p>
        </w:tc>
        <w:tc>
          <w:tcPr>
            <w:tcW w:w="859" w:type="pct"/>
            <w:tcBorders>
              <w:top w:val="nil"/>
              <w:left w:val="nil"/>
              <w:bottom w:val="single" w:sz="4" w:space="0" w:color="auto"/>
              <w:right w:val="single" w:sz="4" w:space="0" w:color="auto"/>
            </w:tcBorders>
            <w:noWrap/>
          </w:tcPr>
          <w:p w14:paraId="27B28D0C" w14:textId="7679AAA7" w:rsidR="00427968" w:rsidRPr="0036007C" w:rsidRDefault="00427968" w:rsidP="00F76882">
            <w:pPr>
              <w:pStyle w:val="Tabletext"/>
            </w:pPr>
            <w:r w:rsidRPr="0036007C">
              <w:t>0</w:t>
            </w:r>
          </w:p>
        </w:tc>
        <w:tc>
          <w:tcPr>
            <w:tcW w:w="859" w:type="pct"/>
            <w:tcBorders>
              <w:top w:val="nil"/>
              <w:left w:val="nil"/>
              <w:bottom w:val="single" w:sz="4" w:space="0" w:color="auto"/>
              <w:right w:val="single" w:sz="4" w:space="0" w:color="auto"/>
            </w:tcBorders>
            <w:noWrap/>
          </w:tcPr>
          <w:p w14:paraId="07D9CBB9" w14:textId="3494CD84" w:rsidR="00427968" w:rsidRPr="0036007C" w:rsidRDefault="00427968" w:rsidP="00F76882">
            <w:pPr>
              <w:pStyle w:val="Tabletext"/>
            </w:pPr>
            <w:r w:rsidRPr="0036007C">
              <w:t>0</w:t>
            </w:r>
          </w:p>
        </w:tc>
        <w:tc>
          <w:tcPr>
            <w:tcW w:w="859" w:type="pct"/>
            <w:tcBorders>
              <w:top w:val="nil"/>
              <w:left w:val="nil"/>
              <w:bottom w:val="single" w:sz="4" w:space="0" w:color="auto"/>
              <w:right w:val="single" w:sz="4" w:space="0" w:color="auto"/>
            </w:tcBorders>
            <w:noWrap/>
          </w:tcPr>
          <w:p w14:paraId="49691AD3" w14:textId="4B9D1CBD" w:rsidR="00427968" w:rsidRPr="0036007C" w:rsidRDefault="00427968" w:rsidP="00F76882">
            <w:pPr>
              <w:pStyle w:val="Tabletext"/>
            </w:pPr>
            <w:r w:rsidRPr="0036007C">
              <w:t>0</w:t>
            </w:r>
          </w:p>
        </w:tc>
        <w:tc>
          <w:tcPr>
            <w:tcW w:w="858" w:type="pct"/>
            <w:tcBorders>
              <w:top w:val="nil"/>
              <w:left w:val="nil"/>
              <w:bottom w:val="single" w:sz="4" w:space="0" w:color="auto"/>
              <w:right w:val="single" w:sz="4" w:space="0" w:color="auto"/>
            </w:tcBorders>
            <w:noWrap/>
          </w:tcPr>
          <w:p w14:paraId="6036E758" w14:textId="65646C0E" w:rsidR="00427968" w:rsidRPr="0036007C" w:rsidRDefault="00427968" w:rsidP="00F76882">
            <w:pPr>
              <w:pStyle w:val="Tabletext"/>
            </w:pPr>
            <w:r w:rsidRPr="0036007C">
              <w:t>0</w:t>
            </w:r>
          </w:p>
        </w:tc>
      </w:tr>
      <w:tr w:rsidR="00427968" w:rsidRPr="0036007C" w14:paraId="4D3BECF9" w14:textId="77777777" w:rsidTr="001E6D87">
        <w:trPr>
          <w:trHeight w:val="580"/>
        </w:trPr>
        <w:tc>
          <w:tcPr>
            <w:tcW w:w="1564" w:type="pct"/>
            <w:tcBorders>
              <w:top w:val="nil"/>
              <w:left w:val="single" w:sz="4" w:space="0" w:color="auto"/>
              <w:bottom w:val="single" w:sz="4" w:space="0" w:color="auto"/>
              <w:right w:val="single" w:sz="4" w:space="0" w:color="auto"/>
            </w:tcBorders>
            <w:shd w:val="clear" w:color="000000" w:fill="BFBFBF"/>
            <w:hideMark/>
          </w:tcPr>
          <w:p w14:paraId="3E865065" w14:textId="77777777" w:rsidR="00427968" w:rsidRPr="0036007C" w:rsidRDefault="00427968" w:rsidP="00F76882">
            <w:pPr>
              <w:pStyle w:val="Tabletextleft"/>
            </w:pPr>
            <w:r w:rsidRPr="0036007C">
              <w:t>Screened and/or treated for trachoma (F=C+E)</w:t>
            </w:r>
          </w:p>
        </w:tc>
        <w:tc>
          <w:tcPr>
            <w:tcW w:w="859" w:type="pct"/>
            <w:tcBorders>
              <w:top w:val="nil"/>
              <w:left w:val="nil"/>
              <w:bottom w:val="single" w:sz="4" w:space="0" w:color="auto"/>
              <w:right w:val="single" w:sz="4" w:space="0" w:color="auto"/>
            </w:tcBorders>
            <w:shd w:val="clear" w:color="000000" w:fill="BFBFBF"/>
            <w:noWrap/>
          </w:tcPr>
          <w:p w14:paraId="41C7178C" w14:textId="5892366B" w:rsidR="00427968" w:rsidRPr="0036007C" w:rsidRDefault="00427968" w:rsidP="00F76882">
            <w:pPr>
              <w:pStyle w:val="Tabletext"/>
            </w:pPr>
            <w:r w:rsidRPr="0036007C">
              <w:t>9</w:t>
            </w:r>
          </w:p>
        </w:tc>
        <w:tc>
          <w:tcPr>
            <w:tcW w:w="859" w:type="pct"/>
            <w:tcBorders>
              <w:top w:val="nil"/>
              <w:left w:val="nil"/>
              <w:bottom w:val="single" w:sz="4" w:space="0" w:color="auto"/>
              <w:right w:val="single" w:sz="4" w:space="0" w:color="auto"/>
            </w:tcBorders>
            <w:shd w:val="clear" w:color="000000" w:fill="BFBFBF"/>
            <w:noWrap/>
          </w:tcPr>
          <w:p w14:paraId="0DDF1C12" w14:textId="7C3E7ED5" w:rsidR="00427968" w:rsidRPr="0036007C" w:rsidRDefault="00427968" w:rsidP="00F76882">
            <w:pPr>
              <w:pStyle w:val="Tabletext"/>
            </w:pPr>
            <w:r w:rsidRPr="0036007C">
              <w:t>3</w:t>
            </w:r>
          </w:p>
        </w:tc>
        <w:tc>
          <w:tcPr>
            <w:tcW w:w="859" w:type="pct"/>
            <w:tcBorders>
              <w:top w:val="nil"/>
              <w:left w:val="nil"/>
              <w:bottom w:val="single" w:sz="4" w:space="0" w:color="auto"/>
              <w:right w:val="single" w:sz="4" w:space="0" w:color="auto"/>
            </w:tcBorders>
            <w:shd w:val="clear" w:color="000000" w:fill="BFBFBF"/>
            <w:noWrap/>
          </w:tcPr>
          <w:p w14:paraId="43449995" w14:textId="0494BB07" w:rsidR="00427968" w:rsidRPr="0036007C" w:rsidRDefault="00427968" w:rsidP="00F76882">
            <w:pPr>
              <w:pStyle w:val="Tabletext"/>
            </w:pPr>
            <w:r w:rsidRPr="0036007C">
              <w:t>3</w:t>
            </w:r>
          </w:p>
        </w:tc>
        <w:tc>
          <w:tcPr>
            <w:tcW w:w="858" w:type="pct"/>
            <w:tcBorders>
              <w:top w:val="nil"/>
              <w:left w:val="nil"/>
              <w:bottom w:val="single" w:sz="4" w:space="0" w:color="auto"/>
              <w:right w:val="single" w:sz="4" w:space="0" w:color="auto"/>
            </w:tcBorders>
            <w:shd w:val="clear" w:color="000000" w:fill="BFBFBF"/>
            <w:noWrap/>
          </w:tcPr>
          <w:p w14:paraId="39C4C810" w14:textId="58D7A294" w:rsidR="00427968" w:rsidRPr="0036007C" w:rsidRDefault="00427968" w:rsidP="00F76882">
            <w:pPr>
              <w:pStyle w:val="Tabletext"/>
            </w:pPr>
            <w:r w:rsidRPr="0036007C">
              <w:t>15</w:t>
            </w:r>
          </w:p>
        </w:tc>
      </w:tr>
      <w:tr w:rsidR="00427968" w:rsidRPr="0036007C" w14:paraId="7368A285" w14:textId="77777777" w:rsidTr="001E6D87">
        <w:trPr>
          <w:trHeight w:val="870"/>
        </w:trPr>
        <w:tc>
          <w:tcPr>
            <w:tcW w:w="1564" w:type="pct"/>
            <w:tcBorders>
              <w:top w:val="nil"/>
              <w:left w:val="single" w:sz="4" w:space="0" w:color="auto"/>
              <w:bottom w:val="single" w:sz="4" w:space="0" w:color="auto"/>
              <w:right w:val="single" w:sz="4" w:space="0" w:color="auto"/>
            </w:tcBorders>
            <w:hideMark/>
          </w:tcPr>
          <w:p w14:paraId="0EFEDA29" w14:textId="560645C3" w:rsidR="00427968" w:rsidRPr="0036007C" w:rsidRDefault="00427968" w:rsidP="00F76882">
            <w:pPr>
              <w:pStyle w:val="Tabletextleft"/>
            </w:pPr>
            <w:r w:rsidRPr="0036007C">
              <w:t>Requiring neither screening nor treatment for trachoma (G=A-B-D)</w:t>
            </w:r>
          </w:p>
        </w:tc>
        <w:tc>
          <w:tcPr>
            <w:tcW w:w="859" w:type="pct"/>
            <w:tcBorders>
              <w:top w:val="nil"/>
              <w:left w:val="nil"/>
              <w:bottom w:val="single" w:sz="4" w:space="0" w:color="auto"/>
              <w:right w:val="single" w:sz="4" w:space="0" w:color="auto"/>
            </w:tcBorders>
            <w:noWrap/>
          </w:tcPr>
          <w:p w14:paraId="6204183B" w14:textId="6384F9F4" w:rsidR="00427968" w:rsidRPr="0036007C" w:rsidRDefault="00427968" w:rsidP="00F76882">
            <w:pPr>
              <w:pStyle w:val="Tabletext"/>
            </w:pPr>
            <w:r w:rsidRPr="0036007C">
              <w:t>0</w:t>
            </w:r>
          </w:p>
        </w:tc>
        <w:tc>
          <w:tcPr>
            <w:tcW w:w="859" w:type="pct"/>
            <w:tcBorders>
              <w:top w:val="nil"/>
              <w:left w:val="nil"/>
              <w:bottom w:val="single" w:sz="4" w:space="0" w:color="auto"/>
              <w:right w:val="single" w:sz="4" w:space="0" w:color="auto"/>
            </w:tcBorders>
            <w:noWrap/>
          </w:tcPr>
          <w:p w14:paraId="52227842" w14:textId="7F75FEF2" w:rsidR="00427968" w:rsidRPr="0036007C" w:rsidRDefault="00427968" w:rsidP="00F76882">
            <w:pPr>
              <w:pStyle w:val="Tabletext"/>
            </w:pPr>
            <w:r w:rsidRPr="0036007C">
              <w:t>0</w:t>
            </w:r>
          </w:p>
        </w:tc>
        <w:tc>
          <w:tcPr>
            <w:tcW w:w="859" w:type="pct"/>
            <w:tcBorders>
              <w:top w:val="nil"/>
              <w:left w:val="nil"/>
              <w:bottom w:val="single" w:sz="4" w:space="0" w:color="auto"/>
              <w:right w:val="single" w:sz="4" w:space="0" w:color="auto"/>
            </w:tcBorders>
            <w:noWrap/>
          </w:tcPr>
          <w:p w14:paraId="0F6C5A3D" w14:textId="6CC28D09" w:rsidR="00427968" w:rsidRPr="0036007C" w:rsidRDefault="00427968" w:rsidP="00F76882">
            <w:pPr>
              <w:pStyle w:val="Tabletext"/>
            </w:pPr>
            <w:r w:rsidRPr="0036007C">
              <w:t>0</w:t>
            </w:r>
          </w:p>
        </w:tc>
        <w:tc>
          <w:tcPr>
            <w:tcW w:w="858" w:type="pct"/>
            <w:tcBorders>
              <w:top w:val="nil"/>
              <w:left w:val="nil"/>
              <w:bottom w:val="single" w:sz="4" w:space="0" w:color="auto"/>
              <w:right w:val="single" w:sz="4" w:space="0" w:color="auto"/>
            </w:tcBorders>
            <w:noWrap/>
          </w:tcPr>
          <w:p w14:paraId="4ACE9CF8" w14:textId="7EA98DAC" w:rsidR="00427968" w:rsidRPr="0036007C" w:rsidRDefault="00427968" w:rsidP="00F76882">
            <w:pPr>
              <w:pStyle w:val="Tabletext"/>
            </w:pPr>
            <w:r w:rsidRPr="0036007C">
              <w:t>0</w:t>
            </w:r>
          </w:p>
        </w:tc>
      </w:tr>
    </w:tbl>
    <w:p w14:paraId="01DF6999" w14:textId="77777777" w:rsidR="004323D3" w:rsidRPr="00A33DD2" w:rsidRDefault="004323D3" w:rsidP="00F76882">
      <w:pPr>
        <w:pStyle w:val="tablefigfootnote"/>
      </w:pPr>
      <w:r w:rsidRPr="00A33DD2">
        <w:t>* As defined by each jurisdiction, including communities identified for evidence confirmation screening for final-year dossier validation surveillance (refer to Findings and interpretation).</w:t>
      </w:r>
    </w:p>
    <w:p w14:paraId="14897383" w14:textId="32D69A05" w:rsidR="009D710B" w:rsidRDefault="00C574D9" w:rsidP="00F76882">
      <w:pPr>
        <w:pStyle w:val="tablefigfootnote"/>
      </w:pPr>
      <w:r w:rsidRPr="0036007C">
        <w:t xml:space="preserve">† As per </w:t>
      </w:r>
      <w:r w:rsidR="00043A3A" w:rsidRPr="0036007C">
        <w:t xml:space="preserve">CDNA </w:t>
      </w:r>
      <w:r w:rsidR="001A14D7" w:rsidRPr="0036007C">
        <w:t>G</w:t>
      </w:r>
      <w:r w:rsidRPr="0036007C">
        <w:t>uidelines</w:t>
      </w:r>
      <w:bookmarkStart w:id="326" w:name="_Table_3.2_Trachoma"/>
      <w:bookmarkEnd w:id="326"/>
    </w:p>
    <w:p w14:paraId="6DDF76BF" w14:textId="77777777" w:rsidR="009D710B" w:rsidRPr="00F76882" w:rsidRDefault="009D710B" w:rsidP="00F76882">
      <w:r w:rsidRPr="00F76882">
        <w:br w:type="page"/>
      </w:r>
    </w:p>
    <w:p w14:paraId="68D1F5E8" w14:textId="44C404E3" w:rsidR="00C574D9" w:rsidRPr="0036007C" w:rsidRDefault="00C574D9" w:rsidP="00F76882">
      <w:pPr>
        <w:pStyle w:val="Tableheadings"/>
      </w:pPr>
      <w:bookmarkStart w:id="327" w:name="_Ref58336629"/>
      <w:bookmarkStart w:id="328" w:name="_Toc215224711"/>
      <w:r w:rsidRPr="0036007C">
        <w:t xml:space="preserve">Table </w:t>
      </w:r>
      <w:r w:rsidR="00942F34" w:rsidRPr="0036007C">
        <w:t>4</w:t>
      </w:r>
      <w:r w:rsidRPr="0036007C">
        <w:t>.</w:t>
      </w:r>
      <w:r w:rsidRPr="0036007C">
        <w:fldChar w:fldCharType="begin"/>
      </w:r>
      <w:r w:rsidRPr="0036007C">
        <w:instrText>SEQ Table \* ARABIC \s 1</w:instrText>
      </w:r>
      <w:r w:rsidRPr="0036007C">
        <w:fldChar w:fldCharType="separate"/>
      </w:r>
      <w:r w:rsidRPr="0036007C">
        <w:t>2</w:t>
      </w:r>
      <w:r w:rsidRPr="0036007C">
        <w:fldChar w:fldCharType="end"/>
      </w:r>
      <w:bookmarkEnd w:id="327"/>
      <w:r w:rsidRPr="0036007C">
        <w:tab/>
        <w:t>Trachoma screening coverage, trachoma prevalence</w:t>
      </w:r>
      <w:r w:rsidR="009174BE" w:rsidRPr="0036007C">
        <w:t>,</w:t>
      </w:r>
      <w:r w:rsidRPr="0036007C">
        <w:t xml:space="preserve"> and clean face </w:t>
      </w:r>
      <w:r w:rsidR="00993162" w:rsidRPr="0036007C">
        <w:t>proportion</w:t>
      </w:r>
      <w:r w:rsidR="009174BE" w:rsidRPr="0036007C">
        <w:t xml:space="preserve"> </w:t>
      </w:r>
      <w:r w:rsidR="00827A67" w:rsidRPr="0036007C">
        <w:t>in children aged 5</w:t>
      </w:r>
      <w:r w:rsidR="003D00CE" w:rsidRPr="0036007C">
        <w:t>–</w:t>
      </w:r>
      <w:r w:rsidR="00827A67" w:rsidRPr="0036007C">
        <w:t xml:space="preserve">9 years </w:t>
      </w:r>
      <w:r w:rsidRPr="0036007C">
        <w:t>by region, South Australia</w:t>
      </w:r>
      <w:r w:rsidR="00732509" w:rsidRPr="0036007C">
        <w:t>,</w:t>
      </w:r>
      <w:r w:rsidRPr="0036007C">
        <w:t xml:space="preserve"> </w:t>
      </w:r>
      <w:r w:rsidR="00E76BB4" w:rsidRPr="0036007C">
        <w:t>202</w:t>
      </w:r>
      <w:r w:rsidR="004449F6" w:rsidRPr="0036007C">
        <w:t>4</w:t>
      </w:r>
      <w:bookmarkEnd w:id="328"/>
    </w:p>
    <w:tbl>
      <w:tblPr>
        <w:tblW w:w="5145" w:type="pct"/>
        <w:tblLook w:val="04A0" w:firstRow="1" w:lastRow="0" w:firstColumn="1" w:lastColumn="0" w:noHBand="0" w:noVBand="1"/>
        <w:tblCaption w:val="Trachoma screening coverage, trachoma prevalence, and clean face proportion in children aged 5‑9 years by region, South Australia, 2024"/>
        <w:tblDescription w:val="Table 4.2 compares the numbers and proportions of children in communities screened for trachoma and facial cleanliness. Data is presented for the APY Lands, Eyre and Western, Far North, and the cumulative total.&#10;"/>
      </w:tblPr>
      <w:tblGrid>
        <w:gridCol w:w="3543"/>
        <w:gridCol w:w="1805"/>
        <w:gridCol w:w="1805"/>
        <w:gridCol w:w="1805"/>
        <w:gridCol w:w="1801"/>
      </w:tblGrid>
      <w:tr w:rsidR="00046C9F" w:rsidRPr="0036007C" w14:paraId="5ABF2D59" w14:textId="77777777" w:rsidTr="00F57624">
        <w:trPr>
          <w:trHeight w:val="580"/>
          <w:tblHeader/>
        </w:trPr>
        <w:tc>
          <w:tcPr>
            <w:tcW w:w="1646"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35FF5CA6" w14:textId="77777777" w:rsidR="00046C9F" w:rsidRPr="0036007C" w:rsidRDefault="00046C9F" w:rsidP="00F76882">
            <w:pPr>
              <w:pStyle w:val="Tableheading"/>
              <w:rPr>
                <w:lang w:eastAsia="en-AU"/>
              </w:rPr>
            </w:pPr>
            <w:r w:rsidRPr="0036007C">
              <w:t> </w:t>
            </w:r>
          </w:p>
        </w:tc>
        <w:tc>
          <w:tcPr>
            <w:tcW w:w="839" w:type="pct"/>
            <w:tcBorders>
              <w:top w:val="single" w:sz="4" w:space="0" w:color="auto"/>
              <w:left w:val="nil"/>
              <w:bottom w:val="single" w:sz="4" w:space="0" w:color="auto"/>
              <w:right w:val="single" w:sz="4" w:space="0" w:color="auto"/>
            </w:tcBorders>
            <w:shd w:val="clear" w:color="000000" w:fill="BFBFBF"/>
            <w:vAlign w:val="bottom"/>
            <w:hideMark/>
          </w:tcPr>
          <w:p w14:paraId="20922639" w14:textId="77777777" w:rsidR="00046C9F" w:rsidRPr="0036007C" w:rsidRDefault="00046C9F" w:rsidP="00F76882">
            <w:pPr>
              <w:pStyle w:val="Tableheading"/>
            </w:pPr>
            <w:r w:rsidRPr="0036007C">
              <w:t>APY Lands</w:t>
            </w:r>
          </w:p>
        </w:tc>
        <w:tc>
          <w:tcPr>
            <w:tcW w:w="839" w:type="pct"/>
            <w:tcBorders>
              <w:top w:val="single" w:sz="4" w:space="0" w:color="auto"/>
              <w:left w:val="nil"/>
              <w:bottom w:val="single" w:sz="4" w:space="0" w:color="auto"/>
              <w:right w:val="single" w:sz="4" w:space="0" w:color="auto"/>
            </w:tcBorders>
            <w:shd w:val="clear" w:color="000000" w:fill="BFBFBF"/>
            <w:vAlign w:val="bottom"/>
            <w:hideMark/>
          </w:tcPr>
          <w:p w14:paraId="21D10AFC" w14:textId="77777777" w:rsidR="00046C9F" w:rsidRPr="0036007C" w:rsidRDefault="00046C9F" w:rsidP="00F76882">
            <w:pPr>
              <w:pStyle w:val="Tableheading"/>
            </w:pPr>
            <w:r w:rsidRPr="0036007C">
              <w:t>Eyre and Western</w:t>
            </w:r>
          </w:p>
        </w:tc>
        <w:tc>
          <w:tcPr>
            <w:tcW w:w="839" w:type="pct"/>
            <w:tcBorders>
              <w:top w:val="single" w:sz="4" w:space="0" w:color="auto"/>
              <w:left w:val="nil"/>
              <w:bottom w:val="single" w:sz="4" w:space="0" w:color="auto"/>
              <w:right w:val="single" w:sz="4" w:space="0" w:color="auto"/>
            </w:tcBorders>
            <w:shd w:val="clear" w:color="000000" w:fill="BFBFBF"/>
            <w:vAlign w:val="bottom"/>
            <w:hideMark/>
          </w:tcPr>
          <w:p w14:paraId="6B9F3AD0" w14:textId="77777777" w:rsidR="00046C9F" w:rsidRPr="0036007C" w:rsidRDefault="00046C9F" w:rsidP="00F76882">
            <w:pPr>
              <w:pStyle w:val="Tableheading"/>
            </w:pPr>
            <w:r w:rsidRPr="0036007C">
              <w:t>Far North</w:t>
            </w:r>
          </w:p>
        </w:tc>
        <w:tc>
          <w:tcPr>
            <w:tcW w:w="838" w:type="pct"/>
            <w:tcBorders>
              <w:top w:val="single" w:sz="4" w:space="0" w:color="auto"/>
              <w:left w:val="nil"/>
              <w:bottom w:val="single" w:sz="4" w:space="0" w:color="auto"/>
              <w:right w:val="single" w:sz="4" w:space="0" w:color="auto"/>
            </w:tcBorders>
            <w:shd w:val="clear" w:color="000000" w:fill="BFBFBF"/>
            <w:vAlign w:val="bottom"/>
            <w:hideMark/>
          </w:tcPr>
          <w:p w14:paraId="56A03286" w14:textId="77777777" w:rsidR="00046C9F" w:rsidRPr="0036007C" w:rsidRDefault="00046C9F" w:rsidP="00F76882">
            <w:pPr>
              <w:pStyle w:val="Tableheading"/>
            </w:pPr>
            <w:r w:rsidRPr="0036007C">
              <w:t>Total</w:t>
            </w:r>
          </w:p>
        </w:tc>
      </w:tr>
      <w:tr w:rsidR="003325BB" w:rsidRPr="0036007C" w14:paraId="315C381E" w14:textId="77777777" w:rsidTr="003325BB">
        <w:trPr>
          <w:trHeight w:val="434"/>
        </w:trPr>
        <w:tc>
          <w:tcPr>
            <w:tcW w:w="1646" w:type="pct"/>
            <w:tcBorders>
              <w:top w:val="nil"/>
              <w:left w:val="single" w:sz="4" w:space="0" w:color="auto"/>
              <w:bottom w:val="single" w:sz="4" w:space="0" w:color="auto"/>
              <w:right w:val="single" w:sz="4" w:space="0" w:color="auto"/>
            </w:tcBorders>
            <w:vAlign w:val="bottom"/>
            <w:hideMark/>
          </w:tcPr>
          <w:p w14:paraId="733B9408" w14:textId="77777777" w:rsidR="003325BB" w:rsidRPr="0036007C" w:rsidRDefault="003325BB" w:rsidP="00F76882">
            <w:pPr>
              <w:pStyle w:val="Tabletextleft"/>
            </w:pPr>
            <w:r w:rsidRPr="0036007C">
              <w:t>Number of communities screened</w:t>
            </w:r>
          </w:p>
        </w:tc>
        <w:tc>
          <w:tcPr>
            <w:tcW w:w="839" w:type="pct"/>
            <w:tcBorders>
              <w:top w:val="nil"/>
              <w:left w:val="nil"/>
              <w:bottom w:val="single" w:sz="4" w:space="0" w:color="auto"/>
              <w:right w:val="single" w:sz="4" w:space="0" w:color="auto"/>
            </w:tcBorders>
            <w:noWrap/>
            <w:vAlign w:val="bottom"/>
          </w:tcPr>
          <w:p w14:paraId="4FAAFBE7" w14:textId="38C44BE3" w:rsidR="003325BB" w:rsidRPr="0036007C" w:rsidRDefault="003325BB" w:rsidP="00F76882">
            <w:pPr>
              <w:pStyle w:val="Tabletext"/>
            </w:pPr>
            <w:r w:rsidRPr="0036007C">
              <w:t>9</w:t>
            </w:r>
          </w:p>
        </w:tc>
        <w:tc>
          <w:tcPr>
            <w:tcW w:w="839" w:type="pct"/>
            <w:tcBorders>
              <w:top w:val="nil"/>
              <w:left w:val="nil"/>
              <w:bottom w:val="single" w:sz="4" w:space="0" w:color="auto"/>
              <w:right w:val="single" w:sz="4" w:space="0" w:color="auto"/>
            </w:tcBorders>
            <w:noWrap/>
            <w:vAlign w:val="bottom"/>
          </w:tcPr>
          <w:p w14:paraId="6D8EB6A4" w14:textId="5DA02731" w:rsidR="003325BB" w:rsidRPr="0036007C" w:rsidRDefault="003325BB" w:rsidP="00F76882">
            <w:pPr>
              <w:pStyle w:val="Tabletext"/>
            </w:pPr>
            <w:r w:rsidRPr="0036007C">
              <w:t>3</w:t>
            </w:r>
          </w:p>
        </w:tc>
        <w:tc>
          <w:tcPr>
            <w:tcW w:w="839" w:type="pct"/>
            <w:tcBorders>
              <w:top w:val="nil"/>
              <w:left w:val="nil"/>
              <w:bottom w:val="single" w:sz="4" w:space="0" w:color="auto"/>
              <w:right w:val="single" w:sz="4" w:space="0" w:color="auto"/>
            </w:tcBorders>
            <w:noWrap/>
            <w:vAlign w:val="bottom"/>
          </w:tcPr>
          <w:p w14:paraId="170196BC" w14:textId="640C79EF" w:rsidR="003325BB" w:rsidRPr="0036007C" w:rsidRDefault="003325BB" w:rsidP="00F76882">
            <w:pPr>
              <w:pStyle w:val="Tabletext"/>
            </w:pPr>
            <w:r w:rsidRPr="0036007C">
              <w:t>3</w:t>
            </w:r>
          </w:p>
        </w:tc>
        <w:tc>
          <w:tcPr>
            <w:tcW w:w="838" w:type="pct"/>
            <w:tcBorders>
              <w:top w:val="nil"/>
              <w:left w:val="nil"/>
              <w:bottom w:val="single" w:sz="4" w:space="0" w:color="auto"/>
              <w:right w:val="single" w:sz="4" w:space="0" w:color="auto"/>
            </w:tcBorders>
            <w:noWrap/>
            <w:vAlign w:val="bottom"/>
          </w:tcPr>
          <w:p w14:paraId="3300662A" w14:textId="4DAEBEAF" w:rsidR="003325BB" w:rsidRPr="0036007C" w:rsidRDefault="003325BB" w:rsidP="00F76882">
            <w:pPr>
              <w:pStyle w:val="Tabletext"/>
            </w:pPr>
            <w:r w:rsidRPr="0036007C">
              <w:t>15</w:t>
            </w:r>
          </w:p>
        </w:tc>
      </w:tr>
      <w:tr w:rsidR="003325BB" w:rsidRPr="0036007C" w14:paraId="15C95FC8" w14:textId="77777777" w:rsidTr="003325BB">
        <w:trPr>
          <w:trHeight w:val="870"/>
        </w:trPr>
        <w:tc>
          <w:tcPr>
            <w:tcW w:w="1646" w:type="pct"/>
            <w:tcBorders>
              <w:top w:val="nil"/>
              <w:left w:val="single" w:sz="4" w:space="0" w:color="auto"/>
              <w:bottom w:val="single" w:sz="4" w:space="0" w:color="auto"/>
              <w:right w:val="single" w:sz="4" w:space="0" w:color="auto"/>
            </w:tcBorders>
            <w:shd w:val="clear" w:color="000000" w:fill="BFBFBF"/>
            <w:vAlign w:val="bottom"/>
            <w:hideMark/>
          </w:tcPr>
          <w:p w14:paraId="39E1AF17" w14:textId="77777777" w:rsidR="003325BB" w:rsidRPr="0036007C" w:rsidRDefault="003325BB" w:rsidP="00F76882">
            <w:pPr>
              <w:pStyle w:val="Tabletextleft"/>
            </w:pPr>
            <w:r w:rsidRPr="0036007C">
              <w:t>Estimated number* of Aboriginal children in communities</w:t>
            </w:r>
          </w:p>
        </w:tc>
        <w:tc>
          <w:tcPr>
            <w:tcW w:w="839" w:type="pct"/>
            <w:tcBorders>
              <w:top w:val="nil"/>
              <w:left w:val="nil"/>
              <w:bottom w:val="single" w:sz="4" w:space="0" w:color="auto"/>
              <w:right w:val="single" w:sz="4" w:space="0" w:color="auto"/>
            </w:tcBorders>
            <w:shd w:val="clear" w:color="000000" w:fill="BFBFBF"/>
            <w:noWrap/>
            <w:vAlign w:val="bottom"/>
          </w:tcPr>
          <w:p w14:paraId="2206D72E" w14:textId="43D618E4" w:rsidR="003325BB" w:rsidRPr="0036007C" w:rsidRDefault="003325BB" w:rsidP="00F76882">
            <w:pPr>
              <w:pStyle w:val="Tabletext"/>
            </w:pPr>
            <w:r w:rsidRPr="0036007C">
              <w:t>236</w:t>
            </w:r>
          </w:p>
        </w:tc>
        <w:tc>
          <w:tcPr>
            <w:tcW w:w="839" w:type="pct"/>
            <w:tcBorders>
              <w:top w:val="nil"/>
              <w:left w:val="nil"/>
              <w:bottom w:val="single" w:sz="4" w:space="0" w:color="auto"/>
              <w:right w:val="single" w:sz="4" w:space="0" w:color="auto"/>
            </w:tcBorders>
            <w:shd w:val="clear" w:color="000000" w:fill="BFBFBF"/>
            <w:noWrap/>
            <w:vAlign w:val="bottom"/>
          </w:tcPr>
          <w:p w14:paraId="7B79C0AC" w14:textId="0785AA17" w:rsidR="003325BB" w:rsidRPr="0036007C" w:rsidRDefault="003325BB" w:rsidP="00F76882">
            <w:pPr>
              <w:pStyle w:val="Tabletext"/>
            </w:pPr>
            <w:r w:rsidRPr="0036007C">
              <w:t>100</w:t>
            </w:r>
          </w:p>
        </w:tc>
        <w:tc>
          <w:tcPr>
            <w:tcW w:w="839" w:type="pct"/>
            <w:tcBorders>
              <w:top w:val="nil"/>
              <w:left w:val="nil"/>
              <w:bottom w:val="single" w:sz="4" w:space="0" w:color="auto"/>
              <w:right w:val="single" w:sz="4" w:space="0" w:color="auto"/>
            </w:tcBorders>
            <w:shd w:val="clear" w:color="000000" w:fill="BFBFBF"/>
            <w:noWrap/>
            <w:vAlign w:val="bottom"/>
          </w:tcPr>
          <w:p w14:paraId="08E172D6" w14:textId="2DDADDDE" w:rsidR="003325BB" w:rsidRPr="0036007C" w:rsidRDefault="003325BB" w:rsidP="00F76882">
            <w:pPr>
              <w:pStyle w:val="Tabletext"/>
            </w:pPr>
            <w:r w:rsidRPr="0036007C">
              <w:t>154</w:t>
            </w:r>
          </w:p>
        </w:tc>
        <w:tc>
          <w:tcPr>
            <w:tcW w:w="838" w:type="pct"/>
            <w:tcBorders>
              <w:top w:val="nil"/>
              <w:left w:val="nil"/>
              <w:bottom w:val="single" w:sz="4" w:space="0" w:color="auto"/>
              <w:right w:val="single" w:sz="4" w:space="0" w:color="auto"/>
            </w:tcBorders>
            <w:shd w:val="clear" w:color="000000" w:fill="BFBFBF"/>
            <w:noWrap/>
            <w:vAlign w:val="bottom"/>
          </w:tcPr>
          <w:p w14:paraId="4BFF2208" w14:textId="407E5940" w:rsidR="003325BB" w:rsidRPr="0036007C" w:rsidRDefault="003325BB" w:rsidP="00F76882">
            <w:pPr>
              <w:pStyle w:val="Tabletext"/>
            </w:pPr>
            <w:r w:rsidRPr="0036007C">
              <w:t>490</w:t>
            </w:r>
          </w:p>
        </w:tc>
      </w:tr>
      <w:tr w:rsidR="003325BB" w:rsidRPr="0036007C" w14:paraId="3CF0DC6D" w14:textId="77777777" w:rsidTr="003325BB">
        <w:trPr>
          <w:trHeight w:val="580"/>
        </w:trPr>
        <w:tc>
          <w:tcPr>
            <w:tcW w:w="1646" w:type="pct"/>
            <w:tcBorders>
              <w:top w:val="nil"/>
              <w:left w:val="single" w:sz="4" w:space="0" w:color="auto"/>
              <w:bottom w:val="single" w:sz="4" w:space="0" w:color="auto"/>
              <w:right w:val="single" w:sz="4" w:space="0" w:color="auto"/>
            </w:tcBorders>
            <w:vAlign w:val="bottom"/>
            <w:hideMark/>
          </w:tcPr>
          <w:p w14:paraId="696C2B15" w14:textId="77777777" w:rsidR="003325BB" w:rsidRPr="0036007C" w:rsidRDefault="003325BB" w:rsidP="00F76882">
            <w:pPr>
              <w:pStyle w:val="Tabletextleft"/>
            </w:pPr>
            <w:r w:rsidRPr="0036007C">
              <w:t>Children examined for clean face</w:t>
            </w:r>
          </w:p>
        </w:tc>
        <w:tc>
          <w:tcPr>
            <w:tcW w:w="839" w:type="pct"/>
            <w:tcBorders>
              <w:top w:val="nil"/>
              <w:left w:val="nil"/>
              <w:bottom w:val="single" w:sz="4" w:space="0" w:color="auto"/>
              <w:right w:val="single" w:sz="4" w:space="0" w:color="auto"/>
            </w:tcBorders>
            <w:noWrap/>
            <w:vAlign w:val="bottom"/>
          </w:tcPr>
          <w:p w14:paraId="75BDC401" w14:textId="4A32D0A7" w:rsidR="003325BB" w:rsidRPr="0036007C" w:rsidRDefault="003325BB" w:rsidP="00F76882">
            <w:pPr>
              <w:pStyle w:val="Tabletext"/>
            </w:pPr>
            <w:r w:rsidRPr="0036007C">
              <w:t>202</w:t>
            </w:r>
          </w:p>
        </w:tc>
        <w:tc>
          <w:tcPr>
            <w:tcW w:w="839" w:type="pct"/>
            <w:tcBorders>
              <w:top w:val="nil"/>
              <w:left w:val="nil"/>
              <w:bottom w:val="single" w:sz="4" w:space="0" w:color="auto"/>
              <w:right w:val="single" w:sz="4" w:space="0" w:color="auto"/>
            </w:tcBorders>
            <w:noWrap/>
            <w:vAlign w:val="bottom"/>
          </w:tcPr>
          <w:p w14:paraId="0C15527A" w14:textId="1A7B7FCC" w:rsidR="003325BB" w:rsidRPr="0036007C" w:rsidRDefault="003325BB" w:rsidP="00F76882">
            <w:pPr>
              <w:pStyle w:val="Tabletext"/>
            </w:pPr>
            <w:r w:rsidRPr="0036007C">
              <w:t>89</w:t>
            </w:r>
          </w:p>
        </w:tc>
        <w:tc>
          <w:tcPr>
            <w:tcW w:w="839" w:type="pct"/>
            <w:tcBorders>
              <w:top w:val="nil"/>
              <w:left w:val="nil"/>
              <w:bottom w:val="single" w:sz="4" w:space="0" w:color="auto"/>
              <w:right w:val="single" w:sz="4" w:space="0" w:color="auto"/>
            </w:tcBorders>
            <w:noWrap/>
            <w:vAlign w:val="bottom"/>
          </w:tcPr>
          <w:p w14:paraId="2909CC64" w14:textId="0EE26285" w:rsidR="003325BB" w:rsidRPr="0036007C" w:rsidRDefault="003325BB" w:rsidP="00F76882">
            <w:pPr>
              <w:pStyle w:val="Tabletext"/>
            </w:pPr>
            <w:r w:rsidRPr="0036007C">
              <w:t>145</w:t>
            </w:r>
          </w:p>
        </w:tc>
        <w:tc>
          <w:tcPr>
            <w:tcW w:w="838" w:type="pct"/>
            <w:tcBorders>
              <w:top w:val="nil"/>
              <w:left w:val="nil"/>
              <w:bottom w:val="single" w:sz="4" w:space="0" w:color="auto"/>
              <w:right w:val="single" w:sz="4" w:space="0" w:color="auto"/>
            </w:tcBorders>
            <w:noWrap/>
            <w:vAlign w:val="bottom"/>
          </w:tcPr>
          <w:p w14:paraId="77F2E966" w14:textId="1DEA3EA4" w:rsidR="003325BB" w:rsidRPr="0036007C" w:rsidRDefault="003325BB" w:rsidP="00F76882">
            <w:pPr>
              <w:pStyle w:val="Tabletext"/>
            </w:pPr>
            <w:r w:rsidRPr="0036007C">
              <w:t>436</w:t>
            </w:r>
          </w:p>
        </w:tc>
      </w:tr>
      <w:tr w:rsidR="003325BB" w:rsidRPr="0036007C" w14:paraId="1C558AD7" w14:textId="77777777" w:rsidTr="003325BB">
        <w:trPr>
          <w:trHeight w:val="290"/>
        </w:trPr>
        <w:tc>
          <w:tcPr>
            <w:tcW w:w="1646" w:type="pct"/>
            <w:tcBorders>
              <w:top w:val="nil"/>
              <w:left w:val="single" w:sz="4" w:space="0" w:color="auto"/>
              <w:bottom w:val="single" w:sz="4" w:space="0" w:color="auto"/>
              <w:right w:val="single" w:sz="4" w:space="0" w:color="auto"/>
            </w:tcBorders>
            <w:shd w:val="clear" w:color="000000" w:fill="BFBFBF"/>
            <w:vAlign w:val="bottom"/>
            <w:hideMark/>
          </w:tcPr>
          <w:p w14:paraId="7F450A80" w14:textId="77777777" w:rsidR="003325BB" w:rsidRPr="0036007C" w:rsidRDefault="003325BB" w:rsidP="00F76882">
            <w:pPr>
              <w:pStyle w:val="Tabletextleft"/>
            </w:pPr>
            <w:r w:rsidRPr="0036007C">
              <w:t>Children with clean face</w:t>
            </w:r>
          </w:p>
        </w:tc>
        <w:tc>
          <w:tcPr>
            <w:tcW w:w="839" w:type="pct"/>
            <w:tcBorders>
              <w:top w:val="nil"/>
              <w:left w:val="nil"/>
              <w:bottom w:val="single" w:sz="4" w:space="0" w:color="auto"/>
              <w:right w:val="single" w:sz="4" w:space="0" w:color="auto"/>
            </w:tcBorders>
            <w:shd w:val="clear" w:color="000000" w:fill="BFBFBF"/>
            <w:noWrap/>
            <w:vAlign w:val="bottom"/>
          </w:tcPr>
          <w:p w14:paraId="16B0C697" w14:textId="3E71E781" w:rsidR="003325BB" w:rsidRPr="0036007C" w:rsidRDefault="003325BB" w:rsidP="00F76882">
            <w:pPr>
              <w:pStyle w:val="Tabletext"/>
            </w:pPr>
            <w:r w:rsidRPr="0036007C">
              <w:t>165</w:t>
            </w:r>
          </w:p>
        </w:tc>
        <w:tc>
          <w:tcPr>
            <w:tcW w:w="839" w:type="pct"/>
            <w:tcBorders>
              <w:top w:val="nil"/>
              <w:left w:val="nil"/>
              <w:bottom w:val="single" w:sz="4" w:space="0" w:color="auto"/>
              <w:right w:val="single" w:sz="4" w:space="0" w:color="auto"/>
            </w:tcBorders>
            <w:shd w:val="clear" w:color="000000" w:fill="BFBFBF"/>
            <w:noWrap/>
            <w:vAlign w:val="bottom"/>
          </w:tcPr>
          <w:p w14:paraId="16BF4C86" w14:textId="32CB161B" w:rsidR="003325BB" w:rsidRPr="0036007C" w:rsidRDefault="003325BB" w:rsidP="00F76882">
            <w:pPr>
              <w:pStyle w:val="Tabletext"/>
            </w:pPr>
            <w:r w:rsidRPr="0036007C">
              <w:t>82</w:t>
            </w:r>
          </w:p>
        </w:tc>
        <w:tc>
          <w:tcPr>
            <w:tcW w:w="839" w:type="pct"/>
            <w:tcBorders>
              <w:top w:val="nil"/>
              <w:left w:val="nil"/>
              <w:bottom w:val="single" w:sz="4" w:space="0" w:color="auto"/>
              <w:right w:val="single" w:sz="4" w:space="0" w:color="auto"/>
            </w:tcBorders>
            <w:shd w:val="clear" w:color="000000" w:fill="BFBFBF"/>
            <w:noWrap/>
            <w:vAlign w:val="bottom"/>
          </w:tcPr>
          <w:p w14:paraId="43E776F6" w14:textId="341BE645" w:rsidR="003325BB" w:rsidRPr="0036007C" w:rsidRDefault="003325BB" w:rsidP="00F76882">
            <w:pPr>
              <w:pStyle w:val="Tabletext"/>
            </w:pPr>
            <w:r w:rsidRPr="0036007C">
              <w:t>143</w:t>
            </w:r>
          </w:p>
        </w:tc>
        <w:tc>
          <w:tcPr>
            <w:tcW w:w="838" w:type="pct"/>
            <w:tcBorders>
              <w:top w:val="nil"/>
              <w:left w:val="nil"/>
              <w:bottom w:val="single" w:sz="4" w:space="0" w:color="auto"/>
              <w:right w:val="single" w:sz="4" w:space="0" w:color="auto"/>
            </w:tcBorders>
            <w:shd w:val="clear" w:color="000000" w:fill="BFBFBF"/>
            <w:noWrap/>
            <w:vAlign w:val="bottom"/>
          </w:tcPr>
          <w:p w14:paraId="21CBA3BF" w14:textId="2D5DC474" w:rsidR="003325BB" w:rsidRPr="0036007C" w:rsidRDefault="003325BB" w:rsidP="00F76882">
            <w:pPr>
              <w:pStyle w:val="Tabletext"/>
            </w:pPr>
            <w:r w:rsidRPr="0036007C">
              <w:t>390</w:t>
            </w:r>
          </w:p>
        </w:tc>
      </w:tr>
      <w:tr w:rsidR="003325BB" w:rsidRPr="0036007C" w14:paraId="6F824921" w14:textId="77777777" w:rsidTr="003325BB">
        <w:trPr>
          <w:trHeight w:val="580"/>
        </w:trPr>
        <w:tc>
          <w:tcPr>
            <w:tcW w:w="1646" w:type="pct"/>
            <w:tcBorders>
              <w:top w:val="nil"/>
              <w:left w:val="single" w:sz="4" w:space="0" w:color="auto"/>
              <w:bottom w:val="single" w:sz="4" w:space="0" w:color="auto"/>
              <w:right w:val="single" w:sz="4" w:space="0" w:color="auto"/>
            </w:tcBorders>
            <w:vAlign w:val="bottom"/>
            <w:hideMark/>
          </w:tcPr>
          <w:p w14:paraId="18BC1347" w14:textId="3D673B8B" w:rsidR="003325BB" w:rsidRPr="00FA7B58" w:rsidRDefault="003325BB" w:rsidP="00F76882">
            <w:pPr>
              <w:pStyle w:val="Tabletextleft"/>
            </w:pPr>
            <w:r w:rsidRPr="00FA7B58">
              <w:t>Clean face (%)</w:t>
            </w:r>
          </w:p>
        </w:tc>
        <w:tc>
          <w:tcPr>
            <w:tcW w:w="839" w:type="pct"/>
            <w:tcBorders>
              <w:top w:val="nil"/>
              <w:left w:val="nil"/>
              <w:bottom w:val="single" w:sz="4" w:space="0" w:color="auto"/>
              <w:right w:val="single" w:sz="4" w:space="0" w:color="auto"/>
            </w:tcBorders>
            <w:noWrap/>
            <w:vAlign w:val="bottom"/>
          </w:tcPr>
          <w:p w14:paraId="023C54FA" w14:textId="01465263" w:rsidR="003325BB" w:rsidRPr="007C3001" w:rsidRDefault="003325BB" w:rsidP="00F76882">
            <w:pPr>
              <w:pStyle w:val="Tabletextemphasis"/>
            </w:pPr>
            <w:r w:rsidRPr="007C3001">
              <w:t>82</w:t>
            </w:r>
          </w:p>
        </w:tc>
        <w:tc>
          <w:tcPr>
            <w:tcW w:w="839" w:type="pct"/>
            <w:tcBorders>
              <w:top w:val="nil"/>
              <w:left w:val="nil"/>
              <w:bottom w:val="single" w:sz="4" w:space="0" w:color="auto"/>
              <w:right w:val="single" w:sz="4" w:space="0" w:color="auto"/>
            </w:tcBorders>
            <w:noWrap/>
            <w:vAlign w:val="bottom"/>
          </w:tcPr>
          <w:p w14:paraId="5F94A78D" w14:textId="01D354F1" w:rsidR="003325BB" w:rsidRPr="007C3001" w:rsidRDefault="003325BB" w:rsidP="00F76882">
            <w:pPr>
              <w:pStyle w:val="Tabletextemphasis"/>
            </w:pPr>
            <w:r w:rsidRPr="007C3001">
              <w:t>92</w:t>
            </w:r>
          </w:p>
        </w:tc>
        <w:tc>
          <w:tcPr>
            <w:tcW w:w="839" w:type="pct"/>
            <w:tcBorders>
              <w:top w:val="nil"/>
              <w:left w:val="nil"/>
              <w:bottom w:val="single" w:sz="4" w:space="0" w:color="auto"/>
              <w:right w:val="single" w:sz="4" w:space="0" w:color="auto"/>
            </w:tcBorders>
            <w:noWrap/>
            <w:vAlign w:val="bottom"/>
          </w:tcPr>
          <w:p w14:paraId="64ECB6EC" w14:textId="236E6524" w:rsidR="003325BB" w:rsidRPr="007C3001" w:rsidRDefault="003325BB" w:rsidP="00F76882">
            <w:pPr>
              <w:pStyle w:val="Tabletextemphasis"/>
            </w:pPr>
            <w:r w:rsidRPr="007C3001">
              <w:t>99</w:t>
            </w:r>
          </w:p>
        </w:tc>
        <w:tc>
          <w:tcPr>
            <w:tcW w:w="838" w:type="pct"/>
            <w:tcBorders>
              <w:top w:val="nil"/>
              <w:left w:val="nil"/>
              <w:bottom w:val="single" w:sz="4" w:space="0" w:color="auto"/>
              <w:right w:val="single" w:sz="4" w:space="0" w:color="auto"/>
            </w:tcBorders>
            <w:noWrap/>
            <w:vAlign w:val="bottom"/>
          </w:tcPr>
          <w:p w14:paraId="68325F63" w14:textId="5D2ACEE8" w:rsidR="003325BB" w:rsidRPr="007C3001" w:rsidRDefault="003325BB" w:rsidP="00F76882">
            <w:pPr>
              <w:pStyle w:val="Tabletextemphasis"/>
            </w:pPr>
            <w:r w:rsidRPr="007C3001">
              <w:t>89</w:t>
            </w:r>
          </w:p>
        </w:tc>
      </w:tr>
      <w:tr w:rsidR="003325BB" w:rsidRPr="0036007C" w14:paraId="2F4B5C98" w14:textId="77777777" w:rsidTr="003325BB">
        <w:trPr>
          <w:trHeight w:val="580"/>
        </w:trPr>
        <w:tc>
          <w:tcPr>
            <w:tcW w:w="1646" w:type="pct"/>
            <w:tcBorders>
              <w:top w:val="nil"/>
              <w:left w:val="single" w:sz="4" w:space="0" w:color="auto"/>
              <w:bottom w:val="single" w:sz="4" w:space="0" w:color="auto"/>
              <w:right w:val="single" w:sz="4" w:space="0" w:color="auto"/>
            </w:tcBorders>
            <w:shd w:val="clear" w:color="000000" w:fill="BFBFBF"/>
            <w:vAlign w:val="bottom"/>
            <w:hideMark/>
          </w:tcPr>
          <w:p w14:paraId="743C73F7" w14:textId="77777777" w:rsidR="003325BB" w:rsidRPr="0036007C" w:rsidRDefault="003325BB" w:rsidP="00F76882">
            <w:pPr>
              <w:pStyle w:val="Tabletextleft"/>
            </w:pPr>
            <w:r w:rsidRPr="0036007C">
              <w:t>Children screened for trachoma</w:t>
            </w:r>
          </w:p>
        </w:tc>
        <w:tc>
          <w:tcPr>
            <w:tcW w:w="839" w:type="pct"/>
            <w:tcBorders>
              <w:top w:val="nil"/>
              <w:left w:val="nil"/>
              <w:bottom w:val="single" w:sz="4" w:space="0" w:color="auto"/>
              <w:right w:val="single" w:sz="4" w:space="0" w:color="auto"/>
            </w:tcBorders>
            <w:shd w:val="clear" w:color="000000" w:fill="BFBFBF"/>
            <w:noWrap/>
            <w:vAlign w:val="bottom"/>
          </w:tcPr>
          <w:p w14:paraId="4E39CA08" w14:textId="4E508E02" w:rsidR="003325BB" w:rsidRPr="0036007C" w:rsidRDefault="003325BB" w:rsidP="00F76882">
            <w:pPr>
              <w:pStyle w:val="Tabletext"/>
            </w:pPr>
            <w:r w:rsidRPr="0036007C">
              <w:t>202</w:t>
            </w:r>
          </w:p>
        </w:tc>
        <w:tc>
          <w:tcPr>
            <w:tcW w:w="839" w:type="pct"/>
            <w:tcBorders>
              <w:top w:val="nil"/>
              <w:left w:val="nil"/>
              <w:bottom w:val="single" w:sz="4" w:space="0" w:color="auto"/>
              <w:right w:val="single" w:sz="4" w:space="0" w:color="auto"/>
            </w:tcBorders>
            <w:shd w:val="clear" w:color="000000" w:fill="BFBFBF"/>
            <w:noWrap/>
            <w:vAlign w:val="bottom"/>
          </w:tcPr>
          <w:p w14:paraId="1A088620" w14:textId="0364BE4B" w:rsidR="003325BB" w:rsidRPr="0036007C" w:rsidRDefault="003325BB" w:rsidP="00F76882">
            <w:pPr>
              <w:pStyle w:val="Tabletext"/>
            </w:pPr>
            <w:r w:rsidRPr="0036007C">
              <w:t>99</w:t>
            </w:r>
          </w:p>
        </w:tc>
        <w:tc>
          <w:tcPr>
            <w:tcW w:w="839" w:type="pct"/>
            <w:tcBorders>
              <w:top w:val="nil"/>
              <w:left w:val="nil"/>
              <w:bottom w:val="single" w:sz="4" w:space="0" w:color="auto"/>
              <w:right w:val="single" w:sz="4" w:space="0" w:color="auto"/>
            </w:tcBorders>
            <w:shd w:val="clear" w:color="000000" w:fill="BFBFBF"/>
            <w:noWrap/>
            <w:vAlign w:val="bottom"/>
          </w:tcPr>
          <w:p w14:paraId="540E3EB5" w14:textId="4AE4F55F" w:rsidR="003325BB" w:rsidRPr="0036007C" w:rsidRDefault="003325BB" w:rsidP="00F76882">
            <w:pPr>
              <w:pStyle w:val="Tabletext"/>
            </w:pPr>
            <w:r w:rsidRPr="0036007C">
              <w:t>145</w:t>
            </w:r>
          </w:p>
        </w:tc>
        <w:tc>
          <w:tcPr>
            <w:tcW w:w="838" w:type="pct"/>
            <w:tcBorders>
              <w:top w:val="nil"/>
              <w:left w:val="nil"/>
              <w:bottom w:val="single" w:sz="4" w:space="0" w:color="auto"/>
              <w:right w:val="single" w:sz="4" w:space="0" w:color="auto"/>
            </w:tcBorders>
            <w:shd w:val="clear" w:color="000000" w:fill="BFBFBF"/>
            <w:noWrap/>
            <w:vAlign w:val="bottom"/>
          </w:tcPr>
          <w:p w14:paraId="418891BA" w14:textId="4CA62B35" w:rsidR="003325BB" w:rsidRPr="0036007C" w:rsidRDefault="003325BB" w:rsidP="00F76882">
            <w:pPr>
              <w:pStyle w:val="Tabletext"/>
            </w:pPr>
            <w:r w:rsidRPr="0036007C">
              <w:t>446</w:t>
            </w:r>
          </w:p>
        </w:tc>
      </w:tr>
      <w:tr w:rsidR="003325BB" w:rsidRPr="0036007C" w14:paraId="78ECA4AB" w14:textId="77777777" w:rsidTr="003325BB">
        <w:trPr>
          <w:trHeight w:val="580"/>
        </w:trPr>
        <w:tc>
          <w:tcPr>
            <w:tcW w:w="1646" w:type="pct"/>
            <w:tcBorders>
              <w:top w:val="nil"/>
              <w:left w:val="single" w:sz="4" w:space="0" w:color="auto"/>
              <w:bottom w:val="single" w:sz="4" w:space="0" w:color="auto"/>
              <w:right w:val="single" w:sz="4" w:space="0" w:color="auto"/>
            </w:tcBorders>
            <w:vAlign w:val="bottom"/>
            <w:hideMark/>
          </w:tcPr>
          <w:p w14:paraId="792C0CC1" w14:textId="77777777" w:rsidR="003325BB" w:rsidRPr="00FA7B58" w:rsidRDefault="003325BB" w:rsidP="00F76882">
            <w:pPr>
              <w:pStyle w:val="Tabletextleft"/>
            </w:pPr>
            <w:r w:rsidRPr="00FA7B58">
              <w:t>Trachoma screening coverage (%)</w:t>
            </w:r>
          </w:p>
        </w:tc>
        <w:tc>
          <w:tcPr>
            <w:tcW w:w="839" w:type="pct"/>
            <w:tcBorders>
              <w:top w:val="nil"/>
              <w:left w:val="nil"/>
              <w:bottom w:val="single" w:sz="4" w:space="0" w:color="auto"/>
              <w:right w:val="single" w:sz="4" w:space="0" w:color="auto"/>
            </w:tcBorders>
            <w:noWrap/>
            <w:vAlign w:val="bottom"/>
          </w:tcPr>
          <w:p w14:paraId="29F24AA4" w14:textId="1DD46719" w:rsidR="003325BB" w:rsidRPr="007C3001" w:rsidRDefault="003325BB" w:rsidP="00F76882">
            <w:pPr>
              <w:pStyle w:val="Tabletextemphasis"/>
            </w:pPr>
            <w:r w:rsidRPr="007C3001">
              <w:t>86</w:t>
            </w:r>
          </w:p>
        </w:tc>
        <w:tc>
          <w:tcPr>
            <w:tcW w:w="839" w:type="pct"/>
            <w:tcBorders>
              <w:top w:val="nil"/>
              <w:left w:val="nil"/>
              <w:bottom w:val="single" w:sz="4" w:space="0" w:color="auto"/>
              <w:right w:val="single" w:sz="4" w:space="0" w:color="auto"/>
            </w:tcBorders>
            <w:noWrap/>
            <w:vAlign w:val="bottom"/>
          </w:tcPr>
          <w:p w14:paraId="4F26393D" w14:textId="7883F18F" w:rsidR="003325BB" w:rsidRPr="007C3001" w:rsidRDefault="003325BB" w:rsidP="00F76882">
            <w:pPr>
              <w:pStyle w:val="Tabletextemphasis"/>
            </w:pPr>
            <w:r w:rsidRPr="007C3001">
              <w:t>99</w:t>
            </w:r>
          </w:p>
        </w:tc>
        <w:tc>
          <w:tcPr>
            <w:tcW w:w="839" w:type="pct"/>
            <w:tcBorders>
              <w:top w:val="nil"/>
              <w:left w:val="nil"/>
              <w:bottom w:val="single" w:sz="4" w:space="0" w:color="auto"/>
              <w:right w:val="single" w:sz="4" w:space="0" w:color="auto"/>
            </w:tcBorders>
            <w:noWrap/>
            <w:vAlign w:val="bottom"/>
          </w:tcPr>
          <w:p w14:paraId="086EB3D4" w14:textId="78D70617" w:rsidR="003325BB" w:rsidRPr="007C3001" w:rsidRDefault="003325BB" w:rsidP="00F76882">
            <w:pPr>
              <w:pStyle w:val="Tabletextemphasis"/>
            </w:pPr>
            <w:r w:rsidRPr="007C3001">
              <w:t>94</w:t>
            </w:r>
          </w:p>
        </w:tc>
        <w:tc>
          <w:tcPr>
            <w:tcW w:w="838" w:type="pct"/>
            <w:tcBorders>
              <w:top w:val="nil"/>
              <w:left w:val="nil"/>
              <w:bottom w:val="single" w:sz="4" w:space="0" w:color="auto"/>
              <w:right w:val="single" w:sz="4" w:space="0" w:color="auto"/>
            </w:tcBorders>
            <w:noWrap/>
            <w:vAlign w:val="bottom"/>
          </w:tcPr>
          <w:p w14:paraId="19F57740" w14:textId="6C118608" w:rsidR="003325BB" w:rsidRPr="007C3001" w:rsidRDefault="003325BB" w:rsidP="00F76882">
            <w:pPr>
              <w:pStyle w:val="Tabletextemphasis"/>
            </w:pPr>
            <w:r w:rsidRPr="007C3001">
              <w:t>91</w:t>
            </w:r>
          </w:p>
        </w:tc>
      </w:tr>
      <w:tr w:rsidR="003325BB" w:rsidRPr="0036007C" w14:paraId="70500E91" w14:textId="77777777" w:rsidTr="003325BB">
        <w:trPr>
          <w:trHeight w:val="580"/>
        </w:trPr>
        <w:tc>
          <w:tcPr>
            <w:tcW w:w="1646" w:type="pct"/>
            <w:tcBorders>
              <w:top w:val="nil"/>
              <w:left w:val="single" w:sz="4" w:space="0" w:color="auto"/>
              <w:bottom w:val="single" w:sz="4" w:space="0" w:color="auto"/>
              <w:right w:val="single" w:sz="4" w:space="0" w:color="auto"/>
            </w:tcBorders>
            <w:shd w:val="clear" w:color="000000" w:fill="BFBFBF"/>
            <w:vAlign w:val="bottom"/>
            <w:hideMark/>
          </w:tcPr>
          <w:p w14:paraId="29762CD5" w14:textId="77777777" w:rsidR="003325BB" w:rsidRPr="0036007C" w:rsidRDefault="003325BB" w:rsidP="00F76882">
            <w:pPr>
              <w:pStyle w:val="Tabletextleft"/>
            </w:pPr>
            <w:r w:rsidRPr="0036007C">
              <w:t>Children with active trachoma</w:t>
            </w:r>
          </w:p>
        </w:tc>
        <w:tc>
          <w:tcPr>
            <w:tcW w:w="839" w:type="pct"/>
            <w:tcBorders>
              <w:top w:val="nil"/>
              <w:left w:val="nil"/>
              <w:bottom w:val="single" w:sz="4" w:space="0" w:color="auto"/>
              <w:right w:val="single" w:sz="4" w:space="0" w:color="auto"/>
            </w:tcBorders>
            <w:shd w:val="clear" w:color="000000" w:fill="BFBFBF"/>
            <w:noWrap/>
            <w:vAlign w:val="bottom"/>
          </w:tcPr>
          <w:p w14:paraId="35A2B2D5" w14:textId="774FCD79" w:rsidR="003325BB" w:rsidRPr="0036007C" w:rsidRDefault="003325BB" w:rsidP="00F76882">
            <w:pPr>
              <w:pStyle w:val="Tabletext"/>
            </w:pPr>
            <w:r w:rsidRPr="0036007C">
              <w:t>0</w:t>
            </w:r>
          </w:p>
        </w:tc>
        <w:tc>
          <w:tcPr>
            <w:tcW w:w="839" w:type="pct"/>
            <w:tcBorders>
              <w:top w:val="nil"/>
              <w:left w:val="nil"/>
              <w:bottom w:val="single" w:sz="4" w:space="0" w:color="auto"/>
              <w:right w:val="single" w:sz="4" w:space="0" w:color="auto"/>
            </w:tcBorders>
            <w:shd w:val="clear" w:color="000000" w:fill="BFBFBF"/>
            <w:noWrap/>
            <w:vAlign w:val="bottom"/>
          </w:tcPr>
          <w:p w14:paraId="3DB36BD9" w14:textId="4B8AA2CD" w:rsidR="003325BB" w:rsidRPr="0036007C" w:rsidRDefault="003325BB" w:rsidP="00F76882">
            <w:pPr>
              <w:pStyle w:val="Tabletext"/>
            </w:pPr>
            <w:r w:rsidRPr="0036007C">
              <w:t>0</w:t>
            </w:r>
          </w:p>
        </w:tc>
        <w:tc>
          <w:tcPr>
            <w:tcW w:w="839" w:type="pct"/>
            <w:tcBorders>
              <w:top w:val="nil"/>
              <w:left w:val="nil"/>
              <w:bottom w:val="single" w:sz="4" w:space="0" w:color="auto"/>
              <w:right w:val="single" w:sz="4" w:space="0" w:color="auto"/>
            </w:tcBorders>
            <w:shd w:val="clear" w:color="000000" w:fill="BFBFBF"/>
            <w:noWrap/>
            <w:vAlign w:val="bottom"/>
          </w:tcPr>
          <w:p w14:paraId="273D2ED6" w14:textId="20947874" w:rsidR="003325BB" w:rsidRPr="0036007C" w:rsidRDefault="003325BB" w:rsidP="00F76882">
            <w:pPr>
              <w:pStyle w:val="Tabletext"/>
            </w:pPr>
            <w:r w:rsidRPr="0036007C">
              <w:t>0</w:t>
            </w:r>
          </w:p>
        </w:tc>
        <w:tc>
          <w:tcPr>
            <w:tcW w:w="838" w:type="pct"/>
            <w:tcBorders>
              <w:top w:val="nil"/>
              <w:left w:val="nil"/>
              <w:bottom w:val="single" w:sz="4" w:space="0" w:color="auto"/>
              <w:right w:val="single" w:sz="4" w:space="0" w:color="auto"/>
            </w:tcBorders>
            <w:shd w:val="clear" w:color="000000" w:fill="BFBFBF"/>
            <w:noWrap/>
            <w:vAlign w:val="bottom"/>
          </w:tcPr>
          <w:p w14:paraId="713A9AC3" w14:textId="7ADDB5C8" w:rsidR="003325BB" w:rsidRPr="0036007C" w:rsidRDefault="003325BB" w:rsidP="00F76882">
            <w:pPr>
              <w:pStyle w:val="Tabletext"/>
            </w:pPr>
            <w:r w:rsidRPr="0036007C">
              <w:t>0</w:t>
            </w:r>
          </w:p>
        </w:tc>
      </w:tr>
      <w:tr w:rsidR="003325BB" w:rsidRPr="0036007C" w14:paraId="03910BE8" w14:textId="77777777" w:rsidTr="003325BB">
        <w:trPr>
          <w:trHeight w:val="580"/>
        </w:trPr>
        <w:tc>
          <w:tcPr>
            <w:tcW w:w="1646" w:type="pct"/>
            <w:tcBorders>
              <w:top w:val="nil"/>
              <w:left w:val="single" w:sz="4" w:space="0" w:color="auto"/>
              <w:bottom w:val="single" w:sz="4" w:space="0" w:color="auto"/>
              <w:right w:val="single" w:sz="4" w:space="0" w:color="auto"/>
            </w:tcBorders>
            <w:vAlign w:val="bottom"/>
            <w:hideMark/>
          </w:tcPr>
          <w:p w14:paraId="4A4BC7E3" w14:textId="77777777" w:rsidR="003325BB" w:rsidRPr="00FA7B58" w:rsidRDefault="003325BB" w:rsidP="00F76882">
            <w:pPr>
              <w:pStyle w:val="Tabletextleft"/>
            </w:pPr>
            <w:r w:rsidRPr="00FA7B58">
              <w:t>Observed prevalence of active trachoma† (%)</w:t>
            </w:r>
          </w:p>
        </w:tc>
        <w:tc>
          <w:tcPr>
            <w:tcW w:w="839" w:type="pct"/>
            <w:tcBorders>
              <w:top w:val="nil"/>
              <w:left w:val="nil"/>
              <w:bottom w:val="single" w:sz="4" w:space="0" w:color="auto"/>
              <w:right w:val="single" w:sz="4" w:space="0" w:color="auto"/>
            </w:tcBorders>
            <w:noWrap/>
            <w:vAlign w:val="bottom"/>
          </w:tcPr>
          <w:p w14:paraId="58402901" w14:textId="2693A9FA" w:rsidR="003325BB" w:rsidRPr="007C3001" w:rsidRDefault="003325BB" w:rsidP="00F76882">
            <w:pPr>
              <w:pStyle w:val="Tabletextemphasis"/>
            </w:pPr>
            <w:r w:rsidRPr="007C3001">
              <w:t>0.0</w:t>
            </w:r>
          </w:p>
        </w:tc>
        <w:tc>
          <w:tcPr>
            <w:tcW w:w="839" w:type="pct"/>
            <w:tcBorders>
              <w:top w:val="nil"/>
              <w:left w:val="nil"/>
              <w:bottom w:val="single" w:sz="4" w:space="0" w:color="auto"/>
              <w:right w:val="single" w:sz="4" w:space="0" w:color="auto"/>
            </w:tcBorders>
            <w:noWrap/>
            <w:vAlign w:val="bottom"/>
          </w:tcPr>
          <w:p w14:paraId="3071E787" w14:textId="09EC9A17" w:rsidR="003325BB" w:rsidRPr="007C3001" w:rsidRDefault="003325BB" w:rsidP="00F76882">
            <w:pPr>
              <w:pStyle w:val="Tabletextemphasis"/>
            </w:pPr>
            <w:r w:rsidRPr="007C3001">
              <w:t>0.0</w:t>
            </w:r>
          </w:p>
        </w:tc>
        <w:tc>
          <w:tcPr>
            <w:tcW w:w="839" w:type="pct"/>
            <w:tcBorders>
              <w:top w:val="nil"/>
              <w:left w:val="nil"/>
              <w:bottom w:val="single" w:sz="4" w:space="0" w:color="auto"/>
              <w:right w:val="single" w:sz="4" w:space="0" w:color="auto"/>
            </w:tcBorders>
            <w:noWrap/>
            <w:vAlign w:val="bottom"/>
          </w:tcPr>
          <w:p w14:paraId="1CCBE98E" w14:textId="54E015A8" w:rsidR="003325BB" w:rsidRPr="007C3001" w:rsidRDefault="003325BB" w:rsidP="00F76882">
            <w:pPr>
              <w:pStyle w:val="Tabletextemphasis"/>
            </w:pPr>
            <w:r w:rsidRPr="007C3001">
              <w:t>0.0</w:t>
            </w:r>
          </w:p>
        </w:tc>
        <w:tc>
          <w:tcPr>
            <w:tcW w:w="838" w:type="pct"/>
            <w:tcBorders>
              <w:top w:val="nil"/>
              <w:left w:val="nil"/>
              <w:bottom w:val="single" w:sz="4" w:space="0" w:color="auto"/>
              <w:right w:val="single" w:sz="4" w:space="0" w:color="auto"/>
            </w:tcBorders>
            <w:noWrap/>
            <w:vAlign w:val="bottom"/>
          </w:tcPr>
          <w:p w14:paraId="55CBB950" w14:textId="33ABBBCD" w:rsidR="003325BB" w:rsidRPr="007C3001" w:rsidRDefault="003325BB" w:rsidP="00F76882">
            <w:pPr>
              <w:pStyle w:val="Tabletextemphasis"/>
            </w:pPr>
            <w:r w:rsidRPr="007C3001">
              <w:t>0.0</w:t>
            </w:r>
          </w:p>
        </w:tc>
      </w:tr>
      <w:tr w:rsidR="003325BB" w:rsidRPr="0036007C" w14:paraId="24F83215" w14:textId="77777777" w:rsidTr="003325BB">
        <w:trPr>
          <w:trHeight w:val="580"/>
        </w:trPr>
        <w:tc>
          <w:tcPr>
            <w:tcW w:w="1646" w:type="pct"/>
            <w:tcBorders>
              <w:top w:val="nil"/>
              <w:left w:val="single" w:sz="4" w:space="0" w:color="auto"/>
              <w:bottom w:val="single" w:sz="4" w:space="0" w:color="auto"/>
              <w:right w:val="single" w:sz="4" w:space="0" w:color="auto"/>
            </w:tcBorders>
            <w:shd w:val="clear" w:color="000000" w:fill="BFBFBF"/>
            <w:vAlign w:val="bottom"/>
            <w:hideMark/>
          </w:tcPr>
          <w:p w14:paraId="6E826E96" w14:textId="77777777" w:rsidR="003325BB" w:rsidRPr="00FA7B58" w:rsidRDefault="003325BB" w:rsidP="00F76882">
            <w:pPr>
              <w:pStyle w:val="Tabletextleft"/>
            </w:pPr>
            <w:r w:rsidRPr="00FA7B58">
              <w:t>Estimated prevalence of active trachoma‡ (%)</w:t>
            </w:r>
          </w:p>
        </w:tc>
        <w:tc>
          <w:tcPr>
            <w:tcW w:w="839" w:type="pct"/>
            <w:tcBorders>
              <w:top w:val="nil"/>
              <w:left w:val="nil"/>
              <w:bottom w:val="single" w:sz="4" w:space="0" w:color="auto"/>
              <w:right w:val="single" w:sz="4" w:space="0" w:color="auto"/>
            </w:tcBorders>
            <w:shd w:val="clear" w:color="000000" w:fill="BFBFBF"/>
            <w:noWrap/>
            <w:vAlign w:val="bottom"/>
          </w:tcPr>
          <w:p w14:paraId="1CD9703F" w14:textId="5E508548" w:rsidR="003325BB" w:rsidRPr="007C3001" w:rsidRDefault="003325BB" w:rsidP="00F76882">
            <w:pPr>
              <w:pStyle w:val="Tabletextemphasis"/>
            </w:pPr>
            <w:r w:rsidRPr="007C3001">
              <w:t>0.0</w:t>
            </w:r>
          </w:p>
        </w:tc>
        <w:tc>
          <w:tcPr>
            <w:tcW w:w="839" w:type="pct"/>
            <w:tcBorders>
              <w:top w:val="nil"/>
              <w:left w:val="nil"/>
              <w:bottom w:val="single" w:sz="4" w:space="0" w:color="auto"/>
              <w:right w:val="single" w:sz="4" w:space="0" w:color="auto"/>
            </w:tcBorders>
            <w:shd w:val="clear" w:color="000000" w:fill="BFBFBF"/>
            <w:noWrap/>
            <w:vAlign w:val="bottom"/>
          </w:tcPr>
          <w:p w14:paraId="5CB3EF2F" w14:textId="521604E1" w:rsidR="003325BB" w:rsidRPr="007C3001" w:rsidRDefault="003325BB" w:rsidP="00F76882">
            <w:pPr>
              <w:pStyle w:val="Tabletextemphasis"/>
            </w:pPr>
            <w:r w:rsidRPr="007C3001">
              <w:t>0.0</w:t>
            </w:r>
          </w:p>
        </w:tc>
        <w:tc>
          <w:tcPr>
            <w:tcW w:w="839" w:type="pct"/>
            <w:tcBorders>
              <w:top w:val="nil"/>
              <w:left w:val="nil"/>
              <w:bottom w:val="single" w:sz="4" w:space="0" w:color="auto"/>
              <w:right w:val="single" w:sz="4" w:space="0" w:color="auto"/>
            </w:tcBorders>
            <w:shd w:val="clear" w:color="000000" w:fill="BFBFBF"/>
            <w:noWrap/>
            <w:vAlign w:val="bottom"/>
          </w:tcPr>
          <w:p w14:paraId="7DEBD728" w14:textId="31C610E5" w:rsidR="003325BB" w:rsidRPr="007C3001" w:rsidRDefault="003325BB" w:rsidP="00F76882">
            <w:pPr>
              <w:pStyle w:val="Tabletextemphasis"/>
            </w:pPr>
            <w:r w:rsidRPr="007C3001">
              <w:t>0.0</w:t>
            </w:r>
          </w:p>
        </w:tc>
        <w:tc>
          <w:tcPr>
            <w:tcW w:w="838" w:type="pct"/>
            <w:tcBorders>
              <w:top w:val="nil"/>
              <w:left w:val="nil"/>
              <w:bottom w:val="single" w:sz="4" w:space="0" w:color="auto"/>
              <w:right w:val="single" w:sz="4" w:space="0" w:color="auto"/>
            </w:tcBorders>
            <w:shd w:val="clear" w:color="000000" w:fill="BFBFBF"/>
            <w:noWrap/>
            <w:vAlign w:val="bottom"/>
          </w:tcPr>
          <w:p w14:paraId="5BAA07C0" w14:textId="1682DCEA" w:rsidR="003325BB" w:rsidRPr="007C3001" w:rsidRDefault="003325BB" w:rsidP="00F76882">
            <w:pPr>
              <w:pStyle w:val="Tabletextemphasis"/>
            </w:pPr>
            <w:r w:rsidRPr="007C3001">
              <w:t>0.0</w:t>
            </w:r>
          </w:p>
        </w:tc>
      </w:tr>
      <w:tr w:rsidR="003325BB" w:rsidRPr="0036007C" w14:paraId="7337F06F" w14:textId="77777777" w:rsidTr="003325BB">
        <w:trPr>
          <w:trHeight w:val="580"/>
        </w:trPr>
        <w:tc>
          <w:tcPr>
            <w:tcW w:w="1646" w:type="pct"/>
            <w:tcBorders>
              <w:top w:val="nil"/>
              <w:left w:val="single" w:sz="4" w:space="0" w:color="auto"/>
              <w:bottom w:val="single" w:sz="4" w:space="0" w:color="auto"/>
              <w:right w:val="single" w:sz="4" w:space="0" w:color="auto"/>
            </w:tcBorders>
            <w:vAlign w:val="bottom"/>
            <w:hideMark/>
          </w:tcPr>
          <w:p w14:paraId="60A62798" w14:textId="77777777" w:rsidR="003325BB" w:rsidRPr="00FA7B58" w:rsidRDefault="003325BB" w:rsidP="00F76882">
            <w:pPr>
              <w:pStyle w:val="Tabletextleft"/>
            </w:pPr>
            <w:r w:rsidRPr="00FA7B58">
              <w:t>Overall prevalence of active trachoma (%)</w:t>
            </w:r>
          </w:p>
        </w:tc>
        <w:tc>
          <w:tcPr>
            <w:tcW w:w="839" w:type="pct"/>
            <w:tcBorders>
              <w:top w:val="nil"/>
              <w:left w:val="nil"/>
              <w:bottom w:val="single" w:sz="4" w:space="0" w:color="auto"/>
              <w:right w:val="single" w:sz="4" w:space="0" w:color="auto"/>
            </w:tcBorders>
            <w:noWrap/>
            <w:vAlign w:val="bottom"/>
          </w:tcPr>
          <w:p w14:paraId="6149D57F" w14:textId="3561A791" w:rsidR="003325BB" w:rsidRPr="007C3001" w:rsidRDefault="003325BB" w:rsidP="00F76882">
            <w:pPr>
              <w:pStyle w:val="Tabletextemphasis"/>
            </w:pPr>
            <w:r w:rsidRPr="007C3001">
              <w:t>0.0</w:t>
            </w:r>
          </w:p>
        </w:tc>
        <w:tc>
          <w:tcPr>
            <w:tcW w:w="839" w:type="pct"/>
            <w:tcBorders>
              <w:top w:val="nil"/>
              <w:left w:val="nil"/>
              <w:bottom w:val="single" w:sz="4" w:space="0" w:color="auto"/>
              <w:right w:val="single" w:sz="4" w:space="0" w:color="auto"/>
            </w:tcBorders>
            <w:noWrap/>
            <w:vAlign w:val="bottom"/>
          </w:tcPr>
          <w:p w14:paraId="68905CD3" w14:textId="7E66461B" w:rsidR="003325BB" w:rsidRPr="007C3001" w:rsidRDefault="003325BB" w:rsidP="00F76882">
            <w:pPr>
              <w:pStyle w:val="Tabletextemphasis"/>
            </w:pPr>
            <w:r w:rsidRPr="007C3001">
              <w:t>0.0</w:t>
            </w:r>
          </w:p>
        </w:tc>
        <w:tc>
          <w:tcPr>
            <w:tcW w:w="839" w:type="pct"/>
            <w:tcBorders>
              <w:top w:val="nil"/>
              <w:left w:val="nil"/>
              <w:bottom w:val="single" w:sz="4" w:space="0" w:color="auto"/>
              <w:right w:val="single" w:sz="4" w:space="0" w:color="auto"/>
            </w:tcBorders>
            <w:noWrap/>
            <w:vAlign w:val="bottom"/>
          </w:tcPr>
          <w:p w14:paraId="0545F5E1" w14:textId="349C713F" w:rsidR="003325BB" w:rsidRPr="007C3001" w:rsidRDefault="003325BB" w:rsidP="00F76882">
            <w:pPr>
              <w:pStyle w:val="Tabletextemphasis"/>
            </w:pPr>
            <w:r w:rsidRPr="007C3001">
              <w:t>0.0</w:t>
            </w:r>
          </w:p>
        </w:tc>
        <w:tc>
          <w:tcPr>
            <w:tcW w:w="838" w:type="pct"/>
            <w:tcBorders>
              <w:top w:val="nil"/>
              <w:left w:val="nil"/>
              <w:bottom w:val="single" w:sz="4" w:space="0" w:color="auto"/>
              <w:right w:val="single" w:sz="4" w:space="0" w:color="auto"/>
            </w:tcBorders>
            <w:noWrap/>
            <w:vAlign w:val="bottom"/>
          </w:tcPr>
          <w:p w14:paraId="67F66971" w14:textId="70B1460A" w:rsidR="003325BB" w:rsidRPr="007C3001" w:rsidRDefault="003325BB" w:rsidP="00F76882">
            <w:pPr>
              <w:pStyle w:val="Tabletextemphasis"/>
            </w:pPr>
            <w:r w:rsidRPr="007C3001">
              <w:t>0.0</w:t>
            </w:r>
          </w:p>
        </w:tc>
      </w:tr>
    </w:tbl>
    <w:p w14:paraId="6DDE2E22" w14:textId="0F7356F9" w:rsidR="008C6B79" w:rsidRPr="009C2F78" w:rsidRDefault="008C6B79" w:rsidP="00F76882">
      <w:pPr>
        <w:pStyle w:val="tablefigfootnote"/>
      </w:pPr>
      <w:bookmarkStart w:id="329" w:name="_Table_3.3_Number"/>
      <w:bookmarkStart w:id="330" w:name="_Ref58336644"/>
      <w:bookmarkStart w:id="331" w:name="_Toc392153917"/>
      <w:bookmarkEnd w:id="329"/>
      <w:r w:rsidRPr="009C2F78">
        <w:t>* Jurisdictional estimate</w:t>
      </w:r>
      <w:r w:rsidR="00831584" w:rsidRPr="009C2F78">
        <w:t>.</w:t>
      </w:r>
    </w:p>
    <w:p w14:paraId="7F9CCDF3" w14:textId="742F5919" w:rsidR="008C6B79" w:rsidRPr="009C2F78" w:rsidRDefault="008C6B79" w:rsidP="00F76882">
      <w:pPr>
        <w:pStyle w:val="tablefigfootnote"/>
      </w:pPr>
      <w:r w:rsidRPr="009C2F78">
        <w:t xml:space="preserve">† Communities that were screened for trachoma in </w:t>
      </w:r>
      <w:r w:rsidR="00C3405D" w:rsidRPr="009C2F78">
        <w:t>2024</w:t>
      </w:r>
      <w:r w:rsidR="00831584" w:rsidRPr="009C2F78">
        <w:t>.</w:t>
      </w:r>
    </w:p>
    <w:p w14:paraId="5BACFF02" w14:textId="77777777" w:rsidR="006713EE" w:rsidRPr="009C2F78" w:rsidRDefault="008C6B79" w:rsidP="00F76882">
      <w:pPr>
        <w:pStyle w:val="tablefigfootnote"/>
      </w:pPr>
      <w:r w:rsidRPr="009C2F78">
        <w:t xml:space="preserve">‡ </w:t>
      </w:r>
      <w:r w:rsidR="00F75C77" w:rsidRPr="009C2F78">
        <w:t>Prevalence rate calculations are described in the Methodology section.</w:t>
      </w:r>
    </w:p>
    <w:p w14:paraId="346FF359" w14:textId="77777777" w:rsidR="00E249C6" w:rsidRDefault="00E249C6" w:rsidP="00F76882"/>
    <w:p w14:paraId="771BFDFC" w14:textId="77777777" w:rsidR="009C2F78" w:rsidRPr="009C2F78" w:rsidRDefault="009C2F78" w:rsidP="00F76882">
      <w:pPr>
        <w:sectPr w:rsidR="009C2F78" w:rsidRPr="009C2F78" w:rsidSect="00E249C6">
          <w:headerReference w:type="even" r:id="rId50"/>
          <w:headerReference w:type="default" r:id="rId51"/>
          <w:footerReference w:type="default" r:id="rId52"/>
          <w:headerReference w:type="first" r:id="rId53"/>
          <w:footnotePr>
            <w:numFmt w:val="lowerRoman"/>
          </w:footnotePr>
          <w:pgSz w:w="11906" w:h="16838"/>
          <w:pgMar w:top="720" w:right="720" w:bottom="720" w:left="720" w:header="709" w:footer="709" w:gutter="0"/>
          <w:cols w:space="708"/>
          <w:docGrid w:linePitch="360"/>
        </w:sectPr>
      </w:pPr>
    </w:p>
    <w:p w14:paraId="0EA6C026" w14:textId="018B08C1" w:rsidR="00C574D9" w:rsidRPr="0036007C" w:rsidRDefault="00C574D9" w:rsidP="00F76882">
      <w:pPr>
        <w:pStyle w:val="Tableheadings"/>
      </w:pPr>
      <w:bookmarkStart w:id="332" w:name="_Toc215224712"/>
      <w:r w:rsidRPr="0036007C">
        <w:t xml:space="preserve">Table </w:t>
      </w:r>
      <w:r w:rsidR="00942F34" w:rsidRPr="0036007C">
        <w:t>4</w:t>
      </w:r>
      <w:r w:rsidRPr="0036007C">
        <w:t>.</w:t>
      </w:r>
      <w:r w:rsidRPr="0036007C">
        <w:fldChar w:fldCharType="begin"/>
      </w:r>
      <w:r w:rsidRPr="0036007C">
        <w:instrText>SEQ Table \* ARABIC \s 1</w:instrText>
      </w:r>
      <w:r w:rsidRPr="0036007C">
        <w:fldChar w:fldCharType="separate"/>
      </w:r>
      <w:r w:rsidRPr="0036007C">
        <w:t>3</w:t>
      </w:r>
      <w:r w:rsidRPr="0036007C">
        <w:fldChar w:fldCharType="end"/>
      </w:r>
      <w:bookmarkEnd w:id="330"/>
      <w:r w:rsidRPr="0036007C">
        <w:tab/>
        <w:t>Number and proportion of at-risk communities according to</w:t>
      </w:r>
      <w:r w:rsidR="000820BB" w:rsidRPr="0036007C">
        <w:t xml:space="preserve"> the</w:t>
      </w:r>
      <w:r w:rsidRPr="0036007C">
        <w:t xml:space="preserve"> level of </w:t>
      </w:r>
      <w:r w:rsidR="00C51CC9" w:rsidRPr="0036007C">
        <w:t xml:space="preserve">observed </w:t>
      </w:r>
      <w:r w:rsidRPr="0036007C">
        <w:t>trachoma prevalence in children aged 5</w:t>
      </w:r>
      <w:r w:rsidR="003D00CE" w:rsidRPr="0036007C">
        <w:t>–</w:t>
      </w:r>
      <w:r w:rsidRPr="0036007C">
        <w:t>9 years, South Australia</w:t>
      </w:r>
      <w:r w:rsidR="00732509" w:rsidRPr="0036007C">
        <w:t>,</w:t>
      </w:r>
      <w:r w:rsidRPr="0036007C">
        <w:t xml:space="preserve"> 20</w:t>
      </w:r>
      <w:r w:rsidR="00BF7E4D" w:rsidRPr="0036007C">
        <w:t>14</w:t>
      </w:r>
      <w:r w:rsidR="003D00CE" w:rsidRPr="0036007C">
        <w:t>–</w:t>
      </w:r>
      <w:r w:rsidR="00E76BB4" w:rsidRPr="0036007C">
        <w:t>202</w:t>
      </w:r>
      <w:r w:rsidR="004449F6" w:rsidRPr="0036007C">
        <w:t>4</w:t>
      </w:r>
      <w:bookmarkEnd w:id="332"/>
    </w:p>
    <w:tbl>
      <w:tblPr>
        <w:tblW w:w="5000" w:type="pct"/>
        <w:tblCellMar>
          <w:top w:w="57" w:type="dxa"/>
          <w:bottom w:w="57" w:type="dxa"/>
        </w:tblCellMar>
        <w:tblLook w:val="04A0" w:firstRow="1" w:lastRow="0" w:firstColumn="1" w:lastColumn="0" w:noHBand="0" w:noVBand="1"/>
        <w:tblCaption w:val="Number and proportion of at-risk communities according to the level of observed trachoma prevalence in children aged 5–9 years, South Australia, 2014–2024"/>
        <w:tblDescription w:val="Table 4.3 compares the breakdown of observed prevalence by year. Prevalence is categorised as either greater than or equal to 20%, 10% to less than 20%, 5% to less than 10%, less than 5%, and 0% prevalence.&#10;"/>
      </w:tblPr>
      <w:tblGrid>
        <w:gridCol w:w="2986"/>
        <w:gridCol w:w="348"/>
        <w:gridCol w:w="796"/>
        <w:gridCol w:w="285"/>
        <w:gridCol w:w="796"/>
        <w:gridCol w:w="349"/>
        <w:gridCol w:w="796"/>
        <w:gridCol w:w="349"/>
        <w:gridCol w:w="796"/>
        <w:gridCol w:w="349"/>
        <w:gridCol w:w="796"/>
        <w:gridCol w:w="349"/>
        <w:gridCol w:w="796"/>
        <w:gridCol w:w="285"/>
        <w:gridCol w:w="796"/>
        <w:gridCol w:w="285"/>
        <w:gridCol w:w="796"/>
        <w:gridCol w:w="349"/>
        <w:gridCol w:w="796"/>
        <w:gridCol w:w="349"/>
        <w:gridCol w:w="796"/>
        <w:gridCol w:w="349"/>
        <w:gridCol w:w="796"/>
      </w:tblGrid>
      <w:tr w:rsidR="00FA3861" w:rsidRPr="0036007C" w14:paraId="1CD208E3" w14:textId="74056601" w:rsidTr="009C2F78">
        <w:trPr>
          <w:trHeight w:val="290"/>
          <w:tblHeader/>
        </w:trPr>
        <w:tc>
          <w:tcPr>
            <w:tcW w:w="97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539978D" w14:textId="1AF6537C" w:rsidR="00FA3861" w:rsidRPr="00FC1E83" w:rsidRDefault="00FA3861" w:rsidP="00F76882">
            <w:pPr>
              <w:pStyle w:val="Tableheading"/>
            </w:pP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2D77C6C7" w14:textId="77777777" w:rsidR="00FA3861" w:rsidRPr="00FC1E83" w:rsidRDefault="00FA3861" w:rsidP="00F76882">
            <w:pPr>
              <w:pStyle w:val="Tableheading"/>
            </w:pPr>
            <w:r w:rsidRPr="00FC1E83">
              <w:t>2014</w:t>
            </w:r>
          </w:p>
        </w:tc>
        <w:tc>
          <w:tcPr>
            <w:tcW w:w="3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7118FDD" w14:textId="77777777" w:rsidR="00FA3861" w:rsidRPr="00FC1E83" w:rsidRDefault="00FA3861" w:rsidP="00F76882">
            <w:pPr>
              <w:pStyle w:val="Tableheading"/>
            </w:pPr>
            <w:r w:rsidRPr="00FC1E83">
              <w:t>2015</w:t>
            </w: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27C90DBE" w14:textId="77777777" w:rsidR="00FA3861" w:rsidRPr="00FC1E83" w:rsidRDefault="00FA3861" w:rsidP="00F76882">
            <w:pPr>
              <w:pStyle w:val="Tableheading"/>
            </w:pPr>
            <w:r w:rsidRPr="00FC1E83">
              <w:t>2016</w:t>
            </w: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721008C" w14:textId="77777777" w:rsidR="00FA3861" w:rsidRPr="00FC1E83" w:rsidRDefault="00FA3861" w:rsidP="00F76882">
            <w:pPr>
              <w:pStyle w:val="Tableheading"/>
            </w:pPr>
            <w:r w:rsidRPr="00FC1E83">
              <w:t>2017</w:t>
            </w: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781EE27B" w14:textId="77777777" w:rsidR="00FA3861" w:rsidRPr="00FC1E83" w:rsidRDefault="00FA3861" w:rsidP="00F76882">
            <w:pPr>
              <w:pStyle w:val="Tableheading"/>
            </w:pPr>
            <w:r w:rsidRPr="00FC1E83">
              <w:t>2018</w:t>
            </w: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3E390E7" w14:textId="77777777" w:rsidR="00FA3861" w:rsidRPr="00FC1E83" w:rsidRDefault="00FA3861" w:rsidP="00F76882">
            <w:pPr>
              <w:pStyle w:val="Tableheading"/>
            </w:pPr>
            <w:r w:rsidRPr="00FC1E83">
              <w:t>2019</w:t>
            </w:r>
          </w:p>
        </w:tc>
        <w:tc>
          <w:tcPr>
            <w:tcW w:w="3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C3AD073" w14:textId="77777777" w:rsidR="00FA3861" w:rsidRPr="00FC1E83" w:rsidRDefault="00FA3861" w:rsidP="00F76882">
            <w:pPr>
              <w:pStyle w:val="Tableheading"/>
            </w:pPr>
            <w:r w:rsidRPr="00FC1E83">
              <w:t>2020</w:t>
            </w:r>
          </w:p>
        </w:tc>
        <w:tc>
          <w:tcPr>
            <w:tcW w:w="3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75BA025" w14:textId="77777777" w:rsidR="00FA3861" w:rsidRPr="00FC1E83" w:rsidRDefault="00FA3861" w:rsidP="00F76882">
            <w:pPr>
              <w:pStyle w:val="Tableheading"/>
            </w:pPr>
            <w:r w:rsidRPr="00FC1E83">
              <w:t>2021</w:t>
            </w: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711B9982" w14:textId="77777777" w:rsidR="00FA3861" w:rsidRPr="00FC1E83" w:rsidRDefault="00FA3861" w:rsidP="00F76882">
            <w:pPr>
              <w:pStyle w:val="Tableheading"/>
            </w:pPr>
            <w:r w:rsidRPr="00FC1E83">
              <w:t>2022</w:t>
            </w: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4ADD09E9" w14:textId="77777777" w:rsidR="00FA3861" w:rsidRPr="00FC1E83" w:rsidRDefault="00FA3861" w:rsidP="00F76882">
            <w:pPr>
              <w:pStyle w:val="Tableheading"/>
            </w:pPr>
            <w:r w:rsidRPr="00FC1E83">
              <w:t>2023</w:t>
            </w:r>
          </w:p>
        </w:tc>
        <w:tc>
          <w:tcPr>
            <w:tcW w:w="372" w:type="pct"/>
            <w:gridSpan w:val="2"/>
            <w:tcBorders>
              <w:top w:val="single" w:sz="4" w:space="0" w:color="auto"/>
              <w:left w:val="nil"/>
              <w:bottom w:val="single" w:sz="4" w:space="0" w:color="auto"/>
              <w:right w:val="single" w:sz="4" w:space="0" w:color="auto"/>
            </w:tcBorders>
            <w:shd w:val="clear" w:color="000000" w:fill="BFBFBF"/>
            <w:vAlign w:val="center"/>
          </w:tcPr>
          <w:p w14:paraId="0E27201D" w14:textId="5034BA54" w:rsidR="00FA3861" w:rsidRPr="00A33DD2" w:rsidRDefault="00D45B47" w:rsidP="00F76882">
            <w:pPr>
              <w:pStyle w:val="Tableheading"/>
            </w:pPr>
            <w:r w:rsidRPr="00A33DD2">
              <w:t>2024</w:t>
            </w:r>
          </w:p>
        </w:tc>
      </w:tr>
      <w:tr w:rsidR="00793649" w:rsidRPr="0036007C" w14:paraId="715D11B6" w14:textId="35B0D6DC" w:rsidTr="009C2F78">
        <w:trPr>
          <w:trHeight w:val="290"/>
        </w:trPr>
        <w:tc>
          <w:tcPr>
            <w:tcW w:w="970" w:type="pct"/>
            <w:tcBorders>
              <w:top w:val="nil"/>
              <w:left w:val="single" w:sz="4" w:space="0" w:color="auto"/>
              <w:bottom w:val="single" w:sz="4" w:space="0" w:color="auto"/>
              <w:right w:val="single" w:sz="4" w:space="0" w:color="auto"/>
            </w:tcBorders>
            <w:vAlign w:val="center"/>
            <w:hideMark/>
          </w:tcPr>
          <w:p w14:paraId="40ABACC1" w14:textId="76ED85D9" w:rsidR="00793649" w:rsidRPr="00F57624" w:rsidRDefault="00793649" w:rsidP="00F76882">
            <w:pPr>
              <w:pStyle w:val="Tabletextleft"/>
            </w:pPr>
            <w:r w:rsidRPr="00F57624">
              <w:t>Communities at-risk</w:t>
            </w:r>
            <w:r w:rsidR="0086604C" w:rsidRPr="00F57624">
              <w:t>*</w:t>
            </w:r>
          </w:p>
        </w:tc>
        <w:tc>
          <w:tcPr>
            <w:tcW w:w="372" w:type="pct"/>
            <w:gridSpan w:val="2"/>
            <w:tcBorders>
              <w:top w:val="single" w:sz="4" w:space="0" w:color="auto"/>
              <w:left w:val="nil"/>
              <w:bottom w:val="single" w:sz="4" w:space="0" w:color="auto"/>
              <w:right w:val="single" w:sz="4" w:space="0" w:color="auto"/>
            </w:tcBorders>
            <w:noWrap/>
            <w:vAlign w:val="center"/>
            <w:hideMark/>
          </w:tcPr>
          <w:p w14:paraId="150F3C1C" w14:textId="77777777" w:rsidR="00793649" w:rsidRPr="00FC1E83" w:rsidRDefault="00793649" w:rsidP="00F76882">
            <w:pPr>
              <w:pStyle w:val="Tabletext"/>
            </w:pPr>
            <w:r w:rsidRPr="00FC1E83">
              <w:t>21</w:t>
            </w:r>
          </w:p>
        </w:tc>
        <w:tc>
          <w:tcPr>
            <w:tcW w:w="351" w:type="pct"/>
            <w:gridSpan w:val="2"/>
            <w:tcBorders>
              <w:top w:val="single" w:sz="4" w:space="0" w:color="auto"/>
              <w:left w:val="nil"/>
              <w:bottom w:val="single" w:sz="4" w:space="0" w:color="auto"/>
              <w:right w:val="single" w:sz="4" w:space="0" w:color="auto"/>
            </w:tcBorders>
            <w:noWrap/>
            <w:vAlign w:val="center"/>
            <w:hideMark/>
          </w:tcPr>
          <w:p w14:paraId="0481C967" w14:textId="77777777" w:rsidR="00793649" w:rsidRPr="00FC1E83" w:rsidRDefault="00793649" w:rsidP="00F76882">
            <w:pPr>
              <w:pStyle w:val="Tabletext"/>
            </w:pPr>
            <w:r w:rsidRPr="00FC1E83">
              <w:t>19</w:t>
            </w:r>
          </w:p>
        </w:tc>
        <w:tc>
          <w:tcPr>
            <w:tcW w:w="372" w:type="pct"/>
            <w:gridSpan w:val="2"/>
            <w:tcBorders>
              <w:top w:val="single" w:sz="4" w:space="0" w:color="auto"/>
              <w:left w:val="nil"/>
              <w:bottom w:val="single" w:sz="4" w:space="0" w:color="auto"/>
              <w:right w:val="single" w:sz="4" w:space="0" w:color="auto"/>
            </w:tcBorders>
            <w:noWrap/>
            <w:vAlign w:val="center"/>
            <w:hideMark/>
          </w:tcPr>
          <w:p w14:paraId="021835FC" w14:textId="77777777" w:rsidR="00793649" w:rsidRPr="00FC1E83" w:rsidRDefault="00793649" w:rsidP="00F76882">
            <w:pPr>
              <w:pStyle w:val="Tabletext"/>
            </w:pPr>
            <w:r w:rsidRPr="00FC1E83">
              <w:t>19</w:t>
            </w:r>
          </w:p>
        </w:tc>
        <w:tc>
          <w:tcPr>
            <w:tcW w:w="372" w:type="pct"/>
            <w:gridSpan w:val="2"/>
            <w:tcBorders>
              <w:top w:val="single" w:sz="4" w:space="0" w:color="auto"/>
              <w:left w:val="nil"/>
              <w:bottom w:val="single" w:sz="4" w:space="0" w:color="auto"/>
              <w:right w:val="single" w:sz="4" w:space="0" w:color="auto"/>
            </w:tcBorders>
            <w:noWrap/>
            <w:vAlign w:val="center"/>
            <w:hideMark/>
          </w:tcPr>
          <w:p w14:paraId="75DBB58C" w14:textId="77777777" w:rsidR="00793649" w:rsidRPr="00FC1E83" w:rsidRDefault="00793649" w:rsidP="00F76882">
            <w:pPr>
              <w:pStyle w:val="Tabletext"/>
            </w:pPr>
            <w:r w:rsidRPr="00FC1E83">
              <w:t>18</w:t>
            </w:r>
          </w:p>
        </w:tc>
        <w:tc>
          <w:tcPr>
            <w:tcW w:w="372" w:type="pct"/>
            <w:gridSpan w:val="2"/>
            <w:tcBorders>
              <w:top w:val="single" w:sz="4" w:space="0" w:color="auto"/>
              <w:left w:val="nil"/>
              <w:bottom w:val="single" w:sz="4" w:space="0" w:color="auto"/>
              <w:right w:val="single" w:sz="4" w:space="0" w:color="auto"/>
            </w:tcBorders>
            <w:noWrap/>
            <w:vAlign w:val="center"/>
            <w:hideMark/>
          </w:tcPr>
          <w:p w14:paraId="08D0B420" w14:textId="77777777" w:rsidR="00793649" w:rsidRPr="00FC1E83" w:rsidRDefault="00793649" w:rsidP="00F76882">
            <w:pPr>
              <w:pStyle w:val="Tabletext"/>
            </w:pPr>
            <w:r w:rsidRPr="00FC1E83">
              <w:t>15</w:t>
            </w:r>
          </w:p>
        </w:tc>
        <w:tc>
          <w:tcPr>
            <w:tcW w:w="372" w:type="pct"/>
            <w:gridSpan w:val="2"/>
            <w:tcBorders>
              <w:top w:val="single" w:sz="4" w:space="0" w:color="auto"/>
              <w:left w:val="nil"/>
              <w:bottom w:val="single" w:sz="4" w:space="0" w:color="auto"/>
              <w:right w:val="single" w:sz="4" w:space="0" w:color="auto"/>
            </w:tcBorders>
            <w:noWrap/>
            <w:vAlign w:val="center"/>
            <w:hideMark/>
          </w:tcPr>
          <w:p w14:paraId="499AE832" w14:textId="77777777" w:rsidR="00793649" w:rsidRPr="00FC1E83" w:rsidRDefault="00793649" w:rsidP="00F76882">
            <w:pPr>
              <w:pStyle w:val="Tabletext"/>
            </w:pPr>
            <w:r w:rsidRPr="00FC1E83">
              <w:t>15</w:t>
            </w:r>
          </w:p>
        </w:tc>
        <w:tc>
          <w:tcPr>
            <w:tcW w:w="351" w:type="pct"/>
            <w:gridSpan w:val="2"/>
            <w:tcBorders>
              <w:top w:val="single" w:sz="4" w:space="0" w:color="auto"/>
              <w:left w:val="nil"/>
              <w:bottom w:val="single" w:sz="4" w:space="0" w:color="auto"/>
              <w:right w:val="single" w:sz="4" w:space="0" w:color="auto"/>
            </w:tcBorders>
            <w:noWrap/>
            <w:vAlign w:val="center"/>
            <w:hideMark/>
          </w:tcPr>
          <w:p w14:paraId="56CAA552" w14:textId="77777777" w:rsidR="00793649" w:rsidRPr="00FC1E83" w:rsidRDefault="00793649" w:rsidP="00F76882">
            <w:pPr>
              <w:pStyle w:val="Tabletext"/>
            </w:pPr>
            <w:r w:rsidRPr="00FC1E83">
              <w:t>15</w:t>
            </w:r>
          </w:p>
        </w:tc>
        <w:tc>
          <w:tcPr>
            <w:tcW w:w="351" w:type="pct"/>
            <w:gridSpan w:val="2"/>
            <w:tcBorders>
              <w:top w:val="single" w:sz="4" w:space="0" w:color="auto"/>
              <w:left w:val="nil"/>
              <w:bottom w:val="single" w:sz="4" w:space="0" w:color="auto"/>
              <w:right w:val="single" w:sz="4" w:space="0" w:color="auto"/>
            </w:tcBorders>
            <w:noWrap/>
            <w:vAlign w:val="center"/>
            <w:hideMark/>
          </w:tcPr>
          <w:p w14:paraId="37352EDB" w14:textId="77777777" w:rsidR="00793649" w:rsidRPr="00FC1E83" w:rsidRDefault="00793649" w:rsidP="00F76882">
            <w:pPr>
              <w:pStyle w:val="Tabletext"/>
            </w:pPr>
            <w:r w:rsidRPr="00FC1E83">
              <w:t>15</w:t>
            </w:r>
          </w:p>
        </w:tc>
        <w:tc>
          <w:tcPr>
            <w:tcW w:w="372" w:type="pct"/>
            <w:gridSpan w:val="2"/>
            <w:tcBorders>
              <w:top w:val="single" w:sz="4" w:space="0" w:color="auto"/>
              <w:left w:val="nil"/>
              <w:bottom w:val="single" w:sz="4" w:space="0" w:color="auto"/>
              <w:right w:val="single" w:sz="4" w:space="0" w:color="auto"/>
            </w:tcBorders>
            <w:noWrap/>
            <w:vAlign w:val="center"/>
            <w:hideMark/>
          </w:tcPr>
          <w:p w14:paraId="0E5348E6" w14:textId="77777777" w:rsidR="00793649" w:rsidRPr="00FC1E83" w:rsidRDefault="00793649" w:rsidP="00F76882">
            <w:pPr>
              <w:pStyle w:val="Tabletext"/>
            </w:pPr>
            <w:r w:rsidRPr="00FC1E83">
              <w:t>11</w:t>
            </w:r>
          </w:p>
        </w:tc>
        <w:tc>
          <w:tcPr>
            <w:tcW w:w="372" w:type="pct"/>
            <w:gridSpan w:val="2"/>
            <w:tcBorders>
              <w:top w:val="single" w:sz="4" w:space="0" w:color="auto"/>
              <w:left w:val="nil"/>
              <w:bottom w:val="single" w:sz="4" w:space="0" w:color="auto"/>
              <w:right w:val="single" w:sz="4" w:space="0" w:color="auto"/>
            </w:tcBorders>
            <w:noWrap/>
            <w:vAlign w:val="center"/>
            <w:hideMark/>
          </w:tcPr>
          <w:p w14:paraId="2C206205" w14:textId="77777777" w:rsidR="00793649" w:rsidRPr="00FC1E83" w:rsidRDefault="00793649" w:rsidP="00F76882">
            <w:pPr>
              <w:pStyle w:val="Tabletext"/>
            </w:pPr>
            <w:r w:rsidRPr="00FC1E83">
              <w:t>11</w:t>
            </w:r>
          </w:p>
        </w:tc>
        <w:tc>
          <w:tcPr>
            <w:tcW w:w="372" w:type="pct"/>
            <w:gridSpan w:val="2"/>
            <w:tcBorders>
              <w:top w:val="single" w:sz="4" w:space="0" w:color="auto"/>
              <w:left w:val="nil"/>
              <w:bottom w:val="single" w:sz="4" w:space="0" w:color="auto"/>
              <w:right w:val="single" w:sz="4" w:space="0" w:color="auto"/>
            </w:tcBorders>
            <w:vAlign w:val="center"/>
          </w:tcPr>
          <w:p w14:paraId="5C2F84BF" w14:textId="32A3D2C5" w:rsidR="00793649" w:rsidRPr="00FC1E83" w:rsidRDefault="00793649" w:rsidP="00F76882">
            <w:pPr>
              <w:pStyle w:val="Tabletext"/>
            </w:pPr>
            <w:r w:rsidRPr="00FC1E83">
              <w:t>16</w:t>
            </w:r>
          </w:p>
        </w:tc>
      </w:tr>
      <w:tr w:rsidR="00793649" w:rsidRPr="0036007C" w14:paraId="0633D15D" w14:textId="0852549B" w:rsidTr="009C2F78">
        <w:trPr>
          <w:trHeight w:val="580"/>
        </w:trPr>
        <w:tc>
          <w:tcPr>
            <w:tcW w:w="970" w:type="pct"/>
            <w:tcBorders>
              <w:top w:val="nil"/>
              <w:left w:val="single" w:sz="4" w:space="0" w:color="auto"/>
              <w:bottom w:val="single" w:sz="4" w:space="0" w:color="auto"/>
              <w:right w:val="single" w:sz="4" w:space="0" w:color="auto"/>
            </w:tcBorders>
            <w:shd w:val="clear" w:color="000000" w:fill="BFBFBF"/>
            <w:vAlign w:val="center"/>
            <w:hideMark/>
          </w:tcPr>
          <w:p w14:paraId="1A7D604A" w14:textId="175FC959" w:rsidR="00793649" w:rsidRPr="00F57624" w:rsidRDefault="00EB52F6" w:rsidP="00F76882">
            <w:pPr>
              <w:pStyle w:val="Tabletextleft"/>
            </w:pPr>
            <w:r w:rsidRPr="00F57624">
              <w:t>At-risk communities not screened or treated without screening</w:t>
            </w:r>
            <w:r w:rsidR="0086604C" w:rsidRPr="00F57624">
              <w:t>†</w:t>
            </w: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6E3C362" w14:textId="77777777" w:rsidR="00793649" w:rsidRPr="00FC1E83" w:rsidRDefault="00793649" w:rsidP="00F76882">
            <w:pPr>
              <w:pStyle w:val="Tabletext"/>
            </w:pPr>
            <w:r w:rsidRPr="00FC1E83">
              <w:t>0</w:t>
            </w:r>
          </w:p>
        </w:tc>
        <w:tc>
          <w:tcPr>
            <w:tcW w:w="3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7ACB71E5" w14:textId="77777777" w:rsidR="00793649" w:rsidRPr="00FC1E83" w:rsidRDefault="00793649" w:rsidP="00F76882">
            <w:pPr>
              <w:pStyle w:val="Tabletext"/>
            </w:pPr>
            <w:r w:rsidRPr="00FC1E83">
              <w:t>0</w:t>
            </w: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9DD6296" w14:textId="77777777" w:rsidR="00793649" w:rsidRPr="00FC1E83" w:rsidRDefault="00793649" w:rsidP="00F76882">
            <w:pPr>
              <w:pStyle w:val="Tabletext"/>
            </w:pPr>
            <w:r w:rsidRPr="00FC1E83">
              <w:t>0</w:t>
            </w: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D1C1332" w14:textId="77777777" w:rsidR="00793649" w:rsidRPr="00FC1E83" w:rsidRDefault="00793649" w:rsidP="00F76882">
            <w:pPr>
              <w:pStyle w:val="Tabletext"/>
            </w:pPr>
            <w:r w:rsidRPr="00FC1E83">
              <w:t>0</w:t>
            </w: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91944EC" w14:textId="77777777" w:rsidR="00793649" w:rsidRPr="00FC1E83" w:rsidRDefault="00793649" w:rsidP="00F76882">
            <w:pPr>
              <w:pStyle w:val="Tabletext"/>
            </w:pPr>
            <w:r w:rsidRPr="00FC1E83">
              <w:t>0</w:t>
            </w: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975F0F9" w14:textId="77777777" w:rsidR="00793649" w:rsidRPr="00FC1E83" w:rsidRDefault="00793649" w:rsidP="00F76882">
            <w:pPr>
              <w:pStyle w:val="Tabletext"/>
            </w:pPr>
            <w:r w:rsidRPr="00FC1E83">
              <w:t>0</w:t>
            </w:r>
          </w:p>
        </w:tc>
        <w:tc>
          <w:tcPr>
            <w:tcW w:w="3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CAA2EC4" w14:textId="77777777" w:rsidR="00793649" w:rsidRPr="00FC1E83" w:rsidRDefault="00793649" w:rsidP="00F76882">
            <w:pPr>
              <w:pStyle w:val="Tabletext"/>
            </w:pPr>
            <w:r w:rsidRPr="00FC1E83">
              <w:t>0</w:t>
            </w:r>
          </w:p>
        </w:tc>
        <w:tc>
          <w:tcPr>
            <w:tcW w:w="3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77D0D26B" w14:textId="77777777" w:rsidR="00793649" w:rsidRPr="00FC1E83" w:rsidRDefault="00793649" w:rsidP="00F76882">
            <w:pPr>
              <w:pStyle w:val="Tabletext"/>
            </w:pPr>
            <w:r w:rsidRPr="00FC1E83">
              <w:t>0</w:t>
            </w: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21253C13" w14:textId="77777777" w:rsidR="00793649" w:rsidRPr="00FC1E83" w:rsidRDefault="00793649" w:rsidP="00F76882">
            <w:pPr>
              <w:pStyle w:val="Tabletext"/>
            </w:pPr>
            <w:r w:rsidRPr="00FC1E83">
              <w:t>0</w:t>
            </w:r>
          </w:p>
        </w:tc>
        <w:tc>
          <w:tcPr>
            <w:tcW w:w="37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2C7E5947" w14:textId="77777777" w:rsidR="00793649" w:rsidRPr="00FC1E83" w:rsidRDefault="00793649" w:rsidP="00F76882">
            <w:pPr>
              <w:pStyle w:val="Tabletext"/>
            </w:pPr>
            <w:r w:rsidRPr="00FC1E83">
              <w:t>0</w:t>
            </w:r>
          </w:p>
        </w:tc>
        <w:tc>
          <w:tcPr>
            <w:tcW w:w="372" w:type="pct"/>
            <w:gridSpan w:val="2"/>
            <w:tcBorders>
              <w:top w:val="single" w:sz="4" w:space="0" w:color="auto"/>
              <w:left w:val="nil"/>
              <w:bottom w:val="single" w:sz="4" w:space="0" w:color="auto"/>
              <w:right w:val="single" w:sz="4" w:space="0" w:color="auto"/>
            </w:tcBorders>
            <w:shd w:val="clear" w:color="000000" w:fill="BFBFBF"/>
            <w:vAlign w:val="center"/>
          </w:tcPr>
          <w:p w14:paraId="598476A7" w14:textId="51D99540" w:rsidR="00793649" w:rsidRPr="00FC1E83" w:rsidRDefault="00793649" w:rsidP="00F76882">
            <w:pPr>
              <w:pStyle w:val="Tabletext"/>
            </w:pPr>
            <w:r w:rsidRPr="00FC1E83">
              <w:t>1</w:t>
            </w:r>
          </w:p>
        </w:tc>
      </w:tr>
      <w:tr w:rsidR="00793649" w:rsidRPr="0036007C" w14:paraId="3B2D5E0D" w14:textId="19B3D9B5" w:rsidTr="009C2F78">
        <w:trPr>
          <w:trHeight w:val="580"/>
        </w:trPr>
        <w:tc>
          <w:tcPr>
            <w:tcW w:w="970" w:type="pct"/>
            <w:tcBorders>
              <w:top w:val="nil"/>
              <w:left w:val="single" w:sz="4" w:space="0" w:color="auto"/>
              <w:bottom w:val="single" w:sz="4" w:space="0" w:color="auto"/>
              <w:right w:val="single" w:sz="4" w:space="0" w:color="auto"/>
            </w:tcBorders>
            <w:vAlign w:val="center"/>
            <w:hideMark/>
          </w:tcPr>
          <w:p w14:paraId="0CF384BA" w14:textId="585D5AB5" w:rsidR="00793649" w:rsidRPr="00F57624" w:rsidRDefault="009F0E49" w:rsidP="00F76882">
            <w:pPr>
              <w:pStyle w:val="Tabletextleft"/>
            </w:pPr>
            <w:r w:rsidRPr="00F57624">
              <w:t>At-risk communities screened</w:t>
            </w:r>
          </w:p>
        </w:tc>
        <w:tc>
          <w:tcPr>
            <w:tcW w:w="372" w:type="pct"/>
            <w:gridSpan w:val="2"/>
            <w:tcBorders>
              <w:top w:val="single" w:sz="4" w:space="0" w:color="auto"/>
              <w:left w:val="nil"/>
              <w:bottom w:val="single" w:sz="4" w:space="0" w:color="auto"/>
              <w:right w:val="single" w:sz="4" w:space="0" w:color="auto"/>
            </w:tcBorders>
            <w:noWrap/>
            <w:vAlign w:val="center"/>
            <w:hideMark/>
          </w:tcPr>
          <w:p w14:paraId="75377FED" w14:textId="77777777" w:rsidR="00793649" w:rsidRPr="00FC1E83" w:rsidRDefault="00793649" w:rsidP="00F76882">
            <w:pPr>
              <w:pStyle w:val="Tabletext"/>
            </w:pPr>
            <w:r w:rsidRPr="00FC1E83">
              <w:t>21</w:t>
            </w:r>
          </w:p>
        </w:tc>
        <w:tc>
          <w:tcPr>
            <w:tcW w:w="351" w:type="pct"/>
            <w:gridSpan w:val="2"/>
            <w:tcBorders>
              <w:top w:val="single" w:sz="4" w:space="0" w:color="auto"/>
              <w:left w:val="nil"/>
              <w:bottom w:val="single" w:sz="4" w:space="0" w:color="auto"/>
              <w:right w:val="single" w:sz="4" w:space="0" w:color="auto"/>
            </w:tcBorders>
            <w:noWrap/>
            <w:vAlign w:val="center"/>
            <w:hideMark/>
          </w:tcPr>
          <w:p w14:paraId="6D339551" w14:textId="77777777" w:rsidR="00793649" w:rsidRPr="00FC1E83" w:rsidRDefault="00793649" w:rsidP="00F76882">
            <w:pPr>
              <w:pStyle w:val="Tabletext"/>
            </w:pPr>
            <w:r w:rsidRPr="00FC1E83">
              <w:t>19</w:t>
            </w:r>
          </w:p>
        </w:tc>
        <w:tc>
          <w:tcPr>
            <w:tcW w:w="372" w:type="pct"/>
            <w:gridSpan w:val="2"/>
            <w:tcBorders>
              <w:top w:val="single" w:sz="4" w:space="0" w:color="auto"/>
              <w:left w:val="nil"/>
              <w:bottom w:val="single" w:sz="4" w:space="0" w:color="auto"/>
              <w:right w:val="single" w:sz="4" w:space="0" w:color="auto"/>
            </w:tcBorders>
            <w:noWrap/>
            <w:vAlign w:val="center"/>
            <w:hideMark/>
          </w:tcPr>
          <w:p w14:paraId="6EF425C1" w14:textId="77777777" w:rsidR="00793649" w:rsidRPr="00FC1E83" w:rsidRDefault="00793649" w:rsidP="00F76882">
            <w:pPr>
              <w:pStyle w:val="Tabletext"/>
            </w:pPr>
            <w:r w:rsidRPr="00FC1E83">
              <w:t>19</w:t>
            </w:r>
          </w:p>
        </w:tc>
        <w:tc>
          <w:tcPr>
            <w:tcW w:w="372" w:type="pct"/>
            <w:gridSpan w:val="2"/>
            <w:tcBorders>
              <w:top w:val="single" w:sz="4" w:space="0" w:color="auto"/>
              <w:left w:val="nil"/>
              <w:bottom w:val="single" w:sz="4" w:space="0" w:color="auto"/>
              <w:right w:val="single" w:sz="4" w:space="0" w:color="auto"/>
            </w:tcBorders>
            <w:noWrap/>
            <w:vAlign w:val="center"/>
            <w:hideMark/>
          </w:tcPr>
          <w:p w14:paraId="27595B85" w14:textId="77777777" w:rsidR="00793649" w:rsidRPr="00FC1E83" w:rsidRDefault="00793649" w:rsidP="00F76882">
            <w:pPr>
              <w:pStyle w:val="Tabletext"/>
            </w:pPr>
            <w:r w:rsidRPr="00FC1E83">
              <w:t>18</w:t>
            </w:r>
          </w:p>
        </w:tc>
        <w:tc>
          <w:tcPr>
            <w:tcW w:w="372" w:type="pct"/>
            <w:gridSpan w:val="2"/>
            <w:tcBorders>
              <w:top w:val="single" w:sz="4" w:space="0" w:color="auto"/>
              <w:left w:val="nil"/>
              <w:bottom w:val="single" w:sz="4" w:space="0" w:color="auto"/>
              <w:right w:val="single" w:sz="4" w:space="0" w:color="auto"/>
            </w:tcBorders>
            <w:noWrap/>
            <w:vAlign w:val="center"/>
            <w:hideMark/>
          </w:tcPr>
          <w:p w14:paraId="2A18C147" w14:textId="77777777" w:rsidR="00793649" w:rsidRPr="00FC1E83" w:rsidRDefault="00793649" w:rsidP="00F76882">
            <w:pPr>
              <w:pStyle w:val="Tabletext"/>
            </w:pPr>
            <w:r w:rsidRPr="00FC1E83">
              <w:t>15</w:t>
            </w:r>
          </w:p>
        </w:tc>
        <w:tc>
          <w:tcPr>
            <w:tcW w:w="372" w:type="pct"/>
            <w:gridSpan w:val="2"/>
            <w:tcBorders>
              <w:top w:val="single" w:sz="4" w:space="0" w:color="auto"/>
              <w:left w:val="nil"/>
              <w:bottom w:val="single" w:sz="4" w:space="0" w:color="auto"/>
              <w:right w:val="single" w:sz="4" w:space="0" w:color="auto"/>
            </w:tcBorders>
            <w:noWrap/>
            <w:vAlign w:val="center"/>
            <w:hideMark/>
          </w:tcPr>
          <w:p w14:paraId="12BB90F8" w14:textId="77777777" w:rsidR="00793649" w:rsidRPr="00FC1E83" w:rsidRDefault="00793649" w:rsidP="00F76882">
            <w:pPr>
              <w:pStyle w:val="Tabletext"/>
            </w:pPr>
            <w:r w:rsidRPr="00FC1E83">
              <w:t>15</w:t>
            </w:r>
          </w:p>
        </w:tc>
        <w:tc>
          <w:tcPr>
            <w:tcW w:w="351" w:type="pct"/>
            <w:gridSpan w:val="2"/>
            <w:tcBorders>
              <w:top w:val="single" w:sz="4" w:space="0" w:color="auto"/>
              <w:left w:val="nil"/>
              <w:bottom w:val="single" w:sz="4" w:space="0" w:color="auto"/>
              <w:right w:val="single" w:sz="4" w:space="0" w:color="auto"/>
            </w:tcBorders>
            <w:noWrap/>
            <w:vAlign w:val="center"/>
            <w:hideMark/>
          </w:tcPr>
          <w:p w14:paraId="40B53B35" w14:textId="77777777" w:rsidR="00793649" w:rsidRPr="00FC1E83" w:rsidRDefault="00793649" w:rsidP="00F76882">
            <w:pPr>
              <w:pStyle w:val="Tabletext"/>
            </w:pPr>
            <w:r w:rsidRPr="00FC1E83">
              <w:t>15</w:t>
            </w:r>
          </w:p>
        </w:tc>
        <w:tc>
          <w:tcPr>
            <w:tcW w:w="351" w:type="pct"/>
            <w:gridSpan w:val="2"/>
            <w:tcBorders>
              <w:top w:val="single" w:sz="4" w:space="0" w:color="auto"/>
              <w:left w:val="nil"/>
              <w:bottom w:val="single" w:sz="4" w:space="0" w:color="auto"/>
              <w:right w:val="single" w:sz="4" w:space="0" w:color="auto"/>
            </w:tcBorders>
            <w:noWrap/>
            <w:vAlign w:val="center"/>
            <w:hideMark/>
          </w:tcPr>
          <w:p w14:paraId="03AD342D" w14:textId="77777777" w:rsidR="00793649" w:rsidRPr="00FC1E83" w:rsidRDefault="00793649" w:rsidP="00F76882">
            <w:pPr>
              <w:pStyle w:val="Tabletext"/>
            </w:pPr>
            <w:r w:rsidRPr="00FC1E83">
              <w:t>15</w:t>
            </w:r>
          </w:p>
        </w:tc>
        <w:tc>
          <w:tcPr>
            <w:tcW w:w="372" w:type="pct"/>
            <w:gridSpan w:val="2"/>
            <w:tcBorders>
              <w:top w:val="single" w:sz="4" w:space="0" w:color="auto"/>
              <w:left w:val="nil"/>
              <w:bottom w:val="single" w:sz="4" w:space="0" w:color="auto"/>
              <w:right w:val="single" w:sz="4" w:space="0" w:color="auto"/>
            </w:tcBorders>
            <w:noWrap/>
            <w:vAlign w:val="center"/>
            <w:hideMark/>
          </w:tcPr>
          <w:p w14:paraId="26B7669C" w14:textId="77777777" w:rsidR="00793649" w:rsidRPr="00FC1E83" w:rsidRDefault="00793649" w:rsidP="00F76882">
            <w:pPr>
              <w:pStyle w:val="Tabletext"/>
            </w:pPr>
            <w:r w:rsidRPr="00FC1E83">
              <w:t>11</w:t>
            </w:r>
          </w:p>
        </w:tc>
        <w:tc>
          <w:tcPr>
            <w:tcW w:w="372" w:type="pct"/>
            <w:gridSpan w:val="2"/>
            <w:tcBorders>
              <w:top w:val="single" w:sz="4" w:space="0" w:color="auto"/>
              <w:left w:val="nil"/>
              <w:bottom w:val="single" w:sz="4" w:space="0" w:color="auto"/>
              <w:right w:val="single" w:sz="4" w:space="0" w:color="auto"/>
            </w:tcBorders>
            <w:noWrap/>
            <w:vAlign w:val="center"/>
            <w:hideMark/>
          </w:tcPr>
          <w:p w14:paraId="64E8345A" w14:textId="77777777" w:rsidR="00793649" w:rsidRPr="00FC1E83" w:rsidRDefault="00793649" w:rsidP="00F76882">
            <w:pPr>
              <w:pStyle w:val="Tabletext"/>
            </w:pPr>
            <w:r w:rsidRPr="00FC1E83">
              <w:t>11</w:t>
            </w:r>
          </w:p>
        </w:tc>
        <w:tc>
          <w:tcPr>
            <w:tcW w:w="372" w:type="pct"/>
            <w:gridSpan w:val="2"/>
            <w:tcBorders>
              <w:top w:val="single" w:sz="4" w:space="0" w:color="auto"/>
              <w:left w:val="nil"/>
              <w:bottom w:val="single" w:sz="4" w:space="0" w:color="auto"/>
              <w:right w:val="single" w:sz="4" w:space="0" w:color="auto"/>
            </w:tcBorders>
            <w:vAlign w:val="center"/>
          </w:tcPr>
          <w:p w14:paraId="23B3C1C8" w14:textId="233F8F3E" w:rsidR="00793649" w:rsidRPr="00FC1E83" w:rsidRDefault="00793649" w:rsidP="00F76882">
            <w:pPr>
              <w:pStyle w:val="Tabletext"/>
            </w:pPr>
            <w:r w:rsidRPr="00FC1E83">
              <w:t>15</w:t>
            </w:r>
          </w:p>
        </w:tc>
      </w:tr>
      <w:tr w:rsidR="00FC1E83" w:rsidRPr="0036007C" w14:paraId="0F2FBEA8" w14:textId="356571E6" w:rsidTr="009C2F78">
        <w:trPr>
          <w:trHeight w:val="290"/>
        </w:trPr>
        <w:tc>
          <w:tcPr>
            <w:tcW w:w="970" w:type="pct"/>
            <w:tcBorders>
              <w:top w:val="nil"/>
              <w:left w:val="single" w:sz="4" w:space="0" w:color="auto"/>
              <w:bottom w:val="single" w:sz="4" w:space="0" w:color="auto"/>
              <w:right w:val="single" w:sz="4" w:space="0" w:color="auto"/>
            </w:tcBorders>
            <w:shd w:val="clear" w:color="000000" w:fill="BFBFBF"/>
            <w:noWrap/>
            <w:vAlign w:val="center"/>
          </w:tcPr>
          <w:p w14:paraId="1CE02EA7" w14:textId="4E948813" w:rsidR="003504C6" w:rsidRPr="00F57624" w:rsidRDefault="003504C6" w:rsidP="00F76882">
            <w:pPr>
              <w:pStyle w:val="Tabletextleft"/>
            </w:pPr>
            <w:r w:rsidRPr="00F57624">
              <w:t>Observed prevalence</w:t>
            </w:r>
            <w:r w:rsidR="00FC1E83" w:rsidRPr="00F57624">
              <w:t xml:space="preserve"> </w:t>
            </w:r>
            <w:r w:rsidRPr="00F57624">
              <w:t xml:space="preserve">(screened </w:t>
            </w:r>
            <w:proofErr w:type="spellStart"/>
            <w:r w:rsidRPr="00F57624">
              <w:t>communitiesonly</w:t>
            </w:r>
            <w:proofErr w:type="spellEnd"/>
            <w:r w:rsidRPr="00F57624">
              <w:t>)</w:t>
            </w:r>
            <w:r w:rsidR="00093E09" w:rsidRPr="00495326">
              <w:t xml:space="preserve"> ‡</w:t>
            </w:r>
          </w:p>
        </w:tc>
        <w:tc>
          <w:tcPr>
            <w:tcW w:w="113" w:type="pct"/>
            <w:tcBorders>
              <w:top w:val="nil"/>
              <w:left w:val="nil"/>
              <w:bottom w:val="single" w:sz="4" w:space="0" w:color="auto"/>
              <w:right w:val="single" w:sz="4" w:space="0" w:color="auto"/>
            </w:tcBorders>
            <w:shd w:val="clear" w:color="000000" w:fill="BFBFBF"/>
            <w:noWrap/>
            <w:vAlign w:val="center"/>
          </w:tcPr>
          <w:p w14:paraId="5F6A84BF" w14:textId="14F6D0F1" w:rsidR="00FA3861" w:rsidRPr="00FC1E83" w:rsidRDefault="00FA3861" w:rsidP="00F76882">
            <w:pPr>
              <w:pStyle w:val="Tabletext"/>
            </w:pPr>
            <w:r w:rsidRPr="00FC1E83">
              <w:t>n</w:t>
            </w:r>
          </w:p>
        </w:tc>
        <w:tc>
          <w:tcPr>
            <w:tcW w:w="259" w:type="pct"/>
            <w:tcBorders>
              <w:top w:val="nil"/>
              <w:left w:val="nil"/>
              <w:bottom w:val="single" w:sz="4" w:space="0" w:color="auto"/>
              <w:right w:val="single" w:sz="4" w:space="0" w:color="auto"/>
            </w:tcBorders>
            <w:shd w:val="clear" w:color="000000" w:fill="BFBFBF"/>
            <w:noWrap/>
            <w:vAlign w:val="center"/>
          </w:tcPr>
          <w:p w14:paraId="1473898D" w14:textId="5BBA5F3A" w:rsidR="00FA3861" w:rsidRPr="00FC1E83" w:rsidRDefault="00FA3861" w:rsidP="00F76882">
            <w:pPr>
              <w:pStyle w:val="Tabletext"/>
            </w:pPr>
            <w:r w:rsidRPr="00FC1E83">
              <w:t>Proportion</w:t>
            </w:r>
          </w:p>
        </w:tc>
        <w:tc>
          <w:tcPr>
            <w:tcW w:w="93" w:type="pct"/>
            <w:tcBorders>
              <w:top w:val="nil"/>
              <w:left w:val="nil"/>
              <w:bottom w:val="single" w:sz="4" w:space="0" w:color="auto"/>
              <w:right w:val="single" w:sz="4" w:space="0" w:color="auto"/>
            </w:tcBorders>
            <w:shd w:val="clear" w:color="000000" w:fill="BFBFBF"/>
            <w:noWrap/>
            <w:vAlign w:val="center"/>
          </w:tcPr>
          <w:p w14:paraId="2F70AADC" w14:textId="17E41E52" w:rsidR="00FA3861" w:rsidRPr="00FC1E83" w:rsidRDefault="00FA3861" w:rsidP="00F76882">
            <w:pPr>
              <w:pStyle w:val="Tabletext"/>
            </w:pPr>
            <w:r w:rsidRPr="00FC1E83">
              <w:t>n</w:t>
            </w:r>
          </w:p>
        </w:tc>
        <w:tc>
          <w:tcPr>
            <w:tcW w:w="259" w:type="pct"/>
            <w:tcBorders>
              <w:top w:val="nil"/>
              <w:left w:val="nil"/>
              <w:bottom w:val="single" w:sz="4" w:space="0" w:color="auto"/>
              <w:right w:val="single" w:sz="4" w:space="0" w:color="auto"/>
            </w:tcBorders>
            <w:shd w:val="clear" w:color="000000" w:fill="BFBFBF"/>
            <w:noWrap/>
            <w:vAlign w:val="center"/>
          </w:tcPr>
          <w:p w14:paraId="10577C16" w14:textId="256BF8FF" w:rsidR="00FA3861" w:rsidRPr="00FC1E83" w:rsidRDefault="00FA3861" w:rsidP="00F76882">
            <w:pPr>
              <w:pStyle w:val="Tabletext"/>
            </w:pPr>
            <w:r w:rsidRPr="00FC1E83">
              <w:t>Proportion</w:t>
            </w:r>
          </w:p>
        </w:tc>
        <w:tc>
          <w:tcPr>
            <w:tcW w:w="113" w:type="pct"/>
            <w:tcBorders>
              <w:top w:val="nil"/>
              <w:left w:val="nil"/>
              <w:bottom w:val="single" w:sz="4" w:space="0" w:color="auto"/>
              <w:right w:val="single" w:sz="4" w:space="0" w:color="auto"/>
            </w:tcBorders>
            <w:shd w:val="clear" w:color="000000" w:fill="BFBFBF"/>
            <w:noWrap/>
            <w:vAlign w:val="center"/>
          </w:tcPr>
          <w:p w14:paraId="07401A62" w14:textId="3A3C13DF" w:rsidR="00FA3861" w:rsidRPr="00FC1E83" w:rsidRDefault="00FA3861" w:rsidP="00F76882">
            <w:pPr>
              <w:pStyle w:val="Tabletext"/>
            </w:pPr>
            <w:r w:rsidRPr="00FC1E83">
              <w:t>n</w:t>
            </w:r>
          </w:p>
        </w:tc>
        <w:tc>
          <w:tcPr>
            <w:tcW w:w="259" w:type="pct"/>
            <w:tcBorders>
              <w:top w:val="nil"/>
              <w:left w:val="nil"/>
              <w:bottom w:val="single" w:sz="4" w:space="0" w:color="auto"/>
              <w:right w:val="single" w:sz="4" w:space="0" w:color="auto"/>
            </w:tcBorders>
            <w:shd w:val="clear" w:color="000000" w:fill="BFBFBF"/>
            <w:noWrap/>
            <w:vAlign w:val="center"/>
          </w:tcPr>
          <w:p w14:paraId="4140D288" w14:textId="2DD3258F" w:rsidR="00FA3861" w:rsidRPr="00FC1E83" w:rsidRDefault="00FA3861" w:rsidP="00F76882">
            <w:pPr>
              <w:pStyle w:val="Tabletext"/>
            </w:pPr>
            <w:r w:rsidRPr="00FC1E83">
              <w:t>Proportion</w:t>
            </w:r>
          </w:p>
        </w:tc>
        <w:tc>
          <w:tcPr>
            <w:tcW w:w="113" w:type="pct"/>
            <w:tcBorders>
              <w:top w:val="nil"/>
              <w:left w:val="nil"/>
              <w:bottom w:val="single" w:sz="4" w:space="0" w:color="auto"/>
              <w:right w:val="single" w:sz="4" w:space="0" w:color="auto"/>
            </w:tcBorders>
            <w:shd w:val="clear" w:color="000000" w:fill="BFBFBF"/>
            <w:noWrap/>
            <w:vAlign w:val="center"/>
          </w:tcPr>
          <w:p w14:paraId="6ED97655" w14:textId="1854A6BC" w:rsidR="00FA3861" w:rsidRPr="00FC1E83" w:rsidRDefault="00FA3861" w:rsidP="00F76882">
            <w:pPr>
              <w:pStyle w:val="Tabletext"/>
            </w:pPr>
            <w:r w:rsidRPr="00FC1E83">
              <w:t>n</w:t>
            </w:r>
          </w:p>
        </w:tc>
        <w:tc>
          <w:tcPr>
            <w:tcW w:w="259" w:type="pct"/>
            <w:tcBorders>
              <w:top w:val="nil"/>
              <w:left w:val="nil"/>
              <w:bottom w:val="single" w:sz="4" w:space="0" w:color="auto"/>
              <w:right w:val="single" w:sz="4" w:space="0" w:color="auto"/>
            </w:tcBorders>
            <w:shd w:val="clear" w:color="000000" w:fill="BFBFBF"/>
            <w:noWrap/>
            <w:vAlign w:val="center"/>
          </w:tcPr>
          <w:p w14:paraId="279D8D4C" w14:textId="028D2E3A" w:rsidR="00FA3861" w:rsidRPr="00FC1E83" w:rsidRDefault="00FA3861" w:rsidP="00F76882">
            <w:pPr>
              <w:pStyle w:val="Tabletext"/>
            </w:pPr>
            <w:r w:rsidRPr="00FC1E83">
              <w:t>Proportion</w:t>
            </w:r>
          </w:p>
        </w:tc>
        <w:tc>
          <w:tcPr>
            <w:tcW w:w="113" w:type="pct"/>
            <w:tcBorders>
              <w:top w:val="nil"/>
              <w:left w:val="nil"/>
              <w:bottom w:val="single" w:sz="4" w:space="0" w:color="auto"/>
              <w:right w:val="single" w:sz="4" w:space="0" w:color="auto"/>
            </w:tcBorders>
            <w:shd w:val="clear" w:color="000000" w:fill="BFBFBF"/>
            <w:noWrap/>
            <w:vAlign w:val="center"/>
          </w:tcPr>
          <w:p w14:paraId="62425E2B" w14:textId="7D3315D2" w:rsidR="00FA3861" w:rsidRPr="00FC1E83" w:rsidRDefault="00FA3861" w:rsidP="00F76882">
            <w:pPr>
              <w:pStyle w:val="Tabletext"/>
            </w:pPr>
            <w:r w:rsidRPr="00FC1E83">
              <w:t>n</w:t>
            </w:r>
          </w:p>
        </w:tc>
        <w:tc>
          <w:tcPr>
            <w:tcW w:w="259" w:type="pct"/>
            <w:tcBorders>
              <w:top w:val="nil"/>
              <w:left w:val="nil"/>
              <w:bottom w:val="single" w:sz="4" w:space="0" w:color="auto"/>
              <w:right w:val="single" w:sz="4" w:space="0" w:color="auto"/>
            </w:tcBorders>
            <w:shd w:val="clear" w:color="000000" w:fill="BFBFBF"/>
            <w:noWrap/>
            <w:vAlign w:val="center"/>
          </w:tcPr>
          <w:p w14:paraId="2723955A" w14:textId="2BD926AF" w:rsidR="00FA3861" w:rsidRPr="00FC1E83" w:rsidRDefault="00FA3861" w:rsidP="00F76882">
            <w:pPr>
              <w:pStyle w:val="Tabletext"/>
            </w:pPr>
            <w:r w:rsidRPr="00FC1E83">
              <w:t>Proportion</w:t>
            </w:r>
          </w:p>
        </w:tc>
        <w:tc>
          <w:tcPr>
            <w:tcW w:w="113" w:type="pct"/>
            <w:tcBorders>
              <w:top w:val="nil"/>
              <w:left w:val="nil"/>
              <w:bottom w:val="single" w:sz="4" w:space="0" w:color="auto"/>
              <w:right w:val="single" w:sz="4" w:space="0" w:color="auto"/>
            </w:tcBorders>
            <w:shd w:val="clear" w:color="000000" w:fill="BFBFBF"/>
            <w:noWrap/>
            <w:vAlign w:val="center"/>
          </w:tcPr>
          <w:p w14:paraId="1B256F98" w14:textId="44ADC8B0" w:rsidR="00FA3861" w:rsidRPr="00FC1E83" w:rsidRDefault="00FA3861" w:rsidP="00F76882">
            <w:pPr>
              <w:pStyle w:val="Tabletext"/>
            </w:pPr>
            <w:r w:rsidRPr="00FC1E83">
              <w:t>n</w:t>
            </w:r>
          </w:p>
        </w:tc>
        <w:tc>
          <w:tcPr>
            <w:tcW w:w="259" w:type="pct"/>
            <w:tcBorders>
              <w:top w:val="nil"/>
              <w:left w:val="nil"/>
              <w:bottom w:val="single" w:sz="4" w:space="0" w:color="auto"/>
              <w:right w:val="single" w:sz="4" w:space="0" w:color="auto"/>
            </w:tcBorders>
            <w:shd w:val="clear" w:color="000000" w:fill="BFBFBF"/>
            <w:noWrap/>
            <w:vAlign w:val="center"/>
          </w:tcPr>
          <w:p w14:paraId="0636E227" w14:textId="59F8DBDB" w:rsidR="00FA3861" w:rsidRPr="00FC1E83" w:rsidRDefault="00FA3861" w:rsidP="00F76882">
            <w:pPr>
              <w:pStyle w:val="Tabletext"/>
            </w:pPr>
            <w:r w:rsidRPr="00FC1E83">
              <w:t>Proportion</w:t>
            </w:r>
          </w:p>
        </w:tc>
        <w:tc>
          <w:tcPr>
            <w:tcW w:w="93" w:type="pct"/>
            <w:tcBorders>
              <w:top w:val="nil"/>
              <w:left w:val="nil"/>
              <w:bottom w:val="single" w:sz="4" w:space="0" w:color="auto"/>
              <w:right w:val="single" w:sz="4" w:space="0" w:color="auto"/>
            </w:tcBorders>
            <w:shd w:val="clear" w:color="000000" w:fill="BFBFBF"/>
            <w:noWrap/>
            <w:vAlign w:val="center"/>
          </w:tcPr>
          <w:p w14:paraId="028EB409" w14:textId="3B174B2F" w:rsidR="00FA3861" w:rsidRPr="00FC1E83" w:rsidRDefault="00FA3861" w:rsidP="00F76882">
            <w:pPr>
              <w:pStyle w:val="Tabletext"/>
            </w:pPr>
            <w:r w:rsidRPr="00FC1E83">
              <w:t>n</w:t>
            </w:r>
          </w:p>
        </w:tc>
        <w:tc>
          <w:tcPr>
            <w:tcW w:w="259" w:type="pct"/>
            <w:tcBorders>
              <w:top w:val="nil"/>
              <w:left w:val="nil"/>
              <w:bottom w:val="single" w:sz="4" w:space="0" w:color="auto"/>
              <w:right w:val="single" w:sz="4" w:space="0" w:color="auto"/>
            </w:tcBorders>
            <w:shd w:val="clear" w:color="000000" w:fill="BFBFBF"/>
            <w:noWrap/>
            <w:vAlign w:val="center"/>
          </w:tcPr>
          <w:p w14:paraId="379D63C9" w14:textId="07AC0FC3" w:rsidR="00FA3861" w:rsidRPr="00FC1E83" w:rsidRDefault="00FA3861" w:rsidP="00F76882">
            <w:pPr>
              <w:pStyle w:val="Tabletext"/>
            </w:pPr>
            <w:r w:rsidRPr="00FC1E83">
              <w:t>Proportion</w:t>
            </w:r>
          </w:p>
        </w:tc>
        <w:tc>
          <w:tcPr>
            <w:tcW w:w="93" w:type="pct"/>
            <w:tcBorders>
              <w:top w:val="nil"/>
              <w:left w:val="nil"/>
              <w:bottom w:val="single" w:sz="4" w:space="0" w:color="auto"/>
              <w:right w:val="single" w:sz="4" w:space="0" w:color="auto"/>
            </w:tcBorders>
            <w:shd w:val="clear" w:color="000000" w:fill="BFBFBF"/>
            <w:noWrap/>
            <w:vAlign w:val="center"/>
          </w:tcPr>
          <w:p w14:paraId="2C09D770" w14:textId="6EE55C77" w:rsidR="00FA3861" w:rsidRPr="00FC1E83" w:rsidRDefault="00FA3861" w:rsidP="00F76882">
            <w:pPr>
              <w:pStyle w:val="Tabletext"/>
            </w:pPr>
            <w:r w:rsidRPr="00FC1E83">
              <w:t>n</w:t>
            </w:r>
          </w:p>
        </w:tc>
        <w:tc>
          <w:tcPr>
            <w:tcW w:w="259" w:type="pct"/>
            <w:tcBorders>
              <w:top w:val="nil"/>
              <w:left w:val="nil"/>
              <w:bottom w:val="single" w:sz="4" w:space="0" w:color="auto"/>
              <w:right w:val="single" w:sz="4" w:space="0" w:color="auto"/>
            </w:tcBorders>
            <w:shd w:val="clear" w:color="000000" w:fill="BFBFBF"/>
            <w:noWrap/>
            <w:vAlign w:val="center"/>
          </w:tcPr>
          <w:p w14:paraId="109A9DC3" w14:textId="70193D02" w:rsidR="00FA3861" w:rsidRPr="00FC1E83" w:rsidRDefault="00FA3861" w:rsidP="00F76882">
            <w:pPr>
              <w:pStyle w:val="Tabletext"/>
            </w:pPr>
            <w:r w:rsidRPr="00FC1E83">
              <w:t>Proportion</w:t>
            </w:r>
          </w:p>
        </w:tc>
        <w:tc>
          <w:tcPr>
            <w:tcW w:w="113" w:type="pct"/>
            <w:tcBorders>
              <w:top w:val="nil"/>
              <w:left w:val="nil"/>
              <w:bottom w:val="single" w:sz="4" w:space="0" w:color="auto"/>
              <w:right w:val="single" w:sz="4" w:space="0" w:color="auto"/>
            </w:tcBorders>
            <w:shd w:val="clear" w:color="000000" w:fill="BFBFBF"/>
            <w:noWrap/>
            <w:vAlign w:val="center"/>
          </w:tcPr>
          <w:p w14:paraId="16A2EC8D" w14:textId="134678A1" w:rsidR="00FA3861" w:rsidRPr="00FC1E83" w:rsidRDefault="00FA3861" w:rsidP="00F76882">
            <w:pPr>
              <w:pStyle w:val="Tabletext"/>
            </w:pPr>
            <w:r w:rsidRPr="00FC1E83">
              <w:t>n</w:t>
            </w:r>
          </w:p>
        </w:tc>
        <w:tc>
          <w:tcPr>
            <w:tcW w:w="259" w:type="pct"/>
            <w:tcBorders>
              <w:top w:val="nil"/>
              <w:left w:val="nil"/>
              <w:bottom w:val="single" w:sz="4" w:space="0" w:color="auto"/>
              <w:right w:val="single" w:sz="4" w:space="0" w:color="auto"/>
            </w:tcBorders>
            <w:shd w:val="clear" w:color="000000" w:fill="BFBFBF"/>
            <w:noWrap/>
            <w:vAlign w:val="center"/>
          </w:tcPr>
          <w:p w14:paraId="0359A53C" w14:textId="118E788E" w:rsidR="00FA3861" w:rsidRPr="00FC1E83" w:rsidRDefault="00FA3861" w:rsidP="00F76882">
            <w:pPr>
              <w:pStyle w:val="Tabletext"/>
            </w:pPr>
            <w:r w:rsidRPr="00FC1E83">
              <w:t>Proportion</w:t>
            </w:r>
          </w:p>
        </w:tc>
        <w:tc>
          <w:tcPr>
            <w:tcW w:w="113" w:type="pct"/>
            <w:tcBorders>
              <w:top w:val="nil"/>
              <w:left w:val="nil"/>
              <w:bottom w:val="single" w:sz="4" w:space="0" w:color="auto"/>
              <w:right w:val="single" w:sz="4" w:space="0" w:color="auto"/>
            </w:tcBorders>
            <w:shd w:val="clear" w:color="000000" w:fill="BFBFBF"/>
            <w:noWrap/>
            <w:vAlign w:val="center"/>
          </w:tcPr>
          <w:p w14:paraId="21249144" w14:textId="21B39EAE" w:rsidR="00FA3861" w:rsidRPr="00FC1E83" w:rsidRDefault="00FA3861" w:rsidP="00F76882">
            <w:pPr>
              <w:pStyle w:val="Tabletext"/>
            </w:pPr>
            <w:r w:rsidRPr="00FC1E83">
              <w:t>n</w:t>
            </w:r>
          </w:p>
        </w:tc>
        <w:tc>
          <w:tcPr>
            <w:tcW w:w="259" w:type="pct"/>
            <w:tcBorders>
              <w:top w:val="nil"/>
              <w:left w:val="nil"/>
              <w:bottom w:val="single" w:sz="4" w:space="0" w:color="auto"/>
              <w:right w:val="single" w:sz="4" w:space="0" w:color="auto"/>
            </w:tcBorders>
            <w:shd w:val="clear" w:color="000000" w:fill="BFBFBF"/>
            <w:noWrap/>
            <w:vAlign w:val="center"/>
          </w:tcPr>
          <w:p w14:paraId="12E5A676" w14:textId="02DB2A71" w:rsidR="00FA3861" w:rsidRPr="00FC1E83" w:rsidRDefault="00FA3861" w:rsidP="00F76882">
            <w:pPr>
              <w:pStyle w:val="Tabletext"/>
            </w:pPr>
            <w:r w:rsidRPr="00FC1E83">
              <w:t>Proportion</w:t>
            </w:r>
          </w:p>
        </w:tc>
        <w:tc>
          <w:tcPr>
            <w:tcW w:w="113" w:type="pct"/>
            <w:tcBorders>
              <w:top w:val="nil"/>
              <w:left w:val="nil"/>
              <w:bottom w:val="single" w:sz="4" w:space="0" w:color="auto"/>
              <w:right w:val="single" w:sz="4" w:space="0" w:color="auto"/>
            </w:tcBorders>
            <w:shd w:val="clear" w:color="000000" w:fill="BFBFBF"/>
            <w:vAlign w:val="center"/>
          </w:tcPr>
          <w:p w14:paraId="60828345" w14:textId="738F937A" w:rsidR="00FA3861" w:rsidRPr="00FC1E83" w:rsidRDefault="00FA3861" w:rsidP="00F76882">
            <w:pPr>
              <w:pStyle w:val="Tabletext"/>
            </w:pPr>
            <w:r w:rsidRPr="00FC1E83">
              <w:t>n</w:t>
            </w:r>
          </w:p>
        </w:tc>
        <w:tc>
          <w:tcPr>
            <w:tcW w:w="259" w:type="pct"/>
            <w:tcBorders>
              <w:top w:val="nil"/>
              <w:left w:val="nil"/>
              <w:bottom w:val="single" w:sz="4" w:space="0" w:color="auto"/>
              <w:right w:val="single" w:sz="4" w:space="0" w:color="auto"/>
            </w:tcBorders>
            <w:shd w:val="clear" w:color="000000" w:fill="BFBFBF"/>
            <w:vAlign w:val="center"/>
          </w:tcPr>
          <w:p w14:paraId="0FCF44B2" w14:textId="6619AA33" w:rsidR="00FA3861" w:rsidRPr="00FC1E83" w:rsidRDefault="00FA3861" w:rsidP="00F76882">
            <w:pPr>
              <w:pStyle w:val="Tabletext"/>
            </w:pPr>
            <w:r w:rsidRPr="00FC1E83">
              <w:t>Proportion</w:t>
            </w:r>
          </w:p>
        </w:tc>
      </w:tr>
      <w:tr w:rsidR="00FC1E83" w:rsidRPr="0036007C" w14:paraId="19C68DF9" w14:textId="44F88606" w:rsidTr="009C2F78">
        <w:trPr>
          <w:trHeight w:val="290"/>
        </w:trPr>
        <w:tc>
          <w:tcPr>
            <w:tcW w:w="970" w:type="pct"/>
            <w:tcBorders>
              <w:top w:val="nil"/>
              <w:left w:val="single" w:sz="4" w:space="0" w:color="auto"/>
              <w:bottom w:val="single" w:sz="4" w:space="0" w:color="auto"/>
              <w:right w:val="single" w:sz="4" w:space="0" w:color="auto"/>
            </w:tcBorders>
            <w:shd w:val="clear" w:color="000000" w:fill="BFBFBF"/>
            <w:noWrap/>
            <w:vAlign w:val="center"/>
            <w:hideMark/>
          </w:tcPr>
          <w:p w14:paraId="567DEE24" w14:textId="77777777" w:rsidR="00683498" w:rsidRPr="00F57624" w:rsidRDefault="00683498" w:rsidP="00F76882">
            <w:pPr>
              <w:pStyle w:val="Tabletextleft"/>
            </w:pPr>
            <w:r w:rsidRPr="00F57624">
              <w:t>≥20%</w:t>
            </w:r>
          </w:p>
        </w:tc>
        <w:tc>
          <w:tcPr>
            <w:tcW w:w="113" w:type="pct"/>
            <w:tcBorders>
              <w:top w:val="nil"/>
              <w:left w:val="nil"/>
              <w:bottom w:val="single" w:sz="4" w:space="0" w:color="auto"/>
              <w:right w:val="single" w:sz="4" w:space="0" w:color="auto"/>
            </w:tcBorders>
            <w:shd w:val="clear" w:color="000000" w:fill="BFBFBF"/>
            <w:noWrap/>
            <w:vAlign w:val="center"/>
            <w:hideMark/>
          </w:tcPr>
          <w:p w14:paraId="3825B79E" w14:textId="77777777" w:rsidR="00683498" w:rsidRPr="0036007C" w:rsidRDefault="00683498" w:rsidP="00F76882">
            <w:pPr>
              <w:pStyle w:val="Tabletext"/>
            </w:pPr>
            <w:r w:rsidRPr="0036007C">
              <w:t>1</w:t>
            </w:r>
          </w:p>
        </w:tc>
        <w:tc>
          <w:tcPr>
            <w:tcW w:w="259" w:type="pct"/>
            <w:tcBorders>
              <w:top w:val="nil"/>
              <w:left w:val="nil"/>
              <w:bottom w:val="single" w:sz="4" w:space="0" w:color="auto"/>
              <w:right w:val="single" w:sz="4" w:space="0" w:color="auto"/>
            </w:tcBorders>
            <w:shd w:val="clear" w:color="000000" w:fill="BFBFBF"/>
            <w:noWrap/>
            <w:vAlign w:val="center"/>
            <w:hideMark/>
          </w:tcPr>
          <w:p w14:paraId="1A01E864" w14:textId="77777777" w:rsidR="00683498" w:rsidRPr="0036007C" w:rsidRDefault="00683498" w:rsidP="00F76882">
            <w:pPr>
              <w:pStyle w:val="Tabletext"/>
            </w:pPr>
            <w:r w:rsidRPr="0036007C">
              <w:t>5%</w:t>
            </w:r>
          </w:p>
        </w:tc>
        <w:tc>
          <w:tcPr>
            <w:tcW w:w="93" w:type="pct"/>
            <w:tcBorders>
              <w:top w:val="nil"/>
              <w:left w:val="nil"/>
              <w:bottom w:val="single" w:sz="4" w:space="0" w:color="auto"/>
              <w:right w:val="single" w:sz="4" w:space="0" w:color="auto"/>
            </w:tcBorders>
            <w:shd w:val="clear" w:color="000000" w:fill="BFBFBF"/>
            <w:noWrap/>
            <w:vAlign w:val="center"/>
            <w:hideMark/>
          </w:tcPr>
          <w:p w14:paraId="563CFC73" w14:textId="77777777" w:rsidR="00683498" w:rsidRPr="0036007C" w:rsidRDefault="00683498" w:rsidP="00F76882">
            <w:pPr>
              <w:pStyle w:val="Tabletext"/>
            </w:pPr>
            <w:r w:rsidRPr="0036007C">
              <w:t>2</w:t>
            </w:r>
          </w:p>
        </w:tc>
        <w:tc>
          <w:tcPr>
            <w:tcW w:w="259" w:type="pct"/>
            <w:tcBorders>
              <w:top w:val="nil"/>
              <w:left w:val="nil"/>
              <w:bottom w:val="single" w:sz="4" w:space="0" w:color="auto"/>
              <w:right w:val="single" w:sz="4" w:space="0" w:color="auto"/>
            </w:tcBorders>
            <w:shd w:val="clear" w:color="000000" w:fill="BFBFBF"/>
            <w:noWrap/>
            <w:vAlign w:val="center"/>
            <w:hideMark/>
          </w:tcPr>
          <w:p w14:paraId="7CADA37C" w14:textId="77777777" w:rsidR="00683498" w:rsidRPr="0036007C" w:rsidRDefault="00683498" w:rsidP="00F76882">
            <w:pPr>
              <w:pStyle w:val="Tabletext"/>
            </w:pPr>
            <w:r w:rsidRPr="0036007C">
              <w:t>11%</w:t>
            </w:r>
          </w:p>
        </w:tc>
        <w:tc>
          <w:tcPr>
            <w:tcW w:w="113" w:type="pct"/>
            <w:tcBorders>
              <w:top w:val="nil"/>
              <w:left w:val="nil"/>
              <w:bottom w:val="single" w:sz="4" w:space="0" w:color="auto"/>
              <w:right w:val="single" w:sz="4" w:space="0" w:color="auto"/>
            </w:tcBorders>
            <w:shd w:val="clear" w:color="000000" w:fill="BFBFBF"/>
            <w:noWrap/>
            <w:vAlign w:val="center"/>
            <w:hideMark/>
          </w:tcPr>
          <w:p w14:paraId="2C65D8D7" w14:textId="77777777" w:rsidR="00683498" w:rsidRPr="0036007C" w:rsidRDefault="00683498" w:rsidP="00F76882">
            <w:pPr>
              <w:pStyle w:val="Tabletext"/>
            </w:pPr>
            <w:r w:rsidRPr="0036007C">
              <w:t>1</w:t>
            </w:r>
          </w:p>
        </w:tc>
        <w:tc>
          <w:tcPr>
            <w:tcW w:w="259" w:type="pct"/>
            <w:tcBorders>
              <w:top w:val="nil"/>
              <w:left w:val="nil"/>
              <w:bottom w:val="single" w:sz="4" w:space="0" w:color="auto"/>
              <w:right w:val="single" w:sz="4" w:space="0" w:color="auto"/>
            </w:tcBorders>
            <w:shd w:val="clear" w:color="000000" w:fill="BFBFBF"/>
            <w:noWrap/>
            <w:vAlign w:val="center"/>
            <w:hideMark/>
          </w:tcPr>
          <w:p w14:paraId="5A3C6F45" w14:textId="77777777" w:rsidR="00683498" w:rsidRPr="0036007C" w:rsidRDefault="00683498" w:rsidP="00F76882">
            <w:pPr>
              <w:pStyle w:val="Tabletext"/>
            </w:pPr>
            <w:r w:rsidRPr="0036007C">
              <w:t>5%</w:t>
            </w:r>
          </w:p>
        </w:tc>
        <w:tc>
          <w:tcPr>
            <w:tcW w:w="113" w:type="pct"/>
            <w:tcBorders>
              <w:top w:val="nil"/>
              <w:left w:val="nil"/>
              <w:bottom w:val="single" w:sz="4" w:space="0" w:color="auto"/>
              <w:right w:val="single" w:sz="4" w:space="0" w:color="auto"/>
            </w:tcBorders>
            <w:shd w:val="clear" w:color="000000" w:fill="BFBFBF"/>
            <w:noWrap/>
            <w:vAlign w:val="center"/>
            <w:hideMark/>
          </w:tcPr>
          <w:p w14:paraId="5B8588A0" w14:textId="77777777" w:rsidR="00683498" w:rsidRPr="0036007C" w:rsidRDefault="00683498" w:rsidP="00F76882">
            <w:pPr>
              <w:pStyle w:val="Tabletext"/>
            </w:pPr>
            <w:r w:rsidRPr="0036007C">
              <w:t>1</w:t>
            </w:r>
          </w:p>
        </w:tc>
        <w:tc>
          <w:tcPr>
            <w:tcW w:w="259" w:type="pct"/>
            <w:tcBorders>
              <w:top w:val="nil"/>
              <w:left w:val="nil"/>
              <w:bottom w:val="single" w:sz="4" w:space="0" w:color="auto"/>
              <w:right w:val="single" w:sz="4" w:space="0" w:color="auto"/>
            </w:tcBorders>
            <w:shd w:val="clear" w:color="000000" w:fill="BFBFBF"/>
            <w:noWrap/>
            <w:vAlign w:val="center"/>
            <w:hideMark/>
          </w:tcPr>
          <w:p w14:paraId="2CD744CF" w14:textId="77777777" w:rsidR="00683498" w:rsidRPr="0036007C" w:rsidRDefault="00683498" w:rsidP="00F76882">
            <w:pPr>
              <w:pStyle w:val="Tabletext"/>
            </w:pPr>
            <w:r w:rsidRPr="0036007C">
              <w:t>5%</w:t>
            </w:r>
          </w:p>
        </w:tc>
        <w:tc>
          <w:tcPr>
            <w:tcW w:w="113" w:type="pct"/>
            <w:tcBorders>
              <w:top w:val="nil"/>
              <w:left w:val="nil"/>
              <w:bottom w:val="single" w:sz="4" w:space="0" w:color="auto"/>
              <w:right w:val="single" w:sz="4" w:space="0" w:color="auto"/>
            </w:tcBorders>
            <w:shd w:val="clear" w:color="000000" w:fill="BFBFBF"/>
            <w:noWrap/>
            <w:vAlign w:val="center"/>
            <w:hideMark/>
          </w:tcPr>
          <w:p w14:paraId="59777524" w14:textId="77777777" w:rsidR="00683498" w:rsidRPr="0036007C" w:rsidRDefault="00683498" w:rsidP="00F76882">
            <w:pPr>
              <w:pStyle w:val="Tabletext"/>
            </w:pPr>
            <w:r w:rsidRPr="0036007C">
              <w:t>1</w:t>
            </w:r>
          </w:p>
        </w:tc>
        <w:tc>
          <w:tcPr>
            <w:tcW w:w="259" w:type="pct"/>
            <w:tcBorders>
              <w:top w:val="nil"/>
              <w:left w:val="nil"/>
              <w:bottom w:val="single" w:sz="4" w:space="0" w:color="auto"/>
              <w:right w:val="single" w:sz="4" w:space="0" w:color="auto"/>
            </w:tcBorders>
            <w:shd w:val="clear" w:color="000000" w:fill="BFBFBF"/>
            <w:noWrap/>
            <w:vAlign w:val="center"/>
            <w:hideMark/>
          </w:tcPr>
          <w:p w14:paraId="56D5CBE8" w14:textId="77777777" w:rsidR="00683498" w:rsidRPr="0036007C" w:rsidRDefault="00683498" w:rsidP="00F76882">
            <w:pPr>
              <w:pStyle w:val="Tabletext"/>
            </w:pPr>
            <w:r w:rsidRPr="0036007C">
              <w:t>7%</w:t>
            </w:r>
          </w:p>
        </w:tc>
        <w:tc>
          <w:tcPr>
            <w:tcW w:w="113" w:type="pct"/>
            <w:tcBorders>
              <w:top w:val="nil"/>
              <w:left w:val="nil"/>
              <w:bottom w:val="single" w:sz="4" w:space="0" w:color="auto"/>
              <w:right w:val="single" w:sz="4" w:space="0" w:color="auto"/>
            </w:tcBorders>
            <w:shd w:val="clear" w:color="000000" w:fill="BFBFBF"/>
            <w:noWrap/>
            <w:vAlign w:val="center"/>
            <w:hideMark/>
          </w:tcPr>
          <w:p w14:paraId="62FC5759"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shd w:val="clear" w:color="000000" w:fill="BFBFBF"/>
            <w:noWrap/>
            <w:vAlign w:val="center"/>
            <w:hideMark/>
          </w:tcPr>
          <w:p w14:paraId="05AFE9E5" w14:textId="77777777" w:rsidR="00683498" w:rsidRPr="0036007C" w:rsidRDefault="00683498" w:rsidP="00F76882">
            <w:pPr>
              <w:pStyle w:val="Tabletext"/>
            </w:pPr>
            <w:r w:rsidRPr="0036007C">
              <w:t>0%</w:t>
            </w:r>
          </w:p>
        </w:tc>
        <w:tc>
          <w:tcPr>
            <w:tcW w:w="93" w:type="pct"/>
            <w:tcBorders>
              <w:top w:val="nil"/>
              <w:left w:val="nil"/>
              <w:bottom w:val="single" w:sz="4" w:space="0" w:color="auto"/>
              <w:right w:val="single" w:sz="4" w:space="0" w:color="auto"/>
            </w:tcBorders>
            <w:shd w:val="clear" w:color="000000" w:fill="BFBFBF"/>
            <w:noWrap/>
            <w:vAlign w:val="center"/>
            <w:hideMark/>
          </w:tcPr>
          <w:p w14:paraId="48ACB3A2"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shd w:val="clear" w:color="000000" w:fill="BFBFBF"/>
            <w:noWrap/>
            <w:vAlign w:val="center"/>
            <w:hideMark/>
          </w:tcPr>
          <w:p w14:paraId="24742598" w14:textId="77777777" w:rsidR="00683498" w:rsidRPr="0036007C" w:rsidRDefault="00683498" w:rsidP="00F76882">
            <w:pPr>
              <w:pStyle w:val="Tabletext"/>
            </w:pPr>
            <w:r w:rsidRPr="0036007C">
              <w:t>0%</w:t>
            </w:r>
          </w:p>
        </w:tc>
        <w:tc>
          <w:tcPr>
            <w:tcW w:w="93" w:type="pct"/>
            <w:tcBorders>
              <w:top w:val="nil"/>
              <w:left w:val="nil"/>
              <w:bottom w:val="single" w:sz="4" w:space="0" w:color="auto"/>
              <w:right w:val="single" w:sz="4" w:space="0" w:color="auto"/>
            </w:tcBorders>
            <w:shd w:val="clear" w:color="000000" w:fill="BFBFBF"/>
            <w:noWrap/>
            <w:vAlign w:val="center"/>
            <w:hideMark/>
          </w:tcPr>
          <w:p w14:paraId="16D30699" w14:textId="77777777" w:rsidR="00683498" w:rsidRPr="0036007C" w:rsidRDefault="00683498" w:rsidP="00F76882">
            <w:pPr>
              <w:pStyle w:val="Tabletext"/>
            </w:pPr>
            <w:r w:rsidRPr="0036007C">
              <w:t>1</w:t>
            </w:r>
          </w:p>
        </w:tc>
        <w:tc>
          <w:tcPr>
            <w:tcW w:w="259" w:type="pct"/>
            <w:tcBorders>
              <w:top w:val="nil"/>
              <w:left w:val="nil"/>
              <w:bottom w:val="single" w:sz="4" w:space="0" w:color="auto"/>
              <w:right w:val="single" w:sz="4" w:space="0" w:color="auto"/>
            </w:tcBorders>
            <w:shd w:val="clear" w:color="000000" w:fill="BFBFBF"/>
            <w:noWrap/>
            <w:vAlign w:val="center"/>
            <w:hideMark/>
          </w:tcPr>
          <w:p w14:paraId="38B0CEE9" w14:textId="77777777" w:rsidR="00683498" w:rsidRPr="0036007C" w:rsidRDefault="00683498" w:rsidP="00F76882">
            <w:pPr>
              <w:pStyle w:val="Tabletext"/>
            </w:pPr>
            <w:r w:rsidRPr="0036007C">
              <w:t>7%</w:t>
            </w:r>
          </w:p>
        </w:tc>
        <w:tc>
          <w:tcPr>
            <w:tcW w:w="113" w:type="pct"/>
            <w:tcBorders>
              <w:top w:val="nil"/>
              <w:left w:val="nil"/>
              <w:bottom w:val="single" w:sz="4" w:space="0" w:color="auto"/>
              <w:right w:val="single" w:sz="4" w:space="0" w:color="auto"/>
            </w:tcBorders>
            <w:shd w:val="clear" w:color="000000" w:fill="BFBFBF"/>
            <w:noWrap/>
            <w:vAlign w:val="center"/>
            <w:hideMark/>
          </w:tcPr>
          <w:p w14:paraId="71FE8461"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shd w:val="clear" w:color="000000" w:fill="BFBFBF"/>
            <w:noWrap/>
            <w:vAlign w:val="center"/>
            <w:hideMark/>
          </w:tcPr>
          <w:p w14:paraId="4C295EDF" w14:textId="77777777" w:rsidR="00683498" w:rsidRPr="0036007C" w:rsidRDefault="00683498" w:rsidP="00F76882">
            <w:pPr>
              <w:pStyle w:val="Tabletext"/>
            </w:pPr>
            <w:r w:rsidRPr="0036007C">
              <w:t>0%</w:t>
            </w:r>
          </w:p>
        </w:tc>
        <w:tc>
          <w:tcPr>
            <w:tcW w:w="113" w:type="pct"/>
            <w:tcBorders>
              <w:top w:val="nil"/>
              <w:left w:val="nil"/>
              <w:bottom w:val="single" w:sz="4" w:space="0" w:color="auto"/>
              <w:right w:val="single" w:sz="4" w:space="0" w:color="auto"/>
            </w:tcBorders>
            <w:shd w:val="clear" w:color="000000" w:fill="BFBFBF"/>
            <w:noWrap/>
            <w:vAlign w:val="center"/>
            <w:hideMark/>
          </w:tcPr>
          <w:p w14:paraId="6A295E8F" w14:textId="77777777" w:rsidR="00683498" w:rsidRPr="0063016C" w:rsidRDefault="00683498" w:rsidP="00F76882">
            <w:pPr>
              <w:pStyle w:val="Tabletext"/>
            </w:pPr>
            <w:r w:rsidRPr="0063016C">
              <w:t>0</w:t>
            </w:r>
          </w:p>
        </w:tc>
        <w:tc>
          <w:tcPr>
            <w:tcW w:w="259" w:type="pct"/>
            <w:tcBorders>
              <w:top w:val="nil"/>
              <w:left w:val="nil"/>
              <w:bottom w:val="single" w:sz="4" w:space="0" w:color="auto"/>
              <w:right w:val="single" w:sz="4" w:space="0" w:color="auto"/>
            </w:tcBorders>
            <w:shd w:val="clear" w:color="000000" w:fill="BFBFBF"/>
            <w:noWrap/>
            <w:vAlign w:val="center"/>
            <w:hideMark/>
          </w:tcPr>
          <w:p w14:paraId="501D9413" w14:textId="77777777" w:rsidR="00683498" w:rsidRPr="0063016C" w:rsidRDefault="00683498" w:rsidP="00F76882">
            <w:pPr>
              <w:pStyle w:val="Tabletext"/>
            </w:pPr>
            <w:r w:rsidRPr="0063016C">
              <w:t>0%</w:t>
            </w:r>
          </w:p>
        </w:tc>
        <w:tc>
          <w:tcPr>
            <w:tcW w:w="113" w:type="pct"/>
            <w:tcBorders>
              <w:top w:val="nil"/>
              <w:left w:val="nil"/>
              <w:bottom w:val="single" w:sz="4" w:space="0" w:color="auto"/>
              <w:right w:val="single" w:sz="4" w:space="0" w:color="auto"/>
            </w:tcBorders>
            <w:shd w:val="clear" w:color="000000" w:fill="BFBFBF"/>
            <w:vAlign w:val="center"/>
          </w:tcPr>
          <w:p w14:paraId="6581A3F1" w14:textId="71D1BADF" w:rsidR="00683498" w:rsidRPr="0063016C" w:rsidRDefault="00683498" w:rsidP="00F76882">
            <w:pPr>
              <w:pStyle w:val="Tabletext"/>
            </w:pPr>
            <w:r w:rsidRPr="0063016C">
              <w:t>0</w:t>
            </w:r>
          </w:p>
        </w:tc>
        <w:tc>
          <w:tcPr>
            <w:tcW w:w="259" w:type="pct"/>
            <w:tcBorders>
              <w:top w:val="nil"/>
              <w:left w:val="nil"/>
              <w:bottom w:val="single" w:sz="4" w:space="0" w:color="auto"/>
              <w:right w:val="single" w:sz="4" w:space="0" w:color="auto"/>
            </w:tcBorders>
            <w:shd w:val="clear" w:color="000000" w:fill="BFBFBF"/>
            <w:vAlign w:val="center"/>
          </w:tcPr>
          <w:p w14:paraId="0D3A72AB" w14:textId="15FB02E9" w:rsidR="00683498" w:rsidRPr="0063016C" w:rsidRDefault="00683498" w:rsidP="00F76882">
            <w:pPr>
              <w:pStyle w:val="Tabletext"/>
            </w:pPr>
            <w:r w:rsidRPr="0063016C">
              <w:t>0%</w:t>
            </w:r>
          </w:p>
        </w:tc>
      </w:tr>
      <w:tr w:rsidR="00FC1E83" w:rsidRPr="0036007C" w14:paraId="63EB7565" w14:textId="74DFB644" w:rsidTr="009C2F78">
        <w:trPr>
          <w:trHeight w:val="290"/>
        </w:trPr>
        <w:tc>
          <w:tcPr>
            <w:tcW w:w="970" w:type="pct"/>
            <w:tcBorders>
              <w:top w:val="nil"/>
              <w:left w:val="single" w:sz="4" w:space="0" w:color="auto"/>
              <w:bottom w:val="single" w:sz="4" w:space="0" w:color="auto"/>
              <w:right w:val="single" w:sz="4" w:space="0" w:color="auto"/>
            </w:tcBorders>
            <w:noWrap/>
            <w:vAlign w:val="center"/>
            <w:hideMark/>
          </w:tcPr>
          <w:p w14:paraId="7141409A" w14:textId="305E425D" w:rsidR="00683498" w:rsidRPr="00F57624" w:rsidRDefault="00683498" w:rsidP="00F76882">
            <w:pPr>
              <w:pStyle w:val="Tabletextleft"/>
            </w:pPr>
            <w:r w:rsidRPr="00F57624">
              <w:t xml:space="preserve">≥10% </w:t>
            </w:r>
            <w:r w:rsidR="0035537B" w:rsidRPr="00F57624">
              <w:t xml:space="preserve">to </w:t>
            </w:r>
            <w:r w:rsidRPr="00F57624">
              <w:t>&lt;20%</w:t>
            </w:r>
          </w:p>
        </w:tc>
        <w:tc>
          <w:tcPr>
            <w:tcW w:w="113" w:type="pct"/>
            <w:tcBorders>
              <w:top w:val="nil"/>
              <w:left w:val="nil"/>
              <w:bottom w:val="single" w:sz="4" w:space="0" w:color="auto"/>
              <w:right w:val="single" w:sz="4" w:space="0" w:color="auto"/>
            </w:tcBorders>
            <w:noWrap/>
            <w:vAlign w:val="center"/>
            <w:hideMark/>
          </w:tcPr>
          <w:p w14:paraId="6F584828" w14:textId="77777777" w:rsidR="00683498" w:rsidRPr="0036007C" w:rsidRDefault="00683498" w:rsidP="00F76882">
            <w:pPr>
              <w:pStyle w:val="Tabletext"/>
            </w:pPr>
            <w:r w:rsidRPr="0036007C">
              <w:t>9</w:t>
            </w:r>
          </w:p>
        </w:tc>
        <w:tc>
          <w:tcPr>
            <w:tcW w:w="259" w:type="pct"/>
            <w:tcBorders>
              <w:top w:val="nil"/>
              <w:left w:val="nil"/>
              <w:bottom w:val="single" w:sz="4" w:space="0" w:color="auto"/>
              <w:right w:val="single" w:sz="4" w:space="0" w:color="auto"/>
            </w:tcBorders>
            <w:noWrap/>
            <w:vAlign w:val="center"/>
            <w:hideMark/>
          </w:tcPr>
          <w:p w14:paraId="28D51C3F" w14:textId="77777777" w:rsidR="00683498" w:rsidRPr="0036007C" w:rsidRDefault="00683498" w:rsidP="00F76882">
            <w:pPr>
              <w:pStyle w:val="Tabletext"/>
            </w:pPr>
            <w:r w:rsidRPr="0036007C">
              <w:t>43%</w:t>
            </w:r>
          </w:p>
        </w:tc>
        <w:tc>
          <w:tcPr>
            <w:tcW w:w="93" w:type="pct"/>
            <w:tcBorders>
              <w:top w:val="nil"/>
              <w:left w:val="nil"/>
              <w:bottom w:val="single" w:sz="4" w:space="0" w:color="auto"/>
              <w:right w:val="single" w:sz="4" w:space="0" w:color="auto"/>
            </w:tcBorders>
            <w:noWrap/>
            <w:vAlign w:val="center"/>
            <w:hideMark/>
          </w:tcPr>
          <w:p w14:paraId="12A95E27" w14:textId="77777777" w:rsidR="00683498" w:rsidRPr="0036007C" w:rsidRDefault="00683498" w:rsidP="00F76882">
            <w:pPr>
              <w:pStyle w:val="Tabletext"/>
            </w:pPr>
            <w:r w:rsidRPr="0036007C">
              <w:t>3</w:t>
            </w:r>
          </w:p>
        </w:tc>
        <w:tc>
          <w:tcPr>
            <w:tcW w:w="259" w:type="pct"/>
            <w:tcBorders>
              <w:top w:val="nil"/>
              <w:left w:val="nil"/>
              <w:bottom w:val="single" w:sz="4" w:space="0" w:color="auto"/>
              <w:right w:val="single" w:sz="4" w:space="0" w:color="auto"/>
            </w:tcBorders>
            <w:noWrap/>
            <w:vAlign w:val="center"/>
            <w:hideMark/>
          </w:tcPr>
          <w:p w14:paraId="068DB9AA" w14:textId="77777777" w:rsidR="00683498" w:rsidRPr="0036007C" w:rsidRDefault="00683498" w:rsidP="00F76882">
            <w:pPr>
              <w:pStyle w:val="Tabletext"/>
            </w:pPr>
            <w:r w:rsidRPr="0036007C">
              <w:t>16%</w:t>
            </w:r>
          </w:p>
        </w:tc>
        <w:tc>
          <w:tcPr>
            <w:tcW w:w="113" w:type="pct"/>
            <w:tcBorders>
              <w:top w:val="nil"/>
              <w:left w:val="nil"/>
              <w:bottom w:val="single" w:sz="4" w:space="0" w:color="auto"/>
              <w:right w:val="single" w:sz="4" w:space="0" w:color="auto"/>
            </w:tcBorders>
            <w:noWrap/>
            <w:vAlign w:val="center"/>
            <w:hideMark/>
          </w:tcPr>
          <w:p w14:paraId="06186AC7" w14:textId="77777777" w:rsidR="00683498" w:rsidRPr="0036007C" w:rsidRDefault="00683498" w:rsidP="00F76882">
            <w:pPr>
              <w:pStyle w:val="Tabletext"/>
            </w:pPr>
            <w:r w:rsidRPr="0036007C">
              <w:t>1</w:t>
            </w:r>
          </w:p>
        </w:tc>
        <w:tc>
          <w:tcPr>
            <w:tcW w:w="259" w:type="pct"/>
            <w:tcBorders>
              <w:top w:val="nil"/>
              <w:left w:val="nil"/>
              <w:bottom w:val="single" w:sz="4" w:space="0" w:color="auto"/>
              <w:right w:val="single" w:sz="4" w:space="0" w:color="auto"/>
            </w:tcBorders>
            <w:noWrap/>
            <w:vAlign w:val="center"/>
            <w:hideMark/>
          </w:tcPr>
          <w:p w14:paraId="71C51AB9" w14:textId="77777777" w:rsidR="00683498" w:rsidRPr="0036007C" w:rsidRDefault="00683498" w:rsidP="00F76882">
            <w:pPr>
              <w:pStyle w:val="Tabletext"/>
            </w:pPr>
            <w:r w:rsidRPr="0036007C">
              <w:t>5%</w:t>
            </w:r>
          </w:p>
        </w:tc>
        <w:tc>
          <w:tcPr>
            <w:tcW w:w="113" w:type="pct"/>
            <w:tcBorders>
              <w:top w:val="nil"/>
              <w:left w:val="nil"/>
              <w:bottom w:val="single" w:sz="4" w:space="0" w:color="auto"/>
              <w:right w:val="single" w:sz="4" w:space="0" w:color="auto"/>
            </w:tcBorders>
            <w:noWrap/>
            <w:vAlign w:val="center"/>
            <w:hideMark/>
          </w:tcPr>
          <w:p w14:paraId="319F2185" w14:textId="77777777" w:rsidR="00683498" w:rsidRPr="0036007C" w:rsidRDefault="00683498" w:rsidP="00F76882">
            <w:pPr>
              <w:pStyle w:val="Tabletext"/>
            </w:pPr>
            <w:r w:rsidRPr="0036007C">
              <w:t>1</w:t>
            </w:r>
          </w:p>
        </w:tc>
        <w:tc>
          <w:tcPr>
            <w:tcW w:w="259" w:type="pct"/>
            <w:tcBorders>
              <w:top w:val="nil"/>
              <w:left w:val="nil"/>
              <w:bottom w:val="single" w:sz="4" w:space="0" w:color="auto"/>
              <w:right w:val="single" w:sz="4" w:space="0" w:color="auto"/>
            </w:tcBorders>
            <w:noWrap/>
            <w:vAlign w:val="center"/>
            <w:hideMark/>
          </w:tcPr>
          <w:p w14:paraId="40D5BDF6" w14:textId="77777777" w:rsidR="00683498" w:rsidRPr="0036007C" w:rsidRDefault="00683498" w:rsidP="00F76882">
            <w:pPr>
              <w:pStyle w:val="Tabletext"/>
            </w:pPr>
            <w:r w:rsidRPr="0036007C">
              <w:t>6%</w:t>
            </w:r>
          </w:p>
        </w:tc>
        <w:tc>
          <w:tcPr>
            <w:tcW w:w="113" w:type="pct"/>
            <w:tcBorders>
              <w:top w:val="nil"/>
              <w:left w:val="nil"/>
              <w:bottom w:val="single" w:sz="4" w:space="0" w:color="auto"/>
              <w:right w:val="single" w:sz="4" w:space="0" w:color="auto"/>
            </w:tcBorders>
            <w:noWrap/>
            <w:vAlign w:val="center"/>
            <w:hideMark/>
          </w:tcPr>
          <w:p w14:paraId="62E56D9E"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noWrap/>
            <w:vAlign w:val="center"/>
            <w:hideMark/>
          </w:tcPr>
          <w:p w14:paraId="16AB2BC7" w14:textId="77777777" w:rsidR="00683498" w:rsidRPr="0036007C" w:rsidRDefault="00683498" w:rsidP="00F76882">
            <w:pPr>
              <w:pStyle w:val="Tabletext"/>
            </w:pPr>
            <w:r w:rsidRPr="0036007C">
              <w:t>0%</w:t>
            </w:r>
          </w:p>
        </w:tc>
        <w:tc>
          <w:tcPr>
            <w:tcW w:w="113" w:type="pct"/>
            <w:tcBorders>
              <w:top w:val="nil"/>
              <w:left w:val="nil"/>
              <w:bottom w:val="single" w:sz="4" w:space="0" w:color="auto"/>
              <w:right w:val="single" w:sz="4" w:space="0" w:color="auto"/>
            </w:tcBorders>
            <w:noWrap/>
            <w:vAlign w:val="center"/>
            <w:hideMark/>
          </w:tcPr>
          <w:p w14:paraId="3FBB41EB"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noWrap/>
            <w:vAlign w:val="center"/>
            <w:hideMark/>
          </w:tcPr>
          <w:p w14:paraId="0DDC98EF" w14:textId="77777777" w:rsidR="00683498" w:rsidRPr="0036007C" w:rsidRDefault="00683498" w:rsidP="00F76882">
            <w:pPr>
              <w:pStyle w:val="Tabletext"/>
            </w:pPr>
            <w:r w:rsidRPr="0036007C">
              <w:t>0%</w:t>
            </w:r>
          </w:p>
        </w:tc>
        <w:tc>
          <w:tcPr>
            <w:tcW w:w="93" w:type="pct"/>
            <w:tcBorders>
              <w:top w:val="nil"/>
              <w:left w:val="nil"/>
              <w:bottom w:val="single" w:sz="4" w:space="0" w:color="auto"/>
              <w:right w:val="single" w:sz="4" w:space="0" w:color="auto"/>
            </w:tcBorders>
            <w:noWrap/>
            <w:vAlign w:val="center"/>
            <w:hideMark/>
          </w:tcPr>
          <w:p w14:paraId="62E3C404" w14:textId="77777777" w:rsidR="00683498" w:rsidRPr="0036007C" w:rsidRDefault="00683498" w:rsidP="00F76882">
            <w:pPr>
              <w:pStyle w:val="Tabletext"/>
            </w:pPr>
            <w:r w:rsidRPr="0036007C">
              <w:t>1</w:t>
            </w:r>
          </w:p>
        </w:tc>
        <w:tc>
          <w:tcPr>
            <w:tcW w:w="259" w:type="pct"/>
            <w:tcBorders>
              <w:top w:val="nil"/>
              <w:left w:val="nil"/>
              <w:bottom w:val="single" w:sz="4" w:space="0" w:color="auto"/>
              <w:right w:val="single" w:sz="4" w:space="0" w:color="auto"/>
            </w:tcBorders>
            <w:noWrap/>
            <w:vAlign w:val="center"/>
            <w:hideMark/>
          </w:tcPr>
          <w:p w14:paraId="56E3BA53" w14:textId="77777777" w:rsidR="00683498" w:rsidRPr="0036007C" w:rsidRDefault="00683498" w:rsidP="00F76882">
            <w:pPr>
              <w:pStyle w:val="Tabletext"/>
            </w:pPr>
            <w:r w:rsidRPr="0036007C">
              <w:t>7%</w:t>
            </w:r>
          </w:p>
        </w:tc>
        <w:tc>
          <w:tcPr>
            <w:tcW w:w="93" w:type="pct"/>
            <w:tcBorders>
              <w:top w:val="nil"/>
              <w:left w:val="nil"/>
              <w:bottom w:val="single" w:sz="4" w:space="0" w:color="auto"/>
              <w:right w:val="single" w:sz="4" w:space="0" w:color="auto"/>
            </w:tcBorders>
            <w:noWrap/>
            <w:vAlign w:val="center"/>
            <w:hideMark/>
          </w:tcPr>
          <w:p w14:paraId="796FD911"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noWrap/>
            <w:vAlign w:val="center"/>
            <w:hideMark/>
          </w:tcPr>
          <w:p w14:paraId="52E755FD" w14:textId="77777777" w:rsidR="00683498" w:rsidRPr="0036007C" w:rsidRDefault="00683498" w:rsidP="00F76882">
            <w:pPr>
              <w:pStyle w:val="Tabletext"/>
            </w:pPr>
            <w:r w:rsidRPr="0036007C">
              <w:t>0%</w:t>
            </w:r>
          </w:p>
        </w:tc>
        <w:tc>
          <w:tcPr>
            <w:tcW w:w="113" w:type="pct"/>
            <w:tcBorders>
              <w:top w:val="nil"/>
              <w:left w:val="nil"/>
              <w:bottom w:val="single" w:sz="4" w:space="0" w:color="auto"/>
              <w:right w:val="single" w:sz="4" w:space="0" w:color="auto"/>
            </w:tcBorders>
            <w:noWrap/>
            <w:vAlign w:val="center"/>
            <w:hideMark/>
          </w:tcPr>
          <w:p w14:paraId="0FDAABA5"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noWrap/>
            <w:vAlign w:val="center"/>
            <w:hideMark/>
          </w:tcPr>
          <w:p w14:paraId="52F79F86" w14:textId="77777777" w:rsidR="00683498" w:rsidRPr="0036007C" w:rsidRDefault="00683498" w:rsidP="00F76882">
            <w:pPr>
              <w:pStyle w:val="Tabletext"/>
            </w:pPr>
            <w:r w:rsidRPr="0036007C">
              <w:t>0%</w:t>
            </w:r>
          </w:p>
        </w:tc>
        <w:tc>
          <w:tcPr>
            <w:tcW w:w="113" w:type="pct"/>
            <w:tcBorders>
              <w:top w:val="nil"/>
              <w:left w:val="nil"/>
              <w:bottom w:val="single" w:sz="4" w:space="0" w:color="auto"/>
              <w:right w:val="single" w:sz="4" w:space="0" w:color="auto"/>
            </w:tcBorders>
            <w:noWrap/>
            <w:vAlign w:val="center"/>
            <w:hideMark/>
          </w:tcPr>
          <w:p w14:paraId="00AFB592" w14:textId="77777777" w:rsidR="00683498" w:rsidRPr="0063016C" w:rsidRDefault="00683498" w:rsidP="00F76882">
            <w:pPr>
              <w:pStyle w:val="Tabletext"/>
            </w:pPr>
            <w:r w:rsidRPr="0063016C">
              <w:t>0</w:t>
            </w:r>
          </w:p>
        </w:tc>
        <w:tc>
          <w:tcPr>
            <w:tcW w:w="259" w:type="pct"/>
            <w:tcBorders>
              <w:top w:val="nil"/>
              <w:left w:val="nil"/>
              <w:bottom w:val="single" w:sz="4" w:space="0" w:color="auto"/>
              <w:right w:val="single" w:sz="4" w:space="0" w:color="auto"/>
            </w:tcBorders>
            <w:noWrap/>
            <w:vAlign w:val="center"/>
            <w:hideMark/>
          </w:tcPr>
          <w:p w14:paraId="6FD54601" w14:textId="77777777" w:rsidR="00683498" w:rsidRPr="0063016C" w:rsidRDefault="00683498" w:rsidP="00F76882">
            <w:pPr>
              <w:pStyle w:val="Tabletext"/>
            </w:pPr>
            <w:r w:rsidRPr="0063016C">
              <w:t>0%</w:t>
            </w:r>
          </w:p>
        </w:tc>
        <w:tc>
          <w:tcPr>
            <w:tcW w:w="113" w:type="pct"/>
            <w:tcBorders>
              <w:top w:val="nil"/>
              <w:left w:val="nil"/>
              <w:bottom w:val="single" w:sz="4" w:space="0" w:color="auto"/>
              <w:right w:val="single" w:sz="4" w:space="0" w:color="auto"/>
            </w:tcBorders>
            <w:vAlign w:val="center"/>
          </w:tcPr>
          <w:p w14:paraId="5EC9DF21" w14:textId="59AB6EE6" w:rsidR="00683498" w:rsidRPr="0063016C" w:rsidRDefault="00683498" w:rsidP="00F76882">
            <w:pPr>
              <w:pStyle w:val="Tabletext"/>
            </w:pPr>
            <w:r w:rsidRPr="0063016C">
              <w:t>0</w:t>
            </w:r>
          </w:p>
        </w:tc>
        <w:tc>
          <w:tcPr>
            <w:tcW w:w="259" w:type="pct"/>
            <w:tcBorders>
              <w:top w:val="nil"/>
              <w:left w:val="nil"/>
              <w:bottom w:val="single" w:sz="4" w:space="0" w:color="auto"/>
              <w:right w:val="single" w:sz="4" w:space="0" w:color="auto"/>
            </w:tcBorders>
            <w:vAlign w:val="center"/>
          </w:tcPr>
          <w:p w14:paraId="45604CA8" w14:textId="20CA479F" w:rsidR="00683498" w:rsidRPr="0063016C" w:rsidRDefault="00683498" w:rsidP="00F76882">
            <w:pPr>
              <w:pStyle w:val="Tabletext"/>
            </w:pPr>
            <w:r w:rsidRPr="0063016C">
              <w:t>0%</w:t>
            </w:r>
          </w:p>
        </w:tc>
      </w:tr>
      <w:tr w:rsidR="00FC1E83" w:rsidRPr="0036007C" w14:paraId="015030F0" w14:textId="634109F0" w:rsidTr="009C2F78">
        <w:trPr>
          <w:trHeight w:val="290"/>
        </w:trPr>
        <w:tc>
          <w:tcPr>
            <w:tcW w:w="970" w:type="pct"/>
            <w:tcBorders>
              <w:top w:val="nil"/>
              <w:left w:val="single" w:sz="4" w:space="0" w:color="auto"/>
              <w:bottom w:val="single" w:sz="4" w:space="0" w:color="auto"/>
              <w:right w:val="single" w:sz="4" w:space="0" w:color="auto"/>
            </w:tcBorders>
            <w:shd w:val="clear" w:color="000000" w:fill="BFBFBF"/>
            <w:noWrap/>
            <w:vAlign w:val="center"/>
            <w:hideMark/>
          </w:tcPr>
          <w:p w14:paraId="5B0391C2" w14:textId="3B05F90F" w:rsidR="00683498" w:rsidRPr="00F57624" w:rsidRDefault="00683498" w:rsidP="00F76882">
            <w:pPr>
              <w:pStyle w:val="Tabletextleft"/>
            </w:pPr>
            <w:r w:rsidRPr="00F57624">
              <w:t xml:space="preserve">≥5% </w:t>
            </w:r>
            <w:r w:rsidR="0035537B" w:rsidRPr="00F57624">
              <w:t xml:space="preserve">to </w:t>
            </w:r>
            <w:r w:rsidRPr="00F57624">
              <w:t>&lt;10%</w:t>
            </w:r>
          </w:p>
        </w:tc>
        <w:tc>
          <w:tcPr>
            <w:tcW w:w="113" w:type="pct"/>
            <w:tcBorders>
              <w:top w:val="nil"/>
              <w:left w:val="nil"/>
              <w:bottom w:val="single" w:sz="4" w:space="0" w:color="auto"/>
              <w:right w:val="single" w:sz="4" w:space="0" w:color="auto"/>
            </w:tcBorders>
            <w:shd w:val="clear" w:color="000000" w:fill="BFBFBF"/>
            <w:noWrap/>
            <w:vAlign w:val="center"/>
            <w:hideMark/>
          </w:tcPr>
          <w:p w14:paraId="32FBB929"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shd w:val="clear" w:color="000000" w:fill="BFBFBF"/>
            <w:noWrap/>
            <w:vAlign w:val="center"/>
            <w:hideMark/>
          </w:tcPr>
          <w:p w14:paraId="7DFB3321" w14:textId="77777777" w:rsidR="00683498" w:rsidRPr="0036007C" w:rsidRDefault="00683498" w:rsidP="00F76882">
            <w:pPr>
              <w:pStyle w:val="Tabletext"/>
            </w:pPr>
            <w:r w:rsidRPr="0036007C">
              <w:t>0%</w:t>
            </w:r>
          </w:p>
        </w:tc>
        <w:tc>
          <w:tcPr>
            <w:tcW w:w="93" w:type="pct"/>
            <w:tcBorders>
              <w:top w:val="nil"/>
              <w:left w:val="nil"/>
              <w:bottom w:val="single" w:sz="4" w:space="0" w:color="auto"/>
              <w:right w:val="single" w:sz="4" w:space="0" w:color="auto"/>
            </w:tcBorders>
            <w:shd w:val="clear" w:color="000000" w:fill="BFBFBF"/>
            <w:noWrap/>
            <w:vAlign w:val="center"/>
            <w:hideMark/>
          </w:tcPr>
          <w:p w14:paraId="28E58601" w14:textId="77777777" w:rsidR="00683498" w:rsidRPr="0036007C" w:rsidRDefault="00683498" w:rsidP="00F76882">
            <w:pPr>
              <w:pStyle w:val="Tabletext"/>
            </w:pPr>
            <w:r w:rsidRPr="0036007C">
              <w:t>9</w:t>
            </w:r>
          </w:p>
        </w:tc>
        <w:tc>
          <w:tcPr>
            <w:tcW w:w="259" w:type="pct"/>
            <w:tcBorders>
              <w:top w:val="nil"/>
              <w:left w:val="nil"/>
              <w:bottom w:val="single" w:sz="4" w:space="0" w:color="auto"/>
              <w:right w:val="single" w:sz="4" w:space="0" w:color="auto"/>
            </w:tcBorders>
            <w:shd w:val="clear" w:color="000000" w:fill="BFBFBF"/>
            <w:noWrap/>
            <w:vAlign w:val="center"/>
            <w:hideMark/>
          </w:tcPr>
          <w:p w14:paraId="0852A883" w14:textId="77777777" w:rsidR="00683498" w:rsidRPr="0036007C" w:rsidRDefault="00683498" w:rsidP="00F76882">
            <w:pPr>
              <w:pStyle w:val="Tabletext"/>
            </w:pPr>
            <w:r w:rsidRPr="0036007C">
              <w:t>47%</w:t>
            </w:r>
          </w:p>
        </w:tc>
        <w:tc>
          <w:tcPr>
            <w:tcW w:w="113" w:type="pct"/>
            <w:tcBorders>
              <w:top w:val="nil"/>
              <w:left w:val="nil"/>
              <w:bottom w:val="single" w:sz="4" w:space="0" w:color="auto"/>
              <w:right w:val="single" w:sz="4" w:space="0" w:color="auto"/>
            </w:tcBorders>
            <w:shd w:val="clear" w:color="000000" w:fill="BFBFBF"/>
            <w:noWrap/>
            <w:vAlign w:val="center"/>
            <w:hideMark/>
          </w:tcPr>
          <w:p w14:paraId="66175C64" w14:textId="77777777" w:rsidR="00683498" w:rsidRPr="0036007C" w:rsidRDefault="00683498" w:rsidP="00F76882">
            <w:pPr>
              <w:pStyle w:val="Tabletext"/>
            </w:pPr>
            <w:r w:rsidRPr="0036007C">
              <w:t>2</w:t>
            </w:r>
          </w:p>
        </w:tc>
        <w:tc>
          <w:tcPr>
            <w:tcW w:w="259" w:type="pct"/>
            <w:tcBorders>
              <w:top w:val="nil"/>
              <w:left w:val="nil"/>
              <w:bottom w:val="single" w:sz="4" w:space="0" w:color="auto"/>
              <w:right w:val="single" w:sz="4" w:space="0" w:color="auto"/>
            </w:tcBorders>
            <w:shd w:val="clear" w:color="000000" w:fill="BFBFBF"/>
            <w:noWrap/>
            <w:vAlign w:val="center"/>
            <w:hideMark/>
          </w:tcPr>
          <w:p w14:paraId="29404803" w14:textId="77777777" w:rsidR="00683498" w:rsidRPr="0036007C" w:rsidRDefault="00683498" w:rsidP="00F76882">
            <w:pPr>
              <w:pStyle w:val="Tabletext"/>
            </w:pPr>
            <w:r w:rsidRPr="0036007C">
              <w:t>11%</w:t>
            </w:r>
          </w:p>
        </w:tc>
        <w:tc>
          <w:tcPr>
            <w:tcW w:w="113" w:type="pct"/>
            <w:tcBorders>
              <w:top w:val="nil"/>
              <w:left w:val="nil"/>
              <w:bottom w:val="single" w:sz="4" w:space="0" w:color="auto"/>
              <w:right w:val="single" w:sz="4" w:space="0" w:color="auto"/>
            </w:tcBorders>
            <w:shd w:val="clear" w:color="000000" w:fill="BFBFBF"/>
            <w:noWrap/>
            <w:vAlign w:val="center"/>
            <w:hideMark/>
          </w:tcPr>
          <w:p w14:paraId="22177335" w14:textId="77777777" w:rsidR="00683498" w:rsidRPr="0036007C" w:rsidRDefault="00683498" w:rsidP="00F76882">
            <w:pPr>
              <w:pStyle w:val="Tabletext"/>
            </w:pPr>
            <w:r w:rsidRPr="0036007C">
              <w:t>3</w:t>
            </w:r>
          </w:p>
        </w:tc>
        <w:tc>
          <w:tcPr>
            <w:tcW w:w="259" w:type="pct"/>
            <w:tcBorders>
              <w:top w:val="nil"/>
              <w:left w:val="nil"/>
              <w:bottom w:val="single" w:sz="4" w:space="0" w:color="auto"/>
              <w:right w:val="single" w:sz="4" w:space="0" w:color="auto"/>
            </w:tcBorders>
            <w:shd w:val="clear" w:color="000000" w:fill="BFBFBF"/>
            <w:noWrap/>
            <w:vAlign w:val="center"/>
            <w:hideMark/>
          </w:tcPr>
          <w:p w14:paraId="78AB831B" w14:textId="77777777" w:rsidR="00683498" w:rsidRPr="0036007C" w:rsidRDefault="00683498" w:rsidP="00F76882">
            <w:pPr>
              <w:pStyle w:val="Tabletext"/>
            </w:pPr>
            <w:r w:rsidRPr="0036007C">
              <w:t>17%</w:t>
            </w:r>
          </w:p>
        </w:tc>
        <w:tc>
          <w:tcPr>
            <w:tcW w:w="113" w:type="pct"/>
            <w:tcBorders>
              <w:top w:val="nil"/>
              <w:left w:val="nil"/>
              <w:bottom w:val="single" w:sz="4" w:space="0" w:color="auto"/>
              <w:right w:val="single" w:sz="4" w:space="0" w:color="auto"/>
            </w:tcBorders>
            <w:shd w:val="clear" w:color="000000" w:fill="BFBFBF"/>
            <w:noWrap/>
            <w:vAlign w:val="center"/>
            <w:hideMark/>
          </w:tcPr>
          <w:p w14:paraId="66D18E41"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shd w:val="clear" w:color="000000" w:fill="BFBFBF"/>
            <w:noWrap/>
            <w:vAlign w:val="center"/>
            <w:hideMark/>
          </w:tcPr>
          <w:p w14:paraId="104B3FBD" w14:textId="77777777" w:rsidR="00683498" w:rsidRPr="0036007C" w:rsidRDefault="00683498" w:rsidP="00F76882">
            <w:pPr>
              <w:pStyle w:val="Tabletext"/>
            </w:pPr>
            <w:r w:rsidRPr="0036007C">
              <w:t>0%</w:t>
            </w:r>
          </w:p>
        </w:tc>
        <w:tc>
          <w:tcPr>
            <w:tcW w:w="113" w:type="pct"/>
            <w:tcBorders>
              <w:top w:val="nil"/>
              <w:left w:val="nil"/>
              <w:bottom w:val="single" w:sz="4" w:space="0" w:color="auto"/>
              <w:right w:val="single" w:sz="4" w:space="0" w:color="auto"/>
            </w:tcBorders>
            <w:shd w:val="clear" w:color="000000" w:fill="BFBFBF"/>
            <w:noWrap/>
            <w:vAlign w:val="center"/>
            <w:hideMark/>
          </w:tcPr>
          <w:p w14:paraId="31D8ED42"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shd w:val="clear" w:color="000000" w:fill="BFBFBF"/>
            <w:noWrap/>
            <w:vAlign w:val="center"/>
            <w:hideMark/>
          </w:tcPr>
          <w:p w14:paraId="6A12CE46" w14:textId="77777777" w:rsidR="00683498" w:rsidRPr="0036007C" w:rsidRDefault="00683498" w:rsidP="00F76882">
            <w:pPr>
              <w:pStyle w:val="Tabletext"/>
            </w:pPr>
            <w:r w:rsidRPr="0036007C">
              <w:t>0%</w:t>
            </w:r>
          </w:p>
        </w:tc>
        <w:tc>
          <w:tcPr>
            <w:tcW w:w="93" w:type="pct"/>
            <w:tcBorders>
              <w:top w:val="nil"/>
              <w:left w:val="nil"/>
              <w:bottom w:val="single" w:sz="4" w:space="0" w:color="auto"/>
              <w:right w:val="single" w:sz="4" w:space="0" w:color="auto"/>
            </w:tcBorders>
            <w:shd w:val="clear" w:color="000000" w:fill="BFBFBF"/>
            <w:noWrap/>
            <w:vAlign w:val="center"/>
            <w:hideMark/>
          </w:tcPr>
          <w:p w14:paraId="6E803057"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shd w:val="clear" w:color="000000" w:fill="BFBFBF"/>
            <w:noWrap/>
            <w:vAlign w:val="center"/>
            <w:hideMark/>
          </w:tcPr>
          <w:p w14:paraId="46CB5C70" w14:textId="77777777" w:rsidR="00683498" w:rsidRPr="0036007C" w:rsidRDefault="00683498" w:rsidP="00F76882">
            <w:pPr>
              <w:pStyle w:val="Tabletext"/>
            </w:pPr>
            <w:r w:rsidRPr="0036007C">
              <w:t>0%</w:t>
            </w:r>
          </w:p>
        </w:tc>
        <w:tc>
          <w:tcPr>
            <w:tcW w:w="93" w:type="pct"/>
            <w:tcBorders>
              <w:top w:val="nil"/>
              <w:left w:val="nil"/>
              <w:bottom w:val="single" w:sz="4" w:space="0" w:color="auto"/>
              <w:right w:val="single" w:sz="4" w:space="0" w:color="auto"/>
            </w:tcBorders>
            <w:shd w:val="clear" w:color="000000" w:fill="BFBFBF"/>
            <w:noWrap/>
            <w:vAlign w:val="center"/>
            <w:hideMark/>
          </w:tcPr>
          <w:p w14:paraId="02A5FEA5"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shd w:val="clear" w:color="000000" w:fill="BFBFBF"/>
            <w:noWrap/>
            <w:vAlign w:val="center"/>
            <w:hideMark/>
          </w:tcPr>
          <w:p w14:paraId="3526BE22" w14:textId="77777777" w:rsidR="00683498" w:rsidRPr="0036007C" w:rsidRDefault="00683498" w:rsidP="00F76882">
            <w:pPr>
              <w:pStyle w:val="Tabletext"/>
            </w:pPr>
            <w:r w:rsidRPr="0036007C">
              <w:t>0%</w:t>
            </w:r>
          </w:p>
        </w:tc>
        <w:tc>
          <w:tcPr>
            <w:tcW w:w="113" w:type="pct"/>
            <w:tcBorders>
              <w:top w:val="nil"/>
              <w:left w:val="nil"/>
              <w:bottom w:val="single" w:sz="4" w:space="0" w:color="auto"/>
              <w:right w:val="single" w:sz="4" w:space="0" w:color="auto"/>
            </w:tcBorders>
            <w:shd w:val="clear" w:color="000000" w:fill="BFBFBF"/>
            <w:noWrap/>
            <w:vAlign w:val="center"/>
            <w:hideMark/>
          </w:tcPr>
          <w:p w14:paraId="2A58EF0E"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shd w:val="clear" w:color="000000" w:fill="BFBFBF"/>
            <w:noWrap/>
            <w:vAlign w:val="center"/>
            <w:hideMark/>
          </w:tcPr>
          <w:p w14:paraId="30D7A841" w14:textId="77777777" w:rsidR="00683498" w:rsidRPr="0036007C" w:rsidRDefault="00683498" w:rsidP="00F76882">
            <w:pPr>
              <w:pStyle w:val="Tabletext"/>
            </w:pPr>
            <w:r w:rsidRPr="0036007C">
              <w:t>0%</w:t>
            </w:r>
          </w:p>
        </w:tc>
        <w:tc>
          <w:tcPr>
            <w:tcW w:w="113" w:type="pct"/>
            <w:tcBorders>
              <w:top w:val="nil"/>
              <w:left w:val="nil"/>
              <w:bottom w:val="single" w:sz="4" w:space="0" w:color="auto"/>
              <w:right w:val="single" w:sz="4" w:space="0" w:color="auto"/>
            </w:tcBorders>
            <w:shd w:val="clear" w:color="000000" w:fill="BFBFBF"/>
            <w:noWrap/>
            <w:vAlign w:val="center"/>
            <w:hideMark/>
          </w:tcPr>
          <w:p w14:paraId="5C5E99FB" w14:textId="77777777" w:rsidR="00683498" w:rsidRPr="0063016C" w:rsidRDefault="00683498" w:rsidP="00F76882">
            <w:pPr>
              <w:pStyle w:val="Tabletext"/>
            </w:pPr>
            <w:r w:rsidRPr="0063016C">
              <w:t>0</w:t>
            </w:r>
          </w:p>
        </w:tc>
        <w:tc>
          <w:tcPr>
            <w:tcW w:w="259" w:type="pct"/>
            <w:tcBorders>
              <w:top w:val="nil"/>
              <w:left w:val="nil"/>
              <w:bottom w:val="single" w:sz="4" w:space="0" w:color="auto"/>
              <w:right w:val="single" w:sz="4" w:space="0" w:color="auto"/>
            </w:tcBorders>
            <w:shd w:val="clear" w:color="000000" w:fill="BFBFBF"/>
            <w:noWrap/>
            <w:vAlign w:val="center"/>
            <w:hideMark/>
          </w:tcPr>
          <w:p w14:paraId="34462041" w14:textId="77777777" w:rsidR="00683498" w:rsidRPr="0063016C" w:rsidRDefault="00683498" w:rsidP="00F76882">
            <w:pPr>
              <w:pStyle w:val="Tabletext"/>
            </w:pPr>
            <w:r w:rsidRPr="0063016C">
              <w:t>0%</w:t>
            </w:r>
          </w:p>
        </w:tc>
        <w:tc>
          <w:tcPr>
            <w:tcW w:w="113" w:type="pct"/>
            <w:tcBorders>
              <w:top w:val="nil"/>
              <w:left w:val="nil"/>
              <w:bottom w:val="single" w:sz="4" w:space="0" w:color="auto"/>
              <w:right w:val="single" w:sz="4" w:space="0" w:color="auto"/>
            </w:tcBorders>
            <w:shd w:val="clear" w:color="000000" w:fill="BFBFBF"/>
            <w:vAlign w:val="center"/>
          </w:tcPr>
          <w:p w14:paraId="2AAFC0C4" w14:textId="0B2A5EFB" w:rsidR="00683498" w:rsidRPr="0063016C" w:rsidRDefault="00683498" w:rsidP="00F76882">
            <w:pPr>
              <w:pStyle w:val="Tabletext"/>
            </w:pPr>
            <w:r w:rsidRPr="0063016C">
              <w:t>0</w:t>
            </w:r>
          </w:p>
        </w:tc>
        <w:tc>
          <w:tcPr>
            <w:tcW w:w="259" w:type="pct"/>
            <w:tcBorders>
              <w:top w:val="nil"/>
              <w:left w:val="nil"/>
              <w:bottom w:val="single" w:sz="4" w:space="0" w:color="auto"/>
              <w:right w:val="single" w:sz="4" w:space="0" w:color="auto"/>
            </w:tcBorders>
            <w:shd w:val="clear" w:color="000000" w:fill="BFBFBF"/>
            <w:vAlign w:val="center"/>
          </w:tcPr>
          <w:p w14:paraId="5127253C" w14:textId="738A69D8" w:rsidR="00683498" w:rsidRPr="0063016C" w:rsidRDefault="00683498" w:rsidP="00F76882">
            <w:pPr>
              <w:pStyle w:val="Tabletext"/>
            </w:pPr>
            <w:r w:rsidRPr="0063016C">
              <w:t>0%</w:t>
            </w:r>
          </w:p>
        </w:tc>
      </w:tr>
      <w:tr w:rsidR="00FC1E83" w:rsidRPr="0036007C" w14:paraId="5A01789E" w14:textId="0E6EBAE7" w:rsidTr="009C2F78">
        <w:trPr>
          <w:trHeight w:val="290"/>
        </w:trPr>
        <w:tc>
          <w:tcPr>
            <w:tcW w:w="970" w:type="pct"/>
            <w:tcBorders>
              <w:top w:val="nil"/>
              <w:left w:val="single" w:sz="4" w:space="0" w:color="auto"/>
              <w:bottom w:val="single" w:sz="4" w:space="0" w:color="auto"/>
              <w:right w:val="single" w:sz="4" w:space="0" w:color="auto"/>
            </w:tcBorders>
            <w:noWrap/>
            <w:vAlign w:val="center"/>
            <w:hideMark/>
          </w:tcPr>
          <w:p w14:paraId="7C721A0F" w14:textId="6F307E2D" w:rsidR="00683498" w:rsidRPr="00F57624" w:rsidRDefault="00683498" w:rsidP="00F76882">
            <w:pPr>
              <w:pStyle w:val="Tabletextleft"/>
            </w:pPr>
            <w:r w:rsidRPr="00F57624">
              <w:t xml:space="preserve">&gt;0% </w:t>
            </w:r>
            <w:r w:rsidR="0035537B" w:rsidRPr="00F57624">
              <w:t xml:space="preserve">to </w:t>
            </w:r>
            <w:r w:rsidRPr="00F57624">
              <w:t>&lt;5%</w:t>
            </w:r>
          </w:p>
        </w:tc>
        <w:tc>
          <w:tcPr>
            <w:tcW w:w="113" w:type="pct"/>
            <w:tcBorders>
              <w:top w:val="nil"/>
              <w:left w:val="nil"/>
              <w:bottom w:val="single" w:sz="4" w:space="0" w:color="auto"/>
              <w:right w:val="single" w:sz="4" w:space="0" w:color="auto"/>
            </w:tcBorders>
            <w:noWrap/>
            <w:vAlign w:val="center"/>
            <w:hideMark/>
          </w:tcPr>
          <w:p w14:paraId="405EBE77" w14:textId="77777777" w:rsidR="00683498" w:rsidRPr="0036007C" w:rsidRDefault="00683498" w:rsidP="00F76882">
            <w:pPr>
              <w:pStyle w:val="Tabletext"/>
            </w:pPr>
            <w:r w:rsidRPr="0036007C">
              <w:t>1</w:t>
            </w:r>
          </w:p>
        </w:tc>
        <w:tc>
          <w:tcPr>
            <w:tcW w:w="259" w:type="pct"/>
            <w:tcBorders>
              <w:top w:val="nil"/>
              <w:left w:val="nil"/>
              <w:bottom w:val="single" w:sz="4" w:space="0" w:color="auto"/>
              <w:right w:val="single" w:sz="4" w:space="0" w:color="auto"/>
            </w:tcBorders>
            <w:noWrap/>
            <w:vAlign w:val="center"/>
            <w:hideMark/>
          </w:tcPr>
          <w:p w14:paraId="0DBDBAC4" w14:textId="77777777" w:rsidR="00683498" w:rsidRPr="0036007C" w:rsidRDefault="00683498" w:rsidP="00F76882">
            <w:pPr>
              <w:pStyle w:val="Tabletext"/>
            </w:pPr>
            <w:r w:rsidRPr="0036007C">
              <w:t>5%</w:t>
            </w:r>
          </w:p>
        </w:tc>
        <w:tc>
          <w:tcPr>
            <w:tcW w:w="93" w:type="pct"/>
            <w:tcBorders>
              <w:top w:val="nil"/>
              <w:left w:val="nil"/>
              <w:bottom w:val="single" w:sz="4" w:space="0" w:color="auto"/>
              <w:right w:val="single" w:sz="4" w:space="0" w:color="auto"/>
            </w:tcBorders>
            <w:noWrap/>
            <w:vAlign w:val="center"/>
            <w:hideMark/>
          </w:tcPr>
          <w:p w14:paraId="42B2BB62" w14:textId="77777777" w:rsidR="00683498" w:rsidRPr="0036007C" w:rsidRDefault="00683498" w:rsidP="00F76882">
            <w:pPr>
              <w:pStyle w:val="Tabletext"/>
            </w:pPr>
            <w:r w:rsidRPr="0036007C">
              <w:t>1</w:t>
            </w:r>
          </w:p>
        </w:tc>
        <w:tc>
          <w:tcPr>
            <w:tcW w:w="259" w:type="pct"/>
            <w:tcBorders>
              <w:top w:val="nil"/>
              <w:left w:val="nil"/>
              <w:bottom w:val="single" w:sz="4" w:space="0" w:color="auto"/>
              <w:right w:val="single" w:sz="4" w:space="0" w:color="auto"/>
            </w:tcBorders>
            <w:noWrap/>
            <w:vAlign w:val="center"/>
            <w:hideMark/>
          </w:tcPr>
          <w:p w14:paraId="5DCB71B2" w14:textId="77777777" w:rsidR="00683498" w:rsidRPr="0036007C" w:rsidRDefault="00683498" w:rsidP="00F76882">
            <w:pPr>
              <w:pStyle w:val="Tabletext"/>
            </w:pPr>
            <w:r w:rsidRPr="0036007C">
              <w:t>5%</w:t>
            </w:r>
          </w:p>
        </w:tc>
        <w:tc>
          <w:tcPr>
            <w:tcW w:w="113" w:type="pct"/>
            <w:tcBorders>
              <w:top w:val="nil"/>
              <w:left w:val="nil"/>
              <w:bottom w:val="single" w:sz="4" w:space="0" w:color="auto"/>
              <w:right w:val="single" w:sz="4" w:space="0" w:color="auto"/>
            </w:tcBorders>
            <w:noWrap/>
            <w:vAlign w:val="center"/>
            <w:hideMark/>
          </w:tcPr>
          <w:p w14:paraId="60D5A45C" w14:textId="77777777" w:rsidR="00683498" w:rsidRPr="0036007C" w:rsidRDefault="00683498" w:rsidP="00F76882">
            <w:pPr>
              <w:pStyle w:val="Tabletext"/>
            </w:pPr>
            <w:r w:rsidRPr="0036007C">
              <w:t>11</w:t>
            </w:r>
          </w:p>
        </w:tc>
        <w:tc>
          <w:tcPr>
            <w:tcW w:w="259" w:type="pct"/>
            <w:tcBorders>
              <w:top w:val="nil"/>
              <w:left w:val="nil"/>
              <w:bottom w:val="single" w:sz="4" w:space="0" w:color="auto"/>
              <w:right w:val="single" w:sz="4" w:space="0" w:color="auto"/>
            </w:tcBorders>
            <w:noWrap/>
            <w:vAlign w:val="center"/>
            <w:hideMark/>
          </w:tcPr>
          <w:p w14:paraId="7F0F506F" w14:textId="77777777" w:rsidR="00683498" w:rsidRPr="0036007C" w:rsidRDefault="00683498" w:rsidP="00F76882">
            <w:pPr>
              <w:pStyle w:val="Tabletext"/>
            </w:pPr>
            <w:r w:rsidRPr="0036007C">
              <w:t>58%</w:t>
            </w:r>
          </w:p>
        </w:tc>
        <w:tc>
          <w:tcPr>
            <w:tcW w:w="113" w:type="pct"/>
            <w:tcBorders>
              <w:top w:val="nil"/>
              <w:left w:val="nil"/>
              <w:bottom w:val="single" w:sz="4" w:space="0" w:color="auto"/>
              <w:right w:val="single" w:sz="4" w:space="0" w:color="auto"/>
            </w:tcBorders>
            <w:noWrap/>
            <w:vAlign w:val="center"/>
            <w:hideMark/>
          </w:tcPr>
          <w:p w14:paraId="098DAB90" w14:textId="77777777" w:rsidR="00683498" w:rsidRPr="0036007C" w:rsidRDefault="00683498" w:rsidP="00F76882">
            <w:pPr>
              <w:pStyle w:val="Tabletext"/>
            </w:pPr>
            <w:r w:rsidRPr="0036007C">
              <w:t>10</w:t>
            </w:r>
          </w:p>
        </w:tc>
        <w:tc>
          <w:tcPr>
            <w:tcW w:w="259" w:type="pct"/>
            <w:tcBorders>
              <w:top w:val="nil"/>
              <w:left w:val="nil"/>
              <w:bottom w:val="single" w:sz="4" w:space="0" w:color="auto"/>
              <w:right w:val="single" w:sz="4" w:space="0" w:color="auto"/>
            </w:tcBorders>
            <w:noWrap/>
            <w:vAlign w:val="center"/>
            <w:hideMark/>
          </w:tcPr>
          <w:p w14:paraId="1AFB62E5" w14:textId="77777777" w:rsidR="00683498" w:rsidRPr="0036007C" w:rsidRDefault="00683498" w:rsidP="00F76882">
            <w:pPr>
              <w:pStyle w:val="Tabletext"/>
            </w:pPr>
            <w:r w:rsidRPr="0036007C">
              <w:t>56%</w:t>
            </w:r>
          </w:p>
        </w:tc>
        <w:tc>
          <w:tcPr>
            <w:tcW w:w="113" w:type="pct"/>
            <w:tcBorders>
              <w:top w:val="nil"/>
              <w:left w:val="nil"/>
              <w:bottom w:val="single" w:sz="4" w:space="0" w:color="auto"/>
              <w:right w:val="single" w:sz="4" w:space="0" w:color="auto"/>
            </w:tcBorders>
            <w:noWrap/>
            <w:vAlign w:val="center"/>
            <w:hideMark/>
          </w:tcPr>
          <w:p w14:paraId="390DABC8" w14:textId="77777777" w:rsidR="00683498" w:rsidRPr="0036007C" w:rsidRDefault="00683498" w:rsidP="00F76882">
            <w:pPr>
              <w:pStyle w:val="Tabletext"/>
            </w:pPr>
            <w:r w:rsidRPr="0036007C">
              <w:t>10</w:t>
            </w:r>
          </w:p>
        </w:tc>
        <w:tc>
          <w:tcPr>
            <w:tcW w:w="259" w:type="pct"/>
            <w:tcBorders>
              <w:top w:val="nil"/>
              <w:left w:val="nil"/>
              <w:bottom w:val="single" w:sz="4" w:space="0" w:color="auto"/>
              <w:right w:val="single" w:sz="4" w:space="0" w:color="auto"/>
            </w:tcBorders>
            <w:noWrap/>
            <w:vAlign w:val="center"/>
            <w:hideMark/>
          </w:tcPr>
          <w:p w14:paraId="5C83E129" w14:textId="77777777" w:rsidR="00683498" w:rsidRPr="0036007C" w:rsidRDefault="00683498" w:rsidP="00F76882">
            <w:pPr>
              <w:pStyle w:val="Tabletext"/>
            </w:pPr>
            <w:r w:rsidRPr="0036007C">
              <w:t>66%</w:t>
            </w:r>
          </w:p>
        </w:tc>
        <w:tc>
          <w:tcPr>
            <w:tcW w:w="113" w:type="pct"/>
            <w:tcBorders>
              <w:top w:val="nil"/>
              <w:left w:val="nil"/>
              <w:bottom w:val="single" w:sz="4" w:space="0" w:color="auto"/>
              <w:right w:val="single" w:sz="4" w:space="0" w:color="auto"/>
            </w:tcBorders>
            <w:noWrap/>
            <w:vAlign w:val="center"/>
            <w:hideMark/>
          </w:tcPr>
          <w:p w14:paraId="4A61C300"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noWrap/>
            <w:vAlign w:val="center"/>
            <w:hideMark/>
          </w:tcPr>
          <w:p w14:paraId="2382C06D" w14:textId="77777777" w:rsidR="00683498" w:rsidRPr="0036007C" w:rsidRDefault="00683498" w:rsidP="00F76882">
            <w:pPr>
              <w:pStyle w:val="Tabletext"/>
            </w:pPr>
            <w:r w:rsidRPr="0036007C">
              <w:t>0%</w:t>
            </w:r>
          </w:p>
        </w:tc>
        <w:tc>
          <w:tcPr>
            <w:tcW w:w="93" w:type="pct"/>
            <w:tcBorders>
              <w:top w:val="nil"/>
              <w:left w:val="nil"/>
              <w:bottom w:val="single" w:sz="4" w:space="0" w:color="auto"/>
              <w:right w:val="single" w:sz="4" w:space="0" w:color="auto"/>
            </w:tcBorders>
            <w:noWrap/>
            <w:vAlign w:val="center"/>
            <w:hideMark/>
          </w:tcPr>
          <w:p w14:paraId="6A1CDEE0" w14:textId="77777777" w:rsidR="00683498" w:rsidRPr="0036007C" w:rsidRDefault="00683498" w:rsidP="00F76882">
            <w:pPr>
              <w:pStyle w:val="Tabletext"/>
            </w:pPr>
            <w:r w:rsidRPr="0036007C">
              <w:t>9</w:t>
            </w:r>
          </w:p>
        </w:tc>
        <w:tc>
          <w:tcPr>
            <w:tcW w:w="259" w:type="pct"/>
            <w:tcBorders>
              <w:top w:val="nil"/>
              <w:left w:val="nil"/>
              <w:bottom w:val="single" w:sz="4" w:space="0" w:color="auto"/>
              <w:right w:val="single" w:sz="4" w:space="0" w:color="auto"/>
            </w:tcBorders>
            <w:noWrap/>
            <w:vAlign w:val="center"/>
            <w:hideMark/>
          </w:tcPr>
          <w:p w14:paraId="709F29F0" w14:textId="77777777" w:rsidR="00683498" w:rsidRPr="0036007C" w:rsidRDefault="00683498" w:rsidP="00F76882">
            <w:pPr>
              <w:pStyle w:val="Tabletext"/>
            </w:pPr>
            <w:r w:rsidRPr="0036007C">
              <w:t>60%</w:t>
            </w:r>
          </w:p>
        </w:tc>
        <w:tc>
          <w:tcPr>
            <w:tcW w:w="93" w:type="pct"/>
            <w:tcBorders>
              <w:top w:val="nil"/>
              <w:left w:val="nil"/>
              <w:bottom w:val="single" w:sz="4" w:space="0" w:color="auto"/>
              <w:right w:val="single" w:sz="4" w:space="0" w:color="auto"/>
            </w:tcBorders>
            <w:noWrap/>
            <w:vAlign w:val="center"/>
            <w:hideMark/>
          </w:tcPr>
          <w:p w14:paraId="2518D1FA" w14:textId="77777777" w:rsidR="00683498" w:rsidRPr="0036007C" w:rsidRDefault="00683498" w:rsidP="00F76882">
            <w:pPr>
              <w:pStyle w:val="Tabletext"/>
            </w:pPr>
            <w:r w:rsidRPr="0036007C">
              <w:t>9</w:t>
            </w:r>
          </w:p>
        </w:tc>
        <w:tc>
          <w:tcPr>
            <w:tcW w:w="259" w:type="pct"/>
            <w:tcBorders>
              <w:top w:val="nil"/>
              <w:left w:val="nil"/>
              <w:bottom w:val="single" w:sz="4" w:space="0" w:color="auto"/>
              <w:right w:val="single" w:sz="4" w:space="0" w:color="auto"/>
            </w:tcBorders>
            <w:noWrap/>
            <w:vAlign w:val="center"/>
            <w:hideMark/>
          </w:tcPr>
          <w:p w14:paraId="443C2BFA" w14:textId="77777777" w:rsidR="00683498" w:rsidRPr="0036007C" w:rsidRDefault="00683498" w:rsidP="00F76882">
            <w:pPr>
              <w:pStyle w:val="Tabletext"/>
            </w:pPr>
            <w:r w:rsidRPr="0036007C">
              <w:t>60%</w:t>
            </w:r>
          </w:p>
        </w:tc>
        <w:tc>
          <w:tcPr>
            <w:tcW w:w="113" w:type="pct"/>
            <w:tcBorders>
              <w:top w:val="nil"/>
              <w:left w:val="nil"/>
              <w:bottom w:val="single" w:sz="4" w:space="0" w:color="auto"/>
              <w:right w:val="single" w:sz="4" w:space="0" w:color="auto"/>
            </w:tcBorders>
            <w:noWrap/>
            <w:vAlign w:val="center"/>
            <w:hideMark/>
          </w:tcPr>
          <w:p w14:paraId="536FEC96" w14:textId="77777777" w:rsidR="00683498" w:rsidRPr="0036007C" w:rsidRDefault="00683498" w:rsidP="00F76882">
            <w:pPr>
              <w:pStyle w:val="Tabletext"/>
            </w:pPr>
            <w:r w:rsidRPr="0036007C">
              <w:t>0</w:t>
            </w:r>
          </w:p>
        </w:tc>
        <w:tc>
          <w:tcPr>
            <w:tcW w:w="259" w:type="pct"/>
            <w:tcBorders>
              <w:top w:val="nil"/>
              <w:left w:val="nil"/>
              <w:bottom w:val="single" w:sz="4" w:space="0" w:color="auto"/>
              <w:right w:val="single" w:sz="4" w:space="0" w:color="auto"/>
            </w:tcBorders>
            <w:noWrap/>
            <w:vAlign w:val="center"/>
            <w:hideMark/>
          </w:tcPr>
          <w:p w14:paraId="07D41D5F" w14:textId="77777777" w:rsidR="00683498" w:rsidRPr="0036007C" w:rsidRDefault="00683498" w:rsidP="00F76882">
            <w:pPr>
              <w:pStyle w:val="Tabletext"/>
            </w:pPr>
            <w:r w:rsidRPr="0036007C">
              <w:t>0%</w:t>
            </w:r>
          </w:p>
        </w:tc>
        <w:tc>
          <w:tcPr>
            <w:tcW w:w="113" w:type="pct"/>
            <w:tcBorders>
              <w:top w:val="nil"/>
              <w:left w:val="nil"/>
              <w:bottom w:val="single" w:sz="4" w:space="0" w:color="auto"/>
              <w:right w:val="single" w:sz="4" w:space="0" w:color="auto"/>
            </w:tcBorders>
            <w:noWrap/>
            <w:vAlign w:val="center"/>
            <w:hideMark/>
          </w:tcPr>
          <w:p w14:paraId="6F77880C" w14:textId="77777777" w:rsidR="00683498" w:rsidRPr="0063016C" w:rsidRDefault="00683498" w:rsidP="00F76882">
            <w:pPr>
              <w:pStyle w:val="Tabletext"/>
            </w:pPr>
            <w:r w:rsidRPr="0063016C">
              <w:t>0</w:t>
            </w:r>
          </w:p>
        </w:tc>
        <w:tc>
          <w:tcPr>
            <w:tcW w:w="259" w:type="pct"/>
            <w:tcBorders>
              <w:top w:val="nil"/>
              <w:left w:val="nil"/>
              <w:bottom w:val="single" w:sz="4" w:space="0" w:color="auto"/>
              <w:right w:val="single" w:sz="4" w:space="0" w:color="auto"/>
            </w:tcBorders>
            <w:noWrap/>
            <w:vAlign w:val="center"/>
            <w:hideMark/>
          </w:tcPr>
          <w:p w14:paraId="57AB1996" w14:textId="77777777" w:rsidR="00683498" w:rsidRPr="0063016C" w:rsidRDefault="00683498" w:rsidP="00F76882">
            <w:pPr>
              <w:pStyle w:val="Tabletext"/>
            </w:pPr>
            <w:r w:rsidRPr="0063016C">
              <w:t>0%</w:t>
            </w:r>
          </w:p>
        </w:tc>
        <w:tc>
          <w:tcPr>
            <w:tcW w:w="113" w:type="pct"/>
            <w:tcBorders>
              <w:top w:val="nil"/>
              <w:left w:val="nil"/>
              <w:bottom w:val="single" w:sz="4" w:space="0" w:color="auto"/>
              <w:right w:val="single" w:sz="4" w:space="0" w:color="auto"/>
            </w:tcBorders>
            <w:vAlign w:val="center"/>
          </w:tcPr>
          <w:p w14:paraId="32734D26" w14:textId="200B792F" w:rsidR="00683498" w:rsidRPr="0063016C" w:rsidRDefault="00683498" w:rsidP="00F76882">
            <w:pPr>
              <w:pStyle w:val="Tabletext"/>
            </w:pPr>
            <w:r w:rsidRPr="0063016C">
              <w:t>0</w:t>
            </w:r>
          </w:p>
        </w:tc>
        <w:tc>
          <w:tcPr>
            <w:tcW w:w="259" w:type="pct"/>
            <w:tcBorders>
              <w:top w:val="nil"/>
              <w:left w:val="nil"/>
              <w:bottom w:val="single" w:sz="4" w:space="0" w:color="auto"/>
              <w:right w:val="single" w:sz="4" w:space="0" w:color="auto"/>
            </w:tcBorders>
            <w:vAlign w:val="center"/>
          </w:tcPr>
          <w:p w14:paraId="4904E365" w14:textId="7334C155" w:rsidR="00683498" w:rsidRPr="0063016C" w:rsidRDefault="00683498" w:rsidP="00F76882">
            <w:pPr>
              <w:pStyle w:val="Tabletext"/>
            </w:pPr>
            <w:r w:rsidRPr="0063016C">
              <w:t>0%</w:t>
            </w:r>
          </w:p>
        </w:tc>
      </w:tr>
      <w:tr w:rsidR="00FC1E83" w:rsidRPr="0036007C" w14:paraId="376CC319" w14:textId="3D2B9493" w:rsidTr="009C2F78">
        <w:trPr>
          <w:trHeight w:val="290"/>
        </w:trPr>
        <w:tc>
          <w:tcPr>
            <w:tcW w:w="970" w:type="pct"/>
            <w:tcBorders>
              <w:top w:val="nil"/>
              <w:left w:val="single" w:sz="4" w:space="0" w:color="auto"/>
              <w:bottom w:val="single" w:sz="4" w:space="0" w:color="auto"/>
              <w:right w:val="single" w:sz="4" w:space="0" w:color="auto"/>
            </w:tcBorders>
            <w:shd w:val="clear" w:color="000000" w:fill="BFBFBF"/>
            <w:noWrap/>
            <w:vAlign w:val="center"/>
            <w:hideMark/>
          </w:tcPr>
          <w:p w14:paraId="057D192C" w14:textId="77777777" w:rsidR="00683498" w:rsidRPr="00F57624" w:rsidRDefault="00683498" w:rsidP="00F76882">
            <w:pPr>
              <w:pStyle w:val="Tabletextleft"/>
            </w:pPr>
            <w:r w:rsidRPr="00F57624">
              <w:t>0%</w:t>
            </w:r>
          </w:p>
        </w:tc>
        <w:tc>
          <w:tcPr>
            <w:tcW w:w="113" w:type="pct"/>
            <w:tcBorders>
              <w:top w:val="nil"/>
              <w:left w:val="nil"/>
              <w:bottom w:val="single" w:sz="4" w:space="0" w:color="auto"/>
              <w:right w:val="single" w:sz="4" w:space="0" w:color="auto"/>
            </w:tcBorders>
            <w:shd w:val="clear" w:color="000000" w:fill="BFBFBF"/>
            <w:noWrap/>
            <w:vAlign w:val="center"/>
            <w:hideMark/>
          </w:tcPr>
          <w:p w14:paraId="2B3B634F" w14:textId="77777777" w:rsidR="00683498" w:rsidRPr="009C2F78" w:rsidRDefault="00683498" w:rsidP="00F76882">
            <w:pPr>
              <w:pStyle w:val="Tabletext"/>
            </w:pPr>
            <w:r w:rsidRPr="009C2F78">
              <w:t>10</w:t>
            </w:r>
          </w:p>
        </w:tc>
        <w:tc>
          <w:tcPr>
            <w:tcW w:w="259" w:type="pct"/>
            <w:tcBorders>
              <w:top w:val="nil"/>
              <w:left w:val="nil"/>
              <w:bottom w:val="single" w:sz="4" w:space="0" w:color="auto"/>
              <w:right w:val="single" w:sz="4" w:space="0" w:color="auto"/>
            </w:tcBorders>
            <w:shd w:val="clear" w:color="000000" w:fill="BFBFBF"/>
            <w:noWrap/>
            <w:vAlign w:val="center"/>
            <w:hideMark/>
          </w:tcPr>
          <w:p w14:paraId="205D9BA0" w14:textId="77777777" w:rsidR="00683498" w:rsidRPr="009C2F78" w:rsidRDefault="00683498" w:rsidP="00F76882">
            <w:pPr>
              <w:pStyle w:val="Tabletext"/>
            </w:pPr>
            <w:r w:rsidRPr="009C2F78">
              <w:t>48%</w:t>
            </w:r>
          </w:p>
        </w:tc>
        <w:tc>
          <w:tcPr>
            <w:tcW w:w="93" w:type="pct"/>
            <w:tcBorders>
              <w:top w:val="nil"/>
              <w:left w:val="nil"/>
              <w:bottom w:val="single" w:sz="4" w:space="0" w:color="auto"/>
              <w:right w:val="single" w:sz="4" w:space="0" w:color="auto"/>
            </w:tcBorders>
            <w:shd w:val="clear" w:color="000000" w:fill="BFBFBF"/>
            <w:noWrap/>
            <w:vAlign w:val="center"/>
            <w:hideMark/>
          </w:tcPr>
          <w:p w14:paraId="42281F5E" w14:textId="77777777" w:rsidR="00683498" w:rsidRPr="009C2F78" w:rsidRDefault="00683498" w:rsidP="00F76882">
            <w:pPr>
              <w:pStyle w:val="Tabletext"/>
            </w:pPr>
            <w:r w:rsidRPr="009C2F78">
              <w:t>4</w:t>
            </w:r>
          </w:p>
        </w:tc>
        <w:tc>
          <w:tcPr>
            <w:tcW w:w="259" w:type="pct"/>
            <w:tcBorders>
              <w:top w:val="nil"/>
              <w:left w:val="nil"/>
              <w:bottom w:val="single" w:sz="4" w:space="0" w:color="auto"/>
              <w:right w:val="single" w:sz="4" w:space="0" w:color="auto"/>
            </w:tcBorders>
            <w:shd w:val="clear" w:color="000000" w:fill="BFBFBF"/>
            <w:noWrap/>
            <w:vAlign w:val="center"/>
            <w:hideMark/>
          </w:tcPr>
          <w:p w14:paraId="1848359D" w14:textId="77777777" w:rsidR="00683498" w:rsidRPr="009C2F78" w:rsidRDefault="00683498" w:rsidP="00F76882">
            <w:pPr>
              <w:pStyle w:val="Tabletext"/>
            </w:pPr>
            <w:r w:rsidRPr="009C2F78">
              <w:t>21%</w:t>
            </w:r>
          </w:p>
        </w:tc>
        <w:tc>
          <w:tcPr>
            <w:tcW w:w="113" w:type="pct"/>
            <w:tcBorders>
              <w:top w:val="nil"/>
              <w:left w:val="nil"/>
              <w:bottom w:val="single" w:sz="4" w:space="0" w:color="auto"/>
              <w:right w:val="single" w:sz="4" w:space="0" w:color="auto"/>
            </w:tcBorders>
            <w:shd w:val="clear" w:color="000000" w:fill="BFBFBF"/>
            <w:noWrap/>
            <w:vAlign w:val="center"/>
            <w:hideMark/>
          </w:tcPr>
          <w:p w14:paraId="253D810F" w14:textId="77777777" w:rsidR="00683498" w:rsidRPr="009C2F78" w:rsidRDefault="00683498" w:rsidP="00F76882">
            <w:pPr>
              <w:pStyle w:val="Tabletext"/>
            </w:pPr>
            <w:r w:rsidRPr="009C2F78">
              <w:t>4</w:t>
            </w:r>
          </w:p>
        </w:tc>
        <w:tc>
          <w:tcPr>
            <w:tcW w:w="259" w:type="pct"/>
            <w:tcBorders>
              <w:top w:val="nil"/>
              <w:left w:val="nil"/>
              <w:bottom w:val="single" w:sz="4" w:space="0" w:color="auto"/>
              <w:right w:val="single" w:sz="4" w:space="0" w:color="auto"/>
            </w:tcBorders>
            <w:shd w:val="clear" w:color="000000" w:fill="BFBFBF"/>
            <w:noWrap/>
            <w:vAlign w:val="center"/>
            <w:hideMark/>
          </w:tcPr>
          <w:p w14:paraId="438CD8B1" w14:textId="77777777" w:rsidR="00683498" w:rsidRPr="009C2F78" w:rsidRDefault="00683498" w:rsidP="00F76882">
            <w:pPr>
              <w:pStyle w:val="Tabletext"/>
            </w:pPr>
            <w:r w:rsidRPr="009C2F78">
              <w:t>21%</w:t>
            </w:r>
          </w:p>
        </w:tc>
        <w:tc>
          <w:tcPr>
            <w:tcW w:w="113" w:type="pct"/>
            <w:tcBorders>
              <w:top w:val="nil"/>
              <w:left w:val="nil"/>
              <w:bottom w:val="single" w:sz="4" w:space="0" w:color="auto"/>
              <w:right w:val="single" w:sz="4" w:space="0" w:color="auto"/>
            </w:tcBorders>
            <w:shd w:val="clear" w:color="000000" w:fill="BFBFBF"/>
            <w:noWrap/>
            <w:vAlign w:val="center"/>
            <w:hideMark/>
          </w:tcPr>
          <w:p w14:paraId="0D61D9A4" w14:textId="77777777" w:rsidR="00683498" w:rsidRPr="009C2F78" w:rsidRDefault="00683498" w:rsidP="00F76882">
            <w:pPr>
              <w:pStyle w:val="Tabletext"/>
            </w:pPr>
            <w:r w:rsidRPr="009C2F78">
              <w:t>3</w:t>
            </w:r>
          </w:p>
        </w:tc>
        <w:tc>
          <w:tcPr>
            <w:tcW w:w="259" w:type="pct"/>
            <w:tcBorders>
              <w:top w:val="nil"/>
              <w:left w:val="nil"/>
              <w:bottom w:val="single" w:sz="4" w:space="0" w:color="auto"/>
              <w:right w:val="single" w:sz="4" w:space="0" w:color="auto"/>
            </w:tcBorders>
            <w:shd w:val="clear" w:color="000000" w:fill="BFBFBF"/>
            <w:noWrap/>
            <w:vAlign w:val="center"/>
            <w:hideMark/>
          </w:tcPr>
          <w:p w14:paraId="7DE72C29" w14:textId="77777777" w:rsidR="00683498" w:rsidRPr="009C2F78" w:rsidRDefault="00683498" w:rsidP="00F76882">
            <w:pPr>
              <w:pStyle w:val="Tabletext"/>
            </w:pPr>
            <w:r w:rsidRPr="009C2F78">
              <w:t>17%</w:t>
            </w:r>
          </w:p>
        </w:tc>
        <w:tc>
          <w:tcPr>
            <w:tcW w:w="113" w:type="pct"/>
            <w:tcBorders>
              <w:top w:val="nil"/>
              <w:left w:val="nil"/>
              <w:bottom w:val="single" w:sz="4" w:space="0" w:color="auto"/>
              <w:right w:val="single" w:sz="4" w:space="0" w:color="auto"/>
            </w:tcBorders>
            <w:shd w:val="clear" w:color="000000" w:fill="BFBFBF"/>
            <w:noWrap/>
            <w:vAlign w:val="center"/>
            <w:hideMark/>
          </w:tcPr>
          <w:p w14:paraId="28961AF4" w14:textId="77777777" w:rsidR="00683498" w:rsidRPr="009C2F78" w:rsidRDefault="00683498" w:rsidP="00F76882">
            <w:pPr>
              <w:pStyle w:val="Tabletext"/>
            </w:pPr>
            <w:r w:rsidRPr="009C2F78">
              <w:t>4</w:t>
            </w:r>
          </w:p>
        </w:tc>
        <w:tc>
          <w:tcPr>
            <w:tcW w:w="259" w:type="pct"/>
            <w:tcBorders>
              <w:top w:val="nil"/>
              <w:left w:val="nil"/>
              <w:bottom w:val="single" w:sz="4" w:space="0" w:color="auto"/>
              <w:right w:val="single" w:sz="4" w:space="0" w:color="auto"/>
            </w:tcBorders>
            <w:shd w:val="clear" w:color="000000" w:fill="BFBFBF"/>
            <w:noWrap/>
            <w:vAlign w:val="center"/>
            <w:hideMark/>
          </w:tcPr>
          <w:p w14:paraId="2194D870" w14:textId="77777777" w:rsidR="00683498" w:rsidRPr="009C2F78" w:rsidRDefault="00683498" w:rsidP="00F76882">
            <w:pPr>
              <w:pStyle w:val="Tabletext"/>
            </w:pPr>
            <w:r w:rsidRPr="009C2F78">
              <w:t>27%</w:t>
            </w:r>
          </w:p>
        </w:tc>
        <w:tc>
          <w:tcPr>
            <w:tcW w:w="113" w:type="pct"/>
            <w:tcBorders>
              <w:top w:val="nil"/>
              <w:left w:val="nil"/>
              <w:bottom w:val="single" w:sz="4" w:space="0" w:color="auto"/>
              <w:right w:val="single" w:sz="4" w:space="0" w:color="auto"/>
            </w:tcBorders>
            <w:shd w:val="clear" w:color="000000" w:fill="BFBFBF"/>
            <w:noWrap/>
            <w:vAlign w:val="center"/>
            <w:hideMark/>
          </w:tcPr>
          <w:p w14:paraId="663FF356" w14:textId="77777777" w:rsidR="00683498" w:rsidRPr="009C2F78" w:rsidRDefault="00683498" w:rsidP="00F76882">
            <w:pPr>
              <w:pStyle w:val="Tabletext"/>
            </w:pPr>
            <w:r w:rsidRPr="009C2F78">
              <w:t>15</w:t>
            </w:r>
          </w:p>
        </w:tc>
        <w:tc>
          <w:tcPr>
            <w:tcW w:w="259" w:type="pct"/>
            <w:tcBorders>
              <w:top w:val="nil"/>
              <w:left w:val="nil"/>
              <w:bottom w:val="single" w:sz="4" w:space="0" w:color="auto"/>
              <w:right w:val="single" w:sz="4" w:space="0" w:color="auto"/>
            </w:tcBorders>
            <w:shd w:val="clear" w:color="000000" w:fill="BFBFBF"/>
            <w:noWrap/>
            <w:vAlign w:val="center"/>
            <w:hideMark/>
          </w:tcPr>
          <w:p w14:paraId="3E67225A" w14:textId="77777777" w:rsidR="00683498" w:rsidRPr="009C2F78" w:rsidRDefault="00683498" w:rsidP="00F76882">
            <w:pPr>
              <w:pStyle w:val="Tabletext"/>
            </w:pPr>
            <w:r w:rsidRPr="009C2F78">
              <w:t>100%</w:t>
            </w:r>
          </w:p>
        </w:tc>
        <w:tc>
          <w:tcPr>
            <w:tcW w:w="93" w:type="pct"/>
            <w:tcBorders>
              <w:top w:val="nil"/>
              <w:left w:val="nil"/>
              <w:bottom w:val="single" w:sz="4" w:space="0" w:color="auto"/>
              <w:right w:val="single" w:sz="4" w:space="0" w:color="auto"/>
            </w:tcBorders>
            <w:shd w:val="clear" w:color="000000" w:fill="BFBFBF"/>
            <w:noWrap/>
            <w:vAlign w:val="center"/>
            <w:hideMark/>
          </w:tcPr>
          <w:p w14:paraId="159DB70E" w14:textId="77777777" w:rsidR="00683498" w:rsidRPr="009C2F78" w:rsidRDefault="00683498" w:rsidP="00F76882">
            <w:pPr>
              <w:pStyle w:val="Tabletext"/>
            </w:pPr>
            <w:r w:rsidRPr="009C2F78">
              <w:t>5</w:t>
            </w:r>
          </w:p>
        </w:tc>
        <w:tc>
          <w:tcPr>
            <w:tcW w:w="259" w:type="pct"/>
            <w:tcBorders>
              <w:top w:val="nil"/>
              <w:left w:val="nil"/>
              <w:bottom w:val="single" w:sz="4" w:space="0" w:color="auto"/>
              <w:right w:val="single" w:sz="4" w:space="0" w:color="auto"/>
            </w:tcBorders>
            <w:shd w:val="clear" w:color="000000" w:fill="BFBFBF"/>
            <w:noWrap/>
            <w:vAlign w:val="center"/>
            <w:hideMark/>
          </w:tcPr>
          <w:p w14:paraId="5E845E30" w14:textId="77777777" w:rsidR="00683498" w:rsidRPr="009C2F78" w:rsidRDefault="00683498" w:rsidP="00F76882">
            <w:pPr>
              <w:pStyle w:val="Tabletext"/>
            </w:pPr>
            <w:r w:rsidRPr="009C2F78">
              <w:t>33%</w:t>
            </w:r>
          </w:p>
        </w:tc>
        <w:tc>
          <w:tcPr>
            <w:tcW w:w="93" w:type="pct"/>
            <w:tcBorders>
              <w:top w:val="nil"/>
              <w:left w:val="nil"/>
              <w:bottom w:val="single" w:sz="4" w:space="0" w:color="auto"/>
              <w:right w:val="single" w:sz="4" w:space="0" w:color="auto"/>
            </w:tcBorders>
            <w:shd w:val="clear" w:color="000000" w:fill="BFBFBF"/>
            <w:noWrap/>
            <w:vAlign w:val="center"/>
            <w:hideMark/>
          </w:tcPr>
          <w:p w14:paraId="171E49EE" w14:textId="77777777" w:rsidR="00683498" w:rsidRPr="009C2F78" w:rsidRDefault="00683498" w:rsidP="00F76882">
            <w:pPr>
              <w:pStyle w:val="Tabletext"/>
            </w:pPr>
            <w:r w:rsidRPr="009C2F78">
              <w:t>5</w:t>
            </w:r>
          </w:p>
        </w:tc>
        <w:tc>
          <w:tcPr>
            <w:tcW w:w="259" w:type="pct"/>
            <w:tcBorders>
              <w:top w:val="nil"/>
              <w:left w:val="nil"/>
              <w:bottom w:val="single" w:sz="4" w:space="0" w:color="auto"/>
              <w:right w:val="single" w:sz="4" w:space="0" w:color="auto"/>
            </w:tcBorders>
            <w:shd w:val="clear" w:color="000000" w:fill="BFBFBF"/>
            <w:noWrap/>
            <w:vAlign w:val="center"/>
            <w:hideMark/>
          </w:tcPr>
          <w:p w14:paraId="0006F7EC" w14:textId="77777777" w:rsidR="00683498" w:rsidRPr="009C2F78" w:rsidRDefault="00683498" w:rsidP="00F76882">
            <w:pPr>
              <w:pStyle w:val="Tabletext"/>
            </w:pPr>
            <w:r w:rsidRPr="009C2F78">
              <w:t>33%</w:t>
            </w:r>
          </w:p>
        </w:tc>
        <w:tc>
          <w:tcPr>
            <w:tcW w:w="113" w:type="pct"/>
            <w:tcBorders>
              <w:top w:val="nil"/>
              <w:left w:val="nil"/>
              <w:bottom w:val="single" w:sz="4" w:space="0" w:color="auto"/>
              <w:right w:val="single" w:sz="4" w:space="0" w:color="auto"/>
            </w:tcBorders>
            <w:shd w:val="clear" w:color="000000" w:fill="BFBFBF"/>
            <w:noWrap/>
            <w:vAlign w:val="center"/>
            <w:hideMark/>
          </w:tcPr>
          <w:p w14:paraId="2661BEA6" w14:textId="77777777" w:rsidR="00683498" w:rsidRPr="009C2F78" w:rsidRDefault="00683498" w:rsidP="00F76882">
            <w:pPr>
              <w:pStyle w:val="Tabletext"/>
            </w:pPr>
            <w:r w:rsidRPr="009C2F78">
              <w:t>11</w:t>
            </w:r>
          </w:p>
        </w:tc>
        <w:tc>
          <w:tcPr>
            <w:tcW w:w="259" w:type="pct"/>
            <w:tcBorders>
              <w:top w:val="nil"/>
              <w:left w:val="nil"/>
              <w:bottom w:val="single" w:sz="4" w:space="0" w:color="auto"/>
              <w:right w:val="single" w:sz="4" w:space="0" w:color="auto"/>
            </w:tcBorders>
            <w:shd w:val="clear" w:color="000000" w:fill="BFBFBF"/>
            <w:noWrap/>
            <w:vAlign w:val="center"/>
            <w:hideMark/>
          </w:tcPr>
          <w:p w14:paraId="0EDBBCB4" w14:textId="77777777" w:rsidR="00683498" w:rsidRPr="009C2F78" w:rsidRDefault="00683498" w:rsidP="00F76882">
            <w:pPr>
              <w:pStyle w:val="Tabletext"/>
            </w:pPr>
            <w:r w:rsidRPr="009C2F78">
              <w:t>100%</w:t>
            </w:r>
          </w:p>
        </w:tc>
        <w:tc>
          <w:tcPr>
            <w:tcW w:w="113" w:type="pct"/>
            <w:tcBorders>
              <w:top w:val="nil"/>
              <w:left w:val="nil"/>
              <w:bottom w:val="single" w:sz="4" w:space="0" w:color="auto"/>
              <w:right w:val="single" w:sz="4" w:space="0" w:color="auto"/>
            </w:tcBorders>
            <w:shd w:val="clear" w:color="000000" w:fill="BFBFBF"/>
            <w:noWrap/>
            <w:vAlign w:val="center"/>
            <w:hideMark/>
          </w:tcPr>
          <w:p w14:paraId="1EE2F0B4" w14:textId="77777777" w:rsidR="00683498" w:rsidRPr="009C2F78" w:rsidRDefault="00683498" w:rsidP="00F76882">
            <w:pPr>
              <w:pStyle w:val="Tabletext"/>
            </w:pPr>
            <w:r w:rsidRPr="009C2F78">
              <w:t>11</w:t>
            </w:r>
          </w:p>
        </w:tc>
        <w:tc>
          <w:tcPr>
            <w:tcW w:w="259" w:type="pct"/>
            <w:tcBorders>
              <w:top w:val="nil"/>
              <w:left w:val="nil"/>
              <w:bottom w:val="single" w:sz="4" w:space="0" w:color="auto"/>
              <w:right w:val="single" w:sz="4" w:space="0" w:color="auto"/>
            </w:tcBorders>
            <w:shd w:val="clear" w:color="000000" w:fill="BFBFBF"/>
            <w:noWrap/>
            <w:vAlign w:val="center"/>
            <w:hideMark/>
          </w:tcPr>
          <w:p w14:paraId="0338DC6C" w14:textId="77777777" w:rsidR="00683498" w:rsidRPr="009C2F78" w:rsidRDefault="00683498" w:rsidP="00F76882">
            <w:pPr>
              <w:pStyle w:val="Tabletext"/>
            </w:pPr>
            <w:r w:rsidRPr="009C2F78">
              <w:t>100%</w:t>
            </w:r>
          </w:p>
        </w:tc>
        <w:tc>
          <w:tcPr>
            <w:tcW w:w="113" w:type="pct"/>
            <w:tcBorders>
              <w:top w:val="nil"/>
              <w:left w:val="nil"/>
              <w:bottom w:val="single" w:sz="4" w:space="0" w:color="auto"/>
              <w:right w:val="single" w:sz="4" w:space="0" w:color="auto"/>
            </w:tcBorders>
            <w:shd w:val="clear" w:color="000000" w:fill="BFBFBF"/>
            <w:vAlign w:val="center"/>
          </w:tcPr>
          <w:p w14:paraId="56187AC4" w14:textId="49E9E219" w:rsidR="00683498" w:rsidRPr="009C2F78" w:rsidRDefault="00683498" w:rsidP="00F76882">
            <w:pPr>
              <w:pStyle w:val="Tabletext"/>
            </w:pPr>
            <w:r w:rsidRPr="009C2F78">
              <w:t>15</w:t>
            </w:r>
          </w:p>
        </w:tc>
        <w:tc>
          <w:tcPr>
            <w:tcW w:w="259" w:type="pct"/>
            <w:tcBorders>
              <w:top w:val="nil"/>
              <w:left w:val="nil"/>
              <w:bottom w:val="single" w:sz="4" w:space="0" w:color="auto"/>
              <w:right w:val="single" w:sz="4" w:space="0" w:color="auto"/>
            </w:tcBorders>
            <w:shd w:val="clear" w:color="000000" w:fill="BFBFBF"/>
            <w:vAlign w:val="center"/>
          </w:tcPr>
          <w:p w14:paraId="4BEF9728" w14:textId="2C93BB9D" w:rsidR="00683498" w:rsidRPr="009C2F78" w:rsidRDefault="00683498" w:rsidP="00F76882">
            <w:pPr>
              <w:pStyle w:val="Tabletext"/>
            </w:pPr>
            <w:r w:rsidRPr="009C2F78">
              <w:t>100%</w:t>
            </w:r>
          </w:p>
        </w:tc>
      </w:tr>
    </w:tbl>
    <w:p w14:paraId="60D9E6AE" w14:textId="6262B268" w:rsidR="00AB00FF" w:rsidRPr="00A33DD2" w:rsidRDefault="00AB00FF" w:rsidP="00F76882">
      <w:pPr>
        <w:pStyle w:val="tablefigfootnote"/>
      </w:pPr>
      <w:bookmarkStart w:id="333" w:name="Table34"/>
      <w:r w:rsidRPr="00A33DD2">
        <w:t>* As defined annually by each jurisdiction</w:t>
      </w:r>
      <w:r w:rsidR="0025313E" w:rsidRPr="00A33DD2">
        <w:t>.</w:t>
      </w:r>
    </w:p>
    <w:p w14:paraId="22739CEB" w14:textId="307E0435" w:rsidR="00AB00FF" w:rsidRPr="00A33DD2" w:rsidRDefault="00AB00FF" w:rsidP="00F76882">
      <w:pPr>
        <w:pStyle w:val="tablefigfootnote"/>
      </w:pPr>
      <w:r w:rsidRPr="00A33DD2">
        <w:t xml:space="preserve">† </w:t>
      </w:r>
      <w:r w:rsidR="009F0E49" w:rsidRPr="00A33DD2">
        <w:t>As per CDNA Guidelines.</w:t>
      </w:r>
      <w:r w:rsidR="006713EE" w:rsidRPr="00A33DD2">
        <w:t xml:space="preserve"> Includes communities that were not screened due to logistical or demographic reasons (</w:t>
      </w:r>
      <w:r w:rsidR="006C560C" w:rsidRPr="00A33DD2">
        <w:t>i.e.</w:t>
      </w:r>
      <w:r w:rsidR="006713EE" w:rsidRPr="00A33DD2">
        <w:t>, no children in the 5</w:t>
      </w:r>
      <w:r w:rsidR="00263838" w:rsidRPr="00A33DD2">
        <w:t>–</w:t>
      </w:r>
      <w:r w:rsidR="006713EE" w:rsidRPr="00A33DD2">
        <w:t>9</w:t>
      </w:r>
      <w:r w:rsidR="00972CF1" w:rsidRPr="00A33DD2">
        <w:t>-</w:t>
      </w:r>
      <w:r w:rsidR="006713EE" w:rsidRPr="00A33DD2">
        <w:t>year age group).</w:t>
      </w:r>
    </w:p>
    <w:p w14:paraId="223A5604" w14:textId="77777777" w:rsidR="001A1076" w:rsidRDefault="001A1076" w:rsidP="00F76882">
      <w:pPr>
        <w:pStyle w:val="tablefigfootnote"/>
      </w:pPr>
      <w:r w:rsidRPr="0036007C">
        <w:t xml:space="preserve">‡ If more than one screening episode </w:t>
      </w:r>
      <w:r w:rsidR="00C96319" w:rsidRPr="0036007C">
        <w:t xml:space="preserve">occurs </w:t>
      </w:r>
      <w:r w:rsidRPr="0036007C">
        <w:t>during the calendar year</w:t>
      </w:r>
      <w:r w:rsidR="00C96319" w:rsidRPr="0036007C">
        <w:t>,</w:t>
      </w:r>
      <w:r w:rsidRPr="0036007C">
        <w:t xml:space="preserve"> data from</w:t>
      </w:r>
      <w:r w:rsidR="00055E86" w:rsidRPr="0036007C">
        <w:t xml:space="preserve"> the</w:t>
      </w:r>
      <w:r w:rsidRPr="0036007C">
        <w:t xml:space="preserve"> first screen is used.</w:t>
      </w:r>
    </w:p>
    <w:p w14:paraId="1ECC11D5" w14:textId="77777777" w:rsidR="009C2F78" w:rsidRPr="009C2F78" w:rsidRDefault="009C2F78" w:rsidP="00F76882"/>
    <w:p w14:paraId="692A1D2E" w14:textId="15068BC1" w:rsidR="009C2F78" w:rsidRPr="00F76882" w:rsidRDefault="009C2F78" w:rsidP="00F76882">
      <w:pPr>
        <w:sectPr w:rsidR="009C2F78" w:rsidRPr="00F76882" w:rsidSect="00C04CBB">
          <w:pgSz w:w="16838" w:h="11906" w:orient="landscape"/>
          <w:pgMar w:top="720" w:right="720" w:bottom="720" w:left="720" w:header="709" w:footer="709" w:gutter="0"/>
          <w:cols w:space="708"/>
          <w:docGrid w:linePitch="360"/>
        </w:sectPr>
      </w:pPr>
    </w:p>
    <w:p w14:paraId="0FAE51BE" w14:textId="6686FB03" w:rsidR="00C574D9" w:rsidRPr="0036007C" w:rsidRDefault="00C574D9" w:rsidP="00F76882">
      <w:pPr>
        <w:pStyle w:val="Tableheadings"/>
      </w:pPr>
      <w:bookmarkStart w:id="334" w:name="_Table_3.4_Treatment"/>
      <w:bookmarkStart w:id="335" w:name="_Ref58336670"/>
      <w:bookmarkStart w:id="336" w:name="_Toc215224713"/>
      <w:bookmarkEnd w:id="331"/>
      <w:bookmarkEnd w:id="333"/>
      <w:bookmarkEnd w:id="334"/>
      <w:r w:rsidRPr="0036007C">
        <w:t xml:space="preserve">Table </w:t>
      </w:r>
      <w:r w:rsidR="00942F34" w:rsidRPr="0036007C">
        <w:t>4</w:t>
      </w:r>
      <w:r w:rsidRPr="0036007C">
        <w:t>.</w:t>
      </w:r>
      <w:r w:rsidRPr="0036007C">
        <w:fldChar w:fldCharType="begin"/>
      </w:r>
      <w:r w:rsidRPr="0036007C">
        <w:instrText>SEQ Table \* ARABIC \s 1</w:instrText>
      </w:r>
      <w:r w:rsidRPr="0036007C">
        <w:fldChar w:fldCharType="separate"/>
      </w:r>
      <w:r w:rsidRPr="0036007C">
        <w:t>4</w:t>
      </w:r>
      <w:r w:rsidRPr="0036007C">
        <w:fldChar w:fldCharType="end"/>
      </w:r>
      <w:bookmarkEnd w:id="335"/>
      <w:r w:rsidRPr="0036007C">
        <w:tab/>
      </w:r>
      <w:r w:rsidR="00DD5687" w:rsidRPr="0036007C">
        <w:t>T</w:t>
      </w:r>
      <w:r w:rsidRPr="0036007C">
        <w:t>reatment strategies by region, South Australia</w:t>
      </w:r>
      <w:r w:rsidR="00732509" w:rsidRPr="0036007C">
        <w:t>,</w:t>
      </w:r>
      <w:r w:rsidRPr="0036007C">
        <w:t xml:space="preserve"> </w:t>
      </w:r>
      <w:r w:rsidR="00E76BB4" w:rsidRPr="0036007C">
        <w:t>202</w:t>
      </w:r>
      <w:r w:rsidR="004449F6" w:rsidRPr="0036007C">
        <w:t>4</w:t>
      </w:r>
      <w:bookmarkEnd w:id="336"/>
    </w:p>
    <w:tbl>
      <w:tblPr>
        <w:tblW w:w="5000" w:type="pct"/>
        <w:tblLook w:val="04A0" w:firstRow="1" w:lastRow="0" w:firstColumn="1" w:lastColumn="0" w:noHBand="0" w:noVBand="1"/>
        <w:tblCaption w:val="Treatment strategies by region, South Australia, 2024"/>
        <w:tblDescription w:val="Table 4.4 compares the number of communities by whether and how required trachoma treatment was delivered. Data is presented for the APY Lands, Eyre and Western, Far North, and the cumulative total.&#10;"/>
      </w:tblPr>
      <w:tblGrid>
        <w:gridCol w:w="3750"/>
        <w:gridCol w:w="1677"/>
        <w:gridCol w:w="1677"/>
        <w:gridCol w:w="1677"/>
        <w:gridCol w:w="1675"/>
      </w:tblGrid>
      <w:tr w:rsidR="00046C9F" w:rsidRPr="0036007C" w14:paraId="07D641E3" w14:textId="77777777" w:rsidTr="00F57624">
        <w:trPr>
          <w:trHeight w:val="580"/>
          <w:tblHeader/>
        </w:trPr>
        <w:tc>
          <w:tcPr>
            <w:tcW w:w="1793"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0CC5D320" w14:textId="77777777" w:rsidR="00046C9F" w:rsidRPr="0036007C" w:rsidRDefault="00046C9F" w:rsidP="00F76882">
            <w:pPr>
              <w:pStyle w:val="Tableheading"/>
              <w:rPr>
                <w:lang w:eastAsia="en-AU"/>
              </w:rPr>
            </w:pPr>
            <w:r w:rsidRPr="0036007C">
              <w:t>Number of communities</w:t>
            </w:r>
          </w:p>
        </w:tc>
        <w:tc>
          <w:tcPr>
            <w:tcW w:w="802" w:type="pct"/>
            <w:tcBorders>
              <w:top w:val="single" w:sz="4" w:space="0" w:color="auto"/>
              <w:left w:val="nil"/>
              <w:bottom w:val="single" w:sz="4" w:space="0" w:color="auto"/>
              <w:right w:val="single" w:sz="4" w:space="0" w:color="auto"/>
            </w:tcBorders>
            <w:shd w:val="clear" w:color="000000" w:fill="BFBFBF"/>
            <w:vAlign w:val="bottom"/>
            <w:hideMark/>
          </w:tcPr>
          <w:p w14:paraId="1C412E6C" w14:textId="77777777" w:rsidR="00046C9F" w:rsidRPr="0036007C" w:rsidRDefault="00046C9F" w:rsidP="00F76882">
            <w:pPr>
              <w:pStyle w:val="Tableheading"/>
            </w:pPr>
            <w:r w:rsidRPr="0036007C">
              <w:t>APY Lands</w:t>
            </w:r>
          </w:p>
        </w:tc>
        <w:tc>
          <w:tcPr>
            <w:tcW w:w="802" w:type="pct"/>
            <w:tcBorders>
              <w:top w:val="single" w:sz="4" w:space="0" w:color="auto"/>
              <w:left w:val="nil"/>
              <w:bottom w:val="single" w:sz="4" w:space="0" w:color="auto"/>
              <w:right w:val="single" w:sz="4" w:space="0" w:color="auto"/>
            </w:tcBorders>
            <w:shd w:val="clear" w:color="000000" w:fill="BFBFBF"/>
            <w:vAlign w:val="bottom"/>
            <w:hideMark/>
          </w:tcPr>
          <w:p w14:paraId="0B9E96C4" w14:textId="77777777" w:rsidR="00046C9F" w:rsidRPr="0036007C" w:rsidRDefault="00046C9F" w:rsidP="00F76882">
            <w:pPr>
              <w:pStyle w:val="Tableheading"/>
            </w:pPr>
            <w:r w:rsidRPr="0036007C">
              <w:t>Eyre and Western</w:t>
            </w:r>
          </w:p>
        </w:tc>
        <w:tc>
          <w:tcPr>
            <w:tcW w:w="802" w:type="pct"/>
            <w:tcBorders>
              <w:top w:val="single" w:sz="4" w:space="0" w:color="auto"/>
              <w:left w:val="nil"/>
              <w:bottom w:val="single" w:sz="4" w:space="0" w:color="auto"/>
              <w:right w:val="single" w:sz="4" w:space="0" w:color="auto"/>
            </w:tcBorders>
            <w:shd w:val="clear" w:color="000000" w:fill="BFBFBF"/>
            <w:vAlign w:val="bottom"/>
            <w:hideMark/>
          </w:tcPr>
          <w:p w14:paraId="5E0A9326" w14:textId="77777777" w:rsidR="00046C9F" w:rsidRPr="0036007C" w:rsidRDefault="00046C9F" w:rsidP="00F76882">
            <w:pPr>
              <w:pStyle w:val="Tableheading"/>
            </w:pPr>
            <w:r w:rsidRPr="0036007C">
              <w:t>Far North</w:t>
            </w:r>
          </w:p>
        </w:tc>
        <w:tc>
          <w:tcPr>
            <w:tcW w:w="801" w:type="pct"/>
            <w:tcBorders>
              <w:top w:val="single" w:sz="4" w:space="0" w:color="auto"/>
              <w:left w:val="nil"/>
              <w:bottom w:val="single" w:sz="4" w:space="0" w:color="auto"/>
              <w:right w:val="single" w:sz="4" w:space="0" w:color="auto"/>
            </w:tcBorders>
            <w:shd w:val="clear" w:color="000000" w:fill="BFBFBF"/>
            <w:vAlign w:val="bottom"/>
            <w:hideMark/>
          </w:tcPr>
          <w:p w14:paraId="56BC109D" w14:textId="77777777" w:rsidR="00046C9F" w:rsidRPr="0036007C" w:rsidRDefault="00046C9F" w:rsidP="00F76882">
            <w:pPr>
              <w:pStyle w:val="Tableheading"/>
            </w:pPr>
            <w:r w:rsidRPr="0036007C">
              <w:t>Total</w:t>
            </w:r>
          </w:p>
        </w:tc>
      </w:tr>
      <w:tr w:rsidR="008602F2" w:rsidRPr="0036007C" w14:paraId="7F3A312E" w14:textId="77777777" w:rsidTr="008602F2">
        <w:trPr>
          <w:trHeight w:val="580"/>
        </w:trPr>
        <w:tc>
          <w:tcPr>
            <w:tcW w:w="1793" w:type="pct"/>
            <w:tcBorders>
              <w:top w:val="nil"/>
              <w:left w:val="single" w:sz="4" w:space="0" w:color="auto"/>
              <w:bottom w:val="single" w:sz="4" w:space="0" w:color="auto"/>
              <w:right w:val="single" w:sz="4" w:space="0" w:color="auto"/>
            </w:tcBorders>
            <w:vAlign w:val="bottom"/>
            <w:hideMark/>
          </w:tcPr>
          <w:p w14:paraId="41AA55B1" w14:textId="77777777" w:rsidR="008602F2" w:rsidRPr="0036007C" w:rsidRDefault="008602F2" w:rsidP="00F76882">
            <w:pPr>
              <w:pStyle w:val="Tabletextleft"/>
            </w:pPr>
            <w:r w:rsidRPr="0036007C">
              <w:t>Required treatment for trachoma</w:t>
            </w:r>
          </w:p>
        </w:tc>
        <w:tc>
          <w:tcPr>
            <w:tcW w:w="802" w:type="pct"/>
            <w:tcBorders>
              <w:top w:val="nil"/>
              <w:left w:val="nil"/>
              <w:bottom w:val="single" w:sz="4" w:space="0" w:color="auto"/>
              <w:right w:val="single" w:sz="4" w:space="0" w:color="auto"/>
            </w:tcBorders>
            <w:noWrap/>
            <w:vAlign w:val="bottom"/>
          </w:tcPr>
          <w:p w14:paraId="3EA631EE" w14:textId="4FCD50B0"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noWrap/>
            <w:vAlign w:val="bottom"/>
          </w:tcPr>
          <w:p w14:paraId="08D64E02" w14:textId="129D49A1"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noWrap/>
            <w:vAlign w:val="bottom"/>
          </w:tcPr>
          <w:p w14:paraId="207B4E56" w14:textId="371E6939" w:rsidR="008602F2" w:rsidRPr="0036007C" w:rsidRDefault="008602F2" w:rsidP="00F76882">
            <w:pPr>
              <w:pStyle w:val="Tabletext"/>
            </w:pPr>
            <w:r w:rsidRPr="0036007C">
              <w:t>0</w:t>
            </w:r>
          </w:p>
        </w:tc>
        <w:tc>
          <w:tcPr>
            <w:tcW w:w="801" w:type="pct"/>
            <w:tcBorders>
              <w:top w:val="nil"/>
              <w:left w:val="nil"/>
              <w:bottom w:val="single" w:sz="4" w:space="0" w:color="auto"/>
              <w:right w:val="single" w:sz="4" w:space="0" w:color="auto"/>
            </w:tcBorders>
            <w:noWrap/>
            <w:vAlign w:val="bottom"/>
          </w:tcPr>
          <w:p w14:paraId="35790825" w14:textId="24B79157" w:rsidR="008602F2" w:rsidRPr="0036007C" w:rsidRDefault="008602F2" w:rsidP="00F76882">
            <w:pPr>
              <w:pStyle w:val="Tabletext"/>
            </w:pPr>
            <w:r w:rsidRPr="0036007C">
              <w:t>0</w:t>
            </w:r>
          </w:p>
        </w:tc>
      </w:tr>
      <w:tr w:rsidR="008602F2" w:rsidRPr="0036007C" w14:paraId="3C3EC1ED" w14:textId="77777777" w:rsidTr="008602F2">
        <w:trPr>
          <w:trHeight w:val="290"/>
        </w:trPr>
        <w:tc>
          <w:tcPr>
            <w:tcW w:w="1793" w:type="pct"/>
            <w:tcBorders>
              <w:top w:val="nil"/>
              <w:left w:val="single" w:sz="4" w:space="0" w:color="auto"/>
              <w:bottom w:val="single" w:sz="4" w:space="0" w:color="auto"/>
              <w:right w:val="single" w:sz="4" w:space="0" w:color="auto"/>
            </w:tcBorders>
            <w:shd w:val="clear" w:color="000000" w:fill="BFBFBF"/>
            <w:vAlign w:val="bottom"/>
            <w:hideMark/>
          </w:tcPr>
          <w:p w14:paraId="767DA553" w14:textId="77777777" w:rsidR="008602F2" w:rsidRPr="0036007C" w:rsidRDefault="008602F2" w:rsidP="00F76882">
            <w:pPr>
              <w:pStyle w:val="Tabletextleft"/>
            </w:pPr>
            <w:r w:rsidRPr="0036007C">
              <w:t>Treated for trachoma</w:t>
            </w:r>
          </w:p>
        </w:tc>
        <w:tc>
          <w:tcPr>
            <w:tcW w:w="802" w:type="pct"/>
            <w:tcBorders>
              <w:top w:val="nil"/>
              <w:left w:val="nil"/>
              <w:bottom w:val="single" w:sz="4" w:space="0" w:color="auto"/>
              <w:right w:val="single" w:sz="4" w:space="0" w:color="auto"/>
            </w:tcBorders>
            <w:shd w:val="clear" w:color="000000" w:fill="BFBFBF"/>
            <w:noWrap/>
            <w:vAlign w:val="bottom"/>
          </w:tcPr>
          <w:p w14:paraId="4D3C457B" w14:textId="314F8415"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shd w:val="clear" w:color="000000" w:fill="BFBFBF"/>
            <w:noWrap/>
            <w:vAlign w:val="bottom"/>
          </w:tcPr>
          <w:p w14:paraId="1C4261EB" w14:textId="528AEC6D"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shd w:val="clear" w:color="000000" w:fill="BFBFBF"/>
            <w:noWrap/>
            <w:vAlign w:val="bottom"/>
          </w:tcPr>
          <w:p w14:paraId="39B32CDE" w14:textId="369CE06C" w:rsidR="008602F2" w:rsidRPr="0036007C" w:rsidRDefault="008602F2" w:rsidP="00F76882">
            <w:pPr>
              <w:pStyle w:val="Tabletext"/>
            </w:pPr>
            <w:r w:rsidRPr="0036007C">
              <w:t>0</w:t>
            </w:r>
          </w:p>
        </w:tc>
        <w:tc>
          <w:tcPr>
            <w:tcW w:w="801" w:type="pct"/>
            <w:tcBorders>
              <w:top w:val="nil"/>
              <w:left w:val="nil"/>
              <w:bottom w:val="single" w:sz="4" w:space="0" w:color="auto"/>
              <w:right w:val="single" w:sz="4" w:space="0" w:color="auto"/>
            </w:tcBorders>
            <w:shd w:val="clear" w:color="000000" w:fill="BFBFBF"/>
            <w:noWrap/>
            <w:vAlign w:val="bottom"/>
          </w:tcPr>
          <w:p w14:paraId="29CD18D7" w14:textId="3B5A6C5F" w:rsidR="008602F2" w:rsidRPr="0036007C" w:rsidRDefault="008602F2" w:rsidP="00F76882">
            <w:pPr>
              <w:pStyle w:val="Tabletext"/>
            </w:pPr>
            <w:r w:rsidRPr="0036007C">
              <w:t>0</w:t>
            </w:r>
          </w:p>
        </w:tc>
      </w:tr>
      <w:tr w:rsidR="008602F2" w:rsidRPr="0036007C" w14:paraId="6317105A" w14:textId="77777777" w:rsidTr="008602F2">
        <w:trPr>
          <w:trHeight w:val="290"/>
        </w:trPr>
        <w:tc>
          <w:tcPr>
            <w:tcW w:w="1793" w:type="pct"/>
            <w:tcBorders>
              <w:top w:val="nil"/>
              <w:left w:val="single" w:sz="4" w:space="0" w:color="auto"/>
              <w:bottom w:val="single" w:sz="4" w:space="0" w:color="auto"/>
              <w:right w:val="single" w:sz="4" w:space="0" w:color="auto"/>
            </w:tcBorders>
            <w:vAlign w:val="bottom"/>
            <w:hideMark/>
          </w:tcPr>
          <w:p w14:paraId="4EA2886C" w14:textId="77777777" w:rsidR="008602F2" w:rsidRPr="0036007C" w:rsidRDefault="008602F2" w:rsidP="00F76882">
            <w:pPr>
              <w:pStyle w:val="Tabletextleft"/>
            </w:pPr>
            <w:r w:rsidRPr="0036007C">
              <w:t>Screened and treated</w:t>
            </w:r>
          </w:p>
        </w:tc>
        <w:tc>
          <w:tcPr>
            <w:tcW w:w="802" w:type="pct"/>
            <w:tcBorders>
              <w:top w:val="nil"/>
              <w:left w:val="nil"/>
              <w:bottom w:val="single" w:sz="4" w:space="0" w:color="auto"/>
              <w:right w:val="single" w:sz="4" w:space="0" w:color="auto"/>
            </w:tcBorders>
            <w:noWrap/>
            <w:vAlign w:val="bottom"/>
          </w:tcPr>
          <w:p w14:paraId="4C588395" w14:textId="16FC49E3"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noWrap/>
            <w:vAlign w:val="bottom"/>
          </w:tcPr>
          <w:p w14:paraId="7ABCB7A1" w14:textId="67AB46FB"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noWrap/>
            <w:vAlign w:val="bottom"/>
          </w:tcPr>
          <w:p w14:paraId="34DD86C9" w14:textId="30CEE9E5" w:rsidR="008602F2" w:rsidRPr="0036007C" w:rsidRDefault="008602F2" w:rsidP="00F76882">
            <w:pPr>
              <w:pStyle w:val="Tabletext"/>
            </w:pPr>
            <w:r w:rsidRPr="0036007C">
              <w:t>0</w:t>
            </w:r>
          </w:p>
        </w:tc>
        <w:tc>
          <w:tcPr>
            <w:tcW w:w="801" w:type="pct"/>
            <w:tcBorders>
              <w:top w:val="nil"/>
              <w:left w:val="nil"/>
              <w:bottom w:val="single" w:sz="4" w:space="0" w:color="auto"/>
              <w:right w:val="single" w:sz="4" w:space="0" w:color="auto"/>
            </w:tcBorders>
            <w:noWrap/>
            <w:vAlign w:val="bottom"/>
          </w:tcPr>
          <w:p w14:paraId="3188AB0E" w14:textId="0CEFC073" w:rsidR="008602F2" w:rsidRPr="0036007C" w:rsidRDefault="008602F2" w:rsidP="00F76882">
            <w:pPr>
              <w:pStyle w:val="Tabletext"/>
            </w:pPr>
            <w:r w:rsidRPr="0036007C">
              <w:t>0</w:t>
            </w:r>
          </w:p>
        </w:tc>
      </w:tr>
      <w:tr w:rsidR="008602F2" w:rsidRPr="0036007C" w14:paraId="2B119526" w14:textId="77777777" w:rsidTr="008602F2">
        <w:trPr>
          <w:trHeight w:val="290"/>
        </w:trPr>
        <w:tc>
          <w:tcPr>
            <w:tcW w:w="1793" w:type="pct"/>
            <w:tcBorders>
              <w:top w:val="nil"/>
              <w:left w:val="single" w:sz="4" w:space="0" w:color="auto"/>
              <w:bottom w:val="single" w:sz="4" w:space="0" w:color="auto"/>
              <w:right w:val="single" w:sz="4" w:space="0" w:color="auto"/>
            </w:tcBorders>
            <w:shd w:val="clear" w:color="000000" w:fill="BFBFBF"/>
            <w:vAlign w:val="bottom"/>
            <w:hideMark/>
          </w:tcPr>
          <w:p w14:paraId="06DB257D" w14:textId="77777777" w:rsidR="008602F2" w:rsidRPr="0036007C" w:rsidRDefault="008602F2" w:rsidP="00F76882">
            <w:pPr>
              <w:pStyle w:val="Tabletextleft"/>
            </w:pPr>
            <w:r w:rsidRPr="0036007C">
              <w:t>Received treatment only</w:t>
            </w:r>
          </w:p>
        </w:tc>
        <w:tc>
          <w:tcPr>
            <w:tcW w:w="802" w:type="pct"/>
            <w:tcBorders>
              <w:top w:val="nil"/>
              <w:left w:val="nil"/>
              <w:bottom w:val="single" w:sz="4" w:space="0" w:color="auto"/>
              <w:right w:val="single" w:sz="4" w:space="0" w:color="auto"/>
            </w:tcBorders>
            <w:shd w:val="clear" w:color="000000" w:fill="BFBFBF"/>
            <w:noWrap/>
            <w:vAlign w:val="bottom"/>
          </w:tcPr>
          <w:p w14:paraId="2039E941" w14:textId="64B6AF7A"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shd w:val="clear" w:color="000000" w:fill="BFBFBF"/>
            <w:noWrap/>
            <w:vAlign w:val="bottom"/>
          </w:tcPr>
          <w:p w14:paraId="68B628F8" w14:textId="4F76C1E6"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shd w:val="clear" w:color="000000" w:fill="BFBFBF"/>
            <w:noWrap/>
            <w:vAlign w:val="bottom"/>
          </w:tcPr>
          <w:p w14:paraId="2F4EA170" w14:textId="19F96195" w:rsidR="008602F2" w:rsidRPr="0036007C" w:rsidRDefault="008602F2" w:rsidP="00F76882">
            <w:pPr>
              <w:pStyle w:val="Tabletext"/>
            </w:pPr>
            <w:r w:rsidRPr="0036007C">
              <w:t>0</w:t>
            </w:r>
          </w:p>
        </w:tc>
        <w:tc>
          <w:tcPr>
            <w:tcW w:w="801" w:type="pct"/>
            <w:tcBorders>
              <w:top w:val="nil"/>
              <w:left w:val="nil"/>
              <w:bottom w:val="single" w:sz="4" w:space="0" w:color="auto"/>
              <w:right w:val="single" w:sz="4" w:space="0" w:color="auto"/>
            </w:tcBorders>
            <w:shd w:val="clear" w:color="000000" w:fill="BFBFBF"/>
            <w:noWrap/>
            <w:vAlign w:val="bottom"/>
          </w:tcPr>
          <w:p w14:paraId="76941C60" w14:textId="0F21607B" w:rsidR="008602F2" w:rsidRPr="0036007C" w:rsidRDefault="008602F2" w:rsidP="00F76882">
            <w:pPr>
              <w:pStyle w:val="Tabletext"/>
            </w:pPr>
            <w:r w:rsidRPr="0036007C">
              <w:t>0</w:t>
            </w:r>
          </w:p>
        </w:tc>
      </w:tr>
      <w:tr w:rsidR="008602F2" w:rsidRPr="0036007C" w14:paraId="5BBF0DB5" w14:textId="77777777" w:rsidTr="008602F2">
        <w:trPr>
          <w:trHeight w:val="580"/>
        </w:trPr>
        <w:tc>
          <w:tcPr>
            <w:tcW w:w="1793" w:type="pct"/>
            <w:tcBorders>
              <w:top w:val="nil"/>
              <w:left w:val="single" w:sz="4" w:space="0" w:color="auto"/>
              <w:bottom w:val="single" w:sz="4" w:space="0" w:color="auto"/>
              <w:right w:val="single" w:sz="4" w:space="0" w:color="auto"/>
            </w:tcBorders>
            <w:vAlign w:val="bottom"/>
            <w:hideMark/>
          </w:tcPr>
          <w:p w14:paraId="5C939976" w14:textId="77777777" w:rsidR="008602F2" w:rsidRPr="0036007C" w:rsidRDefault="008602F2" w:rsidP="00F76882">
            <w:pPr>
              <w:pStyle w:val="Tabletextleft"/>
            </w:pPr>
            <w:r w:rsidRPr="0036007C">
              <w:t>Received 6-monthly treatment</w:t>
            </w:r>
          </w:p>
        </w:tc>
        <w:tc>
          <w:tcPr>
            <w:tcW w:w="802" w:type="pct"/>
            <w:tcBorders>
              <w:top w:val="nil"/>
              <w:left w:val="nil"/>
              <w:bottom w:val="single" w:sz="4" w:space="0" w:color="auto"/>
              <w:right w:val="single" w:sz="4" w:space="0" w:color="auto"/>
            </w:tcBorders>
            <w:noWrap/>
            <w:vAlign w:val="bottom"/>
          </w:tcPr>
          <w:p w14:paraId="257328B9" w14:textId="0E7F0FE0"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noWrap/>
            <w:vAlign w:val="bottom"/>
          </w:tcPr>
          <w:p w14:paraId="4DEE076A" w14:textId="3B90B8E6"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noWrap/>
            <w:vAlign w:val="bottom"/>
          </w:tcPr>
          <w:p w14:paraId="3F9F4EEA" w14:textId="3A12360F" w:rsidR="008602F2" w:rsidRPr="0036007C" w:rsidRDefault="008602F2" w:rsidP="00F76882">
            <w:pPr>
              <w:pStyle w:val="Tabletext"/>
            </w:pPr>
            <w:r w:rsidRPr="0036007C">
              <w:t>0</w:t>
            </w:r>
          </w:p>
        </w:tc>
        <w:tc>
          <w:tcPr>
            <w:tcW w:w="801" w:type="pct"/>
            <w:tcBorders>
              <w:top w:val="nil"/>
              <w:left w:val="nil"/>
              <w:bottom w:val="single" w:sz="4" w:space="0" w:color="auto"/>
              <w:right w:val="single" w:sz="4" w:space="0" w:color="auto"/>
            </w:tcBorders>
            <w:noWrap/>
            <w:vAlign w:val="bottom"/>
          </w:tcPr>
          <w:p w14:paraId="5DA345F1" w14:textId="67B0A381" w:rsidR="008602F2" w:rsidRPr="0036007C" w:rsidRDefault="008602F2" w:rsidP="00F76882">
            <w:pPr>
              <w:pStyle w:val="Tabletext"/>
            </w:pPr>
            <w:r w:rsidRPr="0036007C">
              <w:t>0</w:t>
            </w:r>
          </w:p>
        </w:tc>
      </w:tr>
      <w:tr w:rsidR="008602F2" w:rsidRPr="0036007C" w14:paraId="070164FB" w14:textId="77777777" w:rsidTr="008602F2">
        <w:trPr>
          <w:trHeight w:val="290"/>
        </w:trPr>
        <w:tc>
          <w:tcPr>
            <w:tcW w:w="1793" w:type="pct"/>
            <w:tcBorders>
              <w:top w:val="nil"/>
              <w:left w:val="single" w:sz="4" w:space="0" w:color="auto"/>
              <w:bottom w:val="single" w:sz="4" w:space="0" w:color="auto"/>
              <w:right w:val="single" w:sz="4" w:space="0" w:color="auto"/>
            </w:tcBorders>
            <w:shd w:val="clear" w:color="000000" w:fill="BFBFBF"/>
            <w:vAlign w:val="bottom"/>
            <w:hideMark/>
          </w:tcPr>
          <w:p w14:paraId="4B7DCCD1" w14:textId="77777777" w:rsidR="008602F2" w:rsidRPr="0036007C" w:rsidRDefault="008602F2" w:rsidP="00F76882">
            <w:pPr>
              <w:pStyle w:val="Tabletextleft"/>
            </w:pPr>
            <w:r w:rsidRPr="0036007C">
              <w:t>Did not require treatment</w:t>
            </w:r>
          </w:p>
        </w:tc>
        <w:tc>
          <w:tcPr>
            <w:tcW w:w="802" w:type="pct"/>
            <w:tcBorders>
              <w:top w:val="nil"/>
              <w:left w:val="nil"/>
              <w:bottom w:val="single" w:sz="4" w:space="0" w:color="auto"/>
              <w:right w:val="single" w:sz="4" w:space="0" w:color="auto"/>
            </w:tcBorders>
            <w:shd w:val="clear" w:color="000000" w:fill="BFBFBF"/>
            <w:noWrap/>
            <w:vAlign w:val="bottom"/>
          </w:tcPr>
          <w:p w14:paraId="342755A1" w14:textId="7E7D85B1" w:rsidR="008602F2" w:rsidRPr="0036007C" w:rsidRDefault="008602F2" w:rsidP="00F76882">
            <w:pPr>
              <w:pStyle w:val="Tabletext"/>
            </w:pPr>
            <w:r w:rsidRPr="0036007C">
              <w:t>9</w:t>
            </w:r>
          </w:p>
        </w:tc>
        <w:tc>
          <w:tcPr>
            <w:tcW w:w="802" w:type="pct"/>
            <w:tcBorders>
              <w:top w:val="nil"/>
              <w:left w:val="nil"/>
              <w:bottom w:val="single" w:sz="4" w:space="0" w:color="auto"/>
              <w:right w:val="single" w:sz="4" w:space="0" w:color="auto"/>
            </w:tcBorders>
            <w:shd w:val="clear" w:color="000000" w:fill="BFBFBF"/>
            <w:noWrap/>
            <w:vAlign w:val="bottom"/>
          </w:tcPr>
          <w:p w14:paraId="640CC3F3" w14:textId="307EE4D7" w:rsidR="008602F2" w:rsidRPr="0036007C" w:rsidRDefault="008602F2" w:rsidP="00F76882">
            <w:pPr>
              <w:pStyle w:val="Tabletext"/>
            </w:pPr>
            <w:r w:rsidRPr="0036007C">
              <w:t>3</w:t>
            </w:r>
          </w:p>
        </w:tc>
        <w:tc>
          <w:tcPr>
            <w:tcW w:w="802" w:type="pct"/>
            <w:tcBorders>
              <w:top w:val="nil"/>
              <w:left w:val="nil"/>
              <w:bottom w:val="single" w:sz="4" w:space="0" w:color="auto"/>
              <w:right w:val="single" w:sz="4" w:space="0" w:color="auto"/>
            </w:tcBorders>
            <w:shd w:val="clear" w:color="000000" w:fill="BFBFBF"/>
            <w:noWrap/>
            <w:vAlign w:val="bottom"/>
          </w:tcPr>
          <w:p w14:paraId="58C61F89" w14:textId="0F1DEA98" w:rsidR="008602F2" w:rsidRPr="0036007C" w:rsidRDefault="008602F2" w:rsidP="00F76882">
            <w:pPr>
              <w:pStyle w:val="Tabletext"/>
            </w:pPr>
            <w:r w:rsidRPr="0036007C">
              <w:t>3</w:t>
            </w:r>
          </w:p>
        </w:tc>
        <w:tc>
          <w:tcPr>
            <w:tcW w:w="801" w:type="pct"/>
            <w:tcBorders>
              <w:top w:val="nil"/>
              <w:left w:val="nil"/>
              <w:bottom w:val="single" w:sz="4" w:space="0" w:color="auto"/>
              <w:right w:val="single" w:sz="4" w:space="0" w:color="auto"/>
            </w:tcBorders>
            <w:shd w:val="clear" w:color="000000" w:fill="BFBFBF"/>
            <w:noWrap/>
            <w:vAlign w:val="bottom"/>
          </w:tcPr>
          <w:p w14:paraId="43B4B7F1" w14:textId="09BD7E92" w:rsidR="008602F2" w:rsidRPr="0036007C" w:rsidRDefault="008602F2" w:rsidP="00F76882">
            <w:pPr>
              <w:pStyle w:val="Tabletext"/>
            </w:pPr>
            <w:r w:rsidRPr="0036007C">
              <w:t>15</w:t>
            </w:r>
          </w:p>
        </w:tc>
      </w:tr>
      <w:tr w:rsidR="008602F2" w:rsidRPr="0036007C" w14:paraId="165A185E" w14:textId="77777777" w:rsidTr="008602F2">
        <w:trPr>
          <w:trHeight w:val="580"/>
        </w:trPr>
        <w:tc>
          <w:tcPr>
            <w:tcW w:w="1793" w:type="pct"/>
            <w:tcBorders>
              <w:top w:val="nil"/>
              <w:left w:val="single" w:sz="4" w:space="0" w:color="auto"/>
              <w:bottom w:val="single" w:sz="4" w:space="0" w:color="auto"/>
              <w:right w:val="single" w:sz="4" w:space="0" w:color="auto"/>
            </w:tcBorders>
            <w:vAlign w:val="bottom"/>
            <w:hideMark/>
          </w:tcPr>
          <w:p w14:paraId="5B8BAF26" w14:textId="3985E908" w:rsidR="008602F2" w:rsidRPr="0036007C" w:rsidRDefault="008602F2" w:rsidP="00F76882">
            <w:pPr>
              <w:pStyle w:val="Tabletextleft"/>
            </w:pPr>
            <w:r w:rsidRPr="0036007C">
              <w:t>Treated active trachoma and household</w:t>
            </w:r>
            <w:r w:rsidR="009174BE" w:rsidRPr="0036007C">
              <w:t xml:space="preserve"> contact</w:t>
            </w:r>
            <w:r w:rsidRPr="0036007C">
              <w:t>s</w:t>
            </w:r>
          </w:p>
        </w:tc>
        <w:tc>
          <w:tcPr>
            <w:tcW w:w="802" w:type="pct"/>
            <w:tcBorders>
              <w:top w:val="nil"/>
              <w:left w:val="nil"/>
              <w:bottom w:val="single" w:sz="4" w:space="0" w:color="auto"/>
              <w:right w:val="single" w:sz="4" w:space="0" w:color="auto"/>
            </w:tcBorders>
            <w:noWrap/>
            <w:vAlign w:val="bottom"/>
          </w:tcPr>
          <w:p w14:paraId="18CB26F7" w14:textId="45AD671A"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noWrap/>
            <w:vAlign w:val="bottom"/>
          </w:tcPr>
          <w:p w14:paraId="44A28342" w14:textId="285935E6"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noWrap/>
            <w:vAlign w:val="bottom"/>
          </w:tcPr>
          <w:p w14:paraId="2992574A" w14:textId="01759026" w:rsidR="008602F2" w:rsidRPr="0036007C" w:rsidRDefault="008602F2" w:rsidP="00F76882">
            <w:pPr>
              <w:pStyle w:val="Tabletext"/>
            </w:pPr>
            <w:r w:rsidRPr="0036007C">
              <w:t>0</w:t>
            </w:r>
          </w:p>
        </w:tc>
        <w:tc>
          <w:tcPr>
            <w:tcW w:w="801" w:type="pct"/>
            <w:tcBorders>
              <w:top w:val="nil"/>
              <w:left w:val="nil"/>
              <w:bottom w:val="single" w:sz="4" w:space="0" w:color="auto"/>
              <w:right w:val="single" w:sz="4" w:space="0" w:color="auto"/>
            </w:tcBorders>
            <w:noWrap/>
            <w:vAlign w:val="bottom"/>
          </w:tcPr>
          <w:p w14:paraId="6E2B8354" w14:textId="1627C23F" w:rsidR="008602F2" w:rsidRPr="0036007C" w:rsidRDefault="008602F2" w:rsidP="00F76882">
            <w:pPr>
              <w:pStyle w:val="Tabletext"/>
            </w:pPr>
            <w:r w:rsidRPr="0036007C">
              <w:t>0</w:t>
            </w:r>
          </w:p>
        </w:tc>
      </w:tr>
      <w:tr w:rsidR="008602F2" w:rsidRPr="0036007C" w14:paraId="0B119903" w14:textId="77777777" w:rsidTr="008602F2">
        <w:trPr>
          <w:trHeight w:val="290"/>
        </w:trPr>
        <w:tc>
          <w:tcPr>
            <w:tcW w:w="1793" w:type="pct"/>
            <w:tcBorders>
              <w:top w:val="nil"/>
              <w:left w:val="single" w:sz="4" w:space="0" w:color="auto"/>
              <w:bottom w:val="single" w:sz="4" w:space="0" w:color="auto"/>
              <w:right w:val="single" w:sz="4" w:space="0" w:color="auto"/>
            </w:tcBorders>
            <w:shd w:val="clear" w:color="000000" w:fill="BFBFBF"/>
            <w:vAlign w:val="bottom"/>
            <w:hideMark/>
          </w:tcPr>
          <w:p w14:paraId="19658287" w14:textId="6693C3E0" w:rsidR="008602F2" w:rsidRPr="0036007C" w:rsidRDefault="008602F2" w:rsidP="00F76882">
            <w:pPr>
              <w:pStyle w:val="Tabletextleft"/>
            </w:pPr>
            <w:r w:rsidRPr="0036007C">
              <w:t>Community-wide treatment</w:t>
            </w:r>
          </w:p>
        </w:tc>
        <w:tc>
          <w:tcPr>
            <w:tcW w:w="802" w:type="pct"/>
            <w:tcBorders>
              <w:top w:val="nil"/>
              <w:left w:val="nil"/>
              <w:bottom w:val="single" w:sz="4" w:space="0" w:color="auto"/>
              <w:right w:val="single" w:sz="4" w:space="0" w:color="auto"/>
            </w:tcBorders>
            <w:shd w:val="clear" w:color="000000" w:fill="BFBFBF"/>
            <w:noWrap/>
            <w:vAlign w:val="bottom"/>
          </w:tcPr>
          <w:p w14:paraId="664D273E" w14:textId="0E53A676"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shd w:val="clear" w:color="000000" w:fill="BFBFBF"/>
            <w:noWrap/>
            <w:vAlign w:val="bottom"/>
          </w:tcPr>
          <w:p w14:paraId="38E76A30" w14:textId="3A25A4FE"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shd w:val="clear" w:color="000000" w:fill="BFBFBF"/>
            <w:noWrap/>
            <w:vAlign w:val="bottom"/>
          </w:tcPr>
          <w:p w14:paraId="20E18629" w14:textId="5137753C" w:rsidR="008602F2" w:rsidRPr="0036007C" w:rsidRDefault="008602F2" w:rsidP="00F76882">
            <w:pPr>
              <w:pStyle w:val="Tabletext"/>
            </w:pPr>
            <w:r w:rsidRPr="0036007C">
              <w:t>0</w:t>
            </w:r>
          </w:p>
        </w:tc>
        <w:tc>
          <w:tcPr>
            <w:tcW w:w="801" w:type="pct"/>
            <w:tcBorders>
              <w:top w:val="nil"/>
              <w:left w:val="nil"/>
              <w:bottom w:val="single" w:sz="4" w:space="0" w:color="auto"/>
              <w:right w:val="single" w:sz="4" w:space="0" w:color="auto"/>
            </w:tcBorders>
            <w:shd w:val="clear" w:color="000000" w:fill="BFBFBF"/>
            <w:noWrap/>
            <w:vAlign w:val="bottom"/>
          </w:tcPr>
          <w:p w14:paraId="06E49AC1" w14:textId="57994F92" w:rsidR="008602F2" w:rsidRPr="0036007C" w:rsidRDefault="008602F2" w:rsidP="00F76882">
            <w:pPr>
              <w:pStyle w:val="Tabletext"/>
            </w:pPr>
            <w:r w:rsidRPr="0036007C">
              <w:t>0</w:t>
            </w:r>
          </w:p>
        </w:tc>
      </w:tr>
      <w:tr w:rsidR="008602F2" w:rsidRPr="0036007C" w14:paraId="174E3F5C" w14:textId="77777777" w:rsidTr="008602F2">
        <w:trPr>
          <w:trHeight w:val="580"/>
        </w:trPr>
        <w:tc>
          <w:tcPr>
            <w:tcW w:w="1793" w:type="pct"/>
            <w:tcBorders>
              <w:top w:val="nil"/>
              <w:left w:val="single" w:sz="4" w:space="0" w:color="auto"/>
              <w:bottom w:val="single" w:sz="4" w:space="0" w:color="auto"/>
              <w:right w:val="single" w:sz="4" w:space="0" w:color="auto"/>
            </w:tcBorders>
            <w:vAlign w:val="bottom"/>
            <w:hideMark/>
          </w:tcPr>
          <w:p w14:paraId="3D27B2B9" w14:textId="77777777" w:rsidR="008602F2" w:rsidRPr="0036007C" w:rsidRDefault="008602F2" w:rsidP="00F76882">
            <w:pPr>
              <w:pStyle w:val="Tabletextleft"/>
            </w:pPr>
            <w:r w:rsidRPr="0036007C">
              <w:t>Not treated according to CDNA Guidelines</w:t>
            </w:r>
          </w:p>
        </w:tc>
        <w:tc>
          <w:tcPr>
            <w:tcW w:w="802" w:type="pct"/>
            <w:tcBorders>
              <w:top w:val="nil"/>
              <w:left w:val="nil"/>
              <w:bottom w:val="single" w:sz="4" w:space="0" w:color="auto"/>
              <w:right w:val="single" w:sz="4" w:space="0" w:color="auto"/>
            </w:tcBorders>
            <w:noWrap/>
            <w:vAlign w:val="bottom"/>
          </w:tcPr>
          <w:p w14:paraId="37004A9C" w14:textId="2F8E6689"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noWrap/>
            <w:vAlign w:val="bottom"/>
          </w:tcPr>
          <w:p w14:paraId="213B0FA0" w14:textId="05006F17" w:rsidR="008602F2" w:rsidRPr="0036007C" w:rsidRDefault="008602F2" w:rsidP="00F76882">
            <w:pPr>
              <w:pStyle w:val="Tabletext"/>
            </w:pPr>
            <w:r w:rsidRPr="0036007C">
              <w:t>0</w:t>
            </w:r>
          </w:p>
        </w:tc>
        <w:tc>
          <w:tcPr>
            <w:tcW w:w="802" w:type="pct"/>
            <w:tcBorders>
              <w:top w:val="nil"/>
              <w:left w:val="nil"/>
              <w:bottom w:val="single" w:sz="4" w:space="0" w:color="auto"/>
              <w:right w:val="single" w:sz="4" w:space="0" w:color="auto"/>
            </w:tcBorders>
            <w:noWrap/>
            <w:vAlign w:val="bottom"/>
          </w:tcPr>
          <w:p w14:paraId="71D33581" w14:textId="7CB2663F" w:rsidR="008602F2" w:rsidRPr="0036007C" w:rsidRDefault="008602F2" w:rsidP="00F76882">
            <w:pPr>
              <w:pStyle w:val="Tabletext"/>
            </w:pPr>
            <w:r w:rsidRPr="0036007C">
              <w:t>0</w:t>
            </w:r>
          </w:p>
        </w:tc>
        <w:tc>
          <w:tcPr>
            <w:tcW w:w="801" w:type="pct"/>
            <w:tcBorders>
              <w:top w:val="nil"/>
              <w:left w:val="nil"/>
              <w:bottom w:val="single" w:sz="4" w:space="0" w:color="auto"/>
              <w:right w:val="single" w:sz="4" w:space="0" w:color="auto"/>
            </w:tcBorders>
            <w:noWrap/>
            <w:vAlign w:val="bottom"/>
          </w:tcPr>
          <w:p w14:paraId="4EB88189" w14:textId="6309751F" w:rsidR="008602F2" w:rsidRPr="0036007C" w:rsidRDefault="008602F2" w:rsidP="00F76882">
            <w:pPr>
              <w:pStyle w:val="Tabletext"/>
            </w:pPr>
            <w:r w:rsidRPr="0036007C">
              <w:t>0</w:t>
            </w:r>
          </w:p>
        </w:tc>
      </w:tr>
    </w:tbl>
    <w:p w14:paraId="15978DF3" w14:textId="6C0C60BC" w:rsidR="00C574D9" w:rsidRPr="00F76882" w:rsidRDefault="00C574D9" w:rsidP="00F76882"/>
    <w:p w14:paraId="348ACF88" w14:textId="77777777" w:rsidR="00C574D9" w:rsidRPr="00F76882" w:rsidRDefault="00C574D9" w:rsidP="00F76882">
      <w:pPr>
        <w:sectPr w:rsidR="00C574D9" w:rsidRPr="00F76882" w:rsidSect="00C04CBB">
          <w:pgSz w:w="11906" w:h="16838"/>
          <w:pgMar w:top="720" w:right="720" w:bottom="720" w:left="720" w:header="709" w:footer="709" w:gutter="0"/>
          <w:cols w:space="708"/>
          <w:docGrid w:linePitch="360"/>
        </w:sectPr>
      </w:pPr>
      <w:bookmarkStart w:id="337" w:name="_Table_3.5_Trachoma"/>
      <w:bookmarkStart w:id="338" w:name="Table36"/>
      <w:bookmarkStart w:id="339" w:name="_Toc392153919"/>
      <w:bookmarkEnd w:id="337"/>
    </w:p>
    <w:p w14:paraId="4C4873F0" w14:textId="5F8E8816" w:rsidR="00C574D9" w:rsidRPr="0036007C" w:rsidRDefault="00C574D9" w:rsidP="00F76882">
      <w:pPr>
        <w:pStyle w:val="Tableheadings"/>
      </w:pPr>
      <w:bookmarkStart w:id="340" w:name="_Ref58336685"/>
      <w:bookmarkStart w:id="341" w:name="_Toc215224714"/>
      <w:bookmarkEnd w:id="338"/>
      <w:bookmarkEnd w:id="339"/>
      <w:r w:rsidRPr="0036007C">
        <w:t xml:space="preserve">Table </w:t>
      </w:r>
      <w:r w:rsidR="00942F34" w:rsidRPr="0036007C">
        <w:t>4</w:t>
      </w:r>
      <w:r w:rsidRPr="0036007C">
        <w:t>.</w:t>
      </w:r>
      <w:bookmarkEnd w:id="340"/>
      <w:r w:rsidR="0036232A" w:rsidRPr="0036007C">
        <w:t>5</w:t>
      </w:r>
      <w:r w:rsidRPr="0036007C">
        <w:tab/>
      </w:r>
      <w:r w:rsidR="00EE4A30" w:rsidRPr="0036007C">
        <w:t xml:space="preserve">Trachomatous </w:t>
      </w:r>
      <w:r w:rsidR="000A3F46" w:rsidRPr="0036007C">
        <w:t>trichiasis</w:t>
      </w:r>
      <w:r w:rsidR="009665DD" w:rsidRPr="0036007C">
        <w:t xml:space="preserve"> (TT)</w:t>
      </w:r>
      <w:r w:rsidR="000A3F46" w:rsidRPr="0036007C">
        <w:t xml:space="preserve"> screening coverage, </w:t>
      </w:r>
      <w:r w:rsidR="00703A0F" w:rsidRPr="0036007C">
        <w:t>TT screened proportion</w:t>
      </w:r>
      <w:r w:rsidR="009174BE" w:rsidRPr="0036007C">
        <w:t xml:space="preserve">, and </w:t>
      </w:r>
      <w:r w:rsidR="00860B6A" w:rsidRPr="0036007C">
        <w:t>surgery</w:t>
      </w:r>
      <w:r w:rsidR="000A3F46" w:rsidRPr="0036007C">
        <w:t xml:space="preserve"> among Indigenous </w:t>
      </w:r>
      <w:r w:rsidR="00AA1627" w:rsidRPr="0036007C">
        <w:t>persons</w:t>
      </w:r>
      <w:r w:rsidR="000A3F46" w:rsidRPr="0036007C">
        <w:t xml:space="preserve"> by </w:t>
      </w:r>
      <w:r w:rsidRPr="0036007C">
        <w:t>region, South Australia</w:t>
      </w:r>
      <w:r w:rsidR="00732509" w:rsidRPr="0036007C">
        <w:t>,</w:t>
      </w:r>
      <w:r w:rsidRPr="0036007C">
        <w:t xml:space="preserve"> </w:t>
      </w:r>
      <w:r w:rsidR="00E76BB4" w:rsidRPr="0036007C">
        <w:t>202</w:t>
      </w:r>
      <w:r w:rsidR="004449F6" w:rsidRPr="0036007C">
        <w:t>4</w:t>
      </w:r>
      <w:bookmarkEnd w:id="341"/>
    </w:p>
    <w:tbl>
      <w:tblPr>
        <w:tblW w:w="4527" w:type="pct"/>
        <w:tblLook w:val="04A0" w:firstRow="1" w:lastRow="0" w:firstColumn="1" w:lastColumn="0" w:noHBand="0" w:noVBand="1"/>
        <w:tblCaption w:val="Trachomatous trichiasis (TT) screening coverage, TT screened proportion, and surgery among Indigenous persons by region, South Australia, 2024"/>
        <w:tblDescription w:val="Table 4.5 compares the numbers and proportions of persons aged 15-39 and 40+ years who were screened, confirmed as a new TT case, and received surgery. Data is presented for the APY Lands, Eyre and Western, Far North, and the cumulative total.&#10;"/>
      </w:tblPr>
      <w:tblGrid>
        <w:gridCol w:w="3692"/>
        <w:gridCol w:w="1137"/>
        <w:gridCol w:w="1156"/>
        <w:gridCol w:w="1137"/>
        <w:gridCol w:w="1140"/>
        <w:gridCol w:w="1137"/>
        <w:gridCol w:w="1134"/>
        <w:gridCol w:w="1134"/>
        <w:gridCol w:w="1134"/>
        <w:gridCol w:w="1131"/>
      </w:tblGrid>
      <w:tr w:rsidR="009D0C36" w:rsidRPr="0036007C" w14:paraId="66B2086A" w14:textId="77777777" w:rsidTr="00F57624">
        <w:trPr>
          <w:trHeight w:val="290"/>
          <w:tblHeader/>
        </w:trPr>
        <w:tc>
          <w:tcPr>
            <w:tcW w:w="1325" w:type="pct"/>
            <w:tcBorders>
              <w:top w:val="single" w:sz="4" w:space="0" w:color="auto"/>
              <w:left w:val="single" w:sz="4" w:space="0" w:color="auto"/>
              <w:bottom w:val="single" w:sz="4" w:space="0" w:color="auto"/>
              <w:right w:val="single" w:sz="4" w:space="0" w:color="auto"/>
            </w:tcBorders>
            <w:shd w:val="clear" w:color="000000" w:fill="BFBFBF"/>
            <w:noWrap/>
            <w:hideMark/>
          </w:tcPr>
          <w:p w14:paraId="4393CF91" w14:textId="77777777" w:rsidR="00046C9F" w:rsidRPr="0036007C" w:rsidRDefault="00046C9F" w:rsidP="00F76882">
            <w:pPr>
              <w:pStyle w:val="Tableheading"/>
              <w:rPr>
                <w:lang w:eastAsia="en-AU"/>
              </w:rPr>
            </w:pPr>
            <w:r w:rsidRPr="0036007C">
              <w:t> </w:t>
            </w:r>
          </w:p>
        </w:tc>
        <w:tc>
          <w:tcPr>
            <w:tcW w:w="823" w:type="pct"/>
            <w:gridSpan w:val="2"/>
            <w:tcBorders>
              <w:top w:val="single" w:sz="4" w:space="0" w:color="auto"/>
              <w:left w:val="nil"/>
              <w:bottom w:val="single" w:sz="4" w:space="0" w:color="auto"/>
              <w:right w:val="single" w:sz="4" w:space="0" w:color="auto"/>
            </w:tcBorders>
            <w:shd w:val="clear" w:color="000000" w:fill="BFBFBF"/>
            <w:noWrap/>
            <w:hideMark/>
          </w:tcPr>
          <w:p w14:paraId="188EC81E" w14:textId="77777777" w:rsidR="00046C9F" w:rsidRPr="0036007C" w:rsidRDefault="00046C9F" w:rsidP="00F76882">
            <w:pPr>
              <w:pStyle w:val="Tableheading"/>
            </w:pPr>
            <w:r w:rsidRPr="0036007C">
              <w:t>APY Lands</w:t>
            </w:r>
          </w:p>
        </w:tc>
        <w:tc>
          <w:tcPr>
            <w:tcW w:w="817" w:type="pct"/>
            <w:gridSpan w:val="2"/>
            <w:tcBorders>
              <w:top w:val="single" w:sz="4" w:space="0" w:color="auto"/>
              <w:left w:val="nil"/>
              <w:bottom w:val="single" w:sz="4" w:space="0" w:color="auto"/>
              <w:right w:val="single" w:sz="4" w:space="0" w:color="auto"/>
            </w:tcBorders>
            <w:shd w:val="clear" w:color="000000" w:fill="BFBFBF"/>
            <w:noWrap/>
            <w:hideMark/>
          </w:tcPr>
          <w:p w14:paraId="389FE397" w14:textId="77777777" w:rsidR="00046C9F" w:rsidRPr="0036007C" w:rsidRDefault="00046C9F" w:rsidP="00F76882">
            <w:pPr>
              <w:pStyle w:val="Tableheading"/>
            </w:pPr>
            <w:r w:rsidRPr="0036007C">
              <w:t>Eyre and Western</w:t>
            </w:r>
          </w:p>
        </w:tc>
        <w:tc>
          <w:tcPr>
            <w:tcW w:w="815" w:type="pct"/>
            <w:gridSpan w:val="2"/>
            <w:tcBorders>
              <w:top w:val="single" w:sz="4" w:space="0" w:color="auto"/>
              <w:left w:val="nil"/>
              <w:bottom w:val="single" w:sz="4" w:space="0" w:color="auto"/>
              <w:right w:val="single" w:sz="4" w:space="0" w:color="auto"/>
            </w:tcBorders>
            <w:shd w:val="clear" w:color="000000" w:fill="BFBFBF"/>
            <w:noWrap/>
            <w:hideMark/>
          </w:tcPr>
          <w:p w14:paraId="68EAF6A3" w14:textId="77777777" w:rsidR="00046C9F" w:rsidRPr="0036007C" w:rsidRDefault="00046C9F" w:rsidP="00F76882">
            <w:pPr>
              <w:pStyle w:val="Tableheading"/>
            </w:pPr>
            <w:r w:rsidRPr="0036007C">
              <w:t>Far North</w:t>
            </w:r>
          </w:p>
        </w:tc>
        <w:tc>
          <w:tcPr>
            <w:tcW w:w="1220" w:type="pct"/>
            <w:gridSpan w:val="3"/>
            <w:tcBorders>
              <w:top w:val="single" w:sz="4" w:space="0" w:color="auto"/>
              <w:left w:val="nil"/>
              <w:bottom w:val="single" w:sz="4" w:space="0" w:color="auto"/>
              <w:right w:val="single" w:sz="4" w:space="0" w:color="auto"/>
            </w:tcBorders>
            <w:shd w:val="clear" w:color="000000" w:fill="BFBFBF"/>
            <w:noWrap/>
            <w:hideMark/>
          </w:tcPr>
          <w:p w14:paraId="1904C2CE" w14:textId="77777777" w:rsidR="00046C9F" w:rsidRPr="0036007C" w:rsidRDefault="00046C9F" w:rsidP="00F76882">
            <w:pPr>
              <w:pStyle w:val="Tableheading"/>
            </w:pPr>
            <w:r w:rsidRPr="0036007C">
              <w:t>Total</w:t>
            </w:r>
          </w:p>
        </w:tc>
      </w:tr>
      <w:tr w:rsidR="009D0C36" w:rsidRPr="0036007C" w14:paraId="0290342E" w14:textId="77777777" w:rsidTr="003950A4">
        <w:trPr>
          <w:trHeight w:val="580"/>
        </w:trPr>
        <w:tc>
          <w:tcPr>
            <w:tcW w:w="1325" w:type="pct"/>
            <w:tcBorders>
              <w:top w:val="nil"/>
              <w:left w:val="single" w:sz="4" w:space="0" w:color="auto"/>
              <w:bottom w:val="single" w:sz="4" w:space="0" w:color="auto"/>
              <w:right w:val="single" w:sz="4" w:space="0" w:color="auto"/>
            </w:tcBorders>
            <w:hideMark/>
          </w:tcPr>
          <w:p w14:paraId="56F9B175" w14:textId="3F7A45B5" w:rsidR="00574755" w:rsidRPr="0036007C" w:rsidRDefault="00574755" w:rsidP="00F76882">
            <w:pPr>
              <w:pStyle w:val="Tabletextleft"/>
            </w:pPr>
            <w:r w:rsidRPr="0036007C">
              <w:t xml:space="preserve">Number of communities screened for </w:t>
            </w:r>
            <w:r w:rsidR="009665DD" w:rsidRPr="0036007C">
              <w:t>TT</w:t>
            </w:r>
          </w:p>
        </w:tc>
        <w:tc>
          <w:tcPr>
            <w:tcW w:w="823" w:type="pct"/>
            <w:gridSpan w:val="2"/>
            <w:tcBorders>
              <w:top w:val="single" w:sz="4" w:space="0" w:color="auto"/>
              <w:left w:val="nil"/>
              <w:bottom w:val="single" w:sz="4" w:space="0" w:color="auto"/>
              <w:right w:val="single" w:sz="4" w:space="0" w:color="auto"/>
            </w:tcBorders>
            <w:noWrap/>
          </w:tcPr>
          <w:p w14:paraId="4419C55F" w14:textId="7C3397B3" w:rsidR="00574755" w:rsidRPr="0036007C" w:rsidRDefault="00574755" w:rsidP="00F76882">
            <w:pPr>
              <w:pStyle w:val="Tabletext"/>
            </w:pPr>
            <w:r w:rsidRPr="0036007C">
              <w:t>9</w:t>
            </w:r>
          </w:p>
        </w:tc>
        <w:tc>
          <w:tcPr>
            <w:tcW w:w="817" w:type="pct"/>
            <w:gridSpan w:val="2"/>
            <w:tcBorders>
              <w:top w:val="single" w:sz="4" w:space="0" w:color="auto"/>
              <w:left w:val="nil"/>
              <w:bottom w:val="single" w:sz="4" w:space="0" w:color="auto"/>
              <w:right w:val="single" w:sz="4" w:space="0" w:color="auto"/>
            </w:tcBorders>
            <w:noWrap/>
          </w:tcPr>
          <w:p w14:paraId="2BB5AE9F" w14:textId="624FA71C" w:rsidR="00574755" w:rsidRPr="0036007C" w:rsidRDefault="00574755" w:rsidP="00F76882">
            <w:pPr>
              <w:pStyle w:val="Tabletext"/>
            </w:pPr>
            <w:r w:rsidRPr="0036007C">
              <w:t>2</w:t>
            </w:r>
          </w:p>
        </w:tc>
        <w:tc>
          <w:tcPr>
            <w:tcW w:w="815" w:type="pct"/>
            <w:gridSpan w:val="2"/>
            <w:tcBorders>
              <w:top w:val="single" w:sz="4" w:space="0" w:color="auto"/>
              <w:left w:val="nil"/>
              <w:bottom w:val="single" w:sz="4" w:space="0" w:color="auto"/>
              <w:right w:val="single" w:sz="4" w:space="0" w:color="auto"/>
            </w:tcBorders>
            <w:noWrap/>
          </w:tcPr>
          <w:p w14:paraId="73F8CCD2" w14:textId="24CACB65" w:rsidR="00574755" w:rsidRPr="0036007C" w:rsidRDefault="00574755" w:rsidP="00F76882">
            <w:pPr>
              <w:pStyle w:val="Tabletext"/>
            </w:pPr>
            <w:r w:rsidRPr="0036007C">
              <w:t>2</w:t>
            </w:r>
          </w:p>
        </w:tc>
        <w:tc>
          <w:tcPr>
            <w:tcW w:w="1220" w:type="pct"/>
            <w:gridSpan w:val="3"/>
            <w:tcBorders>
              <w:top w:val="single" w:sz="4" w:space="0" w:color="auto"/>
              <w:left w:val="nil"/>
              <w:bottom w:val="single" w:sz="4" w:space="0" w:color="auto"/>
              <w:right w:val="single" w:sz="4" w:space="0" w:color="auto"/>
            </w:tcBorders>
            <w:noWrap/>
          </w:tcPr>
          <w:p w14:paraId="2AD683EF" w14:textId="12E99C97" w:rsidR="00574755" w:rsidRPr="0036007C" w:rsidRDefault="00574755" w:rsidP="00F76882">
            <w:pPr>
              <w:pStyle w:val="Tabletext"/>
            </w:pPr>
            <w:r w:rsidRPr="0036007C">
              <w:t>13</w:t>
            </w:r>
          </w:p>
        </w:tc>
      </w:tr>
      <w:tr w:rsidR="009D0C36" w:rsidRPr="0036007C" w14:paraId="5EEAB5BF" w14:textId="77777777" w:rsidTr="003950A4">
        <w:trPr>
          <w:trHeight w:val="290"/>
        </w:trPr>
        <w:tc>
          <w:tcPr>
            <w:tcW w:w="1325" w:type="pct"/>
            <w:tcBorders>
              <w:top w:val="nil"/>
              <w:left w:val="single" w:sz="4" w:space="0" w:color="auto"/>
              <w:bottom w:val="single" w:sz="4" w:space="0" w:color="auto"/>
              <w:right w:val="single" w:sz="4" w:space="0" w:color="auto"/>
            </w:tcBorders>
            <w:shd w:val="clear" w:color="000000" w:fill="BFBFBF"/>
            <w:hideMark/>
          </w:tcPr>
          <w:p w14:paraId="712E7FB5" w14:textId="77777777" w:rsidR="00046C9F" w:rsidRPr="0036007C" w:rsidRDefault="00046C9F" w:rsidP="00F76882">
            <w:pPr>
              <w:pStyle w:val="Tabletextleft"/>
            </w:pPr>
            <w:r w:rsidRPr="0036007C">
              <w:t>Age group (years)</w:t>
            </w:r>
          </w:p>
        </w:tc>
        <w:tc>
          <w:tcPr>
            <w:tcW w:w="408" w:type="pct"/>
            <w:tcBorders>
              <w:top w:val="nil"/>
              <w:left w:val="nil"/>
              <w:bottom w:val="single" w:sz="4" w:space="0" w:color="auto"/>
              <w:right w:val="single" w:sz="4" w:space="0" w:color="auto"/>
            </w:tcBorders>
            <w:shd w:val="clear" w:color="000000" w:fill="BFBFBF"/>
            <w:noWrap/>
            <w:hideMark/>
          </w:tcPr>
          <w:p w14:paraId="1FE62909" w14:textId="33B65A17" w:rsidR="00046C9F" w:rsidRPr="0036007C" w:rsidRDefault="00046C9F" w:rsidP="00F76882">
            <w:pPr>
              <w:pStyle w:val="Tabletext"/>
            </w:pPr>
            <w:r w:rsidRPr="0036007C">
              <w:t>15</w:t>
            </w:r>
            <w:r w:rsidR="003D00CE" w:rsidRPr="0036007C">
              <w:t>–</w:t>
            </w:r>
            <w:r w:rsidRPr="0036007C">
              <w:t>39</w:t>
            </w:r>
          </w:p>
        </w:tc>
        <w:tc>
          <w:tcPr>
            <w:tcW w:w="415" w:type="pct"/>
            <w:tcBorders>
              <w:top w:val="nil"/>
              <w:left w:val="nil"/>
              <w:bottom w:val="single" w:sz="4" w:space="0" w:color="auto"/>
              <w:right w:val="single" w:sz="4" w:space="0" w:color="auto"/>
            </w:tcBorders>
            <w:shd w:val="clear" w:color="000000" w:fill="BFBFBF"/>
            <w:noWrap/>
            <w:hideMark/>
          </w:tcPr>
          <w:p w14:paraId="5BC1066D" w14:textId="77777777" w:rsidR="00046C9F" w:rsidRPr="0036007C" w:rsidRDefault="00046C9F" w:rsidP="00F76882">
            <w:pPr>
              <w:pStyle w:val="Tabletext"/>
            </w:pPr>
            <w:r w:rsidRPr="0036007C">
              <w:t>40+</w:t>
            </w:r>
          </w:p>
        </w:tc>
        <w:tc>
          <w:tcPr>
            <w:tcW w:w="408" w:type="pct"/>
            <w:tcBorders>
              <w:top w:val="nil"/>
              <w:left w:val="nil"/>
              <w:bottom w:val="single" w:sz="4" w:space="0" w:color="auto"/>
              <w:right w:val="single" w:sz="4" w:space="0" w:color="auto"/>
            </w:tcBorders>
            <w:shd w:val="clear" w:color="000000" w:fill="BFBFBF"/>
            <w:noWrap/>
            <w:hideMark/>
          </w:tcPr>
          <w:p w14:paraId="17205A5E" w14:textId="377A08CB" w:rsidR="00046C9F" w:rsidRPr="0036007C" w:rsidRDefault="00046C9F" w:rsidP="00F76882">
            <w:pPr>
              <w:pStyle w:val="Tabletext"/>
            </w:pPr>
            <w:r w:rsidRPr="0036007C">
              <w:t>15</w:t>
            </w:r>
            <w:r w:rsidR="003D00CE" w:rsidRPr="0036007C">
              <w:t>–</w:t>
            </w:r>
            <w:r w:rsidRPr="0036007C">
              <w:t>39</w:t>
            </w:r>
          </w:p>
        </w:tc>
        <w:tc>
          <w:tcPr>
            <w:tcW w:w="409" w:type="pct"/>
            <w:tcBorders>
              <w:top w:val="nil"/>
              <w:left w:val="nil"/>
              <w:bottom w:val="single" w:sz="4" w:space="0" w:color="auto"/>
              <w:right w:val="single" w:sz="4" w:space="0" w:color="auto"/>
            </w:tcBorders>
            <w:shd w:val="clear" w:color="000000" w:fill="BFBFBF"/>
            <w:noWrap/>
            <w:hideMark/>
          </w:tcPr>
          <w:p w14:paraId="4F3788A9" w14:textId="77777777" w:rsidR="00046C9F" w:rsidRPr="0036007C" w:rsidRDefault="00046C9F" w:rsidP="00F76882">
            <w:pPr>
              <w:pStyle w:val="Tabletext"/>
            </w:pPr>
            <w:r w:rsidRPr="0036007C">
              <w:t>40+</w:t>
            </w:r>
          </w:p>
        </w:tc>
        <w:tc>
          <w:tcPr>
            <w:tcW w:w="408" w:type="pct"/>
            <w:tcBorders>
              <w:top w:val="nil"/>
              <w:left w:val="nil"/>
              <w:bottom w:val="single" w:sz="4" w:space="0" w:color="auto"/>
              <w:right w:val="single" w:sz="4" w:space="0" w:color="auto"/>
            </w:tcBorders>
            <w:shd w:val="clear" w:color="000000" w:fill="BFBFBF"/>
            <w:noWrap/>
            <w:hideMark/>
          </w:tcPr>
          <w:p w14:paraId="2082A44C" w14:textId="00DDD2B1" w:rsidR="00046C9F" w:rsidRPr="0036007C" w:rsidRDefault="00046C9F" w:rsidP="00F76882">
            <w:pPr>
              <w:pStyle w:val="Tabletext"/>
            </w:pPr>
            <w:r w:rsidRPr="0036007C">
              <w:t>15</w:t>
            </w:r>
            <w:r w:rsidR="003D00CE" w:rsidRPr="0036007C">
              <w:t>–</w:t>
            </w:r>
            <w:r w:rsidRPr="0036007C">
              <w:t>39</w:t>
            </w:r>
          </w:p>
        </w:tc>
        <w:tc>
          <w:tcPr>
            <w:tcW w:w="407" w:type="pct"/>
            <w:tcBorders>
              <w:top w:val="nil"/>
              <w:left w:val="nil"/>
              <w:bottom w:val="single" w:sz="4" w:space="0" w:color="auto"/>
              <w:right w:val="single" w:sz="4" w:space="0" w:color="auto"/>
            </w:tcBorders>
            <w:shd w:val="clear" w:color="000000" w:fill="BFBFBF"/>
            <w:noWrap/>
            <w:hideMark/>
          </w:tcPr>
          <w:p w14:paraId="4EE5B679" w14:textId="77777777" w:rsidR="00046C9F" w:rsidRPr="0036007C" w:rsidRDefault="00046C9F" w:rsidP="00F76882">
            <w:pPr>
              <w:pStyle w:val="Tabletext"/>
            </w:pPr>
            <w:r w:rsidRPr="0036007C">
              <w:t>40+</w:t>
            </w:r>
          </w:p>
        </w:tc>
        <w:tc>
          <w:tcPr>
            <w:tcW w:w="407" w:type="pct"/>
            <w:tcBorders>
              <w:top w:val="nil"/>
              <w:left w:val="nil"/>
              <w:bottom w:val="single" w:sz="4" w:space="0" w:color="auto"/>
              <w:right w:val="single" w:sz="4" w:space="0" w:color="auto"/>
            </w:tcBorders>
            <w:shd w:val="clear" w:color="000000" w:fill="BFBFBF"/>
            <w:noWrap/>
            <w:hideMark/>
          </w:tcPr>
          <w:p w14:paraId="5D962901" w14:textId="69EF0828" w:rsidR="00046C9F" w:rsidRPr="0036007C" w:rsidRDefault="00046C9F" w:rsidP="00F76882">
            <w:pPr>
              <w:pStyle w:val="Tabletext"/>
            </w:pPr>
            <w:r w:rsidRPr="0036007C">
              <w:t>15</w:t>
            </w:r>
            <w:r w:rsidR="003D00CE" w:rsidRPr="0036007C">
              <w:t>–</w:t>
            </w:r>
            <w:r w:rsidRPr="0036007C">
              <w:t>39</w:t>
            </w:r>
          </w:p>
        </w:tc>
        <w:tc>
          <w:tcPr>
            <w:tcW w:w="407" w:type="pct"/>
            <w:tcBorders>
              <w:top w:val="nil"/>
              <w:left w:val="nil"/>
              <w:bottom w:val="single" w:sz="4" w:space="0" w:color="auto"/>
              <w:right w:val="single" w:sz="4" w:space="0" w:color="auto"/>
            </w:tcBorders>
            <w:shd w:val="clear" w:color="000000" w:fill="BFBFBF"/>
            <w:noWrap/>
            <w:hideMark/>
          </w:tcPr>
          <w:p w14:paraId="64AFFE87" w14:textId="77777777" w:rsidR="00046C9F" w:rsidRPr="0036007C" w:rsidRDefault="00046C9F" w:rsidP="00F76882">
            <w:pPr>
              <w:pStyle w:val="Tabletext"/>
            </w:pPr>
            <w:r w:rsidRPr="0036007C">
              <w:t>40+</w:t>
            </w:r>
          </w:p>
        </w:tc>
        <w:tc>
          <w:tcPr>
            <w:tcW w:w="406" w:type="pct"/>
            <w:tcBorders>
              <w:top w:val="nil"/>
              <w:left w:val="nil"/>
              <w:bottom w:val="single" w:sz="4" w:space="0" w:color="auto"/>
              <w:right w:val="single" w:sz="4" w:space="0" w:color="auto"/>
            </w:tcBorders>
            <w:shd w:val="clear" w:color="000000" w:fill="BFBFBF"/>
            <w:noWrap/>
            <w:hideMark/>
          </w:tcPr>
          <w:p w14:paraId="4EC461DA" w14:textId="77777777" w:rsidR="00046C9F" w:rsidRPr="0036007C" w:rsidRDefault="00046C9F" w:rsidP="00F76882">
            <w:pPr>
              <w:pStyle w:val="Tabletext"/>
            </w:pPr>
            <w:r w:rsidRPr="0036007C">
              <w:t>15+</w:t>
            </w:r>
          </w:p>
        </w:tc>
      </w:tr>
      <w:tr w:rsidR="009D0C36" w:rsidRPr="0036007C" w14:paraId="4BB5BE1A" w14:textId="77777777" w:rsidTr="003950A4">
        <w:trPr>
          <w:trHeight w:val="290"/>
        </w:trPr>
        <w:tc>
          <w:tcPr>
            <w:tcW w:w="1325" w:type="pct"/>
            <w:tcBorders>
              <w:top w:val="nil"/>
              <w:left w:val="single" w:sz="4" w:space="0" w:color="auto"/>
              <w:bottom w:val="single" w:sz="4" w:space="0" w:color="auto"/>
              <w:right w:val="single" w:sz="4" w:space="0" w:color="auto"/>
            </w:tcBorders>
            <w:hideMark/>
          </w:tcPr>
          <w:p w14:paraId="6D4B3A26" w14:textId="77777777" w:rsidR="00574755" w:rsidRPr="0036007C" w:rsidRDefault="00574755" w:rsidP="00F76882">
            <w:pPr>
              <w:pStyle w:val="Tabletextleft"/>
            </w:pPr>
            <w:r w:rsidRPr="00F57624">
              <w:t>Adults examined</w:t>
            </w:r>
            <w:r w:rsidRPr="007C3001">
              <w:t>*</w:t>
            </w:r>
          </w:p>
        </w:tc>
        <w:tc>
          <w:tcPr>
            <w:tcW w:w="408" w:type="pct"/>
            <w:tcBorders>
              <w:top w:val="nil"/>
              <w:left w:val="nil"/>
              <w:bottom w:val="single" w:sz="4" w:space="0" w:color="auto"/>
              <w:right w:val="single" w:sz="4" w:space="0" w:color="auto"/>
            </w:tcBorders>
            <w:noWrap/>
          </w:tcPr>
          <w:p w14:paraId="7A02B4DE" w14:textId="47340FEF" w:rsidR="00574755" w:rsidRPr="0036007C" w:rsidRDefault="00574755" w:rsidP="00F76882">
            <w:pPr>
              <w:pStyle w:val="Tabletext"/>
            </w:pPr>
            <w:r w:rsidRPr="0036007C">
              <w:t>413</w:t>
            </w:r>
          </w:p>
        </w:tc>
        <w:tc>
          <w:tcPr>
            <w:tcW w:w="415" w:type="pct"/>
            <w:tcBorders>
              <w:top w:val="nil"/>
              <w:left w:val="nil"/>
              <w:bottom w:val="single" w:sz="4" w:space="0" w:color="auto"/>
              <w:right w:val="single" w:sz="4" w:space="0" w:color="auto"/>
            </w:tcBorders>
            <w:noWrap/>
          </w:tcPr>
          <w:p w14:paraId="54E1AC99" w14:textId="3354113A" w:rsidR="00574755" w:rsidRPr="0036007C" w:rsidRDefault="00574755" w:rsidP="00F76882">
            <w:pPr>
              <w:pStyle w:val="Tabletext"/>
            </w:pPr>
            <w:r w:rsidRPr="0036007C">
              <w:t>406</w:t>
            </w:r>
          </w:p>
        </w:tc>
        <w:tc>
          <w:tcPr>
            <w:tcW w:w="408" w:type="pct"/>
            <w:tcBorders>
              <w:top w:val="nil"/>
              <w:left w:val="nil"/>
              <w:bottom w:val="single" w:sz="4" w:space="0" w:color="auto"/>
              <w:right w:val="single" w:sz="4" w:space="0" w:color="auto"/>
            </w:tcBorders>
            <w:noWrap/>
          </w:tcPr>
          <w:p w14:paraId="70A73E79" w14:textId="3B25A9E6" w:rsidR="00574755" w:rsidRPr="0036007C" w:rsidRDefault="00574755" w:rsidP="00F76882">
            <w:pPr>
              <w:pStyle w:val="Tabletext"/>
            </w:pPr>
            <w:r w:rsidRPr="0036007C">
              <w:t>7</w:t>
            </w:r>
          </w:p>
        </w:tc>
        <w:tc>
          <w:tcPr>
            <w:tcW w:w="409" w:type="pct"/>
            <w:tcBorders>
              <w:top w:val="nil"/>
              <w:left w:val="nil"/>
              <w:bottom w:val="single" w:sz="4" w:space="0" w:color="auto"/>
              <w:right w:val="single" w:sz="4" w:space="0" w:color="auto"/>
            </w:tcBorders>
            <w:noWrap/>
          </w:tcPr>
          <w:p w14:paraId="5B14A071" w14:textId="2EF3AF80" w:rsidR="00574755" w:rsidRPr="0036007C" w:rsidRDefault="00574755" w:rsidP="00F76882">
            <w:pPr>
              <w:pStyle w:val="Tabletext"/>
            </w:pPr>
            <w:r w:rsidRPr="0036007C">
              <w:t>111</w:t>
            </w:r>
          </w:p>
        </w:tc>
        <w:tc>
          <w:tcPr>
            <w:tcW w:w="408" w:type="pct"/>
            <w:tcBorders>
              <w:top w:val="nil"/>
              <w:left w:val="nil"/>
              <w:bottom w:val="single" w:sz="4" w:space="0" w:color="auto"/>
              <w:right w:val="single" w:sz="4" w:space="0" w:color="auto"/>
            </w:tcBorders>
            <w:noWrap/>
          </w:tcPr>
          <w:p w14:paraId="415BEBE3" w14:textId="55A09E43" w:rsidR="00574755" w:rsidRPr="0036007C" w:rsidRDefault="00574755" w:rsidP="00F76882">
            <w:pPr>
              <w:pStyle w:val="Tabletext"/>
            </w:pPr>
            <w:r w:rsidRPr="0036007C">
              <w:t>18</w:t>
            </w:r>
          </w:p>
        </w:tc>
        <w:tc>
          <w:tcPr>
            <w:tcW w:w="407" w:type="pct"/>
            <w:tcBorders>
              <w:top w:val="nil"/>
              <w:left w:val="nil"/>
              <w:bottom w:val="single" w:sz="4" w:space="0" w:color="auto"/>
              <w:right w:val="single" w:sz="4" w:space="0" w:color="auto"/>
            </w:tcBorders>
            <w:noWrap/>
          </w:tcPr>
          <w:p w14:paraId="7E753F53" w14:textId="0DE4453D" w:rsidR="00574755" w:rsidRPr="0036007C" w:rsidRDefault="00574755" w:rsidP="00F76882">
            <w:pPr>
              <w:pStyle w:val="Tabletext"/>
            </w:pPr>
            <w:r w:rsidRPr="0036007C">
              <w:t>99</w:t>
            </w:r>
          </w:p>
        </w:tc>
        <w:tc>
          <w:tcPr>
            <w:tcW w:w="407" w:type="pct"/>
            <w:tcBorders>
              <w:top w:val="nil"/>
              <w:left w:val="nil"/>
              <w:bottom w:val="single" w:sz="4" w:space="0" w:color="auto"/>
              <w:right w:val="single" w:sz="4" w:space="0" w:color="auto"/>
            </w:tcBorders>
            <w:noWrap/>
          </w:tcPr>
          <w:p w14:paraId="730B4783" w14:textId="0940E0EC" w:rsidR="00574755" w:rsidRPr="0036007C" w:rsidRDefault="00574755" w:rsidP="00F76882">
            <w:pPr>
              <w:pStyle w:val="Tabletext"/>
            </w:pPr>
            <w:r w:rsidRPr="0036007C">
              <w:t>438</w:t>
            </w:r>
          </w:p>
        </w:tc>
        <w:tc>
          <w:tcPr>
            <w:tcW w:w="407" w:type="pct"/>
            <w:tcBorders>
              <w:top w:val="nil"/>
              <w:left w:val="nil"/>
              <w:bottom w:val="single" w:sz="4" w:space="0" w:color="auto"/>
              <w:right w:val="single" w:sz="4" w:space="0" w:color="auto"/>
            </w:tcBorders>
            <w:noWrap/>
          </w:tcPr>
          <w:p w14:paraId="12C3703E" w14:textId="19017436" w:rsidR="00574755" w:rsidRPr="0036007C" w:rsidRDefault="00574755" w:rsidP="00F76882">
            <w:pPr>
              <w:pStyle w:val="Tabletext"/>
            </w:pPr>
            <w:r w:rsidRPr="0036007C">
              <w:t>616</w:t>
            </w:r>
          </w:p>
        </w:tc>
        <w:tc>
          <w:tcPr>
            <w:tcW w:w="406" w:type="pct"/>
            <w:tcBorders>
              <w:top w:val="nil"/>
              <w:left w:val="nil"/>
              <w:bottom w:val="single" w:sz="4" w:space="0" w:color="auto"/>
              <w:right w:val="single" w:sz="4" w:space="0" w:color="auto"/>
            </w:tcBorders>
            <w:noWrap/>
          </w:tcPr>
          <w:p w14:paraId="6EB5B38B" w14:textId="67D3F11D" w:rsidR="00574755" w:rsidRPr="0036007C" w:rsidRDefault="00574755" w:rsidP="00F76882">
            <w:pPr>
              <w:pStyle w:val="Tabletext"/>
            </w:pPr>
            <w:r w:rsidRPr="0036007C">
              <w:t>1054</w:t>
            </w:r>
          </w:p>
        </w:tc>
      </w:tr>
      <w:tr w:rsidR="009665DD" w:rsidRPr="0036007C" w14:paraId="2553B7CF" w14:textId="77777777" w:rsidTr="003950A4">
        <w:trPr>
          <w:trHeight w:val="290"/>
        </w:trPr>
        <w:tc>
          <w:tcPr>
            <w:tcW w:w="1325" w:type="pct"/>
            <w:tcBorders>
              <w:top w:val="nil"/>
              <w:left w:val="single" w:sz="4" w:space="0" w:color="auto"/>
              <w:bottom w:val="single" w:sz="4" w:space="0" w:color="auto"/>
              <w:right w:val="single" w:sz="4" w:space="0" w:color="auto"/>
            </w:tcBorders>
            <w:shd w:val="clear" w:color="000000" w:fill="BFBFBF"/>
            <w:hideMark/>
          </w:tcPr>
          <w:p w14:paraId="164AC6C9" w14:textId="3BEA3759" w:rsidR="009665DD" w:rsidRPr="0036007C" w:rsidRDefault="009665DD" w:rsidP="00F76882">
            <w:pPr>
              <w:pStyle w:val="Tabletextleft"/>
            </w:pPr>
            <w:r w:rsidRPr="00F57624">
              <w:t>With TT</w:t>
            </w:r>
            <w:r w:rsidRPr="007C3001">
              <w:t xml:space="preserve"> †</w:t>
            </w:r>
          </w:p>
        </w:tc>
        <w:tc>
          <w:tcPr>
            <w:tcW w:w="408" w:type="pct"/>
            <w:tcBorders>
              <w:top w:val="nil"/>
              <w:left w:val="nil"/>
              <w:bottom w:val="single" w:sz="4" w:space="0" w:color="auto"/>
              <w:right w:val="single" w:sz="4" w:space="0" w:color="auto"/>
            </w:tcBorders>
            <w:shd w:val="clear" w:color="000000" w:fill="BFBFBF"/>
            <w:noWrap/>
          </w:tcPr>
          <w:p w14:paraId="4DB8D09B" w14:textId="48D5D9E6" w:rsidR="009665DD" w:rsidRPr="0036007C" w:rsidRDefault="009665DD" w:rsidP="00F76882">
            <w:pPr>
              <w:pStyle w:val="Tabletext"/>
            </w:pPr>
            <w:r w:rsidRPr="0036007C">
              <w:t>0</w:t>
            </w:r>
          </w:p>
        </w:tc>
        <w:tc>
          <w:tcPr>
            <w:tcW w:w="415" w:type="pct"/>
            <w:tcBorders>
              <w:top w:val="nil"/>
              <w:left w:val="nil"/>
              <w:bottom w:val="single" w:sz="4" w:space="0" w:color="auto"/>
              <w:right w:val="single" w:sz="4" w:space="0" w:color="auto"/>
            </w:tcBorders>
            <w:shd w:val="clear" w:color="000000" w:fill="BFBFBF"/>
            <w:noWrap/>
          </w:tcPr>
          <w:p w14:paraId="46279E01" w14:textId="4F1529C4" w:rsidR="009665DD" w:rsidRPr="0036007C" w:rsidRDefault="009665DD" w:rsidP="00F76882">
            <w:pPr>
              <w:pStyle w:val="Tabletext"/>
            </w:pPr>
            <w:r w:rsidRPr="0036007C">
              <w:t>2</w:t>
            </w:r>
          </w:p>
        </w:tc>
        <w:tc>
          <w:tcPr>
            <w:tcW w:w="408" w:type="pct"/>
            <w:tcBorders>
              <w:top w:val="nil"/>
              <w:left w:val="nil"/>
              <w:bottom w:val="single" w:sz="4" w:space="0" w:color="auto"/>
              <w:right w:val="single" w:sz="4" w:space="0" w:color="auto"/>
            </w:tcBorders>
            <w:shd w:val="clear" w:color="000000" w:fill="BFBFBF"/>
            <w:noWrap/>
          </w:tcPr>
          <w:p w14:paraId="78E56214" w14:textId="79F01C8A" w:rsidR="009665DD" w:rsidRPr="0036007C" w:rsidRDefault="009665DD" w:rsidP="00F76882">
            <w:pPr>
              <w:pStyle w:val="Tabletext"/>
            </w:pPr>
            <w:r w:rsidRPr="0036007C">
              <w:t>0</w:t>
            </w:r>
          </w:p>
        </w:tc>
        <w:tc>
          <w:tcPr>
            <w:tcW w:w="409" w:type="pct"/>
            <w:tcBorders>
              <w:top w:val="nil"/>
              <w:left w:val="nil"/>
              <w:bottom w:val="single" w:sz="4" w:space="0" w:color="auto"/>
              <w:right w:val="single" w:sz="4" w:space="0" w:color="auto"/>
            </w:tcBorders>
            <w:shd w:val="clear" w:color="000000" w:fill="BFBFBF"/>
            <w:noWrap/>
          </w:tcPr>
          <w:p w14:paraId="12F091AE" w14:textId="0B83E042" w:rsidR="009665DD" w:rsidRPr="0036007C" w:rsidRDefault="009665DD" w:rsidP="00F76882">
            <w:pPr>
              <w:pStyle w:val="Tabletext"/>
            </w:pPr>
            <w:r w:rsidRPr="0036007C">
              <w:t>1</w:t>
            </w:r>
          </w:p>
        </w:tc>
        <w:tc>
          <w:tcPr>
            <w:tcW w:w="408" w:type="pct"/>
            <w:tcBorders>
              <w:top w:val="nil"/>
              <w:left w:val="nil"/>
              <w:bottom w:val="single" w:sz="4" w:space="0" w:color="auto"/>
              <w:right w:val="single" w:sz="4" w:space="0" w:color="auto"/>
            </w:tcBorders>
            <w:shd w:val="clear" w:color="000000" w:fill="BFBFBF"/>
            <w:noWrap/>
          </w:tcPr>
          <w:p w14:paraId="32116FCB" w14:textId="5D3EFCD8" w:rsidR="009665DD" w:rsidRPr="0036007C" w:rsidRDefault="009665DD" w:rsidP="00F76882">
            <w:pPr>
              <w:pStyle w:val="Tabletext"/>
            </w:pPr>
            <w:r w:rsidRPr="0036007C">
              <w:t>0</w:t>
            </w:r>
          </w:p>
        </w:tc>
        <w:tc>
          <w:tcPr>
            <w:tcW w:w="407" w:type="pct"/>
            <w:tcBorders>
              <w:top w:val="nil"/>
              <w:left w:val="nil"/>
              <w:bottom w:val="single" w:sz="4" w:space="0" w:color="auto"/>
              <w:right w:val="single" w:sz="4" w:space="0" w:color="auto"/>
            </w:tcBorders>
            <w:shd w:val="clear" w:color="000000" w:fill="BFBFBF"/>
            <w:noWrap/>
          </w:tcPr>
          <w:p w14:paraId="61FA7F55" w14:textId="5476E580" w:rsidR="009665DD" w:rsidRPr="0036007C" w:rsidRDefault="009665DD" w:rsidP="00F76882">
            <w:pPr>
              <w:pStyle w:val="Tabletext"/>
            </w:pPr>
            <w:r w:rsidRPr="0036007C">
              <w:t>0</w:t>
            </w:r>
          </w:p>
        </w:tc>
        <w:tc>
          <w:tcPr>
            <w:tcW w:w="407" w:type="pct"/>
            <w:tcBorders>
              <w:top w:val="nil"/>
              <w:left w:val="nil"/>
              <w:bottom w:val="single" w:sz="4" w:space="0" w:color="auto"/>
              <w:right w:val="single" w:sz="4" w:space="0" w:color="auto"/>
            </w:tcBorders>
            <w:shd w:val="clear" w:color="000000" w:fill="BFBFBF"/>
            <w:noWrap/>
          </w:tcPr>
          <w:p w14:paraId="61F3CFBF" w14:textId="704F4314" w:rsidR="009665DD" w:rsidRPr="0036007C" w:rsidRDefault="009665DD" w:rsidP="00F76882">
            <w:pPr>
              <w:pStyle w:val="Tabletext"/>
            </w:pPr>
            <w:r w:rsidRPr="0036007C">
              <w:t>0</w:t>
            </w:r>
          </w:p>
        </w:tc>
        <w:tc>
          <w:tcPr>
            <w:tcW w:w="407" w:type="pct"/>
            <w:tcBorders>
              <w:top w:val="nil"/>
              <w:left w:val="nil"/>
              <w:bottom w:val="single" w:sz="4" w:space="0" w:color="auto"/>
              <w:right w:val="single" w:sz="4" w:space="0" w:color="auto"/>
            </w:tcBorders>
            <w:shd w:val="clear" w:color="000000" w:fill="BFBFBF"/>
            <w:noWrap/>
          </w:tcPr>
          <w:p w14:paraId="6175B37E" w14:textId="2BCD3F77" w:rsidR="009665DD" w:rsidRPr="0036007C" w:rsidRDefault="009665DD" w:rsidP="00F76882">
            <w:pPr>
              <w:pStyle w:val="Tabletext"/>
            </w:pPr>
            <w:r w:rsidRPr="0036007C">
              <w:t>3</w:t>
            </w:r>
          </w:p>
        </w:tc>
        <w:tc>
          <w:tcPr>
            <w:tcW w:w="406" w:type="pct"/>
            <w:tcBorders>
              <w:top w:val="nil"/>
              <w:left w:val="nil"/>
              <w:bottom w:val="single" w:sz="4" w:space="0" w:color="auto"/>
              <w:right w:val="single" w:sz="4" w:space="0" w:color="auto"/>
            </w:tcBorders>
            <w:shd w:val="clear" w:color="000000" w:fill="BFBFBF"/>
            <w:noWrap/>
          </w:tcPr>
          <w:p w14:paraId="7B73D232" w14:textId="7C0892F7" w:rsidR="009665DD" w:rsidRPr="0036007C" w:rsidRDefault="009665DD" w:rsidP="00F76882">
            <w:pPr>
              <w:pStyle w:val="Tabletext"/>
            </w:pPr>
            <w:r w:rsidRPr="0036007C">
              <w:t>3</w:t>
            </w:r>
          </w:p>
        </w:tc>
      </w:tr>
      <w:tr w:rsidR="009665DD" w:rsidRPr="0036007C" w14:paraId="486C21D5" w14:textId="77777777" w:rsidTr="003950A4">
        <w:trPr>
          <w:trHeight w:val="290"/>
        </w:trPr>
        <w:tc>
          <w:tcPr>
            <w:tcW w:w="1325" w:type="pct"/>
            <w:tcBorders>
              <w:top w:val="nil"/>
              <w:left w:val="single" w:sz="4" w:space="0" w:color="auto"/>
              <w:bottom w:val="single" w:sz="4" w:space="0" w:color="auto"/>
              <w:right w:val="single" w:sz="4" w:space="0" w:color="auto"/>
            </w:tcBorders>
            <w:hideMark/>
          </w:tcPr>
          <w:p w14:paraId="17BF4C8E" w14:textId="530C419E" w:rsidR="009665DD" w:rsidRPr="00FA7B58" w:rsidRDefault="009665DD" w:rsidP="00F76882">
            <w:pPr>
              <w:pStyle w:val="Tabletextleft"/>
            </w:pPr>
            <w:r w:rsidRPr="00FA7B58">
              <w:t>With TT (%)</w:t>
            </w:r>
          </w:p>
        </w:tc>
        <w:tc>
          <w:tcPr>
            <w:tcW w:w="408" w:type="pct"/>
            <w:tcBorders>
              <w:top w:val="nil"/>
              <w:left w:val="nil"/>
              <w:bottom w:val="single" w:sz="4" w:space="0" w:color="auto"/>
              <w:right w:val="single" w:sz="4" w:space="0" w:color="auto"/>
            </w:tcBorders>
            <w:noWrap/>
          </w:tcPr>
          <w:p w14:paraId="20E89A96" w14:textId="6FFB0CA8" w:rsidR="009665DD" w:rsidRPr="007C3001" w:rsidRDefault="009665DD" w:rsidP="00F76882">
            <w:pPr>
              <w:pStyle w:val="Tabletextemphasis"/>
            </w:pPr>
            <w:r w:rsidRPr="007C3001">
              <w:t>0.00</w:t>
            </w:r>
          </w:p>
        </w:tc>
        <w:tc>
          <w:tcPr>
            <w:tcW w:w="415" w:type="pct"/>
            <w:tcBorders>
              <w:top w:val="nil"/>
              <w:left w:val="nil"/>
              <w:bottom w:val="single" w:sz="4" w:space="0" w:color="auto"/>
              <w:right w:val="single" w:sz="4" w:space="0" w:color="auto"/>
            </w:tcBorders>
            <w:noWrap/>
          </w:tcPr>
          <w:p w14:paraId="167F2C69" w14:textId="0D217DD9" w:rsidR="009665DD" w:rsidRPr="007C3001" w:rsidRDefault="009665DD" w:rsidP="00F76882">
            <w:pPr>
              <w:pStyle w:val="Tabletextemphasis"/>
            </w:pPr>
            <w:r w:rsidRPr="007C3001">
              <w:t>0.49</w:t>
            </w:r>
          </w:p>
        </w:tc>
        <w:tc>
          <w:tcPr>
            <w:tcW w:w="408" w:type="pct"/>
            <w:tcBorders>
              <w:top w:val="nil"/>
              <w:left w:val="nil"/>
              <w:bottom w:val="single" w:sz="4" w:space="0" w:color="auto"/>
              <w:right w:val="single" w:sz="4" w:space="0" w:color="auto"/>
            </w:tcBorders>
            <w:noWrap/>
          </w:tcPr>
          <w:p w14:paraId="27D7694D" w14:textId="58E5A833" w:rsidR="009665DD" w:rsidRPr="007C3001" w:rsidRDefault="009665DD" w:rsidP="00F76882">
            <w:pPr>
              <w:pStyle w:val="Tabletextemphasis"/>
            </w:pPr>
            <w:r w:rsidRPr="007C3001">
              <w:t>0.00</w:t>
            </w:r>
          </w:p>
        </w:tc>
        <w:tc>
          <w:tcPr>
            <w:tcW w:w="409" w:type="pct"/>
            <w:tcBorders>
              <w:top w:val="nil"/>
              <w:left w:val="nil"/>
              <w:bottom w:val="single" w:sz="4" w:space="0" w:color="auto"/>
              <w:right w:val="single" w:sz="4" w:space="0" w:color="auto"/>
            </w:tcBorders>
            <w:noWrap/>
          </w:tcPr>
          <w:p w14:paraId="0DEF6872" w14:textId="7D729978" w:rsidR="009665DD" w:rsidRPr="007C3001" w:rsidRDefault="009665DD" w:rsidP="00F76882">
            <w:pPr>
              <w:pStyle w:val="Tabletextemphasis"/>
            </w:pPr>
            <w:r w:rsidRPr="007C3001">
              <w:t>0.90</w:t>
            </w:r>
          </w:p>
        </w:tc>
        <w:tc>
          <w:tcPr>
            <w:tcW w:w="408" w:type="pct"/>
            <w:tcBorders>
              <w:top w:val="nil"/>
              <w:left w:val="nil"/>
              <w:bottom w:val="single" w:sz="4" w:space="0" w:color="auto"/>
              <w:right w:val="single" w:sz="4" w:space="0" w:color="auto"/>
            </w:tcBorders>
            <w:noWrap/>
          </w:tcPr>
          <w:p w14:paraId="34869D1B" w14:textId="307694D8" w:rsidR="009665DD" w:rsidRPr="007C3001" w:rsidRDefault="009665DD" w:rsidP="00F76882">
            <w:pPr>
              <w:pStyle w:val="Tabletextemphasis"/>
            </w:pPr>
            <w:r w:rsidRPr="007C3001">
              <w:t>0.00</w:t>
            </w:r>
          </w:p>
        </w:tc>
        <w:tc>
          <w:tcPr>
            <w:tcW w:w="407" w:type="pct"/>
            <w:tcBorders>
              <w:top w:val="nil"/>
              <w:left w:val="nil"/>
              <w:bottom w:val="single" w:sz="4" w:space="0" w:color="auto"/>
              <w:right w:val="single" w:sz="4" w:space="0" w:color="auto"/>
            </w:tcBorders>
            <w:noWrap/>
          </w:tcPr>
          <w:p w14:paraId="2B45D76C" w14:textId="5038ECDF" w:rsidR="009665DD" w:rsidRPr="007C3001" w:rsidRDefault="009665DD" w:rsidP="00F76882">
            <w:pPr>
              <w:pStyle w:val="Tabletextemphasis"/>
            </w:pPr>
            <w:r w:rsidRPr="007C3001">
              <w:t>0.00</w:t>
            </w:r>
          </w:p>
        </w:tc>
        <w:tc>
          <w:tcPr>
            <w:tcW w:w="407" w:type="pct"/>
            <w:tcBorders>
              <w:top w:val="nil"/>
              <w:left w:val="nil"/>
              <w:bottom w:val="single" w:sz="4" w:space="0" w:color="auto"/>
              <w:right w:val="single" w:sz="4" w:space="0" w:color="auto"/>
            </w:tcBorders>
            <w:noWrap/>
          </w:tcPr>
          <w:p w14:paraId="31661012" w14:textId="32E40F03" w:rsidR="009665DD" w:rsidRPr="007C3001" w:rsidRDefault="009665DD" w:rsidP="00F76882">
            <w:pPr>
              <w:pStyle w:val="Tabletextemphasis"/>
            </w:pPr>
            <w:r w:rsidRPr="007C3001">
              <w:t>0.00</w:t>
            </w:r>
          </w:p>
        </w:tc>
        <w:tc>
          <w:tcPr>
            <w:tcW w:w="407" w:type="pct"/>
            <w:tcBorders>
              <w:top w:val="nil"/>
              <w:left w:val="nil"/>
              <w:bottom w:val="single" w:sz="4" w:space="0" w:color="auto"/>
              <w:right w:val="single" w:sz="4" w:space="0" w:color="auto"/>
            </w:tcBorders>
            <w:noWrap/>
          </w:tcPr>
          <w:p w14:paraId="3383411B" w14:textId="7220C46C" w:rsidR="009665DD" w:rsidRPr="007C3001" w:rsidRDefault="009665DD" w:rsidP="00F76882">
            <w:pPr>
              <w:pStyle w:val="Tabletextemphasis"/>
            </w:pPr>
            <w:r w:rsidRPr="007C3001">
              <w:t>0.49</w:t>
            </w:r>
          </w:p>
        </w:tc>
        <w:tc>
          <w:tcPr>
            <w:tcW w:w="406" w:type="pct"/>
            <w:tcBorders>
              <w:top w:val="nil"/>
              <w:left w:val="nil"/>
              <w:bottom w:val="single" w:sz="4" w:space="0" w:color="auto"/>
              <w:right w:val="single" w:sz="4" w:space="0" w:color="auto"/>
            </w:tcBorders>
            <w:noWrap/>
          </w:tcPr>
          <w:p w14:paraId="4D6575FC" w14:textId="6E1C575F" w:rsidR="009665DD" w:rsidRPr="007C3001" w:rsidRDefault="009665DD" w:rsidP="00F76882">
            <w:pPr>
              <w:pStyle w:val="Tabletextemphasis"/>
            </w:pPr>
            <w:r w:rsidRPr="007C3001">
              <w:t>0.28</w:t>
            </w:r>
          </w:p>
        </w:tc>
      </w:tr>
      <w:tr w:rsidR="009D0C36" w:rsidRPr="0036007C" w14:paraId="5CA0B000" w14:textId="77777777" w:rsidTr="003950A4">
        <w:trPr>
          <w:trHeight w:val="290"/>
        </w:trPr>
        <w:tc>
          <w:tcPr>
            <w:tcW w:w="1325" w:type="pct"/>
            <w:tcBorders>
              <w:top w:val="nil"/>
              <w:left w:val="single" w:sz="4" w:space="0" w:color="auto"/>
              <w:bottom w:val="single" w:sz="4" w:space="0" w:color="auto"/>
              <w:right w:val="single" w:sz="4" w:space="0" w:color="auto"/>
            </w:tcBorders>
            <w:shd w:val="clear" w:color="000000" w:fill="BFBFBF"/>
            <w:hideMark/>
          </w:tcPr>
          <w:p w14:paraId="775AC7AF" w14:textId="0644E7AD" w:rsidR="00574755" w:rsidRPr="0036007C" w:rsidRDefault="00574755" w:rsidP="00F76882">
            <w:pPr>
              <w:pStyle w:val="Tabletextleft"/>
            </w:pPr>
            <w:r w:rsidRPr="00F57624">
              <w:t>Surgery in past 12 months</w:t>
            </w:r>
            <w:r w:rsidR="0086604C" w:rsidRPr="007C3001">
              <w:t>‡</w:t>
            </w:r>
          </w:p>
        </w:tc>
        <w:tc>
          <w:tcPr>
            <w:tcW w:w="408" w:type="pct"/>
            <w:tcBorders>
              <w:top w:val="nil"/>
              <w:left w:val="nil"/>
              <w:bottom w:val="single" w:sz="4" w:space="0" w:color="auto"/>
              <w:right w:val="single" w:sz="4" w:space="0" w:color="auto"/>
            </w:tcBorders>
            <w:shd w:val="clear" w:color="000000" w:fill="BFBFBF"/>
            <w:noWrap/>
          </w:tcPr>
          <w:p w14:paraId="70AB8692" w14:textId="5050C654" w:rsidR="00574755" w:rsidRPr="0036007C" w:rsidRDefault="00574755" w:rsidP="00F76882">
            <w:pPr>
              <w:pStyle w:val="Tabletext"/>
            </w:pPr>
            <w:r w:rsidRPr="0036007C">
              <w:t>0</w:t>
            </w:r>
          </w:p>
        </w:tc>
        <w:tc>
          <w:tcPr>
            <w:tcW w:w="415" w:type="pct"/>
            <w:tcBorders>
              <w:top w:val="nil"/>
              <w:left w:val="nil"/>
              <w:bottom w:val="single" w:sz="4" w:space="0" w:color="auto"/>
              <w:right w:val="single" w:sz="4" w:space="0" w:color="auto"/>
            </w:tcBorders>
            <w:shd w:val="clear" w:color="000000" w:fill="BFBFBF"/>
            <w:noWrap/>
          </w:tcPr>
          <w:p w14:paraId="7F5694EF" w14:textId="45D5773B" w:rsidR="00574755" w:rsidRPr="0036007C" w:rsidRDefault="00574755" w:rsidP="00F76882">
            <w:pPr>
              <w:pStyle w:val="Tabletext"/>
            </w:pPr>
            <w:r w:rsidRPr="0036007C">
              <w:t>0</w:t>
            </w:r>
          </w:p>
        </w:tc>
        <w:tc>
          <w:tcPr>
            <w:tcW w:w="408" w:type="pct"/>
            <w:tcBorders>
              <w:top w:val="nil"/>
              <w:left w:val="nil"/>
              <w:bottom w:val="single" w:sz="4" w:space="0" w:color="auto"/>
              <w:right w:val="single" w:sz="4" w:space="0" w:color="auto"/>
            </w:tcBorders>
            <w:shd w:val="clear" w:color="000000" w:fill="BFBFBF"/>
            <w:noWrap/>
          </w:tcPr>
          <w:p w14:paraId="379C8571" w14:textId="294BEFCC" w:rsidR="00574755" w:rsidRPr="0036007C" w:rsidRDefault="00574755" w:rsidP="00F76882">
            <w:pPr>
              <w:pStyle w:val="Tabletext"/>
            </w:pPr>
            <w:r w:rsidRPr="0036007C">
              <w:t>0</w:t>
            </w:r>
          </w:p>
        </w:tc>
        <w:tc>
          <w:tcPr>
            <w:tcW w:w="409" w:type="pct"/>
            <w:tcBorders>
              <w:top w:val="nil"/>
              <w:left w:val="nil"/>
              <w:bottom w:val="single" w:sz="4" w:space="0" w:color="auto"/>
              <w:right w:val="single" w:sz="4" w:space="0" w:color="auto"/>
            </w:tcBorders>
            <w:shd w:val="clear" w:color="000000" w:fill="BFBFBF"/>
            <w:noWrap/>
          </w:tcPr>
          <w:p w14:paraId="0AB81A31" w14:textId="613B2506" w:rsidR="00574755" w:rsidRPr="0036007C" w:rsidRDefault="00574755" w:rsidP="00F76882">
            <w:pPr>
              <w:pStyle w:val="Tabletext"/>
            </w:pPr>
            <w:r w:rsidRPr="0036007C">
              <w:t>0</w:t>
            </w:r>
          </w:p>
        </w:tc>
        <w:tc>
          <w:tcPr>
            <w:tcW w:w="408" w:type="pct"/>
            <w:tcBorders>
              <w:top w:val="nil"/>
              <w:left w:val="nil"/>
              <w:bottom w:val="single" w:sz="4" w:space="0" w:color="auto"/>
              <w:right w:val="single" w:sz="4" w:space="0" w:color="auto"/>
            </w:tcBorders>
            <w:shd w:val="clear" w:color="000000" w:fill="BFBFBF"/>
            <w:noWrap/>
          </w:tcPr>
          <w:p w14:paraId="53D190FB" w14:textId="35082EB2" w:rsidR="00574755" w:rsidRPr="0036007C" w:rsidRDefault="00574755" w:rsidP="00F76882">
            <w:pPr>
              <w:pStyle w:val="Tabletext"/>
            </w:pPr>
            <w:r w:rsidRPr="0036007C">
              <w:t>0</w:t>
            </w:r>
          </w:p>
        </w:tc>
        <w:tc>
          <w:tcPr>
            <w:tcW w:w="407" w:type="pct"/>
            <w:tcBorders>
              <w:top w:val="nil"/>
              <w:left w:val="nil"/>
              <w:bottom w:val="single" w:sz="4" w:space="0" w:color="auto"/>
              <w:right w:val="single" w:sz="4" w:space="0" w:color="auto"/>
            </w:tcBorders>
            <w:shd w:val="clear" w:color="000000" w:fill="BFBFBF"/>
            <w:noWrap/>
          </w:tcPr>
          <w:p w14:paraId="29B3DC74" w14:textId="15F44280" w:rsidR="00574755" w:rsidRPr="0036007C" w:rsidRDefault="00574755" w:rsidP="00F76882">
            <w:pPr>
              <w:pStyle w:val="Tabletext"/>
            </w:pPr>
            <w:r w:rsidRPr="0036007C">
              <w:t>0</w:t>
            </w:r>
          </w:p>
        </w:tc>
        <w:tc>
          <w:tcPr>
            <w:tcW w:w="407" w:type="pct"/>
            <w:tcBorders>
              <w:top w:val="nil"/>
              <w:left w:val="nil"/>
              <w:bottom w:val="single" w:sz="4" w:space="0" w:color="auto"/>
              <w:right w:val="single" w:sz="4" w:space="0" w:color="auto"/>
            </w:tcBorders>
            <w:shd w:val="clear" w:color="000000" w:fill="BFBFBF"/>
            <w:noWrap/>
          </w:tcPr>
          <w:p w14:paraId="741D1DDD" w14:textId="56A7E830" w:rsidR="00574755" w:rsidRPr="0036007C" w:rsidRDefault="00574755" w:rsidP="00F76882">
            <w:pPr>
              <w:pStyle w:val="Tabletext"/>
            </w:pPr>
            <w:r w:rsidRPr="0036007C">
              <w:t>0</w:t>
            </w:r>
          </w:p>
        </w:tc>
        <w:tc>
          <w:tcPr>
            <w:tcW w:w="407" w:type="pct"/>
            <w:tcBorders>
              <w:top w:val="nil"/>
              <w:left w:val="nil"/>
              <w:bottom w:val="single" w:sz="4" w:space="0" w:color="auto"/>
              <w:right w:val="single" w:sz="4" w:space="0" w:color="auto"/>
            </w:tcBorders>
            <w:shd w:val="clear" w:color="000000" w:fill="BFBFBF"/>
            <w:noWrap/>
          </w:tcPr>
          <w:p w14:paraId="1C0F8B51" w14:textId="0283626B" w:rsidR="00574755" w:rsidRPr="0036007C" w:rsidRDefault="00574755" w:rsidP="00F76882">
            <w:pPr>
              <w:pStyle w:val="Tabletext"/>
            </w:pPr>
            <w:r w:rsidRPr="0036007C">
              <w:t>0</w:t>
            </w:r>
          </w:p>
        </w:tc>
        <w:tc>
          <w:tcPr>
            <w:tcW w:w="406" w:type="pct"/>
            <w:tcBorders>
              <w:top w:val="nil"/>
              <w:left w:val="nil"/>
              <w:bottom w:val="single" w:sz="4" w:space="0" w:color="auto"/>
              <w:right w:val="single" w:sz="4" w:space="0" w:color="auto"/>
            </w:tcBorders>
            <w:shd w:val="clear" w:color="000000" w:fill="BFBFBF"/>
            <w:noWrap/>
          </w:tcPr>
          <w:p w14:paraId="1B6068C9" w14:textId="05634258" w:rsidR="00574755" w:rsidRPr="0036007C" w:rsidRDefault="00574755" w:rsidP="00F76882">
            <w:pPr>
              <w:pStyle w:val="Tabletext"/>
            </w:pPr>
            <w:r w:rsidRPr="0036007C">
              <w:t>0</w:t>
            </w:r>
          </w:p>
        </w:tc>
      </w:tr>
    </w:tbl>
    <w:p w14:paraId="21159B23" w14:textId="5427A752" w:rsidR="00612303" w:rsidRPr="00A33DD2" w:rsidRDefault="00612303" w:rsidP="00F76882">
      <w:pPr>
        <w:pStyle w:val="tablefigfootnote"/>
      </w:pPr>
      <w:r w:rsidRPr="00A33DD2">
        <w:t>* This number may not account for all adults who may be examined in routine adult health checks and may also include multiple screenings</w:t>
      </w:r>
      <w:r w:rsidR="00EF33CB" w:rsidRPr="00A33DD2">
        <w:t xml:space="preserve"> per patient</w:t>
      </w:r>
      <w:r w:rsidRPr="00A33DD2">
        <w:t>. Screening is linked to trachoma endemic regions and does not consider changing endemic regions over time and transiency between regions.</w:t>
      </w:r>
    </w:p>
    <w:p w14:paraId="2FEFF4A1" w14:textId="16E6A105" w:rsidR="00EF1796" w:rsidRPr="00A33DD2" w:rsidRDefault="00612303" w:rsidP="00F76882">
      <w:pPr>
        <w:pStyle w:val="tablefigfootnote"/>
      </w:pPr>
      <w:r w:rsidRPr="00A33DD2">
        <w:t xml:space="preserve">† </w:t>
      </w:r>
      <w:r w:rsidR="00EF1796" w:rsidRPr="00A33DD2">
        <w:t>Defined as cases ‘previously unknown to the health system’.</w:t>
      </w:r>
    </w:p>
    <w:p w14:paraId="54ED5F50" w14:textId="44E9CF8E" w:rsidR="00612303" w:rsidRPr="00A33DD2" w:rsidRDefault="0086604C" w:rsidP="00F76882">
      <w:pPr>
        <w:pStyle w:val="tablefigfootnote"/>
      </w:pPr>
      <w:r w:rsidRPr="00A33DD2">
        <w:t xml:space="preserve">‡ </w:t>
      </w:r>
      <w:r w:rsidR="00612303" w:rsidRPr="00A33DD2">
        <w:t>Surgery may include cases identified in previous years</w:t>
      </w:r>
      <w:r w:rsidR="005F4644" w:rsidRPr="00A33DD2">
        <w:t>.</w:t>
      </w:r>
    </w:p>
    <w:p w14:paraId="5EA67B4E" w14:textId="77777777" w:rsidR="00C574D9" w:rsidRPr="003D3BBA" w:rsidRDefault="00C574D9" w:rsidP="00F76882">
      <w:pPr>
        <w:sectPr w:rsidR="00C574D9" w:rsidRPr="003D3BBA" w:rsidSect="00C04CBB">
          <w:pgSz w:w="16838" w:h="11906" w:orient="landscape"/>
          <w:pgMar w:top="720" w:right="720" w:bottom="720" w:left="720" w:header="709" w:footer="709" w:gutter="0"/>
          <w:cols w:space="708"/>
          <w:docGrid w:linePitch="360"/>
        </w:sectPr>
      </w:pPr>
    </w:p>
    <w:p w14:paraId="33D537FA" w14:textId="263C5E7D" w:rsidR="00C574D9" w:rsidRPr="0036007C" w:rsidRDefault="00C574D9" w:rsidP="00F76882">
      <w:pPr>
        <w:pStyle w:val="Tableheadings"/>
      </w:pPr>
      <w:bookmarkStart w:id="342" w:name="_Toc215224715"/>
      <w:r w:rsidRPr="0036007C">
        <w:t xml:space="preserve">Table </w:t>
      </w:r>
      <w:r w:rsidR="00942F34" w:rsidRPr="0036007C">
        <w:t>4</w:t>
      </w:r>
      <w:r w:rsidRPr="0036007C">
        <w:t>.</w:t>
      </w:r>
      <w:r w:rsidR="0036232A" w:rsidRPr="0036007C">
        <w:t>6</w:t>
      </w:r>
      <w:r w:rsidRPr="0036007C">
        <w:tab/>
        <w:t>Health promotion activities by region, South Australia</w:t>
      </w:r>
      <w:r w:rsidR="00732509" w:rsidRPr="0036007C">
        <w:t>,</w:t>
      </w:r>
      <w:r w:rsidRPr="0036007C">
        <w:t xml:space="preserve"> </w:t>
      </w:r>
      <w:r w:rsidR="00E76BB4" w:rsidRPr="0036007C">
        <w:t>202</w:t>
      </w:r>
      <w:r w:rsidR="004449F6" w:rsidRPr="0036007C">
        <w:t>4</w:t>
      </w:r>
      <w:bookmarkEnd w:id="342"/>
    </w:p>
    <w:tbl>
      <w:tblPr>
        <w:tblStyle w:val="trach4"/>
        <w:tblW w:w="5000" w:type="pct"/>
        <w:tblInd w:w="7" w:type="dxa"/>
        <w:tblLook w:val="04A0" w:firstRow="1" w:lastRow="0" w:firstColumn="1" w:lastColumn="0" w:noHBand="0" w:noVBand="1"/>
        <w:tblCaption w:val="Health promotion activities by region, South Australia, 2024"/>
        <w:tblDescription w:val="Table 4.6 summarises health promotion activities, broken down by method, target audience, and delivery frequency. Data is presented for the APY Lands, Eyre and Western, Far North, and the cumulative total.&#10;"/>
      </w:tblPr>
      <w:tblGrid>
        <w:gridCol w:w="3120"/>
        <w:gridCol w:w="1774"/>
        <w:gridCol w:w="1989"/>
        <w:gridCol w:w="1782"/>
        <w:gridCol w:w="1795"/>
      </w:tblGrid>
      <w:tr w:rsidR="00715861" w:rsidRPr="0036007C" w14:paraId="0C87D281" w14:textId="77777777" w:rsidTr="009F255D">
        <w:trPr>
          <w:cnfStyle w:val="100000000000" w:firstRow="1" w:lastRow="0" w:firstColumn="0" w:lastColumn="0" w:oddVBand="0" w:evenVBand="0" w:oddHBand="0" w:evenHBand="0" w:firstRowFirstColumn="0" w:firstRowLastColumn="0" w:lastRowFirstColumn="0" w:lastRowLastColumn="0"/>
          <w:trHeight w:val="570"/>
        </w:trPr>
        <w:tc>
          <w:tcPr>
            <w:tcW w:w="1491" w:type="pct"/>
            <w:hideMark/>
          </w:tcPr>
          <w:p w14:paraId="3146DE6D" w14:textId="77777777" w:rsidR="00715861" w:rsidRPr="0021168B" w:rsidRDefault="00715861" w:rsidP="00F76882">
            <w:pPr>
              <w:pStyle w:val="Tableheading"/>
            </w:pPr>
            <w:r w:rsidRPr="0021168B">
              <w:t> </w:t>
            </w:r>
          </w:p>
        </w:tc>
        <w:tc>
          <w:tcPr>
            <w:tcW w:w="848" w:type="pct"/>
            <w:noWrap/>
            <w:hideMark/>
          </w:tcPr>
          <w:p w14:paraId="06CFB97E" w14:textId="77777777" w:rsidR="00715861" w:rsidRPr="0021168B" w:rsidRDefault="00715861" w:rsidP="00F76882">
            <w:pPr>
              <w:pStyle w:val="Tableheading"/>
            </w:pPr>
            <w:r w:rsidRPr="0021168B">
              <w:t>APY Lands</w:t>
            </w:r>
          </w:p>
        </w:tc>
        <w:tc>
          <w:tcPr>
            <w:tcW w:w="951" w:type="pct"/>
            <w:noWrap/>
            <w:hideMark/>
          </w:tcPr>
          <w:p w14:paraId="6A0BCB98" w14:textId="77777777" w:rsidR="00715861" w:rsidRPr="0021168B" w:rsidRDefault="00715861" w:rsidP="00F76882">
            <w:pPr>
              <w:pStyle w:val="Tableheading"/>
            </w:pPr>
            <w:r w:rsidRPr="0021168B">
              <w:t>Eyre and Western</w:t>
            </w:r>
          </w:p>
        </w:tc>
        <w:tc>
          <w:tcPr>
            <w:tcW w:w="852" w:type="pct"/>
            <w:noWrap/>
            <w:hideMark/>
          </w:tcPr>
          <w:p w14:paraId="618E8898" w14:textId="77777777" w:rsidR="00715861" w:rsidRPr="0021168B" w:rsidRDefault="00715861" w:rsidP="00F76882">
            <w:pPr>
              <w:pStyle w:val="Tableheading"/>
            </w:pPr>
            <w:r w:rsidRPr="0021168B">
              <w:t>Far North</w:t>
            </w:r>
          </w:p>
        </w:tc>
        <w:tc>
          <w:tcPr>
            <w:tcW w:w="858" w:type="pct"/>
            <w:noWrap/>
            <w:hideMark/>
          </w:tcPr>
          <w:p w14:paraId="341B0B28" w14:textId="77777777" w:rsidR="00715861" w:rsidRPr="0021168B" w:rsidRDefault="00715861" w:rsidP="00F76882">
            <w:pPr>
              <w:pStyle w:val="Tableheading"/>
            </w:pPr>
            <w:r w:rsidRPr="0021168B">
              <w:t>Total</w:t>
            </w:r>
          </w:p>
        </w:tc>
      </w:tr>
      <w:tr w:rsidR="00D90B64" w:rsidRPr="0036007C" w14:paraId="1DE242B3" w14:textId="77777777" w:rsidTr="009F255D">
        <w:trPr>
          <w:trHeight w:val="510"/>
        </w:trPr>
        <w:tc>
          <w:tcPr>
            <w:tcW w:w="1491" w:type="pct"/>
            <w:hideMark/>
          </w:tcPr>
          <w:p w14:paraId="51A35197" w14:textId="77777777" w:rsidR="00D90B64" w:rsidRPr="0036007C" w:rsidRDefault="00D90B64" w:rsidP="00F76882">
            <w:pPr>
              <w:pStyle w:val="Tabletextleft"/>
            </w:pPr>
            <w:r w:rsidRPr="0036007C">
              <w:t>Number of communities that reported health promotion activities</w:t>
            </w:r>
          </w:p>
        </w:tc>
        <w:tc>
          <w:tcPr>
            <w:tcW w:w="848" w:type="pct"/>
            <w:noWrap/>
          </w:tcPr>
          <w:p w14:paraId="017DE693" w14:textId="28868E48" w:rsidR="00D90B64" w:rsidRPr="00A33DD2" w:rsidRDefault="00D90B64" w:rsidP="00F76882">
            <w:pPr>
              <w:pStyle w:val="Tabletext"/>
            </w:pPr>
            <w:r w:rsidRPr="00A33DD2">
              <w:t>9</w:t>
            </w:r>
          </w:p>
        </w:tc>
        <w:tc>
          <w:tcPr>
            <w:tcW w:w="951" w:type="pct"/>
            <w:noWrap/>
          </w:tcPr>
          <w:p w14:paraId="56034B46" w14:textId="4D0D1F65" w:rsidR="00D90B64" w:rsidRPr="00A33DD2" w:rsidRDefault="00D90B64" w:rsidP="00F76882">
            <w:pPr>
              <w:pStyle w:val="Tabletext"/>
            </w:pPr>
            <w:r w:rsidRPr="00A33DD2">
              <w:t>3</w:t>
            </w:r>
          </w:p>
        </w:tc>
        <w:tc>
          <w:tcPr>
            <w:tcW w:w="852" w:type="pct"/>
            <w:noWrap/>
          </w:tcPr>
          <w:p w14:paraId="576BAD46" w14:textId="596293E9" w:rsidR="00D90B64" w:rsidRPr="0021168B" w:rsidRDefault="00D90B64" w:rsidP="00F76882">
            <w:pPr>
              <w:pStyle w:val="Tabletext"/>
            </w:pPr>
            <w:r w:rsidRPr="0021168B">
              <w:t>6</w:t>
            </w:r>
          </w:p>
        </w:tc>
        <w:tc>
          <w:tcPr>
            <w:tcW w:w="858" w:type="pct"/>
            <w:noWrap/>
          </w:tcPr>
          <w:p w14:paraId="58E32A7F" w14:textId="35D1300E" w:rsidR="00D90B64" w:rsidRPr="0021168B" w:rsidRDefault="00D90B64" w:rsidP="00F76882">
            <w:pPr>
              <w:pStyle w:val="Tabletext"/>
            </w:pPr>
            <w:r w:rsidRPr="0021168B">
              <w:t>18</w:t>
            </w:r>
          </w:p>
        </w:tc>
      </w:tr>
      <w:tr w:rsidR="00D90B64" w:rsidRPr="0036007C" w14:paraId="5C416AFC" w14:textId="77777777" w:rsidTr="009F255D">
        <w:trPr>
          <w:cnfStyle w:val="000000010000" w:firstRow="0" w:lastRow="0" w:firstColumn="0" w:lastColumn="0" w:oddVBand="0" w:evenVBand="0" w:oddHBand="0" w:evenHBand="1" w:firstRowFirstColumn="0" w:firstRowLastColumn="0" w:lastRowFirstColumn="0" w:lastRowLastColumn="0"/>
          <w:trHeight w:val="510"/>
        </w:trPr>
        <w:tc>
          <w:tcPr>
            <w:tcW w:w="1491" w:type="pct"/>
            <w:hideMark/>
          </w:tcPr>
          <w:p w14:paraId="0C258A79" w14:textId="77777777" w:rsidR="00D90B64" w:rsidRPr="0036007C" w:rsidRDefault="00D90B64" w:rsidP="00F76882">
            <w:pPr>
              <w:pStyle w:val="Tabletextleft"/>
            </w:pPr>
            <w:r w:rsidRPr="0036007C">
              <w:t>Total number of programs reported</w:t>
            </w:r>
          </w:p>
        </w:tc>
        <w:tc>
          <w:tcPr>
            <w:tcW w:w="848" w:type="pct"/>
            <w:noWrap/>
          </w:tcPr>
          <w:p w14:paraId="173DF556" w14:textId="5B185D99" w:rsidR="00D90B64" w:rsidRPr="00A33DD2" w:rsidRDefault="00D90B64" w:rsidP="00F76882">
            <w:pPr>
              <w:pStyle w:val="Tabletext"/>
            </w:pPr>
            <w:r w:rsidRPr="00A33DD2">
              <w:t>4</w:t>
            </w:r>
          </w:p>
        </w:tc>
        <w:tc>
          <w:tcPr>
            <w:tcW w:w="951" w:type="pct"/>
            <w:noWrap/>
          </w:tcPr>
          <w:p w14:paraId="3EF9B29E" w14:textId="50CB98F6" w:rsidR="00D90B64" w:rsidRPr="00A33DD2" w:rsidRDefault="00D90B64" w:rsidP="00F76882">
            <w:pPr>
              <w:pStyle w:val="Tabletext"/>
            </w:pPr>
            <w:r w:rsidRPr="00A33DD2">
              <w:t>6</w:t>
            </w:r>
          </w:p>
        </w:tc>
        <w:tc>
          <w:tcPr>
            <w:tcW w:w="852" w:type="pct"/>
            <w:noWrap/>
          </w:tcPr>
          <w:p w14:paraId="0C463117" w14:textId="352D5DD5" w:rsidR="00D90B64" w:rsidRPr="0021168B" w:rsidRDefault="00D90B64" w:rsidP="00F76882">
            <w:pPr>
              <w:pStyle w:val="Tabletext"/>
            </w:pPr>
            <w:r w:rsidRPr="0021168B">
              <w:t>12</w:t>
            </w:r>
          </w:p>
        </w:tc>
        <w:tc>
          <w:tcPr>
            <w:tcW w:w="858" w:type="pct"/>
            <w:noWrap/>
          </w:tcPr>
          <w:p w14:paraId="7BD60316" w14:textId="28757891" w:rsidR="00D90B64" w:rsidRPr="0021168B" w:rsidRDefault="00D90B64" w:rsidP="00F76882">
            <w:pPr>
              <w:pStyle w:val="Tabletext"/>
            </w:pPr>
            <w:r w:rsidRPr="0021168B">
              <w:t>22</w:t>
            </w:r>
          </w:p>
        </w:tc>
      </w:tr>
      <w:tr w:rsidR="00715861" w:rsidRPr="0036007C" w14:paraId="54533DA1" w14:textId="77777777" w:rsidTr="002A10FC">
        <w:trPr>
          <w:trHeight w:val="510"/>
        </w:trPr>
        <w:tc>
          <w:tcPr>
            <w:tcW w:w="5000" w:type="pct"/>
            <w:gridSpan w:val="5"/>
            <w:hideMark/>
          </w:tcPr>
          <w:p w14:paraId="54B23976" w14:textId="77777777" w:rsidR="00715861" w:rsidRPr="001B4458" w:rsidRDefault="00715861" w:rsidP="00F76882">
            <w:pPr>
              <w:rPr>
                <w:rStyle w:val="Strong"/>
              </w:rPr>
            </w:pPr>
            <w:r w:rsidRPr="001B4458">
              <w:rPr>
                <w:rStyle w:val="Strong"/>
              </w:rPr>
              <w:t>Methods of health promotion</w:t>
            </w:r>
          </w:p>
        </w:tc>
      </w:tr>
      <w:tr w:rsidR="002245F1" w:rsidRPr="0036007C" w14:paraId="5A0B5ED7" w14:textId="77777777" w:rsidTr="009F255D">
        <w:trPr>
          <w:cnfStyle w:val="000000010000" w:firstRow="0" w:lastRow="0" w:firstColumn="0" w:lastColumn="0" w:oddVBand="0" w:evenVBand="0" w:oddHBand="0" w:evenHBand="1" w:firstRowFirstColumn="0" w:firstRowLastColumn="0" w:lastRowFirstColumn="0" w:lastRowLastColumn="0"/>
          <w:trHeight w:val="454"/>
        </w:trPr>
        <w:tc>
          <w:tcPr>
            <w:tcW w:w="1491" w:type="pct"/>
            <w:hideMark/>
          </w:tcPr>
          <w:p w14:paraId="18703A8F" w14:textId="77777777" w:rsidR="002245F1" w:rsidRPr="0036007C" w:rsidRDefault="002245F1" w:rsidP="00F76882">
            <w:pPr>
              <w:pStyle w:val="Tabletextleft"/>
            </w:pPr>
            <w:r w:rsidRPr="0036007C">
              <w:t>One-on-one discussion</w:t>
            </w:r>
          </w:p>
        </w:tc>
        <w:tc>
          <w:tcPr>
            <w:tcW w:w="848" w:type="pct"/>
            <w:noWrap/>
          </w:tcPr>
          <w:p w14:paraId="24833719" w14:textId="19CDF739" w:rsidR="002245F1" w:rsidRPr="00A33DD2" w:rsidRDefault="002245F1" w:rsidP="00F76882">
            <w:pPr>
              <w:pStyle w:val="Tabletext"/>
            </w:pPr>
            <w:r w:rsidRPr="00A33DD2">
              <w:t>4</w:t>
            </w:r>
          </w:p>
        </w:tc>
        <w:tc>
          <w:tcPr>
            <w:tcW w:w="951" w:type="pct"/>
            <w:noWrap/>
          </w:tcPr>
          <w:p w14:paraId="58E587EE" w14:textId="0D920FD1" w:rsidR="002245F1" w:rsidRPr="00A33DD2" w:rsidRDefault="002245F1" w:rsidP="00F76882">
            <w:pPr>
              <w:pStyle w:val="Tabletext"/>
            </w:pPr>
            <w:r w:rsidRPr="00A33DD2">
              <w:t>2</w:t>
            </w:r>
          </w:p>
        </w:tc>
        <w:tc>
          <w:tcPr>
            <w:tcW w:w="852" w:type="pct"/>
            <w:noWrap/>
          </w:tcPr>
          <w:p w14:paraId="789CAB18" w14:textId="37756AB1" w:rsidR="002245F1" w:rsidRPr="0021168B" w:rsidRDefault="002245F1" w:rsidP="00F76882">
            <w:pPr>
              <w:pStyle w:val="Tabletext"/>
            </w:pPr>
            <w:r w:rsidRPr="0021168B">
              <w:t>1</w:t>
            </w:r>
          </w:p>
        </w:tc>
        <w:tc>
          <w:tcPr>
            <w:tcW w:w="858" w:type="pct"/>
            <w:noWrap/>
          </w:tcPr>
          <w:p w14:paraId="2D5CBEAB" w14:textId="2E8AD0C2" w:rsidR="002245F1" w:rsidRPr="0021168B" w:rsidRDefault="002245F1" w:rsidP="00F76882">
            <w:pPr>
              <w:pStyle w:val="Tabletext"/>
            </w:pPr>
            <w:r w:rsidRPr="0021168B">
              <w:t>7</w:t>
            </w:r>
          </w:p>
        </w:tc>
      </w:tr>
      <w:tr w:rsidR="002245F1" w:rsidRPr="0036007C" w14:paraId="37F9EC45" w14:textId="77777777" w:rsidTr="009F255D">
        <w:trPr>
          <w:trHeight w:val="454"/>
        </w:trPr>
        <w:tc>
          <w:tcPr>
            <w:tcW w:w="1491" w:type="pct"/>
            <w:hideMark/>
          </w:tcPr>
          <w:p w14:paraId="01424B35" w14:textId="77777777" w:rsidR="002245F1" w:rsidRPr="0036007C" w:rsidRDefault="002245F1" w:rsidP="00F76882">
            <w:pPr>
              <w:pStyle w:val="Tabletextleft"/>
            </w:pPr>
            <w:r w:rsidRPr="0036007C">
              <w:t>Presentation to group</w:t>
            </w:r>
          </w:p>
        </w:tc>
        <w:tc>
          <w:tcPr>
            <w:tcW w:w="848" w:type="pct"/>
            <w:noWrap/>
          </w:tcPr>
          <w:p w14:paraId="674BCF59" w14:textId="1E776EC2" w:rsidR="002245F1" w:rsidRPr="00A33DD2" w:rsidRDefault="002245F1" w:rsidP="00F76882">
            <w:pPr>
              <w:pStyle w:val="Tabletext"/>
            </w:pPr>
            <w:r w:rsidRPr="00A33DD2">
              <w:t>2</w:t>
            </w:r>
          </w:p>
        </w:tc>
        <w:tc>
          <w:tcPr>
            <w:tcW w:w="951" w:type="pct"/>
            <w:noWrap/>
          </w:tcPr>
          <w:p w14:paraId="625E71C8" w14:textId="66E0B881" w:rsidR="002245F1" w:rsidRPr="00A33DD2" w:rsidRDefault="002245F1" w:rsidP="00F76882">
            <w:pPr>
              <w:pStyle w:val="Tabletext"/>
            </w:pPr>
            <w:r w:rsidRPr="00A33DD2">
              <w:t>4</w:t>
            </w:r>
          </w:p>
        </w:tc>
        <w:tc>
          <w:tcPr>
            <w:tcW w:w="852" w:type="pct"/>
            <w:noWrap/>
          </w:tcPr>
          <w:p w14:paraId="5C3FF2E6" w14:textId="56131743" w:rsidR="002245F1" w:rsidRPr="0021168B" w:rsidRDefault="002245F1" w:rsidP="00F76882">
            <w:pPr>
              <w:pStyle w:val="Tabletext"/>
            </w:pPr>
            <w:r w:rsidRPr="0021168B">
              <w:t>7</w:t>
            </w:r>
          </w:p>
        </w:tc>
        <w:tc>
          <w:tcPr>
            <w:tcW w:w="858" w:type="pct"/>
            <w:noWrap/>
          </w:tcPr>
          <w:p w14:paraId="1C565B51" w14:textId="35703C7B" w:rsidR="002245F1" w:rsidRPr="0021168B" w:rsidRDefault="002245F1" w:rsidP="00F76882">
            <w:pPr>
              <w:pStyle w:val="Tabletext"/>
            </w:pPr>
            <w:r w:rsidRPr="0021168B">
              <w:t>13</w:t>
            </w:r>
          </w:p>
        </w:tc>
      </w:tr>
      <w:tr w:rsidR="002245F1" w:rsidRPr="0036007C" w14:paraId="7F3362D2" w14:textId="77777777" w:rsidTr="009F255D">
        <w:trPr>
          <w:cnfStyle w:val="000000010000" w:firstRow="0" w:lastRow="0" w:firstColumn="0" w:lastColumn="0" w:oddVBand="0" w:evenVBand="0" w:oddHBand="0" w:evenHBand="1" w:firstRowFirstColumn="0" w:firstRowLastColumn="0" w:lastRowFirstColumn="0" w:lastRowLastColumn="0"/>
          <w:trHeight w:val="454"/>
        </w:trPr>
        <w:tc>
          <w:tcPr>
            <w:tcW w:w="1491" w:type="pct"/>
            <w:hideMark/>
          </w:tcPr>
          <w:p w14:paraId="09E9F59A" w14:textId="77777777" w:rsidR="002245F1" w:rsidRPr="0036007C" w:rsidRDefault="002245F1" w:rsidP="00F76882">
            <w:pPr>
              <w:pStyle w:val="Tabletextleft"/>
            </w:pPr>
            <w:r w:rsidRPr="0036007C">
              <w:t>Interactive group session</w:t>
            </w:r>
          </w:p>
        </w:tc>
        <w:tc>
          <w:tcPr>
            <w:tcW w:w="848" w:type="pct"/>
            <w:noWrap/>
          </w:tcPr>
          <w:p w14:paraId="6F7FC2F3" w14:textId="2DCD1E0A" w:rsidR="002245F1" w:rsidRPr="00A33DD2" w:rsidRDefault="002245F1" w:rsidP="00F76882">
            <w:pPr>
              <w:pStyle w:val="Tabletext"/>
            </w:pPr>
            <w:r w:rsidRPr="00A33DD2">
              <w:t>0</w:t>
            </w:r>
          </w:p>
        </w:tc>
        <w:tc>
          <w:tcPr>
            <w:tcW w:w="951" w:type="pct"/>
            <w:noWrap/>
          </w:tcPr>
          <w:p w14:paraId="1366D25A" w14:textId="310639EE" w:rsidR="002245F1" w:rsidRPr="00A33DD2" w:rsidRDefault="002245F1" w:rsidP="00F76882">
            <w:pPr>
              <w:pStyle w:val="Tabletext"/>
            </w:pPr>
            <w:r w:rsidRPr="00A33DD2">
              <w:t>1</w:t>
            </w:r>
          </w:p>
        </w:tc>
        <w:tc>
          <w:tcPr>
            <w:tcW w:w="852" w:type="pct"/>
            <w:noWrap/>
          </w:tcPr>
          <w:p w14:paraId="6AA073BA" w14:textId="56E92033" w:rsidR="002245F1" w:rsidRPr="0021168B" w:rsidRDefault="002245F1" w:rsidP="00F76882">
            <w:pPr>
              <w:pStyle w:val="Tabletext"/>
            </w:pPr>
            <w:r w:rsidRPr="0021168B">
              <w:t>2</w:t>
            </w:r>
          </w:p>
        </w:tc>
        <w:tc>
          <w:tcPr>
            <w:tcW w:w="858" w:type="pct"/>
            <w:noWrap/>
          </w:tcPr>
          <w:p w14:paraId="288486C8" w14:textId="48851BF8" w:rsidR="002245F1" w:rsidRPr="0021168B" w:rsidRDefault="002245F1" w:rsidP="00F76882">
            <w:pPr>
              <w:pStyle w:val="Tabletext"/>
            </w:pPr>
            <w:r w:rsidRPr="0021168B">
              <w:t>3</w:t>
            </w:r>
          </w:p>
        </w:tc>
      </w:tr>
      <w:tr w:rsidR="002245F1" w:rsidRPr="0036007C" w14:paraId="00F7F052" w14:textId="77777777" w:rsidTr="009F255D">
        <w:trPr>
          <w:trHeight w:val="454"/>
        </w:trPr>
        <w:tc>
          <w:tcPr>
            <w:tcW w:w="1491" w:type="pct"/>
            <w:hideMark/>
          </w:tcPr>
          <w:p w14:paraId="71630D05" w14:textId="77777777" w:rsidR="002245F1" w:rsidRPr="0036007C" w:rsidRDefault="002245F1" w:rsidP="00F76882">
            <w:pPr>
              <w:pStyle w:val="Tabletextleft"/>
            </w:pPr>
            <w:r w:rsidRPr="0036007C">
              <w:t>Social marketing</w:t>
            </w:r>
          </w:p>
        </w:tc>
        <w:tc>
          <w:tcPr>
            <w:tcW w:w="848" w:type="pct"/>
            <w:noWrap/>
          </w:tcPr>
          <w:p w14:paraId="7FF76708" w14:textId="358ED1F6" w:rsidR="002245F1" w:rsidRPr="00A33DD2" w:rsidRDefault="002245F1" w:rsidP="00F76882">
            <w:pPr>
              <w:pStyle w:val="Tabletext"/>
            </w:pPr>
            <w:r w:rsidRPr="00A33DD2">
              <w:t>1</w:t>
            </w:r>
          </w:p>
        </w:tc>
        <w:tc>
          <w:tcPr>
            <w:tcW w:w="951" w:type="pct"/>
            <w:noWrap/>
          </w:tcPr>
          <w:p w14:paraId="5138A59A" w14:textId="43198E2D" w:rsidR="002245F1" w:rsidRPr="00A33DD2" w:rsidRDefault="002245F1" w:rsidP="00F76882">
            <w:pPr>
              <w:pStyle w:val="Tabletext"/>
            </w:pPr>
            <w:r w:rsidRPr="00A33DD2">
              <w:t>1</w:t>
            </w:r>
          </w:p>
        </w:tc>
        <w:tc>
          <w:tcPr>
            <w:tcW w:w="852" w:type="pct"/>
            <w:noWrap/>
          </w:tcPr>
          <w:p w14:paraId="0535DCFD" w14:textId="46703CF3" w:rsidR="002245F1" w:rsidRPr="0021168B" w:rsidRDefault="002245F1" w:rsidP="00F76882">
            <w:pPr>
              <w:pStyle w:val="Tabletext"/>
            </w:pPr>
            <w:r w:rsidRPr="0021168B">
              <w:t>1</w:t>
            </w:r>
          </w:p>
        </w:tc>
        <w:tc>
          <w:tcPr>
            <w:tcW w:w="858" w:type="pct"/>
            <w:noWrap/>
          </w:tcPr>
          <w:p w14:paraId="7E6B99CB" w14:textId="5ADEFFA1" w:rsidR="002245F1" w:rsidRPr="0021168B" w:rsidRDefault="002245F1" w:rsidP="00F76882">
            <w:pPr>
              <w:pStyle w:val="Tabletext"/>
            </w:pPr>
            <w:r w:rsidRPr="0021168B">
              <w:t>3</w:t>
            </w:r>
          </w:p>
        </w:tc>
      </w:tr>
      <w:tr w:rsidR="002245F1" w:rsidRPr="0036007C" w14:paraId="6C131F9D" w14:textId="77777777" w:rsidTr="009F255D">
        <w:trPr>
          <w:cnfStyle w:val="000000010000" w:firstRow="0" w:lastRow="0" w:firstColumn="0" w:lastColumn="0" w:oddVBand="0" w:evenVBand="0" w:oddHBand="0" w:evenHBand="1" w:firstRowFirstColumn="0" w:firstRowLastColumn="0" w:lastRowFirstColumn="0" w:lastRowLastColumn="0"/>
          <w:trHeight w:val="454"/>
        </w:trPr>
        <w:tc>
          <w:tcPr>
            <w:tcW w:w="1491" w:type="pct"/>
            <w:hideMark/>
          </w:tcPr>
          <w:p w14:paraId="42CB18BC" w14:textId="77777777" w:rsidR="002245F1" w:rsidRPr="0036007C" w:rsidRDefault="002245F1" w:rsidP="00F76882">
            <w:pPr>
              <w:pStyle w:val="Tabletextleft"/>
            </w:pPr>
            <w:r w:rsidRPr="0036007C">
              <w:t>Print material/mass media</w:t>
            </w:r>
          </w:p>
        </w:tc>
        <w:tc>
          <w:tcPr>
            <w:tcW w:w="848" w:type="pct"/>
            <w:noWrap/>
          </w:tcPr>
          <w:p w14:paraId="0480BED1" w14:textId="3801BD06" w:rsidR="002245F1" w:rsidRPr="00A33DD2" w:rsidRDefault="002245F1" w:rsidP="00F76882">
            <w:pPr>
              <w:pStyle w:val="Tabletext"/>
            </w:pPr>
            <w:r w:rsidRPr="00A33DD2">
              <w:t>2</w:t>
            </w:r>
          </w:p>
        </w:tc>
        <w:tc>
          <w:tcPr>
            <w:tcW w:w="951" w:type="pct"/>
            <w:noWrap/>
          </w:tcPr>
          <w:p w14:paraId="5A2500AF" w14:textId="35BD5A7C" w:rsidR="002245F1" w:rsidRPr="00A33DD2" w:rsidRDefault="002245F1" w:rsidP="00F76882">
            <w:pPr>
              <w:pStyle w:val="Tabletext"/>
            </w:pPr>
            <w:r w:rsidRPr="00A33DD2">
              <w:t>0</w:t>
            </w:r>
          </w:p>
        </w:tc>
        <w:tc>
          <w:tcPr>
            <w:tcW w:w="852" w:type="pct"/>
            <w:noWrap/>
          </w:tcPr>
          <w:p w14:paraId="58983295" w14:textId="3C450F94" w:rsidR="002245F1" w:rsidRPr="0021168B" w:rsidRDefault="002245F1" w:rsidP="00F76882">
            <w:pPr>
              <w:pStyle w:val="Tabletext"/>
            </w:pPr>
            <w:r w:rsidRPr="0021168B">
              <w:t>0</w:t>
            </w:r>
          </w:p>
        </w:tc>
        <w:tc>
          <w:tcPr>
            <w:tcW w:w="858" w:type="pct"/>
            <w:noWrap/>
          </w:tcPr>
          <w:p w14:paraId="61D96561" w14:textId="40737403" w:rsidR="002245F1" w:rsidRPr="0021168B" w:rsidRDefault="002245F1" w:rsidP="00F76882">
            <w:pPr>
              <w:pStyle w:val="Tabletext"/>
            </w:pPr>
            <w:r w:rsidRPr="0021168B">
              <w:t>2</w:t>
            </w:r>
          </w:p>
        </w:tc>
      </w:tr>
      <w:tr w:rsidR="009F255D" w:rsidRPr="0036007C" w14:paraId="7F6CA9EA" w14:textId="77777777" w:rsidTr="009F255D">
        <w:trPr>
          <w:trHeight w:val="454"/>
        </w:trPr>
        <w:tc>
          <w:tcPr>
            <w:tcW w:w="1491" w:type="pct"/>
            <w:hideMark/>
          </w:tcPr>
          <w:p w14:paraId="34B0C106" w14:textId="77777777" w:rsidR="009F255D" w:rsidRPr="0036007C" w:rsidRDefault="009F255D" w:rsidP="00F76882">
            <w:pPr>
              <w:pStyle w:val="Tabletextleft"/>
            </w:pPr>
            <w:r w:rsidRPr="0036007C">
              <w:t>Sporting/community events</w:t>
            </w:r>
          </w:p>
        </w:tc>
        <w:tc>
          <w:tcPr>
            <w:tcW w:w="848" w:type="pct"/>
            <w:noWrap/>
          </w:tcPr>
          <w:p w14:paraId="7BE9C7BC" w14:textId="2836695D" w:rsidR="009F255D" w:rsidRPr="00A33DD2" w:rsidRDefault="009F255D" w:rsidP="00F76882">
            <w:pPr>
              <w:pStyle w:val="Tabletext"/>
            </w:pPr>
            <w:r w:rsidRPr="00A33DD2">
              <w:t>3</w:t>
            </w:r>
          </w:p>
        </w:tc>
        <w:tc>
          <w:tcPr>
            <w:tcW w:w="951" w:type="pct"/>
            <w:noWrap/>
          </w:tcPr>
          <w:p w14:paraId="52A07F37" w14:textId="4A74D932" w:rsidR="009F255D" w:rsidRPr="00A33DD2" w:rsidRDefault="009F255D" w:rsidP="00F76882">
            <w:pPr>
              <w:pStyle w:val="Tabletext"/>
            </w:pPr>
            <w:r w:rsidRPr="00A33DD2">
              <w:t>0</w:t>
            </w:r>
          </w:p>
        </w:tc>
        <w:tc>
          <w:tcPr>
            <w:tcW w:w="852" w:type="pct"/>
            <w:noWrap/>
          </w:tcPr>
          <w:p w14:paraId="723D4E00" w14:textId="3D9F1164" w:rsidR="009F255D" w:rsidRPr="0021168B" w:rsidRDefault="009F255D" w:rsidP="00F76882">
            <w:pPr>
              <w:pStyle w:val="Tabletext"/>
            </w:pPr>
            <w:r w:rsidRPr="0021168B">
              <w:t>3</w:t>
            </w:r>
          </w:p>
        </w:tc>
        <w:tc>
          <w:tcPr>
            <w:tcW w:w="858" w:type="pct"/>
            <w:noWrap/>
          </w:tcPr>
          <w:p w14:paraId="34E63ADB" w14:textId="1A6B0472" w:rsidR="009F255D" w:rsidRPr="0021168B" w:rsidRDefault="009F255D" w:rsidP="00F76882">
            <w:pPr>
              <w:pStyle w:val="Tabletext"/>
            </w:pPr>
            <w:r w:rsidRPr="0021168B">
              <w:t>6</w:t>
            </w:r>
          </w:p>
        </w:tc>
      </w:tr>
      <w:tr w:rsidR="002245F1" w:rsidRPr="0036007C" w14:paraId="0E0DC1B8" w14:textId="77777777" w:rsidTr="009F255D">
        <w:trPr>
          <w:cnfStyle w:val="000000010000" w:firstRow="0" w:lastRow="0" w:firstColumn="0" w:lastColumn="0" w:oddVBand="0" w:evenVBand="0" w:oddHBand="0" w:evenHBand="1" w:firstRowFirstColumn="0" w:firstRowLastColumn="0" w:lastRowFirstColumn="0" w:lastRowLastColumn="0"/>
          <w:trHeight w:val="454"/>
        </w:trPr>
        <w:tc>
          <w:tcPr>
            <w:tcW w:w="1491" w:type="pct"/>
            <w:hideMark/>
          </w:tcPr>
          <w:p w14:paraId="06BF655B" w14:textId="77777777" w:rsidR="002245F1" w:rsidRPr="0036007C" w:rsidRDefault="002245F1" w:rsidP="00F76882">
            <w:pPr>
              <w:pStyle w:val="Tabletextleft"/>
            </w:pPr>
            <w:r w:rsidRPr="0036007C">
              <w:t>Other</w:t>
            </w:r>
          </w:p>
        </w:tc>
        <w:tc>
          <w:tcPr>
            <w:tcW w:w="848" w:type="pct"/>
            <w:noWrap/>
          </w:tcPr>
          <w:p w14:paraId="77A00489" w14:textId="23814AD0" w:rsidR="002245F1" w:rsidRPr="00A33DD2" w:rsidRDefault="002245F1" w:rsidP="00F76882">
            <w:pPr>
              <w:pStyle w:val="Tabletext"/>
            </w:pPr>
            <w:r w:rsidRPr="00A33DD2">
              <w:t>2</w:t>
            </w:r>
          </w:p>
        </w:tc>
        <w:tc>
          <w:tcPr>
            <w:tcW w:w="951" w:type="pct"/>
            <w:noWrap/>
          </w:tcPr>
          <w:p w14:paraId="50DAE99D" w14:textId="321FC3A9" w:rsidR="002245F1" w:rsidRPr="00A33DD2" w:rsidRDefault="002245F1" w:rsidP="00F76882">
            <w:pPr>
              <w:pStyle w:val="Tabletext"/>
            </w:pPr>
            <w:r w:rsidRPr="00A33DD2">
              <w:t>1</w:t>
            </w:r>
          </w:p>
        </w:tc>
        <w:tc>
          <w:tcPr>
            <w:tcW w:w="852" w:type="pct"/>
            <w:noWrap/>
          </w:tcPr>
          <w:p w14:paraId="794110F6" w14:textId="07A209C8" w:rsidR="002245F1" w:rsidRPr="0021168B" w:rsidRDefault="002245F1" w:rsidP="00F76882">
            <w:pPr>
              <w:pStyle w:val="Tabletext"/>
            </w:pPr>
            <w:r w:rsidRPr="0021168B">
              <w:t>2</w:t>
            </w:r>
          </w:p>
        </w:tc>
        <w:tc>
          <w:tcPr>
            <w:tcW w:w="858" w:type="pct"/>
            <w:noWrap/>
          </w:tcPr>
          <w:p w14:paraId="5034A0E8" w14:textId="6E5DF9E5" w:rsidR="002245F1" w:rsidRPr="0021168B" w:rsidRDefault="002245F1" w:rsidP="00F76882">
            <w:pPr>
              <w:pStyle w:val="Tabletext"/>
            </w:pPr>
            <w:r w:rsidRPr="0021168B">
              <w:t>5</w:t>
            </w:r>
          </w:p>
        </w:tc>
      </w:tr>
      <w:tr w:rsidR="00715861" w:rsidRPr="0036007C" w14:paraId="255090F8" w14:textId="77777777" w:rsidTr="002A10FC">
        <w:trPr>
          <w:trHeight w:val="510"/>
        </w:trPr>
        <w:tc>
          <w:tcPr>
            <w:tcW w:w="5000" w:type="pct"/>
            <w:gridSpan w:val="5"/>
            <w:hideMark/>
          </w:tcPr>
          <w:p w14:paraId="40CD76BA" w14:textId="77777777" w:rsidR="00715861" w:rsidRPr="001B4458" w:rsidRDefault="00715861" w:rsidP="00F76882">
            <w:pPr>
              <w:rPr>
                <w:rStyle w:val="Strong"/>
              </w:rPr>
            </w:pPr>
            <w:r w:rsidRPr="001B4458">
              <w:rPr>
                <w:rStyle w:val="Strong"/>
              </w:rPr>
              <w:t>Target audience</w:t>
            </w:r>
          </w:p>
        </w:tc>
      </w:tr>
      <w:tr w:rsidR="002245F1" w:rsidRPr="0036007C" w14:paraId="484B9437" w14:textId="77777777" w:rsidTr="009F255D">
        <w:trPr>
          <w:cnfStyle w:val="000000010000" w:firstRow="0" w:lastRow="0" w:firstColumn="0" w:lastColumn="0" w:oddVBand="0" w:evenVBand="0" w:oddHBand="0" w:evenHBand="1" w:firstRowFirstColumn="0" w:firstRowLastColumn="0" w:lastRowFirstColumn="0" w:lastRowLastColumn="0"/>
          <w:trHeight w:val="454"/>
        </w:trPr>
        <w:tc>
          <w:tcPr>
            <w:tcW w:w="1491" w:type="pct"/>
            <w:hideMark/>
          </w:tcPr>
          <w:p w14:paraId="1ED633F1" w14:textId="77777777" w:rsidR="002245F1" w:rsidRPr="0036007C" w:rsidRDefault="002245F1" w:rsidP="00F76882">
            <w:pPr>
              <w:pStyle w:val="Tabletextleft"/>
            </w:pPr>
            <w:r w:rsidRPr="0036007C">
              <w:t>Health professionals/staff</w:t>
            </w:r>
          </w:p>
        </w:tc>
        <w:tc>
          <w:tcPr>
            <w:tcW w:w="848" w:type="pct"/>
            <w:noWrap/>
          </w:tcPr>
          <w:p w14:paraId="1A9360B9" w14:textId="4FA9C85F" w:rsidR="002245F1" w:rsidRPr="00A33DD2" w:rsidRDefault="002245F1" w:rsidP="00F76882">
            <w:pPr>
              <w:pStyle w:val="Tabletext"/>
            </w:pPr>
            <w:r w:rsidRPr="00A33DD2">
              <w:t>1</w:t>
            </w:r>
          </w:p>
        </w:tc>
        <w:tc>
          <w:tcPr>
            <w:tcW w:w="951" w:type="pct"/>
            <w:noWrap/>
          </w:tcPr>
          <w:p w14:paraId="22F24737" w14:textId="3F78CAB7" w:rsidR="002245F1" w:rsidRPr="00A33DD2" w:rsidRDefault="002245F1" w:rsidP="00F76882">
            <w:pPr>
              <w:pStyle w:val="Tabletext"/>
            </w:pPr>
            <w:r w:rsidRPr="00A33DD2">
              <w:t>2</w:t>
            </w:r>
          </w:p>
        </w:tc>
        <w:tc>
          <w:tcPr>
            <w:tcW w:w="852" w:type="pct"/>
            <w:noWrap/>
          </w:tcPr>
          <w:p w14:paraId="43A2D0B0" w14:textId="18059F08" w:rsidR="002245F1" w:rsidRPr="0021168B" w:rsidRDefault="002245F1" w:rsidP="00F76882">
            <w:pPr>
              <w:pStyle w:val="Tabletext"/>
            </w:pPr>
            <w:r w:rsidRPr="0021168B">
              <w:t>4</w:t>
            </w:r>
          </w:p>
        </w:tc>
        <w:tc>
          <w:tcPr>
            <w:tcW w:w="858" w:type="pct"/>
            <w:noWrap/>
          </w:tcPr>
          <w:p w14:paraId="582CC342" w14:textId="2AB2B380" w:rsidR="002245F1" w:rsidRPr="0021168B" w:rsidRDefault="002245F1" w:rsidP="00F76882">
            <w:pPr>
              <w:pStyle w:val="Tabletext"/>
            </w:pPr>
            <w:r w:rsidRPr="0021168B">
              <w:t>7</w:t>
            </w:r>
          </w:p>
        </w:tc>
      </w:tr>
      <w:tr w:rsidR="003B5DDA" w:rsidRPr="0036007C" w14:paraId="280D5F92" w14:textId="77777777" w:rsidTr="009F255D">
        <w:trPr>
          <w:trHeight w:val="454"/>
        </w:trPr>
        <w:tc>
          <w:tcPr>
            <w:tcW w:w="1491" w:type="pct"/>
            <w:hideMark/>
          </w:tcPr>
          <w:p w14:paraId="1681E8A3" w14:textId="77777777" w:rsidR="003B5DDA" w:rsidRPr="0036007C" w:rsidRDefault="003B5DDA" w:rsidP="00F76882">
            <w:pPr>
              <w:pStyle w:val="Tabletextleft"/>
            </w:pPr>
            <w:r w:rsidRPr="0036007C">
              <w:t>Children</w:t>
            </w:r>
          </w:p>
        </w:tc>
        <w:tc>
          <w:tcPr>
            <w:tcW w:w="848" w:type="pct"/>
            <w:noWrap/>
          </w:tcPr>
          <w:p w14:paraId="10C662D9" w14:textId="249CF4D1" w:rsidR="003B5DDA" w:rsidRPr="00A33DD2" w:rsidRDefault="003B5DDA" w:rsidP="00F76882">
            <w:pPr>
              <w:pStyle w:val="Tabletext"/>
            </w:pPr>
            <w:r w:rsidRPr="00A33DD2">
              <w:t>3</w:t>
            </w:r>
          </w:p>
        </w:tc>
        <w:tc>
          <w:tcPr>
            <w:tcW w:w="951" w:type="pct"/>
            <w:noWrap/>
          </w:tcPr>
          <w:p w14:paraId="25CAEA10" w14:textId="3468BC0F" w:rsidR="003B5DDA" w:rsidRPr="00A33DD2" w:rsidRDefault="003B5DDA" w:rsidP="00F76882">
            <w:pPr>
              <w:pStyle w:val="Tabletext"/>
            </w:pPr>
            <w:r w:rsidRPr="00A33DD2">
              <w:t>3</w:t>
            </w:r>
          </w:p>
        </w:tc>
        <w:tc>
          <w:tcPr>
            <w:tcW w:w="852" w:type="pct"/>
            <w:noWrap/>
          </w:tcPr>
          <w:p w14:paraId="7482295F" w14:textId="16963819" w:rsidR="003B5DDA" w:rsidRPr="0021168B" w:rsidRDefault="003B5DDA" w:rsidP="00F76882">
            <w:pPr>
              <w:pStyle w:val="Tabletext"/>
            </w:pPr>
            <w:r w:rsidRPr="0021168B">
              <w:t>6</w:t>
            </w:r>
          </w:p>
        </w:tc>
        <w:tc>
          <w:tcPr>
            <w:tcW w:w="858" w:type="pct"/>
            <w:noWrap/>
          </w:tcPr>
          <w:p w14:paraId="407A1F3E" w14:textId="1BF2D0C8" w:rsidR="003B5DDA" w:rsidRPr="0021168B" w:rsidRDefault="003B5DDA" w:rsidP="00F76882">
            <w:pPr>
              <w:pStyle w:val="Tabletext"/>
            </w:pPr>
            <w:r w:rsidRPr="0021168B">
              <w:t>12</w:t>
            </w:r>
          </w:p>
        </w:tc>
      </w:tr>
      <w:tr w:rsidR="003B5DDA" w:rsidRPr="0036007C" w14:paraId="4800A044" w14:textId="77777777" w:rsidTr="009F255D">
        <w:trPr>
          <w:cnfStyle w:val="000000010000" w:firstRow="0" w:lastRow="0" w:firstColumn="0" w:lastColumn="0" w:oddVBand="0" w:evenVBand="0" w:oddHBand="0" w:evenHBand="1" w:firstRowFirstColumn="0" w:firstRowLastColumn="0" w:lastRowFirstColumn="0" w:lastRowLastColumn="0"/>
          <w:trHeight w:val="454"/>
        </w:trPr>
        <w:tc>
          <w:tcPr>
            <w:tcW w:w="1491" w:type="pct"/>
            <w:hideMark/>
          </w:tcPr>
          <w:p w14:paraId="241839E9" w14:textId="77777777" w:rsidR="003B5DDA" w:rsidRPr="0036007C" w:rsidRDefault="003B5DDA" w:rsidP="00F76882">
            <w:pPr>
              <w:pStyle w:val="Tabletextleft"/>
            </w:pPr>
            <w:r w:rsidRPr="0036007C">
              <w:t>Youth</w:t>
            </w:r>
          </w:p>
        </w:tc>
        <w:tc>
          <w:tcPr>
            <w:tcW w:w="848" w:type="pct"/>
            <w:noWrap/>
          </w:tcPr>
          <w:p w14:paraId="50725944" w14:textId="49B0051A" w:rsidR="003B5DDA" w:rsidRPr="00A33DD2" w:rsidRDefault="003B5DDA" w:rsidP="00F76882">
            <w:pPr>
              <w:pStyle w:val="Tabletext"/>
            </w:pPr>
            <w:r w:rsidRPr="00A33DD2">
              <w:t>1</w:t>
            </w:r>
          </w:p>
        </w:tc>
        <w:tc>
          <w:tcPr>
            <w:tcW w:w="951" w:type="pct"/>
            <w:noWrap/>
          </w:tcPr>
          <w:p w14:paraId="4DD75354" w14:textId="00C087AC" w:rsidR="003B5DDA" w:rsidRPr="00A33DD2" w:rsidRDefault="003B5DDA" w:rsidP="00F76882">
            <w:pPr>
              <w:pStyle w:val="Tabletext"/>
            </w:pPr>
            <w:r w:rsidRPr="00A33DD2">
              <w:t>3</w:t>
            </w:r>
          </w:p>
        </w:tc>
        <w:tc>
          <w:tcPr>
            <w:tcW w:w="852" w:type="pct"/>
            <w:noWrap/>
          </w:tcPr>
          <w:p w14:paraId="58A49E3F" w14:textId="4D4036E3" w:rsidR="003B5DDA" w:rsidRPr="0021168B" w:rsidRDefault="003B5DDA" w:rsidP="00F76882">
            <w:pPr>
              <w:pStyle w:val="Tabletext"/>
            </w:pPr>
            <w:r w:rsidRPr="0021168B">
              <w:t>6</w:t>
            </w:r>
          </w:p>
        </w:tc>
        <w:tc>
          <w:tcPr>
            <w:tcW w:w="858" w:type="pct"/>
            <w:noWrap/>
          </w:tcPr>
          <w:p w14:paraId="3E57C3D5" w14:textId="33867F14" w:rsidR="003B5DDA" w:rsidRPr="0021168B" w:rsidRDefault="003B5DDA" w:rsidP="00F76882">
            <w:pPr>
              <w:pStyle w:val="Tabletext"/>
            </w:pPr>
            <w:r w:rsidRPr="0021168B">
              <w:t>10</w:t>
            </w:r>
          </w:p>
        </w:tc>
      </w:tr>
      <w:tr w:rsidR="003B5DDA" w:rsidRPr="0036007C" w14:paraId="7248520D" w14:textId="77777777" w:rsidTr="009F255D">
        <w:trPr>
          <w:trHeight w:val="454"/>
        </w:trPr>
        <w:tc>
          <w:tcPr>
            <w:tcW w:w="1491" w:type="pct"/>
            <w:hideMark/>
          </w:tcPr>
          <w:p w14:paraId="5B111B08" w14:textId="77777777" w:rsidR="003B5DDA" w:rsidRPr="0036007C" w:rsidRDefault="003B5DDA" w:rsidP="00F76882">
            <w:pPr>
              <w:pStyle w:val="Tabletextleft"/>
            </w:pPr>
            <w:r w:rsidRPr="0036007C">
              <w:t>Teachers/childcare/preschool staff</w:t>
            </w:r>
          </w:p>
        </w:tc>
        <w:tc>
          <w:tcPr>
            <w:tcW w:w="848" w:type="pct"/>
            <w:noWrap/>
          </w:tcPr>
          <w:p w14:paraId="3A46E2F0" w14:textId="278C1940" w:rsidR="003B5DDA" w:rsidRPr="00A33DD2" w:rsidRDefault="003B5DDA" w:rsidP="00F76882">
            <w:pPr>
              <w:pStyle w:val="Tabletext"/>
            </w:pPr>
            <w:r w:rsidRPr="00A33DD2">
              <w:t>3</w:t>
            </w:r>
          </w:p>
        </w:tc>
        <w:tc>
          <w:tcPr>
            <w:tcW w:w="951" w:type="pct"/>
            <w:noWrap/>
          </w:tcPr>
          <w:p w14:paraId="4C7CF3A5" w14:textId="44B165F2" w:rsidR="003B5DDA" w:rsidRPr="00A33DD2" w:rsidRDefault="003B5DDA" w:rsidP="00F76882">
            <w:pPr>
              <w:pStyle w:val="Tabletext"/>
            </w:pPr>
            <w:r w:rsidRPr="00A33DD2">
              <w:t>3</w:t>
            </w:r>
          </w:p>
        </w:tc>
        <w:tc>
          <w:tcPr>
            <w:tcW w:w="852" w:type="pct"/>
            <w:noWrap/>
          </w:tcPr>
          <w:p w14:paraId="709BCE57" w14:textId="49C5E939" w:rsidR="003B5DDA" w:rsidRPr="0021168B" w:rsidRDefault="003B5DDA" w:rsidP="00F76882">
            <w:pPr>
              <w:pStyle w:val="Tabletext"/>
            </w:pPr>
            <w:r w:rsidRPr="0021168B">
              <w:t>6</w:t>
            </w:r>
          </w:p>
        </w:tc>
        <w:tc>
          <w:tcPr>
            <w:tcW w:w="858" w:type="pct"/>
            <w:noWrap/>
          </w:tcPr>
          <w:p w14:paraId="2447D1CC" w14:textId="48910A12" w:rsidR="003B5DDA" w:rsidRPr="0021168B" w:rsidRDefault="003B5DDA" w:rsidP="00F76882">
            <w:pPr>
              <w:pStyle w:val="Tabletext"/>
            </w:pPr>
            <w:r w:rsidRPr="0021168B">
              <w:t>12</w:t>
            </w:r>
          </w:p>
        </w:tc>
      </w:tr>
      <w:tr w:rsidR="002245F1" w:rsidRPr="0036007C" w14:paraId="25C19C4A" w14:textId="77777777" w:rsidTr="009F255D">
        <w:trPr>
          <w:cnfStyle w:val="000000010000" w:firstRow="0" w:lastRow="0" w:firstColumn="0" w:lastColumn="0" w:oddVBand="0" w:evenVBand="0" w:oddHBand="0" w:evenHBand="1" w:firstRowFirstColumn="0" w:firstRowLastColumn="0" w:lastRowFirstColumn="0" w:lastRowLastColumn="0"/>
          <w:trHeight w:val="454"/>
        </w:trPr>
        <w:tc>
          <w:tcPr>
            <w:tcW w:w="1491" w:type="pct"/>
            <w:hideMark/>
          </w:tcPr>
          <w:p w14:paraId="5B80BFD9" w14:textId="77777777" w:rsidR="002245F1" w:rsidRPr="0036007C" w:rsidRDefault="002245F1" w:rsidP="00F76882">
            <w:pPr>
              <w:pStyle w:val="Tabletextleft"/>
            </w:pPr>
            <w:r w:rsidRPr="0036007C">
              <w:t>Caregivers/parents</w:t>
            </w:r>
          </w:p>
        </w:tc>
        <w:tc>
          <w:tcPr>
            <w:tcW w:w="848" w:type="pct"/>
            <w:noWrap/>
          </w:tcPr>
          <w:p w14:paraId="754CBCDF" w14:textId="70796B0F" w:rsidR="002245F1" w:rsidRPr="00A33DD2" w:rsidRDefault="002245F1" w:rsidP="00F76882">
            <w:pPr>
              <w:pStyle w:val="Tabletext"/>
            </w:pPr>
            <w:r w:rsidRPr="00A33DD2">
              <w:t>3</w:t>
            </w:r>
          </w:p>
        </w:tc>
        <w:tc>
          <w:tcPr>
            <w:tcW w:w="951" w:type="pct"/>
            <w:noWrap/>
          </w:tcPr>
          <w:p w14:paraId="1BF6BD70" w14:textId="7D0D1F2C" w:rsidR="002245F1" w:rsidRPr="00A33DD2" w:rsidRDefault="002245F1" w:rsidP="00F76882">
            <w:pPr>
              <w:pStyle w:val="Tabletext"/>
            </w:pPr>
            <w:r w:rsidRPr="00A33DD2">
              <w:t>3</w:t>
            </w:r>
          </w:p>
        </w:tc>
        <w:tc>
          <w:tcPr>
            <w:tcW w:w="852" w:type="pct"/>
            <w:noWrap/>
          </w:tcPr>
          <w:p w14:paraId="63CE2011" w14:textId="7B71DD95" w:rsidR="002245F1" w:rsidRPr="0021168B" w:rsidRDefault="002245F1" w:rsidP="00F76882">
            <w:pPr>
              <w:pStyle w:val="Tabletext"/>
            </w:pPr>
            <w:r w:rsidRPr="0021168B">
              <w:t>5</w:t>
            </w:r>
          </w:p>
        </w:tc>
        <w:tc>
          <w:tcPr>
            <w:tcW w:w="858" w:type="pct"/>
            <w:noWrap/>
          </w:tcPr>
          <w:p w14:paraId="75B116B9" w14:textId="5A4E8E0B" w:rsidR="002245F1" w:rsidRPr="0021168B" w:rsidRDefault="002245F1" w:rsidP="00F76882">
            <w:pPr>
              <w:pStyle w:val="Tabletext"/>
            </w:pPr>
            <w:r w:rsidRPr="0021168B">
              <w:t>11</w:t>
            </w:r>
          </w:p>
        </w:tc>
      </w:tr>
      <w:tr w:rsidR="003B5DDA" w:rsidRPr="0036007C" w14:paraId="61A53662" w14:textId="77777777" w:rsidTr="009F255D">
        <w:trPr>
          <w:trHeight w:val="454"/>
        </w:trPr>
        <w:tc>
          <w:tcPr>
            <w:tcW w:w="1491" w:type="pct"/>
            <w:hideMark/>
          </w:tcPr>
          <w:p w14:paraId="0F9577B6" w14:textId="77777777" w:rsidR="003B5DDA" w:rsidRPr="0036007C" w:rsidRDefault="003B5DDA" w:rsidP="00F76882">
            <w:pPr>
              <w:pStyle w:val="Tabletextleft"/>
            </w:pPr>
            <w:r w:rsidRPr="0036007C">
              <w:t>Community members</w:t>
            </w:r>
          </w:p>
        </w:tc>
        <w:tc>
          <w:tcPr>
            <w:tcW w:w="848" w:type="pct"/>
            <w:noWrap/>
          </w:tcPr>
          <w:p w14:paraId="741E36C3" w14:textId="12AC3203" w:rsidR="003B5DDA" w:rsidRPr="00A33DD2" w:rsidRDefault="003B5DDA" w:rsidP="00F76882">
            <w:pPr>
              <w:pStyle w:val="Tabletext"/>
            </w:pPr>
            <w:r w:rsidRPr="00A33DD2">
              <w:t>1</w:t>
            </w:r>
          </w:p>
        </w:tc>
        <w:tc>
          <w:tcPr>
            <w:tcW w:w="951" w:type="pct"/>
            <w:noWrap/>
          </w:tcPr>
          <w:p w14:paraId="4627D924" w14:textId="730753C9" w:rsidR="003B5DDA" w:rsidRPr="00A33DD2" w:rsidRDefault="003B5DDA" w:rsidP="00F76882">
            <w:pPr>
              <w:pStyle w:val="Tabletext"/>
            </w:pPr>
            <w:r w:rsidRPr="00A33DD2">
              <w:t>0</w:t>
            </w:r>
          </w:p>
        </w:tc>
        <w:tc>
          <w:tcPr>
            <w:tcW w:w="852" w:type="pct"/>
            <w:noWrap/>
          </w:tcPr>
          <w:p w14:paraId="01C20F20" w14:textId="7F3C309F" w:rsidR="003B5DDA" w:rsidRPr="0021168B" w:rsidRDefault="003B5DDA" w:rsidP="00F76882">
            <w:pPr>
              <w:pStyle w:val="Tabletext"/>
            </w:pPr>
            <w:r w:rsidRPr="0021168B">
              <w:t>3</w:t>
            </w:r>
          </w:p>
        </w:tc>
        <w:tc>
          <w:tcPr>
            <w:tcW w:w="858" w:type="pct"/>
            <w:noWrap/>
          </w:tcPr>
          <w:p w14:paraId="0CCAF853" w14:textId="43224D08" w:rsidR="003B5DDA" w:rsidRPr="0021168B" w:rsidRDefault="003B5DDA" w:rsidP="00F76882">
            <w:pPr>
              <w:pStyle w:val="Tabletext"/>
            </w:pPr>
            <w:r w:rsidRPr="0021168B">
              <w:t>4</w:t>
            </w:r>
          </w:p>
        </w:tc>
      </w:tr>
      <w:tr w:rsidR="002245F1" w:rsidRPr="0036007C" w14:paraId="09C0AD33" w14:textId="77777777" w:rsidTr="009F255D">
        <w:trPr>
          <w:cnfStyle w:val="000000010000" w:firstRow="0" w:lastRow="0" w:firstColumn="0" w:lastColumn="0" w:oddVBand="0" w:evenVBand="0" w:oddHBand="0" w:evenHBand="1" w:firstRowFirstColumn="0" w:firstRowLastColumn="0" w:lastRowFirstColumn="0" w:lastRowLastColumn="0"/>
          <w:trHeight w:val="454"/>
        </w:trPr>
        <w:tc>
          <w:tcPr>
            <w:tcW w:w="1491" w:type="pct"/>
            <w:hideMark/>
          </w:tcPr>
          <w:p w14:paraId="1A244136" w14:textId="77777777" w:rsidR="002245F1" w:rsidRPr="0036007C" w:rsidRDefault="002245F1" w:rsidP="00F76882">
            <w:pPr>
              <w:pStyle w:val="Tabletextleft"/>
            </w:pPr>
            <w:r w:rsidRPr="0036007C">
              <w:t>Community educators/health promoters</w:t>
            </w:r>
          </w:p>
        </w:tc>
        <w:tc>
          <w:tcPr>
            <w:tcW w:w="848" w:type="pct"/>
            <w:noWrap/>
          </w:tcPr>
          <w:p w14:paraId="7BE66338" w14:textId="0D9A6F1A" w:rsidR="002245F1" w:rsidRPr="00A33DD2" w:rsidRDefault="002245F1" w:rsidP="00F76882">
            <w:pPr>
              <w:pStyle w:val="Tabletext"/>
            </w:pPr>
            <w:r w:rsidRPr="00A33DD2">
              <w:t>2</w:t>
            </w:r>
          </w:p>
        </w:tc>
        <w:tc>
          <w:tcPr>
            <w:tcW w:w="951" w:type="pct"/>
            <w:noWrap/>
          </w:tcPr>
          <w:p w14:paraId="50795ACC" w14:textId="78A4E2B4" w:rsidR="002245F1" w:rsidRPr="00A33DD2" w:rsidRDefault="002245F1" w:rsidP="00F76882">
            <w:pPr>
              <w:pStyle w:val="Tabletext"/>
            </w:pPr>
            <w:r w:rsidRPr="00A33DD2">
              <w:t>0</w:t>
            </w:r>
          </w:p>
        </w:tc>
        <w:tc>
          <w:tcPr>
            <w:tcW w:w="852" w:type="pct"/>
            <w:noWrap/>
          </w:tcPr>
          <w:p w14:paraId="5A9D1CE6" w14:textId="6899FE50" w:rsidR="002245F1" w:rsidRPr="0021168B" w:rsidRDefault="002245F1" w:rsidP="00F76882">
            <w:pPr>
              <w:pStyle w:val="Tabletext"/>
            </w:pPr>
            <w:r w:rsidRPr="0021168B">
              <w:t>0</w:t>
            </w:r>
          </w:p>
        </w:tc>
        <w:tc>
          <w:tcPr>
            <w:tcW w:w="858" w:type="pct"/>
            <w:noWrap/>
          </w:tcPr>
          <w:p w14:paraId="586A86C2" w14:textId="76BE24B1" w:rsidR="002245F1" w:rsidRPr="0021168B" w:rsidRDefault="002245F1" w:rsidP="00F76882">
            <w:pPr>
              <w:pStyle w:val="Tabletext"/>
            </w:pPr>
            <w:r w:rsidRPr="0021168B">
              <w:t>2</w:t>
            </w:r>
          </w:p>
        </w:tc>
      </w:tr>
      <w:tr w:rsidR="002245F1" w:rsidRPr="0036007C" w14:paraId="7D861113" w14:textId="77777777" w:rsidTr="009F255D">
        <w:trPr>
          <w:trHeight w:val="454"/>
        </w:trPr>
        <w:tc>
          <w:tcPr>
            <w:tcW w:w="1491" w:type="pct"/>
            <w:hideMark/>
          </w:tcPr>
          <w:p w14:paraId="3FC14682" w14:textId="77777777" w:rsidR="002245F1" w:rsidRPr="0036007C" w:rsidRDefault="002245F1" w:rsidP="00F76882">
            <w:pPr>
              <w:pStyle w:val="Tabletextleft"/>
            </w:pPr>
            <w:r w:rsidRPr="0036007C">
              <w:t>Interagency members</w:t>
            </w:r>
          </w:p>
        </w:tc>
        <w:tc>
          <w:tcPr>
            <w:tcW w:w="848" w:type="pct"/>
            <w:noWrap/>
          </w:tcPr>
          <w:p w14:paraId="74BABFEA" w14:textId="77928E23" w:rsidR="002245F1" w:rsidRPr="00A33DD2" w:rsidRDefault="002245F1" w:rsidP="00F76882">
            <w:pPr>
              <w:pStyle w:val="Tabletext"/>
            </w:pPr>
            <w:r w:rsidRPr="00A33DD2">
              <w:t>0</w:t>
            </w:r>
          </w:p>
        </w:tc>
        <w:tc>
          <w:tcPr>
            <w:tcW w:w="951" w:type="pct"/>
            <w:noWrap/>
          </w:tcPr>
          <w:p w14:paraId="3B617A48" w14:textId="4C63CE06" w:rsidR="002245F1" w:rsidRPr="00A33DD2" w:rsidRDefault="002245F1" w:rsidP="00F76882">
            <w:pPr>
              <w:pStyle w:val="Tabletext"/>
            </w:pPr>
            <w:r w:rsidRPr="00A33DD2">
              <w:t>0</w:t>
            </w:r>
          </w:p>
        </w:tc>
        <w:tc>
          <w:tcPr>
            <w:tcW w:w="852" w:type="pct"/>
            <w:noWrap/>
          </w:tcPr>
          <w:p w14:paraId="259CE2D1" w14:textId="2BE39904" w:rsidR="002245F1" w:rsidRPr="0021168B" w:rsidRDefault="002245F1" w:rsidP="00F76882">
            <w:pPr>
              <w:pStyle w:val="Tabletext"/>
            </w:pPr>
            <w:r w:rsidRPr="0021168B">
              <w:t>0</w:t>
            </w:r>
          </w:p>
        </w:tc>
        <w:tc>
          <w:tcPr>
            <w:tcW w:w="858" w:type="pct"/>
            <w:noWrap/>
          </w:tcPr>
          <w:p w14:paraId="0EB62A6B" w14:textId="55720A50" w:rsidR="002245F1" w:rsidRPr="0021168B" w:rsidRDefault="002245F1" w:rsidP="00F76882">
            <w:pPr>
              <w:pStyle w:val="Tabletext"/>
            </w:pPr>
            <w:r w:rsidRPr="0021168B">
              <w:t>0</w:t>
            </w:r>
          </w:p>
        </w:tc>
      </w:tr>
      <w:tr w:rsidR="00715861" w:rsidRPr="0036007C" w14:paraId="02FB5E6C" w14:textId="77777777" w:rsidTr="002A10FC">
        <w:trPr>
          <w:cnfStyle w:val="000000010000" w:firstRow="0" w:lastRow="0" w:firstColumn="0" w:lastColumn="0" w:oddVBand="0" w:evenVBand="0" w:oddHBand="0" w:evenHBand="1" w:firstRowFirstColumn="0" w:firstRowLastColumn="0" w:lastRowFirstColumn="0" w:lastRowLastColumn="0"/>
          <w:trHeight w:val="510"/>
        </w:trPr>
        <w:tc>
          <w:tcPr>
            <w:tcW w:w="5000" w:type="pct"/>
            <w:gridSpan w:val="5"/>
            <w:noWrap/>
            <w:hideMark/>
          </w:tcPr>
          <w:p w14:paraId="1B4A0DAD" w14:textId="77777777" w:rsidR="00715861" w:rsidRPr="001B4458" w:rsidRDefault="00715861" w:rsidP="00F76882">
            <w:pPr>
              <w:rPr>
                <w:rStyle w:val="Strong"/>
              </w:rPr>
            </w:pPr>
            <w:r w:rsidRPr="001B4458">
              <w:rPr>
                <w:rStyle w:val="Strong"/>
              </w:rPr>
              <w:t xml:space="preserve">Frequency of health promotion activities </w:t>
            </w:r>
          </w:p>
        </w:tc>
      </w:tr>
      <w:tr w:rsidR="00F674F4" w:rsidRPr="0036007C" w14:paraId="5A94DFCF" w14:textId="77777777" w:rsidTr="009F255D">
        <w:trPr>
          <w:trHeight w:val="454"/>
        </w:trPr>
        <w:tc>
          <w:tcPr>
            <w:tcW w:w="1491" w:type="pct"/>
            <w:hideMark/>
          </w:tcPr>
          <w:p w14:paraId="00620E09" w14:textId="77777777" w:rsidR="00F674F4" w:rsidRPr="0036007C" w:rsidRDefault="00F674F4" w:rsidP="00F76882">
            <w:pPr>
              <w:pStyle w:val="Tabletextleft"/>
            </w:pPr>
            <w:r w:rsidRPr="0036007C">
              <w:t>Once</w:t>
            </w:r>
          </w:p>
        </w:tc>
        <w:tc>
          <w:tcPr>
            <w:tcW w:w="848" w:type="pct"/>
            <w:noWrap/>
          </w:tcPr>
          <w:p w14:paraId="4CC1169C" w14:textId="054BCB2B" w:rsidR="00F674F4" w:rsidRPr="00A33DD2" w:rsidRDefault="00F674F4" w:rsidP="00F76882">
            <w:pPr>
              <w:pStyle w:val="Tabletext"/>
            </w:pPr>
            <w:r w:rsidRPr="00A33DD2">
              <w:t>0</w:t>
            </w:r>
          </w:p>
        </w:tc>
        <w:tc>
          <w:tcPr>
            <w:tcW w:w="951" w:type="pct"/>
            <w:noWrap/>
          </w:tcPr>
          <w:p w14:paraId="268D3702" w14:textId="47BDEED0" w:rsidR="00F674F4" w:rsidRPr="00A33DD2" w:rsidRDefault="00F674F4" w:rsidP="00F76882">
            <w:pPr>
              <w:pStyle w:val="Tabletext"/>
            </w:pPr>
            <w:r w:rsidRPr="00A33DD2">
              <w:t>0</w:t>
            </w:r>
          </w:p>
        </w:tc>
        <w:tc>
          <w:tcPr>
            <w:tcW w:w="852" w:type="pct"/>
            <w:noWrap/>
          </w:tcPr>
          <w:p w14:paraId="1284173B" w14:textId="15F1FCC2" w:rsidR="00F674F4" w:rsidRPr="0021168B" w:rsidRDefault="00F674F4" w:rsidP="00F76882">
            <w:pPr>
              <w:pStyle w:val="Tabletext"/>
            </w:pPr>
            <w:r w:rsidRPr="0021168B">
              <w:t>3</w:t>
            </w:r>
          </w:p>
        </w:tc>
        <w:tc>
          <w:tcPr>
            <w:tcW w:w="858" w:type="pct"/>
            <w:noWrap/>
          </w:tcPr>
          <w:p w14:paraId="707BDB31" w14:textId="7F7A5193" w:rsidR="00F674F4" w:rsidRPr="0021168B" w:rsidRDefault="00F674F4" w:rsidP="00F76882">
            <w:pPr>
              <w:pStyle w:val="Tabletext"/>
            </w:pPr>
            <w:r w:rsidRPr="0021168B">
              <w:t>3</w:t>
            </w:r>
          </w:p>
        </w:tc>
      </w:tr>
      <w:tr w:rsidR="002245F1" w:rsidRPr="0036007C" w14:paraId="70319B7E" w14:textId="77777777" w:rsidTr="009F255D">
        <w:trPr>
          <w:cnfStyle w:val="000000010000" w:firstRow="0" w:lastRow="0" w:firstColumn="0" w:lastColumn="0" w:oddVBand="0" w:evenVBand="0" w:oddHBand="0" w:evenHBand="1" w:firstRowFirstColumn="0" w:firstRowLastColumn="0" w:lastRowFirstColumn="0" w:lastRowLastColumn="0"/>
          <w:trHeight w:val="454"/>
        </w:trPr>
        <w:tc>
          <w:tcPr>
            <w:tcW w:w="1491" w:type="pct"/>
            <w:hideMark/>
          </w:tcPr>
          <w:p w14:paraId="1C5AEF87" w14:textId="77777777" w:rsidR="002245F1" w:rsidRPr="0036007C" w:rsidRDefault="002245F1" w:rsidP="00F76882">
            <w:pPr>
              <w:pStyle w:val="Tabletextleft"/>
            </w:pPr>
            <w:r w:rsidRPr="0036007C">
              <w:t>Occasional *</w:t>
            </w:r>
          </w:p>
        </w:tc>
        <w:tc>
          <w:tcPr>
            <w:tcW w:w="848" w:type="pct"/>
            <w:noWrap/>
          </w:tcPr>
          <w:p w14:paraId="67A3D406" w14:textId="1B520516" w:rsidR="002245F1" w:rsidRPr="00A33DD2" w:rsidRDefault="002245F1" w:rsidP="00F76882">
            <w:pPr>
              <w:pStyle w:val="Tabletext"/>
            </w:pPr>
            <w:r w:rsidRPr="00A33DD2">
              <w:t>0</w:t>
            </w:r>
          </w:p>
        </w:tc>
        <w:tc>
          <w:tcPr>
            <w:tcW w:w="951" w:type="pct"/>
            <w:noWrap/>
          </w:tcPr>
          <w:p w14:paraId="1309DD0C" w14:textId="3499E3E0" w:rsidR="002245F1" w:rsidRPr="00A33DD2" w:rsidRDefault="002245F1" w:rsidP="00F76882">
            <w:pPr>
              <w:pStyle w:val="Tabletext"/>
            </w:pPr>
            <w:r w:rsidRPr="00A33DD2">
              <w:t>5</w:t>
            </w:r>
          </w:p>
        </w:tc>
        <w:tc>
          <w:tcPr>
            <w:tcW w:w="852" w:type="pct"/>
            <w:noWrap/>
          </w:tcPr>
          <w:p w14:paraId="7C71DA4A" w14:textId="0EC7DBC6" w:rsidR="002245F1" w:rsidRPr="0021168B" w:rsidRDefault="002245F1" w:rsidP="00F76882">
            <w:pPr>
              <w:pStyle w:val="Tabletext"/>
            </w:pPr>
            <w:r w:rsidRPr="0021168B">
              <w:t>8</w:t>
            </w:r>
          </w:p>
        </w:tc>
        <w:tc>
          <w:tcPr>
            <w:tcW w:w="858" w:type="pct"/>
            <w:noWrap/>
          </w:tcPr>
          <w:p w14:paraId="36D04D48" w14:textId="2446F4C7" w:rsidR="002245F1" w:rsidRPr="0021168B" w:rsidRDefault="002245F1" w:rsidP="00F76882">
            <w:pPr>
              <w:pStyle w:val="Tabletext"/>
            </w:pPr>
            <w:r w:rsidRPr="0021168B">
              <w:t>13</w:t>
            </w:r>
          </w:p>
        </w:tc>
      </w:tr>
      <w:tr w:rsidR="002245F1" w:rsidRPr="0036007C" w14:paraId="245838CC" w14:textId="77777777" w:rsidTr="009F255D">
        <w:trPr>
          <w:trHeight w:val="454"/>
        </w:trPr>
        <w:tc>
          <w:tcPr>
            <w:tcW w:w="1491" w:type="pct"/>
            <w:hideMark/>
          </w:tcPr>
          <w:p w14:paraId="3A2736E5" w14:textId="77777777" w:rsidR="002245F1" w:rsidRPr="0036007C" w:rsidRDefault="002245F1" w:rsidP="00F76882">
            <w:pPr>
              <w:pStyle w:val="Tabletextleft"/>
            </w:pPr>
            <w:r w:rsidRPr="0036007C">
              <w:t>Regular†</w:t>
            </w:r>
          </w:p>
        </w:tc>
        <w:tc>
          <w:tcPr>
            <w:tcW w:w="848" w:type="pct"/>
            <w:noWrap/>
          </w:tcPr>
          <w:p w14:paraId="0D71CE6E" w14:textId="51293276" w:rsidR="002245F1" w:rsidRPr="00A33DD2" w:rsidRDefault="002245F1" w:rsidP="00F76882">
            <w:pPr>
              <w:pStyle w:val="Tabletext"/>
            </w:pPr>
            <w:r w:rsidRPr="00A33DD2">
              <w:t>3</w:t>
            </w:r>
          </w:p>
        </w:tc>
        <w:tc>
          <w:tcPr>
            <w:tcW w:w="951" w:type="pct"/>
            <w:noWrap/>
          </w:tcPr>
          <w:p w14:paraId="62090044" w14:textId="3481AD3D" w:rsidR="002245F1" w:rsidRPr="00A33DD2" w:rsidRDefault="002245F1" w:rsidP="00F76882">
            <w:pPr>
              <w:pStyle w:val="Tabletext"/>
            </w:pPr>
            <w:r w:rsidRPr="00A33DD2">
              <w:t>0</w:t>
            </w:r>
          </w:p>
        </w:tc>
        <w:tc>
          <w:tcPr>
            <w:tcW w:w="852" w:type="pct"/>
            <w:noWrap/>
          </w:tcPr>
          <w:p w14:paraId="0E5C1449" w14:textId="6DDFC4DD" w:rsidR="002245F1" w:rsidRPr="0021168B" w:rsidRDefault="002245F1" w:rsidP="00F76882">
            <w:pPr>
              <w:pStyle w:val="Tabletext"/>
            </w:pPr>
            <w:r w:rsidRPr="0021168B">
              <w:t>0</w:t>
            </w:r>
          </w:p>
        </w:tc>
        <w:tc>
          <w:tcPr>
            <w:tcW w:w="858" w:type="pct"/>
            <w:noWrap/>
          </w:tcPr>
          <w:p w14:paraId="7D82F75A" w14:textId="3C904BF8" w:rsidR="002245F1" w:rsidRPr="0021168B" w:rsidRDefault="002245F1" w:rsidP="00F76882">
            <w:pPr>
              <w:pStyle w:val="Tabletext"/>
            </w:pPr>
            <w:r w:rsidRPr="0021168B">
              <w:t>3</w:t>
            </w:r>
          </w:p>
        </w:tc>
      </w:tr>
      <w:tr w:rsidR="002245F1" w:rsidRPr="0036007C" w14:paraId="45B8A277" w14:textId="77777777" w:rsidTr="009F255D">
        <w:trPr>
          <w:cnfStyle w:val="000000010000" w:firstRow="0" w:lastRow="0" w:firstColumn="0" w:lastColumn="0" w:oddVBand="0" w:evenVBand="0" w:oddHBand="0" w:evenHBand="1" w:firstRowFirstColumn="0" w:firstRowLastColumn="0" w:lastRowFirstColumn="0" w:lastRowLastColumn="0"/>
          <w:trHeight w:val="454"/>
        </w:trPr>
        <w:tc>
          <w:tcPr>
            <w:tcW w:w="1491" w:type="pct"/>
            <w:hideMark/>
          </w:tcPr>
          <w:p w14:paraId="6787C2BF" w14:textId="77777777" w:rsidR="002245F1" w:rsidRPr="0036007C" w:rsidRDefault="002245F1" w:rsidP="00F76882">
            <w:pPr>
              <w:pStyle w:val="Tabletextleft"/>
            </w:pPr>
            <w:r w:rsidRPr="0036007C">
              <w:t>Ongoing/routine</w:t>
            </w:r>
          </w:p>
        </w:tc>
        <w:tc>
          <w:tcPr>
            <w:tcW w:w="848" w:type="pct"/>
            <w:noWrap/>
          </w:tcPr>
          <w:p w14:paraId="5E471504" w14:textId="06BF4256" w:rsidR="002245F1" w:rsidRPr="00A33DD2" w:rsidRDefault="002245F1" w:rsidP="00F76882">
            <w:pPr>
              <w:pStyle w:val="Tabletext"/>
            </w:pPr>
            <w:r w:rsidRPr="00A33DD2">
              <w:t>1</w:t>
            </w:r>
          </w:p>
        </w:tc>
        <w:tc>
          <w:tcPr>
            <w:tcW w:w="951" w:type="pct"/>
            <w:noWrap/>
          </w:tcPr>
          <w:p w14:paraId="67FE2F6A" w14:textId="72609D87" w:rsidR="002245F1" w:rsidRPr="00A33DD2" w:rsidRDefault="002245F1" w:rsidP="00F76882">
            <w:pPr>
              <w:pStyle w:val="Tabletext"/>
            </w:pPr>
            <w:r w:rsidRPr="00A33DD2">
              <w:t>1</w:t>
            </w:r>
          </w:p>
        </w:tc>
        <w:tc>
          <w:tcPr>
            <w:tcW w:w="852" w:type="pct"/>
            <w:noWrap/>
          </w:tcPr>
          <w:p w14:paraId="1D6DE41B" w14:textId="7F883E66" w:rsidR="002245F1" w:rsidRPr="0021168B" w:rsidRDefault="002245F1" w:rsidP="00F76882">
            <w:pPr>
              <w:pStyle w:val="Tabletext"/>
            </w:pPr>
            <w:r w:rsidRPr="0021168B">
              <w:t>1</w:t>
            </w:r>
          </w:p>
        </w:tc>
        <w:tc>
          <w:tcPr>
            <w:tcW w:w="858" w:type="pct"/>
            <w:noWrap/>
          </w:tcPr>
          <w:p w14:paraId="1BD4972F" w14:textId="28CEC0B9" w:rsidR="002245F1" w:rsidRPr="0021168B" w:rsidRDefault="002245F1" w:rsidP="00F76882">
            <w:pPr>
              <w:pStyle w:val="Tabletext"/>
            </w:pPr>
            <w:r w:rsidRPr="0021168B">
              <w:t>3</w:t>
            </w:r>
          </w:p>
        </w:tc>
      </w:tr>
    </w:tbl>
    <w:p w14:paraId="7C858A22" w14:textId="27FB8165" w:rsidR="00C574D9" w:rsidRPr="0036007C" w:rsidRDefault="00C574D9" w:rsidP="00F76882">
      <w:pPr>
        <w:pStyle w:val="tablefigfootnote"/>
      </w:pPr>
      <w:r w:rsidRPr="0036007C">
        <w:t>* 2</w:t>
      </w:r>
      <w:r w:rsidR="003D00CE" w:rsidRPr="0036007C">
        <w:t>–</w:t>
      </w:r>
      <w:r w:rsidRPr="0036007C">
        <w:t>4 times per year</w:t>
      </w:r>
      <w:r w:rsidR="000B597D" w:rsidRPr="0036007C">
        <w:t>.</w:t>
      </w:r>
    </w:p>
    <w:p w14:paraId="19B26490" w14:textId="0260555E" w:rsidR="00C574D9" w:rsidRPr="007C3001" w:rsidRDefault="00C574D9" w:rsidP="00F76882">
      <w:pPr>
        <w:pStyle w:val="tablefigfootnote"/>
      </w:pPr>
      <w:r w:rsidRPr="0036007C">
        <w:t>† 5</w:t>
      </w:r>
      <w:r w:rsidR="003D00CE" w:rsidRPr="0036007C">
        <w:t>–</w:t>
      </w:r>
      <w:r w:rsidRPr="0036007C">
        <w:t>12 times per year</w:t>
      </w:r>
      <w:r w:rsidR="000B597D" w:rsidRPr="0036007C">
        <w:t>.</w:t>
      </w:r>
      <w:r w:rsidRPr="0036007C">
        <w:br w:type="page"/>
      </w:r>
    </w:p>
    <w:p w14:paraId="6BC8B75C" w14:textId="77777777" w:rsidR="00724975" w:rsidRPr="00174EA5" w:rsidRDefault="00724975" w:rsidP="00F76882">
      <w:pPr>
        <w:pStyle w:val="Heading2"/>
      </w:pPr>
      <w:bookmarkStart w:id="343" w:name="_Toc203986552"/>
      <w:bookmarkStart w:id="344" w:name="_Toc215236962"/>
      <w:r w:rsidRPr="00174EA5">
        <w:t>Western Australia results</w:t>
      </w:r>
      <w:bookmarkEnd w:id="288"/>
      <w:bookmarkEnd w:id="343"/>
      <w:bookmarkEnd w:id="344"/>
    </w:p>
    <w:p w14:paraId="0E2F3677" w14:textId="77777777" w:rsidR="00E3767F" w:rsidRPr="0036007C" w:rsidRDefault="00E3767F" w:rsidP="00F76882">
      <w:pPr>
        <w:pStyle w:val="Heading3"/>
      </w:pPr>
      <w:bookmarkStart w:id="345" w:name="_Toc485747814"/>
      <w:bookmarkStart w:id="346" w:name="_Toc490035386"/>
      <w:bookmarkStart w:id="347" w:name="_Toc497062661"/>
      <w:bookmarkStart w:id="348" w:name="_Toc485747819"/>
      <w:bookmarkStart w:id="349" w:name="_Toc490035391"/>
      <w:bookmarkStart w:id="350" w:name="_Toc497062666"/>
      <w:bookmarkEnd w:id="289"/>
      <w:bookmarkEnd w:id="290"/>
      <w:bookmarkEnd w:id="291"/>
      <w:bookmarkEnd w:id="292"/>
      <w:bookmarkEnd w:id="293"/>
      <w:r w:rsidRPr="0036007C">
        <w:t>Trachoma program coverage</w:t>
      </w:r>
      <w:bookmarkEnd w:id="345"/>
      <w:bookmarkEnd w:id="346"/>
      <w:bookmarkEnd w:id="347"/>
    </w:p>
    <w:p w14:paraId="44493864" w14:textId="53D015AE" w:rsidR="00E3767F" w:rsidRPr="0036007C" w:rsidRDefault="00E3767F" w:rsidP="00F76882">
      <w:pPr>
        <w:pStyle w:val="TableofFigures"/>
      </w:pPr>
      <w:r w:rsidRPr="0036007C">
        <w:t xml:space="preserve">In </w:t>
      </w:r>
      <w:r w:rsidR="00E76BB4" w:rsidRPr="0036007C">
        <w:t>202</w:t>
      </w:r>
      <w:r w:rsidR="00D45B47" w:rsidRPr="0036007C">
        <w:t>4</w:t>
      </w:r>
      <w:r w:rsidR="00B50340" w:rsidRPr="0036007C">
        <w:t>,</w:t>
      </w:r>
      <w:r w:rsidRPr="0036007C">
        <w:t xml:space="preserve"> WA identified 3</w:t>
      </w:r>
      <w:r w:rsidR="00E34568" w:rsidRPr="0036007C">
        <w:t>3</w:t>
      </w:r>
      <w:r w:rsidR="00EE13EC" w:rsidRPr="0036007C">
        <w:t xml:space="preserve"> </w:t>
      </w:r>
      <w:r w:rsidRPr="0036007C">
        <w:t xml:space="preserve">communities in </w:t>
      </w:r>
      <w:r w:rsidR="006B769A" w:rsidRPr="0036007C">
        <w:t xml:space="preserve">4 </w:t>
      </w:r>
      <w:r w:rsidRPr="0036007C">
        <w:t xml:space="preserve">regions as being </w:t>
      </w:r>
      <w:r w:rsidR="00BA16C6" w:rsidRPr="0036007C">
        <w:t>at</w:t>
      </w:r>
      <w:r w:rsidR="00A603DB" w:rsidRPr="0036007C">
        <w:t xml:space="preserve"> </w:t>
      </w:r>
      <w:r w:rsidR="00BA16C6" w:rsidRPr="0036007C">
        <w:t>risk</w:t>
      </w:r>
      <w:r w:rsidRPr="0036007C">
        <w:t xml:space="preserve"> of trachoma (</w:t>
      </w:r>
      <w:r w:rsidRPr="0036007C">
        <w:fldChar w:fldCharType="begin"/>
      </w:r>
      <w:r w:rsidRPr="0036007C">
        <w:instrText xml:space="preserve"> REF _Ref58331071 \h </w:instrText>
      </w:r>
      <w:r w:rsidR="00A36C6D" w:rsidRPr="0036007C">
        <w:instrText xml:space="preserve"> \* MERGEFORMAT </w:instrText>
      </w:r>
      <w:r w:rsidRPr="0036007C">
        <w:fldChar w:fldCharType="separate"/>
      </w:r>
      <w:r w:rsidRPr="0036007C">
        <w:t>Figure 5.2</w:t>
      </w:r>
      <w:r w:rsidRPr="0036007C">
        <w:fldChar w:fldCharType="end"/>
      </w:r>
      <w:r w:rsidR="004B5C74" w:rsidRPr="0036007C">
        <w:t xml:space="preserve">, </w:t>
      </w:r>
      <w:r w:rsidRPr="0036007C">
        <w:fldChar w:fldCharType="begin"/>
      </w:r>
      <w:r w:rsidRPr="0036007C">
        <w:instrText xml:space="preserve"> REF _Ref58336742 \h  \* MERGEFORMAT </w:instrText>
      </w:r>
      <w:r w:rsidRPr="0036007C">
        <w:fldChar w:fldCharType="separate"/>
      </w:r>
      <w:r w:rsidR="004B5C74" w:rsidRPr="0036007C">
        <w:t>Table 5.1</w:t>
      </w:r>
      <w:r w:rsidRPr="0036007C">
        <w:fldChar w:fldCharType="end"/>
      </w:r>
      <w:r w:rsidRPr="0036007C">
        <w:t>).</w:t>
      </w:r>
    </w:p>
    <w:p w14:paraId="480520E8" w14:textId="0DAA927E" w:rsidR="00E3767F" w:rsidRPr="0036007C" w:rsidRDefault="000731B1" w:rsidP="00F76882">
      <w:pPr>
        <w:pStyle w:val="TableofFigures"/>
      </w:pPr>
      <w:bookmarkStart w:id="351" w:name="_Toc485747815"/>
      <w:bookmarkStart w:id="352" w:name="_Toc490035387"/>
      <w:bookmarkStart w:id="353" w:name="_Toc497062662"/>
      <w:r w:rsidRPr="0036007C">
        <w:t>2</w:t>
      </w:r>
      <w:r w:rsidR="004E2437" w:rsidRPr="0036007C">
        <w:t>6</w:t>
      </w:r>
      <w:r w:rsidR="00E3767F" w:rsidRPr="0036007C">
        <w:t xml:space="preserve"> </w:t>
      </w:r>
      <w:r w:rsidR="005848DC" w:rsidRPr="0036007C">
        <w:t xml:space="preserve">at-risk </w:t>
      </w:r>
      <w:r w:rsidR="00E3767F" w:rsidRPr="0036007C">
        <w:t xml:space="preserve">communities required </w:t>
      </w:r>
      <w:r w:rsidR="00D668EB" w:rsidRPr="0036007C">
        <w:t>trachoma screening</w:t>
      </w:r>
      <w:r w:rsidR="00935DF2" w:rsidRPr="0036007C">
        <w:t xml:space="preserve"> in </w:t>
      </w:r>
      <w:r w:rsidR="00C3405D" w:rsidRPr="0036007C">
        <w:t>2024</w:t>
      </w:r>
      <w:r w:rsidR="00D668EB" w:rsidRPr="0036007C">
        <w:t xml:space="preserve"> </w:t>
      </w:r>
      <w:r w:rsidR="00F94332" w:rsidRPr="0036007C">
        <w:t xml:space="preserve">(79%) </w:t>
      </w:r>
      <w:r w:rsidR="00E3767F" w:rsidRPr="0036007C">
        <w:t xml:space="preserve">and </w:t>
      </w:r>
      <w:r w:rsidR="00795024" w:rsidRPr="0036007C">
        <w:t>all</w:t>
      </w:r>
      <w:r w:rsidR="00935DF2" w:rsidRPr="0036007C">
        <w:t xml:space="preserve"> of these</w:t>
      </w:r>
      <w:r w:rsidR="00D668EB" w:rsidRPr="0036007C">
        <w:t xml:space="preserve"> communities </w:t>
      </w:r>
      <w:r w:rsidR="00E3767F" w:rsidRPr="0036007C">
        <w:t>received screening (</w:t>
      </w:r>
      <w:r w:rsidR="00E3767F" w:rsidRPr="0036007C">
        <w:fldChar w:fldCharType="begin"/>
      </w:r>
      <w:r w:rsidR="00E3767F" w:rsidRPr="0036007C">
        <w:instrText xml:space="preserve"> REF _Ref58331082 \h </w:instrText>
      </w:r>
      <w:r w:rsidR="00A36C6D" w:rsidRPr="0036007C">
        <w:instrText xml:space="preserve"> \* MERGEFORMAT </w:instrText>
      </w:r>
      <w:r w:rsidR="00E3767F" w:rsidRPr="0036007C">
        <w:fldChar w:fldCharType="separate"/>
      </w:r>
      <w:r w:rsidR="00E3767F" w:rsidRPr="0036007C">
        <w:t>Figure 5.3</w:t>
      </w:r>
      <w:r w:rsidR="00E3767F" w:rsidRPr="0036007C">
        <w:fldChar w:fldCharType="end"/>
      </w:r>
      <w:r w:rsidR="004B5C74" w:rsidRPr="0036007C">
        <w:t xml:space="preserve">, </w:t>
      </w:r>
      <w:r w:rsidR="00E3767F" w:rsidRPr="0036007C">
        <w:fldChar w:fldCharType="begin"/>
      </w:r>
      <w:r w:rsidR="00E3767F" w:rsidRPr="0036007C">
        <w:instrText xml:space="preserve"> REF _Ref58336742 \h  \* MERGEFORMAT </w:instrText>
      </w:r>
      <w:r w:rsidR="00E3767F" w:rsidRPr="0036007C">
        <w:fldChar w:fldCharType="separate"/>
      </w:r>
      <w:r w:rsidR="004B5C74" w:rsidRPr="0036007C">
        <w:t>Table 5.1</w:t>
      </w:r>
      <w:r w:rsidR="00E3767F" w:rsidRPr="0036007C">
        <w:fldChar w:fldCharType="end"/>
      </w:r>
      <w:r w:rsidR="00E3767F" w:rsidRPr="0036007C">
        <w:t>).</w:t>
      </w:r>
    </w:p>
    <w:p w14:paraId="07CC3030" w14:textId="01E173BA" w:rsidR="00E3767F" w:rsidRPr="0036007C" w:rsidRDefault="00046C9F" w:rsidP="00F76882">
      <w:pPr>
        <w:pStyle w:val="Heading3"/>
      </w:pPr>
      <w:r w:rsidRPr="0036007C">
        <w:t>Trachoma s</w:t>
      </w:r>
      <w:r w:rsidR="00E3767F" w:rsidRPr="0036007C">
        <w:t>creening coverage</w:t>
      </w:r>
      <w:bookmarkEnd w:id="351"/>
      <w:bookmarkEnd w:id="352"/>
      <w:bookmarkEnd w:id="353"/>
    </w:p>
    <w:p w14:paraId="3F6154FD" w14:textId="203C9BB9" w:rsidR="00E3767F" w:rsidRPr="00A33DD2" w:rsidRDefault="00046C9F" w:rsidP="00F76882">
      <w:pPr>
        <w:pStyle w:val="TableofFigures"/>
      </w:pPr>
      <w:bookmarkStart w:id="354" w:name="_Toc485747816"/>
      <w:bookmarkStart w:id="355" w:name="_Toc490035388"/>
      <w:bookmarkStart w:id="356" w:name="_Toc497062663"/>
      <w:r w:rsidRPr="0036007C">
        <w:t xml:space="preserve">The </w:t>
      </w:r>
      <w:r w:rsidR="00795024" w:rsidRPr="0036007C">
        <w:t xml:space="preserve">total </w:t>
      </w:r>
      <w:r w:rsidRPr="0036007C">
        <w:t>proportion of children aged 5</w:t>
      </w:r>
      <w:r w:rsidR="003D00CE" w:rsidRPr="0036007C">
        <w:t>–</w:t>
      </w:r>
      <w:r w:rsidRPr="0036007C">
        <w:t xml:space="preserve">9 years screened for trachoma </w:t>
      </w:r>
      <w:r w:rsidR="00E07FE1" w:rsidRPr="0036007C">
        <w:t xml:space="preserve">across all </w:t>
      </w:r>
      <w:r w:rsidR="00C47FBF" w:rsidRPr="0036007C">
        <w:t>at-risk</w:t>
      </w:r>
      <w:r w:rsidRPr="0036007C">
        <w:t xml:space="preserve"> communities </w:t>
      </w:r>
      <w:r w:rsidR="006F37DD" w:rsidRPr="0036007C">
        <w:t xml:space="preserve">in WA </w:t>
      </w:r>
      <w:r w:rsidRPr="0036007C">
        <w:t>was 9</w:t>
      </w:r>
      <w:r w:rsidR="00C7141C" w:rsidRPr="0036007C">
        <w:t>2</w:t>
      </w:r>
      <w:r w:rsidRPr="0036007C">
        <w:t>%</w:t>
      </w:r>
      <w:r w:rsidR="00246382" w:rsidRPr="0036007C">
        <w:t xml:space="preserve"> (</w:t>
      </w:r>
      <w:r w:rsidR="004705D5" w:rsidRPr="0036007C">
        <w:t>295/</w:t>
      </w:r>
      <w:r w:rsidR="00246382" w:rsidRPr="0036007C">
        <w:t>320)</w:t>
      </w:r>
      <w:r w:rsidRPr="0036007C">
        <w:t xml:space="preserve">. </w:t>
      </w:r>
      <w:r w:rsidR="00DD4369" w:rsidRPr="0036007C">
        <w:t xml:space="preserve">Screening coverage </w:t>
      </w:r>
      <w:r w:rsidR="00E3767F" w:rsidRPr="0036007C">
        <w:t>rang</w:t>
      </w:r>
      <w:r w:rsidR="00DD4369" w:rsidRPr="0036007C">
        <w:t>ed</w:t>
      </w:r>
      <w:r w:rsidR="00E3767F" w:rsidRPr="0036007C">
        <w:t xml:space="preserve"> from </w:t>
      </w:r>
      <w:r w:rsidR="00D90355" w:rsidRPr="0036007C">
        <w:t>8</w:t>
      </w:r>
      <w:r w:rsidR="00C7141C" w:rsidRPr="0036007C">
        <w:t>6</w:t>
      </w:r>
      <w:r w:rsidR="003A6B5A" w:rsidRPr="0036007C">
        <w:t xml:space="preserve">% in the </w:t>
      </w:r>
      <w:r w:rsidR="00D90355" w:rsidRPr="0036007C">
        <w:t>Kimberley</w:t>
      </w:r>
      <w:r w:rsidR="003A6B5A" w:rsidRPr="0036007C">
        <w:t xml:space="preserve"> region </w:t>
      </w:r>
      <w:r w:rsidR="004722F4" w:rsidRPr="0036007C">
        <w:t xml:space="preserve">to </w:t>
      </w:r>
      <w:r w:rsidR="00C7141C" w:rsidRPr="0036007C">
        <w:t>100</w:t>
      </w:r>
      <w:r w:rsidR="004722F4" w:rsidRPr="0036007C">
        <w:t xml:space="preserve">% in the </w:t>
      </w:r>
      <w:r w:rsidR="007737B1" w:rsidRPr="0036007C">
        <w:t xml:space="preserve">Midwest </w:t>
      </w:r>
      <w:r w:rsidR="004722F4" w:rsidRPr="0036007C">
        <w:t>region</w:t>
      </w:r>
      <w:r w:rsidR="00E3767F" w:rsidRPr="0036007C">
        <w:t xml:space="preserve"> (</w:t>
      </w:r>
      <w:r w:rsidR="00E3767F" w:rsidRPr="0036007C">
        <w:fldChar w:fldCharType="begin"/>
      </w:r>
      <w:r w:rsidR="00E3767F" w:rsidRPr="0036007C">
        <w:instrText xml:space="preserve"> REF _Ref58336759 \h  \* MERGEFORMAT </w:instrText>
      </w:r>
      <w:r w:rsidR="00E3767F" w:rsidRPr="0036007C">
        <w:fldChar w:fldCharType="separate"/>
      </w:r>
      <w:r w:rsidR="00F36676" w:rsidRPr="0036007C">
        <w:t>Table 5.2</w:t>
      </w:r>
      <w:r w:rsidR="00E3767F" w:rsidRPr="0036007C">
        <w:fldChar w:fldCharType="end"/>
      </w:r>
      <w:r w:rsidR="00E3767F" w:rsidRPr="0036007C">
        <w:t>).</w:t>
      </w:r>
    </w:p>
    <w:bookmarkEnd w:id="354"/>
    <w:bookmarkEnd w:id="355"/>
    <w:bookmarkEnd w:id="356"/>
    <w:p w14:paraId="1406468E" w14:textId="77777777" w:rsidR="00E3767F" w:rsidRPr="0036007C" w:rsidRDefault="00E3767F" w:rsidP="00F76882">
      <w:pPr>
        <w:pStyle w:val="Heading3"/>
      </w:pPr>
      <w:r w:rsidRPr="0036007C">
        <w:t>Facial cleanliness</w:t>
      </w:r>
    </w:p>
    <w:p w14:paraId="4FCD647E" w14:textId="02B76C5C" w:rsidR="00E3767F" w:rsidRPr="0036007C" w:rsidRDefault="004D1FE8" w:rsidP="00F76882">
      <w:pPr>
        <w:pStyle w:val="TableofFigures"/>
      </w:pPr>
      <w:r w:rsidRPr="0036007C">
        <w:t>Facial cleanliness</w:t>
      </w:r>
      <w:r w:rsidR="00E3767F" w:rsidRPr="0036007C">
        <w:t xml:space="preserve"> </w:t>
      </w:r>
      <w:r w:rsidR="000D19E8" w:rsidRPr="0036007C">
        <w:t>among children aged 5</w:t>
      </w:r>
      <w:r w:rsidR="003D00CE" w:rsidRPr="0036007C">
        <w:t>–</w:t>
      </w:r>
      <w:r w:rsidR="000D19E8" w:rsidRPr="0036007C">
        <w:t xml:space="preserve">9 years </w:t>
      </w:r>
      <w:r w:rsidR="00E3767F" w:rsidRPr="0036007C">
        <w:t>was assessed in all communities that were screened</w:t>
      </w:r>
      <w:r w:rsidR="00600663" w:rsidRPr="0036007C">
        <w:t xml:space="preserve"> (data not shown)</w:t>
      </w:r>
      <w:r w:rsidR="00E3767F" w:rsidRPr="0036007C">
        <w:t>.</w:t>
      </w:r>
    </w:p>
    <w:p w14:paraId="15950460" w14:textId="730DAD45" w:rsidR="00E3767F" w:rsidRPr="0036007C" w:rsidRDefault="00E3767F" w:rsidP="00F76882">
      <w:pPr>
        <w:pStyle w:val="TableofFigures"/>
      </w:pPr>
      <w:r w:rsidRPr="0036007C">
        <w:t>The</w:t>
      </w:r>
      <w:r w:rsidR="000C1C44" w:rsidRPr="0036007C">
        <w:t xml:space="preserve"> total</w:t>
      </w:r>
      <w:r w:rsidRPr="0036007C">
        <w:t xml:space="preserve"> </w:t>
      </w:r>
      <w:r w:rsidR="004D1FE8" w:rsidRPr="0036007C">
        <w:t>proportion</w:t>
      </w:r>
      <w:r w:rsidRPr="0036007C">
        <w:t xml:space="preserve"> of clean faces </w:t>
      </w:r>
      <w:r w:rsidR="00BD6E4A" w:rsidRPr="0036007C">
        <w:t xml:space="preserve">across </w:t>
      </w:r>
      <w:r w:rsidR="000C1C44" w:rsidRPr="0036007C">
        <w:t xml:space="preserve">all </w:t>
      </w:r>
      <w:r w:rsidR="002B190A" w:rsidRPr="0036007C">
        <w:t xml:space="preserve">screened communities </w:t>
      </w:r>
      <w:r w:rsidR="006D5C81" w:rsidRPr="0036007C">
        <w:t xml:space="preserve">in WA </w:t>
      </w:r>
      <w:r w:rsidRPr="0036007C">
        <w:t xml:space="preserve">was </w:t>
      </w:r>
      <w:r w:rsidR="006D5200" w:rsidRPr="0036007C">
        <w:t>7</w:t>
      </w:r>
      <w:r w:rsidR="008F268E" w:rsidRPr="0036007C">
        <w:t>6</w:t>
      </w:r>
      <w:r w:rsidRPr="0036007C">
        <w:t>%</w:t>
      </w:r>
      <w:r w:rsidR="004705D5" w:rsidRPr="0036007C">
        <w:t xml:space="preserve"> (225/296)</w:t>
      </w:r>
      <w:r w:rsidR="006D5200" w:rsidRPr="0036007C">
        <w:t xml:space="preserve">. </w:t>
      </w:r>
      <w:r w:rsidR="004D1FE8" w:rsidRPr="0036007C">
        <w:t>Proportions</w:t>
      </w:r>
      <w:r w:rsidR="006D5200" w:rsidRPr="0036007C">
        <w:t xml:space="preserve"> </w:t>
      </w:r>
      <w:r w:rsidRPr="0036007C">
        <w:t>rang</w:t>
      </w:r>
      <w:r w:rsidR="006D5200" w:rsidRPr="0036007C">
        <w:t>ed</w:t>
      </w:r>
      <w:r w:rsidRPr="0036007C">
        <w:t xml:space="preserve"> from </w:t>
      </w:r>
      <w:r w:rsidR="00955005" w:rsidRPr="0036007C">
        <w:t>4</w:t>
      </w:r>
      <w:r w:rsidR="008F268E" w:rsidRPr="0036007C">
        <w:t>4</w:t>
      </w:r>
      <w:r w:rsidRPr="0036007C">
        <w:t xml:space="preserve">% in the </w:t>
      </w:r>
      <w:r w:rsidR="008F268E" w:rsidRPr="0036007C">
        <w:t>Pilbara</w:t>
      </w:r>
      <w:r w:rsidRPr="0036007C">
        <w:t xml:space="preserve"> region to</w:t>
      </w:r>
      <w:r w:rsidR="00F47760" w:rsidRPr="0036007C">
        <w:t xml:space="preserve"> </w:t>
      </w:r>
      <w:r w:rsidR="008F268E" w:rsidRPr="0036007C">
        <w:t>90</w:t>
      </w:r>
      <w:r w:rsidRPr="0036007C">
        <w:t xml:space="preserve">% in the </w:t>
      </w:r>
      <w:r w:rsidR="008F268E" w:rsidRPr="0036007C">
        <w:t>Kimberley</w:t>
      </w:r>
      <w:r w:rsidRPr="0036007C">
        <w:t xml:space="preserve"> region (</w:t>
      </w:r>
      <w:r w:rsidRPr="0036007C">
        <w:fldChar w:fldCharType="begin"/>
      </w:r>
      <w:r w:rsidRPr="0036007C">
        <w:instrText xml:space="preserve"> REF _Ref58331214 \h </w:instrText>
      </w:r>
      <w:r w:rsidR="00A36C6D" w:rsidRPr="0036007C">
        <w:instrText xml:space="preserve"> \* MERGEFORMAT </w:instrText>
      </w:r>
      <w:r w:rsidRPr="0036007C">
        <w:fldChar w:fldCharType="separate"/>
      </w:r>
      <w:r w:rsidRPr="0036007C">
        <w:t>Figure 5.</w:t>
      </w:r>
      <w:r w:rsidR="003A6712" w:rsidRPr="0036007C">
        <w:t>4</w:t>
      </w:r>
      <w:r w:rsidRPr="0036007C">
        <w:fldChar w:fldCharType="end"/>
      </w:r>
      <w:r w:rsidR="00F36676" w:rsidRPr="0036007C">
        <w:t xml:space="preserve">, </w:t>
      </w:r>
      <w:r w:rsidRPr="0036007C">
        <w:fldChar w:fldCharType="begin"/>
      </w:r>
      <w:r w:rsidRPr="0036007C">
        <w:instrText xml:space="preserve"> REF _Ref58336759 \h  \* MERGEFORMAT </w:instrText>
      </w:r>
      <w:r w:rsidRPr="0036007C">
        <w:fldChar w:fldCharType="separate"/>
      </w:r>
      <w:r w:rsidR="00F36676" w:rsidRPr="0036007C">
        <w:t>Table 5.2</w:t>
      </w:r>
      <w:r w:rsidRPr="0036007C">
        <w:fldChar w:fldCharType="end"/>
      </w:r>
      <w:r w:rsidRPr="0036007C">
        <w:t>).</w:t>
      </w:r>
      <w:bookmarkStart w:id="357" w:name="_Toc485747817"/>
      <w:bookmarkStart w:id="358" w:name="_Toc490035389"/>
      <w:bookmarkStart w:id="359" w:name="_Toc497062664"/>
    </w:p>
    <w:p w14:paraId="10D59F1C" w14:textId="77777777" w:rsidR="00E3767F" w:rsidRPr="0036007C" w:rsidRDefault="00E3767F" w:rsidP="00F76882">
      <w:pPr>
        <w:pStyle w:val="Heading3"/>
      </w:pPr>
      <w:r w:rsidRPr="0036007C">
        <w:t>Trachoma prevalence</w:t>
      </w:r>
      <w:bookmarkEnd w:id="357"/>
      <w:bookmarkEnd w:id="358"/>
      <w:bookmarkEnd w:id="359"/>
    </w:p>
    <w:p w14:paraId="6E45AC8B" w14:textId="63ACAF38" w:rsidR="00E3767F" w:rsidRPr="0036007C" w:rsidRDefault="00E3767F" w:rsidP="00F76882">
      <w:pPr>
        <w:pStyle w:val="TableofFigures"/>
      </w:pPr>
      <w:r w:rsidRPr="0036007C">
        <w:t xml:space="preserve">The </w:t>
      </w:r>
      <w:r w:rsidR="00395C41" w:rsidRPr="0036007C">
        <w:t>o</w:t>
      </w:r>
      <w:r w:rsidRPr="0036007C">
        <w:t xml:space="preserve">bserved prevalence </w:t>
      </w:r>
      <w:r w:rsidR="00760D35" w:rsidRPr="0036007C">
        <w:t>of trachoma</w:t>
      </w:r>
      <w:r w:rsidRPr="0036007C" w:rsidDel="00F03658">
        <w:t xml:space="preserve"> </w:t>
      </w:r>
      <w:r w:rsidRPr="0036007C">
        <w:t>in children aged 5</w:t>
      </w:r>
      <w:r w:rsidR="00D64568" w:rsidRPr="0036007C">
        <w:t>–</w:t>
      </w:r>
      <w:r w:rsidRPr="0036007C">
        <w:t>9 years in</w:t>
      </w:r>
      <w:r w:rsidR="004E505F" w:rsidRPr="0036007C">
        <w:t xml:space="preserve"> </w:t>
      </w:r>
      <w:r w:rsidR="00A82A85" w:rsidRPr="0036007C">
        <w:t xml:space="preserve">screened communities </w:t>
      </w:r>
      <w:r w:rsidRPr="0036007C">
        <w:t xml:space="preserve">was </w:t>
      </w:r>
      <w:r w:rsidR="00FA7C02" w:rsidRPr="0036007C">
        <w:t>4.</w:t>
      </w:r>
      <w:r w:rsidR="00030DE1" w:rsidRPr="0036007C">
        <w:t>1</w:t>
      </w:r>
      <w:r w:rsidRPr="0036007C">
        <w:t>% (</w:t>
      </w:r>
      <w:r w:rsidR="00FA7C02" w:rsidRPr="0036007C">
        <w:t>1</w:t>
      </w:r>
      <w:r w:rsidR="00FF6FE1" w:rsidRPr="0036007C">
        <w:t>2</w:t>
      </w:r>
      <w:r w:rsidR="004722F4" w:rsidRPr="0036007C">
        <w:t>/</w:t>
      </w:r>
      <w:r w:rsidR="00FF6FE1" w:rsidRPr="0036007C">
        <w:t>295</w:t>
      </w:r>
      <w:r w:rsidRPr="0036007C">
        <w:t xml:space="preserve">). </w:t>
      </w:r>
      <w:r w:rsidR="002E44F3" w:rsidRPr="0036007C">
        <w:t>Observed p</w:t>
      </w:r>
      <w:r w:rsidRPr="0036007C">
        <w:t xml:space="preserve">revalence </w:t>
      </w:r>
      <w:r w:rsidR="00E74CE9" w:rsidRPr="0036007C">
        <w:t>was</w:t>
      </w:r>
      <w:r w:rsidR="002E44F3" w:rsidRPr="0036007C">
        <w:t xml:space="preserve"> </w:t>
      </w:r>
      <w:r w:rsidR="00B93E1E" w:rsidRPr="0036007C">
        <w:t>9.3</w:t>
      </w:r>
      <w:r w:rsidR="002E44F3" w:rsidRPr="0036007C">
        <w:t>% in the Pilbara</w:t>
      </w:r>
      <w:r w:rsidR="00A82A85" w:rsidRPr="0036007C">
        <w:t xml:space="preserve"> region</w:t>
      </w:r>
      <w:r w:rsidR="002E44F3" w:rsidRPr="0036007C">
        <w:t xml:space="preserve"> and</w:t>
      </w:r>
      <w:r w:rsidR="00395C41" w:rsidRPr="0036007C">
        <w:t xml:space="preserve"> </w:t>
      </w:r>
      <w:r w:rsidR="00D871CB" w:rsidRPr="0036007C">
        <w:t>6.5</w:t>
      </w:r>
      <w:r w:rsidRPr="0036007C">
        <w:t xml:space="preserve">% in the </w:t>
      </w:r>
      <w:r w:rsidR="000731B1" w:rsidRPr="0036007C">
        <w:t>Goldfields</w:t>
      </w:r>
      <w:r w:rsidRPr="0036007C">
        <w:t xml:space="preserve"> region</w:t>
      </w:r>
      <w:r w:rsidR="009956E9" w:rsidRPr="0036007C">
        <w:t>. No trachoma was reported in the</w:t>
      </w:r>
      <w:r w:rsidR="00B93E1E" w:rsidRPr="0036007C">
        <w:t xml:space="preserve"> Kimberley and Midwest regions</w:t>
      </w:r>
      <w:r w:rsidRPr="0036007C">
        <w:t xml:space="preserve"> (</w:t>
      </w:r>
      <w:r w:rsidRPr="0036007C">
        <w:fldChar w:fldCharType="begin"/>
      </w:r>
      <w:r w:rsidRPr="0036007C">
        <w:instrText xml:space="preserve"> REF _Ref58331245 \h </w:instrText>
      </w:r>
      <w:r w:rsidR="00A36C6D" w:rsidRPr="0036007C">
        <w:instrText xml:space="preserve"> \* MERGEFORMAT </w:instrText>
      </w:r>
      <w:r w:rsidRPr="0036007C">
        <w:fldChar w:fldCharType="separate"/>
      </w:r>
      <w:r w:rsidRPr="0036007C">
        <w:t>Figure 5.</w:t>
      </w:r>
      <w:r w:rsidRPr="0036007C">
        <w:fldChar w:fldCharType="end"/>
      </w:r>
      <w:r w:rsidR="00CC16F6" w:rsidRPr="0036007C">
        <w:t>5</w:t>
      </w:r>
      <w:r w:rsidRPr="0036007C">
        <w:t>a</w:t>
      </w:r>
      <w:r w:rsidR="00F36676" w:rsidRPr="0036007C">
        <w:t xml:space="preserve">, </w:t>
      </w:r>
      <w:r w:rsidRPr="0036007C">
        <w:fldChar w:fldCharType="begin"/>
      </w:r>
      <w:r w:rsidRPr="0036007C">
        <w:instrText xml:space="preserve"> REF _Ref58336759 \h  \* MERGEFORMAT </w:instrText>
      </w:r>
      <w:r w:rsidRPr="0036007C">
        <w:fldChar w:fldCharType="separate"/>
      </w:r>
      <w:r w:rsidR="00F36676" w:rsidRPr="0036007C">
        <w:t>Table 5.2</w:t>
      </w:r>
      <w:r w:rsidRPr="0036007C">
        <w:fldChar w:fldCharType="end"/>
      </w:r>
      <w:r w:rsidRPr="0036007C">
        <w:t>).</w:t>
      </w:r>
    </w:p>
    <w:p w14:paraId="01F93341" w14:textId="3870C6AC" w:rsidR="00E3767F" w:rsidRPr="0036007C" w:rsidRDefault="00E3767F" w:rsidP="00F76882">
      <w:pPr>
        <w:pStyle w:val="TableofFigures"/>
      </w:pPr>
      <w:r w:rsidRPr="0036007C">
        <w:t xml:space="preserve">The overall prevalence </w:t>
      </w:r>
      <w:r w:rsidR="00760D35" w:rsidRPr="0036007C">
        <w:t>of trachoma</w:t>
      </w:r>
      <w:r w:rsidRPr="0036007C" w:rsidDel="00E63955">
        <w:t xml:space="preserve"> </w:t>
      </w:r>
      <w:r w:rsidRPr="0036007C">
        <w:t>in children aged 5</w:t>
      </w:r>
      <w:r w:rsidR="003D00CE" w:rsidRPr="0036007C">
        <w:t>–</w:t>
      </w:r>
      <w:r w:rsidRPr="0036007C">
        <w:t xml:space="preserve">9 years was </w:t>
      </w:r>
      <w:r w:rsidR="00DA16BD" w:rsidRPr="0036007C">
        <w:t>1.</w:t>
      </w:r>
      <w:r w:rsidR="00D871CB" w:rsidRPr="0036007C">
        <w:t>3</w:t>
      </w:r>
      <w:r w:rsidR="00DA16BD" w:rsidRPr="0036007C">
        <w:t>%. Overall prevalence ranged</w:t>
      </w:r>
      <w:r w:rsidRPr="0036007C">
        <w:t xml:space="preserve"> from </w:t>
      </w:r>
      <w:r w:rsidR="000731B1" w:rsidRPr="0036007C">
        <w:t>0</w:t>
      </w:r>
      <w:r w:rsidR="0026036C" w:rsidRPr="0036007C">
        <w:t>.0</w:t>
      </w:r>
      <w:r w:rsidRPr="0036007C">
        <w:t xml:space="preserve">% in the Midwest region to </w:t>
      </w:r>
      <w:r w:rsidR="00D871CB" w:rsidRPr="0036007C">
        <w:t>3.2</w:t>
      </w:r>
      <w:r w:rsidRPr="0036007C">
        <w:t xml:space="preserve">% in the </w:t>
      </w:r>
      <w:r w:rsidR="00D871CB" w:rsidRPr="0036007C">
        <w:t>Pilbara</w:t>
      </w:r>
      <w:r w:rsidRPr="0036007C">
        <w:t xml:space="preserve"> region (Figure 5.</w:t>
      </w:r>
      <w:r w:rsidR="00CC16F6" w:rsidRPr="0036007C">
        <w:t>5</w:t>
      </w:r>
      <w:r w:rsidRPr="0036007C">
        <w:t>c</w:t>
      </w:r>
      <w:r w:rsidR="00F36676" w:rsidRPr="0036007C">
        <w:t xml:space="preserve">, </w:t>
      </w:r>
      <w:r w:rsidRPr="0036007C">
        <w:fldChar w:fldCharType="begin"/>
      </w:r>
      <w:r w:rsidRPr="0036007C">
        <w:instrText xml:space="preserve"> REF _Ref58336759 \h  \* MERGEFORMAT </w:instrText>
      </w:r>
      <w:r w:rsidRPr="0036007C">
        <w:fldChar w:fldCharType="separate"/>
      </w:r>
      <w:r w:rsidR="00F36676" w:rsidRPr="0036007C">
        <w:t>Table 5.2</w:t>
      </w:r>
      <w:r w:rsidRPr="0036007C">
        <w:fldChar w:fldCharType="end"/>
      </w:r>
      <w:r w:rsidRPr="0036007C">
        <w:t>)</w:t>
      </w:r>
    </w:p>
    <w:p w14:paraId="503007AC" w14:textId="68B15B1B" w:rsidR="00E3767F" w:rsidRPr="0036007C" w:rsidRDefault="00E3767F" w:rsidP="00F76882">
      <w:pPr>
        <w:pStyle w:val="TableofFigures"/>
      </w:pPr>
      <w:r w:rsidRPr="0036007C">
        <w:t xml:space="preserve">No trachoma was reported in </w:t>
      </w:r>
      <w:r w:rsidR="004722F4" w:rsidRPr="0036007C">
        <w:t>1</w:t>
      </w:r>
      <w:r w:rsidR="00FA0F85" w:rsidRPr="0036007C">
        <w:t>9</w:t>
      </w:r>
      <w:r w:rsidRPr="0036007C">
        <w:t>/</w:t>
      </w:r>
      <w:r w:rsidR="000731B1" w:rsidRPr="0036007C">
        <w:t>2</w:t>
      </w:r>
      <w:r w:rsidR="000473E8" w:rsidRPr="0036007C">
        <w:t>6</w:t>
      </w:r>
      <w:r w:rsidR="001633B3" w:rsidRPr="0036007C">
        <w:t xml:space="preserve"> (73%</w:t>
      </w:r>
      <w:r w:rsidRPr="0036007C">
        <w:t xml:space="preserve">) of the </w:t>
      </w:r>
      <w:r w:rsidR="000731B1" w:rsidRPr="0036007C">
        <w:t xml:space="preserve">screened </w:t>
      </w:r>
      <w:r w:rsidRPr="0036007C">
        <w:t>at-risk communities (</w:t>
      </w:r>
      <w:r w:rsidRPr="0036007C">
        <w:fldChar w:fldCharType="begin"/>
      </w:r>
      <w:r w:rsidRPr="0036007C">
        <w:instrText xml:space="preserve"> REF _Ref58331383 \h </w:instrText>
      </w:r>
      <w:r w:rsidR="00A36C6D" w:rsidRPr="0036007C">
        <w:instrText xml:space="preserve"> \* MERGEFORMAT </w:instrText>
      </w:r>
      <w:r w:rsidRPr="0036007C">
        <w:fldChar w:fldCharType="separate"/>
      </w:r>
      <w:r w:rsidRPr="0036007C">
        <w:t>Figure 5.</w:t>
      </w:r>
      <w:r w:rsidR="00646A69" w:rsidRPr="0036007C">
        <w:t>6</w:t>
      </w:r>
      <w:r w:rsidRPr="0036007C">
        <w:fldChar w:fldCharType="end"/>
      </w:r>
      <w:r w:rsidR="00F36676" w:rsidRPr="0036007C">
        <w:t xml:space="preserve">, </w:t>
      </w:r>
      <w:r w:rsidRPr="0036007C">
        <w:fldChar w:fldCharType="begin"/>
      </w:r>
      <w:r w:rsidRPr="0036007C">
        <w:instrText xml:space="preserve"> REF _Ref58336787 \h  \* MERGEFORMAT </w:instrText>
      </w:r>
      <w:r w:rsidRPr="0036007C">
        <w:fldChar w:fldCharType="separate"/>
      </w:r>
      <w:r w:rsidR="00F36676" w:rsidRPr="0036007C">
        <w:t>Table 5.3</w:t>
      </w:r>
      <w:r w:rsidRPr="0036007C">
        <w:fldChar w:fldCharType="end"/>
      </w:r>
      <w:r w:rsidRPr="0036007C">
        <w:t>).</w:t>
      </w:r>
    </w:p>
    <w:p w14:paraId="5DA34121" w14:textId="004815D6" w:rsidR="00E3767F" w:rsidRPr="0036007C" w:rsidRDefault="00E3767F" w:rsidP="00F76882">
      <w:pPr>
        <w:pStyle w:val="TableofFigures"/>
      </w:pPr>
      <w:r w:rsidRPr="0036007C">
        <w:t>Endemic trachoma (</w:t>
      </w:r>
      <w:r w:rsidR="00C60C03" w:rsidRPr="0036007C">
        <w:t xml:space="preserve">observed prevalence </w:t>
      </w:r>
      <w:r w:rsidRPr="0036007C">
        <w:t>≥ 5%) w</w:t>
      </w:r>
      <w:r w:rsidR="00662D5F" w:rsidRPr="0036007C">
        <w:t>as</w:t>
      </w:r>
      <w:r w:rsidRPr="0036007C">
        <w:t xml:space="preserve"> reported in </w:t>
      </w:r>
      <w:r w:rsidR="000473E8" w:rsidRPr="0036007C">
        <w:t>6</w:t>
      </w:r>
      <w:r w:rsidR="004722F4" w:rsidRPr="0036007C">
        <w:t>/</w:t>
      </w:r>
      <w:r w:rsidR="000731B1" w:rsidRPr="0036007C">
        <w:t>2</w:t>
      </w:r>
      <w:r w:rsidR="000473E8" w:rsidRPr="0036007C">
        <w:t>6</w:t>
      </w:r>
      <w:r w:rsidR="00717245" w:rsidRPr="0036007C">
        <w:t xml:space="preserve"> (23%</w:t>
      </w:r>
      <w:r w:rsidRPr="0036007C">
        <w:t xml:space="preserve">) of the </w:t>
      </w:r>
      <w:r w:rsidR="000731B1" w:rsidRPr="0036007C">
        <w:t xml:space="preserve">screened </w:t>
      </w:r>
      <w:r w:rsidRPr="0036007C">
        <w:t>at-risk communities (</w:t>
      </w:r>
      <w:r w:rsidRPr="0036007C">
        <w:fldChar w:fldCharType="begin"/>
      </w:r>
      <w:r w:rsidRPr="0036007C">
        <w:instrText xml:space="preserve"> REF _Ref58331383 \h </w:instrText>
      </w:r>
      <w:r w:rsidR="00A36C6D" w:rsidRPr="0036007C">
        <w:instrText xml:space="preserve"> \* MERGEFORMAT </w:instrText>
      </w:r>
      <w:r w:rsidRPr="0036007C">
        <w:fldChar w:fldCharType="separate"/>
      </w:r>
      <w:r w:rsidRPr="0036007C">
        <w:t>Figure 5.</w:t>
      </w:r>
      <w:r w:rsidR="00646A69" w:rsidRPr="0036007C">
        <w:t>6</w:t>
      </w:r>
      <w:r w:rsidRPr="0036007C">
        <w:fldChar w:fldCharType="end"/>
      </w:r>
      <w:r w:rsidR="00F36676" w:rsidRPr="0036007C">
        <w:t xml:space="preserve">, </w:t>
      </w:r>
      <w:r w:rsidRPr="0036007C">
        <w:fldChar w:fldCharType="begin"/>
      </w:r>
      <w:r w:rsidRPr="0036007C">
        <w:instrText xml:space="preserve"> REF _Ref58336787 \h  \* MERGEFORMAT </w:instrText>
      </w:r>
      <w:r w:rsidRPr="0036007C">
        <w:fldChar w:fldCharType="separate"/>
      </w:r>
      <w:r w:rsidR="00F36676" w:rsidRPr="0036007C">
        <w:t>Table 5.3</w:t>
      </w:r>
      <w:r w:rsidRPr="0036007C">
        <w:fldChar w:fldCharType="end"/>
      </w:r>
      <w:r w:rsidRPr="0036007C">
        <w:t>).</w:t>
      </w:r>
    </w:p>
    <w:p w14:paraId="5B067231" w14:textId="3E2E4BBC" w:rsidR="00E3767F" w:rsidRPr="0036007C" w:rsidRDefault="00E3767F" w:rsidP="00F76882">
      <w:pPr>
        <w:pStyle w:val="TableofFigures"/>
      </w:pPr>
      <w:r w:rsidRPr="0036007C">
        <w:t>Hyperendemic trachoma (</w:t>
      </w:r>
      <w:r w:rsidR="00C60C03" w:rsidRPr="0036007C">
        <w:t xml:space="preserve">observed prevalence </w:t>
      </w:r>
      <w:r w:rsidRPr="0036007C">
        <w:t xml:space="preserve">≥ 20%) </w:t>
      </w:r>
      <w:r w:rsidR="00197CB7" w:rsidRPr="0036007C">
        <w:t xml:space="preserve">was </w:t>
      </w:r>
      <w:r w:rsidRPr="0036007C">
        <w:t xml:space="preserve">reported in </w:t>
      </w:r>
      <w:r w:rsidR="00CA21D1" w:rsidRPr="0036007C">
        <w:t>one</w:t>
      </w:r>
      <w:r w:rsidRPr="0036007C">
        <w:t xml:space="preserve"> of the </w:t>
      </w:r>
      <w:r w:rsidR="000731B1" w:rsidRPr="0036007C">
        <w:t xml:space="preserve">screened </w:t>
      </w:r>
      <w:r w:rsidRPr="0036007C">
        <w:t>at-risk communities (</w:t>
      </w:r>
      <w:r w:rsidRPr="0036007C">
        <w:fldChar w:fldCharType="begin"/>
      </w:r>
      <w:r w:rsidRPr="0036007C">
        <w:instrText xml:space="preserve"> REF _Ref58331383 \h </w:instrText>
      </w:r>
      <w:r w:rsidR="00A36C6D" w:rsidRPr="0036007C">
        <w:instrText xml:space="preserve"> \* MERGEFORMAT </w:instrText>
      </w:r>
      <w:r w:rsidRPr="0036007C">
        <w:fldChar w:fldCharType="separate"/>
      </w:r>
      <w:r w:rsidRPr="0036007C">
        <w:t>Figure 5.</w:t>
      </w:r>
      <w:r w:rsidR="00646A69" w:rsidRPr="0036007C">
        <w:t>6</w:t>
      </w:r>
      <w:r w:rsidRPr="0036007C">
        <w:fldChar w:fldCharType="end"/>
      </w:r>
      <w:r w:rsidR="00F36676" w:rsidRPr="0036007C">
        <w:t xml:space="preserve">, </w:t>
      </w:r>
      <w:r w:rsidRPr="0036007C">
        <w:fldChar w:fldCharType="begin"/>
      </w:r>
      <w:r w:rsidRPr="0036007C">
        <w:instrText xml:space="preserve"> REF _Ref58336787 \h  \* MERGEFORMAT </w:instrText>
      </w:r>
      <w:r w:rsidRPr="0036007C">
        <w:fldChar w:fldCharType="separate"/>
      </w:r>
      <w:r w:rsidR="00F36676" w:rsidRPr="0036007C">
        <w:t>Table 5.3</w:t>
      </w:r>
      <w:r w:rsidRPr="0036007C">
        <w:fldChar w:fldCharType="end"/>
      </w:r>
      <w:r w:rsidRPr="0036007C">
        <w:t>).</w:t>
      </w:r>
    </w:p>
    <w:p w14:paraId="2157AE86" w14:textId="77777777" w:rsidR="00E3767F" w:rsidRPr="0036007C" w:rsidRDefault="00E3767F" w:rsidP="00F76882">
      <w:pPr>
        <w:pStyle w:val="Heading3"/>
      </w:pPr>
      <w:bookmarkStart w:id="360" w:name="_Toc485747818"/>
      <w:bookmarkStart w:id="361" w:name="_Toc490035390"/>
      <w:bookmarkStart w:id="362" w:name="_Toc497062665"/>
      <w:r w:rsidRPr="0036007C">
        <w:t>Treatment delivery and coverage</w:t>
      </w:r>
      <w:bookmarkEnd w:id="360"/>
      <w:bookmarkEnd w:id="361"/>
      <w:bookmarkEnd w:id="362"/>
    </w:p>
    <w:p w14:paraId="3BCF13A9" w14:textId="58097732" w:rsidR="00E3767F" w:rsidRPr="0036007C" w:rsidRDefault="00E3767F" w:rsidP="00F76882">
      <w:pPr>
        <w:pStyle w:val="TableofFigures"/>
      </w:pPr>
      <w:r w:rsidRPr="0036007C">
        <w:t xml:space="preserve">Trachoma treatment strategies were required </w:t>
      </w:r>
      <w:r w:rsidR="00080B24" w:rsidRPr="0036007C">
        <w:t xml:space="preserve">in </w:t>
      </w:r>
      <w:r w:rsidR="000E1144" w:rsidRPr="0036007C">
        <w:t>seven</w:t>
      </w:r>
      <w:r w:rsidR="00080B24" w:rsidRPr="0036007C">
        <w:t xml:space="preserve"> </w:t>
      </w:r>
      <w:r w:rsidRPr="0036007C">
        <w:t>communities</w:t>
      </w:r>
      <w:r w:rsidR="00080B24" w:rsidRPr="0036007C">
        <w:t xml:space="preserve">. </w:t>
      </w:r>
      <w:proofErr w:type="gramStart"/>
      <w:r w:rsidR="000E1144" w:rsidRPr="0036007C">
        <w:t>All</w:t>
      </w:r>
      <w:r w:rsidR="00080B24" w:rsidRPr="0036007C">
        <w:t xml:space="preserve"> of</w:t>
      </w:r>
      <w:proofErr w:type="gramEnd"/>
      <w:r w:rsidR="00080B24" w:rsidRPr="0036007C">
        <w:t xml:space="preserve"> these communities received treatment</w:t>
      </w:r>
      <w:r w:rsidR="00D24D16" w:rsidRPr="0036007C">
        <w:t>, which was</w:t>
      </w:r>
      <w:r w:rsidR="00722D8C" w:rsidRPr="0036007C">
        <w:t xml:space="preserve"> provided to active trachoma cases and households</w:t>
      </w:r>
      <w:r w:rsidRPr="0036007C">
        <w:t xml:space="preserve"> (</w:t>
      </w:r>
      <w:r w:rsidRPr="0036007C">
        <w:fldChar w:fldCharType="begin"/>
      </w:r>
      <w:r w:rsidRPr="0036007C">
        <w:instrText xml:space="preserve"> REF _Ref58336806 \h </w:instrText>
      </w:r>
      <w:r w:rsidR="00A36C6D" w:rsidRPr="0036007C">
        <w:instrText xml:space="preserve"> \* MERGEFORMAT </w:instrText>
      </w:r>
      <w:r w:rsidRPr="0036007C">
        <w:fldChar w:fldCharType="separate"/>
      </w:r>
      <w:r w:rsidRPr="0036007C">
        <w:t>Table 5.4</w:t>
      </w:r>
      <w:r w:rsidRPr="0036007C">
        <w:fldChar w:fldCharType="end"/>
      </w:r>
      <w:r w:rsidRPr="0036007C">
        <w:t>).</w:t>
      </w:r>
    </w:p>
    <w:p w14:paraId="25C658E7" w14:textId="042E908B" w:rsidR="00E3767F" w:rsidRPr="003D3BBA" w:rsidRDefault="00E3767F" w:rsidP="00F76882">
      <w:pPr>
        <w:pStyle w:val="TableofFigures"/>
      </w:pPr>
      <w:r w:rsidRPr="003D3BBA">
        <w:t xml:space="preserve">Total treatment coverage </w:t>
      </w:r>
      <w:r w:rsidR="00760D35" w:rsidRPr="003D3BBA">
        <w:t>for trachoma</w:t>
      </w:r>
      <w:r w:rsidRPr="003D3BBA">
        <w:t xml:space="preserve"> cases and </w:t>
      </w:r>
      <w:r w:rsidR="009174BE" w:rsidRPr="003D3BBA">
        <w:t>contacts</w:t>
      </w:r>
      <w:r w:rsidRPr="003D3BBA">
        <w:t xml:space="preserve"> in all </w:t>
      </w:r>
      <w:proofErr w:type="gramStart"/>
      <w:r w:rsidR="006537A1" w:rsidRPr="003D3BBA">
        <w:t>region</w:t>
      </w:r>
      <w:r w:rsidR="00226F0D" w:rsidRPr="003D3BBA">
        <w:t>s</w:t>
      </w:r>
      <w:proofErr w:type="gramEnd"/>
      <w:r w:rsidRPr="003D3BBA">
        <w:t xml:space="preserve"> requiring treatment was </w:t>
      </w:r>
      <w:r w:rsidR="00BE006A" w:rsidRPr="003D3BBA">
        <w:t>87</w:t>
      </w:r>
      <w:r w:rsidRPr="003D3BBA">
        <w:t xml:space="preserve">% with </w:t>
      </w:r>
      <w:r w:rsidR="0028373F" w:rsidRPr="003D3BBA">
        <w:t>9</w:t>
      </w:r>
      <w:r w:rsidR="00BE006A" w:rsidRPr="003D3BBA">
        <w:t>2</w:t>
      </w:r>
      <w:r w:rsidRPr="003D3BBA">
        <w:t xml:space="preserve"> doses of azithromycin delivered</w:t>
      </w:r>
      <w:r w:rsidR="00CA67D1" w:rsidRPr="003D3BBA">
        <w:t>. T</w:t>
      </w:r>
      <w:r w:rsidR="0078127C" w:rsidRPr="003D3BBA">
        <w:t>otal treatment coverage was 80% (</w:t>
      </w:r>
      <w:r w:rsidR="00407D23" w:rsidRPr="003D3BBA">
        <w:t>53 doses administered)</w:t>
      </w:r>
      <w:r w:rsidR="0078127C" w:rsidRPr="003D3BBA">
        <w:t xml:space="preserve"> </w:t>
      </w:r>
      <w:r w:rsidR="00407D23" w:rsidRPr="003D3BBA">
        <w:t xml:space="preserve">in the Goldfields </w:t>
      </w:r>
      <w:r w:rsidR="0078127C" w:rsidRPr="003D3BBA">
        <w:t>and 98% (39 doses administered)</w:t>
      </w:r>
      <w:r w:rsidR="00407D23" w:rsidRPr="003D3BBA">
        <w:t xml:space="preserve"> in the Pilbara region</w:t>
      </w:r>
      <w:r w:rsidRPr="003D3BBA">
        <w:t xml:space="preserve"> (</w:t>
      </w:r>
      <w:r w:rsidRPr="003D3BBA">
        <w:fldChar w:fldCharType="begin"/>
      </w:r>
      <w:r w:rsidRPr="003D3BBA">
        <w:instrText xml:space="preserve"> REF _Ref58331502 \h </w:instrText>
      </w:r>
      <w:r w:rsidR="00A36C6D" w:rsidRPr="003D3BBA">
        <w:instrText xml:space="preserve"> \* MERGEFORMAT </w:instrText>
      </w:r>
      <w:r w:rsidRPr="003D3BBA">
        <w:fldChar w:fldCharType="separate"/>
      </w:r>
      <w:r w:rsidRPr="003D3BBA">
        <w:t>Figure 5.</w:t>
      </w:r>
      <w:r w:rsidR="001F02FF" w:rsidRPr="003D3BBA">
        <w:t>7</w:t>
      </w:r>
      <w:r w:rsidRPr="003D3BBA">
        <w:fldChar w:fldCharType="end"/>
      </w:r>
      <w:r w:rsidR="00F615C9" w:rsidRPr="003D3BBA">
        <w:t xml:space="preserve">, </w:t>
      </w:r>
      <w:r w:rsidRPr="003D3BBA">
        <w:fldChar w:fldCharType="begin"/>
      </w:r>
      <w:r w:rsidRPr="003D3BBA">
        <w:instrText xml:space="preserve"> REF _Ref58336824 \h  \* MERGEFORMAT </w:instrText>
      </w:r>
      <w:r w:rsidRPr="003D3BBA">
        <w:fldChar w:fldCharType="separate"/>
      </w:r>
      <w:r w:rsidR="00F615C9" w:rsidRPr="003D3BBA">
        <w:t>Table 5.5</w:t>
      </w:r>
      <w:r w:rsidRPr="003D3BBA">
        <w:fldChar w:fldCharType="end"/>
      </w:r>
      <w:r w:rsidRPr="003D3BBA">
        <w:t>).</w:t>
      </w:r>
    </w:p>
    <w:bookmarkEnd w:id="348"/>
    <w:bookmarkEnd w:id="349"/>
    <w:bookmarkEnd w:id="350"/>
    <w:p w14:paraId="1C6D6FB6" w14:textId="7D0BF812" w:rsidR="001272E9" w:rsidRPr="006043C2" w:rsidRDefault="00D048BD" w:rsidP="00F76882">
      <w:pPr>
        <w:pStyle w:val="Heading3"/>
      </w:pPr>
      <w:r w:rsidRPr="006043C2">
        <w:t>Trachomatous</w:t>
      </w:r>
      <w:r w:rsidR="00DD246A" w:rsidRPr="006043C2">
        <w:t xml:space="preserve"> </w:t>
      </w:r>
      <w:r w:rsidR="00634A44" w:rsidRPr="006043C2">
        <w:t>T</w:t>
      </w:r>
      <w:r w:rsidR="001272E9" w:rsidRPr="006043C2">
        <w:t>richiasis</w:t>
      </w:r>
      <w:r w:rsidR="00704415" w:rsidRPr="006043C2">
        <w:t xml:space="preserve"> (TT)</w:t>
      </w:r>
    </w:p>
    <w:p w14:paraId="5077A22F" w14:textId="24585FAC" w:rsidR="00E3767F" w:rsidRPr="00FC1E83" w:rsidRDefault="005956EE" w:rsidP="00F76882">
      <w:pPr>
        <w:pStyle w:val="TableofFigures"/>
      </w:pPr>
      <w:r w:rsidRPr="0036007C">
        <w:rPr>
          <w:lang w:val="en-AU"/>
        </w:rPr>
        <w:t>Overall,</w:t>
      </w:r>
      <w:r w:rsidR="00E3767F" w:rsidRPr="0036007C">
        <w:rPr>
          <w:lang w:val="en-AU"/>
        </w:rPr>
        <w:t xml:space="preserve"> </w:t>
      </w:r>
      <w:r w:rsidR="00EC7208" w:rsidRPr="0036007C">
        <w:rPr>
          <w:lang w:val="en-AU"/>
        </w:rPr>
        <w:t xml:space="preserve">2313 </w:t>
      </w:r>
      <w:r w:rsidR="00046C9F" w:rsidRPr="00FC1E83">
        <w:t>persons aged 15</w:t>
      </w:r>
      <w:r w:rsidR="00E3767F" w:rsidRPr="00FC1E83">
        <w:t xml:space="preserve"> years and older were reported to be screened </w:t>
      </w:r>
      <w:r w:rsidR="008F19C5" w:rsidRPr="00FC1E83">
        <w:t xml:space="preserve">for </w:t>
      </w:r>
      <w:r w:rsidR="00A9557B" w:rsidRPr="00FC1E83">
        <w:t>TT</w:t>
      </w:r>
      <w:r w:rsidR="00071385" w:rsidRPr="00FC1E83">
        <w:t xml:space="preserve"> in </w:t>
      </w:r>
      <w:r w:rsidR="00C3405D" w:rsidRPr="00FC1E83">
        <w:t>2024</w:t>
      </w:r>
      <w:r w:rsidR="009D630C" w:rsidRPr="00FC1E83">
        <w:t>. No new</w:t>
      </w:r>
      <w:r w:rsidR="00534648" w:rsidRPr="00FC1E83">
        <w:t xml:space="preserve"> cases of </w:t>
      </w:r>
      <w:r w:rsidR="00A9557B" w:rsidRPr="00FC1E83">
        <w:t>TT</w:t>
      </w:r>
      <w:r w:rsidR="00534648" w:rsidRPr="00FC1E83">
        <w:t xml:space="preserve"> were identified</w:t>
      </w:r>
      <w:r w:rsidR="008F19C5" w:rsidRPr="00FC1E83">
        <w:t xml:space="preserve"> </w:t>
      </w:r>
      <w:r w:rsidR="00E3767F" w:rsidRPr="00FC1E83">
        <w:t>(Table 5.6).</w:t>
      </w:r>
    </w:p>
    <w:p w14:paraId="44EC3B9E" w14:textId="5A3951EA" w:rsidR="00E3767F" w:rsidRPr="003D3BBA" w:rsidRDefault="00E3767F" w:rsidP="00F76882">
      <w:pPr>
        <w:pStyle w:val="TableofFigures"/>
      </w:pPr>
      <w:r w:rsidRPr="00FC1E83">
        <w:t xml:space="preserve">Surgery for </w:t>
      </w:r>
      <w:r w:rsidR="00A9557B" w:rsidRPr="00FC1E83">
        <w:t>TT</w:t>
      </w:r>
      <w:r w:rsidRPr="00FC1E83">
        <w:t xml:space="preserve"> was reported</w:t>
      </w:r>
      <w:r w:rsidRPr="003D3BBA">
        <w:t xml:space="preserve"> to be undertaken for</w:t>
      </w:r>
      <w:r w:rsidR="00026317" w:rsidRPr="003D3BBA">
        <w:t xml:space="preserve"> </w:t>
      </w:r>
      <w:r w:rsidR="00DD246A" w:rsidRPr="003D3BBA">
        <w:t>four people</w:t>
      </w:r>
      <w:r w:rsidR="00026317" w:rsidRPr="003D3BBA">
        <w:t xml:space="preserve"> </w:t>
      </w:r>
      <w:r w:rsidR="006B3742" w:rsidRPr="003D3BBA">
        <w:t xml:space="preserve">in </w:t>
      </w:r>
      <w:r w:rsidR="00C3405D" w:rsidRPr="003D3BBA">
        <w:t>2024</w:t>
      </w:r>
      <w:r w:rsidR="00F615C9" w:rsidRPr="003D3BBA">
        <w:t xml:space="preserve"> </w:t>
      </w:r>
      <w:r w:rsidRPr="003D3BBA">
        <w:t>(Table 5.6)</w:t>
      </w:r>
      <w:r w:rsidR="000C0B50" w:rsidRPr="003D3BBA">
        <w:t>.</w:t>
      </w:r>
    </w:p>
    <w:p w14:paraId="35B7FB8F" w14:textId="77777777" w:rsidR="00E3767F" w:rsidRPr="0036007C" w:rsidRDefault="00E3767F" w:rsidP="00F76882">
      <w:pPr>
        <w:pStyle w:val="Heading3"/>
      </w:pPr>
      <w:bookmarkStart w:id="363" w:name="_Hlk104540567"/>
      <w:r w:rsidRPr="0036007C">
        <w:t>Health promotion</w:t>
      </w:r>
    </w:p>
    <w:p w14:paraId="3A415F2C" w14:textId="64085140" w:rsidR="003F20F0" w:rsidRPr="00F76882" w:rsidRDefault="003F20F0" w:rsidP="00F76882">
      <w:bookmarkStart w:id="364" w:name="Figure41"/>
      <w:bookmarkEnd w:id="363"/>
      <w:r w:rsidRPr="00F76882">
        <w:t xml:space="preserve">Health promotion activities </w:t>
      </w:r>
      <w:r w:rsidR="00513DAB" w:rsidRPr="00F76882">
        <w:t xml:space="preserve">in WA </w:t>
      </w:r>
      <w:r w:rsidRPr="00F76882">
        <w:t xml:space="preserve">continue to be a collaborative effort coordinated by WACHS Central Office with the Public Health </w:t>
      </w:r>
      <w:r w:rsidR="0086430E" w:rsidRPr="00F76882">
        <w:t xml:space="preserve">staff </w:t>
      </w:r>
      <w:r w:rsidRPr="00F76882">
        <w:t>in the four trachoma endemic regions (Goldfields, Midwest, Pilbara</w:t>
      </w:r>
      <w:r w:rsidR="009174BE" w:rsidRPr="00F76882">
        <w:t xml:space="preserve">, and </w:t>
      </w:r>
      <w:r w:rsidRPr="00F76882">
        <w:t>Kimberley), WA Environmental Health Directorate</w:t>
      </w:r>
      <w:r w:rsidR="00125746" w:rsidRPr="00F76882">
        <w:t xml:space="preserve">, </w:t>
      </w:r>
      <w:r w:rsidRPr="00F76882">
        <w:t xml:space="preserve">Soap Aid Ltd, Aboriginal Health Council of </w:t>
      </w:r>
      <w:r w:rsidR="00733912" w:rsidRPr="00F76882">
        <w:t>Western Australia</w:t>
      </w:r>
      <w:r w:rsidR="00233CD7" w:rsidRPr="00F76882">
        <w:t xml:space="preserve">, </w:t>
      </w:r>
      <w:r w:rsidRPr="00F76882">
        <w:t>Public Health Advocacy Institute</w:t>
      </w:r>
      <w:r w:rsidR="009174BE" w:rsidRPr="00F76882">
        <w:t xml:space="preserve">, and </w:t>
      </w:r>
      <w:r w:rsidR="00D34F05" w:rsidRPr="00F76882">
        <w:t>IEHU</w:t>
      </w:r>
      <w:r w:rsidRPr="00F76882">
        <w:t xml:space="preserve">. Collaboration with other environmental health-related disease programs such as </w:t>
      </w:r>
      <w:r w:rsidR="005118D6" w:rsidRPr="00F76882">
        <w:t>r</w:t>
      </w:r>
      <w:r w:rsidRPr="00F76882">
        <w:t xml:space="preserve">heumatic </w:t>
      </w:r>
      <w:r w:rsidR="005118D6" w:rsidRPr="00F76882">
        <w:t>h</w:t>
      </w:r>
      <w:r w:rsidRPr="00F76882">
        <w:t xml:space="preserve">eart </w:t>
      </w:r>
      <w:r w:rsidR="005118D6" w:rsidRPr="00F76882">
        <w:t>d</w:t>
      </w:r>
      <w:r w:rsidRPr="00F76882">
        <w:t>isease</w:t>
      </w:r>
      <w:r w:rsidR="007B75E4" w:rsidRPr="00F76882">
        <w:t>, dental</w:t>
      </w:r>
      <w:r w:rsidR="009174BE" w:rsidRPr="00F76882">
        <w:t xml:space="preserve">, and </w:t>
      </w:r>
      <w:r w:rsidR="007B75E4" w:rsidRPr="00F76882">
        <w:t>skin health</w:t>
      </w:r>
      <w:r w:rsidRPr="00F76882">
        <w:t xml:space="preserve"> have also continued.</w:t>
      </w:r>
      <w:r w:rsidR="00D34F05" w:rsidRPr="00F76882">
        <w:t xml:space="preserve"> </w:t>
      </w:r>
    </w:p>
    <w:p w14:paraId="36D7C48C" w14:textId="6E4AE715" w:rsidR="003F20F0" w:rsidRPr="00F76882" w:rsidRDefault="00330BE2" w:rsidP="00F76882">
      <w:r w:rsidRPr="00F76882">
        <w:t>School, home</w:t>
      </w:r>
      <w:r w:rsidR="009174BE" w:rsidRPr="00F76882">
        <w:t xml:space="preserve">, and </w:t>
      </w:r>
      <w:r w:rsidRPr="00F76882">
        <w:t>community-based health promotion sessions were undertaken in 48 communities designated at risk of trachoma or trachoma resurgence</w:t>
      </w:r>
      <w:r w:rsidR="00CB6CE1" w:rsidRPr="00F76882">
        <w:t xml:space="preserve"> (Table 5.7)</w:t>
      </w:r>
      <w:r w:rsidRPr="00F76882">
        <w:t xml:space="preserve">. </w:t>
      </w:r>
      <w:r w:rsidR="00110E05" w:rsidRPr="00F76882">
        <w:t>H</w:t>
      </w:r>
      <w:r w:rsidR="00513DAB" w:rsidRPr="00F76882">
        <w:t xml:space="preserve">ealth hygiene activities </w:t>
      </w:r>
      <w:r w:rsidRPr="00F76882">
        <w:t>were tailored to be</w:t>
      </w:r>
      <w:r w:rsidR="00513DAB" w:rsidRPr="00F76882">
        <w:t xml:space="preserve"> appropriate to the intended audience. </w:t>
      </w:r>
      <w:r w:rsidR="003F20F0" w:rsidRPr="00F76882">
        <w:t xml:space="preserve">Regional teams used a variety of resources </w:t>
      </w:r>
      <w:r w:rsidR="00F67747" w:rsidRPr="00F76882">
        <w:t>to promote engagement</w:t>
      </w:r>
      <w:r w:rsidR="003F20F0" w:rsidRPr="00F76882">
        <w:t xml:space="preserve"> including </w:t>
      </w:r>
      <w:r w:rsidR="001A2B20" w:rsidRPr="00F76882">
        <w:t xml:space="preserve">soap making activities, </w:t>
      </w:r>
      <w:r w:rsidR="003F20F0" w:rsidRPr="00F76882">
        <w:t xml:space="preserve">stickers, </w:t>
      </w:r>
      <w:r w:rsidR="004A4B2F" w:rsidRPr="00F76882">
        <w:t>children’s story books</w:t>
      </w:r>
      <w:r w:rsidR="003F20F0" w:rsidRPr="00F76882">
        <w:t xml:space="preserve">, </w:t>
      </w:r>
      <w:r w:rsidR="00650C2D" w:rsidRPr="00F76882">
        <w:t>UV light to assess h</w:t>
      </w:r>
      <w:r w:rsidR="003F20F0" w:rsidRPr="00F76882">
        <w:t>and washing techniques, and</w:t>
      </w:r>
      <w:r w:rsidR="00741DDE" w:rsidRPr="00F76882">
        <w:t xml:space="preserve"> personal hygiene packs</w:t>
      </w:r>
      <w:r w:rsidR="003F20F0" w:rsidRPr="00F76882">
        <w:t xml:space="preserve">. </w:t>
      </w:r>
    </w:p>
    <w:p w14:paraId="125A1476" w14:textId="37AB003D" w:rsidR="003F20F0" w:rsidRPr="00F76882" w:rsidRDefault="003F20F0" w:rsidP="00F76882">
      <w:r w:rsidRPr="00F76882">
        <w:t>WACHS Population Health s</w:t>
      </w:r>
      <w:r w:rsidR="0086430E" w:rsidRPr="00F76882">
        <w:t>taff</w:t>
      </w:r>
      <w:r w:rsidRPr="00F76882">
        <w:t xml:space="preserve"> continue to provide support, resources</w:t>
      </w:r>
      <w:r w:rsidR="009174BE" w:rsidRPr="00F76882">
        <w:t xml:space="preserve">, and </w:t>
      </w:r>
      <w:r w:rsidRPr="00F76882">
        <w:t xml:space="preserve">training for </w:t>
      </w:r>
      <w:proofErr w:type="spellStart"/>
      <w:r w:rsidRPr="00F76882">
        <w:t>health,</w:t>
      </w:r>
      <w:proofErr w:type="spellEnd"/>
      <w:r w:rsidRPr="00F76882">
        <w:t xml:space="preserve"> education</w:t>
      </w:r>
      <w:r w:rsidR="009174BE" w:rsidRPr="00F76882">
        <w:t xml:space="preserve">, and </w:t>
      </w:r>
      <w:r w:rsidRPr="00F76882">
        <w:t>environmental health services within the Pilbara, Goldfields, Kimberley</w:t>
      </w:r>
      <w:r w:rsidR="009174BE" w:rsidRPr="00F76882">
        <w:t xml:space="preserve">, and </w:t>
      </w:r>
      <w:r w:rsidRPr="00F76882">
        <w:t xml:space="preserve">Midwest regions to encourage these services to also promote positive hygiene messaging and practice in relevant communities. WACHS contract additional child and school health services to increase access and improve health outcomes for rural and remote populations. Contracts with these services within the four trachoma endemic regions include deliverables related to health hygiene programs. </w:t>
      </w:r>
    </w:p>
    <w:p w14:paraId="0711FD94" w14:textId="410C9F60" w:rsidR="00A710EA" w:rsidRPr="00F76882" w:rsidRDefault="003F20F0" w:rsidP="00F76882">
      <w:r w:rsidRPr="00F76882">
        <w:t xml:space="preserve">The health promotion program also aims to overcome barriers to good hygiene in remote communities. The provision of free soap is available to Aboriginal </w:t>
      </w:r>
      <w:r w:rsidR="00D73C75" w:rsidRPr="00F76882">
        <w:t>households</w:t>
      </w:r>
      <w:r w:rsidRPr="00F76882">
        <w:t xml:space="preserve"> </w:t>
      </w:r>
      <w:r w:rsidR="003F6E8F" w:rsidRPr="00F76882">
        <w:t xml:space="preserve">and in </w:t>
      </w:r>
      <w:r w:rsidR="00857760" w:rsidRPr="00F76882">
        <w:t>public</w:t>
      </w:r>
      <w:r w:rsidR="003F6E8F" w:rsidRPr="00F76882">
        <w:t xml:space="preserve"> facilities in </w:t>
      </w:r>
      <w:r w:rsidR="00857760" w:rsidRPr="00F76882">
        <w:t>communities</w:t>
      </w:r>
      <w:r w:rsidR="003F6E8F" w:rsidRPr="00F76882">
        <w:t xml:space="preserve"> </w:t>
      </w:r>
      <w:r w:rsidRPr="00F76882">
        <w:t xml:space="preserve">that are </w:t>
      </w:r>
      <w:r w:rsidR="00A603DB" w:rsidRPr="00F76882">
        <w:t>at risk</w:t>
      </w:r>
      <w:r w:rsidRPr="00F76882">
        <w:t xml:space="preserve"> of trachoma or </w:t>
      </w:r>
      <w:r w:rsidR="00A603DB" w:rsidRPr="00F76882">
        <w:t>at risk</w:t>
      </w:r>
      <w:r w:rsidRPr="00F76882">
        <w:t xml:space="preserve"> of trachoma resurgence. Soap is stored in each region with external partner organisations who assist with distribution </w:t>
      </w:r>
      <w:r w:rsidR="005466BE" w:rsidRPr="00F76882">
        <w:t>during clinical visits,</w:t>
      </w:r>
      <w:r w:rsidRPr="00F76882">
        <w:t xml:space="preserve"> healthy home assessments, health promotion events</w:t>
      </w:r>
      <w:r w:rsidR="0088798F" w:rsidRPr="00F76882">
        <w:t xml:space="preserve">, and </w:t>
      </w:r>
      <w:r w:rsidRPr="00F76882">
        <w:t xml:space="preserve">at the request of other services. Over </w:t>
      </w:r>
      <w:r w:rsidR="006B7A57" w:rsidRPr="00F76882">
        <w:t xml:space="preserve">103,680 </w:t>
      </w:r>
      <w:r w:rsidRPr="00F76882">
        <w:t>bars of soap were provided across the regions in 202</w:t>
      </w:r>
      <w:r w:rsidR="006B7A57" w:rsidRPr="00F76882">
        <w:t>4</w:t>
      </w:r>
      <w:r w:rsidRPr="00F76882">
        <w:t>.</w:t>
      </w:r>
    </w:p>
    <w:p w14:paraId="5839D0C2" w14:textId="77777777" w:rsidR="00A710EA" w:rsidRPr="0036007C" w:rsidRDefault="00A710EA" w:rsidP="00F76882">
      <w:pPr>
        <w:pStyle w:val="Heading3"/>
      </w:pPr>
      <w:r w:rsidRPr="0036007C">
        <w:t xml:space="preserve">Environmental Health </w:t>
      </w:r>
    </w:p>
    <w:p w14:paraId="61CF4C68" w14:textId="04EFA523" w:rsidR="00891E81" w:rsidRPr="00F76882" w:rsidRDefault="00804704" w:rsidP="00F76882">
      <w:r w:rsidRPr="00F76882">
        <w:t xml:space="preserve">In providing and coordinating the ‘E’ component of the SAFE strategy, </w:t>
      </w:r>
      <w:r w:rsidR="00125746" w:rsidRPr="00F76882">
        <w:t xml:space="preserve">WA Environmental Health Directorate </w:t>
      </w:r>
      <w:r w:rsidRPr="00F76882">
        <w:t xml:space="preserve">works with and collaborates with Public Health </w:t>
      </w:r>
      <w:r w:rsidR="0086430E" w:rsidRPr="00F76882">
        <w:t>staff</w:t>
      </w:r>
      <w:r w:rsidRPr="00F76882">
        <w:t xml:space="preserve">, </w:t>
      </w:r>
      <w:r w:rsidR="00125746" w:rsidRPr="00F76882">
        <w:t>Public Health Advocacy Institute</w:t>
      </w:r>
      <w:r w:rsidR="0088798F" w:rsidRPr="00F76882">
        <w:t xml:space="preserve">, and </w:t>
      </w:r>
      <w:r w:rsidRPr="00F76882">
        <w:t xml:space="preserve">its local/regional contracted Aboriginal </w:t>
      </w:r>
      <w:r w:rsidR="005D6030" w:rsidRPr="00F76882">
        <w:t>E</w:t>
      </w:r>
      <w:r w:rsidRPr="00F76882">
        <w:t xml:space="preserve">nvironmental </w:t>
      </w:r>
      <w:r w:rsidR="00395219" w:rsidRPr="00F76882">
        <w:t>H</w:t>
      </w:r>
      <w:r w:rsidRPr="00F76882">
        <w:t>ealth service providers on initiatives to support communities with environmental health improvements. These initiatives continued in 202</w:t>
      </w:r>
      <w:r w:rsidR="004F14C2" w:rsidRPr="00F76882">
        <w:t>4</w:t>
      </w:r>
      <w:r w:rsidRPr="00F76882">
        <w:t xml:space="preserve"> and included </w:t>
      </w:r>
      <w:r w:rsidR="00905BEF" w:rsidRPr="00F76882">
        <w:t xml:space="preserve">community-wide intensive multi-agency </w:t>
      </w:r>
      <w:r w:rsidR="00925C83" w:rsidRPr="00F76882">
        <w:t>as well as</w:t>
      </w:r>
      <w:r w:rsidR="00905BEF" w:rsidRPr="00F76882">
        <w:t xml:space="preserve"> dedicated Aboriginal Environmental Health </w:t>
      </w:r>
      <w:r w:rsidR="00DD1DDD" w:rsidRPr="00F76882">
        <w:t xml:space="preserve">service </w:t>
      </w:r>
      <w:r w:rsidR="003A1737" w:rsidRPr="00F76882">
        <w:t>activities</w:t>
      </w:r>
      <w:r w:rsidRPr="00F76882">
        <w:t>.</w:t>
      </w:r>
      <w:r w:rsidR="006C62D5" w:rsidRPr="00F76882">
        <w:t xml:space="preserve"> A total of 381 Environmental Health Practitioner visits were recorded from 1 January to 31 December 2024.</w:t>
      </w:r>
      <w:r w:rsidRPr="00F76882">
        <w:t xml:space="preserve"> </w:t>
      </w:r>
    </w:p>
    <w:p w14:paraId="5407B86D" w14:textId="789EDED7" w:rsidR="00804704" w:rsidRPr="00F76882" w:rsidRDefault="006C62D5" w:rsidP="00F76882">
      <w:r w:rsidRPr="00F76882">
        <w:t xml:space="preserve">A cornerstone of </w:t>
      </w:r>
      <w:r w:rsidR="00D84FD1" w:rsidRPr="00F76882">
        <w:t xml:space="preserve">WA’s environmental health improvement approach </w:t>
      </w:r>
      <w:r w:rsidR="00E43969" w:rsidRPr="00F76882">
        <w:t>is the</w:t>
      </w:r>
      <w:r w:rsidR="00804704" w:rsidRPr="00F76882">
        <w:t xml:space="preserve"> </w:t>
      </w:r>
      <w:r w:rsidR="00D84FD1" w:rsidRPr="00F76882">
        <w:t xml:space="preserve">‘healthy homes assessment’. These </w:t>
      </w:r>
      <w:r w:rsidR="00804704" w:rsidRPr="00F76882">
        <w:t>have provided positive outcomes by identifying health hardware faults</w:t>
      </w:r>
      <w:r w:rsidR="00F3762F" w:rsidRPr="00F76882">
        <w:t xml:space="preserve"> and</w:t>
      </w:r>
      <w:r w:rsidR="00804704" w:rsidRPr="00F76882">
        <w:t xml:space="preserve"> fixing them on the spot (same day) when possible. The environmental health workforce undertook </w:t>
      </w:r>
      <w:r w:rsidR="00270D6C" w:rsidRPr="00F76882">
        <w:t xml:space="preserve">1,268 </w:t>
      </w:r>
      <w:r w:rsidR="00804704" w:rsidRPr="00F76882">
        <w:t>healthy homes assessments in 2</w:t>
      </w:r>
      <w:r w:rsidR="00270D6C" w:rsidRPr="00F76882">
        <w:t xml:space="preserve">8 </w:t>
      </w:r>
      <w:r w:rsidR="00804704" w:rsidRPr="00F76882">
        <w:t>communities across the trachoma endemic regions</w:t>
      </w:r>
      <w:r w:rsidR="00EE40C3" w:rsidRPr="00F76882">
        <w:t xml:space="preserve"> in 2024</w:t>
      </w:r>
      <w:r w:rsidR="00804704" w:rsidRPr="00F76882">
        <w:t>. Referrals were submitted to external agencies (</w:t>
      </w:r>
      <w:r w:rsidR="00224168" w:rsidRPr="00F76882">
        <w:t>e.g.,</w:t>
      </w:r>
      <w:r w:rsidR="00804704" w:rsidRPr="00F76882">
        <w:t xml:space="preserve"> </w:t>
      </w:r>
      <w:r w:rsidR="000A69EF" w:rsidRPr="00F76882">
        <w:t>h</w:t>
      </w:r>
      <w:r w:rsidR="00804704" w:rsidRPr="00F76882">
        <w:t xml:space="preserve">ousing providers) for required maintenance that was outside the scope of the environmental health practitioners, and advice was provided to community members on remediation measures. </w:t>
      </w:r>
      <w:r w:rsidRPr="00F76882">
        <w:t>Other complementary environmental health related services delivered include</w:t>
      </w:r>
      <w:r w:rsidR="00DE1ED4" w:rsidRPr="00F76882">
        <w:t>d</w:t>
      </w:r>
      <w:r w:rsidRPr="00F76882">
        <w:t xml:space="preserve"> domestic and community hard waste removal</w:t>
      </w:r>
      <w:r w:rsidR="007F4094" w:rsidRPr="00F76882">
        <w:t>, distribution of home health hardware resources</w:t>
      </w:r>
      <w:r w:rsidR="0088798F" w:rsidRPr="00F76882">
        <w:t xml:space="preserve">, and </w:t>
      </w:r>
      <w:r w:rsidRPr="00F76882">
        <w:t>pest control.</w:t>
      </w:r>
    </w:p>
    <w:p w14:paraId="5F1FC1C3" w14:textId="77777777" w:rsidR="00AF1FEB" w:rsidRPr="00F76882" w:rsidRDefault="00AF1FEB" w:rsidP="00F76882">
      <w:r w:rsidRPr="00F76882">
        <w:br w:type="page"/>
      </w:r>
    </w:p>
    <w:p w14:paraId="1D19AE13" w14:textId="3344528D" w:rsidR="00E3767F" w:rsidRPr="00174EA5" w:rsidRDefault="00E3767F" w:rsidP="00F76882">
      <w:pPr>
        <w:pStyle w:val="Heading2"/>
      </w:pPr>
      <w:bookmarkStart w:id="365" w:name="_Toc203986553"/>
      <w:bookmarkStart w:id="366" w:name="_Toc215236963"/>
      <w:r w:rsidRPr="00174EA5">
        <w:t>Figures and Tables – Western Australia</w:t>
      </w:r>
      <w:bookmarkEnd w:id="365"/>
      <w:bookmarkEnd w:id="366"/>
    </w:p>
    <w:p w14:paraId="18909789" w14:textId="507186D8" w:rsidR="00046C9F" w:rsidRPr="003D3BBA" w:rsidRDefault="00E3767F" w:rsidP="00F76882">
      <w:pPr>
        <w:pStyle w:val="FigureHeadings"/>
      </w:pPr>
      <w:bookmarkStart w:id="367" w:name="_Toc215237068"/>
      <w:bookmarkEnd w:id="364"/>
      <w:r w:rsidRPr="0036007C">
        <w:t xml:space="preserve">Figure </w:t>
      </w:r>
      <w:r w:rsidR="00942F34" w:rsidRPr="0036007C">
        <w:t>5.1</w:t>
      </w:r>
      <w:r w:rsidRPr="0036007C">
        <w:tab/>
        <w:t>Overall trachoma prevalence in children aged 5</w:t>
      </w:r>
      <w:r w:rsidR="003D00CE" w:rsidRPr="0036007C">
        <w:t>–</w:t>
      </w:r>
      <w:r w:rsidRPr="0036007C">
        <w:t>9 years by region, Western Australia</w:t>
      </w:r>
      <w:r w:rsidR="00AA041A" w:rsidRPr="0036007C">
        <w:t>,</w:t>
      </w:r>
      <w:r w:rsidRPr="0036007C">
        <w:t xml:space="preserve"> </w:t>
      </w:r>
      <w:r w:rsidR="00E76BB4" w:rsidRPr="0036007C">
        <w:t>202</w:t>
      </w:r>
      <w:r w:rsidR="00A96DAD" w:rsidRPr="0036007C">
        <w:t>4</w:t>
      </w:r>
      <w:bookmarkStart w:id="368" w:name="_Ref58331071"/>
      <w:bookmarkEnd w:id="367"/>
    </w:p>
    <w:p w14:paraId="40DC37EC" w14:textId="28E8FCC6" w:rsidR="00734E94" w:rsidRPr="00F76882" w:rsidRDefault="007E4739" w:rsidP="00F76882">
      <w:r w:rsidRPr="00FC1E83">
        <w:drawing>
          <wp:inline distT="0" distB="0" distL="0" distR="0" wp14:anchorId="0D35FC91" wp14:editId="69B94572">
            <wp:extent cx="4582804" cy="8121650"/>
            <wp:effectExtent l="0" t="0" r="8255" b="0"/>
            <wp:docPr id="647159332" name="Picture 7" descr="Overall trachoma prevalence in children aged 5–9 years by region, Western Australia, 2024&#10;Figure 5.1 is a map of Western Australia that visualises regional overall trachoma prevalence in five categories. The Goldfields, Kimberly, and Pilbara regions have greater than zero but less than 5% overall trachoma prevalence. No trachoma was detected in the Midwest region. The South-west corner of Western Australia is considered not at-risk for tracho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9332" name="Picture 7" descr="Overall trachoma prevalence in children aged 5–9 years by region, Western Australia, 2024&#10;Figure 5.1 is a map of Western Australia that visualises regional overall trachoma prevalence in five categories. The Goldfields, Kimberly, and Pilbara regions have greater than zero but less than 5% overall trachoma prevalence. No trachoma was detected in the Midwest region. The South-west corner of Western Australia is considered not at-risk for trachoma.&#10;"/>
                    <pic:cNvPicPr/>
                  </pic:nvPicPr>
                  <pic:blipFill rotWithShape="1">
                    <a:blip r:embed="rId54"/>
                    <a:srcRect l="2284" t="9873" r="4304" b="702"/>
                    <a:stretch/>
                  </pic:blipFill>
                  <pic:spPr bwMode="auto">
                    <a:xfrm>
                      <a:off x="0" y="0"/>
                      <a:ext cx="4586449" cy="8128109"/>
                    </a:xfrm>
                    <a:prstGeom prst="rect">
                      <a:avLst/>
                    </a:prstGeom>
                    <a:ln>
                      <a:noFill/>
                    </a:ln>
                    <a:extLst>
                      <a:ext uri="{53640926-AAD7-44D8-BBD7-CCE9431645EC}">
                        <a14:shadowObscured xmlns:a14="http://schemas.microsoft.com/office/drawing/2010/main"/>
                      </a:ext>
                    </a:extLst>
                  </pic:spPr>
                </pic:pic>
              </a:graphicData>
            </a:graphic>
          </wp:inline>
        </w:drawing>
      </w:r>
      <w:r w:rsidR="00734E94" w:rsidRPr="0036007C">
        <w:br w:type="page"/>
      </w:r>
    </w:p>
    <w:p w14:paraId="0936E9D9" w14:textId="55EE4057" w:rsidR="00E3767F" w:rsidRPr="0036007C" w:rsidRDefault="00E3767F" w:rsidP="00F76882">
      <w:pPr>
        <w:pStyle w:val="FigureHeadings"/>
      </w:pPr>
      <w:bookmarkStart w:id="369" w:name="_Toc215237069"/>
      <w:r w:rsidRPr="0036007C">
        <w:t xml:space="preserve">Figure </w:t>
      </w:r>
      <w:bookmarkEnd w:id="368"/>
      <w:r w:rsidR="00942F34" w:rsidRPr="0036007C">
        <w:t>5.2</w:t>
      </w:r>
      <w:r w:rsidRPr="0036007C">
        <w:tab/>
        <w:t>Number of at-risk communities by region, Western Australia</w:t>
      </w:r>
      <w:r w:rsidR="00AA041A" w:rsidRPr="0036007C">
        <w:t>,</w:t>
      </w:r>
      <w:r w:rsidRPr="0036007C">
        <w:t xml:space="preserve"> 2007</w:t>
      </w:r>
      <w:r w:rsidR="003D00CE" w:rsidRPr="0036007C">
        <w:t>–</w:t>
      </w:r>
      <w:r w:rsidR="00E76BB4" w:rsidRPr="0036007C">
        <w:t>202</w:t>
      </w:r>
      <w:r w:rsidR="00A6347C" w:rsidRPr="0036007C">
        <w:t>4</w:t>
      </w:r>
      <w:bookmarkEnd w:id="369"/>
    </w:p>
    <w:p w14:paraId="1AB5E747" w14:textId="3EC983D1" w:rsidR="00E3767F" w:rsidRPr="00F76882" w:rsidRDefault="002F4308" w:rsidP="00F76882">
      <w:r w:rsidRPr="00C002DA">
        <w:drawing>
          <wp:inline distT="0" distB="0" distL="0" distR="0" wp14:anchorId="53D2B175" wp14:editId="5E36B061">
            <wp:extent cx="6300000" cy="3456000"/>
            <wp:effectExtent l="0" t="0" r="0" b="0"/>
            <wp:docPr id="959360028" name="Chart 1" descr="Number of at-risk communities by region, Western Australia, 2007–2024&#10;Figure 5.2 is a line graph for four regions with number of communities on the Y-axis and year on the X-axis.&#10;In the Goldfields region, the number of at-risk communities has slightly declined overall, albeit with some fluctuation, from 19 at-risk communities in 2007 to 15 in 2024.&#10;In the Kimberley region, the number of at-risk communities generally remained above 30 until 2015, before steadily declining and remaining at seven at-risk communities since 2020.&#10;In the Midwest region, the number of at-risk communities has remained stable at between five to eight at-risk communities from 2007 to 2024.&#10;In the Pilbara region, the number of at-risk communities ranged between 16 to 18 from 2007 to 2011, followed by a decline and generally remaining at six at-risk communities since 2017.&#10;">
              <a:extLst xmlns:a="http://schemas.openxmlformats.org/drawingml/2006/main">
                <a:ext uri="{FF2B5EF4-FFF2-40B4-BE49-F238E27FC236}">
                  <a16:creationId xmlns:a16="http://schemas.microsoft.com/office/drawing/2014/main" id="{C2960ABD-6FB7-4747-95D3-AEA4A7C351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4F76402C" w14:textId="7D6E33A0" w:rsidR="00E3767F" w:rsidRPr="0036007C" w:rsidRDefault="00E3767F" w:rsidP="00F76882">
      <w:pPr>
        <w:pStyle w:val="FigureHeadings"/>
      </w:pPr>
      <w:bookmarkStart w:id="370" w:name="_Ref58331082"/>
      <w:bookmarkStart w:id="371" w:name="_Toc215237070"/>
      <w:r w:rsidRPr="0036007C">
        <w:t xml:space="preserve">Figure </w:t>
      </w:r>
      <w:bookmarkEnd w:id="370"/>
      <w:r w:rsidR="00942F34" w:rsidRPr="0036007C">
        <w:t>5.3</w:t>
      </w:r>
      <w:r w:rsidRPr="0036007C">
        <w:tab/>
      </w:r>
      <w:r w:rsidR="007459E6" w:rsidRPr="0036007C">
        <w:t>Number of at-risk communities according to trachoma control strategy implemented by region</w:t>
      </w:r>
      <w:r w:rsidRPr="0036007C">
        <w:t>, Western Australia</w:t>
      </w:r>
      <w:r w:rsidR="00AA041A" w:rsidRPr="0036007C">
        <w:t>,</w:t>
      </w:r>
      <w:r w:rsidRPr="0036007C">
        <w:t xml:space="preserve"> </w:t>
      </w:r>
      <w:r w:rsidR="00E76BB4" w:rsidRPr="0036007C">
        <w:t>202</w:t>
      </w:r>
      <w:r w:rsidR="00A6347C" w:rsidRPr="0036007C">
        <w:t>4</w:t>
      </w:r>
      <w:bookmarkEnd w:id="371"/>
    </w:p>
    <w:p w14:paraId="0688A65D" w14:textId="53D09211" w:rsidR="00E3767F" w:rsidRPr="00F76882" w:rsidRDefault="009903AE" w:rsidP="00F76882">
      <w:r w:rsidRPr="00C002DA">
        <w:drawing>
          <wp:inline distT="0" distB="0" distL="0" distR="0" wp14:anchorId="03806BAC" wp14:editId="76220049">
            <wp:extent cx="5897650" cy="4089600"/>
            <wp:effectExtent l="0" t="0" r="8255" b="6350"/>
            <wp:docPr id="1735283330" name="Chart 1" descr="Number of at-risk communities according to trachoma control strategy implemented by region, Western Australia, 2024&#10;Figure 5.3 is a stacked bar graph with number of communities on the Y-axis and region on the X-axis.&#10;The Goldfields column indicates that of the 15 at-risk communities in the region:&#10;Two did not require screening or treatment; &#10;Nine were screened and no treatment was required; and &#10;Four were screened and treated.&#10;The Kimberley column indicates that of the seven at-risk communities in the region:&#10;Three did not require screening or treatment; and&#10;Four were screened and no treatment was required.&#10;The Midwest column indicates that of the five at-risk communities in the region:&#10;Two did not require screening or treatment; and&#10;Three were screened and no treatment was required.&#10;The Pilbara column indicates that of the six at-risk communities in the region:&#10;Three were screened and no treatment was required; and &#10;Three were screened and treated.">
              <a:extLst xmlns:a="http://schemas.openxmlformats.org/drawingml/2006/main">
                <a:ext uri="{FF2B5EF4-FFF2-40B4-BE49-F238E27FC236}">
                  <a16:creationId xmlns:a16="http://schemas.microsoft.com/office/drawing/2014/main" id="{C48D4DDE-4D2E-413A-A162-87B877B4FB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074128C9" w14:textId="77777777" w:rsidR="003C555C" w:rsidRPr="00F76882" w:rsidRDefault="003C555C" w:rsidP="00F76882">
      <w:bookmarkStart w:id="372" w:name="_Ref58331214"/>
      <w:r w:rsidRPr="0036007C">
        <w:br w:type="page"/>
      </w:r>
    </w:p>
    <w:p w14:paraId="6B38A980" w14:textId="02A0129A" w:rsidR="00E3767F" w:rsidRPr="003D3BBA" w:rsidRDefault="00E3767F" w:rsidP="00F76882">
      <w:pPr>
        <w:pStyle w:val="FigureHeadings"/>
      </w:pPr>
      <w:bookmarkStart w:id="373" w:name="_Toc215237071"/>
      <w:r w:rsidRPr="0036007C">
        <w:t xml:space="preserve">Figure </w:t>
      </w:r>
      <w:bookmarkEnd w:id="372"/>
      <w:r w:rsidR="00942F34" w:rsidRPr="0036007C">
        <w:t>5.</w:t>
      </w:r>
      <w:r w:rsidR="00CA193A" w:rsidRPr="0036007C">
        <w:t>4</w:t>
      </w:r>
      <w:r w:rsidRPr="0036007C">
        <w:tab/>
        <w:t>Proportion of screened children aged 5</w:t>
      </w:r>
      <w:r w:rsidR="003D00CE" w:rsidRPr="0036007C">
        <w:t>–</w:t>
      </w:r>
      <w:r w:rsidRPr="0036007C">
        <w:t>9 years who had a clean face by region, Western Australia</w:t>
      </w:r>
      <w:r w:rsidR="00AA041A" w:rsidRPr="0036007C">
        <w:t>,</w:t>
      </w:r>
      <w:r w:rsidRPr="0036007C">
        <w:t xml:space="preserve"> 2007</w:t>
      </w:r>
      <w:r w:rsidR="003D00CE" w:rsidRPr="0036007C">
        <w:t>–</w:t>
      </w:r>
      <w:r w:rsidR="00E76BB4" w:rsidRPr="0036007C">
        <w:t>202</w:t>
      </w:r>
      <w:r w:rsidR="00A6347C" w:rsidRPr="0036007C">
        <w:t>4</w:t>
      </w:r>
      <w:bookmarkEnd w:id="373"/>
    </w:p>
    <w:p w14:paraId="3370BD14" w14:textId="23A61729" w:rsidR="00751C6A" w:rsidRPr="00096570" w:rsidRDefault="005C49F7" w:rsidP="00F76882">
      <w:r w:rsidRPr="00C002DA">
        <w:drawing>
          <wp:inline distT="0" distB="0" distL="0" distR="0" wp14:anchorId="6EE69C57" wp14:editId="63CD1129">
            <wp:extent cx="6300000" cy="3456000"/>
            <wp:effectExtent l="0" t="0" r="5715" b="0"/>
            <wp:docPr id="787060165" name="Chart 1" descr="Proportion of screened children aged 5–9 years who had a clean face by region, Western Australia, 2007–2024&#10;Figure 5.4 is a line graph for four regions with proportion on the Y-axis and year on the X-axis.&#10;In the Goldfields region, the proportion of children with clean faces declined overall from 98% in 2007 to 80% in 2024, with dips to 25% in 2017 and 36% in 2022.&#10;In the Kimberley region, the proportion of children with clean faces remained approximately between 75% to 85% from 2007 to 2016, before dipping sharply to 49% in 2017. Proportions have since generally risen to a high of 90% in 2024.&#10;In the Midwest region, the end-to-end proportion of children with clean faces declined overall from 88% in 2007 to 67% 2024, with considerable fluctuation in yearly proportions during that time, ranging from 62% to 99%.&#10;In the Pilbara region, the proportion of children with clean faces has declined overall, with increasing yearly fluctuation, from 81% in 2007 to 44% in 2024.&#10;">
              <a:extLst xmlns:a="http://schemas.openxmlformats.org/drawingml/2006/main">
                <a:ext uri="{FF2B5EF4-FFF2-40B4-BE49-F238E27FC236}">
                  <a16:creationId xmlns:a16="http://schemas.microsoft.com/office/drawing/2014/main" id="{F9022E51-81A5-432E-B93D-0B04C3D9E1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77CB8CA8" w14:textId="34AEFDD4" w:rsidR="00E3767F" w:rsidRPr="0036007C" w:rsidRDefault="00E3767F" w:rsidP="00F76882">
      <w:pPr>
        <w:pStyle w:val="FigureHeadings"/>
      </w:pPr>
      <w:bookmarkStart w:id="374" w:name="_Ref58331245"/>
      <w:bookmarkStart w:id="375" w:name="_Toc215237072"/>
      <w:r w:rsidRPr="0036007C">
        <w:t xml:space="preserve">Figure </w:t>
      </w:r>
      <w:r w:rsidR="00942F34" w:rsidRPr="0036007C">
        <w:t>5</w:t>
      </w:r>
      <w:r w:rsidRPr="0036007C">
        <w:t>.</w:t>
      </w:r>
      <w:bookmarkEnd w:id="374"/>
      <w:r w:rsidR="00CA193A" w:rsidRPr="0036007C">
        <w:t>5</w:t>
      </w:r>
      <w:r w:rsidRPr="0036007C">
        <w:t>a</w:t>
      </w:r>
      <w:r w:rsidRPr="0036007C">
        <w:tab/>
      </w:r>
      <w:r w:rsidR="007459E6" w:rsidRPr="0036007C">
        <w:t>Observed prevalence of clinical findings consistent with</w:t>
      </w:r>
      <w:r w:rsidR="00D557D4" w:rsidRPr="0036007C">
        <w:t xml:space="preserve"> trachomatous inflammation—follicular/intense</w:t>
      </w:r>
      <w:r w:rsidR="00821FC6" w:rsidRPr="0036007C">
        <w:t>*</w:t>
      </w:r>
      <w:r w:rsidR="00D557D4" w:rsidRPr="0036007C">
        <w:t xml:space="preserve"> </w:t>
      </w:r>
      <w:r w:rsidR="007459E6" w:rsidRPr="0036007C">
        <w:t>among screened children aged 5</w:t>
      </w:r>
      <w:r w:rsidR="003D00CE" w:rsidRPr="0036007C">
        <w:t>–</w:t>
      </w:r>
      <w:r w:rsidR="007459E6" w:rsidRPr="0036007C">
        <w:t>9 years by region</w:t>
      </w:r>
      <w:r w:rsidRPr="0036007C">
        <w:t>, Western Australia</w:t>
      </w:r>
      <w:r w:rsidR="00AA041A" w:rsidRPr="0036007C">
        <w:t>,</w:t>
      </w:r>
      <w:r w:rsidRPr="0036007C">
        <w:t xml:space="preserve"> 2007</w:t>
      </w:r>
      <w:r w:rsidR="003D00CE" w:rsidRPr="0036007C">
        <w:t>–</w:t>
      </w:r>
      <w:r w:rsidR="00E76BB4" w:rsidRPr="0036007C">
        <w:t>202</w:t>
      </w:r>
      <w:r w:rsidR="00A6347C" w:rsidRPr="0036007C">
        <w:t>4</w:t>
      </w:r>
      <w:bookmarkEnd w:id="375"/>
    </w:p>
    <w:p w14:paraId="56DFFE4B" w14:textId="7DB74BC6" w:rsidR="00E3767F" w:rsidRPr="00C002DA" w:rsidRDefault="00A6347C" w:rsidP="00F76882">
      <w:r w:rsidRPr="00C002DA">
        <w:drawing>
          <wp:inline distT="0" distB="0" distL="0" distR="0" wp14:anchorId="7BE2F77E" wp14:editId="3D5C1DC1">
            <wp:extent cx="6300000" cy="3456000"/>
            <wp:effectExtent l="0" t="0" r="0" b="0"/>
            <wp:docPr id="60717767" name="Chart 1" descr="Observed prevalence of clinical findings consistent with trachomatous inflammation—follicular/intense among screened children aged 5–9 years by region, Western Australia, 2007–2024&#10;Figure 5.5a is a line graph for four regions with proportion on the Y-axis and year on the X-axis.&#10;In the Goldfields region, observed trachoma prevalence has increased overall from 3% in 2007 to 6.5% in 2024, although between 2018 to 2022 large yearly fluctuations reaching up to 30% observed prevalence have been recorded.&#10;In the Kimberley region, observed trachoma prevalence has shown a wave like pattern with peaks of 17-18% in 2007 and 2019-2020 and lows of 0% in 2015 and 2023–2024.&#10;In the Midwest region, observed trachoma prevalence has declined overall from 20% in 2007 to 0% from 2021, albeit with large fluctuations between 2013-2018.&#10;In the Pilbara region, observed trachoma prevalence has followed a wave-like pattern, with a peak of 26% in 2008 and low of 0% in 2014 and 2015, whilst declining overall from 15% in 2007 to 9.3% in 2024.&#10;">
              <a:extLst xmlns:a="http://schemas.openxmlformats.org/drawingml/2006/main">
                <a:ext uri="{FF2B5EF4-FFF2-40B4-BE49-F238E27FC236}">
                  <a16:creationId xmlns:a16="http://schemas.microsoft.com/office/drawing/2014/main" id="{9A36E87A-E454-4615-845F-C8CBEFB1A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1C450F0D" w14:textId="1A25BC21" w:rsidR="00AC43EF" w:rsidRPr="008F73C4" w:rsidRDefault="00AC43EF" w:rsidP="00F76882">
      <w:pPr>
        <w:pStyle w:val="FootnoteText"/>
        <w:rPr>
          <w:rStyle w:val="FootnoteTextChar"/>
        </w:rPr>
      </w:pPr>
      <w:r w:rsidRPr="0036007C">
        <w:t>*According to WHO simplified trachoma grading criteria</w:t>
      </w:r>
      <w:r w:rsidRPr="0036007C">
        <w:fldChar w:fldCharType="begin">
          <w:fldData xml:space="preserve">PEVuZE5vdGU+PENpdGU+PEF1dGhvcj5Tb2xvbW9uPC9BdXRob3I+PFllYXI+MjAyMDwvWWVhcj48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</w:fldData>
        </w:fldChar>
      </w:r>
      <w:r w:rsidRPr="0036007C">
        <w:instrText xml:space="preserve"> ADDIN EN.CITE </w:instrText>
      </w:r>
      <w:r w:rsidRPr="0036007C">
        <w:fldChar w:fldCharType="begin">
          <w:fldData xml:space="preserve">PEVuZE5vdGU+PENpdGU+PEF1dGhvcj5Tb2xvbW9uPC9BdXRob3I+PFllYXI+MjAyMDwvWWVhcj48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</w:fldData>
        </w:fldChar>
      </w:r>
      <w:r w:rsidRPr="0036007C">
        <w:instrText xml:space="preserve"> ADDIN EN.CITE.DATA </w:instrText>
      </w:r>
      <w:r w:rsidRPr="0036007C">
        <w:fldChar w:fldCharType="end"/>
      </w:r>
      <w:r w:rsidRPr="0036007C">
        <w:fldChar w:fldCharType="separate"/>
      </w:r>
      <w:r w:rsidRPr="00495326">
        <w:rPr>
          <w:rStyle w:val="SuperscriptChar"/>
        </w:rPr>
        <w:t>2</w:t>
      </w:r>
      <w:r w:rsidRPr="0036007C">
        <w:fldChar w:fldCharType="end"/>
      </w:r>
    </w:p>
    <w:p w14:paraId="6A2B676C" w14:textId="6EEE3220" w:rsidR="00E3767F" w:rsidRPr="0036007C" w:rsidRDefault="00E3767F" w:rsidP="00F76882">
      <w:pPr>
        <w:pStyle w:val="FigureHeadings"/>
      </w:pPr>
      <w:bookmarkStart w:id="376" w:name="_Toc215237073"/>
      <w:r w:rsidRPr="0036007C">
        <w:t>Figure 5.</w:t>
      </w:r>
      <w:r w:rsidR="00CA193A" w:rsidRPr="0036007C">
        <w:t>5</w:t>
      </w:r>
      <w:r w:rsidRPr="0036007C">
        <w:t>b</w:t>
      </w:r>
      <w:r w:rsidRPr="0036007C">
        <w:tab/>
        <w:t xml:space="preserve">Estimated prevalence </w:t>
      </w:r>
      <w:r w:rsidR="00760D35" w:rsidRPr="0036007C">
        <w:t>of trachoma</w:t>
      </w:r>
      <w:r w:rsidRPr="0036007C" w:rsidDel="007B22DB">
        <w:t xml:space="preserve"> </w:t>
      </w:r>
      <w:r w:rsidRPr="0036007C">
        <w:t>among children aged 5</w:t>
      </w:r>
      <w:r w:rsidR="003D00CE" w:rsidRPr="0036007C">
        <w:t>–</w:t>
      </w:r>
      <w:r w:rsidRPr="0036007C">
        <w:t>9 years in all at-risk communities</w:t>
      </w:r>
      <w:r w:rsidR="00E01DAC" w:rsidRPr="0036007C">
        <w:t>*</w:t>
      </w:r>
      <w:r w:rsidRPr="0036007C">
        <w:t xml:space="preserve"> by region, Western Australia</w:t>
      </w:r>
      <w:r w:rsidR="00AA041A" w:rsidRPr="0036007C">
        <w:t>,</w:t>
      </w:r>
      <w:r w:rsidRPr="0036007C">
        <w:t xml:space="preserve"> 2007</w:t>
      </w:r>
      <w:r w:rsidR="003D00CE" w:rsidRPr="0036007C">
        <w:t>–</w:t>
      </w:r>
      <w:r w:rsidR="00E76BB4" w:rsidRPr="0036007C">
        <w:t>202</w:t>
      </w:r>
      <w:r w:rsidR="00A6347C" w:rsidRPr="0036007C">
        <w:t>4</w:t>
      </w:r>
      <w:bookmarkEnd w:id="376"/>
    </w:p>
    <w:p w14:paraId="752B6A39" w14:textId="77777777" w:rsidR="00136596" w:rsidRPr="00F76882" w:rsidRDefault="00DE763C" w:rsidP="00F76882">
      <w:r w:rsidRPr="00C002DA">
        <w:drawing>
          <wp:inline distT="0" distB="0" distL="0" distR="0" wp14:anchorId="31DD79AA" wp14:editId="3F9E8AFB">
            <wp:extent cx="6315075" cy="3381375"/>
            <wp:effectExtent l="0" t="0" r="0" b="0"/>
            <wp:docPr id="1604361555" name="Chart 1" descr="Estimated prevalence of trachoma among children aged 5–9 years in all at-risk communities by region, Western Australia, 2007–2024&#10;Figure 5.5b is a line graph for four regions with proportion on the Y-axis and year on the X-axis.&#10;In the Goldfields region, estimated trachoma prevalence has increased overall from 3% in 2007 to 6.5% in 2024, following a wave like pattern with large yearly fluctuations of around 10 to 15 percentage points recorded from 2018–2022.&#10;In the Kimberley region, estimated trachoma prevalence has shown a wave like pattern with peaks of 17% in 2007 and 2019 and lows at or around 0% in 2015 and 2023–2024.&#10;In the Midwest region, estimated trachoma prevalence has shown a wave like pattern, initially declining from 20% in 2007 to 4% in 2012, rising to between 10-12% from 2014 to 2018, then declining to 0% from 2021.&#10;In the Pilbara region, estimated trachoma prevalence has followed a wave-like pattern, with a peak of 26% in 2008 and low of 0% in 2014 and 2015, whilst declining overall from 15% in 2007 to 9.3% in 2024.&#10;">
              <a:extLst xmlns:a="http://schemas.openxmlformats.org/drawingml/2006/main">
                <a:ext uri="{FF2B5EF4-FFF2-40B4-BE49-F238E27FC236}">
                  <a16:creationId xmlns:a16="http://schemas.microsoft.com/office/drawing/2014/main" id="{DE2DD41A-E78B-4DB8-AE13-02DEA7B176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648AEA87" w14:textId="49787A11" w:rsidR="006E4ADE" w:rsidRPr="001B4458" w:rsidRDefault="00E3767F" w:rsidP="00F76882">
      <w:pPr>
        <w:pStyle w:val="FootnoteText"/>
      </w:pPr>
      <w:r w:rsidRPr="0036007C">
        <w:t xml:space="preserve">* </w:t>
      </w:r>
      <w:r w:rsidR="007C7CAD" w:rsidRPr="0036007C">
        <w:t>Most recent estimates carried forward in at-risk communities that did not screen in 202</w:t>
      </w:r>
      <w:r w:rsidR="007A0CA6" w:rsidRPr="0036007C">
        <w:t>4</w:t>
      </w:r>
      <w:r w:rsidR="00020003" w:rsidRPr="0036007C">
        <w:t>.</w:t>
      </w:r>
    </w:p>
    <w:p w14:paraId="2200F50B" w14:textId="5447B3B2" w:rsidR="006E4ADE" w:rsidRPr="0036007C" w:rsidRDefault="006E4ADE" w:rsidP="00F76882">
      <w:pPr>
        <w:pStyle w:val="FigureHeadings"/>
      </w:pPr>
      <w:bookmarkStart w:id="377" w:name="_Toc215237074"/>
      <w:r w:rsidRPr="0036007C">
        <w:t>Figure 5.5c</w:t>
      </w:r>
      <w:r w:rsidRPr="0036007C">
        <w:tab/>
      </w:r>
      <w:r w:rsidR="009A48BC" w:rsidRPr="0036007C">
        <w:t>Overall prevalence of trachoma among children aged 5</w:t>
      </w:r>
      <w:r w:rsidR="003D00CE" w:rsidRPr="0036007C">
        <w:t>–</w:t>
      </w:r>
      <w:r w:rsidR="009A48BC" w:rsidRPr="0036007C">
        <w:t>9 years in all communities* by region, Western Australia, 2007</w:t>
      </w:r>
      <w:r w:rsidR="003D00CE" w:rsidRPr="0036007C">
        <w:t>–</w:t>
      </w:r>
      <w:r w:rsidR="009A48BC" w:rsidRPr="0036007C">
        <w:t>202</w:t>
      </w:r>
      <w:r w:rsidR="00A6347C" w:rsidRPr="0036007C">
        <w:t>4</w:t>
      </w:r>
      <w:bookmarkEnd w:id="377"/>
    </w:p>
    <w:p w14:paraId="10A34095" w14:textId="60775274" w:rsidR="00E3767F" w:rsidRPr="001B4458" w:rsidRDefault="003B4743" w:rsidP="00F76882">
      <w:r w:rsidRPr="003D3BBA">
        <w:drawing>
          <wp:inline distT="0" distB="0" distL="0" distR="0" wp14:anchorId="637128DB" wp14:editId="04F2C647">
            <wp:extent cx="6300000" cy="3456000"/>
            <wp:effectExtent l="0" t="0" r="5715" b="0"/>
            <wp:docPr id="1793376710" name="Chart 1" descr="Overall prevalence of trachoma among children aged 5–9 years in all communities by region, Western Australia, 2007–2024&#10;Figure 5.5c is a line graph for four regions with proportion on the Y-axis and year on the X-axis.&#10;In the Goldfields region, there was a small point-to point decrease in overall trachoma prevalence from 3% in 2007 to 2.8% in 2024, although with notable spikes to between 11-13% in 2009–2012 and 16% in 2021.&#10;In the Kimberley region, overall trachoma prevalence steadily declined from 17% in 2007 to 0.7% in 2023 and 2024, apart from a brief small rise to 4.7% in 2019.&#10;In the Midwest region, there was a decline in overall trachoma prevalence from 20% in 2007 to 3.8% in 2012, followed by a shallower rise to around 9%-12% from 2014 to 2018, after which rates fell again and have remained at 0% since 2021.&#10;In the Pilbara region, apart from a brief spike in overall trachoma prevalence from 17% in 2007 to 26% in 2008, rates have since declined and generally remained between 2-4% since 2018.">
              <a:extLst xmlns:a="http://schemas.openxmlformats.org/drawingml/2006/main">
                <a:ext uri="{FF2B5EF4-FFF2-40B4-BE49-F238E27FC236}">
                  <a16:creationId xmlns:a16="http://schemas.microsoft.com/office/drawing/2014/main" id="{91F0A666-861C-4430-A5B3-086697BF00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61F15B75" w14:textId="5C0DEC07" w:rsidR="00E3767F" w:rsidRPr="0036007C" w:rsidRDefault="00E3767F" w:rsidP="00F76882">
      <w:pPr>
        <w:pStyle w:val="tablefigfootnote"/>
      </w:pPr>
      <w:r w:rsidRPr="0036007C">
        <w:t xml:space="preserve">* Calculated carrying forward most recent data in all communities considered </w:t>
      </w:r>
      <w:r w:rsidR="00A603DB" w:rsidRPr="0036007C">
        <w:t>at risk</w:t>
      </w:r>
      <w:r w:rsidRPr="0036007C">
        <w:t xml:space="preserve"> of trachoma at </w:t>
      </w:r>
      <w:r w:rsidR="00D72517" w:rsidRPr="0036007C">
        <w:t>any point</w:t>
      </w:r>
      <w:r w:rsidRPr="0036007C">
        <w:t xml:space="preserve"> since 2007</w:t>
      </w:r>
      <w:r w:rsidR="00020003" w:rsidRPr="0036007C">
        <w:t>.</w:t>
      </w:r>
    </w:p>
    <w:p w14:paraId="034E94B7" w14:textId="50E3A65A" w:rsidR="00E3767F" w:rsidRPr="0036007C" w:rsidRDefault="00E3767F" w:rsidP="00F76882">
      <w:pPr>
        <w:pStyle w:val="FigureHeadings"/>
      </w:pPr>
      <w:bookmarkStart w:id="378" w:name="_Ref58331383"/>
      <w:bookmarkStart w:id="379" w:name="_Toc215237075"/>
      <w:r w:rsidRPr="0036007C">
        <w:t xml:space="preserve">Figure </w:t>
      </w:r>
      <w:r w:rsidR="00942F34" w:rsidRPr="0036007C">
        <w:t>5</w:t>
      </w:r>
      <w:r w:rsidRPr="0036007C">
        <w:t>.</w:t>
      </w:r>
      <w:bookmarkEnd w:id="378"/>
      <w:r w:rsidR="0054243D" w:rsidRPr="0036007C">
        <w:t>6</w:t>
      </w:r>
      <w:r w:rsidRPr="0036007C">
        <w:tab/>
      </w:r>
      <w:r w:rsidR="005D69DB" w:rsidRPr="0036007C">
        <w:t xml:space="preserve">Number of </w:t>
      </w:r>
      <w:r w:rsidR="00967349" w:rsidRPr="0036007C">
        <w:t xml:space="preserve">screened </w:t>
      </w:r>
      <w:r w:rsidR="005D69DB" w:rsidRPr="0036007C">
        <w:t>at-risk communities according to the level of observed trachoma prevalence in children aged 5</w:t>
      </w:r>
      <w:r w:rsidR="003D00CE" w:rsidRPr="0036007C">
        <w:t>–</w:t>
      </w:r>
      <w:r w:rsidR="005D69DB" w:rsidRPr="0036007C">
        <w:t>9 years by region</w:t>
      </w:r>
      <w:r w:rsidRPr="0036007C">
        <w:t>, Western Australia</w:t>
      </w:r>
      <w:r w:rsidR="00AA041A" w:rsidRPr="0036007C">
        <w:t>,</w:t>
      </w:r>
      <w:r w:rsidRPr="0036007C">
        <w:t xml:space="preserve"> </w:t>
      </w:r>
      <w:r w:rsidR="00E76BB4" w:rsidRPr="0036007C">
        <w:t>202</w:t>
      </w:r>
      <w:r w:rsidR="00A6347C" w:rsidRPr="0036007C">
        <w:t>4</w:t>
      </w:r>
      <w:bookmarkEnd w:id="379"/>
    </w:p>
    <w:p w14:paraId="7D528F8C" w14:textId="6DEC1FF9" w:rsidR="005134BC" w:rsidRPr="001B4458" w:rsidRDefault="005134BC" w:rsidP="00F76882">
      <w:r w:rsidRPr="00393A99">
        <w:rPr>
          <w:noProof/>
        </w:rPr>
        <w:drawing>
          <wp:inline distT="0" distB="0" distL="0" distR="0" wp14:anchorId="16938C06" wp14:editId="322AC4C5">
            <wp:extent cx="5939790" cy="3868615"/>
            <wp:effectExtent l="0" t="0" r="3810" b="5080"/>
            <wp:docPr id="1181479053" name="Chart 1" descr="Number of screened at-risk communities according to the level of observed trachoma prevalence in children aged 5–9 years by region, Western Australia, 2024&#10;Figure 5.6 is a stacked bar graph with number of communities on the Y-axis and region on the X-axis.&#10;The Goldfields region column indicates that of the 13 at-risk communities screened,&#10;observed trachoma prevalence was greater than or equal to 20% in one community, greater than or equal to 10% but less than 20% in two communities, greater than 0% but less than 5% in one community, and nine communities had no trachoma.&#10;The Kimberley region column indicates that no trachoma was reported in the four at-risk communities screened.&#10;The Midwest region column indicates that no trachoma was reported in the three at-risk communities screened.&#10;The Pilbara column indicates that of the six at-risk communities screened, one community had observed trachoma prevalence greater than or equal to 10% but less than 20%, two communities had greater than or equal to 5% but less than 10% observed trachoma prevalence, and three communities had no trachoma.">
              <a:extLst xmlns:a="http://schemas.openxmlformats.org/drawingml/2006/main">
                <a:ext uri="{FF2B5EF4-FFF2-40B4-BE49-F238E27FC236}">
                  <a16:creationId xmlns:a16="http://schemas.microsoft.com/office/drawing/2014/main" id="{61D0C33A-03CA-4882-9E60-8B4ED821F7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70EA0CA" w14:textId="763E42C4" w:rsidR="00F24219" w:rsidRPr="0036007C" w:rsidRDefault="00E3767F" w:rsidP="00F76882">
      <w:pPr>
        <w:pStyle w:val="FigureHeadings"/>
      </w:pPr>
      <w:bookmarkStart w:id="380" w:name="_Ref58331502"/>
      <w:bookmarkStart w:id="381" w:name="_Toc215237076"/>
      <w:r w:rsidRPr="0036007C">
        <w:t xml:space="preserve">Figure </w:t>
      </w:r>
      <w:bookmarkEnd w:id="380"/>
      <w:r w:rsidR="00814019" w:rsidRPr="0036007C">
        <w:t>5.</w:t>
      </w:r>
      <w:r w:rsidR="0054243D" w:rsidRPr="0036007C">
        <w:t>7</w:t>
      </w:r>
      <w:r w:rsidRPr="0036007C">
        <w:tab/>
        <w:t>Number of doses of azithromycin administered for the treatment of trachoma by region, Western Australia</w:t>
      </w:r>
      <w:r w:rsidR="00AA041A" w:rsidRPr="0036007C">
        <w:t>,</w:t>
      </w:r>
      <w:r w:rsidRPr="0036007C">
        <w:t xml:space="preserve"> 2007</w:t>
      </w:r>
      <w:r w:rsidR="00D42EBD" w:rsidRPr="0036007C">
        <w:t>–</w:t>
      </w:r>
      <w:r w:rsidR="00E76BB4" w:rsidRPr="0036007C">
        <w:t>202</w:t>
      </w:r>
      <w:r w:rsidR="00A6347C" w:rsidRPr="0036007C">
        <w:t>4</w:t>
      </w:r>
      <w:bookmarkEnd w:id="381"/>
    </w:p>
    <w:p w14:paraId="7F4E4260" w14:textId="631A57E8" w:rsidR="0063358F" w:rsidRPr="00F76882" w:rsidRDefault="00F933F4" w:rsidP="00F76882">
      <w:r w:rsidRPr="00495326">
        <mc:AlternateContent>
          <mc:Choice Requires="wps">
            <w:drawing>
              <wp:anchor distT="0" distB="0" distL="114300" distR="114300" simplePos="0" relativeHeight="251645440" behindDoc="0" locked="0" layoutInCell="1" allowOverlap="1" wp14:anchorId="583A0FA5" wp14:editId="1E556619">
                <wp:simplePos x="0" y="0"/>
                <wp:positionH relativeFrom="column">
                  <wp:posOffset>679450</wp:posOffset>
                </wp:positionH>
                <wp:positionV relativeFrom="paragraph">
                  <wp:posOffset>1363345</wp:posOffset>
                </wp:positionV>
                <wp:extent cx="254635" cy="264160"/>
                <wp:effectExtent l="0" t="0" r="0" b="0"/>
                <wp:wrapNone/>
                <wp:docPr id="3" name="TextBox 2">
                  <a:extLst xmlns:a="http://schemas.openxmlformats.org/drawingml/2006/main">
                    <a:ext uri="{FF2B5EF4-FFF2-40B4-BE49-F238E27FC236}">
                      <a16:creationId xmlns:a16="http://schemas.microsoft.com/office/drawing/2014/main" id="{32B67292-982A-49D6-918A-6D9F050A7A73}"/>
                    </a:ext>
                  </a:extLst>
                </wp:docPr>
                <wp:cNvGraphicFramePr/>
                <a:graphic xmlns:a="http://schemas.openxmlformats.org/drawingml/2006/main">
                  <a:graphicData uri="http://schemas.microsoft.com/office/word/2010/wordprocessingShape">
                    <wps:wsp>
                      <wps:cNvSpPr txBox="1"/>
                      <wps:spPr>
                        <a:xfrm>
                          <a:off x="0" y="0"/>
                          <a:ext cx="254635" cy="2641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3F5ED66" w14:textId="77777777" w:rsidR="0063358F" w:rsidRPr="00FF7193" w:rsidRDefault="0063358F" w:rsidP="00F76882">
                            <w:r w:rsidRPr="00FF7193">
                              <w:t>*</w:t>
                            </w:r>
                          </w:p>
                        </w:txbxContent>
                      </wps:txbx>
                      <wps:bodyPr vertOverflow="clip" horzOverflow="clip" wrap="none" rtlCol="0" anchor="t">
                        <a:spAutoFit/>
                      </wps:bodyPr>
                    </wps:wsp>
                  </a:graphicData>
                </a:graphic>
              </wp:anchor>
            </w:drawing>
          </mc:Choice>
          <mc:Fallback>
            <w:pict>
              <v:shapetype w14:anchorId="583A0FA5" id="_x0000_t202" coordsize="21600,21600" o:spt="202" path="m,l,21600r21600,l21600,xe">
                <v:stroke joinstyle="miter"/>
                <v:path gradientshapeok="t" o:connecttype="rect"/>
              </v:shapetype>
              <v:shape id="TextBox 2" o:spid="_x0000_s1026" type="#_x0000_t202" style="position:absolute;margin-left:53.5pt;margin-top:107.35pt;width:20.05pt;height:20.8pt;z-index:251645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" filled="f" stroked="f">
                <v:textbox style="mso-fit-shape-to-text:t">
                  <w:txbxContent>
                    <w:p w14:paraId="03F5ED66" w14:textId="77777777" w:rsidR="0063358F" w:rsidRPr="00FF7193" w:rsidRDefault="0063358F" w:rsidP="00F76882">
                      <w:r w:rsidRPr="00FF7193">
                        <w:t>*</w:t>
                      </w:r>
                    </w:p>
                  </w:txbxContent>
                </v:textbox>
              </v:shape>
            </w:pict>
          </mc:Fallback>
        </mc:AlternateContent>
      </w:r>
      <w:r w:rsidRPr="00495326">
        <mc:AlternateContent>
          <mc:Choice Requires="wps">
            <w:drawing>
              <wp:anchor distT="0" distB="0" distL="114300" distR="114300" simplePos="0" relativeHeight="251664896" behindDoc="0" locked="0" layoutInCell="1" allowOverlap="1" wp14:anchorId="61939514" wp14:editId="133CCB71">
                <wp:simplePos x="0" y="0"/>
                <wp:positionH relativeFrom="column">
                  <wp:posOffset>971550</wp:posOffset>
                </wp:positionH>
                <wp:positionV relativeFrom="paragraph">
                  <wp:posOffset>36307</wp:posOffset>
                </wp:positionV>
                <wp:extent cx="254635" cy="264160"/>
                <wp:effectExtent l="0" t="0" r="0" b="0"/>
                <wp:wrapNone/>
                <wp:docPr id="4" name="TextBox 3">
                  <a:extLst xmlns:a="http://schemas.openxmlformats.org/drawingml/2006/main">
                    <a:ext uri="{FF2B5EF4-FFF2-40B4-BE49-F238E27FC236}">
                      <a16:creationId xmlns:a16="http://schemas.microsoft.com/office/drawing/2014/main" id="{590F35B6-F748-4BA2-9B91-8D471AD4D921}"/>
                    </a:ext>
                  </a:extLst>
                </wp:docPr>
                <wp:cNvGraphicFramePr/>
                <a:graphic xmlns:a="http://schemas.openxmlformats.org/drawingml/2006/main">
                  <a:graphicData uri="http://schemas.microsoft.com/office/word/2010/wordprocessingShape">
                    <wps:wsp>
                      <wps:cNvSpPr txBox="1"/>
                      <wps:spPr>
                        <a:xfrm>
                          <a:off x="0" y="0"/>
                          <a:ext cx="254635" cy="2641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CA103DA" w14:textId="77777777" w:rsidR="0063358F" w:rsidRPr="00FF7193" w:rsidRDefault="0063358F" w:rsidP="00F76882">
                            <w:r w:rsidRPr="00FF7193">
                              <w:t>†</w:t>
                            </w:r>
                          </w:p>
                        </w:txbxContent>
                      </wps:txbx>
                      <wps:bodyPr vertOverflow="clip" horzOverflow="clip" wrap="none" rtlCol="0" anchor="t">
                        <a:spAutoFit/>
                      </wps:bodyPr>
                    </wps:wsp>
                  </a:graphicData>
                </a:graphic>
              </wp:anchor>
            </w:drawing>
          </mc:Choice>
          <mc:Fallback>
            <w:pict>
              <v:shape w14:anchorId="61939514" id="TextBox 3" o:spid="_x0000_s1027" type="#_x0000_t202" style="position:absolute;margin-left:76.5pt;margin-top:2.85pt;width:20.05pt;height:20.8pt;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" filled="f" stroked="f">
                <v:textbox style="mso-fit-shape-to-text:t">
                  <w:txbxContent>
                    <w:p w14:paraId="0CA103DA" w14:textId="77777777" w:rsidR="0063358F" w:rsidRPr="00FF7193" w:rsidRDefault="0063358F" w:rsidP="00F76882">
                      <w:r w:rsidRPr="00FF7193">
                        <w:t>†</w:t>
                      </w:r>
                    </w:p>
                  </w:txbxContent>
                </v:textbox>
              </v:shape>
            </w:pict>
          </mc:Fallback>
        </mc:AlternateContent>
      </w:r>
      <w:r w:rsidR="0063358F" w:rsidRPr="00495326">
        <w:drawing>
          <wp:inline distT="0" distB="0" distL="0" distR="0" wp14:anchorId="3CC23E76" wp14:editId="54B431FD">
            <wp:extent cx="6299835" cy="3326005"/>
            <wp:effectExtent l="0" t="0" r="0" b="1905"/>
            <wp:docPr id="1029295097" name="Chart 1" descr="Number of doses of azithromycin administered for the treatment of trachoma by region, Western Australia, 2007–2024 &#10;Figure 5.7 is a line graph for four regions with number of azithromycin doses on the Y-axis and year on the X-axis.&#10;In the Goldfields region, yearly dose numbers generally have remained under 350 doses per year, apart from a spike between 2014-2017 when doses rose sharply to peak at 1,236 in 2017.&#10;In the Kimberly region, there has been an overall decline in yearly dose numbers from a peak of 2,333 in 2008 to zero doses administered since 2023.&#10;In the Midwest region, doses administered remained under 200 per year from 2007 to 2013, before climbing rapidly to peak at 759 doses in 2016. This was followed by an equally rapid decline to around 60 doses in 2018-2019, with zero doses administered since 2021.&#10;In the Pilbara region, there has been fluctuations between zero and 420 doses per year throughout 2007 to 2018, after which dosage numbers have generally declined, with 39 doses administered in 2024.&#10;">
              <a:extLst xmlns:a="http://schemas.openxmlformats.org/drawingml/2006/main">
                <a:ext uri="{FF2B5EF4-FFF2-40B4-BE49-F238E27FC236}">
                  <a16:creationId xmlns:a16="http://schemas.microsoft.com/office/drawing/2014/main" id="{D50566C8-71C5-43C9-9EF0-5F00BBFA8F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2506BB9F" w14:textId="6A209703" w:rsidR="00E3767F" w:rsidRPr="0036007C" w:rsidRDefault="00E3767F" w:rsidP="00F76882">
      <w:pPr>
        <w:pStyle w:val="tablefigfootnote"/>
      </w:pPr>
      <w:r w:rsidRPr="0036007C">
        <w:t>* Treatments administered in the Kimberley in 2007 are likely to have been under-reported, as treatment data were not received from several communities</w:t>
      </w:r>
      <w:r w:rsidR="00FE7424" w:rsidRPr="0036007C">
        <w:t>.</w:t>
      </w:r>
    </w:p>
    <w:p w14:paraId="0E587AE3" w14:textId="6D531799" w:rsidR="00E3767F" w:rsidRPr="0036007C" w:rsidRDefault="00E3767F" w:rsidP="00F76882">
      <w:pPr>
        <w:pStyle w:val="tablefigfootnote"/>
      </w:pPr>
      <w:r w:rsidRPr="0036007C">
        <w:t xml:space="preserve">† In the Kimberley in 2008, 17 communities were reported to have received community-based treatment, compared with only </w:t>
      </w:r>
      <w:r w:rsidR="00A50343" w:rsidRPr="0036007C">
        <w:t xml:space="preserve">7 </w:t>
      </w:r>
      <w:r w:rsidRPr="0036007C">
        <w:t>in 2009</w:t>
      </w:r>
      <w:r w:rsidR="00FE7424" w:rsidRPr="0036007C">
        <w:t>.</w:t>
      </w:r>
    </w:p>
    <w:p w14:paraId="062510FE" w14:textId="67DDBADD" w:rsidR="00E3767F" w:rsidRPr="0036007C" w:rsidRDefault="00E3767F" w:rsidP="00F76882">
      <w:pPr>
        <w:pStyle w:val="Tableheadings"/>
      </w:pPr>
      <w:bookmarkStart w:id="382" w:name="_Ref58336742"/>
      <w:bookmarkStart w:id="383" w:name="_Toc215224716"/>
      <w:r w:rsidRPr="0036007C">
        <w:t xml:space="preserve">Table </w:t>
      </w:r>
      <w:r w:rsidR="00814019" w:rsidRPr="0036007C">
        <w:t>5</w:t>
      </w:r>
      <w:r w:rsidRPr="0036007C">
        <w:t>.</w:t>
      </w:r>
      <w:r w:rsidRPr="0036007C">
        <w:fldChar w:fldCharType="begin"/>
      </w:r>
      <w:r w:rsidRPr="0036007C">
        <w:instrText>SEQ Table \* ARABIC \s 1</w:instrText>
      </w:r>
      <w:r w:rsidRPr="0036007C">
        <w:fldChar w:fldCharType="separate"/>
      </w:r>
      <w:r w:rsidRPr="0036007C">
        <w:t>1</w:t>
      </w:r>
      <w:r w:rsidRPr="0036007C">
        <w:fldChar w:fldCharType="end"/>
      </w:r>
      <w:bookmarkEnd w:id="382"/>
      <w:r w:rsidRPr="0036007C">
        <w:tab/>
      </w:r>
      <w:r w:rsidR="00314819" w:rsidRPr="0036007C">
        <w:t xml:space="preserve">Trachoma control delivery in </w:t>
      </w:r>
      <w:r w:rsidR="00046C9F" w:rsidRPr="0036007C">
        <w:t>at-risk communities</w:t>
      </w:r>
      <w:r w:rsidR="00314819" w:rsidRPr="0036007C">
        <w:t xml:space="preserve"> by region</w:t>
      </w:r>
      <w:r w:rsidRPr="0036007C">
        <w:t>, Western Australia</w:t>
      </w:r>
      <w:r w:rsidR="00AA041A" w:rsidRPr="0036007C">
        <w:t>,</w:t>
      </w:r>
      <w:r w:rsidRPr="0036007C">
        <w:t xml:space="preserve"> </w:t>
      </w:r>
      <w:r w:rsidR="00E76BB4" w:rsidRPr="0036007C">
        <w:t>202</w:t>
      </w:r>
      <w:r w:rsidR="00050459" w:rsidRPr="0036007C">
        <w:t>4</w:t>
      </w:r>
      <w:bookmarkEnd w:id="383"/>
    </w:p>
    <w:tbl>
      <w:tblPr>
        <w:tblW w:w="5000" w:type="pct"/>
        <w:tblLook w:val="04A0" w:firstRow="1" w:lastRow="0" w:firstColumn="1" w:lastColumn="0" w:noHBand="0" w:noVBand="1"/>
        <w:tblCaption w:val="Trachoma control delivery in at-risk communities by region, Western Australia, 2024"/>
        <w:tblDescription w:val="Table 5.1 compares the number of at-risk communities by the type of screening and/or treatment intervention. Data is presented for the Goldfields, Kimberley, Midwest, Pilbara, and the cumulative total.&#10;"/>
      </w:tblPr>
      <w:tblGrid>
        <w:gridCol w:w="3110"/>
        <w:gridCol w:w="1470"/>
        <w:gridCol w:w="1470"/>
        <w:gridCol w:w="1470"/>
        <w:gridCol w:w="1470"/>
        <w:gridCol w:w="1466"/>
      </w:tblGrid>
      <w:tr w:rsidR="00785484" w:rsidRPr="0036007C" w14:paraId="548C40BD" w14:textId="77777777" w:rsidTr="003D3BBA">
        <w:trPr>
          <w:trHeight w:val="290"/>
          <w:tblHeader/>
        </w:trPr>
        <w:tc>
          <w:tcPr>
            <w:tcW w:w="1487"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2CD15524" w14:textId="77777777" w:rsidR="00DA6C9D" w:rsidRPr="001B4458" w:rsidRDefault="00DA6C9D" w:rsidP="00F76882">
            <w:r w:rsidRPr="001B4458">
              <w:t>Number of communities</w:t>
            </w:r>
          </w:p>
        </w:tc>
        <w:tc>
          <w:tcPr>
            <w:tcW w:w="703" w:type="pct"/>
            <w:tcBorders>
              <w:top w:val="single" w:sz="4" w:space="0" w:color="auto"/>
              <w:left w:val="nil"/>
              <w:bottom w:val="single" w:sz="4" w:space="0" w:color="auto"/>
              <w:right w:val="single" w:sz="4" w:space="0" w:color="auto"/>
            </w:tcBorders>
            <w:shd w:val="clear" w:color="000000" w:fill="BFBFBF"/>
            <w:noWrap/>
            <w:vAlign w:val="bottom"/>
            <w:hideMark/>
          </w:tcPr>
          <w:p w14:paraId="75BC0983" w14:textId="77777777" w:rsidR="00DA6C9D" w:rsidRPr="001B4458" w:rsidRDefault="00DA6C9D" w:rsidP="00F76882">
            <w:r w:rsidRPr="001B4458">
              <w:t>Goldfields</w:t>
            </w:r>
          </w:p>
        </w:tc>
        <w:tc>
          <w:tcPr>
            <w:tcW w:w="703" w:type="pct"/>
            <w:tcBorders>
              <w:top w:val="single" w:sz="4" w:space="0" w:color="auto"/>
              <w:left w:val="nil"/>
              <w:bottom w:val="single" w:sz="4" w:space="0" w:color="auto"/>
              <w:right w:val="single" w:sz="4" w:space="0" w:color="auto"/>
            </w:tcBorders>
            <w:shd w:val="clear" w:color="000000" w:fill="BFBFBF"/>
            <w:noWrap/>
            <w:vAlign w:val="bottom"/>
            <w:hideMark/>
          </w:tcPr>
          <w:p w14:paraId="49C5D2B6" w14:textId="77777777" w:rsidR="00DA6C9D" w:rsidRPr="001B4458" w:rsidRDefault="00DA6C9D" w:rsidP="00F76882">
            <w:r w:rsidRPr="001B4458">
              <w:t>Kimberley</w:t>
            </w:r>
          </w:p>
        </w:tc>
        <w:tc>
          <w:tcPr>
            <w:tcW w:w="703" w:type="pct"/>
            <w:tcBorders>
              <w:top w:val="single" w:sz="4" w:space="0" w:color="auto"/>
              <w:left w:val="nil"/>
              <w:bottom w:val="single" w:sz="4" w:space="0" w:color="auto"/>
              <w:right w:val="single" w:sz="4" w:space="0" w:color="auto"/>
            </w:tcBorders>
            <w:shd w:val="clear" w:color="000000" w:fill="BFBFBF"/>
            <w:noWrap/>
            <w:vAlign w:val="bottom"/>
            <w:hideMark/>
          </w:tcPr>
          <w:p w14:paraId="45316E27" w14:textId="77777777" w:rsidR="00DA6C9D" w:rsidRPr="001B4458" w:rsidRDefault="00DA6C9D" w:rsidP="00F76882">
            <w:r w:rsidRPr="001B4458">
              <w:t>Midwest</w:t>
            </w:r>
          </w:p>
        </w:tc>
        <w:tc>
          <w:tcPr>
            <w:tcW w:w="703" w:type="pct"/>
            <w:tcBorders>
              <w:top w:val="single" w:sz="4" w:space="0" w:color="auto"/>
              <w:left w:val="nil"/>
              <w:bottom w:val="single" w:sz="4" w:space="0" w:color="auto"/>
              <w:right w:val="single" w:sz="4" w:space="0" w:color="auto"/>
            </w:tcBorders>
            <w:shd w:val="clear" w:color="000000" w:fill="BFBFBF"/>
            <w:noWrap/>
            <w:vAlign w:val="bottom"/>
            <w:hideMark/>
          </w:tcPr>
          <w:p w14:paraId="145BA670" w14:textId="77777777" w:rsidR="00DA6C9D" w:rsidRPr="001B4458" w:rsidRDefault="00DA6C9D" w:rsidP="00F76882">
            <w:r w:rsidRPr="001B4458">
              <w:t>Pilbara</w:t>
            </w:r>
          </w:p>
        </w:tc>
        <w:tc>
          <w:tcPr>
            <w:tcW w:w="701" w:type="pct"/>
            <w:tcBorders>
              <w:top w:val="single" w:sz="4" w:space="0" w:color="auto"/>
              <w:left w:val="nil"/>
              <w:bottom w:val="single" w:sz="4" w:space="0" w:color="auto"/>
              <w:right w:val="single" w:sz="4" w:space="0" w:color="auto"/>
            </w:tcBorders>
            <w:shd w:val="clear" w:color="000000" w:fill="BFBFBF"/>
            <w:noWrap/>
            <w:vAlign w:val="bottom"/>
            <w:hideMark/>
          </w:tcPr>
          <w:p w14:paraId="1B0CC91E" w14:textId="77777777" w:rsidR="00DA6C9D" w:rsidRPr="001B4458" w:rsidRDefault="00DA6C9D" w:rsidP="00F76882">
            <w:r w:rsidRPr="001B4458">
              <w:t>Total</w:t>
            </w:r>
          </w:p>
        </w:tc>
      </w:tr>
      <w:tr w:rsidR="00075EDE" w:rsidRPr="0036007C" w14:paraId="452EC7D2" w14:textId="77777777" w:rsidTr="00075EDE">
        <w:trPr>
          <w:trHeight w:val="290"/>
        </w:trPr>
        <w:tc>
          <w:tcPr>
            <w:tcW w:w="1487" w:type="pct"/>
            <w:tcBorders>
              <w:top w:val="nil"/>
              <w:left w:val="single" w:sz="4" w:space="0" w:color="auto"/>
              <w:bottom w:val="single" w:sz="4" w:space="0" w:color="auto"/>
              <w:right w:val="single" w:sz="4" w:space="0" w:color="auto"/>
            </w:tcBorders>
            <w:vAlign w:val="bottom"/>
            <w:hideMark/>
          </w:tcPr>
          <w:p w14:paraId="239C7F62" w14:textId="646E5C9F" w:rsidR="00075EDE" w:rsidRPr="003D3BBA" w:rsidRDefault="00075EDE" w:rsidP="00F76882">
            <w:pPr>
              <w:pStyle w:val="Tabletext"/>
            </w:pPr>
            <w:r w:rsidRPr="003D3BBA">
              <w:t>At risk (A)</w:t>
            </w:r>
            <w:r w:rsidR="00CC3396" w:rsidRPr="003D3BBA">
              <w:t>*</w:t>
            </w:r>
          </w:p>
        </w:tc>
        <w:tc>
          <w:tcPr>
            <w:tcW w:w="703" w:type="pct"/>
            <w:tcBorders>
              <w:top w:val="nil"/>
              <w:left w:val="nil"/>
              <w:bottom w:val="single" w:sz="4" w:space="0" w:color="auto"/>
              <w:right w:val="single" w:sz="4" w:space="0" w:color="auto"/>
            </w:tcBorders>
            <w:noWrap/>
            <w:vAlign w:val="bottom"/>
            <w:hideMark/>
          </w:tcPr>
          <w:p w14:paraId="45CF9B95" w14:textId="58C20A70" w:rsidR="00075EDE" w:rsidRPr="003D3BBA" w:rsidRDefault="00075EDE" w:rsidP="00F76882">
            <w:pPr>
              <w:pStyle w:val="Tabletext"/>
            </w:pPr>
            <w:r w:rsidRPr="003D3BBA">
              <w:t>15</w:t>
            </w:r>
          </w:p>
        </w:tc>
        <w:tc>
          <w:tcPr>
            <w:tcW w:w="703" w:type="pct"/>
            <w:tcBorders>
              <w:top w:val="nil"/>
              <w:left w:val="nil"/>
              <w:bottom w:val="single" w:sz="4" w:space="0" w:color="auto"/>
              <w:right w:val="single" w:sz="4" w:space="0" w:color="auto"/>
            </w:tcBorders>
            <w:noWrap/>
            <w:vAlign w:val="bottom"/>
            <w:hideMark/>
          </w:tcPr>
          <w:p w14:paraId="489079D2" w14:textId="42E65522" w:rsidR="00075EDE" w:rsidRPr="003D3BBA" w:rsidRDefault="00075EDE" w:rsidP="00F76882">
            <w:pPr>
              <w:pStyle w:val="Tabletext"/>
            </w:pPr>
            <w:r w:rsidRPr="003D3BBA">
              <w:t>7</w:t>
            </w:r>
          </w:p>
        </w:tc>
        <w:tc>
          <w:tcPr>
            <w:tcW w:w="703" w:type="pct"/>
            <w:tcBorders>
              <w:top w:val="nil"/>
              <w:left w:val="nil"/>
              <w:bottom w:val="single" w:sz="4" w:space="0" w:color="auto"/>
              <w:right w:val="single" w:sz="4" w:space="0" w:color="auto"/>
            </w:tcBorders>
            <w:noWrap/>
            <w:vAlign w:val="bottom"/>
            <w:hideMark/>
          </w:tcPr>
          <w:p w14:paraId="699E4D32" w14:textId="16D74ABB" w:rsidR="00075EDE" w:rsidRPr="003D3BBA" w:rsidRDefault="00075EDE" w:rsidP="00F76882">
            <w:pPr>
              <w:pStyle w:val="Tabletext"/>
            </w:pPr>
            <w:r w:rsidRPr="003D3BBA">
              <w:t>5</w:t>
            </w:r>
          </w:p>
        </w:tc>
        <w:tc>
          <w:tcPr>
            <w:tcW w:w="703" w:type="pct"/>
            <w:tcBorders>
              <w:top w:val="nil"/>
              <w:left w:val="nil"/>
              <w:bottom w:val="single" w:sz="4" w:space="0" w:color="auto"/>
              <w:right w:val="single" w:sz="4" w:space="0" w:color="auto"/>
            </w:tcBorders>
            <w:noWrap/>
            <w:vAlign w:val="bottom"/>
            <w:hideMark/>
          </w:tcPr>
          <w:p w14:paraId="7904642E" w14:textId="19DB0A66" w:rsidR="00075EDE" w:rsidRPr="003D3BBA" w:rsidRDefault="00075EDE" w:rsidP="00F76882">
            <w:pPr>
              <w:pStyle w:val="Tabletext"/>
            </w:pPr>
            <w:r w:rsidRPr="003D3BBA">
              <w:t>6</w:t>
            </w:r>
          </w:p>
        </w:tc>
        <w:tc>
          <w:tcPr>
            <w:tcW w:w="701" w:type="pct"/>
            <w:tcBorders>
              <w:top w:val="nil"/>
              <w:left w:val="nil"/>
              <w:bottom w:val="single" w:sz="4" w:space="0" w:color="auto"/>
              <w:right w:val="single" w:sz="4" w:space="0" w:color="auto"/>
            </w:tcBorders>
            <w:noWrap/>
            <w:vAlign w:val="bottom"/>
            <w:hideMark/>
          </w:tcPr>
          <w:p w14:paraId="388443EE" w14:textId="169A675D" w:rsidR="00075EDE" w:rsidRPr="003D3BBA" w:rsidRDefault="00075EDE" w:rsidP="00F76882">
            <w:pPr>
              <w:pStyle w:val="Tabletext"/>
            </w:pPr>
            <w:r w:rsidRPr="003D3BBA">
              <w:t>33</w:t>
            </w:r>
          </w:p>
        </w:tc>
      </w:tr>
      <w:tr w:rsidR="00075EDE" w:rsidRPr="0036007C" w14:paraId="3C0964B8" w14:textId="77777777" w:rsidTr="00075EDE">
        <w:trPr>
          <w:trHeight w:val="580"/>
        </w:trPr>
        <w:tc>
          <w:tcPr>
            <w:tcW w:w="1487" w:type="pct"/>
            <w:tcBorders>
              <w:top w:val="nil"/>
              <w:left w:val="single" w:sz="4" w:space="0" w:color="auto"/>
              <w:bottom w:val="single" w:sz="4" w:space="0" w:color="auto"/>
              <w:right w:val="single" w:sz="4" w:space="0" w:color="auto"/>
            </w:tcBorders>
            <w:shd w:val="clear" w:color="000000" w:fill="BFBFBF"/>
            <w:vAlign w:val="bottom"/>
            <w:hideMark/>
          </w:tcPr>
          <w:p w14:paraId="2EB48C45" w14:textId="01D7E7FA" w:rsidR="00075EDE" w:rsidRPr="003D3BBA" w:rsidRDefault="00075EDE" w:rsidP="00F76882">
            <w:pPr>
              <w:pStyle w:val="Tabletext"/>
            </w:pPr>
            <w:r w:rsidRPr="003D3BBA">
              <w:t>Requiring screening for trachoma (B)</w:t>
            </w:r>
          </w:p>
        </w:tc>
        <w:tc>
          <w:tcPr>
            <w:tcW w:w="703" w:type="pct"/>
            <w:tcBorders>
              <w:top w:val="nil"/>
              <w:left w:val="nil"/>
              <w:bottom w:val="single" w:sz="4" w:space="0" w:color="auto"/>
              <w:right w:val="single" w:sz="4" w:space="0" w:color="auto"/>
            </w:tcBorders>
            <w:shd w:val="clear" w:color="000000" w:fill="BFBFBF"/>
            <w:noWrap/>
            <w:vAlign w:val="bottom"/>
            <w:hideMark/>
          </w:tcPr>
          <w:p w14:paraId="5F7609C2" w14:textId="7FCB9709" w:rsidR="00075EDE" w:rsidRPr="003D3BBA" w:rsidRDefault="00075EDE" w:rsidP="00F76882">
            <w:pPr>
              <w:pStyle w:val="Tabletext"/>
            </w:pPr>
            <w:r w:rsidRPr="003D3BBA">
              <w:t>13</w:t>
            </w:r>
          </w:p>
        </w:tc>
        <w:tc>
          <w:tcPr>
            <w:tcW w:w="703" w:type="pct"/>
            <w:tcBorders>
              <w:top w:val="nil"/>
              <w:left w:val="nil"/>
              <w:bottom w:val="single" w:sz="4" w:space="0" w:color="auto"/>
              <w:right w:val="single" w:sz="4" w:space="0" w:color="auto"/>
            </w:tcBorders>
            <w:shd w:val="clear" w:color="000000" w:fill="BFBFBF"/>
            <w:noWrap/>
            <w:vAlign w:val="bottom"/>
            <w:hideMark/>
          </w:tcPr>
          <w:p w14:paraId="4E613762" w14:textId="5DD7639A" w:rsidR="00075EDE" w:rsidRPr="003D3BBA" w:rsidRDefault="00075EDE" w:rsidP="00F76882">
            <w:pPr>
              <w:pStyle w:val="Tabletext"/>
            </w:pPr>
            <w:r w:rsidRPr="003D3BBA">
              <w:t>4</w:t>
            </w:r>
          </w:p>
        </w:tc>
        <w:tc>
          <w:tcPr>
            <w:tcW w:w="703" w:type="pct"/>
            <w:tcBorders>
              <w:top w:val="nil"/>
              <w:left w:val="nil"/>
              <w:bottom w:val="single" w:sz="4" w:space="0" w:color="auto"/>
              <w:right w:val="single" w:sz="4" w:space="0" w:color="auto"/>
            </w:tcBorders>
            <w:shd w:val="clear" w:color="000000" w:fill="BFBFBF"/>
            <w:noWrap/>
            <w:vAlign w:val="bottom"/>
            <w:hideMark/>
          </w:tcPr>
          <w:p w14:paraId="029697A0" w14:textId="5BE76133" w:rsidR="00075EDE" w:rsidRPr="003D3BBA" w:rsidRDefault="00075EDE" w:rsidP="00F76882">
            <w:pPr>
              <w:pStyle w:val="Tabletext"/>
            </w:pPr>
            <w:r w:rsidRPr="003D3BBA">
              <w:t>3</w:t>
            </w:r>
          </w:p>
        </w:tc>
        <w:tc>
          <w:tcPr>
            <w:tcW w:w="703" w:type="pct"/>
            <w:tcBorders>
              <w:top w:val="nil"/>
              <w:left w:val="nil"/>
              <w:bottom w:val="single" w:sz="4" w:space="0" w:color="auto"/>
              <w:right w:val="single" w:sz="4" w:space="0" w:color="auto"/>
            </w:tcBorders>
            <w:shd w:val="clear" w:color="000000" w:fill="BFBFBF"/>
            <w:noWrap/>
            <w:vAlign w:val="bottom"/>
            <w:hideMark/>
          </w:tcPr>
          <w:p w14:paraId="6643939D" w14:textId="570A3100" w:rsidR="00075EDE" w:rsidRPr="003D3BBA" w:rsidRDefault="00075EDE" w:rsidP="00F76882">
            <w:pPr>
              <w:pStyle w:val="Tabletext"/>
            </w:pPr>
            <w:r w:rsidRPr="003D3BBA">
              <w:t>6</w:t>
            </w:r>
          </w:p>
        </w:tc>
        <w:tc>
          <w:tcPr>
            <w:tcW w:w="701" w:type="pct"/>
            <w:tcBorders>
              <w:top w:val="nil"/>
              <w:left w:val="nil"/>
              <w:bottom w:val="single" w:sz="4" w:space="0" w:color="auto"/>
              <w:right w:val="single" w:sz="4" w:space="0" w:color="auto"/>
            </w:tcBorders>
            <w:shd w:val="clear" w:color="000000" w:fill="BFBFBF"/>
            <w:noWrap/>
            <w:vAlign w:val="bottom"/>
            <w:hideMark/>
          </w:tcPr>
          <w:p w14:paraId="4982DA9C" w14:textId="441E6D90" w:rsidR="00075EDE" w:rsidRPr="003D3BBA" w:rsidRDefault="00075EDE" w:rsidP="00F76882">
            <w:pPr>
              <w:pStyle w:val="Tabletext"/>
            </w:pPr>
            <w:r w:rsidRPr="003D3BBA">
              <w:t>26</w:t>
            </w:r>
          </w:p>
        </w:tc>
      </w:tr>
      <w:tr w:rsidR="00075EDE" w:rsidRPr="0036007C" w14:paraId="6D544139" w14:textId="77777777" w:rsidTr="00075EDE">
        <w:trPr>
          <w:trHeight w:val="290"/>
        </w:trPr>
        <w:tc>
          <w:tcPr>
            <w:tcW w:w="1487" w:type="pct"/>
            <w:tcBorders>
              <w:top w:val="nil"/>
              <w:left w:val="single" w:sz="4" w:space="0" w:color="auto"/>
              <w:bottom w:val="single" w:sz="4" w:space="0" w:color="auto"/>
              <w:right w:val="single" w:sz="4" w:space="0" w:color="auto"/>
            </w:tcBorders>
            <w:vAlign w:val="bottom"/>
            <w:hideMark/>
          </w:tcPr>
          <w:p w14:paraId="4F69BCB6" w14:textId="77777777" w:rsidR="00075EDE" w:rsidRPr="003D3BBA" w:rsidRDefault="00075EDE" w:rsidP="00F76882">
            <w:pPr>
              <w:pStyle w:val="Tabletext"/>
            </w:pPr>
            <w:r w:rsidRPr="003D3BBA">
              <w:t>Screened for trachoma (C)</w:t>
            </w:r>
          </w:p>
        </w:tc>
        <w:tc>
          <w:tcPr>
            <w:tcW w:w="703" w:type="pct"/>
            <w:tcBorders>
              <w:top w:val="nil"/>
              <w:left w:val="nil"/>
              <w:bottom w:val="single" w:sz="4" w:space="0" w:color="auto"/>
              <w:right w:val="single" w:sz="4" w:space="0" w:color="auto"/>
            </w:tcBorders>
            <w:noWrap/>
            <w:vAlign w:val="bottom"/>
            <w:hideMark/>
          </w:tcPr>
          <w:p w14:paraId="2679721A" w14:textId="556835D1" w:rsidR="00075EDE" w:rsidRPr="003D3BBA" w:rsidRDefault="00075EDE" w:rsidP="00F76882">
            <w:pPr>
              <w:pStyle w:val="Tabletext"/>
            </w:pPr>
            <w:r w:rsidRPr="003D3BBA">
              <w:t>13</w:t>
            </w:r>
          </w:p>
        </w:tc>
        <w:tc>
          <w:tcPr>
            <w:tcW w:w="703" w:type="pct"/>
            <w:tcBorders>
              <w:top w:val="nil"/>
              <w:left w:val="nil"/>
              <w:bottom w:val="single" w:sz="4" w:space="0" w:color="auto"/>
              <w:right w:val="single" w:sz="4" w:space="0" w:color="auto"/>
            </w:tcBorders>
            <w:noWrap/>
            <w:vAlign w:val="bottom"/>
            <w:hideMark/>
          </w:tcPr>
          <w:p w14:paraId="1C1B1D13" w14:textId="13BAF3A9" w:rsidR="00075EDE" w:rsidRPr="003D3BBA" w:rsidRDefault="00075EDE" w:rsidP="00F76882">
            <w:pPr>
              <w:pStyle w:val="Tabletext"/>
            </w:pPr>
            <w:r w:rsidRPr="003D3BBA">
              <w:t>4</w:t>
            </w:r>
          </w:p>
        </w:tc>
        <w:tc>
          <w:tcPr>
            <w:tcW w:w="703" w:type="pct"/>
            <w:tcBorders>
              <w:top w:val="nil"/>
              <w:left w:val="nil"/>
              <w:bottom w:val="single" w:sz="4" w:space="0" w:color="auto"/>
              <w:right w:val="single" w:sz="4" w:space="0" w:color="auto"/>
            </w:tcBorders>
            <w:noWrap/>
            <w:vAlign w:val="bottom"/>
            <w:hideMark/>
          </w:tcPr>
          <w:p w14:paraId="57371C45" w14:textId="6D4E92F7" w:rsidR="00075EDE" w:rsidRPr="003D3BBA" w:rsidRDefault="00075EDE" w:rsidP="00F76882">
            <w:pPr>
              <w:pStyle w:val="Tabletext"/>
            </w:pPr>
            <w:r w:rsidRPr="003D3BBA">
              <w:t>3</w:t>
            </w:r>
          </w:p>
        </w:tc>
        <w:tc>
          <w:tcPr>
            <w:tcW w:w="703" w:type="pct"/>
            <w:tcBorders>
              <w:top w:val="nil"/>
              <w:left w:val="nil"/>
              <w:bottom w:val="single" w:sz="4" w:space="0" w:color="auto"/>
              <w:right w:val="single" w:sz="4" w:space="0" w:color="auto"/>
            </w:tcBorders>
            <w:noWrap/>
            <w:vAlign w:val="bottom"/>
            <w:hideMark/>
          </w:tcPr>
          <w:p w14:paraId="78447002" w14:textId="29BE8D5E" w:rsidR="00075EDE" w:rsidRPr="003D3BBA" w:rsidRDefault="00075EDE" w:rsidP="00F76882">
            <w:pPr>
              <w:pStyle w:val="Tabletext"/>
            </w:pPr>
            <w:r w:rsidRPr="003D3BBA">
              <w:t>6</w:t>
            </w:r>
          </w:p>
        </w:tc>
        <w:tc>
          <w:tcPr>
            <w:tcW w:w="701" w:type="pct"/>
            <w:tcBorders>
              <w:top w:val="nil"/>
              <w:left w:val="nil"/>
              <w:bottom w:val="single" w:sz="4" w:space="0" w:color="auto"/>
              <w:right w:val="single" w:sz="4" w:space="0" w:color="auto"/>
            </w:tcBorders>
            <w:noWrap/>
            <w:vAlign w:val="bottom"/>
            <w:hideMark/>
          </w:tcPr>
          <w:p w14:paraId="748A00F9" w14:textId="15D30125" w:rsidR="00075EDE" w:rsidRPr="003D3BBA" w:rsidRDefault="00075EDE" w:rsidP="00F76882">
            <w:pPr>
              <w:pStyle w:val="Tabletext"/>
            </w:pPr>
            <w:r w:rsidRPr="003D3BBA">
              <w:t>26</w:t>
            </w:r>
          </w:p>
        </w:tc>
      </w:tr>
      <w:tr w:rsidR="00075EDE" w:rsidRPr="0036007C" w14:paraId="191CCF2D" w14:textId="77777777" w:rsidTr="00075EDE">
        <w:trPr>
          <w:trHeight w:val="580"/>
        </w:trPr>
        <w:tc>
          <w:tcPr>
            <w:tcW w:w="1487" w:type="pct"/>
            <w:tcBorders>
              <w:top w:val="nil"/>
              <w:left w:val="single" w:sz="4" w:space="0" w:color="auto"/>
              <w:bottom w:val="single" w:sz="4" w:space="0" w:color="auto"/>
              <w:right w:val="single" w:sz="4" w:space="0" w:color="auto"/>
            </w:tcBorders>
            <w:shd w:val="clear" w:color="000000" w:fill="BFBFBF"/>
            <w:vAlign w:val="bottom"/>
            <w:hideMark/>
          </w:tcPr>
          <w:p w14:paraId="54570FC8" w14:textId="52EB1DB0" w:rsidR="00075EDE" w:rsidRPr="003D3BBA" w:rsidRDefault="00075EDE" w:rsidP="00F76882">
            <w:pPr>
              <w:pStyle w:val="Tabletext"/>
            </w:pPr>
            <w:r w:rsidRPr="003D3BBA">
              <w:t>Requiring treatment without screening</w:t>
            </w:r>
            <w:r w:rsidR="00E6338B" w:rsidRPr="003D3BBA">
              <w:t>†</w:t>
            </w:r>
            <w:r w:rsidRPr="003D3BBA">
              <w:t xml:space="preserve"> (D)</w:t>
            </w:r>
          </w:p>
        </w:tc>
        <w:tc>
          <w:tcPr>
            <w:tcW w:w="703" w:type="pct"/>
            <w:tcBorders>
              <w:top w:val="nil"/>
              <w:left w:val="nil"/>
              <w:bottom w:val="single" w:sz="4" w:space="0" w:color="auto"/>
              <w:right w:val="single" w:sz="4" w:space="0" w:color="auto"/>
            </w:tcBorders>
            <w:shd w:val="clear" w:color="000000" w:fill="BFBFBF"/>
            <w:noWrap/>
            <w:vAlign w:val="bottom"/>
            <w:hideMark/>
          </w:tcPr>
          <w:p w14:paraId="2B055109" w14:textId="501F9006" w:rsidR="00075EDE" w:rsidRPr="003D3BBA" w:rsidRDefault="00075EDE" w:rsidP="00F76882">
            <w:pPr>
              <w:pStyle w:val="Tabletext"/>
            </w:pPr>
            <w:r w:rsidRPr="003D3BBA">
              <w:t>0</w:t>
            </w:r>
          </w:p>
        </w:tc>
        <w:tc>
          <w:tcPr>
            <w:tcW w:w="703" w:type="pct"/>
            <w:tcBorders>
              <w:top w:val="nil"/>
              <w:left w:val="nil"/>
              <w:bottom w:val="single" w:sz="4" w:space="0" w:color="auto"/>
              <w:right w:val="single" w:sz="4" w:space="0" w:color="auto"/>
            </w:tcBorders>
            <w:shd w:val="clear" w:color="000000" w:fill="BFBFBF"/>
            <w:noWrap/>
            <w:vAlign w:val="bottom"/>
            <w:hideMark/>
          </w:tcPr>
          <w:p w14:paraId="060296E5" w14:textId="21874BC4" w:rsidR="00075EDE" w:rsidRPr="003D3BBA" w:rsidRDefault="00075EDE" w:rsidP="00F76882">
            <w:pPr>
              <w:pStyle w:val="Tabletext"/>
            </w:pPr>
            <w:r w:rsidRPr="003D3BBA">
              <w:t>0</w:t>
            </w:r>
          </w:p>
        </w:tc>
        <w:tc>
          <w:tcPr>
            <w:tcW w:w="703" w:type="pct"/>
            <w:tcBorders>
              <w:top w:val="nil"/>
              <w:left w:val="nil"/>
              <w:bottom w:val="single" w:sz="4" w:space="0" w:color="auto"/>
              <w:right w:val="single" w:sz="4" w:space="0" w:color="auto"/>
            </w:tcBorders>
            <w:shd w:val="clear" w:color="000000" w:fill="BFBFBF"/>
            <w:noWrap/>
            <w:vAlign w:val="bottom"/>
            <w:hideMark/>
          </w:tcPr>
          <w:p w14:paraId="2C6393C1" w14:textId="625E15C3" w:rsidR="00075EDE" w:rsidRPr="003D3BBA" w:rsidRDefault="00075EDE" w:rsidP="00F76882">
            <w:pPr>
              <w:pStyle w:val="Tabletext"/>
            </w:pPr>
            <w:r w:rsidRPr="003D3BBA">
              <w:t>0</w:t>
            </w:r>
          </w:p>
        </w:tc>
        <w:tc>
          <w:tcPr>
            <w:tcW w:w="703" w:type="pct"/>
            <w:tcBorders>
              <w:top w:val="nil"/>
              <w:left w:val="nil"/>
              <w:bottom w:val="single" w:sz="4" w:space="0" w:color="auto"/>
              <w:right w:val="single" w:sz="4" w:space="0" w:color="auto"/>
            </w:tcBorders>
            <w:shd w:val="clear" w:color="000000" w:fill="BFBFBF"/>
            <w:noWrap/>
            <w:vAlign w:val="bottom"/>
            <w:hideMark/>
          </w:tcPr>
          <w:p w14:paraId="03280E50" w14:textId="15B15DEB" w:rsidR="00075EDE" w:rsidRPr="003D3BBA" w:rsidRDefault="00075EDE" w:rsidP="00F76882">
            <w:pPr>
              <w:pStyle w:val="Tabletext"/>
            </w:pPr>
            <w:r w:rsidRPr="003D3BBA">
              <w:t>0</w:t>
            </w:r>
          </w:p>
        </w:tc>
        <w:tc>
          <w:tcPr>
            <w:tcW w:w="701" w:type="pct"/>
            <w:tcBorders>
              <w:top w:val="nil"/>
              <w:left w:val="nil"/>
              <w:bottom w:val="single" w:sz="4" w:space="0" w:color="auto"/>
              <w:right w:val="single" w:sz="4" w:space="0" w:color="auto"/>
            </w:tcBorders>
            <w:shd w:val="clear" w:color="000000" w:fill="BFBFBF"/>
            <w:noWrap/>
            <w:vAlign w:val="bottom"/>
            <w:hideMark/>
          </w:tcPr>
          <w:p w14:paraId="32B9B335" w14:textId="777583E5" w:rsidR="00075EDE" w:rsidRPr="003D3BBA" w:rsidRDefault="00075EDE" w:rsidP="00F76882">
            <w:pPr>
              <w:pStyle w:val="Tabletext"/>
            </w:pPr>
            <w:r w:rsidRPr="003D3BBA">
              <w:t>0</w:t>
            </w:r>
          </w:p>
        </w:tc>
      </w:tr>
      <w:tr w:rsidR="00075EDE" w:rsidRPr="0036007C" w14:paraId="553DD7D0" w14:textId="77777777" w:rsidTr="00075EDE">
        <w:trPr>
          <w:trHeight w:val="580"/>
        </w:trPr>
        <w:tc>
          <w:tcPr>
            <w:tcW w:w="1487" w:type="pct"/>
            <w:tcBorders>
              <w:top w:val="nil"/>
              <w:left w:val="single" w:sz="4" w:space="0" w:color="auto"/>
              <w:bottom w:val="single" w:sz="4" w:space="0" w:color="auto"/>
              <w:right w:val="single" w:sz="4" w:space="0" w:color="auto"/>
            </w:tcBorders>
            <w:vAlign w:val="bottom"/>
            <w:hideMark/>
          </w:tcPr>
          <w:p w14:paraId="0144B071" w14:textId="6EE0704E" w:rsidR="00075EDE" w:rsidRPr="003D3BBA" w:rsidRDefault="00075EDE" w:rsidP="00F76882">
            <w:pPr>
              <w:pStyle w:val="Tabletext"/>
            </w:pPr>
            <w:r w:rsidRPr="003D3BBA">
              <w:t>Received treatment without screening (E)</w:t>
            </w:r>
          </w:p>
        </w:tc>
        <w:tc>
          <w:tcPr>
            <w:tcW w:w="703" w:type="pct"/>
            <w:tcBorders>
              <w:top w:val="nil"/>
              <w:left w:val="nil"/>
              <w:bottom w:val="single" w:sz="4" w:space="0" w:color="auto"/>
              <w:right w:val="single" w:sz="4" w:space="0" w:color="auto"/>
            </w:tcBorders>
            <w:noWrap/>
            <w:vAlign w:val="bottom"/>
            <w:hideMark/>
          </w:tcPr>
          <w:p w14:paraId="43319047" w14:textId="49AF4F10" w:rsidR="00075EDE" w:rsidRPr="003D3BBA" w:rsidRDefault="00075EDE" w:rsidP="00F76882">
            <w:pPr>
              <w:pStyle w:val="Tabletext"/>
            </w:pPr>
            <w:r w:rsidRPr="003D3BBA">
              <w:t>0</w:t>
            </w:r>
          </w:p>
        </w:tc>
        <w:tc>
          <w:tcPr>
            <w:tcW w:w="703" w:type="pct"/>
            <w:tcBorders>
              <w:top w:val="nil"/>
              <w:left w:val="nil"/>
              <w:bottom w:val="single" w:sz="4" w:space="0" w:color="auto"/>
              <w:right w:val="single" w:sz="4" w:space="0" w:color="auto"/>
            </w:tcBorders>
            <w:noWrap/>
            <w:vAlign w:val="bottom"/>
            <w:hideMark/>
          </w:tcPr>
          <w:p w14:paraId="5F78DA98" w14:textId="69F0DA22" w:rsidR="00075EDE" w:rsidRPr="003D3BBA" w:rsidRDefault="00075EDE" w:rsidP="00F76882">
            <w:pPr>
              <w:pStyle w:val="Tabletext"/>
            </w:pPr>
            <w:r w:rsidRPr="003D3BBA">
              <w:t>0</w:t>
            </w:r>
          </w:p>
        </w:tc>
        <w:tc>
          <w:tcPr>
            <w:tcW w:w="703" w:type="pct"/>
            <w:tcBorders>
              <w:top w:val="nil"/>
              <w:left w:val="nil"/>
              <w:bottom w:val="single" w:sz="4" w:space="0" w:color="auto"/>
              <w:right w:val="single" w:sz="4" w:space="0" w:color="auto"/>
            </w:tcBorders>
            <w:noWrap/>
            <w:vAlign w:val="bottom"/>
            <w:hideMark/>
          </w:tcPr>
          <w:p w14:paraId="3A66E69D" w14:textId="43E7CB8E" w:rsidR="00075EDE" w:rsidRPr="003D3BBA" w:rsidRDefault="00075EDE" w:rsidP="00F76882">
            <w:pPr>
              <w:pStyle w:val="Tabletext"/>
            </w:pPr>
            <w:r w:rsidRPr="003D3BBA">
              <w:t>0</w:t>
            </w:r>
          </w:p>
        </w:tc>
        <w:tc>
          <w:tcPr>
            <w:tcW w:w="703" w:type="pct"/>
            <w:tcBorders>
              <w:top w:val="nil"/>
              <w:left w:val="nil"/>
              <w:bottom w:val="single" w:sz="4" w:space="0" w:color="auto"/>
              <w:right w:val="single" w:sz="4" w:space="0" w:color="auto"/>
            </w:tcBorders>
            <w:noWrap/>
            <w:vAlign w:val="bottom"/>
            <w:hideMark/>
          </w:tcPr>
          <w:p w14:paraId="18A9F65F" w14:textId="6B8926D3" w:rsidR="00075EDE" w:rsidRPr="003D3BBA" w:rsidRDefault="00075EDE" w:rsidP="00F76882">
            <w:pPr>
              <w:pStyle w:val="Tabletext"/>
            </w:pPr>
            <w:r w:rsidRPr="003D3BBA">
              <w:t>0</w:t>
            </w:r>
          </w:p>
        </w:tc>
        <w:tc>
          <w:tcPr>
            <w:tcW w:w="701" w:type="pct"/>
            <w:tcBorders>
              <w:top w:val="nil"/>
              <w:left w:val="nil"/>
              <w:bottom w:val="single" w:sz="4" w:space="0" w:color="auto"/>
              <w:right w:val="single" w:sz="4" w:space="0" w:color="auto"/>
            </w:tcBorders>
            <w:noWrap/>
            <w:vAlign w:val="bottom"/>
            <w:hideMark/>
          </w:tcPr>
          <w:p w14:paraId="4B5D4C1D" w14:textId="1EF95455" w:rsidR="00075EDE" w:rsidRPr="003D3BBA" w:rsidRDefault="00075EDE" w:rsidP="00F76882">
            <w:pPr>
              <w:pStyle w:val="Tabletext"/>
            </w:pPr>
            <w:r w:rsidRPr="003D3BBA">
              <w:t>0</w:t>
            </w:r>
          </w:p>
        </w:tc>
      </w:tr>
      <w:tr w:rsidR="00075EDE" w:rsidRPr="0036007C" w14:paraId="6FDB5009" w14:textId="77777777" w:rsidTr="00075EDE">
        <w:trPr>
          <w:trHeight w:val="580"/>
        </w:trPr>
        <w:tc>
          <w:tcPr>
            <w:tcW w:w="1487" w:type="pct"/>
            <w:tcBorders>
              <w:top w:val="nil"/>
              <w:left w:val="single" w:sz="4" w:space="0" w:color="auto"/>
              <w:bottom w:val="single" w:sz="4" w:space="0" w:color="auto"/>
              <w:right w:val="single" w:sz="4" w:space="0" w:color="auto"/>
            </w:tcBorders>
            <w:shd w:val="clear" w:color="000000" w:fill="BFBFBF"/>
            <w:vAlign w:val="bottom"/>
            <w:hideMark/>
          </w:tcPr>
          <w:p w14:paraId="408D3A41" w14:textId="77777777" w:rsidR="00075EDE" w:rsidRPr="003D3BBA" w:rsidRDefault="00075EDE" w:rsidP="00F76882">
            <w:pPr>
              <w:pStyle w:val="Tabletext"/>
            </w:pPr>
            <w:r w:rsidRPr="003D3BBA">
              <w:t>Screened and/or treated for trachoma (F=C+E)</w:t>
            </w:r>
          </w:p>
        </w:tc>
        <w:tc>
          <w:tcPr>
            <w:tcW w:w="703" w:type="pct"/>
            <w:tcBorders>
              <w:top w:val="nil"/>
              <w:left w:val="nil"/>
              <w:bottom w:val="single" w:sz="4" w:space="0" w:color="auto"/>
              <w:right w:val="single" w:sz="4" w:space="0" w:color="auto"/>
            </w:tcBorders>
            <w:shd w:val="clear" w:color="000000" w:fill="BFBFBF"/>
            <w:noWrap/>
            <w:vAlign w:val="bottom"/>
            <w:hideMark/>
          </w:tcPr>
          <w:p w14:paraId="0500947A" w14:textId="4BF86AA2" w:rsidR="00075EDE" w:rsidRPr="003D3BBA" w:rsidRDefault="00075EDE" w:rsidP="00F76882">
            <w:pPr>
              <w:pStyle w:val="Tabletext"/>
            </w:pPr>
            <w:r w:rsidRPr="003D3BBA">
              <w:t>13</w:t>
            </w:r>
          </w:p>
        </w:tc>
        <w:tc>
          <w:tcPr>
            <w:tcW w:w="703" w:type="pct"/>
            <w:tcBorders>
              <w:top w:val="nil"/>
              <w:left w:val="nil"/>
              <w:bottom w:val="single" w:sz="4" w:space="0" w:color="auto"/>
              <w:right w:val="single" w:sz="4" w:space="0" w:color="auto"/>
            </w:tcBorders>
            <w:shd w:val="clear" w:color="000000" w:fill="BFBFBF"/>
            <w:noWrap/>
            <w:vAlign w:val="bottom"/>
            <w:hideMark/>
          </w:tcPr>
          <w:p w14:paraId="024CBD07" w14:textId="1E4C3F7B" w:rsidR="00075EDE" w:rsidRPr="003D3BBA" w:rsidRDefault="00075EDE" w:rsidP="00F76882">
            <w:pPr>
              <w:pStyle w:val="Tabletext"/>
            </w:pPr>
            <w:r w:rsidRPr="003D3BBA">
              <w:t>4</w:t>
            </w:r>
          </w:p>
        </w:tc>
        <w:tc>
          <w:tcPr>
            <w:tcW w:w="703" w:type="pct"/>
            <w:tcBorders>
              <w:top w:val="nil"/>
              <w:left w:val="nil"/>
              <w:bottom w:val="single" w:sz="4" w:space="0" w:color="auto"/>
              <w:right w:val="single" w:sz="4" w:space="0" w:color="auto"/>
            </w:tcBorders>
            <w:shd w:val="clear" w:color="000000" w:fill="BFBFBF"/>
            <w:noWrap/>
            <w:vAlign w:val="bottom"/>
            <w:hideMark/>
          </w:tcPr>
          <w:p w14:paraId="54FC6B91" w14:textId="2D697E0E" w:rsidR="00075EDE" w:rsidRPr="003D3BBA" w:rsidRDefault="00075EDE" w:rsidP="00F76882">
            <w:pPr>
              <w:pStyle w:val="Tabletext"/>
            </w:pPr>
            <w:r w:rsidRPr="003D3BBA">
              <w:t>3</w:t>
            </w:r>
          </w:p>
        </w:tc>
        <w:tc>
          <w:tcPr>
            <w:tcW w:w="703" w:type="pct"/>
            <w:tcBorders>
              <w:top w:val="nil"/>
              <w:left w:val="nil"/>
              <w:bottom w:val="single" w:sz="4" w:space="0" w:color="auto"/>
              <w:right w:val="single" w:sz="4" w:space="0" w:color="auto"/>
            </w:tcBorders>
            <w:shd w:val="clear" w:color="000000" w:fill="BFBFBF"/>
            <w:noWrap/>
            <w:vAlign w:val="bottom"/>
            <w:hideMark/>
          </w:tcPr>
          <w:p w14:paraId="72B77217" w14:textId="308FCE5C" w:rsidR="00075EDE" w:rsidRPr="003D3BBA" w:rsidRDefault="00075EDE" w:rsidP="00F76882">
            <w:pPr>
              <w:pStyle w:val="Tabletext"/>
            </w:pPr>
            <w:r w:rsidRPr="003D3BBA">
              <w:t>6</w:t>
            </w:r>
          </w:p>
        </w:tc>
        <w:tc>
          <w:tcPr>
            <w:tcW w:w="701" w:type="pct"/>
            <w:tcBorders>
              <w:top w:val="nil"/>
              <w:left w:val="nil"/>
              <w:bottom w:val="single" w:sz="4" w:space="0" w:color="auto"/>
              <w:right w:val="single" w:sz="4" w:space="0" w:color="auto"/>
            </w:tcBorders>
            <w:shd w:val="clear" w:color="000000" w:fill="BFBFBF"/>
            <w:noWrap/>
            <w:vAlign w:val="bottom"/>
            <w:hideMark/>
          </w:tcPr>
          <w:p w14:paraId="02A0DA17" w14:textId="664B0D21" w:rsidR="00075EDE" w:rsidRPr="003D3BBA" w:rsidRDefault="00075EDE" w:rsidP="00F76882">
            <w:pPr>
              <w:pStyle w:val="Tabletext"/>
            </w:pPr>
            <w:r w:rsidRPr="003D3BBA">
              <w:t>26</w:t>
            </w:r>
          </w:p>
        </w:tc>
      </w:tr>
      <w:tr w:rsidR="00075EDE" w:rsidRPr="0036007C" w14:paraId="4979C5F3" w14:textId="77777777" w:rsidTr="00075EDE">
        <w:trPr>
          <w:trHeight w:val="870"/>
        </w:trPr>
        <w:tc>
          <w:tcPr>
            <w:tcW w:w="1487" w:type="pct"/>
            <w:tcBorders>
              <w:top w:val="nil"/>
              <w:left w:val="single" w:sz="4" w:space="0" w:color="auto"/>
              <w:bottom w:val="single" w:sz="4" w:space="0" w:color="auto"/>
              <w:right w:val="single" w:sz="4" w:space="0" w:color="auto"/>
            </w:tcBorders>
            <w:vAlign w:val="bottom"/>
            <w:hideMark/>
          </w:tcPr>
          <w:p w14:paraId="4B9A6581" w14:textId="3EEC01C1" w:rsidR="00075EDE" w:rsidRPr="003D3BBA" w:rsidRDefault="00075EDE" w:rsidP="00F76882">
            <w:pPr>
              <w:pStyle w:val="Tabletext"/>
            </w:pPr>
            <w:r w:rsidRPr="003D3BBA">
              <w:t>Requiring neither screening nor treatment for trachoma (G=A-B-D)</w:t>
            </w:r>
          </w:p>
        </w:tc>
        <w:tc>
          <w:tcPr>
            <w:tcW w:w="703" w:type="pct"/>
            <w:tcBorders>
              <w:top w:val="nil"/>
              <w:left w:val="nil"/>
              <w:bottom w:val="single" w:sz="4" w:space="0" w:color="auto"/>
              <w:right w:val="single" w:sz="4" w:space="0" w:color="auto"/>
            </w:tcBorders>
            <w:noWrap/>
            <w:vAlign w:val="bottom"/>
            <w:hideMark/>
          </w:tcPr>
          <w:p w14:paraId="7D34D68F" w14:textId="05B257FF" w:rsidR="00075EDE" w:rsidRPr="003D3BBA" w:rsidRDefault="00075EDE" w:rsidP="00F76882">
            <w:pPr>
              <w:pStyle w:val="Tabletext"/>
            </w:pPr>
            <w:r w:rsidRPr="003D3BBA">
              <w:t>2</w:t>
            </w:r>
          </w:p>
        </w:tc>
        <w:tc>
          <w:tcPr>
            <w:tcW w:w="703" w:type="pct"/>
            <w:tcBorders>
              <w:top w:val="nil"/>
              <w:left w:val="nil"/>
              <w:bottom w:val="single" w:sz="4" w:space="0" w:color="auto"/>
              <w:right w:val="single" w:sz="4" w:space="0" w:color="auto"/>
            </w:tcBorders>
            <w:noWrap/>
            <w:vAlign w:val="bottom"/>
            <w:hideMark/>
          </w:tcPr>
          <w:p w14:paraId="6F181DD6" w14:textId="16DB433A" w:rsidR="00075EDE" w:rsidRPr="003D3BBA" w:rsidRDefault="00075EDE" w:rsidP="00F76882">
            <w:pPr>
              <w:pStyle w:val="Tabletext"/>
            </w:pPr>
            <w:r w:rsidRPr="003D3BBA">
              <w:t>3</w:t>
            </w:r>
          </w:p>
        </w:tc>
        <w:tc>
          <w:tcPr>
            <w:tcW w:w="703" w:type="pct"/>
            <w:tcBorders>
              <w:top w:val="nil"/>
              <w:left w:val="nil"/>
              <w:bottom w:val="single" w:sz="4" w:space="0" w:color="auto"/>
              <w:right w:val="single" w:sz="4" w:space="0" w:color="auto"/>
            </w:tcBorders>
            <w:noWrap/>
            <w:vAlign w:val="bottom"/>
            <w:hideMark/>
          </w:tcPr>
          <w:p w14:paraId="0B3D9E8B" w14:textId="72181098" w:rsidR="00075EDE" w:rsidRPr="003D3BBA" w:rsidRDefault="00075EDE" w:rsidP="00F76882">
            <w:pPr>
              <w:pStyle w:val="Tabletext"/>
            </w:pPr>
            <w:r w:rsidRPr="003D3BBA">
              <w:t>2</w:t>
            </w:r>
          </w:p>
        </w:tc>
        <w:tc>
          <w:tcPr>
            <w:tcW w:w="703" w:type="pct"/>
            <w:tcBorders>
              <w:top w:val="nil"/>
              <w:left w:val="nil"/>
              <w:bottom w:val="single" w:sz="4" w:space="0" w:color="auto"/>
              <w:right w:val="single" w:sz="4" w:space="0" w:color="auto"/>
            </w:tcBorders>
            <w:noWrap/>
            <w:vAlign w:val="bottom"/>
            <w:hideMark/>
          </w:tcPr>
          <w:p w14:paraId="55F80174" w14:textId="0B7E0879" w:rsidR="00075EDE" w:rsidRPr="003D3BBA" w:rsidRDefault="00075EDE" w:rsidP="00F76882">
            <w:pPr>
              <w:pStyle w:val="Tabletext"/>
            </w:pPr>
            <w:r w:rsidRPr="003D3BBA">
              <w:t>0</w:t>
            </w:r>
          </w:p>
        </w:tc>
        <w:tc>
          <w:tcPr>
            <w:tcW w:w="701" w:type="pct"/>
            <w:tcBorders>
              <w:top w:val="nil"/>
              <w:left w:val="nil"/>
              <w:bottom w:val="single" w:sz="4" w:space="0" w:color="auto"/>
              <w:right w:val="single" w:sz="4" w:space="0" w:color="auto"/>
            </w:tcBorders>
            <w:noWrap/>
            <w:vAlign w:val="bottom"/>
            <w:hideMark/>
          </w:tcPr>
          <w:p w14:paraId="265C9982" w14:textId="138034DA" w:rsidR="00075EDE" w:rsidRPr="003D3BBA" w:rsidRDefault="00075EDE" w:rsidP="00F76882">
            <w:pPr>
              <w:pStyle w:val="Tabletext"/>
            </w:pPr>
            <w:r w:rsidRPr="003D3BBA">
              <w:t>7</w:t>
            </w:r>
          </w:p>
        </w:tc>
      </w:tr>
    </w:tbl>
    <w:p w14:paraId="1C11C400" w14:textId="7C46C151" w:rsidR="00DF00CD" w:rsidRPr="00A33DD2" w:rsidRDefault="00DF00CD" w:rsidP="00F76882">
      <w:pPr>
        <w:pStyle w:val="tablefigfootnote"/>
      </w:pPr>
      <w:r w:rsidRPr="00A33DD2">
        <w:t>* As defined by each jurisdiction</w:t>
      </w:r>
      <w:r w:rsidR="009F6DF5" w:rsidRPr="00A33DD2">
        <w:t>.</w:t>
      </w:r>
    </w:p>
    <w:p w14:paraId="7098F5DC" w14:textId="2B8BF023" w:rsidR="00DF00CD" w:rsidRPr="00A33DD2" w:rsidRDefault="00E6338B" w:rsidP="00F76882">
      <w:pPr>
        <w:pStyle w:val="tablefigfootnote"/>
      </w:pPr>
      <w:r w:rsidRPr="006043C2">
        <w:t>†</w:t>
      </w:r>
      <w:r w:rsidR="00DF00CD" w:rsidRPr="00A33DD2">
        <w:t>As per CDNA Guidelines</w:t>
      </w:r>
      <w:r w:rsidR="009F6DF5" w:rsidRPr="00A33DD2">
        <w:t>.</w:t>
      </w:r>
    </w:p>
    <w:p w14:paraId="162BE530" w14:textId="77777777" w:rsidR="00E3767F" w:rsidRPr="00F76882" w:rsidRDefault="00E3767F" w:rsidP="00F76882">
      <w:pPr>
        <w:sectPr w:rsidR="00E3767F" w:rsidRPr="00F76882" w:rsidSect="00C04CBB">
          <w:headerReference w:type="even" r:id="rId63"/>
          <w:headerReference w:type="default" r:id="rId64"/>
          <w:footerReference w:type="default" r:id="rId65"/>
          <w:headerReference w:type="first" r:id="rId66"/>
          <w:pgSz w:w="11906" w:h="16838"/>
          <w:pgMar w:top="720" w:right="720" w:bottom="720" w:left="720" w:header="709" w:footer="709" w:gutter="0"/>
          <w:cols w:space="708"/>
          <w:docGrid w:linePitch="360"/>
        </w:sectPr>
      </w:pPr>
    </w:p>
    <w:p w14:paraId="2D041F35" w14:textId="7646054A" w:rsidR="00E3767F" w:rsidRPr="0036007C" w:rsidRDefault="00E3767F" w:rsidP="00F76882">
      <w:pPr>
        <w:pStyle w:val="Tableheadings"/>
      </w:pPr>
      <w:bookmarkStart w:id="384" w:name="_Table_4.2_Trachoma"/>
      <w:bookmarkStart w:id="385" w:name="_Ref58336759"/>
      <w:bookmarkStart w:id="386" w:name="_Toc392153933"/>
      <w:bookmarkStart w:id="387" w:name="_Toc215224717"/>
      <w:bookmarkEnd w:id="384"/>
      <w:r w:rsidRPr="0036007C">
        <w:t xml:space="preserve">Table </w:t>
      </w:r>
      <w:r w:rsidR="00814019" w:rsidRPr="0036007C">
        <w:t>5</w:t>
      </w:r>
      <w:r w:rsidRPr="0036007C">
        <w:t>.</w:t>
      </w:r>
      <w:r w:rsidRPr="0036007C">
        <w:fldChar w:fldCharType="begin"/>
      </w:r>
      <w:r w:rsidRPr="0036007C">
        <w:instrText>SEQ Table \* ARABIC \s 1</w:instrText>
      </w:r>
      <w:r w:rsidRPr="0036007C">
        <w:fldChar w:fldCharType="separate"/>
      </w:r>
      <w:r w:rsidRPr="0036007C">
        <w:t>2</w:t>
      </w:r>
      <w:r w:rsidRPr="0036007C">
        <w:fldChar w:fldCharType="end"/>
      </w:r>
      <w:bookmarkEnd w:id="385"/>
      <w:r w:rsidRPr="0036007C">
        <w:tab/>
        <w:t>Trachoma screening coverage, trachoma prevalence</w:t>
      </w:r>
      <w:r w:rsidR="0088798F" w:rsidRPr="0036007C">
        <w:t xml:space="preserve">, and </w:t>
      </w:r>
      <w:r w:rsidRPr="0036007C">
        <w:t xml:space="preserve">clean face </w:t>
      </w:r>
      <w:r w:rsidR="004B764C" w:rsidRPr="0036007C">
        <w:t xml:space="preserve">proportion </w:t>
      </w:r>
      <w:r w:rsidR="004722F4" w:rsidRPr="0036007C">
        <w:t>in children aged 5</w:t>
      </w:r>
      <w:r w:rsidR="003D00CE" w:rsidRPr="0036007C">
        <w:t>–</w:t>
      </w:r>
      <w:r w:rsidR="004722F4" w:rsidRPr="0036007C">
        <w:t xml:space="preserve">9 years </w:t>
      </w:r>
      <w:r w:rsidRPr="0036007C">
        <w:t>by region, Western Australia</w:t>
      </w:r>
      <w:r w:rsidR="00C6767F" w:rsidRPr="0036007C">
        <w:t>,</w:t>
      </w:r>
      <w:r w:rsidRPr="0036007C">
        <w:t xml:space="preserve"> </w:t>
      </w:r>
      <w:r w:rsidR="00E76BB4" w:rsidRPr="0036007C">
        <w:t>202</w:t>
      </w:r>
      <w:r w:rsidR="00050459" w:rsidRPr="0036007C">
        <w:t>4</w:t>
      </w:r>
      <w:bookmarkEnd w:id="387"/>
    </w:p>
    <w:tbl>
      <w:tblPr>
        <w:tblW w:w="5000" w:type="pct"/>
        <w:tblLook w:val="04A0" w:firstRow="1" w:lastRow="0" w:firstColumn="1" w:lastColumn="0" w:noHBand="0" w:noVBand="1"/>
        <w:tblCaption w:val="Trachoma screening coverage, trachoma prevalence, and clean face proportion in children aged 5‑9 years by region, Western Australia, 2024"/>
        <w:tblDescription w:val="Table 5.2 compares the numbers and proportions of children in communities screened for trachoma and facial cleanliness. Data is presented for the Goldfields, Kimberley, Midwest, Pilbara, and the cumulative total.&#10;"/>
      </w:tblPr>
      <w:tblGrid>
        <w:gridCol w:w="3525"/>
        <w:gridCol w:w="1387"/>
        <w:gridCol w:w="1386"/>
        <w:gridCol w:w="1386"/>
        <w:gridCol w:w="1386"/>
        <w:gridCol w:w="1386"/>
      </w:tblGrid>
      <w:tr w:rsidR="00046C9F" w:rsidRPr="0036007C" w14:paraId="5E8E2551" w14:textId="77777777" w:rsidTr="004609FA">
        <w:trPr>
          <w:trHeight w:val="290"/>
          <w:tblHeader/>
        </w:trPr>
        <w:tc>
          <w:tcPr>
            <w:tcW w:w="168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C2F5D1F" w14:textId="77777777" w:rsidR="00046C9F" w:rsidRPr="0036007C" w:rsidRDefault="00046C9F" w:rsidP="00F76882">
            <w:pPr>
              <w:pStyle w:val="Tableheading"/>
              <w:rPr>
                <w:lang w:eastAsia="en-AU"/>
              </w:rPr>
            </w:pPr>
            <w:r w:rsidRPr="0036007C">
              <w:t> </w:t>
            </w:r>
          </w:p>
        </w:tc>
        <w:tc>
          <w:tcPr>
            <w:tcW w:w="663" w:type="pct"/>
            <w:tcBorders>
              <w:top w:val="single" w:sz="4" w:space="0" w:color="auto"/>
              <w:left w:val="nil"/>
              <w:bottom w:val="single" w:sz="4" w:space="0" w:color="auto"/>
              <w:right w:val="single" w:sz="4" w:space="0" w:color="auto"/>
            </w:tcBorders>
            <w:shd w:val="clear" w:color="000000" w:fill="BFBFBF"/>
            <w:noWrap/>
            <w:vAlign w:val="bottom"/>
            <w:hideMark/>
          </w:tcPr>
          <w:p w14:paraId="30142CAE" w14:textId="77777777" w:rsidR="00046C9F" w:rsidRPr="0036007C" w:rsidRDefault="00046C9F" w:rsidP="00F76882">
            <w:pPr>
              <w:pStyle w:val="Tableheading"/>
            </w:pPr>
            <w:r w:rsidRPr="0036007C">
              <w:t>Goldfields</w:t>
            </w:r>
          </w:p>
        </w:tc>
        <w:tc>
          <w:tcPr>
            <w:tcW w:w="663" w:type="pct"/>
            <w:tcBorders>
              <w:top w:val="single" w:sz="4" w:space="0" w:color="auto"/>
              <w:left w:val="nil"/>
              <w:bottom w:val="single" w:sz="4" w:space="0" w:color="auto"/>
              <w:right w:val="single" w:sz="4" w:space="0" w:color="auto"/>
            </w:tcBorders>
            <w:shd w:val="clear" w:color="000000" w:fill="BFBFBF"/>
            <w:noWrap/>
            <w:vAlign w:val="bottom"/>
            <w:hideMark/>
          </w:tcPr>
          <w:p w14:paraId="1102CE74" w14:textId="77777777" w:rsidR="00046C9F" w:rsidRPr="0036007C" w:rsidRDefault="00046C9F" w:rsidP="00F76882">
            <w:pPr>
              <w:pStyle w:val="Tableheading"/>
            </w:pPr>
            <w:r w:rsidRPr="0036007C">
              <w:t>Kimberley</w:t>
            </w:r>
          </w:p>
        </w:tc>
        <w:tc>
          <w:tcPr>
            <w:tcW w:w="663" w:type="pct"/>
            <w:tcBorders>
              <w:top w:val="single" w:sz="4" w:space="0" w:color="auto"/>
              <w:left w:val="nil"/>
              <w:bottom w:val="single" w:sz="4" w:space="0" w:color="auto"/>
              <w:right w:val="single" w:sz="4" w:space="0" w:color="auto"/>
            </w:tcBorders>
            <w:shd w:val="clear" w:color="000000" w:fill="BFBFBF"/>
            <w:noWrap/>
            <w:vAlign w:val="bottom"/>
            <w:hideMark/>
          </w:tcPr>
          <w:p w14:paraId="33B6F74E" w14:textId="77777777" w:rsidR="00046C9F" w:rsidRPr="0036007C" w:rsidRDefault="00046C9F" w:rsidP="00F76882">
            <w:pPr>
              <w:pStyle w:val="Tableheading"/>
            </w:pPr>
            <w:r w:rsidRPr="0036007C">
              <w:t>Midwest</w:t>
            </w:r>
          </w:p>
        </w:tc>
        <w:tc>
          <w:tcPr>
            <w:tcW w:w="663" w:type="pct"/>
            <w:tcBorders>
              <w:top w:val="single" w:sz="4" w:space="0" w:color="auto"/>
              <w:left w:val="nil"/>
              <w:bottom w:val="single" w:sz="4" w:space="0" w:color="auto"/>
              <w:right w:val="single" w:sz="4" w:space="0" w:color="auto"/>
            </w:tcBorders>
            <w:shd w:val="clear" w:color="000000" w:fill="BFBFBF"/>
            <w:noWrap/>
            <w:vAlign w:val="bottom"/>
            <w:hideMark/>
          </w:tcPr>
          <w:p w14:paraId="0D3A49E6" w14:textId="77777777" w:rsidR="00046C9F" w:rsidRPr="0036007C" w:rsidRDefault="00046C9F" w:rsidP="00F76882">
            <w:pPr>
              <w:pStyle w:val="Tableheading"/>
            </w:pPr>
            <w:r w:rsidRPr="0036007C">
              <w:t>Pilbara</w:t>
            </w:r>
          </w:p>
        </w:tc>
        <w:tc>
          <w:tcPr>
            <w:tcW w:w="663" w:type="pct"/>
            <w:tcBorders>
              <w:top w:val="single" w:sz="4" w:space="0" w:color="auto"/>
              <w:left w:val="nil"/>
              <w:bottom w:val="single" w:sz="4" w:space="0" w:color="auto"/>
              <w:right w:val="single" w:sz="4" w:space="0" w:color="auto"/>
            </w:tcBorders>
            <w:shd w:val="clear" w:color="000000" w:fill="BFBFBF"/>
            <w:noWrap/>
            <w:vAlign w:val="bottom"/>
            <w:hideMark/>
          </w:tcPr>
          <w:p w14:paraId="1031B8E0" w14:textId="77777777" w:rsidR="00046C9F" w:rsidRPr="0036007C" w:rsidRDefault="00046C9F" w:rsidP="00F76882">
            <w:pPr>
              <w:pStyle w:val="Tableheading"/>
            </w:pPr>
            <w:r w:rsidRPr="0036007C">
              <w:t>Total</w:t>
            </w:r>
          </w:p>
        </w:tc>
      </w:tr>
      <w:tr w:rsidR="00D433D2" w:rsidRPr="0036007C" w14:paraId="72B775CD" w14:textId="77777777" w:rsidTr="00D433D2">
        <w:trPr>
          <w:trHeight w:val="290"/>
        </w:trPr>
        <w:tc>
          <w:tcPr>
            <w:tcW w:w="1685" w:type="pct"/>
            <w:tcBorders>
              <w:top w:val="nil"/>
              <w:left w:val="single" w:sz="4" w:space="0" w:color="auto"/>
              <w:bottom w:val="single" w:sz="4" w:space="0" w:color="auto"/>
              <w:right w:val="single" w:sz="4" w:space="0" w:color="auto"/>
            </w:tcBorders>
            <w:vAlign w:val="bottom"/>
            <w:hideMark/>
          </w:tcPr>
          <w:p w14:paraId="0E3A7A42" w14:textId="77777777" w:rsidR="00D433D2" w:rsidRPr="0036007C" w:rsidRDefault="00D433D2" w:rsidP="00F76882">
            <w:pPr>
              <w:pStyle w:val="Tabletextleft"/>
            </w:pPr>
            <w:r w:rsidRPr="0036007C">
              <w:t>Number of communities screened</w:t>
            </w:r>
          </w:p>
        </w:tc>
        <w:tc>
          <w:tcPr>
            <w:tcW w:w="663" w:type="pct"/>
            <w:tcBorders>
              <w:top w:val="nil"/>
              <w:left w:val="nil"/>
              <w:bottom w:val="single" w:sz="4" w:space="0" w:color="auto"/>
              <w:right w:val="single" w:sz="4" w:space="0" w:color="auto"/>
            </w:tcBorders>
            <w:noWrap/>
            <w:vAlign w:val="bottom"/>
          </w:tcPr>
          <w:p w14:paraId="7470E3AE" w14:textId="60B782A3" w:rsidR="00D433D2" w:rsidRPr="0036007C" w:rsidRDefault="00D433D2" w:rsidP="00F76882">
            <w:pPr>
              <w:pStyle w:val="Tabletext"/>
            </w:pPr>
            <w:r w:rsidRPr="0036007C">
              <w:t>13</w:t>
            </w:r>
          </w:p>
        </w:tc>
        <w:tc>
          <w:tcPr>
            <w:tcW w:w="663" w:type="pct"/>
            <w:tcBorders>
              <w:top w:val="nil"/>
              <w:left w:val="nil"/>
              <w:bottom w:val="single" w:sz="4" w:space="0" w:color="auto"/>
              <w:right w:val="single" w:sz="4" w:space="0" w:color="auto"/>
            </w:tcBorders>
            <w:noWrap/>
            <w:vAlign w:val="bottom"/>
          </w:tcPr>
          <w:p w14:paraId="29DB82C6" w14:textId="7B1B95CE" w:rsidR="00D433D2" w:rsidRPr="0036007C" w:rsidRDefault="00D433D2" w:rsidP="00F76882">
            <w:pPr>
              <w:pStyle w:val="Tabletext"/>
            </w:pPr>
            <w:r w:rsidRPr="0036007C">
              <w:t>4</w:t>
            </w:r>
          </w:p>
        </w:tc>
        <w:tc>
          <w:tcPr>
            <w:tcW w:w="663" w:type="pct"/>
            <w:tcBorders>
              <w:top w:val="nil"/>
              <w:left w:val="nil"/>
              <w:bottom w:val="single" w:sz="4" w:space="0" w:color="auto"/>
              <w:right w:val="single" w:sz="4" w:space="0" w:color="auto"/>
            </w:tcBorders>
            <w:noWrap/>
            <w:vAlign w:val="bottom"/>
          </w:tcPr>
          <w:p w14:paraId="6534A372" w14:textId="6C4F03EF" w:rsidR="00D433D2" w:rsidRPr="0036007C" w:rsidRDefault="00D433D2" w:rsidP="00F76882">
            <w:pPr>
              <w:pStyle w:val="Tabletext"/>
            </w:pPr>
            <w:r w:rsidRPr="0036007C">
              <w:t>3</w:t>
            </w:r>
          </w:p>
        </w:tc>
        <w:tc>
          <w:tcPr>
            <w:tcW w:w="663" w:type="pct"/>
            <w:tcBorders>
              <w:top w:val="nil"/>
              <w:left w:val="nil"/>
              <w:bottom w:val="single" w:sz="4" w:space="0" w:color="auto"/>
              <w:right w:val="single" w:sz="4" w:space="0" w:color="auto"/>
            </w:tcBorders>
            <w:noWrap/>
            <w:vAlign w:val="bottom"/>
          </w:tcPr>
          <w:p w14:paraId="2F6F2B20" w14:textId="2E56CAA8" w:rsidR="00D433D2" w:rsidRPr="0036007C" w:rsidRDefault="00D433D2" w:rsidP="00F76882">
            <w:pPr>
              <w:pStyle w:val="Tabletext"/>
            </w:pPr>
            <w:r w:rsidRPr="0036007C">
              <w:t>6</w:t>
            </w:r>
          </w:p>
        </w:tc>
        <w:tc>
          <w:tcPr>
            <w:tcW w:w="663" w:type="pct"/>
            <w:tcBorders>
              <w:top w:val="nil"/>
              <w:left w:val="nil"/>
              <w:bottom w:val="single" w:sz="4" w:space="0" w:color="auto"/>
              <w:right w:val="single" w:sz="4" w:space="0" w:color="auto"/>
            </w:tcBorders>
            <w:noWrap/>
            <w:vAlign w:val="bottom"/>
          </w:tcPr>
          <w:p w14:paraId="56D634E1" w14:textId="52A958FC" w:rsidR="00D433D2" w:rsidRPr="0036007C" w:rsidRDefault="00D433D2" w:rsidP="00F76882">
            <w:pPr>
              <w:pStyle w:val="Tabletext"/>
            </w:pPr>
            <w:r w:rsidRPr="0036007C">
              <w:t>26</w:t>
            </w:r>
          </w:p>
        </w:tc>
      </w:tr>
      <w:tr w:rsidR="00D433D2" w:rsidRPr="0036007C" w14:paraId="7C61D657" w14:textId="77777777" w:rsidTr="00D433D2">
        <w:trPr>
          <w:trHeight w:val="580"/>
        </w:trPr>
        <w:tc>
          <w:tcPr>
            <w:tcW w:w="1685" w:type="pct"/>
            <w:tcBorders>
              <w:top w:val="nil"/>
              <w:left w:val="single" w:sz="4" w:space="0" w:color="auto"/>
              <w:bottom w:val="single" w:sz="4" w:space="0" w:color="auto"/>
              <w:right w:val="single" w:sz="4" w:space="0" w:color="auto"/>
            </w:tcBorders>
            <w:shd w:val="clear" w:color="000000" w:fill="BFBFBF"/>
            <w:vAlign w:val="bottom"/>
            <w:hideMark/>
          </w:tcPr>
          <w:p w14:paraId="032F200E" w14:textId="77777777" w:rsidR="00D433D2" w:rsidRPr="0036007C" w:rsidRDefault="00D433D2" w:rsidP="00F76882">
            <w:pPr>
              <w:pStyle w:val="Tabletextleft"/>
            </w:pPr>
            <w:r w:rsidRPr="0036007C">
              <w:t>Estimated number* of Aboriginal children in communities</w:t>
            </w:r>
          </w:p>
        </w:tc>
        <w:tc>
          <w:tcPr>
            <w:tcW w:w="663" w:type="pct"/>
            <w:tcBorders>
              <w:top w:val="nil"/>
              <w:left w:val="nil"/>
              <w:bottom w:val="single" w:sz="4" w:space="0" w:color="auto"/>
              <w:right w:val="single" w:sz="4" w:space="0" w:color="auto"/>
            </w:tcBorders>
            <w:shd w:val="clear" w:color="000000" w:fill="BFBFBF"/>
            <w:noWrap/>
            <w:vAlign w:val="bottom"/>
          </w:tcPr>
          <w:p w14:paraId="41ED5FD3" w14:textId="45C7A01A" w:rsidR="00D433D2" w:rsidRPr="0036007C" w:rsidRDefault="00D433D2" w:rsidP="00F76882">
            <w:pPr>
              <w:pStyle w:val="Tabletext"/>
            </w:pPr>
            <w:r w:rsidRPr="0036007C">
              <w:t>113</w:t>
            </w:r>
          </w:p>
        </w:tc>
        <w:tc>
          <w:tcPr>
            <w:tcW w:w="663" w:type="pct"/>
            <w:tcBorders>
              <w:top w:val="nil"/>
              <w:left w:val="nil"/>
              <w:bottom w:val="single" w:sz="4" w:space="0" w:color="auto"/>
              <w:right w:val="single" w:sz="4" w:space="0" w:color="auto"/>
            </w:tcBorders>
            <w:shd w:val="clear" w:color="000000" w:fill="BFBFBF"/>
            <w:noWrap/>
            <w:vAlign w:val="bottom"/>
          </w:tcPr>
          <w:p w14:paraId="4A81F7F9" w14:textId="1655D625" w:rsidR="00D433D2" w:rsidRPr="0036007C" w:rsidRDefault="00D433D2" w:rsidP="00F76882">
            <w:pPr>
              <w:pStyle w:val="Tabletext"/>
            </w:pPr>
            <w:r w:rsidRPr="0036007C">
              <w:t>133</w:t>
            </w:r>
          </w:p>
        </w:tc>
        <w:tc>
          <w:tcPr>
            <w:tcW w:w="663" w:type="pct"/>
            <w:tcBorders>
              <w:top w:val="nil"/>
              <w:left w:val="nil"/>
              <w:bottom w:val="single" w:sz="4" w:space="0" w:color="auto"/>
              <w:right w:val="single" w:sz="4" w:space="0" w:color="auto"/>
            </w:tcBorders>
            <w:shd w:val="clear" w:color="000000" w:fill="BFBFBF"/>
            <w:noWrap/>
            <w:vAlign w:val="bottom"/>
          </w:tcPr>
          <w:p w14:paraId="7712DF86" w14:textId="760514F7" w:rsidR="00D433D2" w:rsidRPr="0036007C" w:rsidRDefault="00D433D2" w:rsidP="00F76882">
            <w:pPr>
              <w:pStyle w:val="Tabletext"/>
            </w:pPr>
            <w:r w:rsidRPr="0036007C">
              <w:t>18</w:t>
            </w:r>
          </w:p>
        </w:tc>
        <w:tc>
          <w:tcPr>
            <w:tcW w:w="663" w:type="pct"/>
            <w:tcBorders>
              <w:top w:val="nil"/>
              <w:left w:val="nil"/>
              <w:bottom w:val="single" w:sz="4" w:space="0" w:color="auto"/>
              <w:right w:val="single" w:sz="4" w:space="0" w:color="auto"/>
            </w:tcBorders>
            <w:shd w:val="clear" w:color="000000" w:fill="BFBFBF"/>
            <w:noWrap/>
            <w:vAlign w:val="bottom"/>
          </w:tcPr>
          <w:p w14:paraId="2A16103E" w14:textId="3C024B88" w:rsidR="00D433D2" w:rsidRPr="0036007C" w:rsidRDefault="00D433D2" w:rsidP="00F76882">
            <w:pPr>
              <w:pStyle w:val="Tabletext"/>
            </w:pPr>
            <w:r w:rsidRPr="0036007C">
              <w:t>56</w:t>
            </w:r>
          </w:p>
        </w:tc>
        <w:tc>
          <w:tcPr>
            <w:tcW w:w="663" w:type="pct"/>
            <w:tcBorders>
              <w:top w:val="nil"/>
              <w:left w:val="nil"/>
              <w:bottom w:val="single" w:sz="4" w:space="0" w:color="auto"/>
              <w:right w:val="single" w:sz="4" w:space="0" w:color="auto"/>
            </w:tcBorders>
            <w:shd w:val="clear" w:color="000000" w:fill="BFBFBF"/>
            <w:noWrap/>
            <w:vAlign w:val="bottom"/>
          </w:tcPr>
          <w:p w14:paraId="2B79D80B" w14:textId="3F18675D" w:rsidR="00D433D2" w:rsidRPr="0036007C" w:rsidRDefault="00D433D2" w:rsidP="00F76882">
            <w:pPr>
              <w:pStyle w:val="Tabletext"/>
            </w:pPr>
            <w:r w:rsidRPr="0036007C">
              <w:t>320</w:t>
            </w:r>
          </w:p>
        </w:tc>
      </w:tr>
      <w:tr w:rsidR="00D433D2" w:rsidRPr="0036007C" w14:paraId="327BDE3E" w14:textId="77777777" w:rsidTr="00D433D2">
        <w:trPr>
          <w:trHeight w:val="290"/>
        </w:trPr>
        <w:tc>
          <w:tcPr>
            <w:tcW w:w="1685" w:type="pct"/>
            <w:tcBorders>
              <w:top w:val="nil"/>
              <w:left w:val="single" w:sz="4" w:space="0" w:color="auto"/>
              <w:bottom w:val="single" w:sz="4" w:space="0" w:color="auto"/>
              <w:right w:val="single" w:sz="4" w:space="0" w:color="auto"/>
            </w:tcBorders>
            <w:vAlign w:val="bottom"/>
            <w:hideMark/>
          </w:tcPr>
          <w:p w14:paraId="5068B839" w14:textId="77777777" w:rsidR="00D433D2" w:rsidRPr="0036007C" w:rsidRDefault="00D433D2" w:rsidP="00F76882">
            <w:pPr>
              <w:pStyle w:val="Tabletextleft"/>
            </w:pPr>
            <w:r w:rsidRPr="0036007C">
              <w:t>Children examined for clean face</w:t>
            </w:r>
          </w:p>
        </w:tc>
        <w:tc>
          <w:tcPr>
            <w:tcW w:w="663" w:type="pct"/>
            <w:tcBorders>
              <w:top w:val="nil"/>
              <w:left w:val="nil"/>
              <w:bottom w:val="single" w:sz="4" w:space="0" w:color="auto"/>
              <w:right w:val="single" w:sz="4" w:space="0" w:color="auto"/>
            </w:tcBorders>
            <w:noWrap/>
            <w:vAlign w:val="bottom"/>
          </w:tcPr>
          <w:p w14:paraId="5C703CD8" w14:textId="26423527" w:rsidR="00D433D2" w:rsidRPr="0036007C" w:rsidRDefault="00D433D2" w:rsidP="00F76882">
            <w:pPr>
              <w:pStyle w:val="Tabletext"/>
            </w:pPr>
            <w:r w:rsidRPr="0036007C">
              <w:t>108</w:t>
            </w:r>
          </w:p>
        </w:tc>
        <w:tc>
          <w:tcPr>
            <w:tcW w:w="663" w:type="pct"/>
            <w:tcBorders>
              <w:top w:val="nil"/>
              <w:left w:val="nil"/>
              <w:bottom w:val="single" w:sz="4" w:space="0" w:color="auto"/>
              <w:right w:val="single" w:sz="4" w:space="0" w:color="auto"/>
            </w:tcBorders>
            <w:noWrap/>
            <w:vAlign w:val="bottom"/>
          </w:tcPr>
          <w:p w14:paraId="58DB1803" w14:textId="54FDCEE4" w:rsidR="00D433D2" w:rsidRPr="0036007C" w:rsidRDefault="00D433D2" w:rsidP="00F76882">
            <w:pPr>
              <w:pStyle w:val="Tabletext"/>
            </w:pPr>
            <w:r w:rsidRPr="0036007C">
              <w:t>115</w:t>
            </w:r>
          </w:p>
        </w:tc>
        <w:tc>
          <w:tcPr>
            <w:tcW w:w="663" w:type="pct"/>
            <w:tcBorders>
              <w:top w:val="nil"/>
              <w:left w:val="nil"/>
              <w:bottom w:val="single" w:sz="4" w:space="0" w:color="auto"/>
              <w:right w:val="single" w:sz="4" w:space="0" w:color="auto"/>
            </w:tcBorders>
            <w:noWrap/>
            <w:vAlign w:val="bottom"/>
          </w:tcPr>
          <w:p w14:paraId="68351A5B" w14:textId="27F6E3BC" w:rsidR="00D433D2" w:rsidRPr="0036007C" w:rsidRDefault="00D433D2" w:rsidP="00F76882">
            <w:pPr>
              <w:pStyle w:val="Tabletext"/>
            </w:pPr>
            <w:r w:rsidRPr="0036007C">
              <w:t>18</w:t>
            </w:r>
          </w:p>
        </w:tc>
        <w:tc>
          <w:tcPr>
            <w:tcW w:w="663" w:type="pct"/>
            <w:tcBorders>
              <w:top w:val="nil"/>
              <w:left w:val="nil"/>
              <w:bottom w:val="single" w:sz="4" w:space="0" w:color="auto"/>
              <w:right w:val="single" w:sz="4" w:space="0" w:color="auto"/>
            </w:tcBorders>
            <w:noWrap/>
            <w:vAlign w:val="bottom"/>
          </w:tcPr>
          <w:p w14:paraId="58410B25" w14:textId="458B7425" w:rsidR="00D433D2" w:rsidRPr="0036007C" w:rsidRDefault="00D433D2" w:rsidP="00F76882">
            <w:pPr>
              <w:pStyle w:val="Tabletext"/>
            </w:pPr>
            <w:r w:rsidRPr="0036007C">
              <w:t>55</w:t>
            </w:r>
          </w:p>
        </w:tc>
        <w:tc>
          <w:tcPr>
            <w:tcW w:w="663" w:type="pct"/>
            <w:tcBorders>
              <w:top w:val="nil"/>
              <w:left w:val="nil"/>
              <w:bottom w:val="single" w:sz="4" w:space="0" w:color="auto"/>
              <w:right w:val="single" w:sz="4" w:space="0" w:color="auto"/>
            </w:tcBorders>
            <w:noWrap/>
            <w:vAlign w:val="bottom"/>
          </w:tcPr>
          <w:p w14:paraId="52556E78" w14:textId="11F388E9" w:rsidR="00D433D2" w:rsidRPr="0036007C" w:rsidRDefault="00D433D2" w:rsidP="00F76882">
            <w:pPr>
              <w:pStyle w:val="Tabletext"/>
            </w:pPr>
            <w:r w:rsidRPr="0036007C">
              <w:t>296</w:t>
            </w:r>
          </w:p>
        </w:tc>
      </w:tr>
      <w:tr w:rsidR="00D433D2" w:rsidRPr="0036007C" w14:paraId="4C09FA7D" w14:textId="77777777" w:rsidTr="00D433D2">
        <w:trPr>
          <w:trHeight w:val="290"/>
        </w:trPr>
        <w:tc>
          <w:tcPr>
            <w:tcW w:w="1685" w:type="pct"/>
            <w:tcBorders>
              <w:top w:val="nil"/>
              <w:left w:val="single" w:sz="4" w:space="0" w:color="auto"/>
              <w:bottom w:val="single" w:sz="4" w:space="0" w:color="auto"/>
              <w:right w:val="single" w:sz="4" w:space="0" w:color="auto"/>
            </w:tcBorders>
            <w:shd w:val="clear" w:color="000000" w:fill="BFBFBF"/>
            <w:vAlign w:val="bottom"/>
            <w:hideMark/>
          </w:tcPr>
          <w:p w14:paraId="5509B289" w14:textId="77777777" w:rsidR="00D433D2" w:rsidRPr="0036007C" w:rsidRDefault="00D433D2" w:rsidP="00F76882">
            <w:pPr>
              <w:pStyle w:val="Tabletextleft"/>
            </w:pPr>
            <w:r w:rsidRPr="0036007C">
              <w:t>Children with clean face</w:t>
            </w:r>
          </w:p>
        </w:tc>
        <w:tc>
          <w:tcPr>
            <w:tcW w:w="663" w:type="pct"/>
            <w:tcBorders>
              <w:top w:val="nil"/>
              <w:left w:val="nil"/>
              <w:bottom w:val="single" w:sz="4" w:space="0" w:color="auto"/>
              <w:right w:val="single" w:sz="4" w:space="0" w:color="auto"/>
            </w:tcBorders>
            <w:shd w:val="clear" w:color="000000" w:fill="BFBFBF"/>
            <w:noWrap/>
            <w:vAlign w:val="bottom"/>
          </w:tcPr>
          <w:p w14:paraId="70130C94" w14:textId="46D8017A" w:rsidR="00D433D2" w:rsidRPr="0036007C" w:rsidRDefault="00D433D2" w:rsidP="00F76882">
            <w:pPr>
              <w:pStyle w:val="Tabletext"/>
            </w:pPr>
            <w:r w:rsidRPr="0036007C">
              <w:t>86</w:t>
            </w:r>
          </w:p>
        </w:tc>
        <w:tc>
          <w:tcPr>
            <w:tcW w:w="663" w:type="pct"/>
            <w:tcBorders>
              <w:top w:val="nil"/>
              <w:left w:val="nil"/>
              <w:bottom w:val="single" w:sz="4" w:space="0" w:color="auto"/>
              <w:right w:val="single" w:sz="4" w:space="0" w:color="auto"/>
            </w:tcBorders>
            <w:shd w:val="clear" w:color="000000" w:fill="BFBFBF"/>
            <w:noWrap/>
            <w:vAlign w:val="bottom"/>
          </w:tcPr>
          <w:p w14:paraId="25D68FAA" w14:textId="67BD6CF3" w:rsidR="00D433D2" w:rsidRPr="0036007C" w:rsidRDefault="00D433D2" w:rsidP="00F76882">
            <w:pPr>
              <w:pStyle w:val="Tabletext"/>
            </w:pPr>
            <w:r w:rsidRPr="0036007C">
              <w:t>103</w:t>
            </w:r>
          </w:p>
        </w:tc>
        <w:tc>
          <w:tcPr>
            <w:tcW w:w="663" w:type="pct"/>
            <w:tcBorders>
              <w:top w:val="nil"/>
              <w:left w:val="nil"/>
              <w:bottom w:val="single" w:sz="4" w:space="0" w:color="auto"/>
              <w:right w:val="single" w:sz="4" w:space="0" w:color="auto"/>
            </w:tcBorders>
            <w:shd w:val="clear" w:color="000000" w:fill="BFBFBF"/>
            <w:noWrap/>
            <w:vAlign w:val="bottom"/>
          </w:tcPr>
          <w:p w14:paraId="33523703" w14:textId="690998FE" w:rsidR="00D433D2" w:rsidRPr="0036007C" w:rsidRDefault="00D433D2" w:rsidP="00F76882">
            <w:pPr>
              <w:pStyle w:val="Tabletext"/>
            </w:pPr>
            <w:r w:rsidRPr="0036007C">
              <w:t>12</w:t>
            </w:r>
          </w:p>
        </w:tc>
        <w:tc>
          <w:tcPr>
            <w:tcW w:w="663" w:type="pct"/>
            <w:tcBorders>
              <w:top w:val="nil"/>
              <w:left w:val="nil"/>
              <w:bottom w:val="single" w:sz="4" w:space="0" w:color="auto"/>
              <w:right w:val="single" w:sz="4" w:space="0" w:color="auto"/>
            </w:tcBorders>
            <w:shd w:val="clear" w:color="000000" w:fill="BFBFBF"/>
            <w:noWrap/>
            <w:vAlign w:val="bottom"/>
          </w:tcPr>
          <w:p w14:paraId="74154827" w14:textId="303F25A3" w:rsidR="00D433D2" w:rsidRPr="0036007C" w:rsidRDefault="00D433D2" w:rsidP="00F76882">
            <w:pPr>
              <w:pStyle w:val="Tabletext"/>
            </w:pPr>
            <w:r w:rsidRPr="0036007C">
              <w:t>24</w:t>
            </w:r>
          </w:p>
        </w:tc>
        <w:tc>
          <w:tcPr>
            <w:tcW w:w="663" w:type="pct"/>
            <w:tcBorders>
              <w:top w:val="nil"/>
              <w:left w:val="nil"/>
              <w:bottom w:val="single" w:sz="4" w:space="0" w:color="auto"/>
              <w:right w:val="single" w:sz="4" w:space="0" w:color="auto"/>
            </w:tcBorders>
            <w:shd w:val="clear" w:color="000000" w:fill="BFBFBF"/>
            <w:noWrap/>
            <w:vAlign w:val="bottom"/>
          </w:tcPr>
          <w:p w14:paraId="6F7DE6BE" w14:textId="01939E22" w:rsidR="00D433D2" w:rsidRPr="0036007C" w:rsidRDefault="00D433D2" w:rsidP="00F76882">
            <w:pPr>
              <w:pStyle w:val="Tabletext"/>
            </w:pPr>
            <w:r w:rsidRPr="0036007C">
              <w:t>225</w:t>
            </w:r>
          </w:p>
        </w:tc>
      </w:tr>
      <w:tr w:rsidR="00D433D2" w:rsidRPr="0036007C" w14:paraId="38A99664" w14:textId="77777777" w:rsidTr="00D433D2">
        <w:trPr>
          <w:trHeight w:val="290"/>
        </w:trPr>
        <w:tc>
          <w:tcPr>
            <w:tcW w:w="1685" w:type="pct"/>
            <w:tcBorders>
              <w:top w:val="nil"/>
              <w:left w:val="single" w:sz="4" w:space="0" w:color="auto"/>
              <w:bottom w:val="single" w:sz="4" w:space="0" w:color="auto"/>
              <w:right w:val="single" w:sz="4" w:space="0" w:color="auto"/>
            </w:tcBorders>
            <w:vAlign w:val="bottom"/>
            <w:hideMark/>
          </w:tcPr>
          <w:p w14:paraId="35DB63CE" w14:textId="1F4C8663" w:rsidR="00D433D2" w:rsidRPr="00FA7B58" w:rsidRDefault="00D433D2" w:rsidP="00F76882">
            <w:pPr>
              <w:pStyle w:val="Tabletextleft"/>
            </w:pPr>
            <w:r w:rsidRPr="00FA7B58">
              <w:t>Clean face (%)</w:t>
            </w:r>
          </w:p>
        </w:tc>
        <w:tc>
          <w:tcPr>
            <w:tcW w:w="663" w:type="pct"/>
            <w:tcBorders>
              <w:top w:val="nil"/>
              <w:left w:val="nil"/>
              <w:bottom w:val="single" w:sz="4" w:space="0" w:color="auto"/>
              <w:right w:val="single" w:sz="4" w:space="0" w:color="auto"/>
            </w:tcBorders>
            <w:noWrap/>
            <w:vAlign w:val="bottom"/>
          </w:tcPr>
          <w:p w14:paraId="3C9099DF" w14:textId="17262F82" w:rsidR="00D433D2" w:rsidRPr="007C3001" w:rsidRDefault="00D433D2" w:rsidP="00F76882">
            <w:pPr>
              <w:pStyle w:val="Tabletextemphasis"/>
            </w:pPr>
            <w:r w:rsidRPr="007C3001">
              <w:t>80</w:t>
            </w:r>
          </w:p>
        </w:tc>
        <w:tc>
          <w:tcPr>
            <w:tcW w:w="663" w:type="pct"/>
            <w:tcBorders>
              <w:top w:val="nil"/>
              <w:left w:val="nil"/>
              <w:bottom w:val="single" w:sz="4" w:space="0" w:color="auto"/>
              <w:right w:val="single" w:sz="4" w:space="0" w:color="auto"/>
            </w:tcBorders>
            <w:noWrap/>
            <w:vAlign w:val="bottom"/>
          </w:tcPr>
          <w:p w14:paraId="126BD728" w14:textId="2EF947B3" w:rsidR="00D433D2" w:rsidRPr="007C3001" w:rsidRDefault="00D433D2" w:rsidP="00F76882">
            <w:pPr>
              <w:pStyle w:val="Tabletextemphasis"/>
            </w:pPr>
            <w:r w:rsidRPr="007C3001">
              <w:t>90</w:t>
            </w:r>
          </w:p>
        </w:tc>
        <w:tc>
          <w:tcPr>
            <w:tcW w:w="663" w:type="pct"/>
            <w:tcBorders>
              <w:top w:val="nil"/>
              <w:left w:val="nil"/>
              <w:bottom w:val="single" w:sz="4" w:space="0" w:color="auto"/>
              <w:right w:val="single" w:sz="4" w:space="0" w:color="auto"/>
            </w:tcBorders>
            <w:noWrap/>
            <w:vAlign w:val="bottom"/>
          </w:tcPr>
          <w:p w14:paraId="4E29D686" w14:textId="2C406938" w:rsidR="00D433D2" w:rsidRPr="007C3001" w:rsidRDefault="00D433D2" w:rsidP="00F76882">
            <w:pPr>
              <w:pStyle w:val="Tabletextemphasis"/>
            </w:pPr>
            <w:r w:rsidRPr="007C3001">
              <w:t>67</w:t>
            </w:r>
          </w:p>
        </w:tc>
        <w:tc>
          <w:tcPr>
            <w:tcW w:w="663" w:type="pct"/>
            <w:tcBorders>
              <w:top w:val="nil"/>
              <w:left w:val="nil"/>
              <w:bottom w:val="single" w:sz="4" w:space="0" w:color="auto"/>
              <w:right w:val="single" w:sz="4" w:space="0" w:color="auto"/>
            </w:tcBorders>
            <w:noWrap/>
            <w:vAlign w:val="bottom"/>
          </w:tcPr>
          <w:p w14:paraId="3617A6FA" w14:textId="3E115A9B" w:rsidR="00D433D2" w:rsidRPr="007C3001" w:rsidRDefault="00D433D2" w:rsidP="00F76882">
            <w:pPr>
              <w:pStyle w:val="Tabletextemphasis"/>
            </w:pPr>
            <w:r w:rsidRPr="007C3001">
              <w:t>44</w:t>
            </w:r>
          </w:p>
        </w:tc>
        <w:tc>
          <w:tcPr>
            <w:tcW w:w="663" w:type="pct"/>
            <w:tcBorders>
              <w:top w:val="nil"/>
              <w:left w:val="nil"/>
              <w:bottom w:val="single" w:sz="4" w:space="0" w:color="auto"/>
              <w:right w:val="single" w:sz="4" w:space="0" w:color="auto"/>
            </w:tcBorders>
            <w:noWrap/>
            <w:vAlign w:val="bottom"/>
          </w:tcPr>
          <w:p w14:paraId="446D858F" w14:textId="3ACDB28E" w:rsidR="00D433D2" w:rsidRPr="007C3001" w:rsidRDefault="00D433D2" w:rsidP="00F76882">
            <w:pPr>
              <w:pStyle w:val="Tabletextemphasis"/>
            </w:pPr>
            <w:r w:rsidRPr="007C3001">
              <w:t>76</w:t>
            </w:r>
          </w:p>
        </w:tc>
      </w:tr>
      <w:tr w:rsidR="00D433D2" w:rsidRPr="0036007C" w14:paraId="2150D87B" w14:textId="77777777" w:rsidTr="00D433D2">
        <w:trPr>
          <w:trHeight w:val="290"/>
        </w:trPr>
        <w:tc>
          <w:tcPr>
            <w:tcW w:w="1685" w:type="pct"/>
            <w:tcBorders>
              <w:top w:val="nil"/>
              <w:left w:val="single" w:sz="4" w:space="0" w:color="auto"/>
              <w:bottom w:val="single" w:sz="4" w:space="0" w:color="auto"/>
              <w:right w:val="single" w:sz="4" w:space="0" w:color="auto"/>
            </w:tcBorders>
            <w:shd w:val="clear" w:color="000000" w:fill="BFBFBF"/>
            <w:vAlign w:val="bottom"/>
            <w:hideMark/>
          </w:tcPr>
          <w:p w14:paraId="5CFB5331" w14:textId="77777777" w:rsidR="00D433D2" w:rsidRPr="0036007C" w:rsidRDefault="00D433D2" w:rsidP="00F76882">
            <w:pPr>
              <w:pStyle w:val="Tabletextleft"/>
            </w:pPr>
            <w:r w:rsidRPr="0036007C">
              <w:t>Children screened for trachoma</w:t>
            </w:r>
          </w:p>
        </w:tc>
        <w:tc>
          <w:tcPr>
            <w:tcW w:w="663" w:type="pct"/>
            <w:tcBorders>
              <w:top w:val="nil"/>
              <w:left w:val="nil"/>
              <w:bottom w:val="single" w:sz="4" w:space="0" w:color="auto"/>
              <w:right w:val="single" w:sz="4" w:space="0" w:color="auto"/>
            </w:tcBorders>
            <w:shd w:val="clear" w:color="000000" w:fill="BFBFBF"/>
            <w:noWrap/>
            <w:vAlign w:val="bottom"/>
          </w:tcPr>
          <w:p w14:paraId="30B368FA" w14:textId="0047C343" w:rsidR="00D433D2" w:rsidRPr="0036007C" w:rsidRDefault="00D433D2" w:rsidP="00F76882">
            <w:pPr>
              <w:pStyle w:val="Tabletext"/>
            </w:pPr>
            <w:r w:rsidRPr="0036007C">
              <w:t>108</w:t>
            </w:r>
          </w:p>
        </w:tc>
        <w:tc>
          <w:tcPr>
            <w:tcW w:w="663" w:type="pct"/>
            <w:tcBorders>
              <w:top w:val="nil"/>
              <w:left w:val="nil"/>
              <w:bottom w:val="single" w:sz="4" w:space="0" w:color="auto"/>
              <w:right w:val="single" w:sz="4" w:space="0" w:color="auto"/>
            </w:tcBorders>
            <w:shd w:val="clear" w:color="000000" w:fill="BFBFBF"/>
            <w:noWrap/>
            <w:vAlign w:val="bottom"/>
          </w:tcPr>
          <w:p w14:paraId="6DCF010E" w14:textId="5C1A945D" w:rsidR="00D433D2" w:rsidRPr="0036007C" w:rsidRDefault="00D433D2" w:rsidP="00F76882">
            <w:pPr>
              <w:pStyle w:val="Tabletext"/>
            </w:pPr>
            <w:r w:rsidRPr="0036007C">
              <w:t>115</w:t>
            </w:r>
          </w:p>
        </w:tc>
        <w:tc>
          <w:tcPr>
            <w:tcW w:w="663" w:type="pct"/>
            <w:tcBorders>
              <w:top w:val="nil"/>
              <w:left w:val="nil"/>
              <w:bottom w:val="single" w:sz="4" w:space="0" w:color="auto"/>
              <w:right w:val="single" w:sz="4" w:space="0" w:color="auto"/>
            </w:tcBorders>
            <w:shd w:val="clear" w:color="000000" w:fill="BFBFBF"/>
            <w:noWrap/>
            <w:vAlign w:val="bottom"/>
          </w:tcPr>
          <w:p w14:paraId="396865CE" w14:textId="02BAA861" w:rsidR="00D433D2" w:rsidRPr="0036007C" w:rsidRDefault="00D433D2" w:rsidP="00F76882">
            <w:pPr>
              <w:pStyle w:val="Tabletext"/>
            </w:pPr>
            <w:r w:rsidRPr="0036007C">
              <w:t>18</w:t>
            </w:r>
          </w:p>
        </w:tc>
        <w:tc>
          <w:tcPr>
            <w:tcW w:w="663" w:type="pct"/>
            <w:tcBorders>
              <w:top w:val="nil"/>
              <w:left w:val="nil"/>
              <w:bottom w:val="single" w:sz="4" w:space="0" w:color="auto"/>
              <w:right w:val="single" w:sz="4" w:space="0" w:color="auto"/>
            </w:tcBorders>
            <w:shd w:val="clear" w:color="000000" w:fill="BFBFBF"/>
            <w:noWrap/>
            <w:vAlign w:val="bottom"/>
          </w:tcPr>
          <w:p w14:paraId="75166314" w14:textId="4DDA4503" w:rsidR="00D433D2" w:rsidRPr="0036007C" w:rsidRDefault="00D433D2" w:rsidP="00F76882">
            <w:pPr>
              <w:pStyle w:val="Tabletext"/>
            </w:pPr>
            <w:r w:rsidRPr="0036007C">
              <w:t>54</w:t>
            </w:r>
          </w:p>
        </w:tc>
        <w:tc>
          <w:tcPr>
            <w:tcW w:w="663" w:type="pct"/>
            <w:tcBorders>
              <w:top w:val="nil"/>
              <w:left w:val="nil"/>
              <w:bottom w:val="single" w:sz="4" w:space="0" w:color="auto"/>
              <w:right w:val="single" w:sz="4" w:space="0" w:color="auto"/>
            </w:tcBorders>
            <w:shd w:val="clear" w:color="000000" w:fill="BFBFBF"/>
            <w:noWrap/>
            <w:vAlign w:val="bottom"/>
          </w:tcPr>
          <w:p w14:paraId="76E3EEE6" w14:textId="499671A3" w:rsidR="00D433D2" w:rsidRPr="0036007C" w:rsidRDefault="00D433D2" w:rsidP="00F76882">
            <w:pPr>
              <w:pStyle w:val="Tabletext"/>
            </w:pPr>
            <w:r w:rsidRPr="0036007C">
              <w:t>295</w:t>
            </w:r>
          </w:p>
        </w:tc>
      </w:tr>
      <w:tr w:rsidR="00D433D2" w:rsidRPr="0036007C" w14:paraId="37A37650" w14:textId="77777777" w:rsidTr="00D433D2">
        <w:trPr>
          <w:trHeight w:val="290"/>
        </w:trPr>
        <w:tc>
          <w:tcPr>
            <w:tcW w:w="1685" w:type="pct"/>
            <w:tcBorders>
              <w:top w:val="nil"/>
              <w:left w:val="single" w:sz="4" w:space="0" w:color="auto"/>
              <w:bottom w:val="single" w:sz="4" w:space="0" w:color="auto"/>
              <w:right w:val="single" w:sz="4" w:space="0" w:color="auto"/>
            </w:tcBorders>
            <w:noWrap/>
            <w:vAlign w:val="bottom"/>
            <w:hideMark/>
          </w:tcPr>
          <w:p w14:paraId="358DA1F4" w14:textId="77777777" w:rsidR="00D433D2" w:rsidRPr="00FA7B58" w:rsidRDefault="00D433D2" w:rsidP="00F76882">
            <w:pPr>
              <w:pStyle w:val="Tabletextleft"/>
            </w:pPr>
            <w:r w:rsidRPr="00FA7B58">
              <w:t>Trachoma screening coverage (%)</w:t>
            </w:r>
          </w:p>
        </w:tc>
        <w:tc>
          <w:tcPr>
            <w:tcW w:w="663" w:type="pct"/>
            <w:tcBorders>
              <w:top w:val="nil"/>
              <w:left w:val="nil"/>
              <w:bottom w:val="single" w:sz="4" w:space="0" w:color="auto"/>
              <w:right w:val="single" w:sz="4" w:space="0" w:color="auto"/>
            </w:tcBorders>
            <w:noWrap/>
            <w:vAlign w:val="bottom"/>
          </w:tcPr>
          <w:p w14:paraId="158ADB1F" w14:textId="2B925A20" w:rsidR="00D433D2" w:rsidRPr="007C3001" w:rsidRDefault="00D433D2" w:rsidP="00F76882">
            <w:pPr>
              <w:pStyle w:val="Tabletextemphasis"/>
            </w:pPr>
            <w:r w:rsidRPr="007C3001">
              <w:t>96</w:t>
            </w:r>
          </w:p>
        </w:tc>
        <w:tc>
          <w:tcPr>
            <w:tcW w:w="663" w:type="pct"/>
            <w:tcBorders>
              <w:top w:val="nil"/>
              <w:left w:val="nil"/>
              <w:bottom w:val="single" w:sz="4" w:space="0" w:color="auto"/>
              <w:right w:val="single" w:sz="4" w:space="0" w:color="auto"/>
            </w:tcBorders>
            <w:noWrap/>
            <w:vAlign w:val="bottom"/>
          </w:tcPr>
          <w:p w14:paraId="0B04E0B3" w14:textId="28984449" w:rsidR="00D433D2" w:rsidRPr="007C3001" w:rsidRDefault="00D433D2" w:rsidP="00F76882">
            <w:pPr>
              <w:pStyle w:val="Tabletextemphasis"/>
            </w:pPr>
            <w:r w:rsidRPr="007C3001">
              <w:t>86</w:t>
            </w:r>
          </w:p>
        </w:tc>
        <w:tc>
          <w:tcPr>
            <w:tcW w:w="663" w:type="pct"/>
            <w:tcBorders>
              <w:top w:val="nil"/>
              <w:left w:val="nil"/>
              <w:bottom w:val="single" w:sz="4" w:space="0" w:color="auto"/>
              <w:right w:val="single" w:sz="4" w:space="0" w:color="auto"/>
            </w:tcBorders>
            <w:noWrap/>
            <w:vAlign w:val="bottom"/>
          </w:tcPr>
          <w:p w14:paraId="552CDB7D" w14:textId="74806302" w:rsidR="00D433D2" w:rsidRPr="007C3001" w:rsidRDefault="00D433D2" w:rsidP="00F76882">
            <w:pPr>
              <w:pStyle w:val="Tabletextemphasis"/>
            </w:pPr>
            <w:r w:rsidRPr="007C3001">
              <w:t>100</w:t>
            </w:r>
          </w:p>
        </w:tc>
        <w:tc>
          <w:tcPr>
            <w:tcW w:w="663" w:type="pct"/>
            <w:tcBorders>
              <w:top w:val="nil"/>
              <w:left w:val="nil"/>
              <w:bottom w:val="single" w:sz="4" w:space="0" w:color="auto"/>
              <w:right w:val="single" w:sz="4" w:space="0" w:color="auto"/>
            </w:tcBorders>
            <w:noWrap/>
            <w:vAlign w:val="bottom"/>
          </w:tcPr>
          <w:p w14:paraId="34ED278C" w14:textId="7C63304B" w:rsidR="00D433D2" w:rsidRPr="007C3001" w:rsidRDefault="00D433D2" w:rsidP="00F76882">
            <w:pPr>
              <w:pStyle w:val="Tabletextemphasis"/>
            </w:pPr>
            <w:r w:rsidRPr="007C3001">
              <w:t>96</w:t>
            </w:r>
          </w:p>
        </w:tc>
        <w:tc>
          <w:tcPr>
            <w:tcW w:w="663" w:type="pct"/>
            <w:tcBorders>
              <w:top w:val="nil"/>
              <w:left w:val="nil"/>
              <w:bottom w:val="single" w:sz="4" w:space="0" w:color="auto"/>
              <w:right w:val="single" w:sz="4" w:space="0" w:color="auto"/>
            </w:tcBorders>
            <w:noWrap/>
            <w:vAlign w:val="bottom"/>
          </w:tcPr>
          <w:p w14:paraId="0912F73C" w14:textId="0440B518" w:rsidR="00D433D2" w:rsidRPr="007C3001" w:rsidRDefault="00D433D2" w:rsidP="00F76882">
            <w:pPr>
              <w:pStyle w:val="Tabletextemphasis"/>
            </w:pPr>
            <w:r w:rsidRPr="007C3001">
              <w:t>92</w:t>
            </w:r>
          </w:p>
        </w:tc>
      </w:tr>
      <w:tr w:rsidR="00D433D2" w:rsidRPr="0036007C" w14:paraId="7BF63858" w14:textId="77777777" w:rsidTr="00D433D2">
        <w:trPr>
          <w:trHeight w:val="290"/>
        </w:trPr>
        <w:tc>
          <w:tcPr>
            <w:tcW w:w="1685" w:type="pct"/>
            <w:tcBorders>
              <w:top w:val="nil"/>
              <w:left w:val="single" w:sz="4" w:space="0" w:color="auto"/>
              <w:bottom w:val="single" w:sz="4" w:space="0" w:color="auto"/>
              <w:right w:val="single" w:sz="4" w:space="0" w:color="auto"/>
            </w:tcBorders>
            <w:shd w:val="clear" w:color="000000" w:fill="BFBFBF"/>
            <w:vAlign w:val="bottom"/>
            <w:hideMark/>
          </w:tcPr>
          <w:p w14:paraId="14FEB9C6" w14:textId="77777777" w:rsidR="00D433D2" w:rsidRPr="0036007C" w:rsidRDefault="00D433D2" w:rsidP="00F76882">
            <w:pPr>
              <w:pStyle w:val="Tabletextleft"/>
            </w:pPr>
            <w:r w:rsidRPr="0036007C">
              <w:t>Children with active trachoma</w:t>
            </w:r>
          </w:p>
        </w:tc>
        <w:tc>
          <w:tcPr>
            <w:tcW w:w="663" w:type="pct"/>
            <w:tcBorders>
              <w:top w:val="nil"/>
              <w:left w:val="nil"/>
              <w:bottom w:val="single" w:sz="4" w:space="0" w:color="auto"/>
              <w:right w:val="single" w:sz="4" w:space="0" w:color="auto"/>
            </w:tcBorders>
            <w:shd w:val="clear" w:color="000000" w:fill="BFBFBF"/>
            <w:noWrap/>
            <w:vAlign w:val="bottom"/>
          </w:tcPr>
          <w:p w14:paraId="0B29AB30" w14:textId="41701955" w:rsidR="00D433D2" w:rsidRPr="0036007C" w:rsidRDefault="00D433D2" w:rsidP="00F76882">
            <w:pPr>
              <w:pStyle w:val="Tabletext"/>
            </w:pPr>
            <w:r w:rsidRPr="0036007C">
              <w:t>7</w:t>
            </w:r>
          </w:p>
        </w:tc>
        <w:tc>
          <w:tcPr>
            <w:tcW w:w="663" w:type="pct"/>
            <w:tcBorders>
              <w:top w:val="nil"/>
              <w:left w:val="nil"/>
              <w:bottom w:val="single" w:sz="4" w:space="0" w:color="auto"/>
              <w:right w:val="single" w:sz="4" w:space="0" w:color="auto"/>
            </w:tcBorders>
            <w:shd w:val="clear" w:color="000000" w:fill="BFBFBF"/>
            <w:noWrap/>
            <w:vAlign w:val="bottom"/>
          </w:tcPr>
          <w:p w14:paraId="58990423" w14:textId="0488B3E4" w:rsidR="00D433D2" w:rsidRPr="0036007C" w:rsidRDefault="00D433D2" w:rsidP="00F76882">
            <w:pPr>
              <w:pStyle w:val="Tabletext"/>
            </w:pPr>
            <w:r w:rsidRPr="0036007C">
              <w:t>0</w:t>
            </w:r>
          </w:p>
        </w:tc>
        <w:tc>
          <w:tcPr>
            <w:tcW w:w="663" w:type="pct"/>
            <w:tcBorders>
              <w:top w:val="nil"/>
              <w:left w:val="nil"/>
              <w:bottom w:val="single" w:sz="4" w:space="0" w:color="auto"/>
              <w:right w:val="single" w:sz="4" w:space="0" w:color="auto"/>
            </w:tcBorders>
            <w:shd w:val="clear" w:color="000000" w:fill="BFBFBF"/>
            <w:noWrap/>
            <w:vAlign w:val="bottom"/>
          </w:tcPr>
          <w:p w14:paraId="0140994C" w14:textId="0B69D56C" w:rsidR="00D433D2" w:rsidRPr="0036007C" w:rsidRDefault="00D433D2" w:rsidP="00F76882">
            <w:pPr>
              <w:pStyle w:val="Tabletext"/>
            </w:pPr>
            <w:r w:rsidRPr="0036007C">
              <w:t>0</w:t>
            </w:r>
          </w:p>
        </w:tc>
        <w:tc>
          <w:tcPr>
            <w:tcW w:w="663" w:type="pct"/>
            <w:tcBorders>
              <w:top w:val="nil"/>
              <w:left w:val="nil"/>
              <w:bottom w:val="single" w:sz="4" w:space="0" w:color="auto"/>
              <w:right w:val="single" w:sz="4" w:space="0" w:color="auto"/>
            </w:tcBorders>
            <w:shd w:val="clear" w:color="000000" w:fill="BFBFBF"/>
            <w:noWrap/>
            <w:vAlign w:val="bottom"/>
          </w:tcPr>
          <w:p w14:paraId="26459F46" w14:textId="762D4E6C" w:rsidR="00D433D2" w:rsidRPr="0036007C" w:rsidRDefault="00D433D2" w:rsidP="00F76882">
            <w:pPr>
              <w:pStyle w:val="Tabletext"/>
            </w:pPr>
            <w:r w:rsidRPr="0036007C">
              <w:t>5</w:t>
            </w:r>
          </w:p>
        </w:tc>
        <w:tc>
          <w:tcPr>
            <w:tcW w:w="663" w:type="pct"/>
            <w:tcBorders>
              <w:top w:val="nil"/>
              <w:left w:val="nil"/>
              <w:bottom w:val="single" w:sz="4" w:space="0" w:color="auto"/>
              <w:right w:val="single" w:sz="4" w:space="0" w:color="auto"/>
            </w:tcBorders>
            <w:shd w:val="clear" w:color="000000" w:fill="BFBFBF"/>
            <w:noWrap/>
            <w:vAlign w:val="bottom"/>
          </w:tcPr>
          <w:p w14:paraId="57FC0FC7" w14:textId="43267C4C" w:rsidR="00D433D2" w:rsidRPr="0036007C" w:rsidRDefault="00D433D2" w:rsidP="00F76882">
            <w:pPr>
              <w:pStyle w:val="Tabletext"/>
            </w:pPr>
            <w:r w:rsidRPr="0036007C">
              <w:t>12</w:t>
            </w:r>
          </w:p>
        </w:tc>
      </w:tr>
      <w:tr w:rsidR="00D433D2" w:rsidRPr="0036007C" w14:paraId="284CA5BE" w14:textId="77777777" w:rsidTr="00D433D2">
        <w:trPr>
          <w:trHeight w:val="580"/>
        </w:trPr>
        <w:tc>
          <w:tcPr>
            <w:tcW w:w="1685" w:type="pct"/>
            <w:tcBorders>
              <w:top w:val="nil"/>
              <w:left w:val="single" w:sz="4" w:space="0" w:color="auto"/>
              <w:bottom w:val="single" w:sz="4" w:space="0" w:color="auto"/>
              <w:right w:val="single" w:sz="4" w:space="0" w:color="auto"/>
            </w:tcBorders>
            <w:vAlign w:val="bottom"/>
            <w:hideMark/>
          </w:tcPr>
          <w:p w14:paraId="2FDC7178" w14:textId="77777777" w:rsidR="00D433D2" w:rsidRPr="00FA7B58" w:rsidRDefault="00D433D2" w:rsidP="00F76882">
            <w:pPr>
              <w:pStyle w:val="Tabletextleft"/>
            </w:pPr>
            <w:r w:rsidRPr="00FA7B58">
              <w:t>Observed prevalence of active trachoma† (%)</w:t>
            </w:r>
          </w:p>
        </w:tc>
        <w:tc>
          <w:tcPr>
            <w:tcW w:w="663" w:type="pct"/>
            <w:tcBorders>
              <w:top w:val="nil"/>
              <w:left w:val="nil"/>
              <w:bottom w:val="single" w:sz="4" w:space="0" w:color="auto"/>
              <w:right w:val="single" w:sz="4" w:space="0" w:color="auto"/>
            </w:tcBorders>
            <w:noWrap/>
            <w:vAlign w:val="bottom"/>
          </w:tcPr>
          <w:p w14:paraId="36F9D8D8" w14:textId="367B3B37" w:rsidR="00D433D2" w:rsidRPr="007C3001" w:rsidRDefault="00D433D2" w:rsidP="00F76882">
            <w:pPr>
              <w:pStyle w:val="Tabletextemphasis"/>
            </w:pPr>
            <w:r w:rsidRPr="007C3001">
              <w:t>6.5</w:t>
            </w:r>
          </w:p>
        </w:tc>
        <w:tc>
          <w:tcPr>
            <w:tcW w:w="663" w:type="pct"/>
            <w:tcBorders>
              <w:top w:val="nil"/>
              <w:left w:val="nil"/>
              <w:bottom w:val="single" w:sz="4" w:space="0" w:color="auto"/>
              <w:right w:val="single" w:sz="4" w:space="0" w:color="auto"/>
            </w:tcBorders>
            <w:noWrap/>
            <w:vAlign w:val="bottom"/>
          </w:tcPr>
          <w:p w14:paraId="2A009E8D" w14:textId="309B6B06" w:rsidR="00D433D2" w:rsidRPr="007C3001" w:rsidRDefault="00D433D2" w:rsidP="00F76882">
            <w:pPr>
              <w:pStyle w:val="Tabletextemphasis"/>
            </w:pPr>
            <w:r w:rsidRPr="007C3001">
              <w:t>0.0</w:t>
            </w:r>
          </w:p>
        </w:tc>
        <w:tc>
          <w:tcPr>
            <w:tcW w:w="663" w:type="pct"/>
            <w:tcBorders>
              <w:top w:val="nil"/>
              <w:left w:val="nil"/>
              <w:bottom w:val="single" w:sz="4" w:space="0" w:color="auto"/>
              <w:right w:val="single" w:sz="4" w:space="0" w:color="auto"/>
            </w:tcBorders>
            <w:noWrap/>
            <w:vAlign w:val="bottom"/>
          </w:tcPr>
          <w:p w14:paraId="74CF5705" w14:textId="556587F1" w:rsidR="00D433D2" w:rsidRPr="007C3001" w:rsidRDefault="00D433D2" w:rsidP="00F76882">
            <w:pPr>
              <w:pStyle w:val="Tabletextemphasis"/>
            </w:pPr>
            <w:r w:rsidRPr="007C3001">
              <w:t>0.0</w:t>
            </w:r>
          </w:p>
        </w:tc>
        <w:tc>
          <w:tcPr>
            <w:tcW w:w="663" w:type="pct"/>
            <w:tcBorders>
              <w:top w:val="nil"/>
              <w:left w:val="nil"/>
              <w:bottom w:val="single" w:sz="4" w:space="0" w:color="auto"/>
              <w:right w:val="single" w:sz="4" w:space="0" w:color="auto"/>
            </w:tcBorders>
            <w:noWrap/>
            <w:vAlign w:val="bottom"/>
          </w:tcPr>
          <w:p w14:paraId="514A45D0" w14:textId="331CFC52" w:rsidR="00D433D2" w:rsidRPr="007C3001" w:rsidRDefault="00D433D2" w:rsidP="00F76882">
            <w:pPr>
              <w:pStyle w:val="Tabletextemphasis"/>
            </w:pPr>
            <w:r w:rsidRPr="007C3001">
              <w:t>9.3</w:t>
            </w:r>
          </w:p>
        </w:tc>
        <w:tc>
          <w:tcPr>
            <w:tcW w:w="663" w:type="pct"/>
            <w:tcBorders>
              <w:top w:val="nil"/>
              <w:left w:val="nil"/>
              <w:bottom w:val="single" w:sz="4" w:space="0" w:color="auto"/>
              <w:right w:val="single" w:sz="4" w:space="0" w:color="auto"/>
            </w:tcBorders>
            <w:noWrap/>
            <w:vAlign w:val="bottom"/>
          </w:tcPr>
          <w:p w14:paraId="29652517" w14:textId="7A08B279" w:rsidR="00D433D2" w:rsidRPr="007C3001" w:rsidRDefault="00D433D2" w:rsidP="00F76882">
            <w:pPr>
              <w:pStyle w:val="Tabletextemphasis"/>
            </w:pPr>
            <w:r w:rsidRPr="007C3001">
              <w:t>4.1</w:t>
            </w:r>
          </w:p>
        </w:tc>
      </w:tr>
      <w:tr w:rsidR="00D433D2" w:rsidRPr="0036007C" w14:paraId="2EC003C8" w14:textId="77777777" w:rsidTr="00D433D2">
        <w:trPr>
          <w:trHeight w:val="580"/>
        </w:trPr>
        <w:tc>
          <w:tcPr>
            <w:tcW w:w="1685" w:type="pct"/>
            <w:tcBorders>
              <w:top w:val="nil"/>
              <w:left w:val="single" w:sz="4" w:space="0" w:color="auto"/>
              <w:bottom w:val="single" w:sz="4" w:space="0" w:color="auto"/>
              <w:right w:val="single" w:sz="4" w:space="0" w:color="auto"/>
            </w:tcBorders>
            <w:shd w:val="clear" w:color="000000" w:fill="BFBFBF"/>
            <w:vAlign w:val="bottom"/>
            <w:hideMark/>
          </w:tcPr>
          <w:p w14:paraId="1F7F4151" w14:textId="77777777" w:rsidR="00D433D2" w:rsidRPr="00FA7B58" w:rsidRDefault="00D433D2" w:rsidP="00F76882">
            <w:pPr>
              <w:pStyle w:val="Tabletextleft"/>
            </w:pPr>
            <w:r w:rsidRPr="00FA7B58">
              <w:t>Estimated prevalence of active trachoma‡ (%)</w:t>
            </w:r>
          </w:p>
        </w:tc>
        <w:tc>
          <w:tcPr>
            <w:tcW w:w="663" w:type="pct"/>
            <w:tcBorders>
              <w:top w:val="nil"/>
              <w:left w:val="nil"/>
              <w:bottom w:val="single" w:sz="4" w:space="0" w:color="auto"/>
              <w:right w:val="single" w:sz="4" w:space="0" w:color="auto"/>
            </w:tcBorders>
            <w:shd w:val="clear" w:color="000000" w:fill="BFBFBF"/>
            <w:noWrap/>
            <w:vAlign w:val="bottom"/>
          </w:tcPr>
          <w:p w14:paraId="6FF98B5A" w14:textId="3AB3C03F" w:rsidR="00D433D2" w:rsidRPr="007C3001" w:rsidRDefault="00D433D2" w:rsidP="00F76882">
            <w:pPr>
              <w:pStyle w:val="Tabletextemphasis"/>
            </w:pPr>
            <w:r w:rsidRPr="007C3001">
              <w:t>6.5</w:t>
            </w:r>
          </w:p>
        </w:tc>
        <w:tc>
          <w:tcPr>
            <w:tcW w:w="663" w:type="pct"/>
            <w:tcBorders>
              <w:top w:val="nil"/>
              <w:left w:val="nil"/>
              <w:bottom w:val="single" w:sz="4" w:space="0" w:color="auto"/>
              <w:right w:val="single" w:sz="4" w:space="0" w:color="auto"/>
            </w:tcBorders>
            <w:shd w:val="clear" w:color="000000" w:fill="BFBFBF"/>
            <w:noWrap/>
            <w:vAlign w:val="bottom"/>
          </w:tcPr>
          <w:p w14:paraId="5363EE1C" w14:textId="1CE30722" w:rsidR="00D433D2" w:rsidRPr="007C3001" w:rsidRDefault="00D433D2" w:rsidP="00F76882">
            <w:pPr>
              <w:pStyle w:val="Tabletextemphasis"/>
            </w:pPr>
            <w:r w:rsidRPr="007C3001">
              <w:t>0.0</w:t>
            </w:r>
          </w:p>
        </w:tc>
        <w:tc>
          <w:tcPr>
            <w:tcW w:w="663" w:type="pct"/>
            <w:tcBorders>
              <w:top w:val="nil"/>
              <w:left w:val="nil"/>
              <w:bottom w:val="single" w:sz="4" w:space="0" w:color="auto"/>
              <w:right w:val="single" w:sz="4" w:space="0" w:color="auto"/>
            </w:tcBorders>
            <w:shd w:val="clear" w:color="000000" w:fill="BFBFBF"/>
            <w:noWrap/>
            <w:vAlign w:val="bottom"/>
          </w:tcPr>
          <w:p w14:paraId="3BB29019" w14:textId="4C955973" w:rsidR="00D433D2" w:rsidRPr="007C3001" w:rsidRDefault="00D433D2" w:rsidP="00F76882">
            <w:pPr>
              <w:pStyle w:val="Tabletextemphasis"/>
            </w:pPr>
            <w:r w:rsidRPr="007C3001">
              <w:t>0.0</w:t>
            </w:r>
          </w:p>
        </w:tc>
        <w:tc>
          <w:tcPr>
            <w:tcW w:w="663" w:type="pct"/>
            <w:tcBorders>
              <w:top w:val="nil"/>
              <w:left w:val="nil"/>
              <w:bottom w:val="single" w:sz="4" w:space="0" w:color="auto"/>
              <w:right w:val="single" w:sz="4" w:space="0" w:color="auto"/>
            </w:tcBorders>
            <w:shd w:val="clear" w:color="000000" w:fill="BFBFBF"/>
            <w:noWrap/>
            <w:vAlign w:val="bottom"/>
          </w:tcPr>
          <w:p w14:paraId="4C4EE673" w14:textId="1895702A" w:rsidR="00D433D2" w:rsidRPr="007C3001" w:rsidRDefault="00D433D2" w:rsidP="00F76882">
            <w:pPr>
              <w:pStyle w:val="Tabletextemphasis"/>
            </w:pPr>
            <w:r w:rsidRPr="007C3001">
              <w:t>9.3</w:t>
            </w:r>
          </w:p>
        </w:tc>
        <w:tc>
          <w:tcPr>
            <w:tcW w:w="663" w:type="pct"/>
            <w:tcBorders>
              <w:top w:val="nil"/>
              <w:left w:val="nil"/>
              <w:bottom w:val="single" w:sz="4" w:space="0" w:color="auto"/>
              <w:right w:val="single" w:sz="4" w:space="0" w:color="auto"/>
            </w:tcBorders>
            <w:shd w:val="clear" w:color="000000" w:fill="BFBFBF"/>
            <w:noWrap/>
            <w:vAlign w:val="bottom"/>
          </w:tcPr>
          <w:p w14:paraId="09EB9BAD" w14:textId="37FCB780" w:rsidR="00D433D2" w:rsidRPr="007C3001" w:rsidRDefault="00D433D2" w:rsidP="00F76882">
            <w:pPr>
              <w:pStyle w:val="Tabletextemphasis"/>
            </w:pPr>
            <w:r w:rsidRPr="007C3001">
              <w:t>2.9</w:t>
            </w:r>
          </w:p>
        </w:tc>
      </w:tr>
      <w:tr w:rsidR="00D433D2" w:rsidRPr="0036007C" w14:paraId="6AC3B417" w14:textId="77777777" w:rsidTr="00D433D2">
        <w:trPr>
          <w:trHeight w:val="580"/>
        </w:trPr>
        <w:tc>
          <w:tcPr>
            <w:tcW w:w="1685" w:type="pct"/>
            <w:tcBorders>
              <w:top w:val="nil"/>
              <w:left w:val="single" w:sz="4" w:space="0" w:color="auto"/>
              <w:bottom w:val="single" w:sz="4" w:space="0" w:color="auto"/>
              <w:right w:val="single" w:sz="4" w:space="0" w:color="auto"/>
            </w:tcBorders>
            <w:vAlign w:val="bottom"/>
            <w:hideMark/>
          </w:tcPr>
          <w:p w14:paraId="175DD185" w14:textId="77777777" w:rsidR="00D433D2" w:rsidRPr="00FA7B58" w:rsidRDefault="00D433D2" w:rsidP="00F76882">
            <w:pPr>
              <w:pStyle w:val="Tabletextleft"/>
            </w:pPr>
            <w:r w:rsidRPr="00FA7B58">
              <w:t>Overall prevalence of active trachoma (%)</w:t>
            </w:r>
          </w:p>
        </w:tc>
        <w:tc>
          <w:tcPr>
            <w:tcW w:w="663" w:type="pct"/>
            <w:tcBorders>
              <w:top w:val="nil"/>
              <w:left w:val="nil"/>
              <w:bottom w:val="single" w:sz="4" w:space="0" w:color="auto"/>
              <w:right w:val="single" w:sz="4" w:space="0" w:color="auto"/>
            </w:tcBorders>
            <w:noWrap/>
            <w:vAlign w:val="bottom"/>
          </w:tcPr>
          <w:p w14:paraId="053BA832" w14:textId="751884D6" w:rsidR="00D433D2" w:rsidRPr="007C3001" w:rsidRDefault="00D433D2" w:rsidP="00F76882">
            <w:pPr>
              <w:pStyle w:val="Tabletextemphasis"/>
            </w:pPr>
            <w:r w:rsidRPr="007C3001">
              <w:t>2.8</w:t>
            </w:r>
          </w:p>
        </w:tc>
        <w:tc>
          <w:tcPr>
            <w:tcW w:w="663" w:type="pct"/>
            <w:tcBorders>
              <w:top w:val="nil"/>
              <w:left w:val="nil"/>
              <w:bottom w:val="single" w:sz="4" w:space="0" w:color="auto"/>
              <w:right w:val="single" w:sz="4" w:space="0" w:color="auto"/>
            </w:tcBorders>
            <w:noWrap/>
            <w:vAlign w:val="bottom"/>
          </w:tcPr>
          <w:p w14:paraId="5CB04793" w14:textId="48ACEFB1" w:rsidR="00D433D2" w:rsidRPr="007C3001" w:rsidRDefault="00D433D2" w:rsidP="00F76882">
            <w:pPr>
              <w:pStyle w:val="Tabletextemphasis"/>
            </w:pPr>
            <w:r w:rsidRPr="007C3001">
              <w:t>0.7</w:t>
            </w:r>
          </w:p>
        </w:tc>
        <w:tc>
          <w:tcPr>
            <w:tcW w:w="663" w:type="pct"/>
            <w:tcBorders>
              <w:top w:val="nil"/>
              <w:left w:val="nil"/>
              <w:bottom w:val="single" w:sz="4" w:space="0" w:color="auto"/>
              <w:right w:val="single" w:sz="4" w:space="0" w:color="auto"/>
            </w:tcBorders>
            <w:noWrap/>
            <w:vAlign w:val="bottom"/>
          </w:tcPr>
          <w:p w14:paraId="71B6C231" w14:textId="2D742D26" w:rsidR="00D433D2" w:rsidRPr="007C3001" w:rsidRDefault="00D433D2" w:rsidP="00F76882">
            <w:pPr>
              <w:pStyle w:val="Tabletextemphasis"/>
            </w:pPr>
            <w:r w:rsidRPr="007C3001">
              <w:t>0.0</w:t>
            </w:r>
          </w:p>
        </w:tc>
        <w:tc>
          <w:tcPr>
            <w:tcW w:w="663" w:type="pct"/>
            <w:tcBorders>
              <w:top w:val="nil"/>
              <w:left w:val="nil"/>
              <w:bottom w:val="single" w:sz="4" w:space="0" w:color="auto"/>
              <w:right w:val="single" w:sz="4" w:space="0" w:color="auto"/>
            </w:tcBorders>
            <w:noWrap/>
            <w:vAlign w:val="bottom"/>
          </w:tcPr>
          <w:p w14:paraId="0B44D24E" w14:textId="5CF4C818" w:rsidR="00D433D2" w:rsidRPr="007C3001" w:rsidRDefault="00D433D2" w:rsidP="00F76882">
            <w:pPr>
              <w:pStyle w:val="Tabletextemphasis"/>
            </w:pPr>
            <w:r w:rsidRPr="007C3001">
              <w:t>3.2</w:t>
            </w:r>
          </w:p>
        </w:tc>
        <w:tc>
          <w:tcPr>
            <w:tcW w:w="663" w:type="pct"/>
            <w:tcBorders>
              <w:top w:val="nil"/>
              <w:left w:val="nil"/>
              <w:bottom w:val="single" w:sz="4" w:space="0" w:color="auto"/>
              <w:right w:val="single" w:sz="4" w:space="0" w:color="auto"/>
            </w:tcBorders>
            <w:noWrap/>
            <w:vAlign w:val="bottom"/>
          </w:tcPr>
          <w:p w14:paraId="6A44C197" w14:textId="35AD30E3" w:rsidR="00D433D2" w:rsidRPr="007C3001" w:rsidRDefault="00D433D2" w:rsidP="00F76882">
            <w:pPr>
              <w:pStyle w:val="Tabletextemphasis"/>
            </w:pPr>
            <w:r w:rsidRPr="007C3001">
              <w:t>1.3</w:t>
            </w:r>
          </w:p>
        </w:tc>
      </w:tr>
    </w:tbl>
    <w:p w14:paraId="117F8B17" w14:textId="7FFBAFA7" w:rsidR="008C6B79" w:rsidRPr="00A33DD2" w:rsidRDefault="008C6B79" w:rsidP="00F76882">
      <w:pPr>
        <w:pStyle w:val="tablefigfootnote"/>
      </w:pPr>
      <w:bookmarkStart w:id="388" w:name="_Table_4.3_Number"/>
      <w:bookmarkStart w:id="389" w:name="_Ref58336787"/>
      <w:bookmarkEnd w:id="388"/>
      <w:r w:rsidRPr="00A33DD2">
        <w:t>* Jurisdictional estimate</w:t>
      </w:r>
      <w:r w:rsidR="005012AF" w:rsidRPr="00A33DD2">
        <w:t>.</w:t>
      </w:r>
    </w:p>
    <w:p w14:paraId="6507AA39" w14:textId="188BC4C7" w:rsidR="008C6B79" w:rsidRPr="00A33DD2" w:rsidRDefault="008C6B79" w:rsidP="00F76882">
      <w:pPr>
        <w:pStyle w:val="tablefigfootnote"/>
      </w:pPr>
      <w:r w:rsidRPr="00A33DD2">
        <w:t xml:space="preserve">† Communities that were screened for trachoma in </w:t>
      </w:r>
      <w:r w:rsidR="00C3405D" w:rsidRPr="00A33DD2">
        <w:t>2024</w:t>
      </w:r>
      <w:r w:rsidR="005012AF" w:rsidRPr="00A33DD2">
        <w:t>.</w:t>
      </w:r>
    </w:p>
    <w:p w14:paraId="721A47BD" w14:textId="6EC38E51" w:rsidR="008C6B79" w:rsidRPr="00A33DD2" w:rsidRDefault="008C6B79" w:rsidP="00F76882">
      <w:pPr>
        <w:pStyle w:val="tablefigfootnote"/>
        <w:sectPr w:rsidR="008C6B79" w:rsidRPr="00A33DD2" w:rsidSect="00C04CBB">
          <w:pgSz w:w="11906" w:h="16838"/>
          <w:pgMar w:top="720" w:right="720" w:bottom="720" w:left="720" w:header="709" w:footer="709" w:gutter="0"/>
          <w:cols w:space="708"/>
          <w:docGrid w:linePitch="360"/>
        </w:sectPr>
      </w:pPr>
      <w:r w:rsidRPr="00A33DD2">
        <w:t xml:space="preserve">‡ </w:t>
      </w:r>
      <w:r w:rsidR="00F75C77" w:rsidRPr="00A33DD2">
        <w:t>Prevalence rate calculations are described in the Methodology section.</w:t>
      </w:r>
    </w:p>
    <w:p w14:paraId="4167A6D4" w14:textId="2F1F33D0" w:rsidR="00E3767F" w:rsidRPr="0036007C" w:rsidRDefault="00E3767F" w:rsidP="00F76882">
      <w:pPr>
        <w:pStyle w:val="Tableheadings"/>
      </w:pPr>
      <w:bookmarkStart w:id="390" w:name="_Toc215224718"/>
      <w:r w:rsidRPr="0036007C">
        <w:t xml:space="preserve">Table </w:t>
      </w:r>
      <w:bookmarkEnd w:id="389"/>
      <w:r w:rsidR="00814019" w:rsidRPr="0036007C">
        <w:t>5.3</w:t>
      </w:r>
      <w:r w:rsidRPr="0036007C">
        <w:tab/>
        <w:t xml:space="preserve">Number and proportion of at-risk communities according to </w:t>
      </w:r>
      <w:r w:rsidR="00860B6A" w:rsidRPr="0036007C">
        <w:t xml:space="preserve">the </w:t>
      </w:r>
      <w:r w:rsidRPr="0036007C">
        <w:t xml:space="preserve">level of </w:t>
      </w:r>
      <w:r w:rsidR="00C51CC9" w:rsidRPr="0036007C">
        <w:t xml:space="preserve">observed </w:t>
      </w:r>
      <w:r w:rsidRPr="0036007C">
        <w:t>trachoma prevalence in children aged 5</w:t>
      </w:r>
      <w:r w:rsidR="003D00CE" w:rsidRPr="0036007C">
        <w:t>–</w:t>
      </w:r>
      <w:r w:rsidRPr="0036007C">
        <w:t>9 years, Western Australia</w:t>
      </w:r>
      <w:r w:rsidR="00C6767F" w:rsidRPr="0036007C">
        <w:t>,</w:t>
      </w:r>
      <w:r w:rsidRPr="0036007C">
        <w:t xml:space="preserve"> 20</w:t>
      </w:r>
      <w:r w:rsidR="004722F4" w:rsidRPr="0036007C">
        <w:t>14</w:t>
      </w:r>
      <w:r w:rsidR="003D00CE" w:rsidRPr="0036007C">
        <w:t>–</w:t>
      </w:r>
      <w:r w:rsidR="00E76BB4" w:rsidRPr="0036007C">
        <w:t>202</w:t>
      </w:r>
      <w:r w:rsidR="00050459" w:rsidRPr="0036007C">
        <w:t>4</w:t>
      </w:r>
      <w:bookmarkEnd w:id="390"/>
    </w:p>
    <w:tbl>
      <w:tblPr>
        <w:tblW w:w="5039" w:type="pct"/>
        <w:tblLayout w:type="fixed"/>
        <w:tblLook w:val="04A0" w:firstRow="1" w:lastRow="0" w:firstColumn="1" w:lastColumn="0" w:noHBand="0" w:noVBand="1"/>
        <w:tblCaption w:val="Number and proportion of at-risk communities according to the level of observed trachoma prevalence in children aged 5–9 years, Western Australia, 2014–2024"/>
        <w:tblDescription w:val="Table 5.3 compares the breakdown of observed prevalence by year. Prevalence is categorised as either greater than or equal to 20%, 10% to less than 20%, 5% to less than 10%, less than 5%, and 0% prevalence.&#10;"/>
      </w:tblPr>
      <w:tblGrid>
        <w:gridCol w:w="2212"/>
        <w:gridCol w:w="463"/>
        <w:gridCol w:w="752"/>
        <w:gridCol w:w="460"/>
        <w:gridCol w:w="752"/>
        <w:gridCol w:w="460"/>
        <w:gridCol w:w="748"/>
        <w:gridCol w:w="459"/>
        <w:gridCol w:w="751"/>
        <w:gridCol w:w="459"/>
        <w:gridCol w:w="751"/>
        <w:gridCol w:w="459"/>
        <w:gridCol w:w="751"/>
        <w:gridCol w:w="459"/>
        <w:gridCol w:w="751"/>
        <w:gridCol w:w="459"/>
        <w:gridCol w:w="751"/>
        <w:gridCol w:w="459"/>
        <w:gridCol w:w="751"/>
        <w:gridCol w:w="459"/>
        <w:gridCol w:w="751"/>
        <w:gridCol w:w="453"/>
        <w:gridCol w:w="738"/>
      </w:tblGrid>
      <w:tr w:rsidR="008E152D" w:rsidRPr="006043C2" w14:paraId="31290339" w14:textId="2C9B958D" w:rsidTr="001A74E9">
        <w:trPr>
          <w:trHeight w:val="290"/>
        </w:trPr>
        <w:tc>
          <w:tcPr>
            <w:tcW w:w="713" w:type="pct"/>
            <w:tcBorders>
              <w:top w:val="single" w:sz="4" w:space="0" w:color="auto"/>
              <w:left w:val="single" w:sz="4" w:space="0" w:color="auto"/>
              <w:bottom w:val="single" w:sz="4" w:space="0" w:color="auto"/>
              <w:right w:val="single" w:sz="4" w:space="0" w:color="auto"/>
            </w:tcBorders>
            <w:shd w:val="clear" w:color="000000" w:fill="BFBFBF"/>
            <w:noWrap/>
          </w:tcPr>
          <w:p w14:paraId="480A54E8" w14:textId="4A1C512E" w:rsidR="008E152D" w:rsidRPr="006043C2" w:rsidRDefault="008E152D" w:rsidP="00F76882">
            <w:pPr>
              <w:pStyle w:val="Tableheading"/>
            </w:pPr>
          </w:p>
        </w:tc>
        <w:tc>
          <w:tcPr>
            <w:tcW w:w="391" w:type="pct"/>
            <w:gridSpan w:val="2"/>
            <w:tcBorders>
              <w:top w:val="single" w:sz="4" w:space="0" w:color="auto"/>
              <w:left w:val="nil"/>
              <w:bottom w:val="single" w:sz="4" w:space="0" w:color="auto"/>
              <w:right w:val="single" w:sz="4" w:space="0" w:color="auto"/>
            </w:tcBorders>
            <w:shd w:val="clear" w:color="000000" w:fill="BFBFBF"/>
            <w:noWrap/>
          </w:tcPr>
          <w:p w14:paraId="4F682D0F" w14:textId="409986B5" w:rsidR="008E152D" w:rsidRPr="006043C2" w:rsidRDefault="008E152D" w:rsidP="00F76882">
            <w:pPr>
              <w:pStyle w:val="Tableheading"/>
            </w:pPr>
            <w:r w:rsidRPr="006043C2">
              <w:t> 2014</w:t>
            </w:r>
          </w:p>
        </w:tc>
        <w:tc>
          <w:tcPr>
            <w:tcW w:w="390" w:type="pct"/>
            <w:gridSpan w:val="2"/>
            <w:tcBorders>
              <w:top w:val="single" w:sz="4" w:space="0" w:color="auto"/>
              <w:left w:val="nil"/>
              <w:bottom w:val="single" w:sz="4" w:space="0" w:color="auto"/>
              <w:right w:val="single" w:sz="4" w:space="0" w:color="auto"/>
            </w:tcBorders>
            <w:shd w:val="clear" w:color="000000" w:fill="BFBFBF"/>
            <w:noWrap/>
          </w:tcPr>
          <w:p w14:paraId="6A957E0D" w14:textId="1830A79E" w:rsidR="008E152D" w:rsidRPr="006043C2" w:rsidRDefault="008E152D" w:rsidP="00F76882">
            <w:pPr>
              <w:pStyle w:val="Tableheading"/>
            </w:pPr>
            <w:r w:rsidRPr="006043C2">
              <w:t>2015</w:t>
            </w:r>
          </w:p>
        </w:tc>
        <w:tc>
          <w:tcPr>
            <w:tcW w:w="389" w:type="pct"/>
            <w:gridSpan w:val="2"/>
            <w:tcBorders>
              <w:top w:val="single" w:sz="4" w:space="0" w:color="auto"/>
              <w:left w:val="nil"/>
              <w:bottom w:val="single" w:sz="4" w:space="0" w:color="auto"/>
              <w:right w:val="single" w:sz="4" w:space="0" w:color="auto"/>
            </w:tcBorders>
            <w:shd w:val="clear" w:color="000000" w:fill="BFBFBF"/>
            <w:noWrap/>
          </w:tcPr>
          <w:p w14:paraId="04119E41" w14:textId="1D9B1AF0" w:rsidR="008E152D" w:rsidRPr="006043C2" w:rsidRDefault="008E152D" w:rsidP="00F76882">
            <w:pPr>
              <w:pStyle w:val="Tableheading"/>
            </w:pPr>
            <w:r w:rsidRPr="006043C2">
              <w:t>2016</w:t>
            </w:r>
          </w:p>
        </w:tc>
        <w:tc>
          <w:tcPr>
            <w:tcW w:w="390" w:type="pct"/>
            <w:gridSpan w:val="2"/>
            <w:tcBorders>
              <w:top w:val="single" w:sz="4" w:space="0" w:color="auto"/>
              <w:left w:val="nil"/>
              <w:bottom w:val="single" w:sz="4" w:space="0" w:color="auto"/>
              <w:right w:val="single" w:sz="4" w:space="0" w:color="auto"/>
            </w:tcBorders>
            <w:shd w:val="clear" w:color="000000" w:fill="BFBFBF"/>
            <w:noWrap/>
          </w:tcPr>
          <w:p w14:paraId="32F0DBD0" w14:textId="6265280D" w:rsidR="008E152D" w:rsidRPr="006043C2" w:rsidRDefault="008E152D" w:rsidP="00F76882">
            <w:pPr>
              <w:pStyle w:val="Tableheading"/>
            </w:pPr>
            <w:r w:rsidRPr="006043C2">
              <w:t>2017</w:t>
            </w:r>
          </w:p>
        </w:tc>
        <w:tc>
          <w:tcPr>
            <w:tcW w:w="390" w:type="pct"/>
            <w:gridSpan w:val="2"/>
            <w:tcBorders>
              <w:top w:val="single" w:sz="4" w:space="0" w:color="auto"/>
              <w:left w:val="nil"/>
              <w:bottom w:val="single" w:sz="4" w:space="0" w:color="auto"/>
              <w:right w:val="single" w:sz="4" w:space="0" w:color="auto"/>
            </w:tcBorders>
            <w:shd w:val="clear" w:color="000000" w:fill="BFBFBF"/>
            <w:noWrap/>
          </w:tcPr>
          <w:p w14:paraId="5D2D76E1" w14:textId="5DBE63C5" w:rsidR="008E152D" w:rsidRPr="006043C2" w:rsidRDefault="008E152D" w:rsidP="00F76882">
            <w:pPr>
              <w:pStyle w:val="Tableheading"/>
            </w:pPr>
            <w:r w:rsidRPr="006043C2">
              <w:t>2018</w:t>
            </w:r>
          </w:p>
        </w:tc>
        <w:tc>
          <w:tcPr>
            <w:tcW w:w="390" w:type="pct"/>
            <w:gridSpan w:val="2"/>
            <w:tcBorders>
              <w:top w:val="single" w:sz="4" w:space="0" w:color="auto"/>
              <w:left w:val="nil"/>
              <w:bottom w:val="single" w:sz="4" w:space="0" w:color="auto"/>
              <w:right w:val="single" w:sz="4" w:space="0" w:color="auto"/>
            </w:tcBorders>
            <w:shd w:val="clear" w:color="000000" w:fill="BFBFBF"/>
            <w:noWrap/>
          </w:tcPr>
          <w:p w14:paraId="3436780C" w14:textId="6C066FBB" w:rsidR="008E152D" w:rsidRPr="006043C2" w:rsidRDefault="008E152D" w:rsidP="00F76882">
            <w:pPr>
              <w:pStyle w:val="Tableheading"/>
            </w:pPr>
            <w:r w:rsidRPr="006043C2">
              <w:t>2019</w:t>
            </w:r>
          </w:p>
        </w:tc>
        <w:tc>
          <w:tcPr>
            <w:tcW w:w="390" w:type="pct"/>
            <w:gridSpan w:val="2"/>
            <w:tcBorders>
              <w:top w:val="single" w:sz="4" w:space="0" w:color="auto"/>
              <w:left w:val="nil"/>
              <w:bottom w:val="single" w:sz="4" w:space="0" w:color="auto"/>
              <w:right w:val="single" w:sz="4" w:space="0" w:color="auto"/>
            </w:tcBorders>
            <w:shd w:val="clear" w:color="000000" w:fill="BFBFBF"/>
            <w:noWrap/>
          </w:tcPr>
          <w:p w14:paraId="28A823D3" w14:textId="4DF939BE" w:rsidR="008E152D" w:rsidRPr="006043C2" w:rsidRDefault="008E152D" w:rsidP="00F76882">
            <w:pPr>
              <w:pStyle w:val="Tableheading"/>
            </w:pPr>
            <w:r w:rsidRPr="006043C2">
              <w:t>2020</w:t>
            </w:r>
          </w:p>
        </w:tc>
        <w:tc>
          <w:tcPr>
            <w:tcW w:w="390" w:type="pct"/>
            <w:gridSpan w:val="2"/>
            <w:tcBorders>
              <w:top w:val="single" w:sz="4" w:space="0" w:color="auto"/>
              <w:left w:val="nil"/>
              <w:bottom w:val="single" w:sz="4" w:space="0" w:color="auto"/>
              <w:right w:val="single" w:sz="4" w:space="0" w:color="auto"/>
            </w:tcBorders>
            <w:shd w:val="clear" w:color="000000" w:fill="BFBFBF"/>
            <w:noWrap/>
          </w:tcPr>
          <w:p w14:paraId="2928D313" w14:textId="6D28FB92" w:rsidR="008E152D" w:rsidRPr="006043C2" w:rsidRDefault="008E152D" w:rsidP="00F76882">
            <w:pPr>
              <w:pStyle w:val="Tableheading"/>
            </w:pPr>
            <w:r w:rsidRPr="006043C2">
              <w:t>2021</w:t>
            </w:r>
          </w:p>
        </w:tc>
        <w:tc>
          <w:tcPr>
            <w:tcW w:w="390" w:type="pct"/>
            <w:gridSpan w:val="2"/>
            <w:tcBorders>
              <w:top w:val="single" w:sz="4" w:space="0" w:color="auto"/>
              <w:left w:val="nil"/>
              <w:bottom w:val="single" w:sz="4" w:space="0" w:color="auto"/>
              <w:right w:val="single" w:sz="4" w:space="0" w:color="auto"/>
            </w:tcBorders>
            <w:shd w:val="clear" w:color="000000" w:fill="BFBFBF"/>
          </w:tcPr>
          <w:p w14:paraId="557329B9" w14:textId="5848102A" w:rsidR="008E152D" w:rsidRPr="006043C2" w:rsidRDefault="008E152D" w:rsidP="00F76882">
            <w:pPr>
              <w:pStyle w:val="Tableheading"/>
            </w:pPr>
            <w:r w:rsidRPr="006043C2">
              <w:t>2022</w:t>
            </w:r>
          </w:p>
        </w:tc>
        <w:tc>
          <w:tcPr>
            <w:tcW w:w="390" w:type="pct"/>
            <w:gridSpan w:val="2"/>
            <w:tcBorders>
              <w:top w:val="single" w:sz="4" w:space="0" w:color="auto"/>
              <w:left w:val="nil"/>
              <w:bottom w:val="single" w:sz="4" w:space="0" w:color="auto"/>
              <w:right w:val="single" w:sz="4" w:space="0" w:color="auto"/>
            </w:tcBorders>
            <w:shd w:val="clear" w:color="000000" w:fill="BFBFBF"/>
            <w:noWrap/>
            <w:hideMark/>
          </w:tcPr>
          <w:p w14:paraId="3E147067" w14:textId="77777777" w:rsidR="008E152D" w:rsidRPr="006043C2" w:rsidRDefault="008E152D" w:rsidP="00F76882">
            <w:pPr>
              <w:pStyle w:val="Tableheading"/>
            </w:pPr>
            <w:r w:rsidRPr="006043C2">
              <w:t>2023</w:t>
            </w:r>
          </w:p>
        </w:tc>
        <w:tc>
          <w:tcPr>
            <w:tcW w:w="384" w:type="pct"/>
            <w:gridSpan w:val="2"/>
            <w:tcBorders>
              <w:top w:val="single" w:sz="4" w:space="0" w:color="auto"/>
              <w:left w:val="nil"/>
              <w:bottom w:val="single" w:sz="4" w:space="0" w:color="auto"/>
              <w:right w:val="single" w:sz="4" w:space="0" w:color="auto"/>
            </w:tcBorders>
            <w:shd w:val="clear" w:color="000000" w:fill="BFBFBF"/>
          </w:tcPr>
          <w:p w14:paraId="67C5068E" w14:textId="0114CC94" w:rsidR="008E152D" w:rsidRPr="006043C2" w:rsidRDefault="008E152D" w:rsidP="00F76882">
            <w:pPr>
              <w:pStyle w:val="Tableheading"/>
            </w:pPr>
            <w:r w:rsidRPr="006043C2">
              <w:t>2024</w:t>
            </w:r>
          </w:p>
        </w:tc>
      </w:tr>
      <w:tr w:rsidR="009F4A82" w:rsidRPr="0036007C" w14:paraId="3FE22D85" w14:textId="09955DB9" w:rsidTr="001A74E9">
        <w:trPr>
          <w:trHeight w:val="290"/>
        </w:trPr>
        <w:tc>
          <w:tcPr>
            <w:tcW w:w="713" w:type="pct"/>
            <w:tcBorders>
              <w:top w:val="nil"/>
              <w:left w:val="single" w:sz="4" w:space="0" w:color="auto"/>
              <w:bottom w:val="single" w:sz="4" w:space="0" w:color="auto"/>
              <w:right w:val="single" w:sz="4" w:space="0" w:color="auto"/>
            </w:tcBorders>
            <w:hideMark/>
          </w:tcPr>
          <w:p w14:paraId="0D6D7974" w14:textId="514F41A7" w:rsidR="009F4A82" w:rsidRPr="003D3BBA" w:rsidRDefault="009F4A82" w:rsidP="00F76882">
            <w:pPr>
              <w:pStyle w:val="Tabletextleft"/>
            </w:pPr>
            <w:r w:rsidRPr="003D3BBA">
              <w:t xml:space="preserve">Communities at-risk* </w:t>
            </w:r>
          </w:p>
        </w:tc>
        <w:tc>
          <w:tcPr>
            <w:tcW w:w="391" w:type="pct"/>
            <w:gridSpan w:val="2"/>
            <w:tcBorders>
              <w:top w:val="single" w:sz="4" w:space="0" w:color="auto"/>
              <w:left w:val="nil"/>
              <w:bottom w:val="single" w:sz="4" w:space="0" w:color="auto"/>
              <w:right w:val="single" w:sz="4" w:space="0" w:color="auto"/>
            </w:tcBorders>
            <w:noWrap/>
            <w:hideMark/>
          </w:tcPr>
          <w:p w14:paraId="3BD8FF27" w14:textId="3D26854C" w:rsidR="009F4A82" w:rsidRPr="006043C2" w:rsidRDefault="009F4A82" w:rsidP="00F76882">
            <w:pPr>
              <w:pStyle w:val="Tabletext"/>
            </w:pPr>
            <w:r w:rsidRPr="006043C2">
              <w:t>66</w:t>
            </w:r>
          </w:p>
        </w:tc>
        <w:tc>
          <w:tcPr>
            <w:tcW w:w="390" w:type="pct"/>
            <w:gridSpan w:val="2"/>
            <w:tcBorders>
              <w:top w:val="single" w:sz="4" w:space="0" w:color="auto"/>
              <w:left w:val="nil"/>
              <w:bottom w:val="single" w:sz="4" w:space="0" w:color="auto"/>
              <w:right w:val="single" w:sz="4" w:space="0" w:color="auto"/>
            </w:tcBorders>
            <w:noWrap/>
            <w:hideMark/>
          </w:tcPr>
          <w:p w14:paraId="0EC154DC" w14:textId="33427538" w:rsidR="009F4A82" w:rsidRPr="006043C2" w:rsidRDefault="009F4A82" w:rsidP="00F76882">
            <w:pPr>
              <w:pStyle w:val="Tabletext"/>
            </w:pPr>
            <w:r w:rsidRPr="006043C2">
              <w:t>58</w:t>
            </w:r>
          </w:p>
        </w:tc>
        <w:tc>
          <w:tcPr>
            <w:tcW w:w="389" w:type="pct"/>
            <w:gridSpan w:val="2"/>
            <w:tcBorders>
              <w:top w:val="single" w:sz="4" w:space="0" w:color="auto"/>
              <w:left w:val="nil"/>
              <w:bottom w:val="single" w:sz="4" w:space="0" w:color="auto"/>
              <w:right w:val="single" w:sz="4" w:space="0" w:color="auto"/>
            </w:tcBorders>
            <w:noWrap/>
            <w:hideMark/>
          </w:tcPr>
          <w:p w14:paraId="29E13FA9" w14:textId="0189B858" w:rsidR="009F4A82" w:rsidRPr="006043C2" w:rsidRDefault="009F4A82" w:rsidP="00F76882">
            <w:pPr>
              <w:pStyle w:val="Tabletext"/>
            </w:pPr>
            <w:r w:rsidRPr="006043C2">
              <w:t>51</w:t>
            </w:r>
          </w:p>
        </w:tc>
        <w:tc>
          <w:tcPr>
            <w:tcW w:w="390" w:type="pct"/>
            <w:gridSpan w:val="2"/>
            <w:tcBorders>
              <w:top w:val="single" w:sz="4" w:space="0" w:color="auto"/>
              <w:left w:val="nil"/>
              <w:bottom w:val="single" w:sz="4" w:space="0" w:color="auto"/>
              <w:right w:val="single" w:sz="4" w:space="0" w:color="auto"/>
            </w:tcBorders>
            <w:noWrap/>
            <w:hideMark/>
          </w:tcPr>
          <w:p w14:paraId="4153F1AA" w14:textId="31538177" w:rsidR="009F4A82" w:rsidRPr="006043C2" w:rsidRDefault="009F4A82" w:rsidP="00F76882">
            <w:pPr>
              <w:pStyle w:val="Tabletext"/>
            </w:pPr>
            <w:r w:rsidRPr="006043C2">
              <w:t>41</w:t>
            </w:r>
          </w:p>
        </w:tc>
        <w:tc>
          <w:tcPr>
            <w:tcW w:w="390" w:type="pct"/>
            <w:gridSpan w:val="2"/>
            <w:tcBorders>
              <w:top w:val="single" w:sz="4" w:space="0" w:color="auto"/>
              <w:left w:val="nil"/>
              <w:bottom w:val="single" w:sz="4" w:space="0" w:color="auto"/>
              <w:right w:val="single" w:sz="4" w:space="0" w:color="auto"/>
            </w:tcBorders>
            <w:noWrap/>
            <w:hideMark/>
          </w:tcPr>
          <w:p w14:paraId="4C6AD43C" w14:textId="258674E1" w:rsidR="009F4A82" w:rsidRPr="006043C2" w:rsidRDefault="009F4A82" w:rsidP="00F76882">
            <w:pPr>
              <w:pStyle w:val="Tabletext"/>
            </w:pPr>
            <w:r w:rsidRPr="006043C2">
              <w:t>4</w:t>
            </w:r>
            <w:r w:rsidR="002750CA" w:rsidRPr="006043C2">
              <w:t>2</w:t>
            </w:r>
          </w:p>
        </w:tc>
        <w:tc>
          <w:tcPr>
            <w:tcW w:w="390" w:type="pct"/>
            <w:gridSpan w:val="2"/>
            <w:tcBorders>
              <w:top w:val="single" w:sz="4" w:space="0" w:color="auto"/>
              <w:left w:val="nil"/>
              <w:bottom w:val="single" w:sz="4" w:space="0" w:color="auto"/>
              <w:right w:val="single" w:sz="4" w:space="0" w:color="auto"/>
            </w:tcBorders>
            <w:noWrap/>
            <w:hideMark/>
          </w:tcPr>
          <w:p w14:paraId="395CD498" w14:textId="07D23C28" w:rsidR="009F4A82" w:rsidRPr="006043C2" w:rsidRDefault="009F4A82" w:rsidP="00F76882">
            <w:pPr>
              <w:pStyle w:val="Tabletext"/>
            </w:pPr>
            <w:r w:rsidRPr="006043C2">
              <w:t>38</w:t>
            </w:r>
          </w:p>
        </w:tc>
        <w:tc>
          <w:tcPr>
            <w:tcW w:w="390" w:type="pct"/>
            <w:gridSpan w:val="2"/>
            <w:tcBorders>
              <w:top w:val="single" w:sz="4" w:space="0" w:color="auto"/>
              <w:left w:val="nil"/>
              <w:bottom w:val="single" w:sz="4" w:space="0" w:color="auto"/>
              <w:right w:val="single" w:sz="4" w:space="0" w:color="auto"/>
            </w:tcBorders>
            <w:noWrap/>
            <w:hideMark/>
          </w:tcPr>
          <w:p w14:paraId="39549A0B" w14:textId="2ABE1FA2" w:rsidR="009F4A82" w:rsidRPr="006043C2" w:rsidRDefault="009F4A82" w:rsidP="00F76882">
            <w:pPr>
              <w:pStyle w:val="Tabletext"/>
            </w:pPr>
            <w:r w:rsidRPr="006043C2">
              <w:t>36</w:t>
            </w:r>
          </w:p>
        </w:tc>
        <w:tc>
          <w:tcPr>
            <w:tcW w:w="390" w:type="pct"/>
            <w:gridSpan w:val="2"/>
            <w:tcBorders>
              <w:top w:val="single" w:sz="4" w:space="0" w:color="auto"/>
              <w:left w:val="nil"/>
              <w:bottom w:val="single" w:sz="4" w:space="0" w:color="auto"/>
              <w:right w:val="single" w:sz="4" w:space="0" w:color="auto"/>
            </w:tcBorders>
            <w:noWrap/>
            <w:hideMark/>
          </w:tcPr>
          <w:p w14:paraId="7DA67521" w14:textId="77777777" w:rsidR="009F4A82" w:rsidRPr="006043C2" w:rsidRDefault="009F4A82" w:rsidP="00F76882">
            <w:pPr>
              <w:pStyle w:val="Tabletext"/>
            </w:pPr>
            <w:r w:rsidRPr="006043C2">
              <w:t>34</w:t>
            </w:r>
          </w:p>
        </w:tc>
        <w:tc>
          <w:tcPr>
            <w:tcW w:w="390" w:type="pct"/>
            <w:gridSpan w:val="2"/>
            <w:tcBorders>
              <w:top w:val="single" w:sz="4" w:space="0" w:color="auto"/>
              <w:left w:val="nil"/>
              <w:bottom w:val="single" w:sz="4" w:space="0" w:color="auto"/>
              <w:right w:val="single" w:sz="4" w:space="0" w:color="auto"/>
            </w:tcBorders>
            <w:noWrap/>
            <w:hideMark/>
          </w:tcPr>
          <w:p w14:paraId="75E86AB9" w14:textId="77777777" w:rsidR="009F4A82" w:rsidRPr="006043C2" w:rsidRDefault="009F4A82" w:rsidP="00F76882">
            <w:pPr>
              <w:pStyle w:val="Tabletext"/>
            </w:pPr>
            <w:r w:rsidRPr="006043C2">
              <w:t>31</w:t>
            </w:r>
          </w:p>
        </w:tc>
        <w:tc>
          <w:tcPr>
            <w:tcW w:w="390" w:type="pct"/>
            <w:gridSpan w:val="2"/>
            <w:tcBorders>
              <w:top w:val="single" w:sz="4" w:space="0" w:color="auto"/>
              <w:left w:val="nil"/>
              <w:bottom w:val="single" w:sz="4" w:space="0" w:color="auto"/>
              <w:right w:val="single" w:sz="4" w:space="0" w:color="auto"/>
            </w:tcBorders>
            <w:noWrap/>
            <w:hideMark/>
          </w:tcPr>
          <w:p w14:paraId="70531F3C" w14:textId="77777777" w:rsidR="009F4A82" w:rsidRPr="006043C2" w:rsidRDefault="009F4A82" w:rsidP="00F76882">
            <w:pPr>
              <w:pStyle w:val="Tabletext"/>
            </w:pPr>
            <w:r w:rsidRPr="006043C2">
              <w:t>34</w:t>
            </w:r>
          </w:p>
        </w:tc>
        <w:tc>
          <w:tcPr>
            <w:tcW w:w="384" w:type="pct"/>
            <w:gridSpan w:val="2"/>
            <w:tcBorders>
              <w:top w:val="single" w:sz="4" w:space="0" w:color="auto"/>
              <w:left w:val="nil"/>
              <w:bottom w:val="single" w:sz="4" w:space="0" w:color="auto"/>
              <w:right w:val="single" w:sz="4" w:space="0" w:color="auto"/>
            </w:tcBorders>
          </w:tcPr>
          <w:p w14:paraId="28C1AD64" w14:textId="691048D8" w:rsidR="009F4A82" w:rsidRPr="006043C2" w:rsidRDefault="009F4A82" w:rsidP="00F76882">
            <w:pPr>
              <w:pStyle w:val="Tabletext"/>
            </w:pPr>
            <w:r w:rsidRPr="006043C2">
              <w:t>33</w:t>
            </w:r>
          </w:p>
        </w:tc>
      </w:tr>
      <w:tr w:rsidR="009F4A82" w:rsidRPr="0036007C" w14:paraId="44610CB8" w14:textId="257DDDFE" w:rsidTr="001A74E9">
        <w:trPr>
          <w:trHeight w:val="580"/>
        </w:trPr>
        <w:tc>
          <w:tcPr>
            <w:tcW w:w="713" w:type="pct"/>
            <w:tcBorders>
              <w:top w:val="nil"/>
              <w:left w:val="single" w:sz="4" w:space="0" w:color="auto"/>
              <w:bottom w:val="single" w:sz="4" w:space="0" w:color="auto"/>
              <w:right w:val="single" w:sz="4" w:space="0" w:color="auto"/>
            </w:tcBorders>
            <w:shd w:val="clear" w:color="000000" w:fill="BFBFBF"/>
            <w:hideMark/>
          </w:tcPr>
          <w:p w14:paraId="62F9105F" w14:textId="5F37AC37" w:rsidR="009F4A82" w:rsidRPr="003D3BBA" w:rsidRDefault="009F4A82" w:rsidP="00F76882">
            <w:pPr>
              <w:pStyle w:val="Tabletextleft"/>
            </w:pPr>
            <w:r w:rsidRPr="003D3BBA">
              <w:t>At-risk communities not screened or treated without screening†</w:t>
            </w:r>
          </w:p>
        </w:tc>
        <w:tc>
          <w:tcPr>
            <w:tcW w:w="391" w:type="pct"/>
            <w:gridSpan w:val="2"/>
            <w:tcBorders>
              <w:top w:val="single" w:sz="4" w:space="0" w:color="auto"/>
              <w:left w:val="nil"/>
              <w:bottom w:val="single" w:sz="4" w:space="0" w:color="auto"/>
              <w:right w:val="single" w:sz="4" w:space="0" w:color="auto"/>
            </w:tcBorders>
            <w:shd w:val="clear" w:color="000000" w:fill="BFBFBF"/>
            <w:noWrap/>
            <w:hideMark/>
          </w:tcPr>
          <w:p w14:paraId="07F5EA2D" w14:textId="66AEA8E8" w:rsidR="009F4A82" w:rsidRPr="006043C2" w:rsidRDefault="009F4A82" w:rsidP="00F76882">
            <w:pPr>
              <w:pStyle w:val="Tabletext"/>
            </w:pPr>
            <w:r w:rsidRPr="006043C2">
              <w:t>10</w:t>
            </w:r>
          </w:p>
        </w:tc>
        <w:tc>
          <w:tcPr>
            <w:tcW w:w="390" w:type="pct"/>
            <w:gridSpan w:val="2"/>
            <w:tcBorders>
              <w:top w:val="single" w:sz="4" w:space="0" w:color="auto"/>
              <w:left w:val="nil"/>
              <w:bottom w:val="single" w:sz="4" w:space="0" w:color="auto"/>
              <w:right w:val="single" w:sz="4" w:space="0" w:color="auto"/>
            </w:tcBorders>
            <w:shd w:val="clear" w:color="000000" w:fill="BFBFBF"/>
            <w:noWrap/>
            <w:hideMark/>
          </w:tcPr>
          <w:p w14:paraId="002575C7" w14:textId="33F89AF6" w:rsidR="009F4A82" w:rsidRPr="006043C2" w:rsidRDefault="009F4A82" w:rsidP="00F76882">
            <w:pPr>
              <w:pStyle w:val="Tabletext"/>
            </w:pPr>
            <w:r w:rsidRPr="006043C2">
              <w:t>43</w:t>
            </w:r>
          </w:p>
        </w:tc>
        <w:tc>
          <w:tcPr>
            <w:tcW w:w="389" w:type="pct"/>
            <w:gridSpan w:val="2"/>
            <w:tcBorders>
              <w:top w:val="single" w:sz="4" w:space="0" w:color="auto"/>
              <w:left w:val="nil"/>
              <w:bottom w:val="single" w:sz="4" w:space="0" w:color="auto"/>
              <w:right w:val="single" w:sz="4" w:space="0" w:color="auto"/>
            </w:tcBorders>
            <w:shd w:val="clear" w:color="000000" w:fill="BFBFBF"/>
            <w:noWrap/>
            <w:hideMark/>
          </w:tcPr>
          <w:p w14:paraId="3823F3F6" w14:textId="748FDD54" w:rsidR="009F4A82" w:rsidRPr="006043C2" w:rsidRDefault="009F4A82" w:rsidP="00F76882">
            <w:pPr>
              <w:pStyle w:val="Tabletext"/>
            </w:pPr>
            <w:r w:rsidRPr="006043C2">
              <w:t>15</w:t>
            </w:r>
          </w:p>
        </w:tc>
        <w:tc>
          <w:tcPr>
            <w:tcW w:w="390" w:type="pct"/>
            <w:gridSpan w:val="2"/>
            <w:tcBorders>
              <w:top w:val="single" w:sz="4" w:space="0" w:color="auto"/>
              <w:left w:val="nil"/>
              <w:bottom w:val="single" w:sz="4" w:space="0" w:color="auto"/>
              <w:right w:val="single" w:sz="4" w:space="0" w:color="auto"/>
            </w:tcBorders>
            <w:shd w:val="clear" w:color="000000" w:fill="BFBFBF"/>
            <w:noWrap/>
            <w:hideMark/>
          </w:tcPr>
          <w:p w14:paraId="565305B3" w14:textId="2360FBB0" w:rsidR="009F4A82" w:rsidRPr="006043C2" w:rsidRDefault="009F4A82" w:rsidP="00F76882">
            <w:pPr>
              <w:pStyle w:val="Tabletext"/>
            </w:pPr>
            <w:r w:rsidRPr="006043C2">
              <w:t>7</w:t>
            </w:r>
          </w:p>
        </w:tc>
        <w:tc>
          <w:tcPr>
            <w:tcW w:w="390" w:type="pct"/>
            <w:gridSpan w:val="2"/>
            <w:tcBorders>
              <w:top w:val="single" w:sz="4" w:space="0" w:color="auto"/>
              <w:left w:val="nil"/>
              <w:bottom w:val="single" w:sz="4" w:space="0" w:color="auto"/>
              <w:right w:val="single" w:sz="4" w:space="0" w:color="auto"/>
            </w:tcBorders>
            <w:shd w:val="clear" w:color="000000" w:fill="BFBFBF"/>
            <w:noWrap/>
            <w:hideMark/>
          </w:tcPr>
          <w:p w14:paraId="4A0E8A61" w14:textId="257BFD7B" w:rsidR="009F4A82" w:rsidRPr="006043C2" w:rsidRDefault="002750CA" w:rsidP="00F76882">
            <w:pPr>
              <w:pStyle w:val="Tabletext"/>
            </w:pPr>
            <w:r w:rsidRPr="006043C2">
              <w:t>2</w:t>
            </w:r>
          </w:p>
        </w:tc>
        <w:tc>
          <w:tcPr>
            <w:tcW w:w="390" w:type="pct"/>
            <w:gridSpan w:val="2"/>
            <w:tcBorders>
              <w:top w:val="single" w:sz="4" w:space="0" w:color="auto"/>
              <w:left w:val="nil"/>
              <w:bottom w:val="single" w:sz="4" w:space="0" w:color="auto"/>
              <w:right w:val="single" w:sz="4" w:space="0" w:color="auto"/>
            </w:tcBorders>
            <w:shd w:val="clear" w:color="000000" w:fill="BFBFBF"/>
            <w:noWrap/>
            <w:hideMark/>
          </w:tcPr>
          <w:p w14:paraId="2ADF89B9" w14:textId="56C05777" w:rsidR="009F4A82" w:rsidRPr="006043C2" w:rsidRDefault="009F4A82" w:rsidP="00F76882">
            <w:pPr>
              <w:pStyle w:val="Tabletext"/>
            </w:pPr>
            <w:r w:rsidRPr="006043C2">
              <w:t>3</w:t>
            </w:r>
          </w:p>
        </w:tc>
        <w:tc>
          <w:tcPr>
            <w:tcW w:w="390" w:type="pct"/>
            <w:gridSpan w:val="2"/>
            <w:tcBorders>
              <w:top w:val="single" w:sz="4" w:space="0" w:color="auto"/>
              <w:left w:val="nil"/>
              <w:bottom w:val="single" w:sz="4" w:space="0" w:color="auto"/>
              <w:right w:val="single" w:sz="4" w:space="0" w:color="auto"/>
            </w:tcBorders>
            <w:shd w:val="clear" w:color="000000" w:fill="BFBFBF"/>
            <w:noWrap/>
            <w:hideMark/>
          </w:tcPr>
          <w:p w14:paraId="5CB359EB" w14:textId="065C9CAF" w:rsidR="009F4A82" w:rsidRPr="006043C2" w:rsidRDefault="009F4A82" w:rsidP="00F76882">
            <w:pPr>
              <w:pStyle w:val="Tabletext"/>
            </w:pPr>
            <w:r w:rsidRPr="006043C2">
              <w:t>2</w:t>
            </w:r>
          </w:p>
        </w:tc>
        <w:tc>
          <w:tcPr>
            <w:tcW w:w="390" w:type="pct"/>
            <w:gridSpan w:val="2"/>
            <w:tcBorders>
              <w:top w:val="single" w:sz="4" w:space="0" w:color="auto"/>
              <w:left w:val="nil"/>
              <w:bottom w:val="single" w:sz="4" w:space="0" w:color="auto"/>
              <w:right w:val="single" w:sz="4" w:space="0" w:color="auto"/>
            </w:tcBorders>
            <w:shd w:val="clear" w:color="000000" w:fill="BFBFBF"/>
            <w:noWrap/>
            <w:hideMark/>
          </w:tcPr>
          <w:p w14:paraId="678D72CC" w14:textId="77777777" w:rsidR="009F4A82" w:rsidRPr="006043C2" w:rsidRDefault="009F4A82" w:rsidP="00F76882">
            <w:pPr>
              <w:pStyle w:val="Tabletext"/>
            </w:pPr>
            <w:r w:rsidRPr="006043C2">
              <w:t>6</w:t>
            </w:r>
          </w:p>
        </w:tc>
        <w:tc>
          <w:tcPr>
            <w:tcW w:w="390" w:type="pct"/>
            <w:gridSpan w:val="2"/>
            <w:tcBorders>
              <w:top w:val="single" w:sz="4" w:space="0" w:color="auto"/>
              <w:left w:val="nil"/>
              <w:bottom w:val="single" w:sz="4" w:space="0" w:color="auto"/>
              <w:right w:val="single" w:sz="4" w:space="0" w:color="auto"/>
            </w:tcBorders>
            <w:shd w:val="clear" w:color="000000" w:fill="BFBFBF"/>
            <w:noWrap/>
            <w:hideMark/>
          </w:tcPr>
          <w:p w14:paraId="3879E190" w14:textId="77777777" w:rsidR="009F4A82" w:rsidRPr="006043C2" w:rsidRDefault="009F4A82" w:rsidP="00F76882">
            <w:pPr>
              <w:pStyle w:val="Tabletext"/>
            </w:pPr>
            <w:r w:rsidRPr="006043C2">
              <w:t>4</w:t>
            </w:r>
          </w:p>
        </w:tc>
        <w:tc>
          <w:tcPr>
            <w:tcW w:w="390" w:type="pct"/>
            <w:gridSpan w:val="2"/>
            <w:tcBorders>
              <w:top w:val="single" w:sz="4" w:space="0" w:color="auto"/>
              <w:left w:val="nil"/>
              <w:bottom w:val="single" w:sz="4" w:space="0" w:color="auto"/>
              <w:right w:val="single" w:sz="4" w:space="0" w:color="auto"/>
            </w:tcBorders>
            <w:shd w:val="clear" w:color="000000" w:fill="BFBFBF"/>
            <w:noWrap/>
            <w:hideMark/>
          </w:tcPr>
          <w:p w14:paraId="36CF28E8" w14:textId="77777777" w:rsidR="009F4A82" w:rsidRPr="006043C2" w:rsidRDefault="009F4A82" w:rsidP="00F76882">
            <w:pPr>
              <w:pStyle w:val="Tabletext"/>
            </w:pPr>
            <w:r w:rsidRPr="006043C2">
              <w:t>9</w:t>
            </w:r>
          </w:p>
        </w:tc>
        <w:tc>
          <w:tcPr>
            <w:tcW w:w="384" w:type="pct"/>
            <w:gridSpan w:val="2"/>
            <w:tcBorders>
              <w:top w:val="single" w:sz="4" w:space="0" w:color="auto"/>
              <w:left w:val="nil"/>
              <w:bottom w:val="single" w:sz="4" w:space="0" w:color="auto"/>
              <w:right w:val="single" w:sz="4" w:space="0" w:color="auto"/>
            </w:tcBorders>
            <w:shd w:val="clear" w:color="000000" w:fill="BFBFBF"/>
          </w:tcPr>
          <w:p w14:paraId="74074783" w14:textId="30C77584" w:rsidR="009F4A82" w:rsidRPr="006043C2" w:rsidRDefault="009F4A82" w:rsidP="00F76882">
            <w:pPr>
              <w:pStyle w:val="Tabletext"/>
            </w:pPr>
            <w:r w:rsidRPr="006043C2">
              <w:t>7</w:t>
            </w:r>
          </w:p>
        </w:tc>
      </w:tr>
      <w:tr w:rsidR="009F4A82" w:rsidRPr="0036007C" w14:paraId="52A932F8" w14:textId="6015D487" w:rsidTr="001A74E9">
        <w:trPr>
          <w:trHeight w:val="580"/>
        </w:trPr>
        <w:tc>
          <w:tcPr>
            <w:tcW w:w="713" w:type="pct"/>
            <w:tcBorders>
              <w:top w:val="nil"/>
              <w:left w:val="single" w:sz="4" w:space="0" w:color="auto"/>
              <w:bottom w:val="single" w:sz="4" w:space="0" w:color="auto"/>
              <w:right w:val="single" w:sz="4" w:space="0" w:color="auto"/>
            </w:tcBorders>
            <w:hideMark/>
          </w:tcPr>
          <w:p w14:paraId="5A31D0C6" w14:textId="45841EDB" w:rsidR="009F4A82" w:rsidRPr="007C3001" w:rsidRDefault="009F4A82" w:rsidP="00F76882">
            <w:pPr>
              <w:pStyle w:val="Tabletextleft"/>
            </w:pPr>
            <w:r w:rsidRPr="007C3001">
              <w:t>At-risk communities screened</w:t>
            </w:r>
          </w:p>
        </w:tc>
        <w:tc>
          <w:tcPr>
            <w:tcW w:w="391" w:type="pct"/>
            <w:gridSpan w:val="2"/>
            <w:tcBorders>
              <w:top w:val="single" w:sz="4" w:space="0" w:color="auto"/>
              <w:left w:val="nil"/>
              <w:bottom w:val="single" w:sz="4" w:space="0" w:color="auto"/>
              <w:right w:val="single" w:sz="4" w:space="0" w:color="auto"/>
            </w:tcBorders>
            <w:noWrap/>
            <w:hideMark/>
          </w:tcPr>
          <w:p w14:paraId="44232547" w14:textId="5446DA03" w:rsidR="009F4A82" w:rsidRPr="006043C2" w:rsidRDefault="009F4A82" w:rsidP="00F76882">
            <w:pPr>
              <w:pStyle w:val="Tabletext"/>
            </w:pPr>
            <w:r w:rsidRPr="006043C2">
              <w:t>56</w:t>
            </w:r>
          </w:p>
        </w:tc>
        <w:tc>
          <w:tcPr>
            <w:tcW w:w="390" w:type="pct"/>
            <w:gridSpan w:val="2"/>
            <w:tcBorders>
              <w:top w:val="single" w:sz="4" w:space="0" w:color="auto"/>
              <w:left w:val="nil"/>
              <w:bottom w:val="single" w:sz="4" w:space="0" w:color="auto"/>
              <w:right w:val="single" w:sz="4" w:space="0" w:color="auto"/>
            </w:tcBorders>
            <w:noWrap/>
            <w:hideMark/>
          </w:tcPr>
          <w:p w14:paraId="1359FD79" w14:textId="1B454706" w:rsidR="009F4A82" w:rsidRPr="006043C2" w:rsidRDefault="009F4A82" w:rsidP="00F76882">
            <w:pPr>
              <w:pStyle w:val="Tabletext"/>
            </w:pPr>
            <w:r w:rsidRPr="006043C2">
              <w:t>15</w:t>
            </w:r>
          </w:p>
        </w:tc>
        <w:tc>
          <w:tcPr>
            <w:tcW w:w="389" w:type="pct"/>
            <w:gridSpan w:val="2"/>
            <w:tcBorders>
              <w:top w:val="single" w:sz="4" w:space="0" w:color="auto"/>
              <w:left w:val="nil"/>
              <w:bottom w:val="single" w:sz="4" w:space="0" w:color="auto"/>
              <w:right w:val="single" w:sz="4" w:space="0" w:color="auto"/>
            </w:tcBorders>
            <w:noWrap/>
            <w:hideMark/>
          </w:tcPr>
          <w:p w14:paraId="7E5DB4EA" w14:textId="59D4A5BB" w:rsidR="009F4A82" w:rsidRPr="006043C2" w:rsidRDefault="009F4A82" w:rsidP="00F76882">
            <w:pPr>
              <w:pStyle w:val="Tabletext"/>
            </w:pPr>
            <w:r w:rsidRPr="006043C2">
              <w:t>36</w:t>
            </w:r>
          </w:p>
        </w:tc>
        <w:tc>
          <w:tcPr>
            <w:tcW w:w="390" w:type="pct"/>
            <w:gridSpan w:val="2"/>
            <w:tcBorders>
              <w:top w:val="single" w:sz="4" w:space="0" w:color="auto"/>
              <w:left w:val="nil"/>
              <w:bottom w:val="single" w:sz="4" w:space="0" w:color="auto"/>
              <w:right w:val="single" w:sz="4" w:space="0" w:color="auto"/>
            </w:tcBorders>
            <w:noWrap/>
            <w:hideMark/>
          </w:tcPr>
          <w:p w14:paraId="6BF26A6B" w14:textId="6BE7DEEB" w:rsidR="009F4A82" w:rsidRPr="006043C2" w:rsidRDefault="009F4A82" w:rsidP="00F76882">
            <w:pPr>
              <w:pStyle w:val="Tabletext"/>
            </w:pPr>
            <w:r w:rsidRPr="006043C2">
              <w:t>34</w:t>
            </w:r>
          </w:p>
        </w:tc>
        <w:tc>
          <w:tcPr>
            <w:tcW w:w="390" w:type="pct"/>
            <w:gridSpan w:val="2"/>
            <w:tcBorders>
              <w:top w:val="single" w:sz="4" w:space="0" w:color="auto"/>
              <w:left w:val="nil"/>
              <w:bottom w:val="single" w:sz="4" w:space="0" w:color="auto"/>
              <w:right w:val="single" w:sz="4" w:space="0" w:color="auto"/>
            </w:tcBorders>
            <w:noWrap/>
            <w:hideMark/>
          </w:tcPr>
          <w:p w14:paraId="4DE97CFD" w14:textId="7970EC9B" w:rsidR="009F4A82" w:rsidRPr="006043C2" w:rsidRDefault="009F4A82" w:rsidP="00F76882">
            <w:pPr>
              <w:pStyle w:val="Tabletext"/>
            </w:pPr>
            <w:r w:rsidRPr="006043C2">
              <w:t>40</w:t>
            </w:r>
          </w:p>
        </w:tc>
        <w:tc>
          <w:tcPr>
            <w:tcW w:w="390" w:type="pct"/>
            <w:gridSpan w:val="2"/>
            <w:tcBorders>
              <w:top w:val="single" w:sz="4" w:space="0" w:color="auto"/>
              <w:left w:val="nil"/>
              <w:bottom w:val="single" w:sz="4" w:space="0" w:color="auto"/>
              <w:right w:val="single" w:sz="4" w:space="0" w:color="auto"/>
            </w:tcBorders>
            <w:noWrap/>
            <w:hideMark/>
          </w:tcPr>
          <w:p w14:paraId="116CC1F7" w14:textId="0AD895EB" w:rsidR="009F4A82" w:rsidRPr="006043C2" w:rsidRDefault="009F4A82" w:rsidP="00F76882">
            <w:pPr>
              <w:pStyle w:val="Tabletext"/>
            </w:pPr>
            <w:r w:rsidRPr="006043C2">
              <w:t>35</w:t>
            </w:r>
          </w:p>
        </w:tc>
        <w:tc>
          <w:tcPr>
            <w:tcW w:w="390" w:type="pct"/>
            <w:gridSpan w:val="2"/>
            <w:tcBorders>
              <w:top w:val="single" w:sz="4" w:space="0" w:color="auto"/>
              <w:left w:val="nil"/>
              <w:bottom w:val="single" w:sz="4" w:space="0" w:color="auto"/>
              <w:right w:val="single" w:sz="4" w:space="0" w:color="auto"/>
            </w:tcBorders>
            <w:noWrap/>
            <w:hideMark/>
          </w:tcPr>
          <w:p w14:paraId="1459E239" w14:textId="036B4091" w:rsidR="009F4A82" w:rsidRPr="006043C2" w:rsidRDefault="009F4A82" w:rsidP="00F76882">
            <w:pPr>
              <w:pStyle w:val="Tabletext"/>
            </w:pPr>
            <w:r w:rsidRPr="006043C2">
              <w:t>34</w:t>
            </w:r>
          </w:p>
        </w:tc>
        <w:tc>
          <w:tcPr>
            <w:tcW w:w="390" w:type="pct"/>
            <w:gridSpan w:val="2"/>
            <w:tcBorders>
              <w:top w:val="single" w:sz="4" w:space="0" w:color="auto"/>
              <w:left w:val="nil"/>
              <w:bottom w:val="single" w:sz="4" w:space="0" w:color="auto"/>
              <w:right w:val="single" w:sz="4" w:space="0" w:color="auto"/>
            </w:tcBorders>
            <w:noWrap/>
            <w:hideMark/>
          </w:tcPr>
          <w:p w14:paraId="57484EBE" w14:textId="77777777" w:rsidR="009F4A82" w:rsidRPr="006043C2" w:rsidRDefault="009F4A82" w:rsidP="00F76882">
            <w:pPr>
              <w:pStyle w:val="Tabletext"/>
            </w:pPr>
            <w:r w:rsidRPr="006043C2">
              <w:t>28</w:t>
            </w:r>
          </w:p>
        </w:tc>
        <w:tc>
          <w:tcPr>
            <w:tcW w:w="390" w:type="pct"/>
            <w:gridSpan w:val="2"/>
            <w:tcBorders>
              <w:top w:val="single" w:sz="4" w:space="0" w:color="auto"/>
              <w:left w:val="nil"/>
              <w:bottom w:val="single" w:sz="4" w:space="0" w:color="auto"/>
              <w:right w:val="single" w:sz="4" w:space="0" w:color="auto"/>
            </w:tcBorders>
            <w:noWrap/>
            <w:hideMark/>
          </w:tcPr>
          <w:p w14:paraId="0C01A50B" w14:textId="77777777" w:rsidR="009F4A82" w:rsidRPr="006043C2" w:rsidRDefault="009F4A82" w:rsidP="00F76882">
            <w:pPr>
              <w:pStyle w:val="Tabletext"/>
            </w:pPr>
            <w:r w:rsidRPr="006043C2">
              <w:t>27</w:t>
            </w:r>
          </w:p>
        </w:tc>
        <w:tc>
          <w:tcPr>
            <w:tcW w:w="390" w:type="pct"/>
            <w:gridSpan w:val="2"/>
            <w:tcBorders>
              <w:top w:val="single" w:sz="4" w:space="0" w:color="auto"/>
              <w:left w:val="nil"/>
              <w:bottom w:val="single" w:sz="4" w:space="0" w:color="auto"/>
              <w:right w:val="single" w:sz="4" w:space="0" w:color="auto"/>
            </w:tcBorders>
            <w:noWrap/>
            <w:hideMark/>
          </w:tcPr>
          <w:p w14:paraId="36255E8E" w14:textId="77777777" w:rsidR="009F4A82" w:rsidRPr="006043C2" w:rsidRDefault="009F4A82" w:rsidP="00F76882">
            <w:pPr>
              <w:pStyle w:val="Tabletext"/>
            </w:pPr>
            <w:r w:rsidRPr="006043C2">
              <w:t>25</w:t>
            </w:r>
          </w:p>
        </w:tc>
        <w:tc>
          <w:tcPr>
            <w:tcW w:w="384" w:type="pct"/>
            <w:gridSpan w:val="2"/>
            <w:tcBorders>
              <w:top w:val="single" w:sz="4" w:space="0" w:color="auto"/>
              <w:left w:val="nil"/>
              <w:bottom w:val="single" w:sz="4" w:space="0" w:color="auto"/>
              <w:right w:val="single" w:sz="4" w:space="0" w:color="auto"/>
            </w:tcBorders>
          </w:tcPr>
          <w:p w14:paraId="28A285E6" w14:textId="6EF403C5" w:rsidR="009F4A82" w:rsidRPr="006043C2" w:rsidRDefault="009F4A82" w:rsidP="00F76882">
            <w:pPr>
              <w:pStyle w:val="Tabletext"/>
            </w:pPr>
            <w:r w:rsidRPr="006043C2">
              <w:t>26</w:t>
            </w:r>
          </w:p>
        </w:tc>
      </w:tr>
      <w:tr w:rsidR="009552C2" w:rsidRPr="0036007C" w14:paraId="0B0C99EC" w14:textId="2A66F579" w:rsidTr="001A74E9">
        <w:trPr>
          <w:trHeight w:val="290"/>
        </w:trPr>
        <w:tc>
          <w:tcPr>
            <w:tcW w:w="713" w:type="pct"/>
            <w:tcBorders>
              <w:top w:val="nil"/>
              <w:left w:val="single" w:sz="4" w:space="0" w:color="auto"/>
              <w:bottom w:val="single" w:sz="4" w:space="0" w:color="auto"/>
              <w:right w:val="single" w:sz="4" w:space="0" w:color="auto"/>
            </w:tcBorders>
            <w:shd w:val="clear" w:color="000000" w:fill="BFBFBF"/>
            <w:noWrap/>
          </w:tcPr>
          <w:p w14:paraId="121F7230" w14:textId="542159CB" w:rsidR="002603D5" w:rsidRPr="003D3BBA" w:rsidRDefault="00961E09" w:rsidP="00F76882">
            <w:pPr>
              <w:pStyle w:val="Tabletextleft"/>
            </w:pPr>
            <w:r w:rsidRPr="003D3BBA">
              <w:t>Observed prevalence (</w:t>
            </w:r>
            <w:r w:rsidR="00861A0D" w:rsidRPr="003D3BBA">
              <w:t>screened communities only)</w:t>
            </w:r>
            <w:r w:rsidR="00661EF9" w:rsidRPr="00495326">
              <w:t xml:space="preserve"> ‡</w:t>
            </w:r>
          </w:p>
        </w:tc>
        <w:tc>
          <w:tcPr>
            <w:tcW w:w="149" w:type="pct"/>
            <w:tcBorders>
              <w:top w:val="nil"/>
              <w:left w:val="nil"/>
              <w:bottom w:val="single" w:sz="4" w:space="0" w:color="auto"/>
              <w:right w:val="single" w:sz="4" w:space="0" w:color="auto"/>
            </w:tcBorders>
            <w:shd w:val="clear" w:color="000000" w:fill="BFBFBF"/>
            <w:noWrap/>
          </w:tcPr>
          <w:p w14:paraId="5B6C5774" w14:textId="4C67862C" w:rsidR="002603D5" w:rsidRPr="006043C2" w:rsidRDefault="002603D5" w:rsidP="00F76882">
            <w:pPr>
              <w:pStyle w:val="Tabletext"/>
            </w:pPr>
            <w:r w:rsidRPr="006043C2">
              <w:t>n</w:t>
            </w:r>
          </w:p>
        </w:tc>
        <w:tc>
          <w:tcPr>
            <w:tcW w:w="242" w:type="pct"/>
            <w:tcBorders>
              <w:top w:val="nil"/>
              <w:left w:val="nil"/>
              <w:bottom w:val="single" w:sz="4" w:space="0" w:color="auto"/>
              <w:right w:val="single" w:sz="4" w:space="0" w:color="auto"/>
            </w:tcBorders>
            <w:shd w:val="clear" w:color="000000" w:fill="BFBFBF"/>
            <w:noWrap/>
          </w:tcPr>
          <w:p w14:paraId="6663E9EF" w14:textId="3A932272" w:rsidR="002603D5" w:rsidRPr="006043C2" w:rsidRDefault="002603D5" w:rsidP="00F76882">
            <w:pPr>
              <w:pStyle w:val="Tabletext"/>
            </w:pPr>
            <w:r w:rsidRPr="006043C2">
              <w:t>Proportion</w:t>
            </w:r>
          </w:p>
        </w:tc>
        <w:tc>
          <w:tcPr>
            <w:tcW w:w="148" w:type="pct"/>
            <w:tcBorders>
              <w:top w:val="nil"/>
              <w:left w:val="nil"/>
              <w:bottom w:val="single" w:sz="4" w:space="0" w:color="auto"/>
              <w:right w:val="single" w:sz="4" w:space="0" w:color="auto"/>
            </w:tcBorders>
            <w:shd w:val="clear" w:color="000000" w:fill="BFBFBF"/>
            <w:noWrap/>
          </w:tcPr>
          <w:p w14:paraId="22126C23" w14:textId="399D4ECC" w:rsidR="002603D5" w:rsidRPr="006043C2" w:rsidRDefault="002603D5" w:rsidP="00F76882">
            <w:pPr>
              <w:pStyle w:val="Tabletext"/>
            </w:pPr>
            <w:r w:rsidRPr="006043C2">
              <w:t>n</w:t>
            </w:r>
          </w:p>
        </w:tc>
        <w:tc>
          <w:tcPr>
            <w:tcW w:w="242" w:type="pct"/>
            <w:tcBorders>
              <w:top w:val="nil"/>
              <w:left w:val="nil"/>
              <w:bottom w:val="single" w:sz="4" w:space="0" w:color="auto"/>
              <w:right w:val="single" w:sz="4" w:space="0" w:color="auto"/>
            </w:tcBorders>
            <w:shd w:val="clear" w:color="000000" w:fill="BFBFBF"/>
            <w:noWrap/>
          </w:tcPr>
          <w:p w14:paraId="37CB4D49" w14:textId="62E4CAB7" w:rsidR="002603D5" w:rsidRPr="006043C2" w:rsidRDefault="002603D5" w:rsidP="00F76882">
            <w:pPr>
              <w:pStyle w:val="Tabletext"/>
            </w:pPr>
            <w:r w:rsidRPr="006043C2">
              <w:t>Proportion</w:t>
            </w:r>
          </w:p>
        </w:tc>
        <w:tc>
          <w:tcPr>
            <w:tcW w:w="148" w:type="pct"/>
            <w:tcBorders>
              <w:top w:val="nil"/>
              <w:left w:val="nil"/>
              <w:bottom w:val="single" w:sz="4" w:space="0" w:color="auto"/>
              <w:right w:val="single" w:sz="4" w:space="0" w:color="auto"/>
            </w:tcBorders>
            <w:shd w:val="clear" w:color="000000" w:fill="BFBFBF"/>
            <w:noWrap/>
          </w:tcPr>
          <w:p w14:paraId="0D60C9CE" w14:textId="7E41A9D1" w:rsidR="002603D5" w:rsidRPr="006043C2" w:rsidRDefault="002603D5" w:rsidP="00F76882">
            <w:pPr>
              <w:pStyle w:val="Tabletext"/>
            </w:pPr>
            <w:r w:rsidRPr="006043C2">
              <w:t>n</w:t>
            </w:r>
          </w:p>
        </w:tc>
        <w:tc>
          <w:tcPr>
            <w:tcW w:w="241" w:type="pct"/>
            <w:tcBorders>
              <w:top w:val="nil"/>
              <w:left w:val="nil"/>
              <w:bottom w:val="single" w:sz="4" w:space="0" w:color="auto"/>
              <w:right w:val="single" w:sz="4" w:space="0" w:color="auto"/>
            </w:tcBorders>
            <w:shd w:val="clear" w:color="000000" w:fill="BFBFBF"/>
            <w:noWrap/>
          </w:tcPr>
          <w:p w14:paraId="552AA6F9" w14:textId="381CA0E0" w:rsidR="002603D5" w:rsidRPr="006043C2" w:rsidRDefault="002603D5" w:rsidP="00F76882">
            <w:pPr>
              <w:pStyle w:val="Tabletext"/>
            </w:pPr>
            <w:r w:rsidRPr="006043C2">
              <w:t>Proportion</w:t>
            </w:r>
          </w:p>
        </w:tc>
        <w:tc>
          <w:tcPr>
            <w:tcW w:w="148" w:type="pct"/>
            <w:tcBorders>
              <w:top w:val="nil"/>
              <w:left w:val="nil"/>
              <w:bottom w:val="single" w:sz="4" w:space="0" w:color="auto"/>
              <w:right w:val="single" w:sz="4" w:space="0" w:color="auto"/>
            </w:tcBorders>
            <w:shd w:val="clear" w:color="000000" w:fill="BFBFBF"/>
            <w:noWrap/>
          </w:tcPr>
          <w:p w14:paraId="60546EB4" w14:textId="3D548538" w:rsidR="002603D5" w:rsidRPr="006043C2" w:rsidRDefault="002603D5" w:rsidP="00F76882">
            <w:pPr>
              <w:pStyle w:val="Tabletext"/>
            </w:pPr>
            <w:r w:rsidRPr="006043C2">
              <w:t>n</w:t>
            </w:r>
          </w:p>
        </w:tc>
        <w:tc>
          <w:tcPr>
            <w:tcW w:w="242" w:type="pct"/>
            <w:tcBorders>
              <w:top w:val="nil"/>
              <w:left w:val="nil"/>
              <w:bottom w:val="single" w:sz="4" w:space="0" w:color="auto"/>
              <w:right w:val="single" w:sz="4" w:space="0" w:color="auto"/>
            </w:tcBorders>
            <w:shd w:val="clear" w:color="000000" w:fill="BFBFBF"/>
            <w:noWrap/>
          </w:tcPr>
          <w:p w14:paraId="2227DDD6" w14:textId="6E8798FF" w:rsidR="002603D5" w:rsidRPr="006043C2" w:rsidRDefault="002603D5" w:rsidP="00F76882">
            <w:pPr>
              <w:pStyle w:val="Tabletext"/>
            </w:pPr>
            <w:r w:rsidRPr="006043C2">
              <w:t>Proportion</w:t>
            </w:r>
          </w:p>
        </w:tc>
        <w:tc>
          <w:tcPr>
            <w:tcW w:w="148" w:type="pct"/>
            <w:tcBorders>
              <w:top w:val="nil"/>
              <w:left w:val="nil"/>
              <w:bottom w:val="single" w:sz="4" w:space="0" w:color="auto"/>
              <w:right w:val="single" w:sz="4" w:space="0" w:color="auto"/>
            </w:tcBorders>
            <w:shd w:val="clear" w:color="000000" w:fill="BFBFBF"/>
            <w:noWrap/>
          </w:tcPr>
          <w:p w14:paraId="6E762A8A" w14:textId="63055ECD" w:rsidR="002603D5" w:rsidRPr="006043C2" w:rsidRDefault="002603D5" w:rsidP="00F76882">
            <w:pPr>
              <w:pStyle w:val="Tabletext"/>
            </w:pPr>
            <w:r w:rsidRPr="006043C2">
              <w:t>n</w:t>
            </w:r>
          </w:p>
        </w:tc>
        <w:tc>
          <w:tcPr>
            <w:tcW w:w="242" w:type="pct"/>
            <w:tcBorders>
              <w:top w:val="nil"/>
              <w:left w:val="nil"/>
              <w:bottom w:val="single" w:sz="4" w:space="0" w:color="auto"/>
              <w:right w:val="single" w:sz="4" w:space="0" w:color="auto"/>
            </w:tcBorders>
            <w:shd w:val="clear" w:color="000000" w:fill="BFBFBF"/>
            <w:noWrap/>
          </w:tcPr>
          <w:p w14:paraId="464ADB21" w14:textId="6012DB87" w:rsidR="002603D5" w:rsidRPr="006043C2" w:rsidRDefault="002603D5" w:rsidP="00F76882">
            <w:pPr>
              <w:pStyle w:val="Tabletext"/>
            </w:pPr>
            <w:r w:rsidRPr="006043C2">
              <w:t>Proportion</w:t>
            </w:r>
          </w:p>
        </w:tc>
        <w:tc>
          <w:tcPr>
            <w:tcW w:w="148" w:type="pct"/>
            <w:tcBorders>
              <w:top w:val="nil"/>
              <w:left w:val="nil"/>
              <w:bottom w:val="single" w:sz="4" w:space="0" w:color="auto"/>
              <w:right w:val="single" w:sz="4" w:space="0" w:color="auto"/>
            </w:tcBorders>
            <w:shd w:val="clear" w:color="000000" w:fill="BFBFBF"/>
            <w:noWrap/>
          </w:tcPr>
          <w:p w14:paraId="40C56983" w14:textId="4E7CA9F3" w:rsidR="002603D5" w:rsidRPr="006043C2" w:rsidRDefault="002603D5" w:rsidP="00F76882">
            <w:pPr>
              <w:pStyle w:val="Tabletext"/>
            </w:pPr>
            <w:r w:rsidRPr="006043C2">
              <w:t>n</w:t>
            </w:r>
          </w:p>
        </w:tc>
        <w:tc>
          <w:tcPr>
            <w:tcW w:w="242" w:type="pct"/>
            <w:tcBorders>
              <w:top w:val="nil"/>
              <w:left w:val="nil"/>
              <w:bottom w:val="single" w:sz="4" w:space="0" w:color="auto"/>
              <w:right w:val="single" w:sz="4" w:space="0" w:color="auto"/>
            </w:tcBorders>
            <w:shd w:val="clear" w:color="000000" w:fill="BFBFBF"/>
            <w:noWrap/>
          </w:tcPr>
          <w:p w14:paraId="706DAF56" w14:textId="1F90BC4D" w:rsidR="002603D5" w:rsidRPr="006043C2" w:rsidRDefault="002603D5" w:rsidP="00F76882">
            <w:pPr>
              <w:pStyle w:val="Tabletext"/>
            </w:pPr>
            <w:r w:rsidRPr="006043C2">
              <w:t>Proportion</w:t>
            </w:r>
          </w:p>
        </w:tc>
        <w:tc>
          <w:tcPr>
            <w:tcW w:w="148" w:type="pct"/>
            <w:tcBorders>
              <w:top w:val="nil"/>
              <w:left w:val="nil"/>
              <w:bottom w:val="single" w:sz="4" w:space="0" w:color="auto"/>
              <w:right w:val="single" w:sz="4" w:space="0" w:color="auto"/>
            </w:tcBorders>
            <w:shd w:val="clear" w:color="000000" w:fill="BFBFBF"/>
            <w:noWrap/>
          </w:tcPr>
          <w:p w14:paraId="3AEC73E6" w14:textId="0E949477" w:rsidR="002603D5" w:rsidRPr="006043C2" w:rsidRDefault="002603D5" w:rsidP="00F76882">
            <w:pPr>
              <w:pStyle w:val="Tabletext"/>
            </w:pPr>
            <w:r w:rsidRPr="006043C2">
              <w:t>n</w:t>
            </w:r>
          </w:p>
        </w:tc>
        <w:tc>
          <w:tcPr>
            <w:tcW w:w="242" w:type="pct"/>
            <w:tcBorders>
              <w:top w:val="nil"/>
              <w:left w:val="nil"/>
              <w:bottom w:val="single" w:sz="4" w:space="0" w:color="auto"/>
              <w:right w:val="single" w:sz="4" w:space="0" w:color="auto"/>
            </w:tcBorders>
            <w:shd w:val="clear" w:color="000000" w:fill="BFBFBF"/>
            <w:noWrap/>
          </w:tcPr>
          <w:p w14:paraId="1C27098F" w14:textId="75105F6F" w:rsidR="002603D5" w:rsidRPr="006043C2" w:rsidRDefault="002603D5" w:rsidP="00F76882">
            <w:pPr>
              <w:pStyle w:val="Tabletext"/>
            </w:pPr>
            <w:r w:rsidRPr="006043C2">
              <w:t>Proportion</w:t>
            </w:r>
          </w:p>
        </w:tc>
        <w:tc>
          <w:tcPr>
            <w:tcW w:w="148" w:type="pct"/>
            <w:tcBorders>
              <w:top w:val="nil"/>
              <w:left w:val="nil"/>
              <w:bottom w:val="single" w:sz="4" w:space="0" w:color="auto"/>
              <w:right w:val="single" w:sz="4" w:space="0" w:color="auto"/>
            </w:tcBorders>
            <w:shd w:val="clear" w:color="000000" w:fill="BFBFBF"/>
            <w:noWrap/>
          </w:tcPr>
          <w:p w14:paraId="20A685F9" w14:textId="102A2D19" w:rsidR="002603D5" w:rsidRPr="006043C2" w:rsidRDefault="002603D5" w:rsidP="00F76882">
            <w:pPr>
              <w:pStyle w:val="Tabletext"/>
            </w:pPr>
            <w:r w:rsidRPr="006043C2">
              <w:t>n</w:t>
            </w:r>
          </w:p>
        </w:tc>
        <w:tc>
          <w:tcPr>
            <w:tcW w:w="242" w:type="pct"/>
            <w:tcBorders>
              <w:top w:val="nil"/>
              <w:left w:val="nil"/>
              <w:bottom w:val="single" w:sz="4" w:space="0" w:color="auto"/>
              <w:right w:val="single" w:sz="4" w:space="0" w:color="auto"/>
            </w:tcBorders>
            <w:shd w:val="clear" w:color="000000" w:fill="BFBFBF"/>
            <w:noWrap/>
          </w:tcPr>
          <w:p w14:paraId="2F6E5ED3" w14:textId="3D10D0A7" w:rsidR="002603D5" w:rsidRPr="006043C2" w:rsidRDefault="002603D5" w:rsidP="00F76882">
            <w:pPr>
              <w:pStyle w:val="Tabletext"/>
            </w:pPr>
            <w:r w:rsidRPr="006043C2">
              <w:t>Proportion</w:t>
            </w:r>
          </w:p>
        </w:tc>
        <w:tc>
          <w:tcPr>
            <w:tcW w:w="148" w:type="pct"/>
            <w:tcBorders>
              <w:top w:val="nil"/>
              <w:left w:val="nil"/>
              <w:bottom w:val="single" w:sz="4" w:space="0" w:color="auto"/>
              <w:right w:val="single" w:sz="4" w:space="0" w:color="auto"/>
            </w:tcBorders>
            <w:shd w:val="clear" w:color="000000" w:fill="BFBFBF"/>
            <w:noWrap/>
          </w:tcPr>
          <w:p w14:paraId="3838956D" w14:textId="492175D4" w:rsidR="002603D5" w:rsidRPr="006043C2" w:rsidRDefault="002603D5" w:rsidP="00F76882">
            <w:pPr>
              <w:pStyle w:val="Tabletext"/>
            </w:pPr>
            <w:r w:rsidRPr="006043C2">
              <w:t>n</w:t>
            </w:r>
          </w:p>
        </w:tc>
        <w:tc>
          <w:tcPr>
            <w:tcW w:w="242" w:type="pct"/>
            <w:tcBorders>
              <w:top w:val="nil"/>
              <w:left w:val="nil"/>
              <w:bottom w:val="single" w:sz="4" w:space="0" w:color="auto"/>
              <w:right w:val="single" w:sz="4" w:space="0" w:color="auto"/>
            </w:tcBorders>
            <w:shd w:val="clear" w:color="000000" w:fill="BFBFBF"/>
            <w:noWrap/>
          </w:tcPr>
          <w:p w14:paraId="6DC94917" w14:textId="23B213B8" w:rsidR="002603D5" w:rsidRPr="006043C2" w:rsidRDefault="002603D5" w:rsidP="00F76882">
            <w:pPr>
              <w:pStyle w:val="Tabletext"/>
            </w:pPr>
            <w:r w:rsidRPr="006043C2">
              <w:t>Proportion</w:t>
            </w:r>
          </w:p>
        </w:tc>
        <w:tc>
          <w:tcPr>
            <w:tcW w:w="148" w:type="pct"/>
            <w:tcBorders>
              <w:top w:val="nil"/>
              <w:left w:val="nil"/>
              <w:bottom w:val="single" w:sz="4" w:space="0" w:color="auto"/>
              <w:right w:val="single" w:sz="4" w:space="0" w:color="auto"/>
            </w:tcBorders>
            <w:shd w:val="clear" w:color="000000" w:fill="BFBFBF"/>
            <w:noWrap/>
          </w:tcPr>
          <w:p w14:paraId="5E05F708" w14:textId="01AB3B2F" w:rsidR="002603D5" w:rsidRPr="006043C2" w:rsidRDefault="002603D5" w:rsidP="00F76882">
            <w:pPr>
              <w:pStyle w:val="Tabletext"/>
            </w:pPr>
            <w:r w:rsidRPr="006043C2">
              <w:t>n</w:t>
            </w:r>
          </w:p>
        </w:tc>
        <w:tc>
          <w:tcPr>
            <w:tcW w:w="242" w:type="pct"/>
            <w:tcBorders>
              <w:top w:val="nil"/>
              <w:left w:val="nil"/>
              <w:bottom w:val="single" w:sz="4" w:space="0" w:color="auto"/>
              <w:right w:val="single" w:sz="4" w:space="0" w:color="auto"/>
            </w:tcBorders>
            <w:shd w:val="clear" w:color="000000" w:fill="BFBFBF"/>
            <w:noWrap/>
          </w:tcPr>
          <w:p w14:paraId="25E2DB87" w14:textId="210A3C8A" w:rsidR="002603D5" w:rsidRPr="006043C2" w:rsidRDefault="002603D5" w:rsidP="00F76882">
            <w:pPr>
              <w:pStyle w:val="Tabletext"/>
            </w:pPr>
            <w:r w:rsidRPr="006043C2">
              <w:t>Proportion</w:t>
            </w:r>
          </w:p>
        </w:tc>
        <w:tc>
          <w:tcPr>
            <w:tcW w:w="146" w:type="pct"/>
            <w:tcBorders>
              <w:top w:val="nil"/>
              <w:left w:val="nil"/>
              <w:bottom w:val="single" w:sz="4" w:space="0" w:color="auto"/>
              <w:right w:val="single" w:sz="4" w:space="0" w:color="auto"/>
            </w:tcBorders>
            <w:shd w:val="clear" w:color="000000" w:fill="BFBFBF"/>
          </w:tcPr>
          <w:p w14:paraId="7DD74A26" w14:textId="32B0458D" w:rsidR="002603D5" w:rsidRPr="006043C2" w:rsidRDefault="002603D5" w:rsidP="00F76882">
            <w:pPr>
              <w:pStyle w:val="Tabletext"/>
            </w:pPr>
            <w:r w:rsidRPr="006043C2">
              <w:t>n</w:t>
            </w:r>
          </w:p>
        </w:tc>
        <w:tc>
          <w:tcPr>
            <w:tcW w:w="237" w:type="pct"/>
            <w:tcBorders>
              <w:top w:val="nil"/>
              <w:left w:val="nil"/>
              <w:bottom w:val="single" w:sz="4" w:space="0" w:color="auto"/>
              <w:right w:val="single" w:sz="4" w:space="0" w:color="auto"/>
            </w:tcBorders>
            <w:shd w:val="clear" w:color="000000" w:fill="BFBFBF"/>
          </w:tcPr>
          <w:p w14:paraId="4AE3EC29" w14:textId="2F690C83" w:rsidR="002603D5" w:rsidRPr="006043C2" w:rsidRDefault="002603D5" w:rsidP="00F76882">
            <w:pPr>
              <w:pStyle w:val="Tabletext"/>
            </w:pPr>
            <w:r w:rsidRPr="006043C2">
              <w:t>Proportion</w:t>
            </w:r>
          </w:p>
        </w:tc>
      </w:tr>
      <w:tr w:rsidR="009552C2" w:rsidRPr="0036007C" w14:paraId="5A4788E9" w14:textId="7A16FE91" w:rsidTr="001A74E9">
        <w:trPr>
          <w:trHeight w:val="283"/>
        </w:trPr>
        <w:tc>
          <w:tcPr>
            <w:tcW w:w="713" w:type="pct"/>
            <w:tcBorders>
              <w:top w:val="nil"/>
              <w:left w:val="single" w:sz="4" w:space="0" w:color="auto"/>
              <w:bottom w:val="single" w:sz="4" w:space="0" w:color="auto"/>
              <w:right w:val="single" w:sz="4" w:space="0" w:color="auto"/>
            </w:tcBorders>
            <w:shd w:val="clear" w:color="000000" w:fill="BFBFBF"/>
            <w:noWrap/>
            <w:hideMark/>
          </w:tcPr>
          <w:p w14:paraId="40153593" w14:textId="77777777" w:rsidR="00E84733" w:rsidRPr="003D3BBA" w:rsidRDefault="00E84733" w:rsidP="00F76882">
            <w:pPr>
              <w:pStyle w:val="Tabletextleft"/>
            </w:pPr>
            <w:r w:rsidRPr="003D3BBA">
              <w:t>≥20%</w:t>
            </w:r>
          </w:p>
        </w:tc>
        <w:tc>
          <w:tcPr>
            <w:tcW w:w="149" w:type="pct"/>
            <w:tcBorders>
              <w:top w:val="nil"/>
              <w:left w:val="nil"/>
              <w:bottom w:val="single" w:sz="4" w:space="0" w:color="auto"/>
              <w:right w:val="single" w:sz="4" w:space="0" w:color="auto"/>
            </w:tcBorders>
            <w:shd w:val="clear" w:color="000000" w:fill="BFBFBF"/>
            <w:noWrap/>
            <w:hideMark/>
          </w:tcPr>
          <w:p w14:paraId="08B52E4F" w14:textId="41A60F0D" w:rsidR="00E84733" w:rsidRPr="006043C2" w:rsidRDefault="00E84733" w:rsidP="00F76882">
            <w:pPr>
              <w:pStyle w:val="Tabletext"/>
            </w:pPr>
            <w:r w:rsidRPr="006043C2">
              <w:t>2</w:t>
            </w:r>
          </w:p>
        </w:tc>
        <w:tc>
          <w:tcPr>
            <w:tcW w:w="242" w:type="pct"/>
            <w:tcBorders>
              <w:top w:val="nil"/>
              <w:left w:val="nil"/>
              <w:bottom w:val="single" w:sz="4" w:space="0" w:color="auto"/>
              <w:right w:val="single" w:sz="4" w:space="0" w:color="auto"/>
            </w:tcBorders>
            <w:shd w:val="clear" w:color="000000" w:fill="BFBFBF"/>
            <w:noWrap/>
            <w:hideMark/>
          </w:tcPr>
          <w:p w14:paraId="29BE4160" w14:textId="77FA2093" w:rsidR="00E84733" w:rsidRPr="006043C2" w:rsidRDefault="00E84733" w:rsidP="00F76882">
            <w:pPr>
              <w:pStyle w:val="Tabletext"/>
            </w:pPr>
            <w:r w:rsidRPr="006043C2">
              <w:t>4%</w:t>
            </w:r>
          </w:p>
        </w:tc>
        <w:tc>
          <w:tcPr>
            <w:tcW w:w="148" w:type="pct"/>
            <w:tcBorders>
              <w:top w:val="nil"/>
              <w:left w:val="nil"/>
              <w:bottom w:val="single" w:sz="4" w:space="0" w:color="auto"/>
              <w:right w:val="single" w:sz="4" w:space="0" w:color="auto"/>
            </w:tcBorders>
            <w:shd w:val="clear" w:color="000000" w:fill="BFBFBF"/>
            <w:noWrap/>
            <w:hideMark/>
          </w:tcPr>
          <w:p w14:paraId="02DECDF4" w14:textId="66F356BE" w:rsidR="00E84733" w:rsidRPr="006043C2" w:rsidRDefault="00E84733" w:rsidP="00F76882">
            <w:pPr>
              <w:pStyle w:val="Tabletext"/>
            </w:pPr>
            <w:r w:rsidRPr="006043C2">
              <w:t>3</w:t>
            </w:r>
          </w:p>
        </w:tc>
        <w:tc>
          <w:tcPr>
            <w:tcW w:w="242" w:type="pct"/>
            <w:tcBorders>
              <w:top w:val="nil"/>
              <w:left w:val="nil"/>
              <w:bottom w:val="single" w:sz="4" w:space="0" w:color="auto"/>
              <w:right w:val="single" w:sz="4" w:space="0" w:color="auto"/>
            </w:tcBorders>
            <w:shd w:val="clear" w:color="000000" w:fill="BFBFBF"/>
            <w:noWrap/>
            <w:hideMark/>
          </w:tcPr>
          <w:p w14:paraId="388FC775" w14:textId="41145E04" w:rsidR="00E84733" w:rsidRPr="006043C2" w:rsidRDefault="00E84733" w:rsidP="00F76882">
            <w:pPr>
              <w:pStyle w:val="Tabletext"/>
            </w:pPr>
            <w:r w:rsidRPr="006043C2">
              <w:t>20%</w:t>
            </w:r>
          </w:p>
        </w:tc>
        <w:tc>
          <w:tcPr>
            <w:tcW w:w="148" w:type="pct"/>
            <w:tcBorders>
              <w:top w:val="nil"/>
              <w:left w:val="nil"/>
              <w:bottom w:val="single" w:sz="4" w:space="0" w:color="auto"/>
              <w:right w:val="single" w:sz="4" w:space="0" w:color="auto"/>
            </w:tcBorders>
            <w:shd w:val="clear" w:color="000000" w:fill="BFBFBF"/>
            <w:noWrap/>
            <w:hideMark/>
          </w:tcPr>
          <w:p w14:paraId="7EE3A7B9" w14:textId="349B6AF6" w:rsidR="00E84733" w:rsidRPr="006043C2" w:rsidRDefault="00E84733" w:rsidP="00F76882">
            <w:pPr>
              <w:pStyle w:val="Tabletext"/>
            </w:pPr>
            <w:r w:rsidRPr="006043C2">
              <w:t>3</w:t>
            </w:r>
          </w:p>
        </w:tc>
        <w:tc>
          <w:tcPr>
            <w:tcW w:w="241" w:type="pct"/>
            <w:tcBorders>
              <w:top w:val="nil"/>
              <w:left w:val="nil"/>
              <w:bottom w:val="single" w:sz="4" w:space="0" w:color="auto"/>
              <w:right w:val="single" w:sz="4" w:space="0" w:color="auto"/>
            </w:tcBorders>
            <w:shd w:val="clear" w:color="000000" w:fill="BFBFBF"/>
            <w:noWrap/>
            <w:hideMark/>
          </w:tcPr>
          <w:p w14:paraId="7EA65B57" w14:textId="7A4F4932" w:rsidR="00E84733" w:rsidRPr="006043C2" w:rsidRDefault="00E84733" w:rsidP="00F76882">
            <w:pPr>
              <w:pStyle w:val="Tabletext"/>
            </w:pPr>
            <w:r w:rsidRPr="006043C2">
              <w:t>8%</w:t>
            </w:r>
          </w:p>
        </w:tc>
        <w:tc>
          <w:tcPr>
            <w:tcW w:w="148" w:type="pct"/>
            <w:tcBorders>
              <w:top w:val="nil"/>
              <w:left w:val="nil"/>
              <w:bottom w:val="single" w:sz="4" w:space="0" w:color="auto"/>
              <w:right w:val="single" w:sz="4" w:space="0" w:color="auto"/>
            </w:tcBorders>
            <w:shd w:val="clear" w:color="000000" w:fill="BFBFBF"/>
            <w:noWrap/>
            <w:hideMark/>
          </w:tcPr>
          <w:p w14:paraId="4F0B119D" w14:textId="667DF4FC" w:rsidR="00E84733" w:rsidRPr="006043C2" w:rsidRDefault="00C64FA8" w:rsidP="00F76882">
            <w:pPr>
              <w:pStyle w:val="Tabletext"/>
            </w:pPr>
            <w:r w:rsidRPr="006043C2">
              <w:t>6</w:t>
            </w:r>
          </w:p>
        </w:tc>
        <w:tc>
          <w:tcPr>
            <w:tcW w:w="242" w:type="pct"/>
            <w:tcBorders>
              <w:top w:val="nil"/>
              <w:left w:val="nil"/>
              <w:bottom w:val="single" w:sz="4" w:space="0" w:color="auto"/>
              <w:right w:val="single" w:sz="4" w:space="0" w:color="auto"/>
            </w:tcBorders>
            <w:shd w:val="clear" w:color="000000" w:fill="BFBFBF"/>
            <w:noWrap/>
            <w:hideMark/>
          </w:tcPr>
          <w:p w14:paraId="76AF9B5C" w14:textId="430F43B8" w:rsidR="00E84733" w:rsidRPr="006043C2" w:rsidRDefault="00E84733" w:rsidP="00F76882">
            <w:pPr>
              <w:pStyle w:val="Tabletext"/>
            </w:pPr>
            <w:r w:rsidRPr="006043C2">
              <w:t>15%</w:t>
            </w:r>
          </w:p>
        </w:tc>
        <w:tc>
          <w:tcPr>
            <w:tcW w:w="148" w:type="pct"/>
            <w:tcBorders>
              <w:top w:val="nil"/>
              <w:left w:val="nil"/>
              <w:bottom w:val="single" w:sz="4" w:space="0" w:color="auto"/>
              <w:right w:val="single" w:sz="4" w:space="0" w:color="auto"/>
            </w:tcBorders>
            <w:shd w:val="clear" w:color="000000" w:fill="BFBFBF"/>
            <w:noWrap/>
            <w:hideMark/>
          </w:tcPr>
          <w:p w14:paraId="49E804C5" w14:textId="5EE6DE0D" w:rsidR="00E84733" w:rsidRPr="006043C2" w:rsidRDefault="00E84733" w:rsidP="00F76882">
            <w:pPr>
              <w:pStyle w:val="Tabletext"/>
            </w:pPr>
            <w:r w:rsidRPr="006043C2">
              <w:t>10</w:t>
            </w:r>
          </w:p>
        </w:tc>
        <w:tc>
          <w:tcPr>
            <w:tcW w:w="242" w:type="pct"/>
            <w:tcBorders>
              <w:top w:val="nil"/>
              <w:left w:val="nil"/>
              <w:bottom w:val="single" w:sz="4" w:space="0" w:color="auto"/>
              <w:right w:val="single" w:sz="4" w:space="0" w:color="auto"/>
            </w:tcBorders>
            <w:shd w:val="clear" w:color="000000" w:fill="BFBFBF"/>
            <w:noWrap/>
            <w:hideMark/>
          </w:tcPr>
          <w:p w14:paraId="650BC637" w14:textId="39706A6D" w:rsidR="00E84733" w:rsidRPr="006043C2" w:rsidRDefault="00E84733" w:rsidP="00F76882">
            <w:pPr>
              <w:pStyle w:val="Tabletext"/>
            </w:pPr>
            <w:r w:rsidRPr="006043C2">
              <w:t>25%</w:t>
            </w:r>
          </w:p>
        </w:tc>
        <w:tc>
          <w:tcPr>
            <w:tcW w:w="148" w:type="pct"/>
            <w:tcBorders>
              <w:top w:val="nil"/>
              <w:left w:val="nil"/>
              <w:bottom w:val="single" w:sz="4" w:space="0" w:color="auto"/>
              <w:right w:val="single" w:sz="4" w:space="0" w:color="auto"/>
            </w:tcBorders>
            <w:shd w:val="clear" w:color="000000" w:fill="BFBFBF"/>
            <w:noWrap/>
            <w:hideMark/>
          </w:tcPr>
          <w:p w14:paraId="0FC02538" w14:textId="73967121" w:rsidR="00E84733" w:rsidRPr="006043C2" w:rsidRDefault="00E84733" w:rsidP="00F76882">
            <w:pPr>
              <w:pStyle w:val="Tabletext"/>
            </w:pPr>
            <w:r w:rsidRPr="006043C2">
              <w:t>11</w:t>
            </w:r>
          </w:p>
        </w:tc>
        <w:tc>
          <w:tcPr>
            <w:tcW w:w="242" w:type="pct"/>
            <w:tcBorders>
              <w:top w:val="nil"/>
              <w:left w:val="nil"/>
              <w:bottom w:val="single" w:sz="4" w:space="0" w:color="auto"/>
              <w:right w:val="single" w:sz="4" w:space="0" w:color="auto"/>
            </w:tcBorders>
            <w:shd w:val="clear" w:color="000000" w:fill="BFBFBF"/>
            <w:noWrap/>
            <w:hideMark/>
          </w:tcPr>
          <w:p w14:paraId="596084C6" w14:textId="3A420172" w:rsidR="00E84733" w:rsidRPr="006043C2" w:rsidRDefault="00E84733" w:rsidP="00F76882">
            <w:pPr>
              <w:pStyle w:val="Tabletext"/>
            </w:pPr>
            <w:r w:rsidRPr="006043C2">
              <w:t>31%</w:t>
            </w:r>
          </w:p>
        </w:tc>
        <w:tc>
          <w:tcPr>
            <w:tcW w:w="148" w:type="pct"/>
            <w:tcBorders>
              <w:top w:val="nil"/>
              <w:left w:val="nil"/>
              <w:bottom w:val="single" w:sz="4" w:space="0" w:color="auto"/>
              <w:right w:val="single" w:sz="4" w:space="0" w:color="auto"/>
            </w:tcBorders>
            <w:shd w:val="clear" w:color="000000" w:fill="BFBFBF"/>
            <w:noWrap/>
            <w:hideMark/>
          </w:tcPr>
          <w:p w14:paraId="66D278F1" w14:textId="1BFAC291" w:rsidR="00E84733" w:rsidRPr="006043C2" w:rsidRDefault="00E84733" w:rsidP="00F76882">
            <w:pPr>
              <w:pStyle w:val="Tabletext"/>
            </w:pPr>
            <w:r w:rsidRPr="006043C2">
              <w:t>8</w:t>
            </w:r>
          </w:p>
        </w:tc>
        <w:tc>
          <w:tcPr>
            <w:tcW w:w="242" w:type="pct"/>
            <w:tcBorders>
              <w:top w:val="nil"/>
              <w:left w:val="nil"/>
              <w:bottom w:val="single" w:sz="4" w:space="0" w:color="auto"/>
              <w:right w:val="single" w:sz="4" w:space="0" w:color="auto"/>
            </w:tcBorders>
            <w:shd w:val="clear" w:color="000000" w:fill="BFBFBF"/>
            <w:noWrap/>
            <w:hideMark/>
          </w:tcPr>
          <w:p w14:paraId="3376ADA9" w14:textId="6BE21C5F" w:rsidR="00E84733" w:rsidRPr="006043C2" w:rsidRDefault="00E84733" w:rsidP="00F76882">
            <w:pPr>
              <w:pStyle w:val="Tabletext"/>
            </w:pPr>
            <w:r w:rsidRPr="006043C2">
              <w:t>24%</w:t>
            </w:r>
          </w:p>
        </w:tc>
        <w:tc>
          <w:tcPr>
            <w:tcW w:w="148" w:type="pct"/>
            <w:tcBorders>
              <w:top w:val="nil"/>
              <w:left w:val="nil"/>
              <w:bottom w:val="single" w:sz="4" w:space="0" w:color="auto"/>
              <w:right w:val="single" w:sz="4" w:space="0" w:color="auto"/>
            </w:tcBorders>
            <w:shd w:val="clear" w:color="000000" w:fill="BFBFBF"/>
            <w:noWrap/>
            <w:hideMark/>
          </w:tcPr>
          <w:p w14:paraId="6AF10CC0" w14:textId="014F3E1A" w:rsidR="00E84733" w:rsidRPr="006043C2" w:rsidRDefault="00E84733" w:rsidP="00F76882">
            <w:pPr>
              <w:pStyle w:val="Tabletext"/>
            </w:pPr>
            <w:r w:rsidRPr="006043C2">
              <w:t>5</w:t>
            </w:r>
          </w:p>
        </w:tc>
        <w:tc>
          <w:tcPr>
            <w:tcW w:w="242" w:type="pct"/>
            <w:tcBorders>
              <w:top w:val="nil"/>
              <w:left w:val="nil"/>
              <w:bottom w:val="single" w:sz="4" w:space="0" w:color="auto"/>
              <w:right w:val="single" w:sz="4" w:space="0" w:color="auto"/>
            </w:tcBorders>
            <w:shd w:val="clear" w:color="000000" w:fill="BFBFBF"/>
            <w:noWrap/>
            <w:hideMark/>
          </w:tcPr>
          <w:p w14:paraId="3C831238" w14:textId="2E555179" w:rsidR="00E84733" w:rsidRPr="006043C2" w:rsidRDefault="00E84733" w:rsidP="00F76882">
            <w:pPr>
              <w:pStyle w:val="Tabletext"/>
            </w:pPr>
            <w:r w:rsidRPr="006043C2">
              <w:t>18%</w:t>
            </w:r>
          </w:p>
        </w:tc>
        <w:tc>
          <w:tcPr>
            <w:tcW w:w="148" w:type="pct"/>
            <w:tcBorders>
              <w:top w:val="nil"/>
              <w:left w:val="nil"/>
              <w:bottom w:val="single" w:sz="4" w:space="0" w:color="auto"/>
              <w:right w:val="single" w:sz="4" w:space="0" w:color="auto"/>
            </w:tcBorders>
            <w:shd w:val="clear" w:color="000000" w:fill="BFBFBF"/>
            <w:noWrap/>
            <w:hideMark/>
          </w:tcPr>
          <w:p w14:paraId="0B5EBA8D" w14:textId="5928066C" w:rsidR="00E84733" w:rsidRPr="006043C2" w:rsidRDefault="00E84733" w:rsidP="00F76882">
            <w:pPr>
              <w:pStyle w:val="Tabletext"/>
            </w:pPr>
            <w:r w:rsidRPr="006043C2">
              <w:t>7</w:t>
            </w:r>
          </w:p>
        </w:tc>
        <w:tc>
          <w:tcPr>
            <w:tcW w:w="242" w:type="pct"/>
            <w:tcBorders>
              <w:top w:val="nil"/>
              <w:left w:val="nil"/>
              <w:bottom w:val="single" w:sz="4" w:space="0" w:color="auto"/>
              <w:right w:val="single" w:sz="4" w:space="0" w:color="auto"/>
            </w:tcBorders>
            <w:shd w:val="clear" w:color="000000" w:fill="BFBFBF"/>
            <w:noWrap/>
            <w:hideMark/>
          </w:tcPr>
          <w:p w14:paraId="4C275C48" w14:textId="4B791DD0" w:rsidR="00E84733" w:rsidRPr="006043C2" w:rsidRDefault="00E84733" w:rsidP="00F76882">
            <w:pPr>
              <w:pStyle w:val="Tabletext"/>
            </w:pPr>
            <w:r w:rsidRPr="006043C2">
              <w:t>26%</w:t>
            </w:r>
          </w:p>
        </w:tc>
        <w:tc>
          <w:tcPr>
            <w:tcW w:w="148" w:type="pct"/>
            <w:tcBorders>
              <w:top w:val="nil"/>
              <w:left w:val="nil"/>
              <w:bottom w:val="single" w:sz="4" w:space="0" w:color="auto"/>
              <w:right w:val="single" w:sz="4" w:space="0" w:color="auto"/>
            </w:tcBorders>
            <w:shd w:val="clear" w:color="000000" w:fill="BFBFBF"/>
            <w:noWrap/>
            <w:hideMark/>
          </w:tcPr>
          <w:p w14:paraId="1D0C24AE" w14:textId="557DB2E1" w:rsidR="00E84733" w:rsidRPr="006043C2" w:rsidRDefault="00E84733" w:rsidP="00F76882">
            <w:pPr>
              <w:pStyle w:val="Tabletext"/>
            </w:pPr>
            <w:r w:rsidRPr="006043C2">
              <w:t>2</w:t>
            </w:r>
          </w:p>
        </w:tc>
        <w:tc>
          <w:tcPr>
            <w:tcW w:w="242" w:type="pct"/>
            <w:tcBorders>
              <w:top w:val="nil"/>
              <w:left w:val="nil"/>
              <w:bottom w:val="single" w:sz="4" w:space="0" w:color="auto"/>
              <w:right w:val="single" w:sz="4" w:space="0" w:color="auto"/>
            </w:tcBorders>
            <w:shd w:val="clear" w:color="000000" w:fill="BFBFBF"/>
            <w:noWrap/>
            <w:hideMark/>
          </w:tcPr>
          <w:p w14:paraId="75E7D79D" w14:textId="1E2A3FDA" w:rsidR="00E84733" w:rsidRPr="006043C2" w:rsidRDefault="00E84733" w:rsidP="00F76882">
            <w:pPr>
              <w:pStyle w:val="Tabletext"/>
            </w:pPr>
            <w:r w:rsidRPr="006043C2">
              <w:t>8%</w:t>
            </w:r>
          </w:p>
        </w:tc>
        <w:tc>
          <w:tcPr>
            <w:tcW w:w="146" w:type="pct"/>
            <w:tcBorders>
              <w:top w:val="nil"/>
              <w:left w:val="nil"/>
              <w:bottom w:val="single" w:sz="4" w:space="0" w:color="auto"/>
              <w:right w:val="single" w:sz="4" w:space="0" w:color="auto"/>
            </w:tcBorders>
            <w:shd w:val="clear" w:color="000000" w:fill="BFBFBF"/>
          </w:tcPr>
          <w:p w14:paraId="671C6A8F" w14:textId="1B68E570" w:rsidR="00E84733" w:rsidRPr="006043C2" w:rsidRDefault="00E84733" w:rsidP="00F76882">
            <w:pPr>
              <w:pStyle w:val="Tabletext"/>
            </w:pPr>
            <w:r w:rsidRPr="006043C2">
              <w:t>1</w:t>
            </w:r>
          </w:p>
        </w:tc>
        <w:tc>
          <w:tcPr>
            <w:tcW w:w="237" w:type="pct"/>
            <w:tcBorders>
              <w:top w:val="nil"/>
              <w:left w:val="nil"/>
              <w:bottom w:val="single" w:sz="4" w:space="0" w:color="auto"/>
              <w:right w:val="single" w:sz="4" w:space="0" w:color="auto"/>
            </w:tcBorders>
            <w:shd w:val="clear" w:color="000000" w:fill="BFBFBF"/>
          </w:tcPr>
          <w:p w14:paraId="5F31017A" w14:textId="28A07EC8" w:rsidR="00E84733" w:rsidRPr="006043C2" w:rsidRDefault="00E84733" w:rsidP="00F76882">
            <w:pPr>
              <w:pStyle w:val="Tabletext"/>
            </w:pPr>
            <w:r w:rsidRPr="006043C2">
              <w:t>4%</w:t>
            </w:r>
          </w:p>
        </w:tc>
      </w:tr>
      <w:tr w:rsidR="00E84733" w:rsidRPr="0036007C" w14:paraId="4EC8BC82" w14:textId="48EDF3A8" w:rsidTr="001A74E9">
        <w:trPr>
          <w:trHeight w:val="283"/>
        </w:trPr>
        <w:tc>
          <w:tcPr>
            <w:tcW w:w="713" w:type="pct"/>
            <w:tcBorders>
              <w:top w:val="nil"/>
              <w:left w:val="single" w:sz="4" w:space="0" w:color="auto"/>
              <w:bottom w:val="single" w:sz="4" w:space="0" w:color="auto"/>
              <w:right w:val="single" w:sz="4" w:space="0" w:color="auto"/>
            </w:tcBorders>
            <w:noWrap/>
            <w:hideMark/>
          </w:tcPr>
          <w:p w14:paraId="055C3B9F" w14:textId="32883453" w:rsidR="00E84733" w:rsidRPr="003D3BBA" w:rsidRDefault="00E84733" w:rsidP="00F76882">
            <w:pPr>
              <w:pStyle w:val="Tabletextleft"/>
            </w:pPr>
            <w:r w:rsidRPr="003D3BBA">
              <w:t xml:space="preserve">≥10% </w:t>
            </w:r>
            <w:r w:rsidR="00BC67C8" w:rsidRPr="003D3BBA">
              <w:t xml:space="preserve">to </w:t>
            </w:r>
            <w:r w:rsidRPr="003D3BBA">
              <w:t>&lt;20%</w:t>
            </w:r>
          </w:p>
        </w:tc>
        <w:tc>
          <w:tcPr>
            <w:tcW w:w="149" w:type="pct"/>
            <w:tcBorders>
              <w:top w:val="nil"/>
              <w:left w:val="nil"/>
              <w:bottom w:val="single" w:sz="4" w:space="0" w:color="auto"/>
              <w:right w:val="single" w:sz="4" w:space="0" w:color="auto"/>
            </w:tcBorders>
            <w:noWrap/>
            <w:hideMark/>
          </w:tcPr>
          <w:p w14:paraId="3E680898" w14:textId="388181B7" w:rsidR="00E84733" w:rsidRPr="006043C2" w:rsidRDefault="00E84733" w:rsidP="00F76882">
            <w:pPr>
              <w:pStyle w:val="Tabletext"/>
            </w:pPr>
            <w:r w:rsidRPr="006043C2">
              <w:t>3</w:t>
            </w:r>
          </w:p>
        </w:tc>
        <w:tc>
          <w:tcPr>
            <w:tcW w:w="242" w:type="pct"/>
            <w:tcBorders>
              <w:top w:val="nil"/>
              <w:left w:val="nil"/>
              <w:bottom w:val="single" w:sz="4" w:space="0" w:color="auto"/>
              <w:right w:val="single" w:sz="4" w:space="0" w:color="auto"/>
            </w:tcBorders>
            <w:noWrap/>
            <w:hideMark/>
          </w:tcPr>
          <w:p w14:paraId="381E9426" w14:textId="2D31E524" w:rsidR="00E84733" w:rsidRPr="006043C2" w:rsidRDefault="00E84733" w:rsidP="00F76882">
            <w:pPr>
              <w:pStyle w:val="Tabletext"/>
            </w:pPr>
            <w:r w:rsidRPr="006043C2">
              <w:t>5%</w:t>
            </w:r>
          </w:p>
        </w:tc>
        <w:tc>
          <w:tcPr>
            <w:tcW w:w="148" w:type="pct"/>
            <w:tcBorders>
              <w:top w:val="nil"/>
              <w:left w:val="nil"/>
              <w:bottom w:val="single" w:sz="4" w:space="0" w:color="auto"/>
              <w:right w:val="single" w:sz="4" w:space="0" w:color="auto"/>
            </w:tcBorders>
            <w:noWrap/>
            <w:hideMark/>
          </w:tcPr>
          <w:p w14:paraId="082642FC" w14:textId="52D24116" w:rsidR="00E84733" w:rsidRPr="006043C2" w:rsidRDefault="00E84733" w:rsidP="00F76882">
            <w:pPr>
              <w:pStyle w:val="Tabletext"/>
            </w:pPr>
            <w:r w:rsidRPr="006043C2">
              <w:t>1</w:t>
            </w:r>
          </w:p>
        </w:tc>
        <w:tc>
          <w:tcPr>
            <w:tcW w:w="242" w:type="pct"/>
            <w:tcBorders>
              <w:top w:val="nil"/>
              <w:left w:val="nil"/>
              <w:bottom w:val="single" w:sz="4" w:space="0" w:color="auto"/>
              <w:right w:val="single" w:sz="4" w:space="0" w:color="auto"/>
            </w:tcBorders>
            <w:noWrap/>
            <w:hideMark/>
          </w:tcPr>
          <w:p w14:paraId="3EE47478" w14:textId="16A2AB28" w:rsidR="00E84733" w:rsidRPr="006043C2" w:rsidRDefault="00E84733" w:rsidP="00F76882">
            <w:pPr>
              <w:pStyle w:val="Tabletext"/>
            </w:pPr>
            <w:r w:rsidRPr="006043C2">
              <w:t>7%</w:t>
            </w:r>
          </w:p>
        </w:tc>
        <w:tc>
          <w:tcPr>
            <w:tcW w:w="148" w:type="pct"/>
            <w:tcBorders>
              <w:top w:val="nil"/>
              <w:left w:val="nil"/>
              <w:bottom w:val="single" w:sz="4" w:space="0" w:color="auto"/>
              <w:right w:val="single" w:sz="4" w:space="0" w:color="auto"/>
            </w:tcBorders>
            <w:noWrap/>
            <w:hideMark/>
          </w:tcPr>
          <w:p w14:paraId="5D54FEE7" w14:textId="2AD6446B" w:rsidR="00E84733" w:rsidRPr="006043C2" w:rsidRDefault="00E84733" w:rsidP="00F76882">
            <w:pPr>
              <w:pStyle w:val="Tabletext"/>
            </w:pPr>
            <w:r w:rsidRPr="006043C2">
              <w:t>3</w:t>
            </w:r>
          </w:p>
        </w:tc>
        <w:tc>
          <w:tcPr>
            <w:tcW w:w="241" w:type="pct"/>
            <w:tcBorders>
              <w:top w:val="nil"/>
              <w:left w:val="nil"/>
              <w:bottom w:val="single" w:sz="4" w:space="0" w:color="auto"/>
              <w:right w:val="single" w:sz="4" w:space="0" w:color="auto"/>
            </w:tcBorders>
            <w:noWrap/>
            <w:hideMark/>
          </w:tcPr>
          <w:p w14:paraId="20C3BF8F" w14:textId="47F5CB97" w:rsidR="00E84733" w:rsidRPr="006043C2" w:rsidRDefault="00E84733" w:rsidP="00F76882">
            <w:pPr>
              <w:pStyle w:val="Tabletext"/>
            </w:pPr>
            <w:r w:rsidRPr="006043C2">
              <w:t>8%</w:t>
            </w:r>
          </w:p>
        </w:tc>
        <w:tc>
          <w:tcPr>
            <w:tcW w:w="148" w:type="pct"/>
            <w:tcBorders>
              <w:top w:val="nil"/>
              <w:left w:val="nil"/>
              <w:bottom w:val="single" w:sz="4" w:space="0" w:color="auto"/>
              <w:right w:val="single" w:sz="4" w:space="0" w:color="auto"/>
            </w:tcBorders>
            <w:noWrap/>
            <w:hideMark/>
          </w:tcPr>
          <w:p w14:paraId="10988A0C" w14:textId="076424A0" w:rsidR="00E84733" w:rsidRPr="006043C2" w:rsidRDefault="00E84733" w:rsidP="00F76882">
            <w:pPr>
              <w:pStyle w:val="Tabletext"/>
            </w:pPr>
            <w:r w:rsidRPr="006043C2">
              <w:t>1</w:t>
            </w:r>
            <w:r w:rsidR="00C64FA8" w:rsidRPr="006043C2">
              <w:t>4</w:t>
            </w:r>
          </w:p>
        </w:tc>
        <w:tc>
          <w:tcPr>
            <w:tcW w:w="242" w:type="pct"/>
            <w:tcBorders>
              <w:top w:val="nil"/>
              <w:left w:val="nil"/>
              <w:bottom w:val="single" w:sz="4" w:space="0" w:color="auto"/>
              <w:right w:val="single" w:sz="4" w:space="0" w:color="auto"/>
            </w:tcBorders>
            <w:noWrap/>
            <w:hideMark/>
          </w:tcPr>
          <w:p w14:paraId="46F4B192" w14:textId="75E40AD2" w:rsidR="00E84733" w:rsidRPr="006043C2" w:rsidRDefault="00E84733" w:rsidP="00F76882">
            <w:pPr>
              <w:pStyle w:val="Tabletext"/>
            </w:pPr>
            <w:r w:rsidRPr="006043C2">
              <w:t>50%</w:t>
            </w:r>
          </w:p>
        </w:tc>
        <w:tc>
          <w:tcPr>
            <w:tcW w:w="148" w:type="pct"/>
            <w:tcBorders>
              <w:top w:val="nil"/>
              <w:left w:val="nil"/>
              <w:bottom w:val="single" w:sz="4" w:space="0" w:color="auto"/>
              <w:right w:val="single" w:sz="4" w:space="0" w:color="auto"/>
            </w:tcBorders>
            <w:noWrap/>
            <w:hideMark/>
          </w:tcPr>
          <w:p w14:paraId="344D0542" w14:textId="73B93A36" w:rsidR="00E84733" w:rsidRPr="006043C2" w:rsidRDefault="00E84733" w:rsidP="00F76882">
            <w:pPr>
              <w:pStyle w:val="Tabletext"/>
            </w:pPr>
            <w:r w:rsidRPr="006043C2">
              <w:t>4</w:t>
            </w:r>
          </w:p>
        </w:tc>
        <w:tc>
          <w:tcPr>
            <w:tcW w:w="242" w:type="pct"/>
            <w:tcBorders>
              <w:top w:val="nil"/>
              <w:left w:val="nil"/>
              <w:bottom w:val="single" w:sz="4" w:space="0" w:color="auto"/>
              <w:right w:val="single" w:sz="4" w:space="0" w:color="auto"/>
            </w:tcBorders>
            <w:noWrap/>
            <w:hideMark/>
          </w:tcPr>
          <w:p w14:paraId="09CF78F1" w14:textId="71CE79A8" w:rsidR="00E84733" w:rsidRPr="006043C2" w:rsidRDefault="00E84733" w:rsidP="00F76882">
            <w:pPr>
              <w:pStyle w:val="Tabletext"/>
            </w:pPr>
            <w:r w:rsidRPr="006043C2">
              <w:t>10%</w:t>
            </w:r>
          </w:p>
        </w:tc>
        <w:tc>
          <w:tcPr>
            <w:tcW w:w="148" w:type="pct"/>
            <w:tcBorders>
              <w:top w:val="nil"/>
              <w:left w:val="nil"/>
              <w:bottom w:val="single" w:sz="4" w:space="0" w:color="auto"/>
              <w:right w:val="single" w:sz="4" w:space="0" w:color="auto"/>
            </w:tcBorders>
            <w:noWrap/>
            <w:hideMark/>
          </w:tcPr>
          <w:p w14:paraId="775F5F5C" w14:textId="3250DDED" w:rsidR="00E84733" w:rsidRPr="006043C2" w:rsidRDefault="00E84733" w:rsidP="00F76882">
            <w:pPr>
              <w:pStyle w:val="Tabletext"/>
            </w:pPr>
            <w:r w:rsidRPr="006043C2">
              <w:t>4</w:t>
            </w:r>
          </w:p>
        </w:tc>
        <w:tc>
          <w:tcPr>
            <w:tcW w:w="242" w:type="pct"/>
            <w:tcBorders>
              <w:top w:val="nil"/>
              <w:left w:val="nil"/>
              <w:bottom w:val="single" w:sz="4" w:space="0" w:color="auto"/>
              <w:right w:val="single" w:sz="4" w:space="0" w:color="auto"/>
            </w:tcBorders>
            <w:noWrap/>
            <w:hideMark/>
          </w:tcPr>
          <w:p w14:paraId="20DA33E6" w14:textId="3CB66AB8" w:rsidR="00E84733" w:rsidRPr="006043C2" w:rsidRDefault="00E84733" w:rsidP="00F76882">
            <w:pPr>
              <w:pStyle w:val="Tabletext"/>
            </w:pPr>
            <w:r w:rsidRPr="006043C2">
              <w:t>11%</w:t>
            </w:r>
          </w:p>
        </w:tc>
        <w:tc>
          <w:tcPr>
            <w:tcW w:w="148" w:type="pct"/>
            <w:tcBorders>
              <w:top w:val="nil"/>
              <w:left w:val="nil"/>
              <w:bottom w:val="single" w:sz="4" w:space="0" w:color="auto"/>
              <w:right w:val="single" w:sz="4" w:space="0" w:color="auto"/>
            </w:tcBorders>
            <w:noWrap/>
            <w:hideMark/>
          </w:tcPr>
          <w:p w14:paraId="6E05D28C" w14:textId="66B85CFA" w:rsidR="00E84733" w:rsidRPr="006043C2" w:rsidRDefault="00E84733" w:rsidP="00F76882">
            <w:pPr>
              <w:pStyle w:val="Tabletext"/>
            </w:pPr>
            <w:r w:rsidRPr="006043C2">
              <w:t>13</w:t>
            </w:r>
          </w:p>
        </w:tc>
        <w:tc>
          <w:tcPr>
            <w:tcW w:w="242" w:type="pct"/>
            <w:tcBorders>
              <w:top w:val="nil"/>
              <w:left w:val="nil"/>
              <w:bottom w:val="single" w:sz="4" w:space="0" w:color="auto"/>
              <w:right w:val="single" w:sz="4" w:space="0" w:color="auto"/>
            </w:tcBorders>
            <w:noWrap/>
            <w:hideMark/>
          </w:tcPr>
          <w:p w14:paraId="706B3673" w14:textId="5D85F3B5" w:rsidR="00E84733" w:rsidRPr="006043C2" w:rsidRDefault="00E84733" w:rsidP="00F76882">
            <w:pPr>
              <w:pStyle w:val="Tabletext"/>
            </w:pPr>
            <w:r w:rsidRPr="006043C2">
              <w:t>38%</w:t>
            </w:r>
          </w:p>
        </w:tc>
        <w:tc>
          <w:tcPr>
            <w:tcW w:w="148" w:type="pct"/>
            <w:tcBorders>
              <w:top w:val="nil"/>
              <w:left w:val="nil"/>
              <w:bottom w:val="single" w:sz="4" w:space="0" w:color="auto"/>
              <w:right w:val="single" w:sz="4" w:space="0" w:color="auto"/>
            </w:tcBorders>
            <w:noWrap/>
            <w:hideMark/>
          </w:tcPr>
          <w:p w14:paraId="5C14C1B4" w14:textId="0AAA10EF" w:rsidR="00E84733" w:rsidRPr="006043C2" w:rsidRDefault="00E84733" w:rsidP="00F76882">
            <w:pPr>
              <w:pStyle w:val="Tabletext"/>
            </w:pPr>
            <w:r w:rsidRPr="006043C2">
              <w:t>10</w:t>
            </w:r>
          </w:p>
        </w:tc>
        <w:tc>
          <w:tcPr>
            <w:tcW w:w="242" w:type="pct"/>
            <w:tcBorders>
              <w:top w:val="nil"/>
              <w:left w:val="nil"/>
              <w:bottom w:val="single" w:sz="4" w:space="0" w:color="auto"/>
              <w:right w:val="single" w:sz="4" w:space="0" w:color="auto"/>
            </w:tcBorders>
            <w:noWrap/>
            <w:hideMark/>
          </w:tcPr>
          <w:p w14:paraId="2357EDD6" w14:textId="0B7BED19" w:rsidR="00E84733" w:rsidRPr="006043C2" w:rsidRDefault="00E84733" w:rsidP="00F76882">
            <w:pPr>
              <w:pStyle w:val="Tabletext"/>
            </w:pPr>
            <w:r w:rsidRPr="006043C2">
              <w:t>36%</w:t>
            </w:r>
          </w:p>
        </w:tc>
        <w:tc>
          <w:tcPr>
            <w:tcW w:w="148" w:type="pct"/>
            <w:tcBorders>
              <w:top w:val="nil"/>
              <w:left w:val="nil"/>
              <w:bottom w:val="single" w:sz="4" w:space="0" w:color="auto"/>
              <w:right w:val="single" w:sz="4" w:space="0" w:color="auto"/>
            </w:tcBorders>
            <w:noWrap/>
            <w:hideMark/>
          </w:tcPr>
          <w:p w14:paraId="7F4BDD3E" w14:textId="37397404" w:rsidR="00E84733" w:rsidRPr="006043C2" w:rsidRDefault="00E84733" w:rsidP="00F76882">
            <w:pPr>
              <w:pStyle w:val="Tabletext"/>
            </w:pPr>
            <w:r w:rsidRPr="006043C2">
              <w:t>6</w:t>
            </w:r>
          </w:p>
        </w:tc>
        <w:tc>
          <w:tcPr>
            <w:tcW w:w="242" w:type="pct"/>
            <w:tcBorders>
              <w:top w:val="nil"/>
              <w:left w:val="nil"/>
              <w:bottom w:val="single" w:sz="4" w:space="0" w:color="auto"/>
              <w:right w:val="single" w:sz="4" w:space="0" w:color="auto"/>
            </w:tcBorders>
            <w:noWrap/>
            <w:hideMark/>
          </w:tcPr>
          <w:p w14:paraId="1C737DB3" w14:textId="41D55E05" w:rsidR="00E84733" w:rsidRPr="006043C2" w:rsidRDefault="00E84733" w:rsidP="00F76882">
            <w:pPr>
              <w:pStyle w:val="Tabletext"/>
            </w:pPr>
            <w:r w:rsidRPr="006043C2">
              <w:t>22%</w:t>
            </w:r>
          </w:p>
        </w:tc>
        <w:tc>
          <w:tcPr>
            <w:tcW w:w="148" w:type="pct"/>
            <w:tcBorders>
              <w:top w:val="nil"/>
              <w:left w:val="nil"/>
              <w:bottom w:val="single" w:sz="4" w:space="0" w:color="auto"/>
              <w:right w:val="single" w:sz="4" w:space="0" w:color="auto"/>
            </w:tcBorders>
            <w:noWrap/>
            <w:hideMark/>
          </w:tcPr>
          <w:p w14:paraId="15A9FE57" w14:textId="4D549AB8" w:rsidR="00E84733" w:rsidRPr="006043C2" w:rsidRDefault="00E84733" w:rsidP="00F76882">
            <w:pPr>
              <w:pStyle w:val="Tabletext"/>
            </w:pPr>
            <w:r w:rsidRPr="006043C2">
              <w:t>4</w:t>
            </w:r>
          </w:p>
        </w:tc>
        <w:tc>
          <w:tcPr>
            <w:tcW w:w="242" w:type="pct"/>
            <w:tcBorders>
              <w:top w:val="nil"/>
              <w:left w:val="nil"/>
              <w:bottom w:val="single" w:sz="4" w:space="0" w:color="auto"/>
              <w:right w:val="single" w:sz="4" w:space="0" w:color="auto"/>
            </w:tcBorders>
            <w:noWrap/>
            <w:hideMark/>
          </w:tcPr>
          <w:p w14:paraId="358F1FEE" w14:textId="0D1124D6" w:rsidR="00E84733" w:rsidRPr="006043C2" w:rsidRDefault="00E84733" w:rsidP="00F76882">
            <w:pPr>
              <w:pStyle w:val="Tabletext"/>
            </w:pPr>
            <w:r w:rsidRPr="006043C2">
              <w:t>16%</w:t>
            </w:r>
          </w:p>
        </w:tc>
        <w:tc>
          <w:tcPr>
            <w:tcW w:w="146" w:type="pct"/>
            <w:tcBorders>
              <w:top w:val="nil"/>
              <w:left w:val="nil"/>
              <w:bottom w:val="single" w:sz="4" w:space="0" w:color="auto"/>
              <w:right w:val="single" w:sz="4" w:space="0" w:color="auto"/>
            </w:tcBorders>
          </w:tcPr>
          <w:p w14:paraId="4B766D44" w14:textId="63C2E07B" w:rsidR="00E84733" w:rsidRPr="006043C2" w:rsidRDefault="00E84733" w:rsidP="00F76882">
            <w:pPr>
              <w:pStyle w:val="Tabletext"/>
            </w:pPr>
            <w:r w:rsidRPr="006043C2">
              <w:t>3</w:t>
            </w:r>
          </w:p>
        </w:tc>
        <w:tc>
          <w:tcPr>
            <w:tcW w:w="237" w:type="pct"/>
            <w:tcBorders>
              <w:top w:val="nil"/>
              <w:left w:val="nil"/>
              <w:bottom w:val="single" w:sz="4" w:space="0" w:color="auto"/>
              <w:right w:val="single" w:sz="4" w:space="0" w:color="auto"/>
            </w:tcBorders>
          </w:tcPr>
          <w:p w14:paraId="6BA95848" w14:textId="72473808" w:rsidR="00E84733" w:rsidRPr="006043C2" w:rsidRDefault="00E84733" w:rsidP="00F76882">
            <w:pPr>
              <w:pStyle w:val="Tabletext"/>
            </w:pPr>
            <w:r w:rsidRPr="006043C2">
              <w:t>12%</w:t>
            </w:r>
          </w:p>
        </w:tc>
      </w:tr>
      <w:tr w:rsidR="009552C2" w:rsidRPr="0036007C" w14:paraId="307F057D" w14:textId="22916503" w:rsidTr="001A74E9">
        <w:trPr>
          <w:trHeight w:val="283"/>
        </w:trPr>
        <w:tc>
          <w:tcPr>
            <w:tcW w:w="713" w:type="pct"/>
            <w:tcBorders>
              <w:top w:val="nil"/>
              <w:left w:val="single" w:sz="4" w:space="0" w:color="auto"/>
              <w:bottom w:val="single" w:sz="4" w:space="0" w:color="auto"/>
              <w:right w:val="single" w:sz="4" w:space="0" w:color="auto"/>
            </w:tcBorders>
            <w:shd w:val="clear" w:color="000000" w:fill="BFBFBF"/>
            <w:noWrap/>
            <w:hideMark/>
          </w:tcPr>
          <w:p w14:paraId="05F4B945" w14:textId="2E4C242D" w:rsidR="00E84733" w:rsidRPr="003D3BBA" w:rsidRDefault="00E84733" w:rsidP="00F76882">
            <w:pPr>
              <w:pStyle w:val="Tabletextleft"/>
            </w:pPr>
            <w:r w:rsidRPr="003D3BBA">
              <w:t xml:space="preserve">≥5% </w:t>
            </w:r>
            <w:r w:rsidR="00BC67C8" w:rsidRPr="003D3BBA">
              <w:t>to</w:t>
            </w:r>
            <w:r w:rsidRPr="003D3BBA">
              <w:t xml:space="preserve"> &lt;10% </w:t>
            </w:r>
          </w:p>
        </w:tc>
        <w:tc>
          <w:tcPr>
            <w:tcW w:w="149" w:type="pct"/>
            <w:tcBorders>
              <w:top w:val="nil"/>
              <w:left w:val="nil"/>
              <w:bottom w:val="single" w:sz="4" w:space="0" w:color="auto"/>
              <w:right w:val="single" w:sz="4" w:space="0" w:color="auto"/>
            </w:tcBorders>
            <w:shd w:val="clear" w:color="000000" w:fill="BFBFBF"/>
            <w:noWrap/>
            <w:hideMark/>
          </w:tcPr>
          <w:p w14:paraId="18745114" w14:textId="2050CB75" w:rsidR="00E84733" w:rsidRPr="006043C2" w:rsidRDefault="00E84733" w:rsidP="00F76882">
            <w:pPr>
              <w:pStyle w:val="Tabletext"/>
            </w:pPr>
            <w:r w:rsidRPr="006043C2">
              <w:t>2</w:t>
            </w:r>
          </w:p>
        </w:tc>
        <w:tc>
          <w:tcPr>
            <w:tcW w:w="242" w:type="pct"/>
            <w:tcBorders>
              <w:top w:val="nil"/>
              <w:left w:val="nil"/>
              <w:bottom w:val="single" w:sz="4" w:space="0" w:color="auto"/>
              <w:right w:val="single" w:sz="4" w:space="0" w:color="auto"/>
            </w:tcBorders>
            <w:shd w:val="clear" w:color="000000" w:fill="BFBFBF"/>
            <w:noWrap/>
            <w:hideMark/>
          </w:tcPr>
          <w:p w14:paraId="41572AE8" w14:textId="6DBC8FA7" w:rsidR="00E84733" w:rsidRPr="006043C2" w:rsidRDefault="00E84733" w:rsidP="00F76882">
            <w:pPr>
              <w:pStyle w:val="Tabletext"/>
            </w:pPr>
            <w:r w:rsidRPr="006043C2">
              <w:t>4%</w:t>
            </w:r>
          </w:p>
        </w:tc>
        <w:tc>
          <w:tcPr>
            <w:tcW w:w="148" w:type="pct"/>
            <w:tcBorders>
              <w:top w:val="nil"/>
              <w:left w:val="nil"/>
              <w:bottom w:val="single" w:sz="4" w:space="0" w:color="auto"/>
              <w:right w:val="single" w:sz="4" w:space="0" w:color="auto"/>
            </w:tcBorders>
            <w:shd w:val="clear" w:color="000000" w:fill="BFBFBF"/>
            <w:noWrap/>
            <w:hideMark/>
          </w:tcPr>
          <w:p w14:paraId="4815DA6D" w14:textId="2AC9E59F" w:rsidR="00E84733" w:rsidRPr="006043C2" w:rsidRDefault="00E84733" w:rsidP="00F76882">
            <w:pPr>
              <w:pStyle w:val="Tabletext"/>
            </w:pPr>
            <w:r w:rsidRPr="006043C2">
              <w:t>0</w:t>
            </w:r>
          </w:p>
        </w:tc>
        <w:tc>
          <w:tcPr>
            <w:tcW w:w="242" w:type="pct"/>
            <w:tcBorders>
              <w:top w:val="nil"/>
              <w:left w:val="nil"/>
              <w:bottom w:val="single" w:sz="4" w:space="0" w:color="auto"/>
              <w:right w:val="single" w:sz="4" w:space="0" w:color="auto"/>
            </w:tcBorders>
            <w:shd w:val="clear" w:color="000000" w:fill="BFBFBF"/>
            <w:noWrap/>
            <w:hideMark/>
          </w:tcPr>
          <w:p w14:paraId="096960C4" w14:textId="69841995" w:rsidR="00E84733" w:rsidRPr="006043C2" w:rsidRDefault="00E84733" w:rsidP="00F76882">
            <w:pPr>
              <w:pStyle w:val="Tabletext"/>
            </w:pPr>
            <w:r w:rsidRPr="006043C2">
              <w:t>0%</w:t>
            </w:r>
          </w:p>
        </w:tc>
        <w:tc>
          <w:tcPr>
            <w:tcW w:w="148" w:type="pct"/>
            <w:tcBorders>
              <w:top w:val="nil"/>
              <w:left w:val="nil"/>
              <w:bottom w:val="single" w:sz="4" w:space="0" w:color="auto"/>
              <w:right w:val="single" w:sz="4" w:space="0" w:color="auto"/>
            </w:tcBorders>
            <w:shd w:val="clear" w:color="000000" w:fill="BFBFBF"/>
            <w:noWrap/>
            <w:hideMark/>
          </w:tcPr>
          <w:p w14:paraId="2AB1F886" w14:textId="39380EB6" w:rsidR="00E84733" w:rsidRPr="006043C2" w:rsidRDefault="00E84733" w:rsidP="00F76882">
            <w:pPr>
              <w:pStyle w:val="Tabletext"/>
            </w:pPr>
            <w:r w:rsidRPr="006043C2">
              <w:t>5</w:t>
            </w:r>
          </w:p>
        </w:tc>
        <w:tc>
          <w:tcPr>
            <w:tcW w:w="241" w:type="pct"/>
            <w:tcBorders>
              <w:top w:val="nil"/>
              <w:left w:val="nil"/>
              <w:bottom w:val="single" w:sz="4" w:space="0" w:color="auto"/>
              <w:right w:val="single" w:sz="4" w:space="0" w:color="auto"/>
            </w:tcBorders>
            <w:shd w:val="clear" w:color="000000" w:fill="BFBFBF"/>
            <w:noWrap/>
            <w:hideMark/>
          </w:tcPr>
          <w:p w14:paraId="089804CD" w14:textId="2C1CE7AE" w:rsidR="00E84733" w:rsidRPr="006043C2" w:rsidRDefault="00E84733" w:rsidP="00F76882">
            <w:pPr>
              <w:pStyle w:val="Tabletext"/>
            </w:pPr>
            <w:r w:rsidRPr="006043C2">
              <w:t>14%</w:t>
            </w:r>
          </w:p>
        </w:tc>
        <w:tc>
          <w:tcPr>
            <w:tcW w:w="148" w:type="pct"/>
            <w:tcBorders>
              <w:top w:val="nil"/>
              <w:left w:val="nil"/>
              <w:bottom w:val="single" w:sz="4" w:space="0" w:color="auto"/>
              <w:right w:val="single" w:sz="4" w:space="0" w:color="auto"/>
            </w:tcBorders>
            <w:shd w:val="clear" w:color="000000" w:fill="BFBFBF"/>
            <w:noWrap/>
            <w:hideMark/>
          </w:tcPr>
          <w:p w14:paraId="4AFCD0F6" w14:textId="11190259" w:rsidR="00E84733" w:rsidRPr="006043C2" w:rsidRDefault="00E84733" w:rsidP="00F76882">
            <w:pPr>
              <w:pStyle w:val="Tabletext"/>
            </w:pPr>
            <w:r w:rsidRPr="006043C2">
              <w:t>1</w:t>
            </w:r>
          </w:p>
        </w:tc>
        <w:tc>
          <w:tcPr>
            <w:tcW w:w="242" w:type="pct"/>
            <w:tcBorders>
              <w:top w:val="nil"/>
              <w:left w:val="nil"/>
              <w:bottom w:val="single" w:sz="4" w:space="0" w:color="auto"/>
              <w:right w:val="single" w:sz="4" w:space="0" w:color="auto"/>
            </w:tcBorders>
            <w:shd w:val="clear" w:color="000000" w:fill="BFBFBF"/>
            <w:noWrap/>
            <w:hideMark/>
          </w:tcPr>
          <w:p w14:paraId="5FE958D0" w14:textId="31AC3287" w:rsidR="00E84733" w:rsidRPr="006043C2" w:rsidRDefault="00E84733" w:rsidP="00F76882">
            <w:pPr>
              <w:pStyle w:val="Tabletext"/>
            </w:pPr>
            <w:r w:rsidRPr="006043C2">
              <w:t>3%</w:t>
            </w:r>
          </w:p>
        </w:tc>
        <w:tc>
          <w:tcPr>
            <w:tcW w:w="148" w:type="pct"/>
            <w:tcBorders>
              <w:top w:val="nil"/>
              <w:left w:val="nil"/>
              <w:bottom w:val="single" w:sz="4" w:space="0" w:color="auto"/>
              <w:right w:val="single" w:sz="4" w:space="0" w:color="auto"/>
            </w:tcBorders>
            <w:shd w:val="clear" w:color="000000" w:fill="BFBFBF"/>
            <w:noWrap/>
            <w:hideMark/>
          </w:tcPr>
          <w:p w14:paraId="16010F89" w14:textId="4D737F58" w:rsidR="00E84733" w:rsidRPr="006043C2" w:rsidRDefault="00E84733" w:rsidP="00F76882">
            <w:pPr>
              <w:pStyle w:val="Tabletext"/>
            </w:pPr>
            <w:r w:rsidRPr="006043C2">
              <w:t>6</w:t>
            </w:r>
          </w:p>
        </w:tc>
        <w:tc>
          <w:tcPr>
            <w:tcW w:w="242" w:type="pct"/>
            <w:tcBorders>
              <w:top w:val="nil"/>
              <w:left w:val="nil"/>
              <w:bottom w:val="single" w:sz="4" w:space="0" w:color="auto"/>
              <w:right w:val="single" w:sz="4" w:space="0" w:color="auto"/>
            </w:tcBorders>
            <w:shd w:val="clear" w:color="000000" w:fill="BFBFBF"/>
            <w:noWrap/>
            <w:hideMark/>
          </w:tcPr>
          <w:p w14:paraId="41BDCACB" w14:textId="260CD703" w:rsidR="00E84733" w:rsidRPr="006043C2" w:rsidRDefault="00E84733" w:rsidP="00F76882">
            <w:pPr>
              <w:pStyle w:val="Tabletext"/>
            </w:pPr>
            <w:r w:rsidRPr="006043C2">
              <w:t>15%</w:t>
            </w:r>
          </w:p>
        </w:tc>
        <w:tc>
          <w:tcPr>
            <w:tcW w:w="148" w:type="pct"/>
            <w:tcBorders>
              <w:top w:val="nil"/>
              <w:left w:val="nil"/>
              <w:bottom w:val="single" w:sz="4" w:space="0" w:color="auto"/>
              <w:right w:val="single" w:sz="4" w:space="0" w:color="auto"/>
            </w:tcBorders>
            <w:shd w:val="clear" w:color="000000" w:fill="BFBFBF"/>
            <w:noWrap/>
            <w:hideMark/>
          </w:tcPr>
          <w:p w14:paraId="2919A74A" w14:textId="28CFCD28" w:rsidR="00E84733" w:rsidRPr="006043C2" w:rsidRDefault="00E84733" w:rsidP="00F76882">
            <w:pPr>
              <w:pStyle w:val="Tabletext"/>
            </w:pPr>
            <w:r w:rsidRPr="006043C2">
              <w:t>3</w:t>
            </w:r>
          </w:p>
        </w:tc>
        <w:tc>
          <w:tcPr>
            <w:tcW w:w="242" w:type="pct"/>
            <w:tcBorders>
              <w:top w:val="nil"/>
              <w:left w:val="nil"/>
              <w:bottom w:val="single" w:sz="4" w:space="0" w:color="auto"/>
              <w:right w:val="single" w:sz="4" w:space="0" w:color="auto"/>
            </w:tcBorders>
            <w:shd w:val="clear" w:color="000000" w:fill="BFBFBF"/>
            <w:noWrap/>
            <w:hideMark/>
          </w:tcPr>
          <w:p w14:paraId="583377AE" w14:textId="230C17A3" w:rsidR="00E84733" w:rsidRPr="006043C2" w:rsidRDefault="00E84733" w:rsidP="00F76882">
            <w:pPr>
              <w:pStyle w:val="Tabletext"/>
            </w:pPr>
            <w:r w:rsidRPr="006043C2">
              <w:t>9%</w:t>
            </w:r>
          </w:p>
        </w:tc>
        <w:tc>
          <w:tcPr>
            <w:tcW w:w="148" w:type="pct"/>
            <w:tcBorders>
              <w:top w:val="nil"/>
              <w:left w:val="nil"/>
              <w:bottom w:val="single" w:sz="4" w:space="0" w:color="auto"/>
              <w:right w:val="single" w:sz="4" w:space="0" w:color="auto"/>
            </w:tcBorders>
            <w:shd w:val="clear" w:color="000000" w:fill="BFBFBF"/>
            <w:noWrap/>
            <w:hideMark/>
          </w:tcPr>
          <w:p w14:paraId="49833816" w14:textId="186F1DDA" w:rsidR="00E84733" w:rsidRPr="006043C2" w:rsidRDefault="00E84733" w:rsidP="00F76882">
            <w:pPr>
              <w:pStyle w:val="Tabletext"/>
            </w:pPr>
            <w:r w:rsidRPr="006043C2">
              <w:t>4</w:t>
            </w:r>
          </w:p>
        </w:tc>
        <w:tc>
          <w:tcPr>
            <w:tcW w:w="242" w:type="pct"/>
            <w:tcBorders>
              <w:top w:val="nil"/>
              <w:left w:val="nil"/>
              <w:bottom w:val="single" w:sz="4" w:space="0" w:color="auto"/>
              <w:right w:val="single" w:sz="4" w:space="0" w:color="auto"/>
            </w:tcBorders>
            <w:shd w:val="clear" w:color="000000" w:fill="BFBFBF"/>
            <w:noWrap/>
            <w:hideMark/>
          </w:tcPr>
          <w:p w14:paraId="4A0B70B8" w14:textId="103F8E8A" w:rsidR="00E84733" w:rsidRPr="006043C2" w:rsidRDefault="00E84733" w:rsidP="00F76882">
            <w:pPr>
              <w:pStyle w:val="Tabletext"/>
            </w:pPr>
            <w:r w:rsidRPr="006043C2">
              <w:t>12%</w:t>
            </w:r>
          </w:p>
        </w:tc>
        <w:tc>
          <w:tcPr>
            <w:tcW w:w="148" w:type="pct"/>
            <w:tcBorders>
              <w:top w:val="nil"/>
              <w:left w:val="nil"/>
              <w:bottom w:val="single" w:sz="4" w:space="0" w:color="auto"/>
              <w:right w:val="single" w:sz="4" w:space="0" w:color="auto"/>
            </w:tcBorders>
            <w:shd w:val="clear" w:color="000000" w:fill="BFBFBF"/>
            <w:noWrap/>
            <w:hideMark/>
          </w:tcPr>
          <w:p w14:paraId="33F01CAF" w14:textId="0CF64FDC" w:rsidR="00E84733" w:rsidRPr="006043C2" w:rsidRDefault="00E84733" w:rsidP="00F76882">
            <w:pPr>
              <w:pStyle w:val="Tabletext"/>
            </w:pPr>
            <w:r w:rsidRPr="006043C2">
              <w:t>4</w:t>
            </w:r>
          </w:p>
        </w:tc>
        <w:tc>
          <w:tcPr>
            <w:tcW w:w="242" w:type="pct"/>
            <w:tcBorders>
              <w:top w:val="nil"/>
              <w:left w:val="nil"/>
              <w:bottom w:val="single" w:sz="4" w:space="0" w:color="auto"/>
              <w:right w:val="single" w:sz="4" w:space="0" w:color="auto"/>
            </w:tcBorders>
            <w:shd w:val="clear" w:color="000000" w:fill="BFBFBF"/>
            <w:noWrap/>
            <w:hideMark/>
          </w:tcPr>
          <w:p w14:paraId="1D893740" w14:textId="3BAC1F9F" w:rsidR="00E84733" w:rsidRPr="006043C2" w:rsidRDefault="00E84733" w:rsidP="00F76882">
            <w:pPr>
              <w:pStyle w:val="Tabletext"/>
            </w:pPr>
            <w:r w:rsidRPr="006043C2">
              <w:t>14%</w:t>
            </w:r>
          </w:p>
        </w:tc>
        <w:tc>
          <w:tcPr>
            <w:tcW w:w="148" w:type="pct"/>
            <w:tcBorders>
              <w:top w:val="nil"/>
              <w:left w:val="nil"/>
              <w:bottom w:val="single" w:sz="4" w:space="0" w:color="auto"/>
              <w:right w:val="single" w:sz="4" w:space="0" w:color="auto"/>
            </w:tcBorders>
            <w:shd w:val="clear" w:color="000000" w:fill="BFBFBF"/>
            <w:noWrap/>
            <w:hideMark/>
          </w:tcPr>
          <w:p w14:paraId="34194547" w14:textId="743AF77F" w:rsidR="00E84733" w:rsidRPr="006043C2" w:rsidRDefault="00E84733" w:rsidP="00F76882">
            <w:pPr>
              <w:pStyle w:val="Tabletext"/>
            </w:pPr>
            <w:r w:rsidRPr="006043C2">
              <w:t>2</w:t>
            </w:r>
          </w:p>
        </w:tc>
        <w:tc>
          <w:tcPr>
            <w:tcW w:w="242" w:type="pct"/>
            <w:tcBorders>
              <w:top w:val="nil"/>
              <w:left w:val="nil"/>
              <w:bottom w:val="single" w:sz="4" w:space="0" w:color="auto"/>
              <w:right w:val="single" w:sz="4" w:space="0" w:color="auto"/>
            </w:tcBorders>
            <w:shd w:val="clear" w:color="000000" w:fill="BFBFBF"/>
            <w:noWrap/>
            <w:hideMark/>
          </w:tcPr>
          <w:p w14:paraId="48838305" w14:textId="4B57298F" w:rsidR="00E84733" w:rsidRPr="006043C2" w:rsidRDefault="00E84733" w:rsidP="00F76882">
            <w:pPr>
              <w:pStyle w:val="Tabletext"/>
            </w:pPr>
            <w:r w:rsidRPr="006043C2">
              <w:t>7%</w:t>
            </w:r>
          </w:p>
        </w:tc>
        <w:tc>
          <w:tcPr>
            <w:tcW w:w="148" w:type="pct"/>
            <w:tcBorders>
              <w:top w:val="nil"/>
              <w:left w:val="nil"/>
              <w:bottom w:val="single" w:sz="4" w:space="0" w:color="auto"/>
              <w:right w:val="single" w:sz="4" w:space="0" w:color="auto"/>
            </w:tcBorders>
            <w:shd w:val="clear" w:color="000000" w:fill="BFBFBF"/>
            <w:noWrap/>
            <w:hideMark/>
          </w:tcPr>
          <w:p w14:paraId="78462291" w14:textId="2416BBFB" w:rsidR="00E84733" w:rsidRPr="006043C2" w:rsidRDefault="00E84733" w:rsidP="00F76882">
            <w:pPr>
              <w:pStyle w:val="Tabletext"/>
            </w:pPr>
            <w:r w:rsidRPr="006043C2">
              <w:t>2</w:t>
            </w:r>
          </w:p>
        </w:tc>
        <w:tc>
          <w:tcPr>
            <w:tcW w:w="242" w:type="pct"/>
            <w:tcBorders>
              <w:top w:val="nil"/>
              <w:left w:val="nil"/>
              <w:bottom w:val="single" w:sz="4" w:space="0" w:color="auto"/>
              <w:right w:val="single" w:sz="4" w:space="0" w:color="auto"/>
            </w:tcBorders>
            <w:shd w:val="clear" w:color="000000" w:fill="BFBFBF"/>
            <w:noWrap/>
            <w:hideMark/>
          </w:tcPr>
          <w:p w14:paraId="35A90704" w14:textId="19824D8F" w:rsidR="00E84733" w:rsidRPr="006043C2" w:rsidRDefault="00E84733" w:rsidP="00F76882">
            <w:pPr>
              <w:pStyle w:val="Tabletext"/>
            </w:pPr>
            <w:r w:rsidRPr="006043C2">
              <w:t>8%</w:t>
            </w:r>
          </w:p>
        </w:tc>
        <w:tc>
          <w:tcPr>
            <w:tcW w:w="146" w:type="pct"/>
            <w:tcBorders>
              <w:top w:val="nil"/>
              <w:left w:val="nil"/>
              <w:bottom w:val="single" w:sz="4" w:space="0" w:color="auto"/>
              <w:right w:val="single" w:sz="4" w:space="0" w:color="auto"/>
            </w:tcBorders>
            <w:shd w:val="clear" w:color="000000" w:fill="BFBFBF"/>
          </w:tcPr>
          <w:p w14:paraId="2DDC41BB" w14:textId="345FBB78" w:rsidR="00E84733" w:rsidRPr="006043C2" w:rsidRDefault="00E84733" w:rsidP="00F76882">
            <w:pPr>
              <w:pStyle w:val="Tabletext"/>
            </w:pPr>
            <w:r w:rsidRPr="006043C2">
              <w:t>2</w:t>
            </w:r>
          </w:p>
        </w:tc>
        <w:tc>
          <w:tcPr>
            <w:tcW w:w="237" w:type="pct"/>
            <w:tcBorders>
              <w:top w:val="nil"/>
              <w:left w:val="nil"/>
              <w:bottom w:val="single" w:sz="4" w:space="0" w:color="auto"/>
              <w:right w:val="single" w:sz="4" w:space="0" w:color="auto"/>
            </w:tcBorders>
            <w:shd w:val="clear" w:color="000000" w:fill="BFBFBF"/>
          </w:tcPr>
          <w:p w14:paraId="3EDCF4F0" w14:textId="59169448" w:rsidR="00E84733" w:rsidRPr="006043C2" w:rsidRDefault="00E84733" w:rsidP="00F76882">
            <w:pPr>
              <w:pStyle w:val="Tabletext"/>
            </w:pPr>
            <w:r w:rsidRPr="006043C2">
              <w:t>8%</w:t>
            </w:r>
          </w:p>
        </w:tc>
      </w:tr>
      <w:tr w:rsidR="00E84733" w:rsidRPr="0036007C" w14:paraId="115E39F2" w14:textId="1E4488EB" w:rsidTr="001A74E9">
        <w:trPr>
          <w:trHeight w:val="283"/>
        </w:trPr>
        <w:tc>
          <w:tcPr>
            <w:tcW w:w="713" w:type="pct"/>
            <w:tcBorders>
              <w:top w:val="nil"/>
              <w:left w:val="single" w:sz="4" w:space="0" w:color="auto"/>
              <w:bottom w:val="single" w:sz="4" w:space="0" w:color="auto"/>
              <w:right w:val="single" w:sz="4" w:space="0" w:color="auto"/>
            </w:tcBorders>
            <w:noWrap/>
            <w:hideMark/>
          </w:tcPr>
          <w:p w14:paraId="14024881" w14:textId="3A14ABE3" w:rsidR="00E84733" w:rsidRPr="003D3BBA" w:rsidRDefault="00E84733" w:rsidP="00F76882">
            <w:pPr>
              <w:pStyle w:val="Tabletextleft"/>
            </w:pPr>
            <w:r w:rsidRPr="003D3BBA">
              <w:t xml:space="preserve">&gt;0% </w:t>
            </w:r>
            <w:r w:rsidR="00BC67C8" w:rsidRPr="003D3BBA">
              <w:t>to</w:t>
            </w:r>
            <w:r w:rsidRPr="003D3BBA">
              <w:t xml:space="preserve"> &lt;5% </w:t>
            </w:r>
          </w:p>
        </w:tc>
        <w:tc>
          <w:tcPr>
            <w:tcW w:w="149" w:type="pct"/>
            <w:tcBorders>
              <w:top w:val="nil"/>
              <w:left w:val="nil"/>
              <w:bottom w:val="single" w:sz="4" w:space="0" w:color="auto"/>
              <w:right w:val="single" w:sz="4" w:space="0" w:color="auto"/>
            </w:tcBorders>
            <w:noWrap/>
            <w:hideMark/>
          </w:tcPr>
          <w:p w14:paraId="36A44A44" w14:textId="00160682" w:rsidR="00E84733" w:rsidRPr="006043C2" w:rsidRDefault="00E84733" w:rsidP="00F76882">
            <w:pPr>
              <w:pStyle w:val="Tabletext"/>
            </w:pPr>
            <w:r w:rsidRPr="006043C2">
              <w:t>6</w:t>
            </w:r>
          </w:p>
        </w:tc>
        <w:tc>
          <w:tcPr>
            <w:tcW w:w="242" w:type="pct"/>
            <w:tcBorders>
              <w:top w:val="nil"/>
              <w:left w:val="nil"/>
              <w:bottom w:val="single" w:sz="4" w:space="0" w:color="auto"/>
              <w:right w:val="single" w:sz="4" w:space="0" w:color="auto"/>
            </w:tcBorders>
            <w:noWrap/>
            <w:hideMark/>
          </w:tcPr>
          <w:p w14:paraId="57C1DE88" w14:textId="0C6D7FA9" w:rsidR="00E84733" w:rsidRPr="006043C2" w:rsidRDefault="00E84733" w:rsidP="00F76882">
            <w:pPr>
              <w:pStyle w:val="Tabletext"/>
            </w:pPr>
            <w:r w:rsidRPr="006043C2">
              <w:t>11%</w:t>
            </w:r>
          </w:p>
        </w:tc>
        <w:tc>
          <w:tcPr>
            <w:tcW w:w="148" w:type="pct"/>
            <w:tcBorders>
              <w:top w:val="nil"/>
              <w:left w:val="nil"/>
              <w:bottom w:val="single" w:sz="4" w:space="0" w:color="auto"/>
              <w:right w:val="single" w:sz="4" w:space="0" w:color="auto"/>
            </w:tcBorders>
            <w:noWrap/>
            <w:hideMark/>
          </w:tcPr>
          <w:p w14:paraId="4382DA5A" w14:textId="760B8847" w:rsidR="00E84733" w:rsidRPr="006043C2" w:rsidRDefault="00E84733" w:rsidP="00F76882">
            <w:pPr>
              <w:pStyle w:val="Tabletext"/>
            </w:pPr>
            <w:r w:rsidRPr="006043C2">
              <w:t>0</w:t>
            </w:r>
          </w:p>
        </w:tc>
        <w:tc>
          <w:tcPr>
            <w:tcW w:w="242" w:type="pct"/>
            <w:tcBorders>
              <w:top w:val="nil"/>
              <w:left w:val="nil"/>
              <w:bottom w:val="single" w:sz="4" w:space="0" w:color="auto"/>
              <w:right w:val="single" w:sz="4" w:space="0" w:color="auto"/>
            </w:tcBorders>
            <w:noWrap/>
            <w:hideMark/>
          </w:tcPr>
          <w:p w14:paraId="0DFF8B76" w14:textId="1C604AC4" w:rsidR="00E84733" w:rsidRPr="006043C2" w:rsidRDefault="00E84733" w:rsidP="00F76882">
            <w:pPr>
              <w:pStyle w:val="Tabletext"/>
            </w:pPr>
            <w:r w:rsidRPr="006043C2">
              <w:t>0%</w:t>
            </w:r>
          </w:p>
        </w:tc>
        <w:tc>
          <w:tcPr>
            <w:tcW w:w="148" w:type="pct"/>
            <w:tcBorders>
              <w:top w:val="nil"/>
              <w:left w:val="nil"/>
              <w:bottom w:val="single" w:sz="4" w:space="0" w:color="auto"/>
              <w:right w:val="single" w:sz="4" w:space="0" w:color="auto"/>
            </w:tcBorders>
            <w:noWrap/>
            <w:hideMark/>
          </w:tcPr>
          <w:p w14:paraId="1F95DC66" w14:textId="503CFC02" w:rsidR="00E84733" w:rsidRPr="006043C2" w:rsidRDefault="00E84733" w:rsidP="00F76882">
            <w:pPr>
              <w:pStyle w:val="Tabletext"/>
            </w:pPr>
            <w:r w:rsidRPr="006043C2">
              <w:t>1</w:t>
            </w:r>
          </w:p>
        </w:tc>
        <w:tc>
          <w:tcPr>
            <w:tcW w:w="241" w:type="pct"/>
            <w:tcBorders>
              <w:top w:val="nil"/>
              <w:left w:val="nil"/>
              <w:bottom w:val="single" w:sz="4" w:space="0" w:color="auto"/>
              <w:right w:val="single" w:sz="4" w:space="0" w:color="auto"/>
            </w:tcBorders>
            <w:noWrap/>
            <w:hideMark/>
          </w:tcPr>
          <w:p w14:paraId="5335072D" w14:textId="6AD4A95B" w:rsidR="00E84733" w:rsidRPr="006043C2" w:rsidRDefault="00E84733" w:rsidP="00F76882">
            <w:pPr>
              <w:pStyle w:val="Tabletext"/>
            </w:pPr>
            <w:r w:rsidRPr="006043C2">
              <w:t>3%</w:t>
            </w:r>
          </w:p>
        </w:tc>
        <w:tc>
          <w:tcPr>
            <w:tcW w:w="148" w:type="pct"/>
            <w:tcBorders>
              <w:top w:val="nil"/>
              <w:left w:val="nil"/>
              <w:bottom w:val="single" w:sz="4" w:space="0" w:color="auto"/>
              <w:right w:val="single" w:sz="4" w:space="0" w:color="auto"/>
            </w:tcBorders>
            <w:noWrap/>
            <w:hideMark/>
          </w:tcPr>
          <w:p w14:paraId="3461262F" w14:textId="5F6EF2C6" w:rsidR="00E84733" w:rsidRPr="006043C2" w:rsidRDefault="00E84733" w:rsidP="00F76882">
            <w:pPr>
              <w:pStyle w:val="Tabletext"/>
            </w:pPr>
            <w:r w:rsidRPr="006043C2">
              <w:t>1</w:t>
            </w:r>
          </w:p>
        </w:tc>
        <w:tc>
          <w:tcPr>
            <w:tcW w:w="242" w:type="pct"/>
            <w:tcBorders>
              <w:top w:val="nil"/>
              <w:left w:val="nil"/>
              <w:bottom w:val="single" w:sz="4" w:space="0" w:color="auto"/>
              <w:right w:val="single" w:sz="4" w:space="0" w:color="auto"/>
            </w:tcBorders>
            <w:noWrap/>
            <w:hideMark/>
          </w:tcPr>
          <w:p w14:paraId="0E02B4F1" w14:textId="30F509A6" w:rsidR="00E84733" w:rsidRPr="006043C2" w:rsidRDefault="00E84733" w:rsidP="00F76882">
            <w:pPr>
              <w:pStyle w:val="Tabletext"/>
            </w:pPr>
            <w:r w:rsidRPr="006043C2">
              <w:t>3%</w:t>
            </w:r>
          </w:p>
        </w:tc>
        <w:tc>
          <w:tcPr>
            <w:tcW w:w="148" w:type="pct"/>
            <w:tcBorders>
              <w:top w:val="nil"/>
              <w:left w:val="nil"/>
              <w:bottom w:val="single" w:sz="4" w:space="0" w:color="auto"/>
              <w:right w:val="single" w:sz="4" w:space="0" w:color="auto"/>
            </w:tcBorders>
            <w:noWrap/>
            <w:hideMark/>
          </w:tcPr>
          <w:p w14:paraId="18E42931" w14:textId="1FF3458C" w:rsidR="00E84733" w:rsidRPr="006043C2" w:rsidRDefault="00E84733" w:rsidP="00F76882">
            <w:pPr>
              <w:pStyle w:val="Tabletext"/>
            </w:pPr>
            <w:r w:rsidRPr="006043C2">
              <w:t>2</w:t>
            </w:r>
          </w:p>
        </w:tc>
        <w:tc>
          <w:tcPr>
            <w:tcW w:w="242" w:type="pct"/>
            <w:tcBorders>
              <w:top w:val="nil"/>
              <w:left w:val="nil"/>
              <w:bottom w:val="single" w:sz="4" w:space="0" w:color="auto"/>
              <w:right w:val="single" w:sz="4" w:space="0" w:color="auto"/>
            </w:tcBorders>
            <w:noWrap/>
            <w:hideMark/>
          </w:tcPr>
          <w:p w14:paraId="040CF3A7" w14:textId="23FBF6CF" w:rsidR="00E84733" w:rsidRPr="006043C2" w:rsidRDefault="00E84733" w:rsidP="00F76882">
            <w:pPr>
              <w:pStyle w:val="Tabletext"/>
            </w:pPr>
            <w:r w:rsidRPr="006043C2">
              <w:t>5%</w:t>
            </w:r>
          </w:p>
        </w:tc>
        <w:tc>
          <w:tcPr>
            <w:tcW w:w="148" w:type="pct"/>
            <w:tcBorders>
              <w:top w:val="nil"/>
              <w:left w:val="nil"/>
              <w:bottom w:val="single" w:sz="4" w:space="0" w:color="auto"/>
              <w:right w:val="single" w:sz="4" w:space="0" w:color="auto"/>
            </w:tcBorders>
            <w:noWrap/>
            <w:hideMark/>
          </w:tcPr>
          <w:p w14:paraId="7FEBFFA4" w14:textId="49995C30" w:rsidR="00E84733" w:rsidRPr="006043C2" w:rsidRDefault="00E84733" w:rsidP="00F76882">
            <w:pPr>
              <w:pStyle w:val="Tabletext"/>
            </w:pPr>
            <w:r w:rsidRPr="006043C2">
              <w:t>1</w:t>
            </w:r>
          </w:p>
        </w:tc>
        <w:tc>
          <w:tcPr>
            <w:tcW w:w="242" w:type="pct"/>
            <w:tcBorders>
              <w:top w:val="nil"/>
              <w:left w:val="nil"/>
              <w:bottom w:val="single" w:sz="4" w:space="0" w:color="auto"/>
              <w:right w:val="single" w:sz="4" w:space="0" w:color="auto"/>
            </w:tcBorders>
            <w:noWrap/>
            <w:hideMark/>
          </w:tcPr>
          <w:p w14:paraId="1BBB3CB4" w14:textId="121A27AC" w:rsidR="00E84733" w:rsidRPr="006043C2" w:rsidRDefault="00E84733" w:rsidP="00F76882">
            <w:pPr>
              <w:pStyle w:val="Tabletext"/>
            </w:pPr>
            <w:r w:rsidRPr="006043C2">
              <w:t>3%</w:t>
            </w:r>
          </w:p>
        </w:tc>
        <w:tc>
          <w:tcPr>
            <w:tcW w:w="148" w:type="pct"/>
            <w:tcBorders>
              <w:top w:val="nil"/>
              <w:left w:val="nil"/>
              <w:bottom w:val="single" w:sz="4" w:space="0" w:color="auto"/>
              <w:right w:val="single" w:sz="4" w:space="0" w:color="auto"/>
            </w:tcBorders>
            <w:noWrap/>
            <w:hideMark/>
          </w:tcPr>
          <w:p w14:paraId="79147E42" w14:textId="506355C6" w:rsidR="00E84733" w:rsidRPr="006043C2" w:rsidRDefault="00E84733" w:rsidP="00F76882">
            <w:pPr>
              <w:pStyle w:val="Tabletext"/>
            </w:pPr>
            <w:r w:rsidRPr="006043C2">
              <w:t>1</w:t>
            </w:r>
          </w:p>
        </w:tc>
        <w:tc>
          <w:tcPr>
            <w:tcW w:w="242" w:type="pct"/>
            <w:tcBorders>
              <w:top w:val="nil"/>
              <w:left w:val="nil"/>
              <w:bottom w:val="single" w:sz="4" w:space="0" w:color="auto"/>
              <w:right w:val="single" w:sz="4" w:space="0" w:color="auto"/>
            </w:tcBorders>
            <w:noWrap/>
            <w:hideMark/>
          </w:tcPr>
          <w:p w14:paraId="223CA503" w14:textId="2A584B60" w:rsidR="00E84733" w:rsidRPr="006043C2" w:rsidRDefault="00E84733" w:rsidP="00F76882">
            <w:pPr>
              <w:pStyle w:val="Tabletext"/>
            </w:pPr>
            <w:r w:rsidRPr="006043C2">
              <w:t>3%</w:t>
            </w:r>
          </w:p>
        </w:tc>
        <w:tc>
          <w:tcPr>
            <w:tcW w:w="148" w:type="pct"/>
            <w:tcBorders>
              <w:top w:val="nil"/>
              <w:left w:val="nil"/>
              <w:bottom w:val="single" w:sz="4" w:space="0" w:color="auto"/>
              <w:right w:val="single" w:sz="4" w:space="0" w:color="auto"/>
            </w:tcBorders>
            <w:noWrap/>
            <w:hideMark/>
          </w:tcPr>
          <w:p w14:paraId="0B932176" w14:textId="5FCCCE00" w:rsidR="00E84733" w:rsidRPr="006043C2" w:rsidRDefault="00E84733" w:rsidP="00F76882">
            <w:pPr>
              <w:pStyle w:val="Tabletext"/>
            </w:pPr>
            <w:r w:rsidRPr="006043C2">
              <w:t>0</w:t>
            </w:r>
          </w:p>
        </w:tc>
        <w:tc>
          <w:tcPr>
            <w:tcW w:w="242" w:type="pct"/>
            <w:tcBorders>
              <w:top w:val="nil"/>
              <w:left w:val="nil"/>
              <w:bottom w:val="single" w:sz="4" w:space="0" w:color="auto"/>
              <w:right w:val="single" w:sz="4" w:space="0" w:color="auto"/>
            </w:tcBorders>
            <w:noWrap/>
            <w:hideMark/>
          </w:tcPr>
          <w:p w14:paraId="26775647" w14:textId="76840AAB" w:rsidR="00E84733" w:rsidRPr="006043C2" w:rsidRDefault="00E84733" w:rsidP="00F76882">
            <w:pPr>
              <w:pStyle w:val="Tabletext"/>
            </w:pPr>
            <w:r w:rsidRPr="006043C2">
              <w:t>0%</w:t>
            </w:r>
          </w:p>
        </w:tc>
        <w:tc>
          <w:tcPr>
            <w:tcW w:w="148" w:type="pct"/>
            <w:tcBorders>
              <w:top w:val="nil"/>
              <w:left w:val="nil"/>
              <w:bottom w:val="single" w:sz="4" w:space="0" w:color="auto"/>
              <w:right w:val="single" w:sz="4" w:space="0" w:color="auto"/>
            </w:tcBorders>
            <w:noWrap/>
            <w:hideMark/>
          </w:tcPr>
          <w:p w14:paraId="4B35B44A" w14:textId="32A47F43" w:rsidR="00E84733" w:rsidRPr="006043C2" w:rsidRDefault="00E84733" w:rsidP="00F76882">
            <w:pPr>
              <w:pStyle w:val="Tabletext"/>
            </w:pPr>
            <w:r w:rsidRPr="006043C2">
              <w:t>0</w:t>
            </w:r>
          </w:p>
        </w:tc>
        <w:tc>
          <w:tcPr>
            <w:tcW w:w="242" w:type="pct"/>
            <w:tcBorders>
              <w:top w:val="nil"/>
              <w:left w:val="nil"/>
              <w:bottom w:val="single" w:sz="4" w:space="0" w:color="auto"/>
              <w:right w:val="single" w:sz="4" w:space="0" w:color="auto"/>
            </w:tcBorders>
            <w:noWrap/>
            <w:hideMark/>
          </w:tcPr>
          <w:p w14:paraId="66525432" w14:textId="4DF0A3D7" w:rsidR="00E84733" w:rsidRPr="006043C2" w:rsidRDefault="00E84733" w:rsidP="00F76882">
            <w:pPr>
              <w:pStyle w:val="Tabletext"/>
            </w:pPr>
            <w:r w:rsidRPr="006043C2">
              <w:t>0%</w:t>
            </w:r>
          </w:p>
        </w:tc>
        <w:tc>
          <w:tcPr>
            <w:tcW w:w="148" w:type="pct"/>
            <w:tcBorders>
              <w:top w:val="nil"/>
              <w:left w:val="nil"/>
              <w:bottom w:val="single" w:sz="4" w:space="0" w:color="auto"/>
              <w:right w:val="single" w:sz="4" w:space="0" w:color="auto"/>
            </w:tcBorders>
            <w:noWrap/>
            <w:hideMark/>
          </w:tcPr>
          <w:p w14:paraId="7F74EFC8" w14:textId="228B3B85" w:rsidR="00E84733" w:rsidRPr="006043C2" w:rsidRDefault="00E84733" w:rsidP="00F76882">
            <w:pPr>
              <w:pStyle w:val="Tabletext"/>
            </w:pPr>
            <w:r w:rsidRPr="006043C2">
              <w:t>1</w:t>
            </w:r>
          </w:p>
        </w:tc>
        <w:tc>
          <w:tcPr>
            <w:tcW w:w="242" w:type="pct"/>
            <w:tcBorders>
              <w:top w:val="nil"/>
              <w:left w:val="nil"/>
              <w:bottom w:val="single" w:sz="4" w:space="0" w:color="auto"/>
              <w:right w:val="single" w:sz="4" w:space="0" w:color="auto"/>
            </w:tcBorders>
            <w:noWrap/>
            <w:hideMark/>
          </w:tcPr>
          <w:p w14:paraId="441FC1E5" w14:textId="3E58BB92" w:rsidR="00E84733" w:rsidRPr="006043C2" w:rsidRDefault="00E84733" w:rsidP="00F76882">
            <w:pPr>
              <w:pStyle w:val="Tabletext"/>
            </w:pPr>
            <w:r w:rsidRPr="006043C2">
              <w:t>4%</w:t>
            </w:r>
          </w:p>
        </w:tc>
        <w:tc>
          <w:tcPr>
            <w:tcW w:w="146" w:type="pct"/>
            <w:tcBorders>
              <w:top w:val="nil"/>
              <w:left w:val="nil"/>
              <w:bottom w:val="single" w:sz="4" w:space="0" w:color="auto"/>
              <w:right w:val="single" w:sz="4" w:space="0" w:color="auto"/>
            </w:tcBorders>
          </w:tcPr>
          <w:p w14:paraId="6E194F0A" w14:textId="1A13638D" w:rsidR="00E84733" w:rsidRPr="006043C2" w:rsidRDefault="00E84733" w:rsidP="00F76882">
            <w:pPr>
              <w:pStyle w:val="Tabletext"/>
            </w:pPr>
            <w:r w:rsidRPr="006043C2">
              <w:t>1</w:t>
            </w:r>
          </w:p>
        </w:tc>
        <w:tc>
          <w:tcPr>
            <w:tcW w:w="237" w:type="pct"/>
            <w:tcBorders>
              <w:top w:val="nil"/>
              <w:left w:val="nil"/>
              <w:bottom w:val="single" w:sz="4" w:space="0" w:color="auto"/>
              <w:right w:val="single" w:sz="4" w:space="0" w:color="auto"/>
            </w:tcBorders>
          </w:tcPr>
          <w:p w14:paraId="46456BB9" w14:textId="220B65C5" w:rsidR="00E84733" w:rsidRPr="006043C2" w:rsidRDefault="00E84733" w:rsidP="00F76882">
            <w:pPr>
              <w:pStyle w:val="Tabletext"/>
            </w:pPr>
            <w:r w:rsidRPr="006043C2">
              <w:t>4%</w:t>
            </w:r>
          </w:p>
        </w:tc>
      </w:tr>
      <w:tr w:rsidR="009552C2" w:rsidRPr="0036007C" w14:paraId="1E245FAB" w14:textId="1A14653C" w:rsidTr="001A74E9">
        <w:trPr>
          <w:trHeight w:val="283"/>
        </w:trPr>
        <w:tc>
          <w:tcPr>
            <w:tcW w:w="713" w:type="pct"/>
            <w:tcBorders>
              <w:top w:val="nil"/>
              <w:left w:val="single" w:sz="4" w:space="0" w:color="auto"/>
              <w:bottom w:val="single" w:sz="4" w:space="0" w:color="auto"/>
              <w:right w:val="single" w:sz="4" w:space="0" w:color="auto"/>
            </w:tcBorders>
            <w:shd w:val="clear" w:color="000000" w:fill="BFBFBF"/>
            <w:noWrap/>
            <w:hideMark/>
          </w:tcPr>
          <w:p w14:paraId="66E1C4E4" w14:textId="77777777" w:rsidR="00E84733" w:rsidRPr="003D3BBA" w:rsidRDefault="00E84733" w:rsidP="00F76882">
            <w:pPr>
              <w:pStyle w:val="Tabletextleft"/>
            </w:pPr>
            <w:r w:rsidRPr="003D3BBA">
              <w:t>0%</w:t>
            </w:r>
          </w:p>
        </w:tc>
        <w:tc>
          <w:tcPr>
            <w:tcW w:w="149" w:type="pct"/>
            <w:tcBorders>
              <w:top w:val="nil"/>
              <w:left w:val="nil"/>
              <w:bottom w:val="single" w:sz="4" w:space="0" w:color="auto"/>
              <w:right w:val="single" w:sz="4" w:space="0" w:color="auto"/>
            </w:tcBorders>
            <w:shd w:val="clear" w:color="000000" w:fill="BFBFBF"/>
            <w:noWrap/>
            <w:hideMark/>
          </w:tcPr>
          <w:p w14:paraId="7E4B3FB5" w14:textId="4174CA98" w:rsidR="00E84733" w:rsidRPr="006043C2" w:rsidRDefault="00E84733" w:rsidP="00F76882">
            <w:pPr>
              <w:pStyle w:val="Tabletext"/>
            </w:pPr>
            <w:r w:rsidRPr="006043C2">
              <w:t>43</w:t>
            </w:r>
          </w:p>
        </w:tc>
        <w:tc>
          <w:tcPr>
            <w:tcW w:w="242" w:type="pct"/>
            <w:tcBorders>
              <w:top w:val="nil"/>
              <w:left w:val="nil"/>
              <w:bottom w:val="single" w:sz="4" w:space="0" w:color="auto"/>
              <w:right w:val="single" w:sz="4" w:space="0" w:color="auto"/>
            </w:tcBorders>
            <w:shd w:val="clear" w:color="000000" w:fill="BFBFBF"/>
            <w:noWrap/>
            <w:hideMark/>
          </w:tcPr>
          <w:p w14:paraId="27D7FDA3" w14:textId="14146FA0" w:rsidR="00E84733" w:rsidRPr="006043C2" w:rsidRDefault="00E84733" w:rsidP="00F76882">
            <w:pPr>
              <w:pStyle w:val="Tabletext"/>
            </w:pPr>
            <w:r w:rsidRPr="006043C2">
              <w:t>77%</w:t>
            </w:r>
          </w:p>
        </w:tc>
        <w:tc>
          <w:tcPr>
            <w:tcW w:w="148" w:type="pct"/>
            <w:tcBorders>
              <w:top w:val="nil"/>
              <w:left w:val="nil"/>
              <w:bottom w:val="single" w:sz="4" w:space="0" w:color="auto"/>
              <w:right w:val="single" w:sz="4" w:space="0" w:color="auto"/>
            </w:tcBorders>
            <w:shd w:val="clear" w:color="000000" w:fill="BFBFBF"/>
            <w:noWrap/>
            <w:hideMark/>
          </w:tcPr>
          <w:p w14:paraId="242A2BDC" w14:textId="1564D723" w:rsidR="00E84733" w:rsidRPr="006043C2" w:rsidRDefault="00E84733" w:rsidP="00F76882">
            <w:pPr>
              <w:pStyle w:val="Tabletext"/>
            </w:pPr>
            <w:r w:rsidRPr="006043C2">
              <w:t>11</w:t>
            </w:r>
          </w:p>
        </w:tc>
        <w:tc>
          <w:tcPr>
            <w:tcW w:w="242" w:type="pct"/>
            <w:tcBorders>
              <w:top w:val="nil"/>
              <w:left w:val="nil"/>
              <w:bottom w:val="single" w:sz="4" w:space="0" w:color="auto"/>
              <w:right w:val="single" w:sz="4" w:space="0" w:color="auto"/>
            </w:tcBorders>
            <w:shd w:val="clear" w:color="000000" w:fill="BFBFBF"/>
            <w:noWrap/>
            <w:hideMark/>
          </w:tcPr>
          <w:p w14:paraId="00E16201" w14:textId="4233650F" w:rsidR="00E84733" w:rsidRPr="006043C2" w:rsidRDefault="00E84733" w:rsidP="00F76882">
            <w:pPr>
              <w:pStyle w:val="Tabletext"/>
            </w:pPr>
            <w:r w:rsidRPr="006043C2">
              <w:t>73%</w:t>
            </w:r>
          </w:p>
        </w:tc>
        <w:tc>
          <w:tcPr>
            <w:tcW w:w="148" w:type="pct"/>
            <w:tcBorders>
              <w:top w:val="nil"/>
              <w:left w:val="nil"/>
              <w:bottom w:val="single" w:sz="4" w:space="0" w:color="auto"/>
              <w:right w:val="single" w:sz="4" w:space="0" w:color="auto"/>
            </w:tcBorders>
            <w:shd w:val="clear" w:color="000000" w:fill="BFBFBF"/>
            <w:noWrap/>
            <w:hideMark/>
          </w:tcPr>
          <w:p w14:paraId="617973FD" w14:textId="74FE8180" w:rsidR="00E84733" w:rsidRPr="006043C2" w:rsidRDefault="00E84733" w:rsidP="00F76882">
            <w:pPr>
              <w:pStyle w:val="Tabletext"/>
            </w:pPr>
            <w:r w:rsidRPr="006043C2">
              <w:t>24</w:t>
            </w:r>
          </w:p>
        </w:tc>
        <w:tc>
          <w:tcPr>
            <w:tcW w:w="241" w:type="pct"/>
            <w:tcBorders>
              <w:top w:val="nil"/>
              <w:left w:val="nil"/>
              <w:bottom w:val="single" w:sz="4" w:space="0" w:color="auto"/>
              <w:right w:val="single" w:sz="4" w:space="0" w:color="auto"/>
            </w:tcBorders>
            <w:shd w:val="clear" w:color="000000" w:fill="BFBFBF"/>
            <w:noWrap/>
            <w:hideMark/>
          </w:tcPr>
          <w:p w14:paraId="0B639086" w14:textId="39AEED51" w:rsidR="00E84733" w:rsidRPr="006043C2" w:rsidRDefault="00E84733" w:rsidP="00F76882">
            <w:pPr>
              <w:pStyle w:val="Tabletext"/>
            </w:pPr>
            <w:r w:rsidRPr="006043C2">
              <w:t>67%</w:t>
            </w:r>
          </w:p>
        </w:tc>
        <w:tc>
          <w:tcPr>
            <w:tcW w:w="148" w:type="pct"/>
            <w:tcBorders>
              <w:top w:val="nil"/>
              <w:left w:val="nil"/>
              <w:bottom w:val="single" w:sz="4" w:space="0" w:color="auto"/>
              <w:right w:val="single" w:sz="4" w:space="0" w:color="auto"/>
            </w:tcBorders>
            <w:shd w:val="clear" w:color="000000" w:fill="BFBFBF"/>
            <w:noWrap/>
            <w:hideMark/>
          </w:tcPr>
          <w:p w14:paraId="05AC1AEF" w14:textId="0047EEE8" w:rsidR="00E84733" w:rsidRPr="006043C2" w:rsidRDefault="00E84733" w:rsidP="00F76882">
            <w:pPr>
              <w:pStyle w:val="Tabletext"/>
            </w:pPr>
            <w:r w:rsidRPr="006043C2">
              <w:t>1</w:t>
            </w:r>
            <w:r w:rsidR="00C64FA8" w:rsidRPr="006043C2">
              <w:t>2</w:t>
            </w:r>
          </w:p>
        </w:tc>
        <w:tc>
          <w:tcPr>
            <w:tcW w:w="242" w:type="pct"/>
            <w:tcBorders>
              <w:top w:val="nil"/>
              <w:left w:val="nil"/>
              <w:bottom w:val="single" w:sz="4" w:space="0" w:color="auto"/>
              <w:right w:val="single" w:sz="4" w:space="0" w:color="auto"/>
            </w:tcBorders>
            <w:shd w:val="clear" w:color="000000" w:fill="BFBFBF"/>
            <w:noWrap/>
            <w:hideMark/>
          </w:tcPr>
          <w:p w14:paraId="3691E36B" w14:textId="636FBB76" w:rsidR="00E84733" w:rsidRPr="006043C2" w:rsidRDefault="00E84733" w:rsidP="00F76882">
            <w:pPr>
              <w:pStyle w:val="Tabletext"/>
            </w:pPr>
            <w:r w:rsidRPr="006043C2">
              <w:t>29%</w:t>
            </w:r>
          </w:p>
        </w:tc>
        <w:tc>
          <w:tcPr>
            <w:tcW w:w="148" w:type="pct"/>
            <w:tcBorders>
              <w:top w:val="nil"/>
              <w:left w:val="nil"/>
              <w:bottom w:val="single" w:sz="4" w:space="0" w:color="auto"/>
              <w:right w:val="single" w:sz="4" w:space="0" w:color="auto"/>
            </w:tcBorders>
            <w:shd w:val="clear" w:color="000000" w:fill="BFBFBF"/>
            <w:noWrap/>
            <w:hideMark/>
          </w:tcPr>
          <w:p w14:paraId="15CE5A3D" w14:textId="1451B43F" w:rsidR="00E84733" w:rsidRPr="006043C2" w:rsidRDefault="00E84733" w:rsidP="00F76882">
            <w:pPr>
              <w:pStyle w:val="Tabletext"/>
            </w:pPr>
            <w:r w:rsidRPr="006043C2">
              <w:t>18</w:t>
            </w:r>
          </w:p>
        </w:tc>
        <w:tc>
          <w:tcPr>
            <w:tcW w:w="242" w:type="pct"/>
            <w:tcBorders>
              <w:top w:val="nil"/>
              <w:left w:val="nil"/>
              <w:bottom w:val="single" w:sz="4" w:space="0" w:color="auto"/>
              <w:right w:val="single" w:sz="4" w:space="0" w:color="auto"/>
            </w:tcBorders>
            <w:shd w:val="clear" w:color="000000" w:fill="BFBFBF"/>
            <w:noWrap/>
            <w:hideMark/>
          </w:tcPr>
          <w:p w14:paraId="28688BE3" w14:textId="4CF5900D" w:rsidR="00E84733" w:rsidRPr="006043C2" w:rsidRDefault="00E84733" w:rsidP="00F76882">
            <w:pPr>
              <w:pStyle w:val="Tabletext"/>
            </w:pPr>
            <w:r w:rsidRPr="006043C2">
              <w:t>45%</w:t>
            </w:r>
          </w:p>
        </w:tc>
        <w:tc>
          <w:tcPr>
            <w:tcW w:w="148" w:type="pct"/>
            <w:tcBorders>
              <w:top w:val="nil"/>
              <w:left w:val="nil"/>
              <w:bottom w:val="single" w:sz="4" w:space="0" w:color="auto"/>
              <w:right w:val="single" w:sz="4" w:space="0" w:color="auto"/>
            </w:tcBorders>
            <w:shd w:val="clear" w:color="000000" w:fill="BFBFBF"/>
            <w:noWrap/>
            <w:hideMark/>
          </w:tcPr>
          <w:p w14:paraId="4DCB4002" w14:textId="4C979313" w:rsidR="00E84733" w:rsidRPr="006043C2" w:rsidRDefault="00E84733" w:rsidP="00F76882">
            <w:pPr>
              <w:pStyle w:val="Tabletext"/>
            </w:pPr>
            <w:r w:rsidRPr="006043C2">
              <w:t>16</w:t>
            </w:r>
          </w:p>
        </w:tc>
        <w:tc>
          <w:tcPr>
            <w:tcW w:w="242" w:type="pct"/>
            <w:tcBorders>
              <w:top w:val="nil"/>
              <w:left w:val="nil"/>
              <w:bottom w:val="single" w:sz="4" w:space="0" w:color="auto"/>
              <w:right w:val="single" w:sz="4" w:space="0" w:color="auto"/>
            </w:tcBorders>
            <w:shd w:val="clear" w:color="000000" w:fill="BFBFBF"/>
            <w:noWrap/>
            <w:hideMark/>
          </w:tcPr>
          <w:p w14:paraId="09635D94" w14:textId="7DA12ADF" w:rsidR="00E84733" w:rsidRPr="006043C2" w:rsidRDefault="00E84733" w:rsidP="00F76882">
            <w:pPr>
              <w:pStyle w:val="Tabletext"/>
            </w:pPr>
            <w:r w:rsidRPr="006043C2">
              <w:t>46%</w:t>
            </w:r>
          </w:p>
        </w:tc>
        <w:tc>
          <w:tcPr>
            <w:tcW w:w="148" w:type="pct"/>
            <w:tcBorders>
              <w:top w:val="nil"/>
              <w:left w:val="nil"/>
              <w:bottom w:val="single" w:sz="4" w:space="0" w:color="auto"/>
              <w:right w:val="single" w:sz="4" w:space="0" w:color="auto"/>
            </w:tcBorders>
            <w:shd w:val="clear" w:color="000000" w:fill="BFBFBF"/>
            <w:noWrap/>
            <w:hideMark/>
          </w:tcPr>
          <w:p w14:paraId="4409A9DE" w14:textId="529F7CE7" w:rsidR="00E84733" w:rsidRPr="006043C2" w:rsidRDefault="00E84733" w:rsidP="00F76882">
            <w:pPr>
              <w:pStyle w:val="Tabletext"/>
            </w:pPr>
            <w:r w:rsidRPr="006043C2">
              <w:t>8</w:t>
            </w:r>
          </w:p>
        </w:tc>
        <w:tc>
          <w:tcPr>
            <w:tcW w:w="242" w:type="pct"/>
            <w:tcBorders>
              <w:top w:val="nil"/>
              <w:left w:val="nil"/>
              <w:bottom w:val="single" w:sz="4" w:space="0" w:color="auto"/>
              <w:right w:val="single" w:sz="4" w:space="0" w:color="auto"/>
            </w:tcBorders>
            <w:shd w:val="clear" w:color="000000" w:fill="BFBFBF"/>
            <w:noWrap/>
            <w:hideMark/>
          </w:tcPr>
          <w:p w14:paraId="41C67ED8" w14:textId="286C1FEF" w:rsidR="00E84733" w:rsidRPr="006043C2" w:rsidRDefault="00E84733" w:rsidP="00F76882">
            <w:pPr>
              <w:pStyle w:val="Tabletext"/>
            </w:pPr>
            <w:r w:rsidRPr="006043C2">
              <w:t>24%</w:t>
            </w:r>
          </w:p>
        </w:tc>
        <w:tc>
          <w:tcPr>
            <w:tcW w:w="148" w:type="pct"/>
            <w:tcBorders>
              <w:top w:val="nil"/>
              <w:left w:val="nil"/>
              <w:bottom w:val="single" w:sz="4" w:space="0" w:color="auto"/>
              <w:right w:val="single" w:sz="4" w:space="0" w:color="auto"/>
            </w:tcBorders>
            <w:shd w:val="clear" w:color="000000" w:fill="BFBFBF"/>
            <w:noWrap/>
            <w:hideMark/>
          </w:tcPr>
          <w:p w14:paraId="76FCEC19" w14:textId="65A0C6E3" w:rsidR="00E84733" w:rsidRPr="006043C2" w:rsidRDefault="00E84733" w:rsidP="00F76882">
            <w:pPr>
              <w:pStyle w:val="Tabletext"/>
            </w:pPr>
            <w:r w:rsidRPr="006043C2">
              <w:t>9</w:t>
            </w:r>
          </w:p>
        </w:tc>
        <w:tc>
          <w:tcPr>
            <w:tcW w:w="242" w:type="pct"/>
            <w:tcBorders>
              <w:top w:val="nil"/>
              <w:left w:val="nil"/>
              <w:bottom w:val="single" w:sz="4" w:space="0" w:color="auto"/>
              <w:right w:val="single" w:sz="4" w:space="0" w:color="auto"/>
            </w:tcBorders>
            <w:shd w:val="clear" w:color="000000" w:fill="BFBFBF"/>
            <w:noWrap/>
            <w:hideMark/>
          </w:tcPr>
          <w:p w14:paraId="5FFA6DCC" w14:textId="27A7BC12" w:rsidR="00E84733" w:rsidRPr="006043C2" w:rsidRDefault="00E84733" w:rsidP="00F76882">
            <w:pPr>
              <w:pStyle w:val="Tabletext"/>
            </w:pPr>
            <w:r w:rsidRPr="006043C2">
              <w:t>32%</w:t>
            </w:r>
          </w:p>
        </w:tc>
        <w:tc>
          <w:tcPr>
            <w:tcW w:w="148" w:type="pct"/>
            <w:tcBorders>
              <w:top w:val="nil"/>
              <w:left w:val="nil"/>
              <w:bottom w:val="single" w:sz="4" w:space="0" w:color="auto"/>
              <w:right w:val="single" w:sz="4" w:space="0" w:color="auto"/>
            </w:tcBorders>
            <w:shd w:val="clear" w:color="000000" w:fill="BFBFBF"/>
            <w:noWrap/>
            <w:hideMark/>
          </w:tcPr>
          <w:p w14:paraId="2553088C" w14:textId="7772DC29" w:rsidR="00E84733" w:rsidRPr="006043C2" w:rsidRDefault="00E84733" w:rsidP="00F76882">
            <w:pPr>
              <w:pStyle w:val="Tabletext"/>
            </w:pPr>
            <w:r w:rsidRPr="006043C2">
              <w:t>12</w:t>
            </w:r>
          </w:p>
        </w:tc>
        <w:tc>
          <w:tcPr>
            <w:tcW w:w="242" w:type="pct"/>
            <w:tcBorders>
              <w:top w:val="nil"/>
              <w:left w:val="nil"/>
              <w:bottom w:val="single" w:sz="4" w:space="0" w:color="auto"/>
              <w:right w:val="single" w:sz="4" w:space="0" w:color="auto"/>
            </w:tcBorders>
            <w:shd w:val="clear" w:color="000000" w:fill="BFBFBF"/>
            <w:noWrap/>
            <w:hideMark/>
          </w:tcPr>
          <w:p w14:paraId="7D7BA9BD" w14:textId="03964CF7" w:rsidR="00E84733" w:rsidRPr="006043C2" w:rsidRDefault="00E84733" w:rsidP="00F76882">
            <w:pPr>
              <w:pStyle w:val="Tabletext"/>
            </w:pPr>
            <w:r w:rsidRPr="006043C2">
              <w:t>44%</w:t>
            </w:r>
          </w:p>
        </w:tc>
        <w:tc>
          <w:tcPr>
            <w:tcW w:w="148" w:type="pct"/>
            <w:tcBorders>
              <w:top w:val="nil"/>
              <w:left w:val="nil"/>
              <w:bottom w:val="single" w:sz="4" w:space="0" w:color="auto"/>
              <w:right w:val="single" w:sz="4" w:space="0" w:color="auto"/>
            </w:tcBorders>
            <w:shd w:val="clear" w:color="000000" w:fill="BFBFBF"/>
            <w:noWrap/>
            <w:hideMark/>
          </w:tcPr>
          <w:p w14:paraId="0C2BB16C" w14:textId="5A06F76E" w:rsidR="00E84733" w:rsidRPr="006043C2" w:rsidRDefault="00E84733" w:rsidP="00F76882">
            <w:pPr>
              <w:pStyle w:val="Tabletext"/>
            </w:pPr>
            <w:r w:rsidRPr="006043C2">
              <w:t>16</w:t>
            </w:r>
          </w:p>
        </w:tc>
        <w:tc>
          <w:tcPr>
            <w:tcW w:w="242" w:type="pct"/>
            <w:tcBorders>
              <w:top w:val="nil"/>
              <w:left w:val="nil"/>
              <w:bottom w:val="single" w:sz="4" w:space="0" w:color="auto"/>
              <w:right w:val="single" w:sz="4" w:space="0" w:color="auto"/>
            </w:tcBorders>
            <w:shd w:val="clear" w:color="000000" w:fill="BFBFBF"/>
            <w:noWrap/>
            <w:hideMark/>
          </w:tcPr>
          <w:p w14:paraId="03423628" w14:textId="6FDF10A1" w:rsidR="00E84733" w:rsidRPr="006043C2" w:rsidRDefault="00E84733" w:rsidP="00F76882">
            <w:pPr>
              <w:pStyle w:val="Tabletext"/>
            </w:pPr>
            <w:r w:rsidRPr="006043C2">
              <w:t>64%</w:t>
            </w:r>
          </w:p>
        </w:tc>
        <w:tc>
          <w:tcPr>
            <w:tcW w:w="146" w:type="pct"/>
            <w:tcBorders>
              <w:top w:val="nil"/>
              <w:left w:val="nil"/>
              <w:bottom w:val="single" w:sz="4" w:space="0" w:color="auto"/>
              <w:right w:val="single" w:sz="4" w:space="0" w:color="auto"/>
            </w:tcBorders>
            <w:shd w:val="clear" w:color="000000" w:fill="BFBFBF"/>
          </w:tcPr>
          <w:p w14:paraId="791BEBF6" w14:textId="6C8048D7" w:rsidR="00E84733" w:rsidRPr="006043C2" w:rsidRDefault="00E84733" w:rsidP="00F76882">
            <w:pPr>
              <w:pStyle w:val="Tabletext"/>
            </w:pPr>
            <w:r w:rsidRPr="006043C2">
              <w:t>19</w:t>
            </w:r>
          </w:p>
        </w:tc>
        <w:tc>
          <w:tcPr>
            <w:tcW w:w="237" w:type="pct"/>
            <w:tcBorders>
              <w:top w:val="nil"/>
              <w:left w:val="nil"/>
              <w:bottom w:val="single" w:sz="4" w:space="0" w:color="auto"/>
              <w:right w:val="single" w:sz="4" w:space="0" w:color="auto"/>
            </w:tcBorders>
            <w:shd w:val="clear" w:color="000000" w:fill="BFBFBF"/>
          </w:tcPr>
          <w:p w14:paraId="1B7C6F3D" w14:textId="4C01C7B0" w:rsidR="00E84733" w:rsidRPr="006043C2" w:rsidRDefault="00E84733" w:rsidP="00F76882">
            <w:pPr>
              <w:pStyle w:val="Tabletext"/>
            </w:pPr>
            <w:r w:rsidRPr="006043C2">
              <w:t>73%</w:t>
            </w:r>
          </w:p>
        </w:tc>
      </w:tr>
    </w:tbl>
    <w:p w14:paraId="34E65010" w14:textId="10FA6243" w:rsidR="009F1516" w:rsidRPr="00A33DD2" w:rsidRDefault="009F1516" w:rsidP="00F76882">
      <w:pPr>
        <w:pStyle w:val="tablefigfootnote"/>
      </w:pPr>
      <w:bookmarkStart w:id="391" w:name="_Toc392153934"/>
      <w:bookmarkEnd w:id="386"/>
      <w:r w:rsidRPr="00A33DD2">
        <w:t>* As defined annually by each jurisdiction</w:t>
      </w:r>
      <w:r w:rsidR="008B7123" w:rsidRPr="00A33DD2">
        <w:t>.</w:t>
      </w:r>
    </w:p>
    <w:p w14:paraId="001B13CA" w14:textId="0899ECD7" w:rsidR="007B79F1" w:rsidRPr="00A33DD2" w:rsidRDefault="009F1516" w:rsidP="00F76882">
      <w:pPr>
        <w:pStyle w:val="tablefigfootnote"/>
      </w:pPr>
      <w:r w:rsidRPr="00A33DD2">
        <w:t xml:space="preserve">† </w:t>
      </w:r>
      <w:r w:rsidR="009F0E49" w:rsidRPr="00A33DD2">
        <w:t>As per CDNA Guidelines.</w:t>
      </w:r>
      <w:r w:rsidR="007B79F1" w:rsidRPr="00A33DD2">
        <w:t xml:space="preserve"> Includes communities that were not screened due to logistical or demographic reasons (</w:t>
      </w:r>
      <w:r w:rsidR="00B6510C" w:rsidRPr="00A33DD2">
        <w:t>i.e.</w:t>
      </w:r>
      <w:r w:rsidR="007B79F1" w:rsidRPr="00A33DD2">
        <w:t>, no children in the 5</w:t>
      </w:r>
      <w:r w:rsidR="00972CF1" w:rsidRPr="00A33DD2">
        <w:t>–</w:t>
      </w:r>
      <w:r w:rsidR="007B79F1" w:rsidRPr="00A33DD2">
        <w:t>9</w:t>
      </w:r>
      <w:r w:rsidR="00972CF1" w:rsidRPr="00A33DD2">
        <w:t>-</w:t>
      </w:r>
      <w:r w:rsidR="007B79F1" w:rsidRPr="00A33DD2">
        <w:t>year age group).</w:t>
      </w:r>
    </w:p>
    <w:p w14:paraId="029A3CC6" w14:textId="319DCFEF" w:rsidR="009F1516" w:rsidRPr="0036007C" w:rsidRDefault="00661EF9" w:rsidP="00F76882">
      <w:pPr>
        <w:pStyle w:val="tablefigfootnote"/>
      </w:pPr>
      <w:r w:rsidRPr="0036007C">
        <w:t xml:space="preserve">‡ If more than one screening episode </w:t>
      </w:r>
      <w:r w:rsidR="00C96319" w:rsidRPr="0036007C">
        <w:t xml:space="preserve">occurs </w:t>
      </w:r>
      <w:r w:rsidRPr="0036007C">
        <w:t>during the calendar year</w:t>
      </w:r>
      <w:r w:rsidR="00C96319" w:rsidRPr="0036007C">
        <w:t>,</w:t>
      </w:r>
      <w:r w:rsidRPr="0036007C">
        <w:t xml:space="preserve"> data from </w:t>
      </w:r>
      <w:r w:rsidR="00055E86" w:rsidRPr="0036007C">
        <w:t xml:space="preserve">the </w:t>
      </w:r>
      <w:r w:rsidRPr="0036007C">
        <w:t>first screen is used.</w:t>
      </w:r>
    </w:p>
    <w:p w14:paraId="16A441C0" w14:textId="77777777" w:rsidR="00E3767F" w:rsidRPr="00F76882" w:rsidRDefault="00E3767F" w:rsidP="00F76882"/>
    <w:p w14:paraId="6BF93D81" w14:textId="77777777" w:rsidR="007C3001" w:rsidRPr="00F76882" w:rsidRDefault="007C3001" w:rsidP="00F76882">
      <w:pPr>
        <w:sectPr w:rsidR="007C3001" w:rsidRPr="00F76882" w:rsidSect="00C04CBB">
          <w:pgSz w:w="16838" w:h="11906" w:orient="landscape"/>
          <w:pgMar w:top="720" w:right="720" w:bottom="720" w:left="720" w:header="709" w:footer="709" w:gutter="0"/>
          <w:cols w:space="708"/>
          <w:docGrid w:linePitch="360"/>
        </w:sectPr>
      </w:pPr>
    </w:p>
    <w:p w14:paraId="248ACC1E" w14:textId="268D4651" w:rsidR="00D130A7" w:rsidRPr="004609FA" w:rsidRDefault="00E3767F" w:rsidP="00F76882">
      <w:pPr>
        <w:pStyle w:val="Tableheadings"/>
      </w:pPr>
      <w:bookmarkStart w:id="392" w:name="_Table_4.4_Treatment"/>
      <w:bookmarkStart w:id="393" w:name="_Ref58336806"/>
      <w:bookmarkStart w:id="394" w:name="_Toc215224719"/>
      <w:bookmarkEnd w:id="392"/>
      <w:r w:rsidRPr="0036007C">
        <w:t xml:space="preserve">Table </w:t>
      </w:r>
      <w:r w:rsidR="00814019" w:rsidRPr="0036007C">
        <w:t>5</w:t>
      </w:r>
      <w:r w:rsidRPr="0036007C">
        <w:t>.</w:t>
      </w:r>
      <w:r w:rsidRPr="0036007C">
        <w:fldChar w:fldCharType="begin"/>
      </w:r>
      <w:r w:rsidRPr="0036007C">
        <w:instrText>SEQ Table \* ARABIC \s 1</w:instrText>
      </w:r>
      <w:r w:rsidRPr="0036007C">
        <w:fldChar w:fldCharType="separate"/>
      </w:r>
      <w:r w:rsidRPr="0036007C">
        <w:t>4</w:t>
      </w:r>
      <w:r w:rsidRPr="0036007C">
        <w:fldChar w:fldCharType="end"/>
      </w:r>
      <w:bookmarkEnd w:id="393"/>
      <w:r w:rsidRPr="0036007C">
        <w:tab/>
      </w:r>
      <w:r w:rsidR="00DD5687" w:rsidRPr="0036007C">
        <w:t>T</w:t>
      </w:r>
      <w:r w:rsidRPr="0036007C">
        <w:t>reatment strategies by region, Western Australia</w:t>
      </w:r>
      <w:r w:rsidR="00C6767F" w:rsidRPr="0036007C">
        <w:t>,</w:t>
      </w:r>
      <w:r w:rsidRPr="0036007C">
        <w:t xml:space="preserve"> </w:t>
      </w:r>
      <w:r w:rsidR="00E76BB4" w:rsidRPr="0036007C">
        <w:t>202</w:t>
      </w:r>
      <w:r w:rsidR="00050459" w:rsidRPr="0036007C">
        <w:t>4</w:t>
      </w:r>
      <w:bookmarkEnd w:id="394"/>
    </w:p>
    <w:tbl>
      <w:tblPr>
        <w:tblW w:w="5000" w:type="pct"/>
        <w:tblCellMar>
          <w:left w:w="0" w:type="dxa"/>
          <w:right w:w="0" w:type="dxa"/>
        </w:tblCellMar>
        <w:tblLook w:val="04A0" w:firstRow="1" w:lastRow="0" w:firstColumn="1" w:lastColumn="0" w:noHBand="0" w:noVBand="1"/>
        <w:tblCaption w:val="Treatment strategies by region, Western Australia, 2024"/>
        <w:tblDescription w:val="Table 5.4 compares the number of communities by whether and how required trachoma treatment was delivered. Data is presented for the Goldfields, Kimberley, Midwest, Pilbara, and the cumulative total.&#10;"/>
      </w:tblPr>
      <w:tblGrid>
        <w:gridCol w:w="3065"/>
        <w:gridCol w:w="1479"/>
        <w:gridCol w:w="1478"/>
        <w:gridCol w:w="1478"/>
        <w:gridCol w:w="1478"/>
        <w:gridCol w:w="1478"/>
      </w:tblGrid>
      <w:tr w:rsidR="00046C9F" w:rsidRPr="0036007C" w14:paraId="15BC3EB3" w14:textId="77777777" w:rsidTr="00C879A3">
        <w:trPr>
          <w:trHeight w:val="290"/>
        </w:trPr>
        <w:tc>
          <w:tcPr>
            <w:tcW w:w="1465" w:type="pct"/>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bottom"/>
            <w:hideMark/>
          </w:tcPr>
          <w:p w14:paraId="3C3DDA93" w14:textId="77777777" w:rsidR="00046C9F" w:rsidRPr="0036007C" w:rsidRDefault="00046C9F" w:rsidP="00F76882">
            <w:pPr>
              <w:pStyle w:val="Tableheading"/>
              <w:rPr>
                <w:lang w:eastAsia="en-AU"/>
              </w:rPr>
            </w:pPr>
            <w:r w:rsidRPr="0036007C">
              <w:t>Number of communities</w:t>
            </w:r>
          </w:p>
        </w:tc>
        <w:tc>
          <w:tcPr>
            <w:tcW w:w="707" w:type="pct"/>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14:paraId="2BF717D0" w14:textId="77777777" w:rsidR="00046C9F" w:rsidRPr="003D3BBA" w:rsidRDefault="00046C9F" w:rsidP="00F76882">
            <w:pPr>
              <w:pStyle w:val="Tableheading"/>
            </w:pPr>
            <w:r w:rsidRPr="003D3BBA">
              <w:t>Goldfields</w:t>
            </w:r>
          </w:p>
        </w:tc>
        <w:tc>
          <w:tcPr>
            <w:tcW w:w="707" w:type="pct"/>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14:paraId="41595B4F" w14:textId="77777777" w:rsidR="00046C9F" w:rsidRPr="003D3BBA" w:rsidRDefault="00046C9F" w:rsidP="00F76882">
            <w:pPr>
              <w:pStyle w:val="Tableheading"/>
            </w:pPr>
            <w:r w:rsidRPr="003D3BBA">
              <w:t>Kimberley</w:t>
            </w:r>
          </w:p>
        </w:tc>
        <w:tc>
          <w:tcPr>
            <w:tcW w:w="707" w:type="pct"/>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14:paraId="1C10A9E3" w14:textId="77777777" w:rsidR="00046C9F" w:rsidRPr="003D3BBA" w:rsidRDefault="00046C9F" w:rsidP="00F76882">
            <w:pPr>
              <w:pStyle w:val="Tableheading"/>
            </w:pPr>
            <w:r w:rsidRPr="003D3BBA">
              <w:t>Midwest</w:t>
            </w:r>
          </w:p>
        </w:tc>
        <w:tc>
          <w:tcPr>
            <w:tcW w:w="707" w:type="pct"/>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14:paraId="4652282E" w14:textId="77777777" w:rsidR="00046C9F" w:rsidRPr="003D3BBA" w:rsidRDefault="00046C9F" w:rsidP="00F76882">
            <w:pPr>
              <w:pStyle w:val="Tableheading"/>
            </w:pPr>
            <w:r w:rsidRPr="003D3BBA">
              <w:t>Pilbara</w:t>
            </w:r>
          </w:p>
        </w:tc>
        <w:tc>
          <w:tcPr>
            <w:tcW w:w="707" w:type="pct"/>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bottom"/>
            <w:hideMark/>
          </w:tcPr>
          <w:p w14:paraId="58DC47D3" w14:textId="77777777" w:rsidR="00046C9F" w:rsidRPr="003D3BBA" w:rsidRDefault="00046C9F" w:rsidP="00F76882">
            <w:pPr>
              <w:pStyle w:val="Tableheading"/>
            </w:pPr>
            <w:r w:rsidRPr="003D3BBA">
              <w:t>Total</w:t>
            </w:r>
          </w:p>
        </w:tc>
      </w:tr>
      <w:tr w:rsidR="00C879A3" w:rsidRPr="0036007C" w14:paraId="6AEE14FA" w14:textId="77777777" w:rsidTr="00C879A3">
        <w:trPr>
          <w:trHeight w:val="580"/>
        </w:trPr>
        <w:tc>
          <w:tcPr>
            <w:tcW w:w="1465"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1BE12B8" w14:textId="77777777" w:rsidR="00C879A3" w:rsidRPr="0036007C" w:rsidRDefault="00C879A3" w:rsidP="00F76882">
            <w:pPr>
              <w:pStyle w:val="Tabletextleft"/>
            </w:pPr>
            <w:r w:rsidRPr="0036007C">
              <w:t>Required treatment for trachoma</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3E117CE" w14:textId="28E263EE" w:rsidR="00C879A3" w:rsidRPr="0036007C" w:rsidRDefault="00C879A3" w:rsidP="00F76882">
            <w:pPr>
              <w:pStyle w:val="Tabletext"/>
            </w:pPr>
            <w:r w:rsidRPr="0036007C">
              <w:t>4</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D5AF02A" w14:textId="10205B9C"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4BC22D1" w14:textId="44672159"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090A887" w14:textId="43773D95" w:rsidR="00C879A3" w:rsidRPr="0036007C" w:rsidRDefault="00C879A3" w:rsidP="00F76882">
            <w:pPr>
              <w:pStyle w:val="Tabletext"/>
            </w:pPr>
            <w:r w:rsidRPr="0036007C">
              <w:t>3</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89E45F1" w14:textId="50824655" w:rsidR="00C879A3" w:rsidRPr="0036007C" w:rsidRDefault="00C879A3" w:rsidP="00F76882">
            <w:pPr>
              <w:pStyle w:val="Tabletext"/>
            </w:pPr>
            <w:r w:rsidRPr="0036007C">
              <w:t>7</w:t>
            </w:r>
          </w:p>
        </w:tc>
      </w:tr>
      <w:tr w:rsidR="00C879A3" w:rsidRPr="0036007C" w14:paraId="4FD237C0" w14:textId="77777777" w:rsidTr="00C879A3">
        <w:trPr>
          <w:trHeight w:val="290"/>
        </w:trPr>
        <w:tc>
          <w:tcPr>
            <w:tcW w:w="1465" w:type="pct"/>
            <w:tcBorders>
              <w:top w:val="nil"/>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14:paraId="4AA7A059" w14:textId="77777777" w:rsidR="00C879A3" w:rsidRPr="0036007C" w:rsidRDefault="00C879A3" w:rsidP="00F76882">
            <w:pPr>
              <w:pStyle w:val="Tabletextleft"/>
            </w:pPr>
            <w:r w:rsidRPr="0036007C">
              <w:t>Treated for trachoma</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1BBF54F8" w14:textId="30D1167A" w:rsidR="00C879A3" w:rsidRPr="0036007C" w:rsidRDefault="00C879A3" w:rsidP="00F76882">
            <w:pPr>
              <w:pStyle w:val="Tabletext"/>
            </w:pPr>
            <w:r w:rsidRPr="0036007C">
              <w:t>4</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162B7162" w14:textId="605819DD"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1BA9746D" w14:textId="2EE5216E"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4EE43970" w14:textId="27405340" w:rsidR="00C879A3" w:rsidRPr="0036007C" w:rsidRDefault="00C879A3" w:rsidP="00F76882">
            <w:pPr>
              <w:pStyle w:val="Tabletext"/>
            </w:pPr>
            <w:r w:rsidRPr="0036007C">
              <w:t>3</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247C4E3D" w14:textId="69C6935E" w:rsidR="00C879A3" w:rsidRPr="0036007C" w:rsidRDefault="00C879A3" w:rsidP="00F76882">
            <w:pPr>
              <w:pStyle w:val="Tabletext"/>
            </w:pPr>
            <w:r w:rsidRPr="0036007C">
              <w:t>7</w:t>
            </w:r>
          </w:p>
        </w:tc>
      </w:tr>
      <w:tr w:rsidR="00C879A3" w:rsidRPr="0036007C" w14:paraId="44076965" w14:textId="77777777" w:rsidTr="00C879A3">
        <w:trPr>
          <w:trHeight w:val="290"/>
        </w:trPr>
        <w:tc>
          <w:tcPr>
            <w:tcW w:w="1465"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EB1A66D" w14:textId="77777777" w:rsidR="00C879A3" w:rsidRPr="0036007C" w:rsidRDefault="00C879A3" w:rsidP="00F76882">
            <w:pPr>
              <w:pStyle w:val="Tabletextleft"/>
            </w:pPr>
            <w:r w:rsidRPr="0036007C">
              <w:t>Screened and treated</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04A9019" w14:textId="0210642E" w:rsidR="00C879A3" w:rsidRPr="0036007C" w:rsidRDefault="00C879A3" w:rsidP="00F76882">
            <w:pPr>
              <w:pStyle w:val="Tabletext"/>
            </w:pPr>
            <w:r w:rsidRPr="0036007C">
              <w:t>4</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786C329" w14:textId="49DFE2D2"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7F9B897" w14:textId="2D0D6F47"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22B3147" w14:textId="7772D13A" w:rsidR="00C879A3" w:rsidRPr="0036007C" w:rsidRDefault="00C879A3" w:rsidP="00F76882">
            <w:pPr>
              <w:pStyle w:val="Tabletext"/>
            </w:pPr>
            <w:r w:rsidRPr="0036007C">
              <w:t>3</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E0E4204" w14:textId="0AD1A77E" w:rsidR="00C879A3" w:rsidRPr="0036007C" w:rsidRDefault="00C879A3" w:rsidP="00F76882">
            <w:pPr>
              <w:pStyle w:val="Tabletext"/>
            </w:pPr>
            <w:r w:rsidRPr="0036007C">
              <w:t>7</w:t>
            </w:r>
          </w:p>
        </w:tc>
      </w:tr>
      <w:tr w:rsidR="00C879A3" w:rsidRPr="0036007C" w14:paraId="293800ED" w14:textId="77777777" w:rsidTr="00C879A3">
        <w:trPr>
          <w:trHeight w:val="290"/>
        </w:trPr>
        <w:tc>
          <w:tcPr>
            <w:tcW w:w="1465" w:type="pct"/>
            <w:tcBorders>
              <w:top w:val="nil"/>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14:paraId="6B632EA4" w14:textId="77777777" w:rsidR="00C879A3" w:rsidRPr="0036007C" w:rsidRDefault="00C879A3" w:rsidP="00F76882">
            <w:pPr>
              <w:pStyle w:val="Tabletextleft"/>
            </w:pPr>
            <w:r w:rsidRPr="0036007C">
              <w:t>Received treatment only</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57013972" w14:textId="28134559"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6505AB98" w14:textId="06582022"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2594D69D" w14:textId="7DD55FAF"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59FA0A31" w14:textId="7DC4CAA3"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6865ECBD" w14:textId="019EB80B" w:rsidR="00C879A3" w:rsidRPr="0036007C" w:rsidRDefault="00C879A3" w:rsidP="00F76882">
            <w:pPr>
              <w:pStyle w:val="Tabletext"/>
            </w:pPr>
            <w:r w:rsidRPr="0036007C">
              <w:t>0</w:t>
            </w:r>
          </w:p>
        </w:tc>
      </w:tr>
      <w:tr w:rsidR="00C879A3" w:rsidRPr="0036007C" w14:paraId="523BF4D6" w14:textId="77777777" w:rsidTr="00C879A3">
        <w:trPr>
          <w:trHeight w:val="580"/>
        </w:trPr>
        <w:tc>
          <w:tcPr>
            <w:tcW w:w="1465"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4885E02" w14:textId="77777777" w:rsidR="00C879A3" w:rsidRPr="0036007C" w:rsidRDefault="00C879A3" w:rsidP="00F76882">
            <w:pPr>
              <w:pStyle w:val="Tabletextleft"/>
            </w:pPr>
            <w:r w:rsidRPr="0036007C">
              <w:t>Received 6-monthly treatment</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E8B71BA" w14:textId="410735F8"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696E834" w14:textId="4CAE38DF"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656E17F" w14:textId="52C896C8"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E156701" w14:textId="744D5357"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61D6F1A" w14:textId="558324E5" w:rsidR="00C879A3" w:rsidRPr="0036007C" w:rsidRDefault="00C879A3" w:rsidP="00F76882">
            <w:pPr>
              <w:pStyle w:val="Tabletext"/>
            </w:pPr>
            <w:r w:rsidRPr="0036007C">
              <w:t>0</w:t>
            </w:r>
          </w:p>
        </w:tc>
      </w:tr>
      <w:tr w:rsidR="00C879A3" w:rsidRPr="0036007C" w14:paraId="3CF1BD9D" w14:textId="77777777" w:rsidTr="00C879A3">
        <w:trPr>
          <w:trHeight w:val="290"/>
        </w:trPr>
        <w:tc>
          <w:tcPr>
            <w:tcW w:w="1465" w:type="pct"/>
            <w:tcBorders>
              <w:top w:val="nil"/>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14:paraId="612C9F04" w14:textId="77777777" w:rsidR="00C879A3" w:rsidRPr="0036007C" w:rsidRDefault="00C879A3" w:rsidP="00F76882">
            <w:pPr>
              <w:pStyle w:val="Tabletextleft"/>
            </w:pPr>
            <w:r w:rsidRPr="0036007C">
              <w:t>Did not require treatment</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07DD3E2A" w14:textId="232B3B70" w:rsidR="00C879A3" w:rsidRPr="0036007C" w:rsidRDefault="00C879A3" w:rsidP="00F76882">
            <w:pPr>
              <w:pStyle w:val="Tabletext"/>
            </w:pPr>
            <w:r w:rsidRPr="0036007C">
              <w:t>9</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4DA67F57" w14:textId="4C93EDC9" w:rsidR="00C879A3" w:rsidRPr="0036007C" w:rsidRDefault="00C879A3" w:rsidP="00F76882">
            <w:pPr>
              <w:pStyle w:val="Tabletext"/>
            </w:pPr>
            <w:r w:rsidRPr="0036007C">
              <w:t>4</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076FFB49" w14:textId="62161767" w:rsidR="00C879A3" w:rsidRPr="0036007C" w:rsidRDefault="00C879A3" w:rsidP="00F76882">
            <w:pPr>
              <w:pStyle w:val="Tabletext"/>
            </w:pPr>
            <w:r w:rsidRPr="0036007C">
              <w:t>3</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6E07C85A" w14:textId="048CAD07" w:rsidR="00C879A3" w:rsidRPr="0036007C" w:rsidRDefault="00C879A3" w:rsidP="00F76882">
            <w:pPr>
              <w:pStyle w:val="Tabletext"/>
            </w:pPr>
            <w:r w:rsidRPr="0036007C">
              <w:t>3</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3B9E24AC" w14:textId="23D69A85" w:rsidR="00C879A3" w:rsidRPr="0036007C" w:rsidRDefault="00C879A3" w:rsidP="00F76882">
            <w:pPr>
              <w:pStyle w:val="Tabletext"/>
            </w:pPr>
            <w:r w:rsidRPr="0036007C">
              <w:t>19</w:t>
            </w:r>
          </w:p>
        </w:tc>
      </w:tr>
      <w:tr w:rsidR="00C879A3" w:rsidRPr="0036007C" w14:paraId="2EC7C1B9" w14:textId="77777777" w:rsidTr="00C879A3">
        <w:trPr>
          <w:trHeight w:val="580"/>
        </w:trPr>
        <w:tc>
          <w:tcPr>
            <w:tcW w:w="1465"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10415CA" w14:textId="0E405A78" w:rsidR="00C879A3" w:rsidRPr="0036007C" w:rsidRDefault="00C879A3" w:rsidP="00F76882">
            <w:pPr>
              <w:pStyle w:val="Tabletextleft"/>
            </w:pPr>
            <w:r w:rsidRPr="0036007C">
              <w:t>Treated active trachoma and household</w:t>
            </w:r>
            <w:r w:rsidR="0088798F" w:rsidRPr="0036007C">
              <w:t xml:space="preserve"> contact</w:t>
            </w:r>
            <w:r w:rsidRPr="0036007C">
              <w:t>s</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4C4B37C" w14:textId="7AF2A3E6" w:rsidR="00C879A3" w:rsidRPr="0036007C" w:rsidRDefault="00C879A3" w:rsidP="00F76882">
            <w:pPr>
              <w:pStyle w:val="Tabletext"/>
            </w:pPr>
            <w:r w:rsidRPr="0036007C">
              <w:t>4</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926725C" w14:textId="4986A89D"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2FE3D37" w14:textId="4DFF64D4"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E7F4251" w14:textId="59CBF207" w:rsidR="00C879A3" w:rsidRPr="0036007C" w:rsidRDefault="00C879A3" w:rsidP="00F76882">
            <w:pPr>
              <w:pStyle w:val="Tabletext"/>
            </w:pPr>
            <w:r w:rsidRPr="0036007C">
              <w:t>3</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320075F" w14:textId="0010EEA8" w:rsidR="00C879A3" w:rsidRPr="0036007C" w:rsidRDefault="00C879A3" w:rsidP="00F76882">
            <w:pPr>
              <w:pStyle w:val="Tabletext"/>
            </w:pPr>
            <w:r w:rsidRPr="0036007C">
              <w:t>7</w:t>
            </w:r>
          </w:p>
        </w:tc>
      </w:tr>
      <w:tr w:rsidR="00C879A3" w:rsidRPr="0036007C" w14:paraId="07A3BEE1" w14:textId="77777777" w:rsidTr="00C879A3">
        <w:trPr>
          <w:trHeight w:val="580"/>
        </w:trPr>
        <w:tc>
          <w:tcPr>
            <w:tcW w:w="1465" w:type="pct"/>
            <w:tcBorders>
              <w:top w:val="nil"/>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14:paraId="405F9393" w14:textId="7EFF906E" w:rsidR="00C879A3" w:rsidRPr="0036007C" w:rsidRDefault="00C879A3" w:rsidP="00F76882">
            <w:pPr>
              <w:pStyle w:val="Tabletextleft"/>
            </w:pPr>
            <w:r w:rsidRPr="0036007C">
              <w:t>Community-wide treatment</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2DAD3F2D" w14:textId="24A05D07"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6A5D73D7" w14:textId="371D9FA6"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1E31FEC9" w14:textId="06827D13"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7F082C46" w14:textId="5704E63E"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bottom"/>
          </w:tcPr>
          <w:p w14:paraId="77976FAA" w14:textId="7201B608" w:rsidR="00C879A3" w:rsidRPr="0036007C" w:rsidRDefault="00C879A3" w:rsidP="00F76882">
            <w:pPr>
              <w:pStyle w:val="Tabletext"/>
            </w:pPr>
            <w:r w:rsidRPr="0036007C">
              <w:t>0</w:t>
            </w:r>
          </w:p>
        </w:tc>
      </w:tr>
      <w:tr w:rsidR="00C879A3" w:rsidRPr="0036007C" w14:paraId="198D5D5D" w14:textId="77777777" w:rsidTr="00C879A3">
        <w:trPr>
          <w:trHeight w:val="580"/>
        </w:trPr>
        <w:tc>
          <w:tcPr>
            <w:tcW w:w="1465"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FDE636E" w14:textId="56529076" w:rsidR="00C879A3" w:rsidRPr="0036007C" w:rsidRDefault="00C879A3" w:rsidP="00F76882">
            <w:pPr>
              <w:pStyle w:val="Tabletextleft"/>
            </w:pPr>
            <w:r w:rsidRPr="0036007C">
              <w:t>Not treated according to CDNA Guidelines</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1993474" w14:textId="46B1451F"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7DF02C" w14:textId="19B5859D"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373C45F" w14:textId="63D39939"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B411D3E" w14:textId="47A9FA98" w:rsidR="00C879A3" w:rsidRPr="0036007C" w:rsidRDefault="00C879A3" w:rsidP="00F76882">
            <w:pPr>
              <w:pStyle w:val="Tabletext"/>
            </w:pPr>
            <w:r w:rsidRPr="0036007C">
              <w:t>0</w:t>
            </w:r>
          </w:p>
        </w:tc>
        <w:tc>
          <w:tcPr>
            <w:tcW w:w="707"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C0BBE38" w14:textId="5EFF7FB8" w:rsidR="00C879A3" w:rsidRPr="0036007C" w:rsidRDefault="00C879A3" w:rsidP="00F76882">
            <w:pPr>
              <w:pStyle w:val="Tabletext"/>
            </w:pPr>
            <w:r w:rsidRPr="0036007C">
              <w:t>0</w:t>
            </w:r>
          </w:p>
        </w:tc>
      </w:tr>
    </w:tbl>
    <w:p w14:paraId="17FF760E" w14:textId="14747152" w:rsidR="00E3767F" w:rsidRPr="00F76882" w:rsidRDefault="00E3767F" w:rsidP="00F76882">
      <w:r w:rsidRPr="00F76882">
        <w:br w:type="page"/>
      </w:r>
    </w:p>
    <w:p w14:paraId="3E60B474" w14:textId="77777777" w:rsidR="00E3767F" w:rsidRPr="00F76882" w:rsidRDefault="00E3767F" w:rsidP="00F76882">
      <w:pPr>
        <w:sectPr w:rsidR="00E3767F" w:rsidRPr="00F76882" w:rsidSect="00C04CBB">
          <w:pgSz w:w="11906" w:h="16838"/>
          <w:pgMar w:top="720" w:right="720" w:bottom="720" w:left="720" w:header="709" w:footer="709" w:gutter="0"/>
          <w:cols w:space="708"/>
          <w:docGrid w:linePitch="360"/>
        </w:sectPr>
      </w:pPr>
      <w:bookmarkStart w:id="395" w:name="Table45"/>
    </w:p>
    <w:p w14:paraId="1EF796EA" w14:textId="32B3E262" w:rsidR="00E3767F" w:rsidRPr="0036007C" w:rsidRDefault="00E3767F" w:rsidP="00F76882">
      <w:pPr>
        <w:pStyle w:val="Tableheadings"/>
      </w:pPr>
      <w:bookmarkStart w:id="396" w:name="_Table_4.5_Trachoma"/>
      <w:bookmarkStart w:id="397" w:name="_Ref58336824"/>
      <w:bookmarkStart w:id="398" w:name="_Toc215224720"/>
      <w:bookmarkEnd w:id="391"/>
      <w:bookmarkEnd w:id="395"/>
      <w:bookmarkEnd w:id="396"/>
      <w:r w:rsidRPr="0036007C">
        <w:t xml:space="preserve">Table </w:t>
      </w:r>
      <w:r w:rsidR="00C773E5" w:rsidRPr="0036007C">
        <w:t>5</w:t>
      </w:r>
      <w:r w:rsidRPr="0036007C">
        <w:t>.</w:t>
      </w:r>
      <w:r w:rsidRPr="0036007C">
        <w:fldChar w:fldCharType="begin"/>
      </w:r>
      <w:r w:rsidRPr="0036007C">
        <w:instrText>SEQ Table \* ARABIC \s 1</w:instrText>
      </w:r>
      <w:r w:rsidRPr="0036007C">
        <w:fldChar w:fldCharType="separate"/>
      </w:r>
      <w:r w:rsidRPr="0036007C">
        <w:t>5</w:t>
      </w:r>
      <w:r w:rsidRPr="0036007C">
        <w:fldChar w:fldCharType="end"/>
      </w:r>
      <w:bookmarkEnd w:id="397"/>
      <w:r w:rsidRPr="0036007C">
        <w:tab/>
      </w:r>
      <w:r w:rsidR="00451132" w:rsidRPr="0036007C">
        <w:t xml:space="preserve">Antibiotic distribution and coverage by age and </w:t>
      </w:r>
      <w:r w:rsidRPr="0036007C">
        <w:t>region, Western Australia</w:t>
      </w:r>
      <w:r w:rsidR="00C6767F" w:rsidRPr="0036007C">
        <w:t>,</w:t>
      </w:r>
      <w:r w:rsidRPr="0036007C">
        <w:t xml:space="preserve"> </w:t>
      </w:r>
      <w:r w:rsidR="00E76BB4" w:rsidRPr="0036007C">
        <w:t>202</w:t>
      </w:r>
      <w:r w:rsidR="00050459" w:rsidRPr="0036007C">
        <w:t>4</w:t>
      </w:r>
      <w:bookmarkEnd w:id="398"/>
    </w:p>
    <w:tbl>
      <w:tblPr>
        <w:tblW w:w="5000" w:type="pct"/>
        <w:tblCellMar>
          <w:left w:w="28" w:type="dxa"/>
          <w:right w:w="28" w:type="dxa"/>
        </w:tblCellMar>
        <w:tblLook w:val="04A0" w:firstRow="1" w:lastRow="0" w:firstColumn="1" w:lastColumn="0" w:noHBand="0" w:noVBand="1"/>
        <w:tblCaption w:val="Antibiotic distribution and coverage by age and region, Western Australia, 2024"/>
        <w:tblDescription w:val="Table 5.5 compares the numbers and proportions of persons who required and received treatment by the age groups: 0-4, 5–9, 10-14, 15+, and all years. Data is presented for the Goldfields, Pilbara, and the cumulative total.&#10;"/>
      </w:tblPr>
      <w:tblGrid>
        <w:gridCol w:w="3383"/>
        <w:gridCol w:w="800"/>
        <w:gridCol w:w="800"/>
        <w:gridCol w:w="800"/>
        <w:gridCol w:w="800"/>
        <w:gridCol w:w="800"/>
        <w:gridCol w:w="800"/>
        <w:gridCol w:w="800"/>
        <w:gridCol w:w="800"/>
        <w:gridCol w:w="800"/>
        <w:gridCol w:w="800"/>
        <w:gridCol w:w="800"/>
        <w:gridCol w:w="800"/>
        <w:gridCol w:w="800"/>
        <w:gridCol w:w="800"/>
        <w:gridCol w:w="800"/>
      </w:tblGrid>
      <w:tr w:rsidR="00046C9F" w:rsidRPr="0036007C" w14:paraId="44A5DAA4" w14:textId="77777777" w:rsidTr="004609FA">
        <w:trPr>
          <w:trHeight w:val="290"/>
          <w:tblHeader/>
        </w:trPr>
        <w:tc>
          <w:tcPr>
            <w:tcW w:w="110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6CF0077" w14:textId="77777777" w:rsidR="00046C9F" w:rsidRPr="0036007C" w:rsidRDefault="00046C9F" w:rsidP="00F76882">
            <w:pPr>
              <w:pStyle w:val="Tableheading"/>
              <w:rPr>
                <w:lang w:eastAsia="en-AU"/>
              </w:rPr>
            </w:pPr>
            <w:r w:rsidRPr="0036007C">
              <w:t> </w:t>
            </w:r>
          </w:p>
        </w:tc>
        <w:tc>
          <w:tcPr>
            <w:tcW w:w="1300" w:type="pct"/>
            <w:gridSpan w:val="5"/>
            <w:tcBorders>
              <w:top w:val="single" w:sz="8" w:space="0" w:color="auto"/>
              <w:left w:val="single" w:sz="8" w:space="0" w:color="auto"/>
              <w:bottom w:val="single" w:sz="4" w:space="0" w:color="auto"/>
              <w:right w:val="single" w:sz="8" w:space="0" w:color="000000"/>
            </w:tcBorders>
            <w:shd w:val="clear" w:color="000000" w:fill="BFBFBF"/>
            <w:noWrap/>
            <w:vAlign w:val="bottom"/>
            <w:hideMark/>
          </w:tcPr>
          <w:p w14:paraId="0E51A495" w14:textId="77777777" w:rsidR="00046C9F" w:rsidRPr="0036007C" w:rsidRDefault="00046C9F" w:rsidP="00F76882">
            <w:pPr>
              <w:pStyle w:val="Tableheading"/>
            </w:pPr>
            <w:r w:rsidRPr="0036007C">
              <w:t>Goldfields</w:t>
            </w:r>
          </w:p>
        </w:tc>
        <w:tc>
          <w:tcPr>
            <w:tcW w:w="1300" w:type="pct"/>
            <w:gridSpan w:val="5"/>
            <w:tcBorders>
              <w:top w:val="single" w:sz="8" w:space="0" w:color="auto"/>
              <w:left w:val="nil"/>
              <w:bottom w:val="single" w:sz="4" w:space="0" w:color="auto"/>
              <w:right w:val="single" w:sz="8" w:space="0" w:color="000000"/>
            </w:tcBorders>
            <w:shd w:val="clear" w:color="000000" w:fill="BFBFBF"/>
            <w:noWrap/>
            <w:vAlign w:val="bottom"/>
            <w:hideMark/>
          </w:tcPr>
          <w:p w14:paraId="6D23A950" w14:textId="77777777" w:rsidR="00046C9F" w:rsidRPr="0036007C" w:rsidRDefault="00046C9F" w:rsidP="00F76882">
            <w:pPr>
              <w:pStyle w:val="Tableheading"/>
            </w:pPr>
            <w:r w:rsidRPr="0036007C">
              <w:t>Pilbara</w:t>
            </w:r>
          </w:p>
        </w:tc>
        <w:tc>
          <w:tcPr>
            <w:tcW w:w="1300" w:type="pct"/>
            <w:gridSpan w:val="5"/>
            <w:tcBorders>
              <w:top w:val="single" w:sz="8" w:space="0" w:color="auto"/>
              <w:left w:val="nil"/>
              <w:bottom w:val="single" w:sz="4" w:space="0" w:color="auto"/>
              <w:right w:val="single" w:sz="8" w:space="0" w:color="000000"/>
            </w:tcBorders>
            <w:shd w:val="clear" w:color="000000" w:fill="BFBFBF"/>
            <w:noWrap/>
            <w:vAlign w:val="bottom"/>
            <w:hideMark/>
          </w:tcPr>
          <w:p w14:paraId="0C236351" w14:textId="77777777" w:rsidR="00046C9F" w:rsidRPr="0036007C" w:rsidRDefault="00046C9F" w:rsidP="00F76882">
            <w:pPr>
              <w:pStyle w:val="Tableheading"/>
            </w:pPr>
            <w:r w:rsidRPr="0036007C">
              <w:t>Total</w:t>
            </w:r>
          </w:p>
        </w:tc>
      </w:tr>
      <w:tr w:rsidR="00046C9F" w:rsidRPr="0036007C" w14:paraId="39885DDD" w14:textId="77777777" w:rsidTr="003641E8">
        <w:trPr>
          <w:trHeight w:val="290"/>
        </w:trPr>
        <w:tc>
          <w:tcPr>
            <w:tcW w:w="1100" w:type="pct"/>
            <w:tcBorders>
              <w:top w:val="single" w:sz="4" w:space="0" w:color="auto"/>
              <w:left w:val="single" w:sz="4" w:space="0" w:color="auto"/>
              <w:bottom w:val="single" w:sz="4" w:space="0" w:color="auto"/>
              <w:right w:val="single" w:sz="4" w:space="0" w:color="auto"/>
            </w:tcBorders>
            <w:noWrap/>
            <w:vAlign w:val="bottom"/>
            <w:hideMark/>
          </w:tcPr>
          <w:p w14:paraId="29C1929B" w14:textId="77777777" w:rsidR="00046C9F" w:rsidRPr="00FA7B58" w:rsidRDefault="00046C9F" w:rsidP="00F76882">
            <w:pPr>
              <w:pStyle w:val="Tabletextleft"/>
            </w:pPr>
            <w:r w:rsidRPr="00FA7B58">
              <w:t>Age group (years)</w:t>
            </w:r>
          </w:p>
        </w:tc>
        <w:tc>
          <w:tcPr>
            <w:tcW w:w="260" w:type="pct"/>
            <w:tcBorders>
              <w:top w:val="nil"/>
              <w:left w:val="single" w:sz="8" w:space="0" w:color="auto"/>
              <w:bottom w:val="single" w:sz="4" w:space="0" w:color="auto"/>
              <w:right w:val="single" w:sz="4" w:space="0" w:color="auto"/>
            </w:tcBorders>
            <w:noWrap/>
            <w:vAlign w:val="bottom"/>
            <w:hideMark/>
          </w:tcPr>
          <w:p w14:paraId="022213A9" w14:textId="180F5C51" w:rsidR="00046C9F" w:rsidRPr="00FA7B58" w:rsidRDefault="00046C9F" w:rsidP="00F76882">
            <w:pPr>
              <w:pStyle w:val="Tabletext"/>
            </w:pPr>
            <w:r w:rsidRPr="00FA7B58">
              <w:t>0</w:t>
            </w:r>
            <w:r w:rsidR="003D00CE" w:rsidRPr="00FA7B58">
              <w:t>–</w:t>
            </w:r>
            <w:r w:rsidRPr="00FA7B58">
              <w:t>4</w:t>
            </w:r>
          </w:p>
        </w:tc>
        <w:tc>
          <w:tcPr>
            <w:tcW w:w="260" w:type="pct"/>
            <w:tcBorders>
              <w:top w:val="nil"/>
              <w:left w:val="nil"/>
              <w:bottom w:val="single" w:sz="4" w:space="0" w:color="auto"/>
              <w:right w:val="single" w:sz="4" w:space="0" w:color="auto"/>
            </w:tcBorders>
            <w:noWrap/>
            <w:vAlign w:val="bottom"/>
            <w:hideMark/>
          </w:tcPr>
          <w:p w14:paraId="7058FB94" w14:textId="03EE52D5" w:rsidR="00046C9F" w:rsidRPr="00FA7B58" w:rsidRDefault="00046C9F" w:rsidP="00F76882">
            <w:pPr>
              <w:pStyle w:val="Tabletext"/>
            </w:pPr>
            <w:r w:rsidRPr="00FA7B58">
              <w:t>5</w:t>
            </w:r>
            <w:r w:rsidR="003D00CE" w:rsidRPr="00FA7B58">
              <w:t>–</w:t>
            </w:r>
            <w:r w:rsidRPr="00FA7B58">
              <w:t>9</w:t>
            </w:r>
          </w:p>
        </w:tc>
        <w:tc>
          <w:tcPr>
            <w:tcW w:w="260" w:type="pct"/>
            <w:tcBorders>
              <w:top w:val="nil"/>
              <w:left w:val="nil"/>
              <w:bottom w:val="single" w:sz="4" w:space="0" w:color="auto"/>
              <w:right w:val="single" w:sz="4" w:space="0" w:color="auto"/>
            </w:tcBorders>
            <w:noWrap/>
            <w:vAlign w:val="bottom"/>
            <w:hideMark/>
          </w:tcPr>
          <w:p w14:paraId="20B85E06" w14:textId="50F825CC" w:rsidR="00046C9F" w:rsidRPr="00FA7B58" w:rsidRDefault="00046C9F" w:rsidP="00F76882">
            <w:pPr>
              <w:pStyle w:val="Tabletext"/>
            </w:pPr>
            <w:r w:rsidRPr="00FA7B58">
              <w:t>10</w:t>
            </w:r>
            <w:r w:rsidR="003D00CE" w:rsidRPr="00FA7B58">
              <w:t>–</w:t>
            </w:r>
            <w:r w:rsidRPr="00FA7B58">
              <w:t>14</w:t>
            </w:r>
          </w:p>
        </w:tc>
        <w:tc>
          <w:tcPr>
            <w:tcW w:w="260" w:type="pct"/>
            <w:tcBorders>
              <w:top w:val="nil"/>
              <w:left w:val="nil"/>
              <w:bottom w:val="single" w:sz="4" w:space="0" w:color="auto"/>
              <w:right w:val="single" w:sz="4" w:space="0" w:color="auto"/>
            </w:tcBorders>
            <w:noWrap/>
            <w:vAlign w:val="bottom"/>
            <w:hideMark/>
          </w:tcPr>
          <w:p w14:paraId="5BFBBCF5" w14:textId="77777777" w:rsidR="00046C9F" w:rsidRPr="00FA7B58" w:rsidRDefault="00046C9F" w:rsidP="00F76882">
            <w:pPr>
              <w:pStyle w:val="Tabletext"/>
            </w:pPr>
            <w:r w:rsidRPr="00FA7B58">
              <w:t>15+</w:t>
            </w:r>
          </w:p>
        </w:tc>
        <w:tc>
          <w:tcPr>
            <w:tcW w:w="260" w:type="pct"/>
            <w:tcBorders>
              <w:top w:val="nil"/>
              <w:left w:val="nil"/>
              <w:bottom w:val="single" w:sz="4" w:space="0" w:color="auto"/>
              <w:right w:val="single" w:sz="8" w:space="0" w:color="auto"/>
            </w:tcBorders>
            <w:noWrap/>
            <w:vAlign w:val="bottom"/>
            <w:hideMark/>
          </w:tcPr>
          <w:p w14:paraId="638CE65B" w14:textId="77777777" w:rsidR="00046C9F" w:rsidRPr="00FA7B58" w:rsidRDefault="00046C9F" w:rsidP="00F76882">
            <w:pPr>
              <w:pStyle w:val="Tabletext"/>
            </w:pPr>
            <w:r w:rsidRPr="00FA7B58">
              <w:t>All</w:t>
            </w:r>
          </w:p>
        </w:tc>
        <w:tc>
          <w:tcPr>
            <w:tcW w:w="260" w:type="pct"/>
            <w:tcBorders>
              <w:top w:val="nil"/>
              <w:left w:val="nil"/>
              <w:bottom w:val="single" w:sz="4" w:space="0" w:color="auto"/>
              <w:right w:val="single" w:sz="4" w:space="0" w:color="auto"/>
            </w:tcBorders>
            <w:noWrap/>
            <w:vAlign w:val="bottom"/>
            <w:hideMark/>
          </w:tcPr>
          <w:p w14:paraId="2F6E2BB8" w14:textId="4FBC8865" w:rsidR="00046C9F" w:rsidRPr="00FA7B58" w:rsidRDefault="00046C9F" w:rsidP="00F76882">
            <w:pPr>
              <w:pStyle w:val="Tabletext"/>
            </w:pPr>
            <w:r w:rsidRPr="00FA7B58">
              <w:t>0</w:t>
            </w:r>
            <w:r w:rsidR="003D00CE" w:rsidRPr="00FA7B58">
              <w:t>–</w:t>
            </w:r>
            <w:r w:rsidRPr="00FA7B58">
              <w:t>4</w:t>
            </w:r>
          </w:p>
        </w:tc>
        <w:tc>
          <w:tcPr>
            <w:tcW w:w="260" w:type="pct"/>
            <w:tcBorders>
              <w:top w:val="nil"/>
              <w:left w:val="nil"/>
              <w:bottom w:val="single" w:sz="4" w:space="0" w:color="auto"/>
              <w:right w:val="single" w:sz="4" w:space="0" w:color="auto"/>
            </w:tcBorders>
            <w:noWrap/>
            <w:vAlign w:val="bottom"/>
            <w:hideMark/>
          </w:tcPr>
          <w:p w14:paraId="308FF295" w14:textId="5DDAD5D2" w:rsidR="00046C9F" w:rsidRPr="00FA7B58" w:rsidRDefault="00046C9F" w:rsidP="00F76882">
            <w:pPr>
              <w:pStyle w:val="Tabletext"/>
            </w:pPr>
            <w:r w:rsidRPr="00FA7B58">
              <w:t>5</w:t>
            </w:r>
            <w:r w:rsidR="003D00CE" w:rsidRPr="00FA7B58">
              <w:t>–</w:t>
            </w:r>
            <w:r w:rsidRPr="00FA7B58">
              <w:t>9</w:t>
            </w:r>
          </w:p>
        </w:tc>
        <w:tc>
          <w:tcPr>
            <w:tcW w:w="260" w:type="pct"/>
            <w:tcBorders>
              <w:top w:val="nil"/>
              <w:left w:val="nil"/>
              <w:bottom w:val="single" w:sz="4" w:space="0" w:color="auto"/>
              <w:right w:val="single" w:sz="4" w:space="0" w:color="auto"/>
            </w:tcBorders>
            <w:noWrap/>
            <w:vAlign w:val="bottom"/>
            <w:hideMark/>
          </w:tcPr>
          <w:p w14:paraId="1D5A1593" w14:textId="3AC2BB24" w:rsidR="00046C9F" w:rsidRPr="00FA7B58" w:rsidRDefault="00046C9F" w:rsidP="00F76882">
            <w:pPr>
              <w:pStyle w:val="Tabletext"/>
            </w:pPr>
            <w:r w:rsidRPr="00FA7B58">
              <w:t>10</w:t>
            </w:r>
            <w:r w:rsidR="003D00CE" w:rsidRPr="00FA7B58">
              <w:t>–</w:t>
            </w:r>
            <w:r w:rsidRPr="00FA7B58">
              <w:t>14</w:t>
            </w:r>
          </w:p>
        </w:tc>
        <w:tc>
          <w:tcPr>
            <w:tcW w:w="260" w:type="pct"/>
            <w:tcBorders>
              <w:top w:val="nil"/>
              <w:left w:val="nil"/>
              <w:bottom w:val="single" w:sz="4" w:space="0" w:color="auto"/>
              <w:right w:val="single" w:sz="4" w:space="0" w:color="auto"/>
            </w:tcBorders>
            <w:noWrap/>
            <w:vAlign w:val="bottom"/>
            <w:hideMark/>
          </w:tcPr>
          <w:p w14:paraId="23FA5AE8" w14:textId="77777777" w:rsidR="00046C9F" w:rsidRPr="00FA7B58" w:rsidRDefault="00046C9F" w:rsidP="00F76882">
            <w:pPr>
              <w:pStyle w:val="Tabletext"/>
            </w:pPr>
            <w:r w:rsidRPr="00FA7B58">
              <w:t>15+</w:t>
            </w:r>
          </w:p>
        </w:tc>
        <w:tc>
          <w:tcPr>
            <w:tcW w:w="260" w:type="pct"/>
            <w:tcBorders>
              <w:top w:val="nil"/>
              <w:left w:val="nil"/>
              <w:bottom w:val="single" w:sz="4" w:space="0" w:color="auto"/>
              <w:right w:val="single" w:sz="8" w:space="0" w:color="auto"/>
            </w:tcBorders>
            <w:noWrap/>
            <w:vAlign w:val="bottom"/>
            <w:hideMark/>
          </w:tcPr>
          <w:p w14:paraId="567E3A17" w14:textId="77777777" w:rsidR="00046C9F" w:rsidRPr="00FA7B58" w:rsidRDefault="00046C9F" w:rsidP="00F76882">
            <w:pPr>
              <w:pStyle w:val="Tabletext"/>
            </w:pPr>
            <w:r w:rsidRPr="00FA7B58">
              <w:t>All</w:t>
            </w:r>
          </w:p>
        </w:tc>
        <w:tc>
          <w:tcPr>
            <w:tcW w:w="260" w:type="pct"/>
            <w:tcBorders>
              <w:top w:val="nil"/>
              <w:left w:val="nil"/>
              <w:bottom w:val="single" w:sz="4" w:space="0" w:color="auto"/>
              <w:right w:val="single" w:sz="4" w:space="0" w:color="auto"/>
            </w:tcBorders>
            <w:noWrap/>
            <w:vAlign w:val="bottom"/>
            <w:hideMark/>
          </w:tcPr>
          <w:p w14:paraId="43876CF5" w14:textId="12881B94" w:rsidR="00046C9F" w:rsidRPr="00FA7B58" w:rsidRDefault="00046C9F" w:rsidP="00F76882">
            <w:pPr>
              <w:pStyle w:val="Tabletext"/>
            </w:pPr>
            <w:r w:rsidRPr="00FA7B58">
              <w:t>0</w:t>
            </w:r>
            <w:r w:rsidR="003D00CE" w:rsidRPr="00FA7B58">
              <w:t>–</w:t>
            </w:r>
            <w:r w:rsidRPr="00FA7B58">
              <w:t>4</w:t>
            </w:r>
          </w:p>
        </w:tc>
        <w:tc>
          <w:tcPr>
            <w:tcW w:w="260" w:type="pct"/>
            <w:tcBorders>
              <w:top w:val="nil"/>
              <w:left w:val="nil"/>
              <w:bottom w:val="single" w:sz="4" w:space="0" w:color="auto"/>
              <w:right w:val="single" w:sz="4" w:space="0" w:color="auto"/>
            </w:tcBorders>
            <w:noWrap/>
            <w:vAlign w:val="bottom"/>
            <w:hideMark/>
          </w:tcPr>
          <w:p w14:paraId="3D6BBC5C" w14:textId="55806354" w:rsidR="00046C9F" w:rsidRPr="00FA7B58" w:rsidRDefault="00046C9F" w:rsidP="00F76882">
            <w:pPr>
              <w:pStyle w:val="Tabletext"/>
            </w:pPr>
            <w:r w:rsidRPr="00FA7B58">
              <w:t>5</w:t>
            </w:r>
            <w:r w:rsidR="003D00CE" w:rsidRPr="00FA7B58">
              <w:t>–</w:t>
            </w:r>
            <w:r w:rsidRPr="00FA7B58">
              <w:t>9</w:t>
            </w:r>
          </w:p>
        </w:tc>
        <w:tc>
          <w:tcPr>
            <w:tcW w:w="260" w:type="pct"/>
            <w:tcBorders>
              <w:top w:val="nil"/>
              <w:left w:val="nil"/>
              <w:bottom w:val="single" w:sz="4" w:space="0" w:color="auto"/>
              <w:right w:val="single" w:sz="4" w:space="0" w:color="auto"/>
            </w:tcBorders>
            <w:noWrap/>
            <w:vAlign w:val="bottom"/>
            <w:hideMark/>
          </w:tcPr>
          <w:p w14:paraId="6925E897" w14:textId="021C1CE4" w:rsidR="00046C9F" w:rsidRPr="00FA7B58" w:rsidRDefault="00046C9F" w:rsidP="00F76882">
            <w:pPr>
              <w:pStyle w:val="Tabletext"/>
            </w:pPr>
            <w:r w:rsidRPr="00FA7B58">
              <w:t>10</w:t>
            </w:r>
            <w:r w:rsidR="003D00CE" w:rsidRPr="00FA7B58">
              <w:t>–</w:t>
            </w:r>
            <w:r w:rsidRPr="00FA7B58">
              <w:t>14</w:t>
            </w:r>
          </w:p>
        </w:tc>
        <w:tc>
          <w:tcPr>
            <w:tcW w:w="260" w:type="pct"/>
            <w:tcBorders>
              <w:top w:val="nil"/>
              <w:left w:val="nil"/>
              <w:bottom w:val="single" w:sz="4" w:space="0" w:color="auto"/>
              <w:right w:val="single" w:sz="4" w:space="0" w:color="auto"/>
            </w:tcBorders>
            <w:noWrap/>
            <w:vAlign w:val="bottom"/>
            <w:hideMark/>
          </w:tcPr>
          <w:p w14:paraId="6E58DA85" w14:textId="77777777" w:rsidR="00046C9F" w:rsidRPr="00FA7B58" w:rsidRDefault="00046C9F" w:rsidP="00F76882">
            <w:pPr>
              <w:pStyle w:val="Tabletext"/>
            </w:pPr>
            <w:r w:rsidRPr="00FA7B58">
              <w:t>15+</w:t>
            </w:r>
          </w:p>
        </w:tc>
        <w:tc>
          <w:tcPr>
            <w:tcW w:w="260" w:type="pct"/>
            <w:tcBorders>
              <w:top w:val="nil"/>
              <w:left w:val="nil"/>
              <w:bottom w:val="single" w:sz="4" w:space="0" w:color="auto"/>
              <w:right w:val="single" w:sz="8" w:space="0" w:color="auto"/>
            </w:tcBorders>
            <w:noWrap/>
            <w:vAlign w:val="bottom"/>
            <w:hideMark/>
          </w:tcPr>
          <w:p w14:paraId="61C40F35" w14:textId="77777777" w:rsidR="00046C9F" w:rsidRPr="00FA7B58" w:rsidRDefault="00046C9F" w:rsidP="00F76882">
            <w:pPr>
              <w:pStyle w:val="Tabletext"/>
            </w:pPr>
            <w:r w:rsidRPr="00FA7B58">
              <w:t>All</w:t>
            </w:r>
          </w:p>
        </w:tc>
      </w:tr>
      <w:tr w:rsidR="003D00CE" w:rsidRPr="00FA7B58" w14:paraId="51DA7669" w14:textId="77777777" w:rsidTr="003641E8">
        <w:trPr>
          <w:trHeight w:val="600"/>
        </w:trPr>
        <w:tc>
          <w:tcPr>
            <w:tcW w:w="1100"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3F85B98F" w14:textId="77777777" w:rsidR="003D72D1" w:rsidRPr="00FA7B58" w:rsidRDefault="003D72D1" w:rsidP="00F76882">
            <w:pPr>
              <w:pStyle w:val="Tabletextleft"/>
            </w:pPr>
            <w:r w:rsidRPr="00FA7B58">
              <w:t>Requiring treatment for active trachoma</w:t>
            </w:r>
          </w:p>
        </w:tc>
        <w:tc>
          <w:tcPr>
            <w:tcW w:w="260" w:type="pct"/>
            <w:tcBorders>
              <w:top w:val="nil"/>
              <w:left w:val="single" w:sz="8" w:space="0" w:color="auto"/>
              <w:bottom w:val="single" w:sz="4" w:space="0" w:color="auto"/>
              <w:right w:val="single" w:sz="4" w:space="0" w:color="auto"/>
            </w:tcBorders>
            <w:shd w:val="clear" w:color="000000" w:fill="BFBFBF"/>
            <w:noWrap/>
            <w:vAlign w:val="bottom"/>
          </w:tcPr>
          <w:p w14:paraId="082C675D" w14:textId="5BC924C6"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BFBFBF"/>
            <w:noWrap/>
            <w:vAlign w:val="bottom"/>
          </w:tcPr>
          <w:p w14:paraId="2A86080B" w14:textId="4E94AF0C" w:rsidR="003D72D1" w:rsidRPr="00FA7B58" w:rsidRDefault="003D72D1" w:rsidP="00F76882">
            <w:pPr>
              <w:pStyle w:val="Tabletext"/>
            </w:pPr>
            <w:r w:rsidRPr="00FA7B58">
              <w:t>7</w:t>
            </w:r>
          </w:p>
        </w:tc>
        <w:tc>
          <w:tcPr>
            <w:tcW w:w="260" w:type="pct"/>
            <w:tcBorders>
              <w:top w:val="nil"/>
              <w:left w:val="nil"/>
              <w:bottom w:val="single" w:sz="4" w:space="0" w:color="auto"/>
              <w:right w:val="single" w:sz="4" w:space="0" w:color="auto"/>
            </w:tcBorders>
            <w:shd w:val="clear" w:color="000000" w:fill="BFBFBF"/>
            <w:noWrap/>
            <w:vAlign w:val="bottom"/>
          </w:tcPr>
          <w:p w14:paraId="72EF5CBE" w14:textId="390C4783"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000000"/>
            <w:noWrap/>
            <w:vAlign w:val="bottom"/>
          </w:tcPr>
          <w:p w14:paraId="63C5E18D" w14:textId="27203280" w:rsidR="003D72D1" w:rsidRPr="00FA7B58" w:rsidRDefault="003D72D1" w:rsidP="00F76882">
            <w:pPr>
              <w:pStyle w:val="Tabletext"/>
            </w:pPr>
            <w:r w:rsidRPr="00FA7B58">
              <w:t> </w:t>
            </w:r>
          </w:p>
        </w:tc>
        <w:tc>
          <w:tcPr>
            <w:tcW w:w="260" w:type="pct"/>
            <w:tcBorders>
              <w:top w:val="nil"/>
              <w:left w:val="nil"/>
              <w:bottom w:val="single" w:sz="4" w:space="0" w:color="auto"/>
              <w:right w:val="single" w:sz="8" w:space="0" w:color="auto"/>
            </w:tcBorders>
            <w:shd w:val="clear" w:color="000000" w:fill="BFBFBF"/>
            <w:noWrap/>
            <w:vAlign w:val="bottom"/>
          </w:tcPr>
          <w:p w14:paraId="396ADA3B" w14:textId="193E1E09" w:rsidR="003D72D1" w:rsidRPr="00FA7B58" w:rsidRDefault="003D72D1" w:rsidP="00F76882">
            <w:pPr>
              <w:pStyle w:val="Tabletext"/>
            </w:pPr>
            <w:r w:rsidRPr="00FA7B58">
              <w:t>7</w:t>
            </w:r>
          </w:p>
        </w:tc>
        <w:tc>
          <w:tcPr>
            <w:tcW w:w="260" w:type="pct"/>
            <w:tcBorders>
              <w:top w:val="nil"/>
              <w:left w:val="nil"/>
              <w:bottom w:val="single" w:sz="4" w:space="0" w:color="auto"/>
              <w:right w:val="single" w:sz="4" w:space="0" w:color="auto"/>
            </w:tcBorders>
            <w:shd w:val="clear" w:color="000000" w:fill="BFBFBF"/>
            <w:noWrap/>
            <w:vAlign w:val="bottom"/>
          </w:tcPr>
          <w:p w14:paraId="5342D483" w14:textId="7F130852"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BFBFBF"/>
            <w:noWrap/>
            <w:vAlign w:val="bottom"/>
          </w:tcPr>
          <w:p w14:paraId="45DF7F94" w14:textId="183335D1" w:rsidR="003D72D1" w:rsidRPr="00FA7B58" w:rsidRDefault="003D72D1" w:rsidP="00F76882">
            <w:pPr>
              <w:pStyle w:val="Tabletext"/>
            </w:pPr>
            <w:r w:rsidRPr="00FA7B58">
              <w:t>5</w:t>
            </w:r>
          </w:p>
        </w:tc>
        <w:tc>
          <w:tcPr>
            <w:tcW w:w="260" w:type="pct"/>
            <w:tcBorders>
              <w:top w:val="nil"/>
              <w:left w:val="nil"/>
              <w:bottom w:val="single" w:sz="4" w:space="0" w:color="auto"/>
              <w:right w:val="single" w:sz="4" w:space="0" w:color="auto"/>
            </w:tcBorders>
            <w:shd w:val="clear" w:color="000000" w:fill="BFBFBF"/>
            <w:noWrap/>
            <w:vAlign w:val="bottom"/>
          </w:tcPr>
          <w:p w14:paraId="2A2E3060" w14:textId="7FA4487F"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000000"/>
            <w:noWrap/>
            <w:vAlign w:val="bottom"/>
          </w:tcPr>
          <w:p w14:paraId="4902A406" w14:textId="5C7E2B78" w:rsidR="003D72D1" w:rsidRPr="00FA7B58" w:rsidRDefault="003D72D1" w:rsidP="00F76882">
            <w:pPr>
              <w:pStyle w:val="Tabletext"/>
            </w:pPr>
            <w:r w:rsidRPr="00FA7B58">
              <w:t> </w:t>
            </w:r>
          </w:p>
        </w:tc>
        <w:tc>
          <w:tcPr>
            <w:tcW w:w="260" w:type="pct"/>
            <w:tcBorders>
              <w:top w:val="nil"/>
              <w:left w:val="nil"/>
              <w:bottom w:val="single" w:sz="4" w:space="0" w:color="auto"/>
              <w:right w:val="single" w:sz="8" w:space="0" w:color="auto"/>
            </w:tcBorders>
            <w:shd w:val="clear" w:color="000000" w:fill="BFBFBF"/>
            <w:noWrap/>
            <w:vAlign w:val="bottom"/>
          </w:tcPr>
          <w:p w14:paraId="055B4928" w14:textId="6F5673D5" w:rsidR="003D72D1" w:rsidRPr="00FA7B58" w:rsidRDefault="003D72D1" w:rsidP="00F76882">
            <w:pPr>
              <w:pStyle w:val="Tabletext"/>
            </w:pPr>
            <w:r w:rsidRPr="00FA7B58">
              <w:t>5</w:t>
            </w:r>
          </w:p>
        </w:tc>
        <w:tc>
          <w:tcPr>
            <w:tcW w:w="260" w:type="pct"/>
            <w:tcBorders>
              <w:top w:val="nil"/>
              <w:left w:val="nil"/>
              <w:bottom w:val="single" w:sz="4" w:space="0" w:color="auto"/>
              <w:right w:val="single" w:sz="4" w:space="0" w:color="auto"/>
            </w:tcBorders>
            <w:shd w:val="clear" w:color="000000" w:fill="BFBFBF"/>
            <w:noWrap/>
            <w:vAlign w:val="bottom"/>
          </w:tcPr>
          <w:p w14:paraId="1A12483E" w14:textId="62A69907"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BFBFBF"/>
            <w:noWrap/>
            <w:vAlign w:val="bottom"/>
          </w:tcPr>
          <w:p w14:paraId="4A6A3BA7" w14:textId="2C499C0D" w:rsidR="003D72D1" w:rsidRPr="00FA7B58" w:rsidRDefault="003D72D1" w:rsidP="00F76882">
            <w:pPr>
              <w:pStyle w:val="Tabletext"/>
            </w:pPr>
            <w:r w:rsidRPr="00FA7B58">
              <w:t>12</w:t>
            </w:r>
          </w:p>
        </w:tc>
        <w:tc>
          <w:tcPr>
            <w:tcW w:w="260" w:type="pct"/>
            <w:tcBorders>
              <w:top w:val="nil"/>
              <w:left w:val="nil"/>
              <w:bottom w:val="single" w:sz="4" w:space="0" w:color="auto"/>
              <w:right w:val="single" w:sz="4" w:space="0" w:color="auto"/>
            </w:tcBorders>
            <w:shd w:val="clear" w:color="000000" w:fill="BFBFBF"/>
            <w:noWrap/>
            <w:vAlign w:val="bottom"/>
          </w:tcPr>
          <w:p w14:paraId="687F5A4B" w14:textId="1EF477E4"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000000"/>
            <w:noWrap/>
            <w:vAlign w:val="bottom"/>
          </w:tcPr>
          <w:p w14:paraId="78B7ED46" w14:textId="23A81F26" w:rsidR="003D72D1" w:rsidRPr="00FA7B58" w:rsidRDefault="003D72D1" w:rsidP="00F76882">
            <w:pPr>
              <w:pStyle w:val="Tabletext"/>
            </w:pPr>
            <w:r w:rsidRPr="00FA7B58">
              <w:t> </w:t>
            </w:r>
          </w:p>
        </w:tc>
        <w:tc>
          <w:tcPr>
            <w:tcW w:w="260" w:type="pct"/>
            <w:tcBorders>
              <w:top w:val="nil"/>
              <w:left w:val="nil"/>
              <w:bottom w:val="single" w:sz="4" w:space="0" w:color="auto"/>
              <w:right w:val="single" w:sz="8" w:space="0" w:color="auto"/>
            </w:tcBorders>
            <w:shd w:val="clear" w:color="000000" w:fill="BFBFBF"/>
            <w:noWrap/>
            <w:vAlign w:val="bottom"/>
          </w:tcPr>
          <w:p w14:paraId="43168433" w14:textId="03BFCCED" w:rsidR="003D72D1" w:rsidRPr="00FA7B58" w:rsidRDefault="003D72D1" w:rsidP="00F76882">
            <w:pPr>
              <w:pStyle w:val="Tabletext"/>
            </w:pPr>
            <w:r w:rsidRPr="00FA7B58">
              <w:t>12</w:t>
            </w:r>
          </w:p>
        </w:tc>
      </w:tr>
      <w:tr w:rsidR="003D72D1" w:rsidRPr="00FA7B58" w14:paraId="0B3572F6" w14:textId="77777777" w:rsidTr="003641E8">
        <w:trPr>
          <w:trHeight w:val="580"/>
        </w:trPr>
        <w:tc>
          <w:tcPr>
            <w:tcW w:w="1100" w:type="pct"/>
            <w:tcBorders>
              <w:top w:val="single" w:sz="4" w:space="0" w:color="auto"/>
              <w:left w:val="single" w:sz="4" w:space="0" w:color="auto"/>
              <w:bottom w:val="single" w:sz="4" w:space="0" w:color="auto"/>
              <w:right w:val="single" w:sz="4" w:space="0" w:color="auto"/>
            </w:tcBorders>
            <w:vAlign w:val="bottom"/>
            <w:hideMark/>
          </w:tcPr>
          <w:p w14:paraId="44FD8AD6" w14:textId="77777777" w:rsidR="003D72D1" w:rsidRPr="00FA7B58" w:rsidRDefault="003D72D1" w:rsidP="00F76882">
            <w:pPr>
              <w:pStyle w:val="Tabletextleft"/>
            </w:pPr>
            <w:r w:rsidRPr="00FA7B58">
              <w:t>Received treatment for active trachoma</w:t>
            </w:r>
          </w:p>
        </w:tc>
        <w:tc>
          <w:tcPr>
            <w:tcW w:w="260" w:type="pct"/>
            <w:tcBorders>
              <w:top w:val="nil"/>
              <w:left w:val="single" w:sz="8" w:space="0" w:color="auto"/>
              <w:bottom w:val="single" w:sz="4" w:space="0" w:color="auto"/>
              <w:right w:val="single" w:sz="4" w:space="0" w:color="auto"/>
            </w:tcBorders>
            <w:noWrap/>
            <w:vAlign w:val="bottom"/>
          </w:tcPr>
          <w:p w14:paraId="4DC414C6" w14:textId="70254496"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noWrap/>
            <w:vAlign w:val="bottom"/>
          </w:tcPr>
          <w:p w14:paraId="765DD262" w14:textId="60C519F0" w:rsidR="003D72D1" w:rsidRPr="00FA7B58" w:rsidRDefault="003D72D1" w:rsidP="00F76882">
            <w:pPr>
              <w:pStyle w:val="Tabletext"/>
            </w:pPr>
            <w:r w:rsidRPr="00FA7B58">
              <w:t>7</w:t>
            </w:r>
          </w:p>
        </w:tc>
        <w:tc>
          <w:tcPr>
            <w:tcW w:w="260" w:type="pct"/>
            <w:tcBorders>
              <w:top w:val="nil"/>
              <w:left w:val="nil"/>
              <w:bottom w:val="single" w:sz="4" w:space="0" w:color="auto"/>
              <w:right w:val="single" w:sz="4" w:space="0" w:color="auto"/>
            </w:tcBorders>
            <w:noWrap/>
            <w:vAlign w:val="bottom"/>
          </w:tcPr>
          <w:p w14:paraId="085CED5F" w14:textId="0480F850"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000000"/>
            <w:noWrap/>
            <w:vAlign w:val="bottom"/>
          </w:tcPr>
          <w:p w14:paraId="700AFB0C" w14:textId="62C2CCA8" w:rsidR="003D72D1" w:rsidRPr="00FA7B58" w:rsidRDefault="003D72D1" w:rsidP="00F76882">
            <w:pPr>
              <w:pStyle w:val="Tabletext"/>
            </w:pPr>
            <w:r w:rsidRPr="00FA7B58">
              <w:t> </w:t>
            </w:r>
          </w:p>
        </w:tc>
        <w:tc>
          <w:tcPr>
            <w:tcW w:w="260" w:type="pct"/>
            <w:tcBorders>
              <w:top w:val="nil"/>
              <w:left w:val="nil"/>
              <w:bottom w:val="single" w:sz="4" w:space="0" w:color="auto"/>
              <w:right w:val="single" w:sz="8" w:space="0" w:color="auto"/>
            </w:tcBorders>
            <w:noWrap/>
            <w:vAlign w:val="bottom"/>
          </w:tcPr>
          <w:p w14:paraId="704DFBA2" w14:textId="663240B1" w:rsidR="003D72D1" w:rsidRPr="00FA7B58" w:rsidRDefault="003D72D1" w:rsidP="00F76882">
            <w:pPr>
              <w:pStyle w:val="Tabletext"/>
            </w:pPr>
            <w:r w:rsidRPr="00FA7B58">
              <w:t>7</w:t>
            </w:r>
          </w:p>
        </w:tc>
        <w:tc>
          <w:tcPr>
            <w:tcW w:w="260" w:type="pct"/>
            <w:tcBorders>
              <w:top w:val="nil"/>
              <w:left w:val="nil"/>
              <w:bottom w:val="single" w:sz="4" w:space="0" w:color="auto"/>
              <w:right w:val="single" w:sz="4" w:space="0" w:color="auto"/>
            </w:tcBorders>
            <w:noWrap/>
            <w:vAlign w:val="bottom"/>
          </w:tcPr>
          <w:p w14:paraId="7ABB74DA" w14:textId="30E8A337"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noWrap/>
            <w:vAlign w:val="bottom"/>
          </w:tcPr>
          <w:p w14:paraId="047ECAE8" w14:textId="67CA3172" w:rsidR="003D72D1" w:rsidRPr="00FA7B58" w:rsidRDefault="003D72D1" w:rsidP="00F76882">
            <w:pPr>
              <w:pStyle w:val="Tabletext"/>
            </w:pPr>
            <w:r w:rsidRPr="00FA7B58">
              <w:t>5</w:t>
            </w:r>
          </w:p>
        </w:tc>
        <w:tc>
          <w:tcPr>
            <w:tcW w:w="260" w:type="pct"/>
            <w:tcBorders>
              <w:top w:val="nil"/>
              <w:left w:val="nil"/>
              <w:bottom w:val="single" w:sz="4" w:space="0" w:color="auto"/>
              <w:right w:val="single" w:sz="4" w:space="0" w:color="auto"/>
            </w:tcBorders>
            <w:noWrap/>
            <w:vAlign w:val="bottom"/>
          </w:tcPr>
          <w:p w14:paraId="0F3AD590" w14:textId="52D7D2A8"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000000"/>
            <w:noWrap/>
            <w:vAlign w:val="bottom"/>
          </w:tcPr>
          <w:p w14:paraId="5F1FC064" w14:textId="3CB9549E" w:rsidR="003D72D1" w:rsidRPr="00FA7B58" w:rsidRDefault="003D72D1" w:rsidP="00F76882">
            <w:pPr>
              <w:pStyle w:val="Tabletext"/>
            </w:pPr>
            <w:r w:rsidRPr="00FA7B58">
              <w:t> </w:t>
            </w:r>
          </w:p>
        </w:tc>
        <w:tc>
          <w:tcPr>
            <w:tcW w:w="260" w:type="pct"/>
            <w:tcBorders>
              <w:top w:val="nil"/>
              <w:left w:val="nil"/>
              <w:bottom w:val="single" w:sz="4" w:space="0" w:color="auto"/>
              <w:right w:val="single" w:sz="8" w:space="0" w:color="auto"/>
            </w:tcBorders>
            <w:noWrap/>
            <w:vAlign w:val="bottom"/>
          </w:tcPr>
          <w:p w14:paraId="60249651" w14:textId="2CF00638" w:rsidR="003D72D1" w:rsidRPr="00FA7B58" w:rsidRDefault="003D72D1" w:rsidP="00F76882">
            <w:pPr>
              <w:pStyle w:val="Tabletext"/>
            </w:pPr>
            <w:r w:rsidRPr="00FA7B58">
              <w:t>5</w:t>
            </w:r>
          </w:p>
        </w:tc>
        <w:tc>
          <w:tcPr>
            <w:tcW w:w="260" w:type="pct"/>
            <w:tcBorders>
              <w:top w:val="nil"/>
              <w:left w:val="nil"/>
              <w:bottom w:val="single" w:sz="4" w:space="0" w:color="auto"/>
              <w:right w:val="single" w:sz="4" w:space="0" w:color="auto"/>
            </w:tcBorders>
            <w:noWrap/>
            <w:vAlign w:val="bottom"/>
          </w:tcPr>
          <w:p w14:paraId="76A78108" w14:textId="0F2B5D80"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noWrap/>
            <w:vAlign w:val="bottom"/>
          </w:tcPr>
          <w:p w14:paraId="130E076C" w14:textId="0DAEB219" w:rsidR="003D72D1" w:rsidRPr="00FA7B58" w:rsidRDefault="003D72D1" w:rsidP="00F76882">
            <w:pPr>
              <w:pStyle w:val="Tabletext"/>
            </w:pPr>
            <w:r w:rsidRPr="00FA7B58">
              <w:t>12</w:t>
            </w:r>
          </w:p>
        </w:tc>
        <w:tc>
          <w:tcPr>
            <w:tcW w:w="260" w:type="pct"/>
            <w:tcBorders>
              <w:top w:val="nil"/>
              <w:left w:val="nil"/>
              <w:bottom w:val="single" w:sz="4" w:space="0" w:color="auto"/>
              <w:right w:val="single" w:sz="4" w:space="0" w:color="auto"/>
            </w:tcBorders>
            <w:noWrap/>
            <w:vAlign w:val="bottom"/>
          </w:tcPr>
          <w:p w14:paraId="1C3F62EC" w14:textId="01F31E36"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000000"/>
            <w:noWrap/>
            <w:vAlign w:val="bottom"/>
          </w:tcPr>
          <w:p w14:paraId="46C2C369" w14:textId="66DAA8C6" w:rsidR="003D72D1" w:rsidRPr="00FA7B58" w:rsidRDefault="003D72D1" w:rsidP="00F76882">
            <w:pPr>
              <w:pStyle w:val="Tabletext"/>
            </w:pPr>
            <w:r w:rsidRPr="00FA7B58">
              <w:t> </w:t>
            </w:r>
          </w:p>
        </w:tc>
        <w:tc>
          <w:tcPr>
            <w:tcW w:w="260" w:type="pct"/>
            <w:tcBorders>
              <w:top w:val="nil"/>
              <w:left w:val="nil"/>
              <w:bottom w:val="single" w:sz="4" w:space="0" w:color="auto"/>
              <w:right w:val="single" w:sz="8" w:space="0" w:color="auto"/>
            </w:tcBorders>
            <w:noWrap/>
            <w:vAlign w:val="bottom"/>
          </w:tcPr>
          <w:p w14:paraId="38CF7E84" w14:textId="6D89A5BF" w:rsidR="003D72D1" w:rsidRPr="00FA7B58" w:rsidRDefault="003D72D1" w:rsidP="00F76882">
            <w:pPr>
              <w:pStyle w:val="Tabletext"/>
            </w:pPr>
            <w:r w:rsidRPr="00FA7B58">
              <w:t>12</w:t>
            </w:r>
          </w:p>
        </w:tc>
      </w:tr>
      <w:tr w:rsidR="003D00CE" w:rsidRPr="0036007C" w14:paraId="39FDE518" w14:textId="77777777" w:rsidTr="003641E8">
        <w:trPr>
          <w:trHeight w:val="580"/>
        </w:trPr>
        <w:tc>
          <w:tcPr>
            <w:tcW w:w="1100"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1C87F527" w14:textId="77777777" w:rsidR="003D72D1" w:rsidRPr="003D3BBA" w:rsidRDefault="003D72D1" w:rsidP="00F76882">
            <w:pPr>
              <w:pStyle w:val="Tabletextleft"/>
              <w:rPr>
                <w:rStyle w:val="Emphasis"/>
              </w:rPr>
            </w:pPr>
            <w:r w:rsidRPr="003D3BBA">
              <w:rPr>
                <w:rStyle w:val="Emphasis"/>
              </w:rPr>
              <w:t>Received treatment for trachoma (%)</w:t>
            </w:r>
          </w:p>
        </w:tc>
        <w:tc>
          <w:tcPr>
            <w:tcW w:w="260" w:type="pct"/>
            <w:tcBorders>
              <w:top w:val="nil"/>
              <w:left w:val="single" w:sz="8" w:space="0" w:color="auto"/>
              <w:bottom w:val="single" w:sz="4" w:space="0" w:color="auto"/>
              <w:right w:val="single" w:sz="4" w:space="0" w:color="auto"/>
            </w:tcBorders>
            <w:shd w:val="clear" w:color="000000" w:fill="BFBFBF"/>
            <w:noWrap/>
            <w:vAlign w:val="bottom"/>
          </w:tcPr>
          <w:p w14:paraId="26D48BF9" w14:textId="54A87DDB" w:rsidR="003D72D1" w:rsidRPr="0063016C" w:rsidRDefault="003D72D1" w:rsidP="00F76882">
            <w:pPr>
              <w:pStyle w:val="Tabletext"/>
              <w:rPr>
                <w:rStyle w:val="Emphasis"/>
              </w:rPr>
            </w:pPr>
            <w:r w:rsidRPr="0063016C">
              <w:rPr>
                <w:rStyle w:val="Emphasis"/>
              </w:rPr>
              <w:t>N/A</w:t>
            </w:r>
          </w:p>
        </w:tc>
        <w:tc>
          <w:tcPr>
            <w:tcW w:w="260" w:type="pct"/>
            <w:tcBorders>
              <w:top w:val="nil"/>
              <w:left w:val="nil"/>
              <w:bottom w:val="single" w:sz="4" w:space="0" w:color="auto"/>
              <w:right w:val="single" w:sz="4" w:space="0" w:color="auto"/>
            </w:tcBorders>
            <w:shd w:val="clear" w:color="000000" w:fill="BFBFBF"/>
            <w:noWrap/>
            <w:vAlign w:val="bottom"/>
          </w:tcPr>
          <w:p w14:paraId="430A88C7" w14:textId="5EF122EF" w:rsidR="003D72D1" w:rsidRPr="0063016C" w:rsidRDefault="003D72D1" w:rsidP="00F76882">
            <w:pPr>
              <w:pStyle w:val="Tabletext"/>
              <w:rPr>
                <w:rStyle w:val="Emphasis"/>
              </w:rPr>
            </w:pPr>
            <w:r w:rsidRPr="0063016C">
              <w:rPr>
                <w:rStyle w:val="Emphasis"/>
              </w:rPr>
              <w:t>100</w:t>
            </w:r>
          </w:p>
        </w:tc>
        <w:tc>
          <w:tcPr>
            <w:tcW w:w="260" w:type="pct"/>
            <w:tcBorders>
              <w:top w:val="nil"/>
              <w:left w:val="nil"/>
              <w:bottom w:val="single" w:sz="4" w:space="0" w:color="auto"/>
              <w:right w:val="single" w:sz="4" w:space="0" w:color="auto"/>
            </w:tcBorders>
            <w:shd w:val="clear" w:color="000000" w:fill="BFBFBF"/>
            <w:noWrap/>
            <w:vAlign w:val="bottom"/>
          </w:tcPr>
          <w:p w14:paraId="062E126A" w14:textId="63D605A3" w:rsidR="003D72D1" w:rsidRPr="0063016C" w:rsidRDefault="003D72D1" w:rsidP="00F76882">
            <w:pPr>
              <w:pStyle w:val="Tabletext"/>
              <w:rPr>
                <w:rStyle w:val="Emphasis"/>
              </w:rPr>
            </w:pPr>
            <w:r w:rsidRPr="0063016C">
              <w:rPr>
                <w:rStyle w:val="Emphasis"/>
              </w:rPr>
              <w:t>N/A</w:t>
            </w:r>
          </w:p>
        </w:tc>
        <w:tc>
          <w:tcPr>
            <w:tcW w:w="260" w:type="pct"/>
            <w:tcBorders>
              <w:top w:val="nil"/>
              <w:left w:val="nil"/>
              <w:bottom w:val="single" w:sz="4" w:space="0" w:color="auto"/>
              <w:right w:val="single" w:sz="4" w:space="0" w:color="auto"/>
            </w:tcBorders>
            <w:shd w:val="clear" w:color="000000" w:fill="000000"/>
            <w:noWrap/>
            <w:vAlign w:val="bottom"/>
          </w:tcPr>
          <w:p w14:paraId="30851100" w14:textId="24A31DC0" w:rsidR="003D72D1" w:rsidRPr="003D3BBA" w:rsidRDefault="003D72D1" w:rsidP="00F76882">
            <w:pPr>
              <w:pStyle w:val="Tabletext"/>
              <w:rPr>
                <w:rStyle w:val="Emphasis"/>
              </w:rPr>
            </w:pPr>
            <w:r w:rsidRPr="003D3BBA">
              <w:rPr>
                <w:rStyle w:val="Emphasis"/>
              </w:rPr>
              <w:t> </w:t>
            </w:r>
          </w:p>
        </w:tc>
        <w:tc>
          <w:tcPr>
            <w:tcW w:w="260" w:type="pct"/>
            <w:tcBorders>
              <w:top w:val="nil"/>
              <w:left w:val="nil"/>
              <w:bottom w:val="single" w:sz="4" w:space="0" w:color="auto"/>
              <w:right w:val="single" w:sz="8" w:space="0" w:color="auto"/>
            </w:tcBorders>
            <w:shd w:val="clear" w:color="000000" w:fill="BFBFBF"/>
            <w:noWrap/>
            <w:vAlign w:val="bottom"/>
          </w:tcPr>
          <w:p w14:paraId="7BE9F215" w14:textId="20B918EE" w:rsidR="003D72D1" w:rsidRPr="0063016C" w:rsidRDefault="003D72D1" w:rsidP="00F76882">
            <w:pPr>
              <w:pStyle w:val="Tabletext"/>
              <w:rPr>
                <w:rStyle w:val="Emphasis"/>
              </w:rPr>
            </w:pPr>
            <w:r w:rsidRPr="0063016C">
              <w:rPr>
                <w:rStyle w:val="Emphasis"/>
              </w:rPr>
              <w:t>100</w:t>
            </w:r>
          </w:p>
        </w:tc>
        <w:tc>
          <w:tcPr>
            <w:tcW w:w="260" w:type="pct"/>
            <w:tcBorders>
              <w:top w:val="nil"/>
              <w:left w:val="nil"/>
              <w:bottom w:val="single" w:sz="4" w:space="0" w:color="auto"/>
              <w:right w:val="single" w:sz="4" w:space="0" w:color="auto"/>
            </w:tcBorders>
            <w:shd w:val="clear" w:color="000000" w:fill="BFBFBF"/>
            <w:noWrap/>
            <w:vAlign w:val="bottom"/>
          </w:tcPr>
          <w:p w14:paraId="58F8FB99" w14:textId="77FE358E" w:rsidR="003D72D1" w:rsidRPr="0063016C" w:rsidRDefault="003D72D1" w:rsidP="00F76882">
            <w:pPr>
              <w:pStyle w:val="Tabletext"/>
              <w:rPr>
                <w:rStyle w:val="Emphasis"/>
              </w:rPr>
            </w:pPr>
            <w:r w:rsidRPr="0063016C">
              <w:rPr>
                <w:rStyle w:val="Emphasis"/>
              </w:rPr>
              <w:t>N/A</w:t>
            </w:r>
          </w:p>
        </w:tc>
        <w:tc>
          <w:tcPr>
            <w:tcW w:w="260" w:type="pct"/>
            <w:tcBorders>
              <w:top w:val="nil"/>
              <w:left w:val="nil"/>
              <w:bottom w:val="single" w:sz="4" w:space="0" w:color="auto"/>
              <w:right w:val="single" w:sz="4" w:space="0" w:color="auto"/>
            </w:tcBorders>
            <w:shd w:val="clear" w:color="000000" w:fill="BFBFBF"/>
            <w:noWrap/>
            <w:vAlign w:val="bottom"/>
          </w:tcPr>
          <w:p w14:paraId="62D9130B" w14:textId="6E597348" w:rsidR="003D72D1" w:rsidRPr="0063016C" w:rsidRDefault="003D72D1" w:rsidP="00F76882">
            <w:pPr>
              <w:pStyle w:val="Tabletext"/>
              <w:rPr>
                <w:rStyle w:val="Emphasis"/>
              </w:rPr>
            </w:pPr>
            <w:r w:rsidRPr="0063016C">
              <w:rPr>
                <w:rStyle w:val="Emphasis"/>
              </w:rPr>
              <w:t>100</w:t>
            </w:r>
          </w:p>
        </w:tc>
        <w:tc>
          <w:tcPr>
            <w:tcW w:w="260" w:type="pct"/>
            <w:tcBorders>
              <w:top w:val="nil"/>
              <w:left w:val="nil"/>
              <w:bottom w:val="single" w:sz="4" w:space="0" w:color="auto"/>
              <w:right w:val="single" w:sz="4" w:space="0" w:color="auto"/>
            </w:tcBorders>
            <w:shd w:val="clear" w:color="000000" w:fill="BFBFBF"/>
            <w:noWrap/>
            <w:vAlign w:val="bottom"/>
          </w:tcPr>
          <w:p w14:paraId="3CBC6D81" w14:textId="78A8842B" w:rsidR="003D72D1" w:rsidRPr="0063016C" w:rsidRDefault="003D72D1" w:rsidP="00F76882">
            <w:pPr>
              <w:pStyle w:val="Tabletext"/>
              <w:rPr>
                <w:rStyle w:val="Emphasis"/>
              </w:rPr>
            </w:pPr>
            <w:r w:rsidRPr="0063016C">
              <w:rPr>
                <w:rStyle w:val="Emphasis"/>
              </w:rPr>
              <w:t>N/A</w:t>
            </w:r>
          </w:p>
        </w:tc>
        <w:tc>
          <w:tcPr>
            <w:tcW w:w="260" w:type="pct"/>
            <w:tcBorders>
              <w:top w:val="nil"/>
              <w:left w:val="nil"/>
              <w:bottom w:val="single" w:sz="4" w:space="0" w:color="auto"/>
              <w:right w:val="single" w:sz="4" w:space="0" w:color="auto"/>
            </w:tcBorders>
            <w:shd w:val="clear" w:color="000000" w:fill="000000"/>
            <w:noWrap/>
            <w:vAlign w:val="bottom"/>
          </w:tcPr>
          <w:p w14:paraId="23C1C5E8" w14:textId="73E35EED" w:rsidR="003D72D1" w:rsidRPr="003D3BBA" w:rsidRDefault="003D72D1" w:rsidP="00F76882">
            <w:pPr>
              <w:pStyle w:val="Tabletext"/>
              <w:rPr>
                <w:rStyle w:val="Emphasis"/>
              </w:rPr>
            </w:pPr>
            <w:r w:rsidRPr="003D3BBA">
              <w:rPr>
                <w:rStyle w:val="Emphasis"/>
              </w:rPr>
              <w:t> </w:t>
            </w:r>
          </w:p>
        </w:tc>
        <w:tc>
          <w:tcPr>
            <w:tcW w:w="260" w:type="pct"/>
            <w:tcBorders>
              <w:top w:val="nil"/>
              <w:left w:val="nil"/>
              <w:bottom w:val="single" w:sz="4" w:space="0" w:color="auto"/>
              <w:right w:val="single" w:sz="8" w:space="0" w:color="auto"/>
            </w:tcBorders>
            <w:shd w:val="clear" w:color="000000" w:fill="BFBFBF"/>
            <w:noWrap/>
            <w:vAlign w:val="bottom"/>
          </w:tcPr>
          <w:p w14:paraId="5BD2192A" w14:textId="74BDAD4B" w:rsidR="003D72D1" w:rsidRPr="0063016C" w:rsidRDefault="003D72D1" w:rsidP="00F76882">
            <w:pPr>
              <w:pStyle w:val="Tabletext"/>
              <w:rPr>
                <w:rStyle w:val="Emphasis"/>
              </w:rPr>
            </w:pPr>
            <w:r w:rsidRPr="0063016C">
              <w:rPr>
                <w:rStyle w:val="Emphasis"/>
              </w:rPr>
              <w:t>100</w:t>
            </w:r>
          </w:p>
        </w:tc>
        <w:tc>
          <w:tcPr>
            <w:tcW w:w="260" w:type="pct"/>
            <w:tcBorders>
              <w:top w:val="nil"/>
              <w:left w:val="nil"/>
              <w:bottom w:val="single" w:sz="4" w:space="0" w:color="auto"/>
              <w:right w:val="single" w:sz="4" w:space="0" w:color="auto"/>
            </w:tcBorders>
            <w:shd w:val="clear" w:color="000000" w:fill="BFBFBF"/>
            <w:noWrap/>
            <w:vAlign w:val="bottom"/>
          </w:tcPr>
          <w:p w14:paraId="261C4FD4" w14:textId="2BAE188C" w:rsidR="003D72D1" w:rsidRPr="0063016C" w:rsidRDefault="003D72D1" w:rsidP="00F76882">
            <w:pPr>
              <w:pStyle w:val="Tabletext"/>
              <w:rPr>
                <w:rStyle w:val="Emphasis"/>
              </w:rPr>
            </w:pPr>
            <w:r w:rsidRPr="0063016C">
              <w:rPr>
                <w:rStyle w:val="Emphasis"/>
              </w:rPr>
              <w:t>N/A</w:t>
            </w:r>
          </w:p>
        </w:tc>
        <w:tc>
          <w:tcPr>
            <w:tcW w:w="260" w:type="pct"/>
            <w:tcBorders>
              <w:top w:val="nil"/>
              <w:left w:val="nil"/>
              <w:bottom w:val="single" w:sz="4" w:space="0" w:color="auto"/>
              <w:right w:val="single" w:sz="4" w:space="0" w:color="auto"/>
            </w:tcBorders>
            <w:shd w:val="clear" w:color="000000" w:fill="BFBFBF"/>
            <w:noWrap/>
            <w:vAlign w:val="bottom"/>
          </w:tcPr>
          <w:p w14:paraId="272F3D40" w14:textId="50F087E7" w:rsidR="003D72D1" w:rsidRPr="0063016C" w:rsidRDefault="003D72D1" w:rsidP="00F76882">
            <w:pPr>
              <w:pStyle w:val="Tabletext"/>
              <w:rPr>
                <w:rStyle w:val="Emphasis"/>
              </w:rPr>
            </w:pPr>
            <w:r w:rsidRPr="0063016C">
              <w:rPr>
                <w:rStyle w:val="Emphasis"/>
              </w:rPr>
              <w:t>100</w:t>
            </w:r>
          </w:p>
        </w:tc>
        <w:tc>
          <w:tcPr>
            <w:tcW w:w="260" w:type="pct"/>
            <w:tcBorders>
              <w:top w:val="nil"/>
              <w:left w:val="nil"/>
              <w:bottom w:val="single" w:sz="4" w:space="0" w:color="auto"/>
              <w:right w:val="single" w:sz="4" w:space="0" w:color="auto"/>
            </w:tcBorders>
            <w:shd w:val="clear" w:color="000000" w:fill="BFBFBF"/>
            <w:noWrap/>
            <w:vAlign w:val="bottom"/>
          </w:tcPr>
          <w:p w14:paraId="5A4D93CB" w14:textId="369A88FA" w:rsidR="003D72D1" w:rsidRPr="0063016C" w:rsidRDefault="003D72D1" w:rsidP="00F76882">
            <w:pPr>
              <w:pStyle w:val="Tabletext"/>
              <w:rPr>
                <w:rStyle w:val="Emphasis"/>
              </w:rPr>
            </w:pPr>
            <w:r w:rsidRPr="0063016C">
              <w:rPr>
                <w:rStyle w:val="Emphasis"/>
              </w:rPr>
              <w:t>N/A</w:t>
            </w:r>
          </w:p>
        </w:tc>
        <w:tc>
          <w:tcPr>
            <w:tcW w:w="260" w:type="pct"/>
            <w:tcBorders>
              <w:top w:val="nil"/>
              <w:left w:val="nil"/>
              <w:bottom w:val="single" w:sz="4" w:space="0" w:color="auto"/>
              <w:right w:val="single" w:sz="4" w:space="0" w:color="auto"/>
            </w:tcBorders>
            <w:shd w:val="clear" w:color="000000" w:fill="000000"/>
            <w:noWrap/>
            <w:vAlign w:val="bottom"/>
          </w:tcPr>
          <w:p w14:paraId="6D2BC0E3" w14:textId="6185B36A" w:rsidR="003D72D1" w:rsidRPr="003D3BBA" w:rsidRDefault="003D72D1" w:rsidP="00F76882">
            <w:pPr>
              <w:pStyle w:val="Tabletext"/>
              <w:rPr>
                <w:rStyle w:val="Emphasis"/>
              </w:rPr>
            </w:pPr>
            <w:r w:rsidRPr="003D3BBA">
              <w:rPr>
                <w:rStyle w:val="Emphasis"/>
              </w:rPr>
              <w:t> </w:t>
            </w:r>
          </w:p>
        </w:tc>
        <w:tc>
          <w:tcPr>
            <w:tcW w:w="260" w:type="pct"/>
            <w:tcBorders>
              <w:top w:val="nil"/>
              <w:left w:val="nil"/>
              <w:bottom w:val="single" w:sz="4" w:space="0" w:color="auto"/>
              <w:right w:val="single" w:sz="8" w:space="0" w:color="auto"/>
            </w:tcBorders>
            <w:shd w:val="clear" w:color="000000" w:fill="BFBFBF"/>
            <w:noWrap/>
            <w:vAlign w:val="bottom"/>
          </w:tcPr>
          <w:p w14:paraId="4293C51E" w14:textId="6140C61E" w:rsidR="003D72D1" w:rsidRPr="0063016C" w:rsidRDefault="003D72D1" w:rsidP="00F76882">
            <w:pPr>
              <w:pStyle w:val="Tabletext"/>
              <w:rPr>
                <w:rStyle w:val="Emphasis"/>
              </w:rPr>
            </w:pPr>
            <w:r w:rsidRPr="0063016C">
              <w:rPr>
                <w:rStyle w:val="Emphasis"/>
              </w:rPr>
              <w:t>100</w:t>
            </w:r>
          </w:p>
        </w:tc>
      </w:tr>
      <w:tr w:rsidR="003D72D1" w:rsidRPr="0036007C" w14:paraId="511E9FAF" w14:textId="77777777" w:rsidTr="003641E8">
        <w:trPr>
          <w:trHeight w:val="610"/>
        </w:trPr>
        <w:tc>
          <w:tcPr>
            <w:tcW w:w="1100" w:type="pct"/>
            <w:tcBorders>
              <w:top w:val="single" w:sz="4" w:space="0" w:color="auto"/>
              <w:left w:val="single" w:sz="4" w:space="0" w:color="auto"/>
              <w:bottom w:val="single" w:sz="4" w:space="0" w:color="auto"/>
              <w:right w:val="single" w:sz="8" w:space="0" w:color="000000"/>
            </w:tcBorders>
            <w:vAlign w:val="bottom"/>
            <w:hideMark/>
          </w:tcPr>
          <w:p w14:paraId="5C4A9159" w14:textId="77777777" w:rsidR="003D72D1" w:rsidRPr="00FA7B58" w:rsidRDefault="003D72D1" w:rsidP="00F76882">
            <w:pPr>
              <w:pStyle w:val="Tabletextleft"/>
            </w:pPr>
            <w:r w:rsidRPr="00FA7B58">
              <w:t>Estimated community members* requiring treatment</w:t>
            </w:r>
          </w:p>
        </w:tc>
        <w:tc>
          <w:tcPr>
            <w:tcW w:w="260" w:type="pct"/>
            <w:tcBorders>
              <w:top w:val="nil"/>
              <w:left w:val="nil"/>
              <w:bottom w:val="single" w:sz="4" w:space="0" w:color="auto"/>
              <w:right w:val="single" w:sz="4" w:space="0" w:color="auto"/>
            </w:tcBorders>
            <w:noWrap/>
            <w:vAlign w:val="bottom"/>
          </w:tcPr>
          <w:p w14:paraId="33B6F60C" w14:textId="0CFD5A39" w:rsidR="003D72D1" w:rsidRPr="00FA7B58" w:rsidRDefault="003D72D1" w:rsidP="00F76882">
            <w:pPr>
              <w:pStyle w:val="Tabletext"/>
            </w:pPr>
            <w:r w:rsidRPr="00FA7B58">
              <w:t>7</w:t>
            </w:r>
          </w:p>
        </w:tc>
        <w:tc>
          <w:tcPr>
            <w:tcW w:w="260" w:type="pct"/>
            <w:tcBorders>
              <w:top w:val="nil"/>
              <w:left w:val="nil"/>
              <w:bottom w:val="single" w:sz="4" w:space="0" w:color="auto"/>
              <w:right w:val="single" w:sz="4" w:space="0" w:color="auto"/>
            </w:tcBorders>
            <w:noWrap/>
            <w:vAlign w:val="bottom"/>
          </w:tcPr>
          <w:p w14:paraId="0D0A07B9" w14:textId="6E7AF0B4" w:rsidR="003D72D1" w:rsidRPr="00FA7B58" w:rsidRDefault="003D72D1" w:rsidP="00F76882">
            <w:pPr>
              <w:pStyle w:val="Tabletext"/>
            </w:pPr>
            <w:r w:rsidRPr="00FA7B58">
              <w:t>5</w:t>
            </w:r>
          </w:p>
        </w:tc>
        <w:tc>
          <w:tcPr>
            <w:tcW w:w="260" w:type="pct"/>
            <w:tcBorders>
              <w:top w:val="nil"/>
              <w:left w:val="nil"/>
              <w:bottom w:val="single" w:sz="4" w:space="0" w:color="auto"/>
              <w:right w:val="single" w:sz="4" w:space="0" w:color="auto"/>
            </w:tcBorders>
            <w:noWrap/>
            <w:vAlign w:val="bottom"/>
          </w:tcPr>
          <w:p w14:paraId="54D7041F" w14:textId="7D712BD6" w:rsidR="003D72D1" w:rsidRPr="00FA7B58" w:rsidRDefault="003D72D1" w:rsidP="00F76882">
            <w:pPr>
              <w:pStyle w:val="Tabletext"/>
            </w:pPr>
            <w:r w:rsidRPr="00FA7B58">
              <w:t>10</w:t>
            </w:r>
          </w:p>
        </w:tc>
        <w:tc>
          <w:tcPr>
            <w:tcW w:w="260" w:type="pct"/>
            <w:tcBorders>
              <w:top w:val="nil"/>
              <w:left w:val="nil"/>
              <w:bottom w:val="single" w:sz="4" w:space="0" w:color="auto"/>
              <w:right w:val="single" w:sz="4" w:space="0" w:color="auto"/>
            </w:tcBorders>
            <w:noWrap/>
            <w:vAlign w:val="bottom"/>
          </w:tcPr>
          <w:p w14:paraId="57C5F0C7" w14:textId="79ABBA15" w:rsidR="003D72D1" w:rsidRPr="00FA7B58" w:rsidRDefault="003D72D1" w:rsidP="00F76882">
            <w:pPr>
              <w:pStyle w:val="Tabletext"/>
            </w:pPr>
            <w:r w:rsidRPr="00FA7B58">
              <w:t>37</w:t>
            </w:r>
          </w:p>
        </w:tc>
        <w:tc>
          <w:tcPr>
            <w:tcW w:w="260" w:type="pct"/>
            <w:tcBorders>
              <w:top w:val="nil"/>
              <w:left w:val="nil"/>
              <w:bottom w:val="single" w:sz="4" w:space="0" w:color="auto"/>
              <w:right w:val="single" w:sz="8" w:space="0" w:color="auto"/>
            </w:tcBorders>
            <w:noWrap/>
            <w:vAlign w:val="bottom"/>
          </w:tcPr>
          <w:p w14:paraId="5FB2E220" w14:textId="4C0EB5E2" w:rsidR="003D72D1" w:rsidRPr="00FA7B58" w:rsidRDefault="003D72D1" w:rsidP="00F76882">
            <w:pPr>
              <w:pStyle w:val="Tabletext"/>
            </w:pPr>
            <w:r w:rsidRPr="00FA7B58">
              <w:t>59</w:t>
            </w:r>
          </w:p>
        </w:tc>
        <w:tc>
          <w:tcPr>
            <w:tcW w:w="260" w:type="pct"/>
            <w:tcBorders>
              <w:top w:val="nil"/>
              <w:left w:val="nil"/>
              <w:bottom w:val="single" w:sz="4" w:space="0" w:color="auto"/>
              <w:right w:val="single" w:sz="4" w:space="0" w:color="auto"/>
            </w:tcBorders>
            <w:noWrap/>
            <w:vAlign w:val="bottom"/>
          </w:tcPr>
          <w:p w14:paraId="6C99CBAD" w14:textId="6B647B7C" w:rsidR="003D72D1" w:rsidRPr="00FA7B58" w:rsidRDefault="003D72D1" w:rsidP="00F76882">
            <w:pPr>
              <w:pStyle w:val="Tabletext"/>
            </w:pPr>
            <w:r w:rsidRPr="00FA7B58">
              <w:t>4</w:t>
            </w:r>
          </w:p>
        </w:tc>
        <w:tc>
          <w:tcPr>
            <w:tcW w:w="260" w:type="pct"/>
            <w:tcBorders>
              <w:top w:val="nil"/>
              <w:left w:val="nil"/>
              <w:bottom w:val="single" w:sz="4" w:space="0" w:color="auto"/>
              <w:right w:val="single" w:sz="4" w:space="0" w:color="auto"/>
            </w:tcBorders>
            <w:noWrap/>
            <w:vAlign w:val="bottom"/>
          </w:tcPr>
          <w:p w14:paraId="632794D2" w14:textId="08E242D4" w:rsidR="003D72D1" w:rsidRPr="00FA7B58" w:rsidRDefault="003D72D1" w:rsidP="00F76882">
            <w:pPr>
              <w:pStyle w:val="Tabletext"/>
            </w:pPr>
            <w:r w:rsidRPr="00FA7B58">
              <w:t>9</w:t>
            </w:r>
          </w:p>
        </w:tc>
        <w:tc>
          <w:tcPr>
            <w:tcW w:w="260" w:type="pct"/>
            <w:tcBorders>
              <w:top w:val="nil"/>
              <w:left w:val="nil"/>
              <w:bottom w:val="single" w:sz="4" w:space="0" w:color="auto"/>
              <w:right w:val="single" w:sz="4" w:space="0" w:color="auto"/>
            </w:tcBorders>
            <w:noWrap/>
            <w:vAlign w:val="bottom"/>
          </w:tcPr>
          <w:p w14:paraId="00852891" w14:textId="6B2A7F60" w:rsidR="003D72D1" w:rsidRPr="00FA7B58" w:rsidRDefault="003D72D1" w:rsidP="00F76882">
            <w:pPr>
              <w:pStyle w:val="Tabletext"/>
            </w:pPr>
            <w:r w:rsidRPr="00FA7B58">
              <w:t>4</w:t>
            </w:r>
          </w:p>
        </w:tc>
        <w:tc>
          <w:tcPr>
            <w:tcW w:w="260" w:type="pct"/>
            <w:tcBorders>
              <w:top w:val="nil"/>
              <w:left w:val="nil"/>
              <w:bottom w:val="single" w:sz="4" w:space="0" w:color="auto"/>
              <w:right w:val="single" w:sz="4" w:space="0" w:color="auto"/>
            </w:tcBorders>
            <w:noWrap/>
            <w:vAlign w:val="bottom"/>
          </w:tcPr>
          <w:p w14:paraId="0F71E1D9" w14:textId="58658733" w:rsidR="003D72D1" w:rsidRPr="00FA7B58" w:rsidRDefault="003D72D1" w:rsidP="00F76882">
            <w:pPr>
              <w:pStyle w:val="Tabletext"/>
            </w:pPr>
            <w:r w:rsidRPr="00FA7B58">
              <w:t>18</w:t>
            </w:r>
          </w:p>
        </w:tc>
        <w:tc>
          <w:tcPr>
            <w:tcW w:w="260" w:type="pct"/>
            <w:tcBorders>
              <w:top w:val="nil"/>
              <w:left w:val="nil"/>
              <w:bottom w:val="single" w:sz="4" w:space="0" w:color="auto"/>
              <w:right w:val="single" w:sz="8" w:space="0" w:color="auto"/>
            </w:tcBorders>
            <w:noWrap/>
            <w:vAlign w:val="bottom"/>
          </w:tcPr>
          <w:p w14:paraId="1EF20AE4" w14:textId="4A009D26" w:rsidR="003D72D1" w:rsidRPr="00FA7B58" w:rsidRDefault="003D72D1" w:rsidP="00F76882">
            <w:pPr>
              <w:pStyle w:val="Tabletext"/>
            </w:pPr>
            <w:r w:rsidRPr="00FA7B58">
              <w:t>35</w:t>
            </w:r>
          </w:p>
        </w:tc>
        <w:tc>
          <w:tcPr>
            <w:tcW w:w="260" w:type="pct"/>
            <w:tcBorders>
              <w:top w:val="nil"/>
              <w:left w:val="nil"/>
              <w:bottom w:val="single" w:sz="4" w:space="0" w:color="auto"/>
              <w:right w:val="single" w:sz="4" w:space="0" w:color="auto"/>
            </w:tcBorders>
            <w:noWrap/>
            <w:vAlign w:val="bottom"/>
          </w:tcPr>
          <w:p w14:paraId="46988FA0" w14:textId="14998AAE" w:rsidR="003D72D1" w:rsidRPr="00FA7B58" w:rsidRDefault="003D72D1" w:rsidP="00F76882">
            <w:pPr>
              <w:pStyle w:val="Tabletext"/>
            </w:pPr>
            <w:r w:rsidRPr="00FA7B58">
              <w:t>11</w:t>
            </w:r>
          </w:p>
        </w:tc>
        <w:tc>
          <w:tcPr>
            <w:tcW w:w="260" w:type="pct"/>
            <w:tcBorders>
              <w:top w:val="nil"/>
              <w:left w:val="nil"/>
              <w:bottom w:val="single" w:sz="4" w:space="0" w:color="auto"/>
              <w:right w:val="single" w:sz="4" w:space="0" w:color="auto"/>
            </w:tcBorders>
            <w:noWrap/>
            <w:vAlign w:val="bottom"/>
          </w:tcPr>
          <w:p w14:paraId="65CAD78F" w14:textId="616A00D0" w:rsidR="003D72D1" w:rsidRPr="00FA7B58" w:rsidRDefault="003D72D1" w:rsidP="00F76882">
            <w:pPr>
              <w:pStyle w:val="Tabletext"/>
            </w:pPr>
            <w:r w:rsidRPr="00FA7B58">
              <w:t>14</w:t>
            </w:r>
          </w:p>
        </w:tc>
        <w:tc>
          <w:tcPr>
            <w:tcW w:w="260" w:type="pct"/>
            <w:tcBorders>
              <w:top w:val="nil"/>
              <w:left w:val="nil"/>
              <w:bottom w:val="single" w:sz="4" w:space="0" w:color="auto"/>
              <w:right w:val="single" w:sz="4" w:space="0" w:color="auto"/>
            </w:tcBorders>
            <w:noWrap/>
            <w:vAlign w:val="bottom"/>
          </w:tcPr>
          <w:p w14:paraId="31BC76CC" w14:textId="3AAE0FF8" w:rsidR="003D72D1" w:rsidRPr="00FA7B58" w:rsidRDefault="003D72D1" w:rsidP="00F76882">
            <w:pPr>
              <w:pStyle w:val="Tabletext"/>
            </w:pPr>
            <w:r w:rsidRPr="00FA7B58">
              <w:t>14</w:t>
            </w:r>
          </w:p>
        </w:tc>
        <w:tc>
          <w:tcPr>
            <w:tcW w:w="260" w:type="pct"/>
            <w:tcBorders>
              <w:top w:val="nil"/>
              <w:left w:val="nil"/>
              <w:bottom w:val="single" w:sz="4" w:space="0" w:color="auto"/>
              <w:right w:val="single" w:sz="4" w:space="0" w:color="auto"/>
            </w:tcBorders>
            <w:noWrap/>
            <w:vAlign w:val="bottom"/>
          </w:tcPr>
          <w:p w14:paraId="26262E87" w14:textId="42A75FDB" w:rsidR="003D72D1" w:rsidRPr="00FA7B58" w:rsidRDefault="003D72D1" w:rsidP="00F76882">
            <w:pPr>
              <w:pStyle w:val="Tabletext"/>
            </w:pPr>
            <w:r w:rsidRPr="00FA7B58">
              <w:t>55</w:t>
            </w:r>
          </w:p>
        </w:tc>
        <w:tc>
          <w:tcPr>
            <w:tcW w:w="260" w:type="pct"/>
            <w:tcBorders>
              <w:top w:val="nil"/>
              <w:left w:val="nil"/>
              <w:bottom w:val="single" w:sz="4" w:space="0" w:color="auto"/>
              <w:right w:val="single" w:sz="8" w:space="0" w:color="auto"/>
            </w:tcBorders>
            <w:noWrap/>
            <w:vAlign w:val="bottom"/>
          </w:tcPr>
          <w:p w14:paraId="21D3B049" w14:textId="2A152855" w:rsidR="003D72D1" w:rsidRPr="00FA7B58" w:rsidRDefault="003D72D1" w:rsidP="00F76882">
            <w:pPr>
              <w:pStyle w:val="Tabletext"/>
            </w:pPr>
            <w:r w:rsidRPr="00FA7B58">
              <w:t>94</w:t>
            </w:r>
          </w:p>
        </w:tc>
      </w:tr>
      <w:tr w:rsidR="003D00CE" w:rsidRPr="0036007C" w14:paraId="016427F4" w14:textId="77777777" w:rsidTr="003641E8">
        <w:trPr>
          <w:trHeight w:val="580"/>
        </w:trPr>
        <w:tc>
          <w:tcPr>
            <w:tcW w:w="1100" w:type="pct"/>
            <w:tcBorders>
              <w:top w:val="single" w:sz="4" w:space="0" w:color="auto"/>
              <w:left w:val="single" w:sz="4" w:space="0" w:color="auto"/>
              <w:bottom w:val="single" w:sz="4" w:space="0" w:color="auto"/>
              <w:right w:val="single" w:sz="8" w:space="0" w:color="000000"/>
            </w:tcBorders>
            <w:shd w:val="clear" w:color="000000" w:fill="BFBFBF"/>
            <w:vAlign w:val="bottom"/>
            <w:hideMark/>
          </w:tcPr>
          <w:p w14:paraId="1EE0DB23" w14:textId="77777777" w:rsidR="003D72D1" w:rsidRPr="00FA7B58" w:rsidRDefault="003D72D1" w:rsidP="00F76882">
            <w:pPr>
              <w:pStyle w:val="Tabletextleft"/>
            </w:pPr>
            <w:r w:rsidRPr="00FA7B58">
              <w:t>Number of community members who received treatment</w:t>
            </w:r>
          </w:p>
        </w:tc>
        <w:tc>
          <w:tcPr>
            <w:tcW w:w="260" w:type="pct"/>
            <w:tcBorders>
              <w:top w:val="nil"/>
              <w:left w:val="nil"/>
              <w:bottom w:val="single" w:sz="4" w:space="0" w:color="auto"/>
              <w:right w:val="single" w:sz="4" w:space="0" w:color="auto"/>
            </w:tcBorders>
            <w:shd w:val="clear" w:color="000000" w:fill="BFBFBF"/>
            <w:noWrap/>
            <w:vAlign w:val="bottom"/>
          </w:tcPr>
          <w:p w14:paraId="33438A09" w14:textId="08B8FB35" w:rsidR="003D72D1" w:rsidRPr="00FA7B58" w:rsidRDefault="003D72D1" w:rsidP="00F76882">
            <w:pPr>
              <w:pStyle w:val="Tabletext"/>
            </w:pPr>
            <w:r w:rsidRPr="00FA7B58">
              <w:t>7</w:t>
            </w:r>
          </w:p>
        </w:tc>
        <w:tc>
          <w:tcPr>
            <w:tcW w:w="260" w:type="pct"/>
            <w:tcBorders>
              <w:top w:val="nil"/>
              <w:left w:val="nil"/>
              <w:bottom w:val="single" w:sz="4" w:space="0" w:color="auto"/>
              <w:right w:val="single" w:sz="4" w:space="0" w:color="auto"/>
            </w:tcBorders>
            <w:shd w:val="clear" w:color="000000" w:fill="BFBFBF"/>
            <w:noWrap/>
            <w:vAlign w:val="bottom"/>
          </w:tcPr>
          <w:p w14:paraId="41133736" w14:textId="3B89C7D1" w:rsidR="003D72D1" w:rsidRPr="00FA7B58" w:rsidRDefault="003D72D1" w:rsidP="00F76882">
            <w:pPr>
              <w:pStyle w:val="Tabletext"/>
            </w:pPr>
            <w:r w:rsidRPr="00FA7B58">
              <w:t>4</w:t>
            </w:r>
          </w:p>
        </w:tc>
        <w:tc>
          <w:tcPr>
            <w:tcW w:w="260" w:type="pct"/>
            <w:tcBorders>
              <w:top w:val="nil"/>
              <w:left w:val="nil"/>
              <w:bottom w:val="single" w:sz="4" w:space="0" w:color="auto"/>
              <w:right w:val="single" w:sz="4" w:space="0" w:color="auto"/>
            </w:tcBorders>
            <w:shd w:val="clear" w:color="000000" w:fill="BFBFBF"/>
            <w:noWrap/>
            <w:vAlign w:val="bottom"/>
          </w:tcPr>
          <w:p w14:paraId="1939F873" w14:textId="2FC3732B" w:rsidR="003D72D1" w:rsidRPr="00FA7B58" w:rsidRDefault="003D72D1" w:rsidP="00F76882">
            <w:pPr>
              <w:pStyle w:val="Tabletext"/>
            </w:pPr>
            <w:r w:rsidRPr="00FA7B58">
              <w:t>9</w:t>
            </w:r>
          </w:p>
        </w:tc>
        <w:tc>
          <w:tcPr>
            <w:tcW w:w="260" w:type="pct"/>
            <w:tcBorders>
              <w:top w:val="nil"/>
              <w:left w:val="nil"/>
              <w:bottom w:val="single" w:sz="4" w:space="0" w:color="auto"/>
              <w:right w:val="single" w:sz="4" w:space="0" w:color="auto"/>
            </w:tcBorders>
            <w:shd w:val="clear" w:color="000000" w:fill="BFBFBF"/>
            <w:noWrap/>
            <w:vAlign w:val="bottom"/>
          </w:tcPr>
          <w:p w14:paraId="5FFD017B" w14:textId="78261514" w:rsidR="003D72D1" w:rsidRPr="00FA7B58" w:rsidRDefault="003D72D1" w:rsidP="00F76882">
            <w:pPr>
              <w:pStyle w:val="Tabletext"/>
            </w:pPr>
            <w:r w:rsidRPr="00FA7B58">
              <w:t>26</w:t>
            </w:r>
          </w:p>
        </w:tc>
        <w:tc>
          <w:tcPr>
            <w:tcW w:w="260" w:type="pct"/>
            <w:tcBorders>
              <w:top w:val="nil"/>
              <w:left w:val="nil"/>
              <w:bottom w:val="single" w:sz="4" w:space="0" w:color="auto"/>
              <w:right w:val="single" w:sz="8" w:space="0" w:color="auto"/>
            </w:tcBorders>
            <w:shd w:val="clear" w:color="000000" w:fill="BFBFBF"/>
            <w:noWrap/>
            <w:vAlign w:val="bottom"/>
          </w:tcPr>
          <w:p w14:paraId="082EC43F" w14:textId="6803A603" w:rsidR="003D72D1" w:rsidRPr="00FA7B58" w:rsidRDefault="003D72D1" w:rsidP="00F76882">
            <w:pPr>
              <w:pStyle w:val="Tabletext"/>
            </w:pPr>
            <w:r w:rsidRPr="00FA7B58">
              <w:t>46</w:t>
            </w:r>
          </w:p>
        </w:tc>
        <w:tc>
          <w:tcPr>
            <w:tcW w:w="260" w:type="pct"/>
            <w:tcBorders>
              <w:top w:val="nil"/>
              <w:left w:val="nil"/>
              <w:bottom w:val="single" w:sz="4" w:space="0" w:color="auto"/>
              <w:right w:val="single" w:sz="4" w:space="0" w:color="auto"/>
            </w:tcBorders>
            <w:shd w:val="clear" w:color="000000" w:fill="BFBFBF"/>
            <w:noWrap/>
            <w:vAlign w:val="bottom"/>
          </w:tcPr>
          <w:p w14:paraId="052B6255" w14:textId="6F04A3C5" w:rsidR="003D72D1" w:rsidRPr="00FA7B58" w:rsidRDefault="003D72D1" w:rsidP="00F76882">
            <w:pPr>
              <w:pStyle w:val="Tabletext"/>
            </w:pPr>
            <w:r w:rsidRPr="00FA7B58">
              <w:t>4</w:t>
            </w:r>
          </w:p>
        </w:tc>
        <w:tc>
          <w:tcPr>
            <w:tcW w:w="260" w:type="pct"/>
            <w:tcBorders>
              <w:top w:val="nil"/>
              <w:left w:val="nil"/>
              <w:bottom w:val="single" w:sz="4" w:space="0" w:color="auto"/>
              <w:right w:val="single" w:sz="4" w:space="0" w:color="auto"/>
            </w:tcBorders>
            <w:shd w:val="clear" w:color="000000" w:fill="BFBFBF"/>
            <w:noWrap/>
            <w:vAlign w:val="bottom"/>
          </w:tcPr>
          <w:p w14:paraId="6C680841" w14:textId="200B9EE0" w:rsidR="003D72D1" w:rsidRPr="00FA7B58" w:rsidRDefault="003D72D1" w:rsidP="00F76882">
            <w:pPr>
              <w:pStyle w:val="Tabletext"/>
            </w:pPr>
            <w:r w:rsidRPr="00FA7B58">
              <w:t>9</w:t>
            </w:r>
          </w:p>
        </w:tc>
        <w:tc>
          <w:tcPr>
            <w:tcW w:w="260" w:type="pct"/>
            <w:tcBorders>
              <w:top w:val="nil"/>
              <w:left w:val="nil"/>
              <w:bottom w:val="single" w:sz="4" w:space="0" w:color="auto"/>
              <w:right w:val="single" w:sz="4" w:space="0" w:color="auto"/>
            </w:tcBorders>
            <w:shd w:val="clear" w:color="000000" w:fill="BFBFBF"/>
            <w:noWrap/>
            <w:vAlign w:val="bottom"/>
          </w:tcPr>
          <w:p w14:paraId="6E119A59" w14:textId="78DAB6D6" w:rsidR="003D72D1" w:rsidRPr="00FA7B58" w:rsidRDefault="003D72D1" w:rsidP="00F76882">
            <w:pPr>
              <w:pStyle w:val="Tabletext"/>
            </w:pPr>
            <w:r w:rsidRPr="00FA7B58">
              <w:t>4</w:t>
            </w:r>
          </w:p>
        </w:tc>
        <w:tc>
          <w:tcPr>
            <w:tcW w:w="260" w:type="pct"/>
            <w:tcBorders>
              <w:top w:val="nil"/>
              <w:left w:val="nil"/>
              <w:bottom w:val="single" w:sz="4" w:space="0" w:color="auto"/>
              <w:right w:val="single" w:sz="4" w:space="0" w:color="auto"/>
            </w:tcBorders>
            <w:shd w:val="clear" w:color="000000" w:fill="BFBFBF"/>
            <w:noWrap/>
            <w:vAlign w:val="bottom"/>
          </w:tcPr>
          <w:p w14:paraId="345B4889" w14:textId="79A52A2C" w:rsidR="003D72D1" w:rsidRPr="00FA7B58" w:rsidRDefault="003D72D1" w:rsidP="00F76882">
            <w:pPr>
              <w:pStyle w:val="Tabletext"/>
            </w:pPr>
            <w:r w:rsidRPr="00FA7B58">
              <w:t>17</w:t>
            </w:r>
          </w:p>
        </w:tc>
        <w:tc>
          <w:tcPr>
            <w:tcW w:w="260" w:type="pct"/>
            <w:tcBorders>
              <w:top w:val="nil"/>
              <w:left w:val="nil"/>
              <w:bottom w:val="single" w:sz="4" w:space="0" w:color="auto"/>
              <w:right w:val="single" w:sz="8" w:space="0" w:color="auto"/>
            </w:tcBorders>
            <w:shd w:val="clear" w:color="000000" w:fill="BFBFBF"/>
            <w:noWrap/>
            <w:vAlign w:val="bottom"/>
          </w:tcPr>
          <w:p w14:paraId="2CFA8185" w14:textId="504FD2B1" w:rsidR="003D72D1" w:rsidRPr="00FA7B58" w:rsidRDefault="003D72D1" w:rsidP="00F76882">
            <w:pPr>
              <w:pStyle w:val="Tabletext"/>
            </w:pPr>
            <w:r w:rsidRPr="00FA7B58">
              <w:t>34</w:t>
            </w:r>
          </w:p>
        </w:tc>
        <w:tc>
          <w:tcPr>
            <w:tcW w:w="260" w:type="pct"/>
            <w:tcBorders>
              <w:top w:val="nil"/>
              <w:left w:val="nil"/>
              <w:bottom w:val="single" w:sz="4" w:space="0" w:color="auto"/>
              <w:right w:val="single" w:sz="4" w:space="0" w:color="auto"/>
            </w:tcBorders>
            <w:shd w:val="clear" w:color="000000" w:fill="BFBFBF"/>
            <w:noWrap/>
            <w:vAlign w:val="bottom"/>
          </w:tcPr>
          <w:p w14:paraId="21478550" w14:textId="2152C21E" w:rsidR="003D72D1" w:rsidRPr="00FA7B58" w:rsidRDefault="003D72D1" w:rsidP="00F76882">
            <w:pPr>
              <w:pStyle w:val="Tabletext"/>
            </w:pPr>
            <w:r w:rsidRPr="00FA7B58">
              <w:t>11</w:t>
            </w:r>
          </w:p>
        </w:tc>
        <w:tc>
          <w:tcPr>
            <w:tcW w:w="260" w:type="pct"/>
            <w:tcBorders>
              <w:top w:val="nil"/>
              <w:left w:val="nil"/>
              <w:bottom w:val="single" w:sz="4" w:space="0" w:color="auto"/>
              <w:right w:val="single" w:sz="4" w:space="0" w:color="auto"/>
            </w:tcBorders>
            <w:shd w:val="clear" w:color="000000" w:fill="BFBFBF"/>
            <w:noWrap/>
            <w:vAlign w:val="bottom"/>
          </w:tcPr>
          <w:p w14:paraId="4FD2182A" w14:textId="7EEDCF5D" w:rsidR="003D72D1" w:rsidRPr="00FA7B58" w:rsidRDefault="003D72D1" w:rsidP="00F76882">
            <w:pPr>
              <w:pStyle w:val="Tabletext"/>
            </w:pPr>
            <w:r w:rsidRPr="00FA7B58">
              <w:t>13</w:t>
            </w:r>
          </w:p>
        </w:tc>
        <w:tc>
          <w:tcPr>
            <w:tcW w:w="260" w:type="pct"/>
            <w:tcBorders>
              <w:top w:val="nil"/>
              <w:left w:val="nil"/>
              <w:bottom w:val="single" w:sz="4" w:space="0" w:color="auto"/>
              <w:right w:val="single" w:sz="4" w:space="0" w:color="auto"/>
            </w:tcBorders>
            <w:shd w:val="clear" w:color="000000" w:fill="BFBFBF"/>
            <w:noWrap/>
            <w:vAlign w:val="bottom"/>
          </w:tcPr>
          <w:p w14:paraId="49F5F5BF" w14:textId="04391428" w:rsidR="003D72D1" w:rsidRPr="00FA7B58" w:rsidRDefault="003D72D1" w:rsidP="00F76882">
            <w:pPr>
              <w:pStyle w:val="Tabletext"/>
            </w:pPr>
            <w:r w:rsidRPr="00FA7B58">
              <w:t>13</w:t>
            </w:r>
          </w:p>
        </w:tc>
        <w:tc>
          <w:tcPr>
            <w:tcW w:w="260" w:type="pct"/>
            <w:tcBorders>
              <w:top w:val="nil"/>
              <w:left w:val="nil"/>
              <w:bottom w:val="single" w:sz="4" w:space="0" w:color="auto"/>
              <w:right w:val="single" w:sz="4" w:space="0" w:color="auto"/>
            </w:tcBorders>
            <w:shd w:val="clear" w:color="000000" w:fill="BFBFBF"/>
            <w:noWrap/>
            <w:vAlign w:val="bottom"/>
          </w:tcPr>
          <w:p w14:paraId="7BE18F34" w14:textId="1CC6EF44" w:rsidR="003D72D1" w:rsidRPr="00FA7B58" w:rsidRDefault="003D72D1" w:rsidP="00F76882">
            <w:pPr>
              <w:pStyle w:val="Tabletext"/>
            </w:pPr>
            <w:r w:rsidRPr="00FA7B58">
              <w:t>43</w:t>
            </w:r>
          </w:p>
        </w:tc>
        <w:tc>
          <w:tcPr>
            <w:tcW w:w="260" w:type="pct"/>
            <w:tcBorders>
              <w:top w:val="nil"/>
              <w:left w:val="nil"/>
              <w:bottom w:val="single" w:sz="4" w:space="0" w:color="auto"/>
              <w:right w:val="single" w:sz="8" w:space="0" w:color="auto"/>
            </w:tcBorders>
            <w:shd w:val="clear" w:color="000000" w:fill="BFBFBF"/>
            <w:noWrap/>
            <w:vAlign w:val="bottom"/>
          </w:tcPr>
          <w:p w14:paraId="173FB089" w14:textId="16D5C80A" w:rsidR="003D72D1" w:rsidRPr="00FA7B58" w:rsidRDefault="003D72D1" w:rsidP="00F76882">
            <w:pPr>
              <w:pStyle w:val="Tabletext"/>
            </w:pPr>
            <w:r w:rsidRPr="00FA7B58">
              <w:t>80</w:t>
            </w:r>
          </w:p>
        </w:tc>
      </w:tr>
      <w:tr w:rsidR="003D72D1" w:rsidRPr="0036007C" w14:paraId="33ECAE89" w14:textId="77777777" w:rsidTr="003641E8">
        <w:trPr>
          <w:trHeight w:val="580"/>
        </w:trPr>
        <w:tc>
          <w:tcPr>
            <w:tcW w:w="1100" w:type="pct"/>
            <w:tcBorders>
              <w:top w:val="single" w:sz="4" w:space="0" w:color="auto"/>
              <w:left w:val="single" w:sz="4" w:space="0" w:color="auto"/>
              <w:bottom w:val="single" w:sz="4" w:space="0" w:color="auto"/>
              <w:right w:val="single" w:sz="4" w:space="0" w:color="auto"/>
            </w:tcBorders>
            <w:vAlign w:val="bottom"/>
            <w:hideMark/>
          </w:tcPr>
          <w:p w14:paraId="7A5D673F" w14:textId="737B8BD3" w:rsidR="003D72D1" w:rsidRPr="003D3BBA" w:rsidRDefault="003D72D1" w:rsidP="00F76882">
            <w:pPr>
              <w:pStyle w:val="Tabletextleft"/>
              <w:rPr>
                <w:rStyle w:val="Emphasis"/>
              </w:rPr>
            </w:pPr>
            <w:r w:rsidRPr="003D3BBA">
              <w:rPr>
                <w:rStyle w:val="Emphasis"/>
              </w:rPr>
              <w:t>Estimated community members</w:t>
            </w:r>
            <w:r w:rsidR="00FA7B58" w:rsidRPr="003D3BBA">
              <w:rPr>
                <w:rStyle w:val="Emphasis"/>
              </w:rPr>
              <w:t xml:space="preserve"> </w:t>
            </w:r>
            <w:r w:rsidRPr="003D3BBA">
              <w:rPr>
                <w:rStyle w:val="Emphasis"/>
              </w:rPr>
              <w:t>who received treatment (%)</w:t>
            </w:r>
          </w:p>
        </w:tc>
        <w:tc>
          <w:tcPr>
            <w:tcW w:w="260" w:type="pct"/>
            <w:tcBorders>
              <w:top w:val="nil"/>
              <w:left w:val="single" w:sz="8" w:space="0" w:color="auto"/>
              <w:bottom w:val="single" w:sz="4" w:space="0" w:color="auto"/>
              <w:right w:val="single" w:sz="4" w:space="0" w:color="auto"/>
            </w:tcBorders>
            <w:noWrap/>
            <w:vAlign w:val="bottom"/>
          </w:tcPr>
          <w:p w14:paraId="6C4ED126" w14:textId="2267F449" w:rsidR="003D72D1" w:rsidRPr="00D04FBA" w:rsidRDefault="003D72D1" w:rsidP="00F76882">
            <w:pPr>
              <w:pStyle w:val="Tabletext"/>
              <w:rPr>
                <w:rStyle w:val="Emphasis"/>
              </w:rPr>
            </w:pPr>
            <w:r w:rsidRPr="00D04FBA">
              <w:rPr>
                <w:rStyle w:val="Emphasis"/>
              </w:rPr>
              <w:t>100</w:t>
            </w:r>
          </w:p>
        </w:tc>
        <w:tc>
          <w:tcPr>
            <w:tcW w:w="260" w:type="pct"/>
            <w:tcBorders>
              <w:top w:val="nil"/>
              <w:left w:val="nil"/>
              <w:bottom w:val="single" w:sz="4" w:space="0" w:color="auto"/>
              <w:right w:val="single" w:sz="4" w:space="0" w:color="auto"/>
            </w:tcBorders>
            <w:noWrap/>
            <w:vAlign w:val="bottom"/>
          </w:tcPr>
          <w:p w14:paraId="26BA8E86" w14:textId="09136765" w:rsidR="003D72D1" w:rsidRPr="00D04FBA" w:rsidRDefault="003D72D1" w:rsidP="00F76882">
            <w:pPr>
              <w:pStyle w:val="Tabletext"/>
              <w:rPr>
                <w:rStyle w:val="Emphasis"/>
              </w:rPr>
            </w:pPr>
            <w:r w:rsidRPr="00D04FBA">
              <w:rPr>
                <w:rStyle w:val="Emphasis"/>
              </w:rPr>
              <w:t>80</w:t>
            </w:r>
          </w:p>
        </w:tc>
        <w:tc>
          <w:tcPr>
            <w:tcW w:w="260" w:type="pct"/>
            <w:tcBorders>
              <w:top w:val="nil"/>
              <w:left w:val="nil"/>
              <w:bottom w:val="single" w:sz="4" w:space="0" w:color="auto"/>
              <w:right w:val="single" w:sz="4" w:space="0" w:color="auto"/>
            </w:tcBorders>
            <w:noWrap/>
            <w:vAlign w:val="bottom"/>
          </w:tcPr>
          <w:p w14:paraId="5DFA7DEC" w14:textId="48723D1F" w:rsidR="003D72D1" w:rsidRPr="00D04FBA" w:rsidRDefault="003D72D1" w:rsidP="00F76882">
            <w:pPr>
              <w:pStyle w:val="Tabletext"/>
              <w:rPr>
                <w:rStyle w:val="Emphasis"/>
              </w:rPr>
            </w:pPr>
            <w:r w:rsidRPr="00D04FBA">
              <w:rPr>
                <w:rStyle w:val="Emphasis"/>
              </w:rPr>
              <w:t>90</w:t>
            </w:r>
          </w:p>
        </w:tc>
        <w:tc>
          <w:tcPr>
            <w:tcW w:w="260" w:type="pct"/>
            <w:tcBorders>
              <w:top w:val="nil"/>
              <w:left w:val="nil"/>
              <w:bottom w:val="single" w:sz="4" w:space="0" w:color="auto"/>
              <w:right w:val="single" w:sz="4" w:space="0" w:color="auto"/>
            </w:tcBorders>
            <w:noWrap/>
            <w:vAlign w:val="bottom"/>
          </w:tcPr>
          <w:p w14:paraId="6DBDBF5E" w14:textId="619FA746" w:rsidR="003D72D1" w:rsidRPr="00D04FBA" w:rsidRDefault="003D72D1" w:rsidP="00F76882">
            <w:pPr>
              <w:pStyle w:val="Tabletext"/>
              <w:rPr>
                <w:rStyle w:val="Emphasis"/>
              </w:rPr>
            </w:pPr>
            <w:r w:rsidRPr="00D04FBA">
              <w:rPr>
                <w:rStyle w:val="Emphasis"/>
              </w:rPr>
              <w:t>70</w:t>
            </w:r>
          </w:p>
        </w:tc>
        <w:tc>
          <w:tcPr>
            <w:tcW w:w="260" w:type="pct"/>
            <w:tcBorders>
              <w:top w:val="nil"/>
              <w:left w:val="nil"/>
              <w:bottom w:val="single" w:sz="4" w:space="0" w:color="auto"/>
              <w:right w:val="single" w:sz="8" w:space="0" w:color="auto"/>
            </w:tcBorders>
            <w:noWrap/>
            <w:vAlign w:val="bottom"/>
          </w:tcPr>
          <w:p w14:paraId="236363EC" w14:textId="44E1208A" w:rsidR="003D72D1" w:rsidRPr="00D04FBA" w:rsidRDefault="003D72D1" w:rsidP="00F76882">
            <w:pPr>
              <w:pStyle w:val="Tabletext"/>
              <w:rPr>
                <w:rStyle w:val="Emphasis"/>
              </w:rPr>
            </w:pPr>
            <w:r w:rsidRPr="00D04FBA">
              <w:rPr>
                <w:rStyle w:val="Emphasis"/>
              </w:rPr>
              <w:t>78</w:t>
            </w:r>
          </w:p>
        </w:tc>
        <w:tc>
          <w:tcPr>
            <w:tcW w:w="260" w:type="pct"/>
            <w:tcBorders>
              <w:top w:val="nil"/>
              <w:left w:val="nil"/>
              <w:bottom w:val="single" w:sz="4" w:space="0" w:color="auto"/>
              <w:right w:val="single" w:sz="4" w:space="0" w:color="auto"/>
            </w:tcBorders>
            <w:noWrap/>
            <w:vAlign w:val="bottom"/>
          </w:tcPr>
          <w:p w14:paraId="36FD286E" w14:textId="0BAA2E7E" w:rsidR="003D72D1" w:rsidRPr="00D04FBA" w:rsidRDefault="003D72D1" w:rsidP="00F76882">
            <w:pPr>
              <w:pStyle w:val="Tabletext"/>
              <w:rPr>
                <w:rStyle w:val="Emphasis"/>
              </w:rPr>
            </w:pPr>
            <w:r w:rsidRPr="00D04FBA">
              <w:rPr>
                <w:rStyle w:val="Emphasis"/>
              </w:rPr>
              <w:t>100</w:t>
            </w:r>
          </w:p>
        </w:tc>
        <w:tc>
          <w:tcPr>
            <w:tcW w:w="260" w:type="pct"/>
            <w:tcBorders>
              <w:top w:val="nil"/>
              <w:left w:val="nil"/>
              <w:bottom w:val="single" w:sz="4" w:space="0" w:color="auto"/>
              <w:right w:val="single" w:sz="4" w:space="0" w:color="auto"/>
            </w:tcBorders>
            <w:noWrap/>
            <w:vAlign w:val="bottom"/>
          </w:tcPr>
          <w:p w14:paraId="2904D9AE" w14:textId="1AC661E1" w:rsidR="003D72D1" w:rsidRPr="00D04FBA" w:rsidRDefault="003D72D1" w:rsidP="00F76882">
            <w:pPr>
              <w:pStyle w:val="Tabletext"/>
              <w:rPr>
                <w:rStyle w:val="Emphasis"/>
              </w:rPr>
            </w:pPr>
            <w:r w:rsidRPr="00D04FBA">
              <w:rPr>
                <w:rStyle w:val="Emphasis"/>
              </w:rPr>
              <w:t>100</w:t>
            </w:r>
          </w:p>
        </w:tc>
        <w:tc>
          <w:tcPr>
            <w:tcW w:w="260" w:type="pct"/>
            <w:tcBorders>
              <w:top w:val="nil"/>
              <w:left w:val="nil"/>
              <w:bottom w:val="single" w:sz="4" w:space="0" w:color="auto"/>
              <w:right w:val="single" w:sz="4" w:space="0" w:color="auto"/>
            </w:tcBorders>
            <w:noWrap/>
            <w:vAlign w:val="bottom"/>
          </w:tcPr>
          <w:p w14:paraId="3A1FBA42" w14:textId="47A5C0DE" w:rsidR="003D72D1" w:rsidRPr="00D04FBA" w:rsidRDefault="003D72D1" w:rsidP="00F76882">
            <w:pPr>
              <w:pStyle w:val="Tabletext"/>
              <w:rPr>
                <w:rStyle w:val="Emphasis"/>
              </w:rPr>
            </w:pPr>
            <w:r w:rsidRPr="00D04FBA">
              <w:rPr>
                <w:rStyle w:val="Emphasis"/>
              </w:rPr>
              <w:t>100</w:t>
            </w:r>
          </w:p>
        </w:tc>
        <w:tc>
          <w:tcPr>
            <w:tcW w:w="260" w:type="pct"/>
            <w:tcBorders>
              <w:top w:val="nil"/>
              <w:left w:val="nil"/>
              <w:bottom w:val="single" w:sz="4" w:space="0" w:color="auto"/>
              <w:right w:val="single" w:sz="4" w:space="0" w:color="auto"/>
            </w:tcBorders>
            <w:noWrap/>
            <w:vAlign w:val="bottom"/>
          </w:tcPr>
          <w:p w14:paraId="6E394BD8" w14:textId="3CE4CD1B" w:rsidR="003D72D1" w:rsidRPr="00D04FBA" w:rsidRDefault="003D72D1" w:rsidP="00F76882">
            <w:pPr>
              <w:pStyle w:val="Tabletext"/>
              <w:rPr>
                <w:rStyle w:val="Emphasis"/>
              </w:rPr>
            </w:pPr>
            <w:r w:rsidRPr="00D04FBA">
              <w:rPr>
                <w:rStyle w:val="Emphasis"/>
              </w:rPr>
              <w:t>94</w:t>
            </w:r>
          </w:p>
        </w:tc>
        <w:tc>
          <w:tcPr>
            <w:tcW w:w="260" w:type="pct"/>
            <w:tcBorders>
              <w:top w:val="nil"/>
              <w:left w:val="nil"/>
              <w:bottom w:val="single" w:sz="4" w:space="0" w:color="auto"/>
              <w:right w:val="single" w:sz="8" w:space="0" w:color="auto"/>
            </w:tcBorders>
            <w:noWrap/>
            <w:vAlign w:val="bottom"/>
          </w:tcPr>
          <w:p w14:paraId="271F7D74" w14:textId="309D5116" w:rsidR="003D72D1" w:rsidRPr="00D04FBA" w:rsidRDefault="003D72D1" w:rsidP="00F76882">
            <w:pPr>
              <w:pStyle w:val="Tabletext"/>
              <w:rPr>
                <w:rStyle w:val="Emphasis"/>
              </w:rPr>
            </w:pPr>
            <w:r w:rsidRPr="00D04FBA">
              <w:rPr>
                <w:rStyle w:val="Emphasis"/>
              </w:rPr>
              <w:t>97</w:t>
            </w:r>
          </w:p>
        </w:tc>
        <w:tc>
          <w:tcPr>
            <w:tcW w:w="260" w:type="pct"/>
            <w:tcBorders>
              <w:top w:val="nil"/>
              <w:left w:val="nil"/>
              <w:bottom w:val="single" w:sz="4" w:space="0" w:color="auto"/>
              <w:right w:val="single" w:sz="4" w:space="0" w:color="auto"/>
            </w:tcBorders>
            <w:noWrap/>
            <w:vAlign w:val="bottom"/>
          </w:tcPr>
          <w:p w14:paraId="7E1C98D6" w14:textId="1E3C8F63" w:rsidR="003D72D1" w:rsidRPr="00D04FBA" w:rsidRDefault="003D72D1" w:rsidP="00F76882">
            <w:pPr>
              <w:pStyle w:val="Tabletext"/>
              <w:rPr>
                <w:rStyle w:val="Emphasis"/>
              </w:rPr>
            </w:pPr>
            <w:r w:rsidRPr="00D04FBA">
              <w:rPr>
                <w:rStyle w:val="Emphasis"/>
              </w:rPr>
              <w:t>100</w:t>
            </w:r>
          </w:p>
        </w:tc>
        <w:tc>
          <w:tcPr>
            <w:tcW w:w="260" w:type="pct"/>
            <w:tcBorders>
              <w:top w:val="nil"/>
              <w:left w:val="nil"/>
              <w:bottom w:val="single" w:sz="4" w:space="0" w:color="auto"/>
              <w:right w:val="single" w:sz="4" w:space="0" w:color="auto"/>
            </w:tcBorders>
            <w:noWrap/>
            <w:vAlign w:val="bottom"/>
          </w:tcPr>
          <w:p w14:paraId="2A2057CF" w14:textId="14558D01" w:rsidR="003D72D1" w:rsidRPr="00D04FBA" w:rsidRDefault="003D72D1" w:rsidP="00F76882">
            <w:pPr>
              <w:pStyle w:val="Tabletext"/>
              <w:rPr>
                <w:rStyle w:val="Emphasis"/>
              </w:rPr>
            </w:pPr>
            <w:r w:rsidRPr="00D04FBA">
              <w:rPr>
                <w:rStyle w:val="Emphasis"/>
              </w:rPr>
              <w:t>93</w:t>
            </w:r>
          </w:p>
        </w:tc>
        <w:tc>
          <w:tcPr>
            <w:tcW w:w="260" w:type="pct"/>
            <w:tcBorders>
              <w:top w:val="nil"/>
              <w:left w:val="nil"/>
              <w:bottom w:val="single" w:sz="4" w:space="0" w:color="auto"/>
              <w:right w:val="single" w:sz="4" w:space="0" w:color="auto"/>
            </w:tcBorders>
            <w:noWrap/>
            <w:vAlign w:val="bottom"/>
          </w:tcPr>
          <w:p w14:paraId="35D562A9" w14:textId="310F1025" w:rsidR="003D72D1" w:rsidRPr="00D04FBA" w:rsidRDefault="003D72D1" w:rsidP="00F76882">
            <w:pPr>
              <w:pStyle w:val="Tabletext"/>
              <w:rPr>
                <w:rStyle w:val="Emphasis"/>
              </w:rPr>
            </w:pPr>
            <w:r w:rsidRPr="00D04FBA">
              <w:rPr>
                <w:rStyle w:val="Emphasis"/>
              </w:rPr>
              <w:t>93</w:t>
            </w:r>
          </w:p>
        </w:tc>
        <w:tc>
          <w:tcPr>
            <w:tcW w:w="260" w:type="pct"/>
            <w:tcBorders>
              <w:top w:val="nil"/>
              <w:left w:val="nil"/>
              <w:bottom w:val="single" w:sz="4" w:space="0" w:color="auto"/>
              <w:right w:val="single" w:sz="4" w:space="0" w:color="auto"/>
            </w:tcBorders>
            <w:noWrap/>
            <w:vAlign w:val="bottom"/>
          </w:tcPr>
          <w:p w14:paraId="5636CBA7" w14:textId="29EB186F" w:rsidR="003D72D1" w:rsidRPr="00D04FBA" w:rsidRDefault="003D72D1" w:rsidP="00F76882">
            <w:pPr>
              <w:pStyle w:val="Tabletext"/>
              <w:rPr>
                <w:rStyle w:val="Emphasis"/>
              </w:rPr>
            </w:pPr>
            <w:r w:rsidRPr="00D04FBA">
              <w:rPr>
                <w:rStyle w:val="Emphasis"/>
              </w:rPr>
              <w:t>78</w:t>
            </w:r>
          </w:p>
        </w:tc>
        <w:tc>
          <w:tcPr>
            <w:tcW w:w="260" w:type="pct"/>
            <w:tcBorders>
              <w:top w:val="nil"/>
              <w:left w:val="nil"/>
              <w:bottom w:val="single" w:sz="4" w:space="0" w:color="auto"/>
              <w:right w:val="single" w:sz="8" w:space="0" w:color="auto"/>
            </w:tcBorders>
            <w:noWrap/>
            <w:vAlign w:val="bottom"/>
          </w:tcPr>
          <w:p w14:paraId="0F2FB2D7" w14:textId="3B152E9F" w:rsidR="003D72D1" w:rsidRPr="00D04FBA" w:rsidRDefault="003D72D1" w:rsidP="00F76882">
            <w:pPr>
              <w:pStyle w:val="Tabletext"/>
              <w:rPr>
                <w:rStyle w:val="Emphasis"/>
              </w:rPr>
            </w:pPr>
            <w:r w:rsidRPr="00D04FBA">
              <w:rPr>
                <w:rStyle w:val="Emphasis"/>
              </w:rPr>
              <w:t>85</w:t>
            </w:r>
          </w:p>
        </w:tc>
      </w:tr>
      <w:tr w:rsidR="003D00CE" w:rsidRPr="0036007C" w14:paraId="7CC42B6C" w14:textId="77777777" w:rsidTr="003641E8">
        <w:trPr>
          <w:trHeight w:val="590"/>
        </w:trPr>
        <w:tc>
          <w:tcPr>
            <w:tcW w:w="1100"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19F07BBD" w14:textId="77777777" w:rsidR="003D72D1" w:rsidRPr="00FA7B58" w:rsidRDefault="003D72D1" w:rsidP="00F76882">
            <w:pPr>
              <w:pStyle w:val="Tabletextleft"/>
            </w:pPr>
            <w:r w:rsidRPr="00FA7B58">
              <w:t>Number of community members that refused treatment</w:t>
            </w:r>
          </w:p>
        </w:tc>
        <w:tc>
          <w:tcPr>
            <w:tcW w:w="260" w:type="pct"/>
            <w:tcBorders>
              <w:top w:val="nil"/>
              <w:left w:val="single" w:sz="8" w:space="0" w:color="auto"/>
              <w:bottom w:val="single" w:sz="4" w:space="0" w:color="auto"/>
              <w:right w:val="single" w:sz="4" w:space="0" w:color="auto"/>
            </w:tcBorders>
            <w:shd w:val="clear" w:color="000000" w:fill="BFBFBF"/>
            <w:noWrap/>
            <w:vAlign w:val="bottom"/>
          </w:tcPr>
          <w:p w14:paraId="39C7BD74" w14:textId="36AA4A80"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BFBFBF"/>
            <w:noWrap/>
            <w:vAlign w:val="bottom"/>
          </w:tcPr>
          <w:p w14:paraId="3EBBE308" w14:textId="3DF8E7F1" w:rsidR="003D72D1" w:rsidRPr="00FA7B58" w:rsidRDefault="003D72D1" w:rsidP="00F76882">
            <w:pPr>
              <w:pStyle w:val="Tabletext"/>
            </w:pPr>
            <w:r w:rsidRPr="00FA7B58">
              <w:t>1</w:t>
            </w:r>
          </w:p>
        </w:tc>
        <w:tc>
          <w:tcPr>
            <w:tcW w:w="260" w:type="pct"/>
            <w:tcBorders>
              <w:top w:val="nil"/>
              <w:left w:val="nil"/>
              <w:bottom w:val="single" w:sz="4" w:space="0" w:color="auto"/>
              <w:right w:val="single" w:sz="4" w:space="0" w:color="auto"/>
            </w:tcBorders>
            <w:shd w:val="clear" w:color="000000" w:fill="BFBFBF"/>
            <w:noWrap/>
            <w:vAlign w:val="bottom"/>
          </w:tcPr>
          <w:p w14:paraId="49018638" w14:textId="10E6E16B" w:rsidR="003D72D1" w:rsidRPr="00FA7B58" w:rsidRDefault="003D72D1" w:rsidP="00F76882">
            <w:pPr>
              <w:pStyle w:val="Tabletext"/>
            </w:pPr>
            <w:r w:rsidRPr="00FA7B58">
              <w:t>1</w:t>
            </w:r>
          </w:p>
        </w:tc>
        <w:tc>
          <w:tcPr>
            <w:tcW w:w="260" w:type="pct"/>
            <w:tcBorders>
              <w:top w:val="nil"/>
              <w:left w:val="nil"/>
              <w:bottom w:val="single" w:sz="4" w:space="0" w:color="auto"/>
              <w:right w:val="single" w:sz="4" w:space="0" w:color="auto"/>
            </w:tcBorders>
            <w:shd w:val="clear" w:color="000000" w:fill="BFBFBF"/>
            <w:noWrap/>
            <w:vAlign w:val="bottom"/>
          </w:tcPr>
          <w:p w14:paraId="5A86E3CA" w14:textId="046289AF" w:rsidR="003D72D1" w:rsidRPr="00FA7B58" w:rsidRDefault="003D72D1" w:rsidP="00F76882">
            <w:pPr>
              <w:pStyle w:val="Tabletext"/>
            </w:pPr>
            <w:r w:rsidRPr="00FA7B58">
              <w:t>10</w:t>
            </w:r>
          </w:p>
        </w:tc>
        <w:tc>
          <w:tcPr>
            <w:tcW w:w="260" w:type="pct"/>
            <w:tcBorders>
              <w:top w:val="nil"/>
              <w:left w:val="nil"/>
              <w:bottom w:val="single" w:sz="4" w:space="0" w:color="auto"/>
              <w:right w:val="single" w:sz="8" w:space="0" w:color="auto"/>
            </w:tcBorders>
            <w:shd w:val="clear" w:color="000000" w:fill="BFBFBF"/>
            <w:noWrap/>
            <w:vAlign w:val="bottom"/>
          </w:tcPr>
          <w:p w14:paraId="03DDA73C" w14:textId="5348C0CF" w:rsidR="003D72D1" w:rsidRPr="00FA7B58" w:rsidRDefault="003D72D1" w:rsidP="00F76882">
            <w:pPr>
              <w:pStyle w:val="Tabletext"/>
            </w:pPr>
            <w:r w:rsidRPr="00FA7B58">
              <w:t>12</w:t>
            </w:r>
          </w:p>
        </w:tc>
        <w:tc>
          <w:tcPr>
            <w:tcW w:w="260" w:type="pct"/>
            <w:tcBorders>
              <w:top w:val="nil"/>
              <w:left w:val="nil"/>
              <w:bottom w:val="single" w:sz="4" w:space="0" w:color="auto"/>
              <w:right w:val="single" w:sz="4" w:space="0" w:color="auto"/>
            </w:tcBorders>
            <w:shd w:val="clear" w:color="000000" w:fill="BFBFBF"/>
            <w:noWrap/>
            <w:vAlign w:val="bottom"/>
          </w:tcPr>
          <w:p w14:paraId="69655D05" w14:textId="2919B4EB"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BFBFBF"/>
            <w:noWrap/>
            <w:vAlign w:val="bottom"/>
          </w:tcPr>
          <w:p w14:paraId="70AE79CE" w14:textId="5A3E6E8A"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BFBFBF"/>
            <w:noWrap/>
            <w:vAlign w:val="bottom"/>
          </w:tcPr>
          <w:p w14:paraId="7083D0BD" w14:textId="282395CD"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BFBFBF"/>
            <w:noWrap/>
            <w:vAlign w:val="bottom"/>
          </w:tcPr>
          <w:p w14:paraId="0BEBDB13" w14:textId="7836A200" w:rsidR="003D72D1" w:rsidRPr="00FA7B58" w:rsidRDefault="003D72D1" w:rsidP="00F76882">
            <w:pPr>
              <w:pStyle w:val="Tabletext"/>
            </w:pPr>
            <w:r w:rsidRPr="00FA7B58">
              <w:t>1</w:t>
            </w:r>
          </w:p>
        </w:tc>
        <w:tc>
          <w:tcPr>
            <w:tcW w:w="260" w:type="pct"/>
            <w:tcBorders>
              <w:top w:val="nil"/>
              <w:left w:val="nil"/>
              <w:bottom w:val="single" w:sz="4" w:space="0" w:color="auto"/>
              <w:right w:val="single" w:sz="8" w:space="0" w:color="auto"/>
            </w:tcBorders>
            <w:shd w:val="clear" w:color="000000" w:fill="BFBFBF"/>
            <w:noWrap/>
            <w:vAlign w:val="bottom"/>
          </w:tcPr>
          <w:p w14:paraId="7240177B" w14:textId="62F1D39B" w:rsidR="003D72D1" w:rsidRPr="00FA7B58" w:rsidRDefault="003D72D1" w:rsidP="00F76882">
            <w:pPr>
              <w:pStyle w:val="Tabletext"/>
            </w:pPr>
            <w:r w:rsidRPr="00FA7B58">
              <w:t>1</w:t>
            </w:r>
          </w:p>
        </w:tc>
        <w:tc>
          <w:tcPr>
            <w:tcW w:w="260" w:type="pct"/>
            <w:tcBorders>
              <w:top w:val="nil"/>
              <w:left w:val="nil"/>
              <w:bottom w:val="single" w:sz="4" w:space="0" w:color="auto"/>
              <w:right w:val="single" w:sz="4" w:space="0" w:color="auto"/>
            </w:tcBorders>
            <w:shd w:val="clear" w:color="000000" w:fill="BFBFBF"/>
            <w:noWrap/>
            <w:vAlign w:val="bottom"/>
          </w:tcPr>
          <w:p w14:paraId="1FD1B0A3" w14:textId="724FDA04" w:rsidR="003D72D1" w:rsidRPr="00FA7B58" w:rsidRDefault="003D72D1" w:rsidP="00F76882">
            <w:pPr>
              <w:pStyle w:val="Tabletext"/>
            </w:pPr>
            <w:r w:rsidRPr="00FA7B58">
              <w:t>0</w:t>
            </w:r>
          </w:p>
        </w:tc>
        <w:tc>
          <w:tcPr>
            <w:tcW w:w="260" w:type="pct"/>
            <w:tcBorders>
              <w:top w:val="nil"/>
              <w:left w:val="nil"/>
              <w:bottom w:val="single" w:sz="4" w:space="0" w:color="auto"/>
              <w:right w:val="single" w:sz="4" w:space="0" w:color="auto"/>
            </w:tcBorders>
            <w:shd w:val="clear" w:color="000000" w:fill="BFBFBF"/>
            <w:noWrap/>
            <w:vAlign w:val="bottom"/>
          </w:tcPr>
          <w:p w14:paraId="4A7226DE" w14:textId="7C6BBD31" w:rsidR="003D72D1" w:rsidRPr="00FA7B58" w:rsidRDefault="003D72D1" w:rsidP="00F76882">
            <w:pPr>
              <w:pStyle w:val="Tabletext"/>
            </w:pPr>
            <w:r w:rsidRPr="00FA7B58">
              <w:t>1</w:t>
            </w:r>
          </w:p>
        </w:tc>
        <w:tc>
          <w:tcPr>
            <w:tcW w:w="260" w:type="pct"/>
            <w:tcBorders>
              <w:top w:val="nil"/>
              <w:left w:val="nil"/>
              <w:bottom w:val="single" w:sz="4" w:space="0" w:color="auto"/>
              <w:right w:val="single" w:sz="4" w:space="0" w:color="auto"/>
            </w:tcBorders>
            <w:shd w:val="clear" w:color="000000" w:fill="BFBFBF"/>
            <w:noWrap/>
            <w:vAlign w:val="bottom"/>
          </w:tcPr>
          <w:p w14:paraId="184A01B2" w14:textId="4C45F6D0" w:rsidR="003D72D1" w:rsidRPr="00FA7B58" w:rsidRDefault="003D72D1" w:rsidP="00F76882">
            <w:pPr>
              <w:pStyle w:val="Tabletext"/>
            </w:pPr>
            <w:r w:rsidRPr="00FA7B58">
              <w:t>1</w:t>
            </w:r>
          </w:p>
        </w:tc>
        <w:tc>
          <w:tcPr>
            <w:tcW w:w="260" w:type="pct"/>
            <w:tcBorders>
              <w:top w:val="nil"/>
              <w:left w:val="nil"/>
              <w:bottom w:val="single" w:sz="4" w:space="0" w:color="auto"/>
              <w:right w:val="single" w:sz="4" w:space="0" w:color="auto"/>
            </w:tcBorders>
            <w:shd w:val="clear" w:color="000000" w:fill="BFBFBF"/>
            <w:noWrap/>
            <w:vAlign w:val="bottom"/>
          </w:tcPr>
          <w:p w14:paraId="6A2FC47B" w14:textId="331A66B3" w:rsidR="003D72D1" w:rsidRPr="00FA7B58" w:rsidRDefault="003D72D1" w:rsidP="00F76882">
            <w:pPr>
              <w:pStyle w:val="Tabletext"/>
            </w:pPr>
            <w:r w:rsidRPr="00FA7B58">
              <w:t>11</w:t>
            </w:r>
          </w:p>
        </w:tc>
        <w:tc>
          <w:tcPr>
            <w:tcW w:w="260" w:type="pct"/>
            <w:tcBorders>
              <w:top w:val="nil"/>
              <w:left w:val="nil"/>
              <w:bottom w:val="single" w:sz="4" w:space="0" w:color="auto"/>
              <w:right w:val="single" w:sz="8" w:space="0" w:color="auto"/>
            </w:tcBorders>
            <w:shd w:val="clear" w:color="000000" w:fill="BFBFBF"/>
            <w:noWrap/>
            <w:vAlign w:val="bottom"/>
          </w:tcPr>
          <w:p w14:paraId="45919313" w14:textId="16E2B267" w:rsidR="003D72D1" w:rsidRPr="00FA7B58" w:rsidRDefault="003D72D1" w:rsidP="00F76882">
            <w:pPr>
              <w:pStyle w:val="Tabletext"/>
            </w:pPr>
            <w:r w:rsidRPr="00FA7B58">
              <w:t>13</w:t>
            </w:r>
          </w:p>
        </w:tc>
      </w:tr>
      <w:tr w:rsidR="003D72D1" w:rsidRPr="0036007C" w14:paraId="13469C6A" w14:textId="77777777" w:rsidTr="003641E8">
        <w:trPr>
          <w:trHeight w:val="590"/>
        </w:trPr>
        <w:tc>
          <w:tcPr>
            <w:tcW w:w="1100" w:type="pct"/>
            <w:tcBorders>
              <w:top w:val="single" w:sz="4" w:space="0" w:color="auto"/>
              <w:left w:val="single" w:sz="4" w:space="0" w:color="auto"/>
              <w:bottom w:val="single" w:sz="4" w:space="0" w:color="auto"/>
              <w:right w:val="single" w:sz="4" w:space="0" w:color="auto"/>
            </w:tcBorders>
            <w:vAlign w:val="bottom"/>
            <w:hideMark/>
          </w:tcPr>
          <w:p w14:paraId="0CC2C12E" w14:textId="77777777" w:rsidR="003D72D1" w:rsidRPr="00FA7B58" w:rsidRDefault="003D72D1" w:rsidP="00F76882">
            <w:pPr>
              <w:pStyle w:val="Tabletextleft"/>
            </w:pPr>
            <w:r w:rsidRPr="00FA7B58">
              <w:t>Total number of doses of azithromycin delivered</w:t>
            </w:r>
          </w:p>
        </w:tc>
        <w:tc>
          <w:tcPr>
            <w:tcW w:w="260" w:type="pct"/>
            <w:tcBorders>
              <w:top w:val="nil"/>
              <w:left w:val="single" w:sz="8" w:space="0" w:color="auto"/>
              <w:bottom w:val="single" w:sz="4" w:space="0" w:color="auto"/>
              <w:right w:val="single" w:sz="4" w:space="0" w:color="auto"/>
            </w:tcBorders>
            <w:noWrap/>
            <w:vAlign w:val="bottom"/>
          </w:tcPr>
          <w:p w14:paraId="2679A767" w14:textId="11E2D6F0" w:rsidR="003D72D1" w:rsidRPr="00FA7B58" w:rsidRDefault="003D72D1" w:rsidP="00F76882">
            <w:pPr>
              <w:pStyle w:val="Tabletext"/>
            </w:pPr>
            <w:r w:rsidRPr="00FA7B58">
              <w:t>7</w:t>
            </w:r>
          </w:p>
        </w:tc>
        <w:tc>
          <w:tcPr>
            <w:tcW w:w="260" w:type="pct"/>
            <w:tcBorders>
              <w:top w:val="nil"/>
              <w:left w:val="nil"/>
              <w:bottom w:val="single" w:sz="4" w:space="0" w:color="auto"/>
              <w:right w:val="single" w:sz="4" w:space="0" w:color="auto"/>
            </w:tcBorders>
            <w:noWrap/>
            <w:vAlign w:val="bottom"/>
          </w:tcPr>
          <w:p w14:paraId="2417DBE8" w14:textId="465C6D89" w:rsidR="003D72D1" w:rsidRPr="00FA7B58" w:rsidRDefault="003D72D1" w:rsidP="00F76882">
            <w:pPr>
              <w:pStyle w:val="Tabletext"/>
            </w:pPr>
            <w:r w:rsidRPr="00FA7B58">
              <w:t>11</w:t>
            </w:r>
          </w:p>
        </w:tc>
        <w:tc>
          <w:tcPr>
            <w:tcW w:w="260" w:type="pct"/>
            <w:tcBorders>
              <w:top w:val="nil"/>
              <w:left w:val="nil"/>
              <w:bottom w:val="single" w:sz="4" w:space="0" w:color="auto"/>
              <w:right w:val="single" w:sz="4" w:space="0" w:color="auto"/>
            </w:tcBorders>
            <w:noWrap/>
            <w:vAlign w:val="bottom"/>
          </w:tcPr>
          <w:p w14:paraId="425C23AE" w14:textId="62E2EB06" w:rsidR="003D72D1" w:rsidRPr="00FA7B58" w:rsidRDefault="003D72D1" w:rsidP="00F76882">
            <w:pPr>
              <w:pStyle w:val="Tabletext"/>
            </w:pPr>
            <w:r w:rsidRPr="00FA7B58">
              <w:t>9</w:t>
            </w:r>
          </w:p>
        </w:tc>
        <w:tc>
          <w:tcPr>
            <w:tcW w:w="260" w:type="pct"/>
            <w:tcBorders>
              <w:top w:val="nil"/>
              <w:left w:val="nil"/>
              <w:bottom w:val="single" w:sz="4" w:space="0" w:color="auto"/>
              <w:right w:val="single" w:sz="4" w:space="0" w:color="auto"/>
            </w:tcBorders>
            <w:noWrap/>
            <w:vAlign w:val="bottom"/>
          </w:tcPr>
          <w:p w14:paraId="63D1A03A" w14:textId="365F1F3F" w:rsidR="003D72D1" w:rsidRPr="00FA7B58" w:rsidRDefault="003D72D1" w:rsidP="00F76882">
            <w:pPr>
              <w:pStyle w:val="Tabletext"/>
            </w:pPr>
            <w:r w:rsidRPr="00FA7B58">
              <w:t>26</w:t>
            </w:r>
          </w:p>
        </w:tc>
        <w:tc>
          <w:tcPr>
            <w:tcW w:w="260" w:type="pct"/>
            <w:tcBorders>
              <w:top w:val="nil"/>
              <w:left w:val="nil"/>
              <w:bottom w:val="single" w:sz="4" w:space="0" w:color="auto"/>
              <w:right w:val="single" w:sz="8" w:space="0" w:color="auto"/>
            </w:tcBorders>
            <w:noWrap/>
            <w:vAlign w:val="bottom"/>
          </w:tcPr>
          <w:p w14:paraId="7BFCBEFD" w14:textId="7A3E7419" w:rsidR="003D72D1" w:rsidRPr="00FA7B58" w:rsidRDefault="003D72D1" w:rsidP="00F76882">
            <w:pPr>
              <w:pStyle w:val="Tabletext"/>
            </w:pPr>
            <w:r w:rsidRPr="00FA7B58">
              <w:t>53</w:t>
            </w:r>
          </w:p>
        </w:tc>
        <w:tc>
          <w:tcPr>
            <w:tcW w:w="260" w:type="pct"/>
            <w:tcBorders>
              <w:top w:val="nil"/>
              <w:left w:val="nil"/>
              <w:bottom w:val="single" w:sz="4" w:space="0" w:color="auto"/>
              <w:right w:val="single" w:sz="4" w:space="0" w:color="auto"/>
            </w:tcBorders>
            <w:noWrap/>
            <w:vAlign w:val="bottom"/>
          </w:tcPr>
          <w:p w14:paraId="2A37DBA9" w14:textId="48F8D679" w:rsidR="003D72D1" w:rsidRPr="00FA7B58" w:rsidRDefault="003D72D1" w:rsidP="00F76882">
            <w:pPr>
              <w:pStyle w:val="Tabletext"/>
            </w:pPr>
            <w:r w:rsidRPr="00FA7B58">
              <w:t>4</w:t>
            </w:r>
          </w:p>
        </w:tc>
        <w:tc>
          <w:tcPr>
            <w:tcW w:w="260" w:type="pct"/>
            <w:tcBorders>
              <w:top w:val="nil"/>
              <w:left w:val="nil"/>
              <w:bottom w:val="single" w:sz="4" w:space="0" w:color="auto"/>
              <w:right w:val="single" w:sz="4" w:space="0" w:color="auto"/>
            </w:tcBorders>
            <w:noWrap/>
            <w:vAlign w:val="bottom"/>
          </w:tcPr>
          <w:p w14:paraId="3BF29DAA" w14:textId="0D48AF4F" w:rsidR="003D72D1" w:rsidRPr="00FA7B58" w:rsidRDefault="003D72D1" w:rsidP="00F76882">
            <w:pPr>
              <w:pStyle w:val="Tabletext"/>
            </w:pPr>
            <w:r w:rsidRPr="00FA7B58">
              <w:t>14</w:t>
            </w:r>
          </w:p>
        </w:tc>
        <w:tc>
          <w:tcPr>
            <w:tcW w:w="260" w:type="pct"/>
            <w:tcBorders>
              <w:top w:val="nil"/>
              <w:left w:val="nil"/>
              <w:bottom w:val="single" w:sz="4" w:space="0" w:color="auto"/>
              <w:right w:val="single" w:sz="4" w:space="0" w:color="auto"/>
            </w:tcBorders>
            <w:noWrap/>
            <w:vAlign w:val="bottom"/>
          </w:tcPr>
          <w:p w14:paraId="6597503B" w14:textId="387A2AE3" w:rsidR="003D72D1" w:rsidRPr="00FA7B58" w:rsidRDefault="003D72D1" w:rsidP="00F76882">
            <w:pPr>
              <w:pStyle w:val="Tabletext"/>
            </w:pPr>
            <w:r w:rsidRPr="00FA7B58">
              <w:t>4</w:t>
            </w:r>
          </w:p>
        </w:tc>
        <w:tc>
          <w:tcPr>
            <w:tcW w:w="260" w:type="pct"/>
            <w:tcBorders>
              <w:top w:val="nil"/>
              <w:left w:val="nil"/>
              <w:bottom w:val="single" w:sz="4" w:space="0" w:color="auto"/>
              <w:right w:val="single" w:sz="4" w:space="0" w:color="auto"/>
            </w:tcBorders>
            <w:noWrap/>
            <w:vAlign w:val="bottom"/>
          </w:tcPr>
          <w:p w14:paraId="78EDE097" w14:textId="41CC215A" w:rsidR="003D72D1" w:rsidRPr="00FA7B58" w:rsidRDefault="003D72D1" w:rsidP="00F76882">
            <w:pPr>
              <w:pStyle w:val="Tabletext"/>
            </w:pPr>
            <w:r w:rsidRPr="00FA7B58">
              <w:t>17</w:t>
            </w:r>
          </w:p>
        </w:tc>
        <w:tc>
          <w:tcPr>
            <w:tcW w:w="260" w:type="pct"/>
            <w:tcBorders>
              <w:top w:val="nil"/>
              <w:left w:val="nil"/>
              <w:bottom w:val="single" w:sz="4" w:space="0" w:color="auto"/>
              <w:right w:val="single" w:sz="8" w:space="0" w:color="auto"/>
            </w:tcBorders>
            <w:noWrap/>
            <w:vAlign w:val="bottom"/>
          </w:tcPr>
          <w:p w14:paraId="58CDF60B" w14:textId="4F286032" w:rsidR="003D72D1" w:rsidRPr="00FA7B58" w:rsidRDefault="003D72D1" w:rsidP="00F76882">
            <w:pPr>
              <w:pStyle w:val="Tabletext"/>
            </w:pPr>
            <w:r w:rsidRPr="00FA7B58">
              <w:t>39</w:t>
            </w:r>
          </w:p>
        </w:tc>
        <w:tc>
          <w:tcPr>
            <w:tcW w:w="260" w:type="pct"/>
            <w:tcBorders>
              <w:top w:val="nil"/>
              <w:left w:val="nil"/>
              <w:bottom w:val="single" w:sz="4" w:space="0" w:color="auto"/>
              <w:right w:val="single" w:sz="4" w:space="0" w:color="auto"/>
            </w:tcBorders>
            <w:noWrap/>
            <w:vAlign w:val="bottom"/>
          </w:tcPr>
          <w:p w14:paraId="7064E121" w14:textId="5AFF4A95" w:rsidR="003D72D1" w:rsidRPr="00FA7B58" w:rsidRDefault="003D72D1" w:rsidP="00F76882">
            <w:pPr>
              <w:pStyle w:val="Tabletext"/>
            </w:pPr>
            <w:r w:rsidRPr="00FA7B58">
              <w:t>11</w:t>
            </w:r>
          </w:p>
        </w:tc>
        <w:tc>
          <w:tcPr>
            <w:tcW w:w="260" w:type="pct"/>
            <w:tcBorders>
              <w:top w:val="nil"/>
              <w:left w:val="nil"/>
              <w:bottom w:val="single" w:sz="4" w:space="0" w:color="auto"/>
              <w:right w:val="single" w:sz="4" w:space="0" w:color="auto"/>
            </w:tcBorders>
            <w:noWrap/>
            <w:vAlign w:val="bottom"/>
          </w:tcPr>
          <w:p w14:paraId="691DA6B9" w14:textId="0EDD2FF7" w:rsidR="003D72D1" w:rsidRPr="00FA7B58" w:rsidRDefault="003D72D1" w:rsidP="00F76882">
            <w:pPr>
              <w:pStyle w:val="Tabletext"/>
            </w:pPr>
            <w:r w:rsidRPr="00FA7B58">
              <w:t>25</w:t>
            </w:r>
          </w:p>
        </w:tc>
        <w:tc>
          <w:tcPr>
            <w:tcW w:w="260" w:type="pct"/>
            <w:tcBorders>
              <w:top w:val="nil"/>
              <w:left w:val="nil"/>
              <w:bottom w:val="single" w:sz="4" w:space="0" w:color="auto"/>
              <w:right w:val="single" w:sz="4" w:space="0" w:color="auto"/>
            </w:tcBorders>
            <w:noWrap/>
            <w:vAlign w:val="bottom"/>
          </w:tcPr>
          <w:p w14:paraId="3191EB3D" w14:textId="5685D78B" w:rsidR="003D72D1" w:rsidRPr="00FA7B58" w:rsidRDefault="003D72D1" w:rsidP="00F76882">
            <w:pPr>
              <w:pStyle w:val="Tabletext"/>
            </w:pPr>
            <w:r w:rsidRPr="00FA7B58">
              <w:t>13</w:t>
            </w:r>
          </w:p>
        </w:tc>
        <w:tc>
          <w:tcPr>
            <w:tcW w:w="260" w:type="pct"/>
            <w:tcBorders>
              <w:top w:val="nil"/>
              <w:left w:val="nil"/>
              <w:bottom w:val="single" w:sz="4" w:space="0" w:color="auto"/>
              <w:right w:val="single" w:sz="4" w:space="0" w:color="auto"/>
            </w:tcBorders>
            <w:noWrap/>
            <w:vAlign w:val="bottom"/>
          </w:tcPr>
          <w:p w14:paraId="45FA4971" w14:textId="67AACDE7" w:rsidR="003D72D1" w:rsidRPr="00FA7B58" w:rsidRDefault="003D72D1" w:rsidP="00F76882">
            <w:pPr>
              <w:pStyle w:val="Tabletext"/>
            </w:pPr>
            <w:r w:rsidRPr="00FA7B58">
              <w:t>43</w:t>
            </w:r>
          </w:p>
        </w:tc>
        <w:tc>
          <w:tcPr>
            <w:tcW w:w="260" w:type="pct"/>
            <w:tcBorders>
              <w:top w:val="nil"/>
              <w:left w:val="nil"/>
              <w:bottom w:val="single" w:sz="4" w:space="0" w:color="auto"/>
              <w:right w:val="single" w:sz="8" w:space="0" w:color="auto"/>
            </w:tcBorders>
            <w:noWrap/>
            <w:vAlign w:val="bottom"/>
          </w:tcPr>
          <w:p w14:paraId="2DE05C6D" w14:textId="1EAA1207" w:rsidR="003D72D1" w:rsidRPr="00FA7B58" w:rsidRDefault="003D72D1" w:rsidP="00F76882">
            <w:pPr>
              <w:pStyle w:val="Tabletext"/>
            </w:pPr>
            <w:r w:rsidRPr="00FA7B58">
              <w:t>92</w:t>
            </w:r>
          </w:p>
        </w:tc>
      </w:tr>
      <w:tr w:rsidR="003D00CE" w:rsidRPr="0036007C" w14:paraId="1F6389FE" w14:textId="77777777" w:rsidTr="003641E8">
        <w:trPr>
          <w:trHeight w:val="590"/>
        </w:trPr>
        <w:tc>
          <w:tcPr>
            <w:tcW w:w="1100"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16EB47AE" w14:textId="77777777" w:rsidR="003D72D1" w:rsidRPr="003D3BBA" w:rsidRDefault="003D72D1" w:rsidP="00F76882">
            <w:pPr>
              <w:pStyle w:val="Tabletextleft"/>
              <w:rPr>
                <w:rStyle w:val="Emphasis"/>
              </w:rPr>
            </w:pPr>
            <w:r w:rsidRPr="003D3BBA">
              <w:rPr>
                <w:rStyle w:val="Emphasis"/>
              </w:rPr>
              <w:t>Estimated overall treatment coverage (%)</w:t>
            </w:r>
          </w:p>
        </w:tc>
        <w:tc>
          <w:tcPr>
            <w:tcW w:w="260" w:type="pct"/>
            <w:tcBorders>
              <w:top w:val="nil"/>
              <w:left w:val="single" w:sz="8" w:space="0" w:color="auto"/>
              <w:bottom w:val="single" w:sz="8" w:space="0" w:color="auto"/>
              <w:right w:val="single" w:sz="4" w:space="0" w:color="auto"/>
            </w:tcBorders>
            <w:shd w:val="clear" w:color="000000" w:fill="BFBFBF"/>
            <w:noWrap/>
            <w:vAlign w:val="bottom"/>
          </w:tcPr>
          <w:p w14:paraId="5B29A863" w14:textId="7D825AB9" w:rsidR="003D72D1" w:rsidRPr="00D04FBA" w:rsidRDefault="003D72D1" w:rsidP="00F76882">
            <w:pPr>
              <w:pStyle w:val="Tabletext"/>
              <w:rPr>
                <w:rStyle w:val="Emphasis"/>
              </w:rPr>
            </w:pPr>
            <w:r w:rsidRPr="00D04FBA">
              <w:rPr>
                <w:rStyle w:val="Emphasis"/>
              </w:rPr>
              <w:t>100</w:t>
            </w:r>
          </w:p>
        </w:tc>
        <w:tc>
          <w:tcPr>
            <w:tcW w:w="260" w:type="pct"/>
            <w:tcBorders>
              <w:top w:val="nil"/>
              <w:left w:val="nil"/>
              <w:bottom w:val="single" w:sz="8" w:space="0" w:color="auto"/>
              <w:right w:val="single" w:sz="4" w:space="0" w:color="auto"/>
            </w:tcBorders>
            <w:shd w:val="clear" w:color="000000" w:fill="BFBFBF"/>
            <w:noWrap/>
            <w:vAlign w:val="bottom"/>
          </w:tcPr>
          <w:p w14:paraId="682DD76C" w14:textId="0CDF76A7" w:rsidR="003D72D1" w:rsidRPr="00D04FBA" w:rsidRDefault="003D72D1" w:rsidP="00F76882">
            <w:pPr>
              <w:pStyle w:val="Tabletext"/>
              <w:rPr>
                <w:rStyle w:val="Emphasis"/>
              </w:rPr>
            </w:pPr>
            <w:r w:rsidRPr="00D04FBA">
              <w:rPr>
                <w:rStyle w:val="Emphasis"/>
              </w:rPr>
              <w:t>92</w:t>
            </w:r>
          </w:p>
        </w:tc>
        <w:tc>
          <w:tcPr>
            <w:tcW w:w="260" w:type="pct"/>
            <w:tcBorders>
              <w:top w:val="nil"/>
              <w:left w:val="nil"/>
              <w:bottom w:val="single" w:sz="8" w:space="0" w:color="auto"/>
              <w:right w:val="single" w:sz="4" w:space="0" w:color="auto"/>
            </w:tcBorders>
            <w:shd w:val="clear" w:color="000000" w:fill="BFBFBF"/>
            <w:noWrap/>
            <w:vAlign w:val="bottom"/>
          </w:tcPr>
          <w:p w14:paraId="41AE34EF" w14:textId="73D7997D" w:rsidR="003D72D1" w:rsidRPr="00D04FBA" w:rsidRDefault="003D72D1" w:rsidP="00F76882">
            <w:pPr>
              <w:pStyle w:val="Tabletext"/>
              <w:rPr>
                <w:rStyle w:val="Emphasis"/>
              </w:rPr>
            </w:pPr>
            <w:r w:rsidRPr="00D04FBA">
              <w:rPr>
                <w:rStyle w:val="Emphasis"/>
              </w:rPr>
              <w:t>90</w:t>
            </w:r>
          </w:p>
        </w:tc>
        <w:tc>
          <w:tcPr>
            <w:tcW w:w="260" w:type="pct"/>
            <w:tcBorders>
              <w:top w:val="nil"/>
              <w:left w:val="nil"/>
              <w:bottom w:val="single" w:sz="8" w:space="0" w:color="auto"/>
              <w:right w:val="single" w:sz="4" w:space="0" w:color="auto"/>
            </w:tcBorders>
            <w:shd w:val="clear" w:color="000000" w:fill="BFBFBF"/>
            <w:noWrap/>
            <w:vAlign w:val="bottom"/>
          </w:tcPr>
          <w:p w14:paraId="5331817A" w14:textId="312852C9" w:rsidR="003D72D1" w:rsidRPr="00D04FBA" w:rsidRDefault="003D72D1" w:rsidP="00F76882">
            <w:pPr>
              <w:pStyle w:val="Tabletext"/>
              <w:rPr>
                <w:rStyle w:val="Emphasis"/>
              </w:rPr>
            </w:pPr>
            <w:r w:rsidRPr="00D04FBA">
              <w:rPr>
                <w:rStyle w:val="Emphasis"/>
              </w:rPr>
              <w:t>70</w:t>
            </w:r>
          </w:p>
        </w:tc>
        <w:tc>
          <w:tcPr>
            <w:tcW w:w="260" w:type="pct"/>
            <w:tcBorders>
              <w:top w:val="nil"/>
              <w:left w:val="nil"/>
              <w:bottom w:val="single" w:sz="8" w:space="0" w:color="auto"/>
              <w:right w:val="single" w:sz="8" w:space="0" w:color="auto"/>
            </w:tcBorders>
            <w:shd w:val="clear" w:color="000000" w:fill="BFBFBF"/>
            <w:noWrap/>
            <w:vAlign w:val="bottom"/>
          </w:tcPr>
          <w:p w14:paraId="2D40F831" w14:textId="72FCC4F4" w:rsidR="003D72D1" w:rsidRPr="00D04FBA" w:rsidRDefault="003D72D1" w:rsidP="00F76882">
            <w:pPr>
              <w:pStyle w:val="Tabletext"/>
              <w:rPr>
                <w:rStyle w:val="Emphasis"/>
              </w:rPr>
            </w:pPr>
            <w:r w:rsidRPr="00D04FBA">
              <w:rPr>
                <w:rStyle w:val="Emphasis"/>
              </w:rPr>
              <w:t>80</w:t>
            </w:r>
          </w:p>
        </w:tc>
        <w:tc>
          <w:tcPr>
            <w:tcW w:w="260" w:type="pct"/>
            <w:tcBorders>
              <w:top w:val="nil"/>
              <w:left w:val="nil"/>
              <w:bottom w:val="single" w:sz="8" w:space="0" w:color="auto"/>
              <w:right w:val="single" w:sz="4" w:space="0" w:color="auto"/>
            </w:tcBorders>
            <w:shd w:val="clear" w:color="000000" w:fill="BFBFBF"/>
            <w:noWrap/>
            <w:vAlign w:val="bottom"/>
          </w:tcPr>
          <w:p w14:paraId="307E4598" w14:textId="661CBFF8" w:rsidR="003D72D1" w:rsidRPr="00D04FBA" w:rsidRDefault="003D72D1" w:rsidP="00F76882">
            <w:pPr>
              <w:pStyle w:val="Tabletext"/>
              <w:rPr>
                <w:rStyle w:val="Emphasis"/>
              </w:rPr>
            </w:pPr>
            <w:r w:rsidRPr="00D04FBA">
              <w:rPr>
                <w:rStyle w:val="Emphasis"/>
              </w:rPr>
              <w:t>100</w:t>
            </w:r>
          </w:p>
        </w:tc>
        <w:tc>
          <w:tcPr>
            <w:tcW w:w="260" w:type="pct"/>
            <w:tcBorders>
              <w:top w:val="nil"/>
              <w:left w:val="nil"/>
              <w:bottom w:val="single" w:sz="8" w:space="0" w:color="auto"/>
              <w:right w:val="single" w:sz="4" w:space="0" w:color="auto"/>
            </w:tcBorders>
            <w:shd w:val="clear" w:color="000000" w:fill="BFBFBF"/>
            <w:noWrap/>
            <w:vAlign w:val="bottom"/>
          </w:tcPr>
          <w:p w14:paraId="7740B13B" w14:textId="77FD8CB2" w:rsidR="003D72D1" w:rsidRPr="00D04FBA" w:rsidRDefault="003D72D1" w:rsidP="00F76882">
            <w:pPr>
              <w:pStyle w:val="Tabletext"/>
              <w:rPr>
                <w:rStyle w:val="Emphasis"/>
              </w:rPr>
            </w:pPr>
            <w:r w:rsidRPr="00D04FBA">
              <w:rPr>
                <w:rStyle w:val="Emphasis"/>
              </w:rPr>
              <w:t>100</w:t>
            </w:r>
          </w:p>
        </w:tc>
        <w:tc>
          <w:tcPr>
            <w:tcW w:w="260" w:type="pct"/>
            <w:tcBorders>
              <w:top w:val="nil"/>
              <w:left w:val="nil"/>
              <w:bottom w:val="single" w:sz="8" w:space="0" w:color="auto"/>
              <w:right w:val="single" w:sz="4" w:space="0" w:color="auto"/>
            </w:tcBorders>
            <w:shd w:val="clear" w:color="000000" w:fill="BFBFBF"/>
            <w:noWrap/>
            <w:vAlign w:val="bottom"/>
          </w:tcPr>
          <w:p w14:paraId="07DC1C8C" w14:textId="550B6F51" w:rsidR="003D72D1" w:rsidRPr="00D04FBA" w:rsidRDefault="003D72D1" w:rsidP="00F76882">
            <w:pPr>
              <w:pStyle w:val="Tabletext"/>
              <w:rPr>
                <w:rStyle w:val="Emphasis"/>
              </w:rPr>
            </w:pPr>
            <w:r w:rsidRPr="00D04FBA">
              <w:rPr>
                <w:rStyle w:val="Emphasis"/>
              </w:rPr>
              <w:t>100</w:t>
            </w:r>
          </w:p>
        </w:tc>
        <w:tc>
          <w:tcPr>
            <w:tcW w:w="260" w:type="pct"/>
            <w:tcBorders>
              <w:top w:val="nil"/>
              <w:left w:val="nil"/>
              <w:bottom w:val="single" w:sz="8" w:space="0" w:color="auto"/>
              <w:right w:val="single" w:sz="4" w:space="0" w:color="auto"/>
            </w:tcBorders>
            <w:shd w:val="clear" w:color="000000" w:fill="BFBFBF"/>
            <w:noWrap/>
            <w:vAlign w:val="bottom"/>
          </w:tcPr>
          <w:p w14:paraId="223FE0EE" w14:textId="32BA4A92" w:rsidR="003D72D1" w:rsidRPr="00D04FBA" w:rsidRDefault="003D72D1" w:rsidP="00F76882">
            <w:pPr>
              <w:pStyle w:val="Tabletext"/>
              <w:rPr>
                <w:rStyle w:val="Emphasis"/>
              </w:rPr>
            </w:pPr>
            <w:r w:rsidRPr="00D04FBA">
              <w:rPr>
                <w:rStyle w:val="Emphasis"/>
              </w:rPr>
              <w:t>94</w:t>
            </w:r>
          </w:p>
        </w:tc>
        <w:tc>
          <w:tcPr>
            <w:tcW w:w="260" w:type="pct"/>
            <w:tcBorders>
              <w:top w:val="nil"/>
              <w:left w:val="nil"/>
              <w:bottom w:val="single" w:sz="8" w:space="0" w:color="auto"/>
              <w:right w:val="single" w:sz="8" w:space="0" w:color="auto"/>
            </w:tcBorders>
            <w:shd w:val="clear" w:color="000000" w:fill="BFBFBF"/>
            <w:noWrap/>
            <w:vAlign w:val="bottom"/>
          </w:tcPr>
          <w:p w14:paraId="07A4DB8A" w14:textId="2FCB9C34" w:rsidR="003D72D1" w:rsidRPr="00D04FBA" w:rsidRDefault="003D72D1" w:rsidP="00F76882">
            <w:pPr>
              <w:pStyle w:val="Tabletext"/>
              <w:rPr>
                <w:rStyle w:val="Emphasis"/>
              </w:rPr>
            </w:pPr>
            <w:r w:rsidRPr="00D04FBA">
              <w:rPr>
                <w:rStyle w:val="Emphasis"/>
              </w:rPr>
              <w:t>98</w:t>
            </w:r>
          </w:p>
        </w:tc>
        <w:tc>
          <w:tcPr>
            <w:tcW w:w="260" w:type="pct"/>
            <w:tcBorders>
              <w:top w:val="nil"/>
              <w:left w:val="nil"/>
              <w:bottom w:val="single" w:sz="8" w:space="0" w:color="auto"/>
              <w:right w:val="single" w:sz="4" w:space="0" w:color="auto"/>
            </w:tcBorders>
            <w:shd w:val="clear" w:color="000000" w:fill="BFBFBF"/>
            <w:noWrap/>
            <w:vAlign w:val="bottom"/>
          </w:tcPr>
          <w:p w14:paraId="5A86DEC6" w14:textId="31345693" w:rsidR="003D72D1" w:rsidRPr="00D04FBA" w:rsidRDefault="003D72D1" w:rsidP="00F76882">
            <w:pPr>
              <w:pStyle w:val="Tabletext"/>
              <w:rPr>
                <w:rStyle w:val="Emphasis"/>
              </w:rPr>
            </w:pPr>
            <w:r w:rsidRPr="00D04FBA">
              <w:rPr>
                <w:rStyle w:val="Emphasis"/>
              </w:rPr>
              <w:t>100</w:t>
            </w:r>
          </w:p>
        </w:tc>
        <w:tc>
          <w:tcPr>
            <w:tcW w:w="260" w:type="pct"/>
            <w:tcBorders>
              <w:top w:val="nil"/>
              <w:left w:val="nil"/>
              <w:bottom w:val="single" w:sz="8" w:space="0" w:color="auto"/>
              <w:right w:val="single" w:sz="4" w:space="0" w:color="auto"/>
            </w:tcBorders>
            <w:shd w:val="clear" w:color="000000" w:fill="BFBFBF"/>
            <w:noWrap/>
            <w:vAlign w:val="bottom"/>
          </w:tcPr>
          <w:p w14:paraId="031D4121" w14:textId="3FEA1D85" w:rsidR="003D72D1" w:rsidRPr="00D04FBA" w:rsidRDefault="003D72D1" w:rsidP="00F76882">
            <w:pPr>
              <w:pStyle w:val="Tabletext"/>
              <w:rPr>
                <w:rStyle w:val="Emphasis"/>
              </w:rPr>
            </w:pPr>
            <w:r w:rsidRPr="00D04FBA">
              <w:rPr>
                <w:rStyle w:val="Emphasis"/>
              </w:rPr>
              <w:t>96</w:t>
            </w:r>
          </w:p>
        </w:tc>
        <w:tc>
          <w:tcPr>
            <w:tcW w:w="260" w:type="pct"/>
            <w:tcBorders>
              <w:top w:val="nil"/>
              <w:left w:val="nil"/>
              <w:bottom w:val="single" w:sz="8" w:space="0" w:color="auto"/>
              <w:right w:val="single" w:sz="4" w:space="0" w:color="auto"/>
            </w:tcBorders>
            <w:shd w:val="clear" w:color="000000" w:fill="BFBFBF"/>
            <w:noWrap/>
            <w:vAlign w:val="bottom"/>
          </w:tcPr>
          <w:p w14:paraId="14583162" w14:textId="137B422C" w:rsidR="003D72D1" w:rsidRPr="00D04FBA" w:rsidRDefault="003D72D1" w:rsidP="00F76882">
            <w:pPr>
              <w:pStyle w:val="Tabletext"/>
              <w:rPr>
                <w:rStyle w:val="Emphasis"/>
              </w:rPr>
            </w:pPr>
            <w:r w:rsidRPr="00D04FBA">
              <w:rPr>
                <w:rStyle w:val="Emphasis"/>
              </w:rPr>
              <w:t>93</w:t>
            </w:r>
          </w:p>
        </w:tc>
        <w:tc>
          <w:tcPr>
            <w:tcW w:w="260" w:type="pct"/>
            <w:tcBorders>
              <w:top w:val="nil"/>
              <w:left w:val="nil"/>
              <w:bottom w:val="single" w:sz="8" w:space="0" w:color="auto"/>
              <w:right w:val="single" w:sz="4" w:space="0" w:color="auto"/>
            </w:tcBorders>
            <w:shd w:val="clear" w:color="000000" w:fill="BFBFBF"/>
            <w:noWrap/>
            <w:vAlign w:val="bottom"/>
          </w:tcPr>
          <w:p w14:paraId="166B3E65" w14:textId="7AA65711" w:rsidR="003D72D1" w:rsidRPr="00D04FBA" w:rsidRDefault="003D72D1" w:rsidP="00F76882">
            <w:pPr>
              <w:pStyle w:val="Tabletext"/>
              <w:rPr>
                <w:rStyle w:val="Emphasis"/>
              </w:rPr>
            </w:pPr>
            <w:r w:rsidRPr="00D04FBA">
              <w:rPr>
                <w:rStyle w:val="Emphasis"/>
              </w:rPr>
              <w:t>78</w:t>
            </w:r>
          </w:p>
        </w:tc>
        <w:tc>
          <w:tcPr>
            <w:tcW w:w="260" w:type="pct"/>
            <w:tcBorders>
              <w:top w:val="nil"/>
              <w:left w:val="nil"/>
              <w:bottom w:val="single" w:sz="8" w:space="0" w:color="auto"/>
              <w:right w:val="single" w:sz="8" w:space="0" w:color="auto"/>
            </w:tcBorders>
            <w:shd w:val="clear" w:color="000000" w:fill="BFBFBF"/>
            <w:noWrap/>
            <w:vAlign w:val="bottom"/>
          </w:tcPr>
          <w:p w14:paraId="2B455F3E" w14:textId="5A671325" w:rsidR="003D72D1" w:rsidRPr="00D04FBA" w:rsidRDefault="003D72D1" w:rsidP="00F76882">
            <w:pPr>
              <w:pStyle w:val="Tabletext"/>
              <w:rPr>
                <w:rStyle w:val="Emphasis"/>
              </w:rPr>
            </w:pPr>
            <w:r w:rsidRPr="00D04FBA">
              <w:rPr>
                <w:rStyle w:val="Emphasis"/>
              </w:rPr>
              <w:t>87</w:t>
            </w:r>
          </w:p>
        </w:tc>
      </w:tr>
    </w:tbl>
    <w:p w14:paraId="1CC5F638" w14:textId="3CAA7F2E" w:rsidR="00E3767F" w:rsidRPr="00A33DD2" w:rsidRDefault="00EB6FE1" w:rsidP="00F76882">
      <w:pPr>
        <w:pStyle w:val="tablefigfootnote"/>
        <w:sectPr w:rsidR="00E3767F" w:rsidRPr="00A33DD2" w:rsidSect="00C04CBB">
          <w:pgSz w:w="16838" w:h="11906" w:orient="landscape"/>
          <w:pgMar w:top="720" w:right="720" w:bottom="720" w:left="720" w:header="709" w:footer="709" w:gutter="0"/>
          <w:cols w:space="708"/>
          <w:docGrid w:linePitch="360"/>
        </w:sectPr>
      </w:pPr>
      <w:bookmarkStart w:id="399" w:name="Table46"/>
      <w:bookmarkStart w:id="400" w:name="_Toc392153935"/>
      <w:bookmarkStart w:id="401" w:name="_Toc520298319"/>
      <w:r w:rsidRPr="00A33DD2">
        <w:t>* Estimated as per CDNA Guidelines</w:t>
      </w:r>
      <w:r w:rsidR="009F6DF5" w:rsidRPr="00A33DD2">
        <w:t>.</w:t>
      </w:r>
    </w:p>
    <w:p w14:paraId="71839177" w14:textId="5D2D5571" w:rsidR="00E3767F" w:rsidRPr="0036007C" w:rsidRDefault="00E3767F" w:rsidP="00F76882">
      <w:pPr>
        <w:pStyle w:val="Tableheadings"/>
      </w:pPr>
      <w:bookmarkStart w:id="402" w:name="_Ref58336834"/>
      <w:bookmarkStart w:id="403" w:name="_Toc215224721"/>
      <w:bookmarkEnd w:id="399"/>
      <w:bookmarkEnd w:id="400"/>
      <w:bookmarkEnd w:id="401"/>
      <w:r w:rsidRPr="0036007C">
        <w:t xml:space="preserve">Table </w:t>
      </w:r>
      <w:r w:rsidR="00C773E5" w:rsidRPr="0036007C">
        <w:t>5</w:t>
      </w:r>
      <w:r w:rsidRPr="0036007C">
        <w:t>.</w:t>
      </w:r>
      <w:r w:rsidRPr="0036007C">
        <w:fldChar w:fldCharType="begin"/>
      </w:r>
      <w:r w:rsidRPr="0036007C">
        <w:instrText>SEQ Table \* ARABIC \s 1</w:instrText>
      </w:r>
      <w:r w:rsidRPr="0036007C">
        <w:fldChar w:fldCharType="separate"/>
      </w:r>
      <w:r w:rsidRPr="0036007C">
        <w:t>6</w:t>
      </w:r>
      <w:r w:rsidRPr="0036007C">
        <w:fldChar w:fldCharType="end"/>
      </w:r>
      <w:bookmarkEnd w:id="402"/>
      <w:r w:rsidRPr="0036007C">
        <w:tab/>
      </w:r>
      <w:r w:rsidR="00EE4A30" w:rsidRPr="0036007C">
        <w:t xml:space="preserve">Trachomatous </w:t>
      </w:r>
      <w:r w:rsidR="000A3F46" w:rsidRPr="0036007C">
        <w:t xml:space="preserve">trichiasis </w:t>
      </w:r>
      <w:r w:rsidR="009665DD" w:rsidRPr="0036007C">
        <w:t xml:space="preserve">(TT) </w:t>
      </w:r>
      <w:r w:rsidR="000A3F46" w:rsidRPr="0036007C">
        <w:t xml:space="preserve">screening coverage, </w:t>
      </w:r>
      <w:r w:rsidR="00703A0F" w:rsidRPr="0036007C">
        <w:t>TT screened proportion</w:t>
      </w:r>
      <w:r w:rsidR="0088798F" w:rsidRPr="0036007C">
        <w:t xml:space="preserve">, and </w:t>
      </w:r>
      <w:r w:rsidR="00860B6A" w:rsidRPr="0036007C">
        <w:t>surgery</w:t>
      </w:r>
      <w:r w:rsidR="000A3F46" w:rsidRPr="0036007C">
        <w:t xml:space="preserve"> among Indigenous </w:t>
      </w:r>
      <w:r w:rsidR="00AA1627" w:rsidRPr="0036007C">
        <w:t>persons</w:t>
      </w:r>
      <w:r w:rsidR="000A3F46" w:rsidRPr="0036007C">
        <w:t xml:space="preserve"> </w:t>
      </w:r>
      <w:r w:rsidRPr="0036007C">
        <w:t>by region, Western Australia</w:t>
      </w:r>
      <w:r w:rsidR="00C6767F" w:rsidRPr="0036007C">
        <w:t>,</w:t>
      </w:r>
      <w:r w:rsidRPr="0036007C">
        <w:t xml:space="preserve"> </w:t>
      </w:r>
      <w:r w:rsidR="00E76BB4" w:rsidRPr="0036007C">
        <w:t>202</w:t>
      </w:r>
      <w:r w:rsidR="00050459" w:rsidRPr="0036007C">
        <w:t>4</w:t>
      </w:r>
      <w:bookmarkEnd w:id="403"/>
    </w:p>
    <w:tbl>
      <w:tblPr>
        <w:tblW w:w="5000" w:type="pct"/>
        <w:tblLook w:val="04A0" w:firstRow="1" w:lastRow="0" w:firstColumn="1" w:lastColumn="0" w:noHBand="0" w:noVBand="1"/>
        <w:tblCaption w:val="Trachomatous trichiasis (TT) screening coverage, TT screened proportion, and surgery among Indigenous persons by region, Western Australia, 2024"/>
        <w:tblDescription w:val="Table 5.6 compares the numbers and proportions of persons aged 15-39 and 40+ years who were screened, confirmed as a new TT case, and received surgery. Data is presented for the Goldfields, Kimberley, Midwest, Pilbara, and the cumulative total.&#10;"/>
      </w:tblPr>
      <w:tblGrid>
        <w:gridCol w:w="2790"/>
        <w:gridCol w:w="1141"/>
        <w:gridCol w:w="887"/>
        <w:gridCol w:w="1082"/>
        <w:gridCol w:w="948"/>
        <w:gridCol w:w="1141"/>
        <w:gridCol w:w="887"/>
        <w:gridCol w:w="1141"/>
        <w:gridCol w:w="887"/>
        <w:gridCol w:w="1105"/>
        <w:gridCol w:w="968"/>
        <w:gridCol w:w="971"/>
      </w:tblGrid>
      <w:tr w:rsidR="0052062E" w:rsidRPr="0036007C" w14:paraId="45BF4E9C" w14:textId="77777777" w:rsidTr="004609FA">
        <w:trPr>
          <w:trHeight w:val="290"/>
          <w:tblHeader/>
        </w:trPr>
        <w:tc>
          <w:tcPr>
            <w:tcW w:w="1000" w:type="pct"/>
            <w:tcBorders>
              <w:top w:val="single" w:sz="4" w:space="0" w:color="auto"/>
              <w:left w:val="single" w:sz="4" w:space="0" w:color="auto"/>
              <w:bottom w:val="single" w:sz="4" w:space="0" w:color="auto"/>
              <w:right w:val="single" w:sz="4" w:space="0" w:color="auto"/>
            </w:tcBorders>
            <w:shd w:val="clear" w:color="000000" w:fill="BFBFBF"/>
            <w:noWrap/>
            <w:hideMark/>
          </w:tcPr>
          <w:p w14:paraId="436327FB" w14:textId="77777777" w:rsidR="00046C9F" w:rsidRPr="0036007C" w:rsidRDefault="00046C9F" w:rsidP="00F76882">
            <w:pPr>
              <w:pStyle w:val="Tableheading"/>
              <w:rPr>
                <w:lang w:eastAsia="en-AU"/>
              </w:rPr>
            </w:pPr>
            <w:r w:rsidRPr="0036007C">
              <w:t> </w:t>
            </w:r>
          </w:p>
        </w:tc>
        <w:tc>
          <w:tcPr>
            <w:tcW w:w="727" w:type="pct"/>
            <w:gridSpan w:val="2"/>
            <w:tcBorders>
              <w:top w:val="single" w:sz="4" w:space="0" w:color="auto"/>
              <w:left w:val="nil"/>
              <w:bottom w:val="single" w:sz="4" w:space="0" w:color="auto"/>
              <w:right w:val="single" w:sz="4" w:space="0" w:color="000000"/>
            </w:tcBorders>
            <w:shd w:val="clear" w:color="000000" w:fill="BFBFBF"/>
            <w:noWrap/>
            <w:hideMark/>
          </w:tcPr>
          <w:p w14:paraId="4E019656" w14:textId="77777777" w:rsidR="00046C9F" w:rsidRPr="0036007C" w:rsidRDefault="00046C9F" w:rsidP="00F76882">
            <w:pPr>
              <w:pStyle w:val="Tableheading"/>
            </w:pPr>
            <w:r w:rsidRPr="0036007C">
              <w:t>Goldfields</w:t>
            </w:r>
          </w:p>
        </w:tc>
        <w:tc>
          <w:tcPr>
            <w:tcW w:w="728" w:type="pct"/>
            <w:gridSpan w:val="2"/>
            <w:tcBorders>
              <w:top w:val="single" w:sz="4" w:space="0" w:color="auto"/>
              <w:left w:val="nil"/>
              <w:bottom w:val="single" w:sz="4" w:space="0" w:color="auto"/>
              <w:right w:val="single" w:sz="4" w:space="0" w:color="000000"/>
            </w:tcBorders>
            <w:shd w:val="clear" w:color="000000" w:fill="BFBFBF"/>
            <w:noWrap/>
            <w:hideMark/>
          </w:tcPr>
          <w:p w14:paraId="2DF1317E" w14:textId="77777777" w:rsidR="00046C9F" w:rsidRPr="0036007C" w:rsidRDefault="00046C9F" w:rsidP="00F76882">
            <w:pPr>
              <w:pStyle w:val="Tableheading"/>
            </w:pPr>
            <w:r w:rsidRPr="0036007C">
              <w:t>Kimberley</w:t>
            </w:r>
          </w:p>
        </w:tc>
        <w:tc>
          <w:tcPr>
            <w:tcW w:w="727" w:type="pct"/>
            <w:gridSpan w:val="2"/>
            <w:tcBorders>
              <w:top w:val="single" w:sz="4" w:space="0" w:color="auto"/>
              <w:left w:val="nil"/>
              <w:bottom w:val="single" w:sz="4" w:space="0" w:color="auto"/>
              <w:right w:val="single" w:sz="4" w:space="0" w:color="000000"/>
            </w:tcBorders>
            <w:shd w:val="clear" w:color="000000" w:fill="BFBFBF"/>
            <w:noWrap/>
            <w:hideMark/>
          </w:tcPr>
          <w:p w14:paraId="190476DB" w14:textId="77777777" w:rsidR="00046C9F" w:rsidRPr="0036007C" w:rsidRDefault="00046C9F" w:rsidP="00F76882">
            <w:pPr>
              <w:pStyle w:val="Tableheading"/>
            </w:pPr>
            <w:r w:rsidRPr="0036007C">
              <w:t>Midwest</w:t>
            </w:r>
          </w:p>
        </w:tc>
        <w:tc>
          <w:tcPr>
            <w:tcW w:w="727" w:type="pct"/>
            <w:gridSpan w:val="2"/>
            <w:tcBorders>
              <w:top w:val="single" w:sz="4" w:space="0" w:color="auto"/>
              <w:left w:val="nil"/>
              <w:bottom w:val="single" w:sz="4" w:space="0" w:color="auto"/>
              <w:right w:val="single" w:sz="4" w:space="0" w:color="000000"/>
            </w:tcBorders>
            <w:shd w:val="clear" w:color="000000" w:fill="BFBFBF"/>
            <w:noWrap/>
            <w:hideMark/>
          </w:tcPr>
          <w:p w14:paraId="5B507F5B" w14:textId="77777777" w:rsidR="00046C9F" w:rsidRPr="0036007C" w:rsidRDefault="00046C9F" w:rsidP="00F76882">
            <w:pPr>
              <w:pStyle w:val="Tableheading"/>
            </w:pPr>
            <w:r w:rsidRPr="0036007C">
              <w:t>Pilbara</w:t>
            </w:r>
          </w:p>
        </w:tc>
        <w:tc>
          <w:tcPr>
            <w:tcW w:w="1091" w:type="pct"/>
            <w:gridSpan w:val="3"/>
            <w:tcBorders>
              <w:top w:val="single" w:sz="4" w:space="0" w:color="auto"/>
              <w:left w:val="nil"/>
              <w:bottom w:val="single" w:sz="4" w:space="0" w:color="auto"/>
              <w:right w:val="single" w:sz="4" w:space="0" w:color="000000"/>
            </w:tcBorders>
            <w:shd w:val="clear" w:color="000000" w:fill="BFBFBF"/>
            <w:noWrap/>
            <w:hideMark/>
          </w:tcPr>
          <w:p w14:paraId="3A32B10F" w14:textId="77777777" w:rsidR="00046C9F" w:rsidRPr="0036007C" w:rsidRDefault="00046C9F" w:rsidP="00F76882">
            <w:pPr>
              <w:pStyle w:val="Tableheading"/>
            </w:pPr>
            <w:r w:rsidRPr="0036007C">
              <w:t>Total</w:t>
            </w:r>
          </w:p>
        </w:tc>
      </w:tr>
      <w:tr w:rsidR="003E4CE4" w:rsidRPr="0036007C" w14:paraId="69215DD0" w14:textId="77777777" w:rsidTr="004D4D79">
        <w:trPr>
          <w:trHeight w:val="580"/>
        </w:trPr>
        <w:tc>
          <w:tcPr>
            <w:tcW w:w="1000" w:type="pct"/>
            <w:tcBorders>
              <w:top w:val="nil"/>
              <w:left w:val="single" w:sz="4" w:space="0" w:color="auto"/>
              <w:bottom w:val="single" w:sz="4" w:space="0" w:color="auto"/>
              <w:right w:val="single" w:sz="4" w:space="0" w:color="auto"/>
            </w:tcBorders>
            <w:hideMark/>
          </w:tcPr>
          <w:p w14:paraId="57379F6C" w14:textId="34685F3A" w:rsidR="003E4CE4" w:rsidRPr="00FA7B58" w:rsidRDefault="003E4CE4" w:rsidP="00F76882">
            <w:pPr>
              <w:pStyle w:val="Tabletextleft"/>
            </w:pPr>
            <w:r w:rsidRPr="00FA7B58">
              <w:t xml:space="preserve">Number of communities screened for </w:t>
            </w:r>
            <w:r w:rsidR="009665DD" w:rsidRPr="00FA7B58">
              <w:t>TT</w:t>
            </w:r>
          </w:p>
        </w:tc>
        <w:tc>
          <w:tcPr>
            <w:tcW w:w="727" w:type="pct"/>
            <w:gridSpan w:val="2"/>
            <w:tcBorders>
              <w:top w:val="single" w:sz="4" w:space="0" w:color="auto"/>
              <w:left w:val="nil"/>
              <w:bottom w:val="single" w:sz="4" w:space="0" w:color="auto"/>
              <w:right w:val="single" w:sz="4" w:space="0" w:color="000000"/>
            </w:tcBorders>
            <w:noWrap/>
          </w:tcPr>
          <w:p w14:paraId="0BEBC988" w14:textId="7C6BA0A1" w:rsidR="003E4CE4" w:rsidRPr="0036007C" w:rsidRDefault="003E4CE4" w:rsidP="00F76882">
            <w:pPr>
              <w:pStyle w:val="Tabletext"/>
            </w:pPr>
            <w:r w:rsidRPr="0036007C">
              <w:t>2</w:t>
            </w:r>
          </w:p>
        </w:tc>
        <w:tc>
          <w:tcPr>
            <w:tcW w:w="728" w:type="pct"/>
            <w:gridSpan w:val="2"/>
            <w:tcBorders>
              <w:top w:val="single" w:sz="4" w:space="0" w:color="auto"/>
              <w:left w:val="nil"/>
              <w:bottom w:val="single" w:sz="4" w:space="0" w:color="auto"/>
              <w:right w:val="single" w:sz="4" w:space="0" w:color="000000"/>
            </w:tcBorders>
            <w:noWrap/>
          </w:tcPr>
          <w:p w14:paraId="6F9F0AF8" w14:textId="47FE3A65" w:rsidR="003E4CE4" w:rsidRPr="0036007C" w:rsidRDefault="003E4CE4" w:rsidP="00F76882">
            <w:pPr>
              <w:pStyle w:val="Tabletext"/>
            </w:pPr>
            <w:r w:rsidRPr="0036007C">
              <w:t>42</w:t>
            </w:r>
          </w:p>
        </w:tc>
        <w:tc>
          <w:tcPr>
            <w:tcW w:w="727" w:type="pct"/>
            <w:gridSpan w:val="2"/>
            <w:tcBorders>
              <w:top w:val="single" w:sz="4" w:space="0" w:color="auto"/>
              <w:left w:val="nil"/>
              <w:bottom w:val="single" w:sz="4" w:space="0" w:color="auto"/>
              <w:right w:val="single" w:sz="4" w:space="0" w:color="000000"/>
            </w:tcBorders>
            <w:noWrap/>
          </w:tcPr>
          <w:p w14:paraId="4374BE82" w14:textId="7F1322E8" w:rsidR="003E4CE4" w:rsidRPr="0036007C" w:rsidRDefault="003E4CE4" w:rsidP="00F76882">
            <w:pPr>
              <w:pStyle w:val="Tabletext"/>
            </w:pPr>
            <w:r w:rsidRPr="0036007C">
              <w:t>4</w:t>
            </w:r>
          </w:p>
        </w:tc>
        <w:tc>
          <w:tcPr>
            <w:tcW w:w="727" w:type="pct"/>
            <w:gridSpan w:val="2"/>
            <w:tcBorders>
              <w:top w:val="single" w:sz="4" w:space="0" w:color="auto"/>
              <w:left w:val="nil"/>
              <w:bottom w:val="single" w:sz="4" w:space="0" w:color="auto"/>
              <w:right w:val="single" w:sz="4" w:space="0" w:color="000000"/>
            </w:tcBorders>
            <w:noWrap/>
          </w:tcPr>
          <w:p w14:paraId="70BD6926" w14:textId="1C2F25E7" w:rsidR="003E4CE4" w:rsidRPr="0036007C" w:rsidRDefault="003E4CE4" w:rsidP="00F76882">
            <w:pPr>
              <w:pStyle w:val="Tabletext"/>
            </w:pPr>
            <w:r w:rsidRPr="0036007C">
              <w:t>14</w:t>
            </w:r>
          </w:p>
        </w:tc>
        <w:tc>
          <w:tcPr>
            <w:tcW w:w="1091" w:type="pct"/>
            <w:gridSpan w:val="3"/>
            <w:tcBorders>
              <w:top w:val="single" w:sz="4" w:space="0" w:color="auto"/>
              <w:left w:val="nil"/>
              <w:bottom w:val="single" w:sz="4" w:space="0" w:color="auto"/>
              <w:right w:val="single" w:sz="4" w:space="0" w:color="000000"/>
            </w:tcBorders>
            <w:noWrap/>
          </w:tcPr>
          <w:p w14:paraId="2D77D489" w14:textId="57CDE010" w:rsidR="003E4CE4" w:rsidRPr="0036007C" w:rsidRDefault="003E4CE4" w:rsidP="00F76882">
            <w:pPr>
              <w:pStyle w:val="Tabletext"/>
            </w:pPr>
            <w:r w:rsidRPr="0036007C">
              <w:t>62</w:t>
            </w:r>
          </w:p>
        </w:tc>
      </w:tr>
      <w:tr w:rsidR="003E4CE4" w:rsidRPr="0036007C" w14:paraId="41C7E033" w14:textId="77777777" w:rsidTr="004D4D79">
        <w:trPr>
          <w:trHeight w:val="290"/>
        </w:trPr>
        <w:tc>
          <w:tcPr>
            <w:tcW w:w="1000" w:type="pct"/>
            <w:tcBorders>
              <w:top w:val="nil"/>
              <w:left w:val="single" w:sz="4" w:space="0" w:color="auto"/>
              <w:bottom w:val="single" w:sz="4" w:space="0" w:color="auto"/>
              <w:right w:val="single" w:sz="4" w:space="0" w:color="auto"/>
            </w:tcBorders>
            <w:shd w:val="clear" w:color="000000" w:fill="BFBFBF"/>
            <w:hideMark/>
          </w:tcPr>
          <w:p w14:paraId="4018F0CB" w14:textId="7EB8EE4F" w:rsidR="003E4CE4" w:rsidRPr="00FA7B58" w:rsidRDefault="003E4CE4" w:rsidP="00F76882">
            <w:pPr>
              <w:pStyle w:val="Tabletextleft"/>
            </w:pPr>
            <w:r w:rsidRPr="00FA7B58">
              <w:t>Age group (years)</w:t>
            </w:r>
          </w:p>
        </w:tc>
        <w:tc>
          <w:tcPr>
            <w:tcW w:w="409" w:type="pct"/>
            <w:tcBorders>
              <w:top w:val="nil"/>
              <w:left w:val="nil"/>
              <w:bottom w:val="single" w:sz="4" w:space="0" w:color="auto"/>
              <w:right w:val="single" w:sz="4" w:space="0" w:color="auto"/>
            </w:tcBorders>
            <w:shd w:val="clear" w:color="000000" w:fill="BFBFBF"/>
            <w:noWrap/>
            <w:hideMark/>
          </w:tcPr>
          <w:p w14:paraId="17DA7BBB" w14:textId="3AA93CD7" w:rsidR="003E4CE4" w:rsidRPr="0036007C" w:rsidRDefault="003E4CE4" w:rsidP="00F76882">
            <w:pPr>
              <w:pStyle w:val="Tabletext"/>
            </w:pPr>
            <w:r w:rsidRPr="0036007C">
              <w:t>15–39</w:t>
            </w:r>
          </w:p>
        </w:tc>
        <w:tc>
          <w:tcPr>
            <w:tcW w:w="318" w:type="pct"/>
            <w:tcBorders>
              <w:top w:val="nil"/>
              <w:left w:val="nil"/>
              <w:bottom w:val="single" w:sz="4" w:space="0" w:color="auto"/>
              <w:right w:val="single" w:sz="4" w:space="0" w:color="auto"/>
            </w:tcBorders>
            <w:shd w:val="clear" w:color="000000" w:fill="BFBFBF"/>
            <w:noWrap/>
            <w:hideMark/>
          </w:tcPr>
          <w:p w14:paraId="33C9828F" w14:textId="77777777" w:rsidR="003E4CE4" w:rsidRPr="0036007C" w:rsidRDefault="003E4CE4" w:rsidP="00F76882">
            <w:pPr>
              <w:pStyle w:val="Tabletext"/>
            </w:pPr>
            <w:r w:rsidRPr="0036007C">
              <w:t>40+</w:t>
            </w:r>
          </w:p>
        </w:tc>
        <w:tc>
          <w:tcPr>
            <w:tcW w:w="388" w:type="pct"/>
            <w:tcBorders>
              <w:top w:val="nil"/>
              <w:left w:val="nil"/>
              <w:bottom w:val="single" w:sz="4" w:space="0" w:color="auto"/>
              <w:right w:val="single" w:sz="4" w:space="0" w:color="auto"/>
            </w:tcBorders>
            <w:shd w:val="clear" w:color="000000" w:fill="BFBFBF"/>
            <w:noWrap/>
            <w:hideMark/>
          </w:tcPr>
          <w:p w14:paraId="54A288AE" w14:textId="707B547A" w:rsidR="003E4CE4" w:rsidRPr="0036007C" w:rsidRDefault="003E4CE4" w:rsidP="00F76882">
            <w:pPr>
              <w:pStyle w:val="Tabletext"/>
            </w:pPr>
            <w:r w:rsidRPr="0036007C">
              <w:t>15–39</w:t>
            </w:r>
          </w:p>
        </w:tc>
        <w:tc>
          <w:tcPr>
            <w:tcW w:w="340" w:type="pct"/>
            <w:tcBorders>
              <w:top w:val="nil"/>
              <w:left w:val="nil"/>
              <w:bottom w:val="single" w:sz="4" w:space="0" w:color="auto"/>
              <w:right w:val="single" w:sz="4" w:space="0" w:color="auto"/>
            </w:tcBorders>
            <w:shd w:val="clear" w:color="000000" w:fill="BFBFBF"/>
            <w:noWrap/>
            <w:hideMark/>
          </w:tcPr>
          <w:p w14:paraId="7A626827" w14:textId="77777777" w:rsidR="003E4CE4" w:rsidRPr="0036007C" w:rsidRDefault="003E4CE4" w:rsidP="00F76882">
            <w:pPr>
              <w:pStyle w:val="Tabletext"/>
            </w:pPr>
            <w:r w:rsidRPr="0036007C">
              <w:t>40+</w:t>
            </w:r>
          </w:p>
        </w:tc>
        <w:tc>
          <w:tcPr>
            <w:tcW w:w="409" w:type="pct"/>
            <w:tcBorders>
              <w:top w:val="nil"/>
              <w:left w:val="nil"/>
              <w:bottom w:val="single" w:sz="4" w:space="0" w:color="auto"/>
              <w:right w:val="single" w:sz="4" w:space="0" w:color="auto"/>
            </w:tcBorders>
            <w:shd w:val="clear" w:color="000000" w:fill="BFBFBF"/>
            <w:noWrap/>
            <w:hideMark/>
          </w:tcPr>
          <w:p w14:paraId="2C42A46B" w14:textId="1F91D5D9" w:rsidR="003E4CE4" w:rsidRPr="0036007C" w:rsidRDefault="003E4CE4" w:rsidP="00F76882">
            <w:pPr>
              <w:pStyle w:val="Tabletext"/>
            </w:pPr>
            <w:r w:rsidRPr="0036007C">
              <w:t>15–39</w:t>
            </w:r>
          </w:p>
        </w:tc>
        <w:tc>
          <w:tcPr>
            <w:tcW w:w="318" w:type="pct"/>
            <w:tcBorders>
              <w:top w:val="nil"/>
              <w:left w:val="nil"/>
              <w:bottom w:val="single" w:sz="4" w:space="0" w:color="auto"/>
              <w:right w:val="single" w:sz="4" w:space="0" w:color="auto"/>
            </w:tcBorders>
            <w:shd w:val="clear" w:color="000000" w:fill="BFBFBF"/>
            <w:noWrap/>
            <w:hideMark/>
          </w:tcPr>
          <w:p w14:paraId="13AA6747" w14:textId="77777777" w:rsidR="003E4CE4" w:rsidRPr="0036007C" w:rsidRDefault="003E4CE4" w:rsidP="00F76882">
            <w:pPr>
              <w:pStyle w:val="Tabletext"/>
            </w:pPr>
            <w:r w:rsidRPr="0036007C">
              <w:t>40+</w:t>
            </w:r>
          </w:p>
        </w:tc>
        <w:tc>
          <w:tcPr>
            <w:tcW w:w="409" w:type="pct"/>
            <w:tcBorders>
              <w:top w:val="nil"/>
              <w:left w:val="nil"/>
              <w:bottom w:val="single" w:sz="4" w:space="0" w:color="auto"/>
              <w:right w:val="single" w:sz="4" w:space="0" w:color="auto"/>
            </w:tcBorders>
            <w:shd w:val="clear" w:color="000000" w:fill="BFBFBF"/>
            <w:noWrap/>
            <w:hideMark/>
          </w:tcPr>
          <w:p w14:paraId="0B48D06F" w14:textId="0F945D81" w:rsidR="003E4CE4" w:rsidRPr="0036007C" w:rsidRDefault="003E4CE4" w:rsidP="00F76882">
            <w:pPr>
              <w:pStyle w:val="Tabletext"/>
            </w:pPr>
            <w:r w:rsidRPr="0036007C">
              <w:t>15–39</w:t>
            </w:r>
          </w:p>
        </w:tc>
        <w:tc>
          <w:tcPr>
            <w:tcW w:w="318" w:type="pct"/>
            <w:tcBorders>
              <w:top w:val="nil"/>
              <w:left w:val="nil"/>
              <w:bottom w:val="single" w:sz="4" w:space="0" w:color="auto"/>
              <w:right w:val="single" w:sz="4" w:space="0" w:color="auto"/>
            </w:tcBorders>
            <w:shd w:val="clear" w:color="000000" w:fill="BFBFBF"/>
            <w:noWrap/>
            <w:hideMark/>
          </w:tcPr>
          <w:p w14:paraId="0370EA4D" w14:textId="77777777" w:rsidR="003E4CE4" w:rsidRPr="0036007C" w:rsidRDefault="003E4CE4" w:rsidP="00F76882">
            <w:pPr>
              <w:pStyle w:val="Tabletext"/>
            </w:pPr>
            <w:r w:rsidRPr="0036007C">
              <w:t>40+</w:t>
            </w:r>
          </w:p>
        </w:tc>
        <w:tc>
          <w:tcPr>
            <w:tcW w:w="396" w:type="pct"/>
            <w:tcBorders>
              <w:top w:val="nil"/>
              <w:left w:val="nil"/>
              <w:bottom w:val="single" w:sz="4" w:space="0" w:color="auto"/>
              <w:right w:val="single" w:sz="4" w:space="0" w:color="auto"/>
            </w:tcBorders>
            <w:shd w:val="clear" w:color="000000" w:fill="BFBFBF"/>
            <w:noWrap/>
            <w:hideMark/>
          </w:tcPr>
          <w:p w14:paraId="1DD93363" w14:textId="5E9FA1F0" w:rsidR="003E4CE4" w:rsidRPr="0036007C" w:rsidRDefault="003E4CE4" w:rsidP="00F76882">
            <w:pPr>
              <w:pStyle w:val="Tabletext"/>
            </w:pPr>
            <w:r w:rsidRPr="0036007C">
              <w:t>15–39</w:t>
            </w:r>
          </w:p>
        </w:tc>
        <w:tc>
          <w:tcPr>
            <w:tcW w:w="347" w:type="pct"/>
            <w:tcBorders>
              <w:top w:val="nil"/>
              <w:left w:val="nil"/>
              <w:bottom w:val="single" w:sz="4" w:space="0" w:color="auto"/>
              <w:right w:val="single" w:sz="4" w:space="0" w:color="auto"/>
            </w:tcBorders>
            <w:shd w:val="clear" w:color="000000" w:fill="BFBFBF"/>
            <w:noWrap/>
            <w:hideMark/>
          </w:tcPr>
          <w:p w14:paraId="30952546" w14:textId="77777777" w:rsidR="003E4CE4" w:rsidRPr="0036007C" w:rsidRDefault="003E4CE4" w:rsidP="00F76882">
            <w:pPr>
              <w:pStyle w:val="Tabletext"/>
            </w:pPr>
            <w:r w:rsidRPr="0036007C">
              <w:t>40+</w:t>
            </w:r>
          </w:p>
        </w:tc>
        <w:tc>
          <w:tcPr>
            <w:tcW w:w="348" w:type="pct"/>
            <w:tcBorders>
              <w:top w:val="nil"/>
              <w:left w:val="nil"/>
              <w:bottom w:val="single" w:sz="4" w:space="0" w:color="auto"/>
              <w:right w:val="single" w:sz="4" w:space="0" w:color="auto"/>
            </w:tcBorders>
            <w:shd w:val="clear" w:color="000000" w:fill="BFBFBF"/>
            <w:noWrap/>
            <w:hideMark/>
          </w:tcPr>
          <w:p w14:paraId="64C3ACC5" w14:textId="77777777" w:rsidR="003E4CE4" w:rsidRPr="0036007C" w:rsidRDefault="003E4CE4" w:rsidP="00F76882">
            <w:pPr>
              <w:pStyle w:val="Tabletext"/>
            </w:pPr>
            <w:r w:rsidRPr="0036007C">
              <w:t>15+</w:t>
            </w:r>
          </w:p>
        </w:tc>
      </w:tr>
      <w:tr w:rsidR="003E4CE4" w:rsidRPr="0036007C" w14:paraId="17A05CB1" w14:textId="77777777" w:rsidTr="004D4D79">
        <w:trPr>
          <w:trHeight w:val="290"/>
        </w:trPr>
        <w:tc>
          <w:tcPr>
            <w:tcW w:w="1000" w:type="pct"/>
            <w:tcBorders>
              <w:top w:val="nil"/>
              <w:left w:val="single" w:sz="4" w:space="0" w:color="auto"/>
              <w:bottom w:val="single" w:sz="4" w:space="0" w:color="auto"/>
              <w:right w:val="single" w:sz="4" w:space="0" w:color="auto"/>
            </w:tcBorders>
            <w:hideMark/>
          </w:tcPr>
          <w:p w14:paraId="2BF0EE2E" w14:textId="39BA247F" w:rsidR="003E4CE4" w:rsidRPr="00FA7B58" w:rsidRDefault="003E4CE4" w:rsidP="00F76882">
            <w:pPr>
              <w:pStyle w:val="Tabletextleft"/>
            </w:pPr>
            <w:r w:rsidRPr="00FA7B58">
              <w:t>Adults examined*</w:t>
            </w:r>
          </w:p>
        </w:tc>
        <w:tc>
          <w:tcPr>
            <w:tcW w:w="409" w:type="pct"/>
            <w:tcBorders>
              <w:top w:val="nil"/>
              <w:left w:val="nil"/>
              <w:bottom w:val="single" w:sz="4" w:space="0" w:color="auto"/>
              <w:right w:val="single" w:sz="4" w:space="0" w:color="auto"/>
            </w:tcBorders>
            <w:noWrap/>
          </w:tcPr>
          <w:p w14:paraId="54EE1288" w14:textId="165DEBA1" w:rsidR="003E4CE4" w:rsidRPr="0036007C" w:rsidRDefault="003E4CE4" w:rsidP="00F76882">
            <w:pPr>
              <w:pStyle w:val="Tabletext"/>
            </w:pPr>
            <w:r w:rsidRPr="0036007C">
              <w:t>5</w:t>
            </w:r>
          </w:p>
        </w:tc>
        <w:tc>
          <w:tcPr>
            <w:tcW w:w="318" w:type="pct"/>
            <w:tcBorders>
              <w:top w:val="nil"/>
              <w:left w:val="nil"/>
              <w:bottom w:val="single" w:sz="4" w:space="0" w:color="auto"/>
              <w:right w:val="single" w:sz="4" w:space="0" w:color="auto"/>
            </w:tcBorders>
            <w:noWrap/>
          </w:tcPr>
          <w:p w14:paraId="4C49D19C" w14:textId="2C254E77" w:rsidR="003E4CE4" w:rsidRPr="0036007C" w:rsidRDefault="003E4CE4" w:rsidP="00F76882">
            <w:pPr>
              <w:pStyle w:val="Tabletext"/>
            </w:pPr>
            <w:r w:rsidRPr="0036007C">
              <w:t>111</w:t>
            </w:r>
          </w:p>
        </w:tc>
        <w:tc>
          <w:tcPr>
            <w:tcW w:w="388" w:type="pct"/>
            <w:tcBorders>
              <w:top w:val="nil"/>
              <w:left w:val="nil"/>
              <w:bottom w:val="single" w:sz="4" w:space="0" w:color="auto"/>
              <w:right w:val="single" w:sz="4" w:space="0" w:color="auto"/>
            </w:tcBorders>
            <w:noWrap/>
          </w:tcPr>
          <w:p w14:paraId="46FB1E38" w14:textId="2E3FEFF1" w:rsidR="003E4CE4" w:rsidRPr="0036007C" w:rsidRDefault="003E4CE4" w:rsidP="00F76882">
            <w:pPr>
              <w:pStyle w:val="Tabletext"/>
            </w:pPr>
            <w:r w:rsidRPr="0036007C">
              <w:t>38</w:t>
            </w:r>
          </w:p>
        </w:tc>
        <w:tc>
          <w:tcPr>
            <w:tcW w:w="340" w:type="pct"/>
            <w:tcBorders>
              <w:top w:val="nil"/>
              <w:left w:val="nil"/>
              <w:bottom w:val="single" w:sz="4" w:space="0" w:color="auto"/>
              <w:right w:val="single" w:sz="4" w:space="0" w:color="auto"/>
            </w:tcBorders>
            <w:noWrap/>
          </w:tcPr>
          <w:p w14:paraId="2AC32E4D" w14:textId="65E4B9AE" w:rsidR="003E4CE4" w:rsidRPr="0036007C" w:rsidRDefault="003E4CE4" w:rsidP="00F76882">
            <w:pPr>
              <w:pStyle w:val="Tabletext"/>
            </w:pPr>
            <w:r w:rsidRPr="0036007C">
              <w:t>1502</w:t>
            </w:r>
          </w:p>
        </w:tc>
        <w:tc>
          <w:tcPr>
            <w:tcW w:w="409" w:type="pct"/>
            <w:tcBorders>
              <w:top w:val="nil"/>
              <w:left w:val="nil"/>
              <w:bottom w:val="single" w:sz="4" w:space="0" w:color="auto"/>
              <w:right w:val="single" w:sz="4" w:space="0" w:color="auto"/>
            </w:tcBorders>
            <w:noWrap/>
          </w:tcPr>
          <w:p w14:paraId="1CD3FF4A" w14:textId="12B42CD8" w:rsidR="003E4CE4" w:rsidRPr="0036007C" w:rsidRDefault="003E4CE4" w:rsidP="00F76882">
            <w:pPr>
              <w:pStyle w:val="Tabletext"/>
            </w:pPr>
            <w:r w:rsidRPr="0036007C">
              <w:t>1</w:t>
            </w:r>
          </w:p>
        </w:tc>
        <w:tc>
          <w:tcPr>
            <w:tcW w:w="318" w:type="pct"/>
            <w:tcBorders>
              <w:top w:val="nil"/>
              <w:left w:val="nil"/>
              <w:bottom w:val="single" w:sz="4" w:space="0" w:color="auto"/>
              <w:right w:val="single" w:sz="4" w:space="0" w:color="auto"/>
            </w:tcBorders>
            <w:noWrap/>
          </w:tcPr>
          <w:p w14:paraId="0BF58005" w14:textId="25290BC6" w:rsidR="003E4CE4" w:rsidRPr="0036007C" w:rsidRDefault="003E4CE4" w:rsidP="00F76882">
            <w:pPr>
              <w:pStyle w:val="Tabletext"/>
            </w:pPr>
            <w:r w:rsidRPr="0036007C">
              <w:t>71</w:t>
            </w:r>
          </w:p>
        </w:tc>
        <w:tc>
          <w:tcPr>
            <w:tcW w:w="409" w:type="pct"/>
            <w:tcBorders>
              <w:top w:val="nil"/>
              <w:left w:val="nil"/>
              <w:bottom w:val="single" w:sz="4" w:space="0" w:color="auto"/>
              <w:right w:val="single" w:sz="4" w:space="0" w:color="auto"/>
            </w:tcBorders>
            <w:noWrap/>
          </w:tcPr>
          <w:p w14:paraId="643CF3E4" w14:textId="32B57256" w:rsidR="003E4CE4" w:rsidRPr="0036007C" w:rsidRDefault="003E4CE4" w:rsidP="00F76882">
            <w:pPr>
              <w:pStyle w:val="Tabletext"/>
            </w:pPr>
            <w:r w:rsidRPr="0036007C">
              <w:t>1</w:t>
            </w:r>
          </w:p>
        </w:tc>
        <w:tc>
          <w:tcPr>
            <w:tcW w:w="318" w:type="pct"/>
            <w:tcBorders>
              <w:top w:val="nil"/>
              <w:left w:val="nil"/>
              <w:bottom w:val="single" w:sz="4" w:space="0" w:color="auto"/>
              <w:right w:val="single" w:sz="4" w:space="0" w:color="auto"/>
            </w:tcBorders>
            <w:noWrap/>
          </w:tcPr>
          <w:p w14:paraId="116554E3" w14:textId="75F02B0D" w:rsidR="003E4CE4" w:rsidRPr="0036007C" w:rsidRDefault="003E4CE4" w:rsidP="00F76882">
            <w:pPr>
              <w:pStyle w:val="Tabletext"/>
            </w:pPr>
            <w:r w:rsidRPr="0036007C">
              <w:t>584</w:t>
            </w:r>
          </w:p>
        </w:tc>
        <w:tc>
          <w:tcPr>
            <w:tcW w:w="396" w:type="pct"/>
            <w:tcBorders>
              <w:top w:val="nil"/>
              <w:left w:val="nil"/>
              <w:bottom w:val="single" w:sz="4" w:space="0" w:color="auto"/>
              <w:right w:val="single" w:sz="4" w:space="0" w:color="auto"/>
            </w:tcBorders>
            <w:noWrap/>
          </w:tcPr>
          <w:p w14:paraId="777640E2" w14:textId="19B07B73" w:rsidR="003E4CE4" w:rsidRPr="0036007C" w:rsidRDefault="003E4CE4" w:rsidP="00F76882">
            <w:pPr>
              <w:pStyle w:val="Tabletext"/>
            </w:pPr>
            <w:r w:rsidRPr="0036007C">
              <w:t>45</w:t>
            </w:r>
          </w:p>
        </w:tc>
        <w:tc>
          <w:tcPr>
            <w:tcW w:w="347" w:type="pct"/>
            <w:tcBorders>
              <w:top w:val="nil"/>
              <w:left w:val="nil"/>
              <w:bottom w:val="single" w:sz="4" w:space="0" w:color="auto"/>
              <w:right w:val="single" w:sz="4" w:space="0" w:color="auto"/>
            </w:tcBorders>
            <w:noWrap/>
          </w:tcPr>
          <w:p w14:paraId="0EA415B1" w14:textId="227CA9A5" w:rsidR="003E4CE4" w:rsidRPr="0036007C" w:rsidRDefault="003E4CE4" w:rsidP="00F76882">
            <w:pPr>
              <w:pStyle w:val="Tabletext"/>
            </w:pPr>
            <w:r w:rsidRPr="0036007C">
              <w:t>2268</w:t>
            </w:r>
          </w:p>
        </w:tc>
        <w:tc>
          <w:tcPr>
            <w:tcW w:w="348" w:type="pct"/>
            <w:tcBorders>
              <w:top w:val="nil"/>
              <w:left w:val="nil"/>
              <w:bottom w:val="single" w:sz="4" w:space="0" w:color="auto"/>
              <w:right w:val="single" w:sz="4" w:space="0" w:color="auto"/>
            </w:tcBorders>
            <w:noWrap/>
          </w:tcPr>
          <w:p w14:paraId="47E0D6E1" w14:textId="2384E1A1" w:rsidR="003E4CE4" w:rsidRPr="0036007C" w:rsidRDefault="003E4CE4" w:rsidP="00F76882">
            <w:pPr>
              <w:pStyle w:val="Tabletext"/>
            </w:pPr>
            <w:r w:rsidRPr="0036007C">
              <w:t>2313</w:t>
            </w:r>
          </w:p>
        </w:tc>
      </w:tr>
      <w:tr w:rsidR="003E4CE4" w:rsidRPr="0036007C" w14:paraId="07ED2622" w14:textId="77777777" w:rsidTr="004D4D79">
        <w:trPr>
          <w:trHeight w:val="290"/>
        </w:trPr>
        <w:tc>
          <w:tcPr>
            <w:tcW w:w="1000" w:type="pct"/>
            <w:tcBorders>
              <w:top w:val="nil"/>
              <w:left w:val="single" w:sz="4" w:space="0" w:color="auto"/>
              <w:bottom w:val="single" w:sz="4" w:space="0" w:color="auto"/>
              <w:right w:val="single" w:sz="4" w:space="0" w:color="auto"/>
            </w:tcBorders>
            <w:shd w:val="clear" w:color="000000" w:fill="BFBFBF"/>
            <w:hideMark/>
          </w:tcPr>
          <w:p w14:paraId="7E10BBCD" w14:textId="540274E4" w:rsidR="003E4CE4" w:rsidRPr="00FA7B58" w:rsidRDefault="003E4CE4" w:rsidP="00F76882">
            <w:pPr>
              <w:pStyle w:val="Tabletextleft"/>
            </w:pPr>
            <w:r w:rsidRPr="00FA7B58">
              <w:t xml:space="preserve">With </w:t>
            </w:r>
            <w:r w:rsidR="009665DD" w:rsidRPr="00FA7B58">
              <w:t xml:space="preserve">TT </w:t>
            </w:r>
            <w:r w:rsidRPr="00FA7B58">
              <w:t>†</w:t>
            </w:r>
          </w:p>
        </w:tc>
        <w:tc>
          <w:tcPr>
            <w:tcW w:w="409" w:type="pct"/>
            <w:tcBorders>
              <w:top w:val="nil"/>
              <w:left w:val="nil"/>
              <w:bottom w:val="single" w:sz="4" w:space="0" w:color="auto"/>
              <w:right w:val="single" w:sz="4" w:space="0" w:color="auto"/>
            </w:tcBorders>
            <w:shd w:val="clear" w:color="000000" w:fill="BFBFBF"/>
            <w:noWrap/>
          </w:tcPr>
          <w:p w14:paraId="6301AEF1" w14:textId="3BD0AA4A" w:rsidR="003E4CE4" w:rsidRPr="0036007C" w:rsidRDefault="003E4CE4" w:rsidP="00F76882">
            <w:pPr>
              <w:pStyle w:val="Tabletext"/>
            </w:pPr>
            <w:r w:rsidRPr="0036007C">
              <w:t>0</w:t>
            </w:r>
          </w:p>
        </w:tc>
        <w:tc>
          <w:tcPr>
            <w:tcW w:w="318" w:type="pct"/>
            <w:tcBorders>
              <w:top w:val="nil"/>
              <w:left w:val="nil"/>
              <w:bottom w:val="single" w:sz="4" w:space="0" w:color="auto"/>
              <w:right w:val="single" w:sz="4" w:space="0" w:color="auto"/>
            </w:tcBorders>
            <w:shd w:val="clear" w:color="000000" w:fill="BFBFBF"/>
            <w:noWrap/>
          </w:tcPr>
          <w:p w14:paraId="52A13CF9" w14:textId="4F21B9B1" w:rsidR="003E4CE4" w:rsidRPr="0036007C" w:rsidRDefault="003E4CE4" w:rsidP="00F76882">
            <w:pPr>
              <w:pStyle w:val="Tabletext"/>
            </w:pPr>
            <w:r w:rsidRPr="0036007C">
              <w:t>0</w:t>
            </w:r>
          </w:p>
        </w:tc>
        <w:tc>
          <w:tcPr>
            <w:tcW w:w="388" w:type="pct"/>
            <w:tcBorders>
              <w:top w:val="nil"/>
              <w:left w:val="nil"/>
              <w:bottom w:val="single" w:sz="4" w:space="0" w:color="auto"/>
              <w:right w:val="single" w:sz="4" w:space="0" w:color="auto"/>
            </w:tcBorders>
            <w:shd w:val="clear" w:color="000000" w:fill="BFBFBF"/>
            <w:noWrap/>
          </w:tcPr>
          <w:p w14:paraId="0EAD0C1B" w14:textId="5BDD88DA" w:rsidR="003E4CE4" w:rsidRPr="0036007C" w:rsidRDefault="003E4CE4" w:rsidP="00F76882">
            <w:pPr>
              <w:pStyle w:val="Tabletext"/>
            </w:pPr>
            <w:r w:rsidRPr="0036007C">
              <w:t>0</w:t>
            </w:r>
          </w:p>
        </w:tc>
        <w:tc>
          <w:tcPr>
            <w:tcW w:w="340" w:type="pct"/>
            <w:tcBorders>
              <w:top w:val="nil"/>
              <w:left w:val="nil"/>
              <w:bottom w:val="single" w:sz="4" w:space="0" w:color="auto"/>
              <w:right w:val="single" w:sz="4" w:space="0" w:color="auto"/>
            </w:tcBorders>
            <w:shd w:val="clear" w:color="000000" w:fill="BFBFBF"/>
            <w:noWrap/>
          </w:tcPr>
          <w:p w14:paraId="1FB60DA6" w14:textId="5CD7ECF5" w:rsidR="003E4CE4" w:rsidRPr="0036007C" w:rsidRDefault="003E4CE4" w:rsidP="00F76882">
            <w:pPr>
              <w:pStyle w:val="Tabletext"/>
            </w:pPr>
            <w:r w:rsidRPr="0036007C">
              <w:t>0</w:t>
            </w:r>
          </w:p>
        </w:tc>
        <w:tc>
          <w:tcPr>
            <w:tcW w:w="409" w:type="pct"/>
            <w:tcBorders>
              <w:top w:val="nil"/>
              <w:left w:val="nil"/>
              <w:bottom w:val="single" w:sz="4" w:space="0" w:color="auto"/>
              <w:right w:val="single" w:sz="4" w:space="0" w:color="auto"/>
            </w:tcBorders>
            <w:shd w:val="clear" w:color="000000" w:fill="BFBFBF"/>
            <w:noWrap/>
          </w:tcPr>
          <w:p w14:paraId="263668BB" w14:textId="62AA6412" w:rsidR="003E4CE4" w:rsidRPr="0036007C" w:rsidRDefault="003E4CE4" w:rsidP="00F76882">
            <w:pPr>
              <w:pStyle w:val="Tabletext"/>
            </w:pPr>
            <w:r w:rsidRPr="0036007C">
              <w:t>0</w:t>
            </w:r>
          </w:p>
        </w:tc>
        <w:tc>
          <w:tcPr>
            <w:tcW w:w="318" w:type="pct"/>
            <w:tcBorders>
              <w:top w:val="nil"/>
              <w:left w:val="nil"/>
              <w:bottom w:val="single" w:sz="4" w:space="0" w:color="auto"/>
              <w:right w:val="single" w:sz="4" w:space="0" w:color="auto"/>
            </w:tcBorders>
            <w:shd w:val="clear" w:color="000000" w:fill="BFBFBF"/>
            <w:noWrap/>
          </w:tcPr>
          <w:p w14:paraId="105C9618" w14:textId="3DCDE40D" w:rsidR="003E4CE4" w:rsidRPr="0036007C" w:rsidRDefault="003E4CE4" w:rsidP="00F76882">
            <w:pPr>
              <w:pStyle w:val="Tabletext"/>
            </w:pPr>
            <w:r w:rsidRPr="0036007C">
              <w:t>0</w:t>
            </w:r>
          </w:p>
        </w:tc>
        <w:tc>
          <w:tcPr>
            <w:tcW w:w="409" w:type="pct"/>
            <w:tcBorders>
              <w:top w:val="nil"/>
              <w:left w:val="nil"/>
              <w:bottom w:val="single" w:sz="4" w:space="0" w:color="auto"/>
              <w:right w:val="single" w:sz="4" w:space="0" w:color="auto"/>
            </w:tcBorders>
            <w:shd w:val="clear" w:color="000000" w:fill="BFBFBF"/>
            <w:noWrap/>
          </w:tcPr>
          <w:p w14:paraId="4AF6C71F" w14:textId="1EB29493" w:rsidR="003E4CE4" w:rsidRPr="0036007C" w:rsidRDefault="003E4CE4" w:rsidP="00F76882">
            <w:pPr>
              <w:pStyle w:val="Tabletext"/>
            </w:pPr>
            <w:r w:rsidRPr="0036007C">
              <w:t>0</w:t>
            </w:r>
          </w:p>
        </w:tc>
        <w:tc>
          <w:tcPr>
            <w:tcW w:w="318" w:type="pct"/>
            <w:tcBorders>
              <w:top w:val="nil"/>
              <w:left w:val="nil"/>
              <w:bottom w:val="single" w:sz="4" w:space="0" w:color="auto"/>
              <w:right w:val="single" w:sz="4" w:space="0" w:color="auto"/>
            </w:tcBorders>
            <w:shd w:val="clear" w:color="000000" w:fill="BFBFBF"/>
            <w:noWrap/>
          </w:tcPr>
          <w:p w14:paraId="7841D723" w14:textId="43FA9AAD" w:rsidR="003E4CE4" w:rsidRPr="0036007C" w:rsidRDefault="003E4CE4" w:rsidP="00F76882">
            <w:pPr>
              <w:pStyle w:val="Tabletext"/>
            </w:pPr>
            <w:r w:rsidRPr="0036007C">
              <w:t>0</w:t>
            </w:r>
          </w:p>
        </w:tc>
        <w:tc>
          <w:tcPr>
            <w:tcW w:w="396" w:type="pct"/>
            <w:tcBorders>
              <w:top w:val="nil"/>
              <w:left w:val="nil"/>
              <w:bottom w:val="single" w:sz="4" w:space="0" w:color="auto"/>
              <w:right w:val="single" w:sz="4" w:space="0" w:color="auto"/>
            </w:tcBorders>
            <w:shd w:val="clear" w:color="000000" w:fill="BFBFBF"/>
            <w:noWrap/>
          </w:tcPr>
          <w:p w14:paraId="10E7429E" w14:textId="000CBF6F" w:rsidR="003E4CE4" w:rsidRPr="0036007C" w:rsidRDefault="003E4CE4" w:rsidP="00F76882">
            <w:pPr>
              <w:pStyle w:val="Tabletext"/>
            </w:pPr>
            <w:r w:rsidRPr="0036007C">
              <w:t>0</w:t>
            </w:r>
          </w:p>
        </w:tc>
        <w:tc>
          <w:tcPr>
            <w:tcW w:w="347" w:type="pct"/>
            <w:tcBorders>
              <w:top w:val="nil"/>
              <w:left w:val="nil"/>
              <w:bottom w:val="single" w:sz="4" w:space="0" w:color="auto"/>
              <w:right w:val="single" w:sz="4" w:space="0" w:color="auto"/>
            </w:tcBorders>
            <w:shd w:val="clear" w:color="000000" w:fill="BFBFBF"/>
            <w:noWrap/>
          </w:tcPr>
          <w:p w14:paraId="12F36644" w14:textId="0418BDF9" w:rsidR="003E4CE4" w:rsidRPr="0036007C" w:rsidRDefault="003E4CE4" w:rsidP="00F76882">
            <w:pPr>
              <w:pStyle w:val="Tabletext"/>
            </w:pPr>
            <w:r w:rsidRPr="0036007C">
              <w:t>0</w:t>
            </w:r>
          </w:p>
        </w:tc>
        <w:tc>
          <w:tcPr>
            <w:tcW w:w="348" w:type="pct"/>
            <w:tcBorders>
              <w:top w:val="nil"/>
              <w:left w:val="nil"/>
              <w:bottom w:val="single" w:sz="4" w:space="0" w:color="auto"/>
              <w:right w:val="single" w:sz="4" w:space="0" w:color="auto"/>
            </w:tcBorders>
            <w:shd w:val="clear" w:color="000000" w:fill="BFBFBF"/>
            <w:noWrap/>
          </w:tcPr>
          <w:p w14:paraId="1EA70164" w14:textId="443CB939" w:rsidR="003E4CE4" w:rsidRPr="0036007C" w:rsidRDefault="003E4CE4" w:rsidP="00F76882">
            <w:pPr>
              <w:pStyle w:val="Tabletext"/>
            </w:pPr>
            <w:r w:rsidRPr="0036007C">
              <w:t>0</w:t>
            </w:r>
          </w:p>
        </w:tc>
      </w:tr>
      <w:tr w:rsidR="003E4CE4" w:rsidRPr="0036007C" w14:paraId="4FACCE70" w14:textId="77777777" w:rsidTr="004D4D79">
        <w:trPr>
          <w:trHeight w:val="290"/>
        </w:trPr>
        <w:tc>
          <w:tcPr>
            <w:tcW w:w="1000" w:type="pct"/>
            <w:tcBorders>
              <w:top w:val="nil"/>
              <w:left w:val="single" w:sz="4" w:space="0" w:color="auto"/>
              <w:bottom w:val="single" w:sz="4" w:space="0" w:color="auto"/>
              <w:right w:val="single" w:sz="4" w:space="0" w:color="auto"/>
            </w:tcBorders>
            <w:hideMark/>
          </w:tcPr>
          <w:p w14:paraId="2FDCA0CC" w14:textId="6E6C246E" w:rsidR="003E4CE4" w:rsidRPr="00FA7B58" w:rsidRDefault="003E4CE4" w:rsidP="00F76882">
            <w:pPr>
              <w:pStyle w:val="Tabletextleft"/>
            </w:pPr>
            <w:r w:rsidRPr="00FA7B58">
              <w:t xml:space="preserve">With </w:t>
            </w:r>
            <w:r w:rsidR="009665DD" w:rsidRPr="00FA7B58">
              <w:t>TT</w:t>
            </w:r>
            <w:r w:rsidRPr="00FA7B58">
              <w:t xml:space="preserve"> (%)</w:t>
            </w:r>
          </w:p>
        </w:tc>
        <w:tc>
          <w:tcPr>
            <w:tcW w:w="409" w:type="pct"/>
            <w:tcBorders>
              <w:top w:val="nil"/>
              <w:left w:val="nil"/>
              <w:bottom w:val="single" w:sz="4" w:space="0" w:color="auto"/>
              <w:right w:val="single" w:sz="4" w:space="0" w:color="auto"/>
            </w:tcBorders>
            <w:noWrap/>
          </w:tcPr>
          <w:p w14:paraId="3E117FA9" w14:textId="689A96F1" w:rsidR="003E4CE4" w:rsidRPr="007C3001" w:rsidRDefault="003E4CE4" w:rsidP="00F76882">
            <w:pPr>
              <w:pStyle w:val="Tabletextemphasis"/>
            </w:pPr>
            <w:r w:rsidRPr="007C3001">
              <w:t>0.00</w:t>
            </w:r>
          </w:p>
        </w:tc>
        <w:tc>
          <w:tcPr>
            <w:tcW w:w="318" w:type="pct"/>
            <w:tcBorders>
              <w:top w:val="nil"/>
              <w:left w:val="nil"/>
              <w:bottom w:val="single" w:sz="4" w:space="0" w:color="auto"/>
              <w:right w:val="single" w:sz="4" w:space="0" w:color="auto"/>
            </w:tcBorders>
            <w:noWrap/>
          </w:tcPr>
          <w:p w14:paraId="405B5029" w14:textId="0D9D7E03" w:rsidR="003E4CE4" w:rsidRPr="007C3001" w:rsidRDefault="003E4CE4" w:rsidP="00F76882">
            <w:pPr>
              <w:pStyle w:val="Tabletextemphasis"/>
            </w:pPr>
            <w:r w:rsidRPr="007C3001">
              <w:t>0.00</w:t>
            </w:r>
          </w:p>
        </w:tc>
        <w:tc>
          <w:tcPr>
            <w:tcW w:w="388" w:type="pct"/>
            <w:tcBorders>
              <w:top w:val="nil"/>
              <w:left w:val="nil"/>
              <w:bottom w:val="single" w:sz="4" w:space="0" w:color="auto"/>
              <w:right w:val="single" w:sz="4" w:space="0" w:color="auto"/>
            </w:tcBorders>
            <w:noWrap/>
          </w:tcPr>
          <w:p w14:paraId="0A1EFF9A" w14:textId="6DF7E020" w:rsidR="003E4CE4" w:rsidRPr="007C3001" w:rsidRDefault="003E4CE4" w:rsidP="00F76882">
            <w:pPr>
              <w:pStyle w:val="Tabletextemphasis"/>
            </w:pPr>
            <w:r w:rsidRPr="007C3001">
              <w:t>0.00</w:t>
            </w:r>
          </w:p>
        </w:tc>
        <w:tc>
          <w:tcPr>
            <w:tcW w:w="340" w:type="pct"/>
            <w:tcBorders>
              <w:top w:val="nil"/>
              <w:left w:val="nil"/>
              <w:bottom w:val="single" w:sz="4" w:space="0" w:color="auto"/>
              <w:right w:val="single" w:sz="4" w:space="0" w:color="auto"/>
            </w:tcBorders>
            <w:noWrap/>
          </w:tcPr>
          <w:p w14:paraId="62406E17" w14:textId="595E1DD1" w:rsidR="003E4CE4" w:rsidRPr="007C3001" w:rsidRDefault="003E4CE4" w:rsidP="00F76882">
            <w:pPr>
              <w:pStyle w:val="Tabletextemphasis"/>
            </w:pPr>
            <w:r w:rsidRPr="007C3001">
              <w:t>0.00</w:t>
            </w:r>
          </w:p>
        </w:tc>
        <w:tc>
          <w:tcPr>
            <w:tcW w:w="409" w:type="pct"/>
            <w:tcBorders>
              <w:top w:val="nil"/>
              <w:left w:val="nil"/>
              <w:bottom w:val="single" w:sz="4" w:space="0" w:color="auto"/>
              <w:right w:val="single" w:sz="4" w:space="0" w:color="auto"/>
            </w:tcBorders>
            <w:noWrap/>
          </w:tcPr>
          <w:p w14:paraId="5CCC5C91" w14:textId="0AAAADE0" w:rsidR="003E4CE4" w:rsidRPr="007C3001" w:rsidRDefault="003E4CE4" w:rsidP="00F76882">
            <w:pPr>
              <w:pStyle w:val="Tabletextemphasis"/>
            </w:pPr>
            <w:r w:rsidRPr="007C3001">
              <w:t>0.00</w:t>
            </w:r>
          </w:p>
        </w:tc>
        <w:tc>
          <w:tcPr>
            <w:tcW w:w="318" w:type="pct"/>
            <w:tcBorders>
              <w:top w:val="nil"/>
              <w:left w:val="nil"/>
              <w:bottom w:val="single" w:sz="4" w:space="0" w:color="auto"/>
              <w:right w:val="single" w:sz="4" w:space="0" w:color="auto"/>
            </w:tcBorders>
            <w:noWrap/>
          </w:tcPr>
          <w:p w14:paraId="27081C51" w14:textId="50DD20C6" w:rsidR="003E4CE4" w:rsidRPr="007C3001" w:rsidRDefault="003E4CE4" w:rsidP="00F76882">
            <w:pPr>
              <w:pStyle w:val="Tabletextemphasis"/>
            </w:pPr>
            <w:r w:rsidRPr="007C3001">
              <w:t>0.00</w:t>
            </w:r>
          </w:p>
        </w:tc>
        <w:tc>
          <w:tcPr>
            <w:tcW w:w="409" w:type="pct"/>
            <w:tcBorders>
              <w:top w:val="nil"/>
              <w:left w:val="nil"/>
              <w:bottom w:val="single" w:sz="4" w:space="0" w:color="auto"/>
              <w:right w:val="single" w:sz="4" w:space="0" w:color="auto"/>
            </w:tcBorders>
            <w:noWrap/>
          </w:tcPr>
          <w:p w14:paraId="7D3309A4" w14:textId="4E3F20D3" w:rsidR="003E4CE4" w:rsidRPr="007C3001" w:rsidRDefault="003E4CE4" w:rsidP="00F76882">
            <w:pPr>
              <w:pStyle w:val="Tabletextemphasis"/>
            </w:pPr>
            <w:r w:rsidRPr="007C3001">
              <w:t>0.00</w:t>
            </w:r>
          </w:p>
        </w:tc>
        <w:tc>
          <w:tcPr>
            <w:tcW w:w="318" w:type="pct"/>
            <w:tcBorders>
              <w:top w:val="nil"/>
              <w:left w:val="nil"/>
              <w:bottom w:val="single" w:sz="4" w:space="0" w:color="auto"/>
              <w:right w:val="single" w:sz="4" w:space="0" w:color="auto"/>
            </w:tcBorders>
            <w:noWrap/>
          </w:tcPr>
          <w:p w14:paraId="2A05DDF4" w14:textId="66DB10C6" w:rsidR="003E4CE4" w:rsidRPr="007C3001" w:rsidRDefault="003E4CE4" w:rsidP="00F76882">
            <w:pPr>
              <w:pStyle w:val="Tabletextemphasis"/>
            </w:pPr>
            <w:r w:rsidRPr="007C3001">
              <w:t>0.00</w:t>
            </w:r>
          </w:p>
        </w:tc>
        <w:tc>
          <w:tcPr>
            <w:tcW w:w="396" w:type="pct"/>
            <w:tcBorders>
              <w:top w:val="nil"/>
              <w:left w:val="nil"/>
              <w:bottom w:val="single" w:sz="4" w:space="0" w:color="auto"/>
              <w:right w:val="single" w:sz="4" w:space="0" w:color="auto"/>
            </w:tcBorders>
            <w:noWrap/>
          </w:tcPr>
          <w:p w14:paraId="3E209968" w14:textId="7D1F58C3" w:rsidR="003E4CE4" w:rsidRPr="007C3001" w:rsidRDefault="003E4CE4" w:rsidP="00F76882">
            <w:pPr>
              <w:pStyle w:val="Tabletextemphasis"/>
            </w:pPr>
            <w:r w:rsidRPr="007C3001">
              <w:t>0.00</w:t>
            </w:r>
          </w:p>
        </w:tc>
        <w:tc>
          <w:tcPr>
            <w:tcW w:w="347" w:type="pct"/>
            <w:tcBorders>
              <w:top w:val="nil"/>
              <w:left w:val="nil"/>
              <w:bottom w:val="single" w:sz="4" w:space="0" w:color="auto"/>
              <w:right w:val="single" w:sz="4" w:space="0" w:color="auto"/>
            </w:tcBorders>
            <w:noWrap/>
          </w:tcPr>
          <w:p w14:paraId="03A9F45D" w14:textId="369D3311" w:rsidR="003E4CE4" w:rsidRPr="007C3001" w:rsidRDefault="003E4CE4" w:rsidP="00F76882">
            <w:pPr>
              <w:pStyle w:val="Tabletextemphasis"/>
            </w:pPr>
            <w:r w:rsidRPr="007C3001">
              <w:t>0.00</w:t>
            </w:r>
          </w:p>
        </w:tc>
        <w:tc>
          <w:tcPr>
            <w:tcW w:w="348" w:type="pct"/>
            <w:tcBorders>
              <w:top w:val="nil"/>
              <w:left w:val="nil"/>
              <w:bottom w:val="single" w:sz="4" w:space="0" w:color="auto"/>
              <w:right w:val="single" w:sz="4" w:space="0" w:color="auto"/>
            </w:tcBorders>
            <w:noWrap/>
          </w:tcPr>
          <w:p w14:paraId="2A105580" w14:textId="47BCE153" w:rsidR="003E4CE4" w:rsidRPr="007C3001" w:rsidRDefault="003E4CE4" w:rsidP="00F76882">
            <w:pPr>
              <w:pStyle w:val="Tabletextemphasis"/>
            </w:pPr>
            <w:r w:rsidRPr="007C3001">
              <w:t>0.00</w:t>
            </w:r>
          </w:p>
        </w:tc>
      </w:tr>
      <w:tr w:rsidR="003E4CE4" w:rsidRPr="0036007C" w14:paraId="16D3CB55" w14:textId="77777777" w:rsidTr="004D4D79">
        <w:trPr>
          <w:trHeight w:val="290"/>
        </w:trPr>
        <w:tc>
          <w:tcPr>
            <w:tcW w:w="1000" w:type="pct"/>
            <w:tcBorders>
              <w:top w:val="nil"/>
              <w:left w:val="single" w:sz="4" w:space="0" w:color="auto"/>
              <w:bottom w:val="single" w:sz="4" w:space="0" w:color="auto"/>
              <w:right w:val="single" w:sz="4" w:space="0" w:color="auto"/>
            </w:tcBorders>
            <w:shd w:val="clear" w:color="000000" w:fill="BFBFBF"/>
            <w:hideMark/>
          </w:tcPr>
          <w:p w14:paraId="33788EB5" w14:textId="583BD446" w:rsidR="003E4CE4" w:rsidRPr="0036007C" w:rsidRDefault="003E4CE4" w:rsidP="00F76882">
            <w:pPr>
              <w:pStyle w:val="Tabletextleft"/>
              <w:rPr>
                <w:rFonts w:asciiTheme="minorHAnsi" w:hAnsiTheme="minorHAnsi" w:cstheme="minorHAnsi"/>
              </w:rPr>
            </w:pPr>
            <w:r w:rsidRPr="007C3001">
              <w:t>Surgery in past 12 months‡</w:t>
            </w:r>
          </w:p>
        </w:tc>
        <w:tc>
          <w:tcPr>
            <w:tcW w:w="409" w:type="pct"/>
            <w:tcBorders>
              <w:top w:val="nil"/>
              <w:left w:val="nil"/>
              <w:bottom w:val="single" w:sz="4" w:space="0" w:color="auto"/>
              <w:right w:val="single" w:sz="4" w:space="0" w:color="auto"/>
            </w:tcBorders>
            <w:shd w:val="clear" w:color="000000" w:fill="BFBFBF"/>
            <w:noWrap/>
          </w:tcPr>
          <w:p w14:paraId="33077E6F" w14:textId="341D184D" w:rsidR="003E4CE4" w:rsidRPr="0036007C" w:rsidRDefault="003E4CE4" w:rsidP="00F76882">
            <w:pPr>
              <w:pStyle w:val="Tabletext"/>
            </w:pPr>
            <w:r w:rsidRPr="0036007C">
              <w:t>0</w:t>
            </w:r>
          </w:p>
        </w:tc>
        <w:tc>
          <w:tcPr>
            <w:tcW w:w="318" w:type="pct"/>
            <w:tcBorders>
              <w:top w:val="nil"/>
              <w:left w:val="nil"/>
              <w:bottom w:val="single" w:sz="4" w:space="0" w:color="auto"/>
              <w:right w:val="single" w:sz="4" w:space="0" w:color="auto"/>
            </w:tcBorders>
            <w:shd w:val="clear" w:color="000000" w:fill="BFBFBF"/>
            <w:noWrap/>
          </w:tcPr>
          <w:p w14:paraId="418A4982" w14:textId="5B3A1212" w:rsidR="003E4CE4" w:rsidRPr="0036007C" w:rsidRDefault="003E4CE4" w:rsidP="00F76882">
            <w:pPr>
              <w:pStyle w:val="Tabletext"/>
            </w:pPr>
            <w:r w:rsidRPr="0036007C">
              <w:t>1</w:t>
            </w:r>
          </w:p>
        </w:tc>
        <w:tc>
          <w:tcPr>
            <w:tcW w:w="388" w:type="pct"/>
            <w:tcBorders>
              <w:top w:val="nil"/>
              <w:left w:val="nil"/>
              <w:bottom w:val="single" w:sz="4" w:space="0" w:color="auto"/>
              <w:right w:val="single" w:sz="4" w:space="0" w:color="auto"/>
            </w:tcBorders>
            <w:shd w:val="clear" w:color="000000" w:fill="BFBFBF"/>
            <w:noWrap/>
          </w:tcPr>
          <w:p w14:paraId="7132CA41" w14:textId="5DD41D0C" w:rsidR="003E4CE4" w:rsidRPr="0036007C" w:rsidRDefault="003E4CE4" w:rsidP="00F76882">
            <w:pPr>
              <w:pStyle w:val="Tabletext"/>
            </w:pPr>
            <w:r w:rsidRPr="0036007C">
              <w:t>0</w:t>
            </w:r>
          </w:p>
        </w:tc>
        <w:tc>
          <w:tcPr>
            <w:tcW w:w="340" w:type="pct"/>
            <w:tcBorders>
              <w:top w:val="nil"/>
              <w:left w:val="nil"/>
              <w:bottom w:val="single" w:sz="4" w:space="0" w:color="auto"/>
              <w:right w:val="single" w:sz="4" w:space="0" w:color="auto"/>
            </w:tcBorders>
            <w:shd w:val="clear" w:color="000000" w:fill="BFBFBF"/>
            <w:noWrap/>
          </w:tcPr>
          <w:p w14:paraId="44860B23" w14:textId="33FA5F8D" w:rsidR="003E4CE4" w:rsidRPr="0036007C" w:rsidRDefault="006D0CB8" w:rsidP="00F76882">
            <w:pPr>
              <w:pStyle w:val="Tabletext"/>
            </w:pPr>
            <w:r w:rsidRPr="0036007C">
              <w:t>2</w:t>
            </w:r>
          </w:p>
        </w:tc>
        <w:tc>
          <w:tcPr>
            <w:tcW w:w="409" w:type="pct"/>
            <w:tcBorders>
              <w:top w:val="nil"/>
              <w:left w:val="nil"/>
              <w:bottom w:val="single" w:sz="4" w:space="0" w:color="auto"/>
              <w:right w:val="single" w:sz="4" w:space="0" w:color="auto"/>
            </w:tcBorders>
            <w:shd w:val="clear" w:color="000000" w:fill="BFBFBF"/>
            <w:noWrap/>
          </w:tcPr>
          <w:p w14:paraId="65660A5D" w14:textId="03B98C4F" w:rsidR="003E4CE4" w:rsidRPr="0036007C" w:rsidRDefault="003E4CE4" w:rsidP="00F76882">
            <w:pPr>
              <w:pStyle w:val="Tabletext"/>
            </w:pPr>
            <w:r w:rsidRPr="0036007C">
              <w:t>0</w:t>
            </w:r>
          </w:p>
        </w:tc>
        <w:tc>
          <w:tcPr>
            <w:tcW w:w="318" w:type="pct"/>
            <w:tcBorders>
              <w:top w:val="nil"/>
              <w:left w:val="nil"/>
              <w:bottom w:val="single" w:sz="4" w:space="0" w:color="auto"/>
              <w:right w:val="single" w:sz="4" w:space="0" w:color="auto"/>
            </w:tcBorders>
            <w:shd w:val="clear" w:color="000000" w:fill="BFBFBF"/>
            <w:noWrap/>
          </w:tcPr>
          <w:p w14:paraId="16A88B06" w14:textId="0048558C" w:rsidR="003E4CE4" w:rsidRPr="0036007C" w:rsidRDefault="003E4CE4" w:rsidP="00F76882">
            <w:pPr>
              <w:pStyle w:val="Tabletext"/>
            </w:pPr>
            <w:r w:rsidRPr="0036007C">
              <w:t>0</w:t>
            </w:r>
          </w:p>
        </w:tc>
        <w:tc>
          <w:tcPr>
            <w:tcW w:w="409" w:type="pct"/>
            <w:tcBorders>
              <w:top w:val="nil"/>
              <w:left w:val="nil"/>
              <w:bottom w:val="single" w:sz="4" w:space="0" w:color="auto"/>
              <w:right w:val="single" w:sz="4" w:space="0" w:color="auto"/>
            </w:tcBorders>
            <w:shd w:val="clear" w:color="000000" w:fill="BFBFBF"/>
            <w:noWrap/>
          </w:tcPr>
          <w:p w14:paraId="5AEA149C" w14:textId="72067ABA" w:rsidR="003E4CE4" w:rsidRPr="0036007C" w:rsidRDefault="003E4CE4" w:rsidP="00F76882">
            <w:pPr>
              <w:pStyle w:val="Tabletext"/>
            </w:pPr>
            <w:r w:rsidRPr="0036007C">
              <w:t>0</w:t>
            </w:r>
          </w:p>
        </w:tc>
        <w:tc>
          <w:tcPr>
            <w:tcW w:w="318" w:type="pct"/>
            <w:tcBorders>
              <w:top w:val="nil"/>
              <w:left w:val="nil"/>
              <w:bottom w:val="single" w:sz="4" w:space="0" w:color="auto"/>
              <w:right w:val="single" w:sz="4" w:space="0" w:color="auto"/>
            </w:tcBorders>
            <w:shd w:val="clear" w:color="000000" w:fill="BFBFBF"/>
            <w:noWrap/>
          </w:tcPr>
          <w:p w14:paraId="61257DAF" w14:textId="109F1086" w:rsidR="003E4CE4" w:rsidRPr="0036007C" w:rsidRDefault="00827747" w:rsidP="00F76882">
            <w:pPr>
              <w:pStyle w:val="Tabletext"/>
            </w:pPr>
            <w:r w:rsidRPr="0036007C">
              <w:t>1</w:t>
            </w:r>
          </w:p>
        </w:tc>
        <w:tc>
          <w:tcPr>
            <w:tcW w:w="396" w:type="pct"/>
            <w:tcBorders>
              <w:top w:val="nil"/>
              <w:left w:val="nil"/>
              <w:bottom w:val="single" w:sz="4" w:space="0" w:color="auto"/>
              <w:right w:val="single" w:sz="4" w:space="0" w:color="auto"/>
            </w:tcBorders>
            <w:shd w:val="clear" w:color="000000" w:fill="BFBFBF"/>
            <w:noWrap/>
          </w:tcPr>
          <w:p w14:paraId="76539AAE" w14:textId="5E53E3ED" w:rsidR="003E4CE4" w:rsidRPr="0036007C" w:rsidRDefault="003E4CE4" w:rsidP="00F76882">
            <w:pPr>
              <w:pStyle w:val="Tabletext"/>
            </w:pPr>
            <w:r w:rsidRPr="0036007C">
              <w:t>0</w:t>
            </w:r>
          </w:p>
        </w:tc>
        <w:tc>
          <w:tcPr>
            <w:tcW w:w="347" w:type="pct"/>
            <w:tcBorders>
              <w:top w:val="nil"/>
              <w:left w:val="nil"/>
              <w:bottom w:val="single" w:sz="4" w:space="0" w:color="auto"/>
              <w:right w:val="single" w:sz="4" w:space="0" w:color="auto"/>
            </w:tcBorders>
            <w:shd w:val="clear" w:color="000000" w:fill="BFBFBF"/>
            <w:noWrap/>
          </w:tcPr>
          <w:p w14:paraId="00620BF0" w14:textId="40E316BF" w:rsidR="003E4CE4" w:rsidRPr="0036007C" w:rsidRDefault="00827747" w:rsidP="00F76882">
            <w:pPr>
              <w:pStyle w:val="Tabletext"/>
            </w:pPr>
            <w:r w:rsidRPr="0036007C">
              <w:t>4</w:t>
            </w:r>
          </w:p>
        </w:tc>
        <w:tc>
          <w:tcPr>
            <w:tcW w:w="348" w:type="pct"/>
            <w:tcBorders>
              <w:top w:val="nil"/>
              <w:left w:val="nil"/>
              <w:bottom w:val="single" w:sz="4" w:space="0" w:color="auto"/>
              <w:right w:val="single" w:sz="4" w:space="0" w:color="auto"/>
            </w:tcBorders>
            <w:shd w:val="clear" w:color="000000" w:fill="BFBFBF"/>
            <w:noWrap/>
          </w:tcPr>
          <w:p w14:paraId="4C709A14" w14:textId="21B2BFC2" w:rsidR="003E4CE4" w:rsidRPr="0036007C" w:rsidRDefault="00827747" w:rsidP="00F76882">
            <w:pPr>
              <w:pStyle w:val="Tabletext"/>
            </w:pPr>
            <w:r w:rsidRPr="0036007C">
              <w:t>4</w:t>
            </w:r>
          </w:p>
        </w:tc>
      </w:tr>
    </w:tbl>
    <w:p w14:paraId="4AFD4DF8" w14:textId="5CEA8AEF" w:rsidR="005F4644" w:rsidRPr="00A33DD2" w:rsidRDefault="005F4644" w:rsidP="00F76882">
      <w:pPr>
        <w:pStyle w:val="tablefigfootnote"/>
      </w:pPr>
      <w:r w:rsidRPr="00A33DD2">
        <w:t>* This number may not account for all adults who may be examined in routine adult health checks and may also include multiple screenings</w:t>
      </w:r>
      <w:r w:rsidR="00EF33CB" w:rsidRPr="00A33DD2">
        <w:t xml:space="preserve"> per patient</w:t>
      </w:r>
      <w:r w:rsidRPr="00A33DD2">
        <w:t>. Screening is linked to trachoma endemic regions and does not consider changing endemic regions over time and transiency between regions.</w:t>
      </w:r>
    </w:p>
    <w:p w14:paraId="72A5070C" w14:textId="77777777" w:rsidR="005F4644" w:rsidRPr="00A33DD2" w:rsidRDefault="005F4644" w:rsidP="00F76882">
      <w:pPr>
        <w:pStyle w:val="tablefigfootnote"/>
      </w:pPr>
      <w:r w:rsidRPr="00A33DD2">
        <w:t>† Defined as cases ‘previously unknown to the health system’.</w:t>
      </w:r>
    </w:p>
    <w:p w14:paraId="55DA8B56" w14:textId="61E586FF" w:rsidR="00E3767F" w:rsidRPr="00A33DD2" w:rsidRDefault="005F4644" w:rsidP="00F76882">
      <w:pPr>
        <w:pStyle w:val="tablefigfootnote"/>
      </w:pPr>
      <w:r w:rsidRPr="00A33DD2">
        <w:t>‡ Surgery may include cases identified in previous years.</w:t>
      </w:r>
      <w:r w:rsidR="00E3767F" w:rsidRPr="00A33DD2">
        <w:br w:type="page"/>
      </w:r>
    </w:p>
    <w:p w14:paraId="6E6660F9" w14:textId="77777777" w:rsidR="00046C9F" w:rsidRPr="0036007C" w:rsidRDefault="00046C9F" w:rsidP="00F76882">
      <w:pPr>
        <w:pStyle w:val="Tableheadings"/>
        <w:sectPr w:rsidR="00046C9F" w:rsidRPr="0036007C" w:rsidSect="00C04CBB">
          <w:headerReference w:type="even" r:id="rId67"/>
          <w:headerReference w:type="default" r:id="rId68"/>
          <w:footerReference w:type="default" r:id="rId69"/>
          <w:headerReference w:type="first" r:id="rId70"/>
          <w:pgSz w:w="16838" w:h="11906" w:orient="landscape"/>
          <w:pgMar w:top="1440" w:right="1440" w:bottom="1440" w:left="1440" w:header="709" w:footer="709" w:gutter="0"/>
          <w:cols w:space="708"/>
          <w:docGrid w:linePitch="360"/>
        </w:sectPr>
      </w:pPr>
    </w:p>
    <w:p w14:paraId="3C2038DC" w14:textId="14ACA10F" w:rsidR="00E3767F" w:rsidRPr="0036007C" w:rsidRDefault="00E3767F" w:rsidP="00F76882">
      <w:pPr>
        <w:pStyle w:val="Tableheadings"/>
      </w:pPr>
      <w:bookmarkStart w:id="404" w:name="_Toc215224722"/>
      <w:r w:rsidRPr="0036007C">
        <w:t xml:space="preserve">Table </w:t>
      </w:r>
      <w:r w:rsidR="00C773E5" w:rsidRPr="0036007C">
        <w:t>5</w:t>
      </w:r>
      <w:r w:rsidRPr="0036007C">
        <w:t>.</w:t>
      </w:r>
      <w:r w:rsidRPr="0036007C">
        <w:fldChar w:fldCharType="begin"/>
      </w:r>
      <w:r w:rsidRPr="0036007C">
        <w:instrText>SEQ Table \* ARABIC \s 1</w:instrText>
      </w:r>
      <w:r w:rsidRPr="0036007C">
        <w:fldChar w:fldCharType="separate"/>
      </w:r>
      <w:r w:rsidRPr="0036007C">
        <w:t>7</w:t>
      </w:r>
      <w:r w:rsidRPr="0036007C">
        <w:fldChar w:fldCharType="end"/>
      </w:r>
      <w:r w:rsidRPr="0036007C">
        <w:tab/>
        <w:t>Health promotion activities by region, Western Australia</w:t>
      </w:r>
      <w:r w:rsidR="00C6767F" w:rsidRPr="0036007C">
        <w:t>,</w:t>
      </w:r>
      <w:r w:rsidRPr="0036007C">
        <w:t xml:space="preserve"> </w:t>
      </w:r>
      <w:r w:rsidR="00E76BB4" w:rsidRPr="0036007C">
        <w:t>202</w:t>
      </w:r>
      <w:r w:rsidR="00050459" w:rsidRPr="0036007C">
        <w:t>4</w:t>
      </w:r>
      <w:bookmarkEnd w:id="404"/>
    </w:p>
    <w:tbl>
      <w:tblPr>
        <w:tblStyle w:val="trach4"/>
        <w:tblW w:w="5000" w:type="pct"/>
        <w:tblInd w:w="7" w:type="dxa"/>
        <w:tblLook w:val="04A0" w:firstRow="1" w:lastRow="0" w:firstColumn="1" w:lastColumn="0" w:noHBand="0" w:noVBand="1"/>
        <w:tblCaption w:val="Health promotion activities by region, Western Australia, 2024  "/>
        <w:tblDescription w:val="Table 5.7 summarises health promotion activities, broken down by method, target audience, and delivery frequency. Data is presented for the Goldfields, Kimberley, Midwest, Pilbara, and the cumulative total.&#10;"/>
      </w:tblPr>
      <w:tblGrid>
        <w:gridCol w:w="2876"/>
        <w:gridCol w:w="1228"/>
        <w:gridCol w:w="1229"/>
        <w:gridCol w:w="1229"/>
        <w:gridCol w:w="1229"/>
        <w:gridCol w:w="1229"/>
      </w:tblGrid>
      <w:tr w:rsidR="006E555D" w:rsidRPr="0036007C" w14:paraId="7CFEE803" w14:textId="77777777" w:rsidTr="009F1E7A">
        <w:trPr>
          <w:cnfStyle w:val="100000000000" w:firstRow="1" w:lastRow="0" w:firstColumn="0" w:lastColumn="0" w:oddVBand="0" w:evenVBand="0" w:oddHBand="0" w:evenHBand="0" w:firstRowFirstColumn="0" w:firstRowLastColumn="0" w:lastRowFirstColumn="0" w:lastRowLastColumn="0"/>
          <w:trHeight w:val="570"/>
          <w:tblHeader/>
        </w:trPr>
        <w:tc>
          <w:tcPr>
            <w:tcW w:w="1595" w:type="pct"/>
            <w:hideMark/>
          </w:tcPr>
          <w:p w14:paraId="4D5C4D6A" w14:textId="77777777" w:rsidR="004807BF" w:rsidRPr="009F1E7A" w:rsidRDefault="004807BF" w:rsidP="00F76882">
            <w:pPr>
              <w:pStyle w:val="Tableheading"/>
            </w:pPr>
            <w:r w:rsidRPr="009F1E7A">
              <w:t> </w:t>
            </w:r>
          </w:p>
        </w:tc>
        <w:tc>
          <w:tcPr>
            <w:tcW w:w="681" w:type="pct"/>
            <w:noWrap/>
            <w:hideMark/>
          </w:tcPr>
          <w:p w14:paraId="6912CA79" w14:textId="77777777" w:rsidR="004807BF" w:rsidRPr="009F1E7A" w:rsidRDefault="004807BF" w:rsidP="00F76882">
            <w:pPr>
              <w:pStyle w:val="Tableheading"/>
            </w:pPr>
            <w:r w:rsidRPr="009F1E7A">
              <w:t>Goldfields</w:t>
            </w:r>
          </w:p>
        </w:tc>
        <w:tc>
          <w:tcPr>
            <w:tcW w:w="681" w:type="pct"/>
            <w:noWrap/>
            <w:hideMark/>
          </w:tcPr>
          <w:p w14:paraId="10EE848A" w14:textId="77777777" w:rsidR="004807BF" w:rsidRPr="009F1E7A" w:rsidRDefault="004807BF" w:rsidP="00F76882">
            <w:pPr>
              <w:pStyle w:val="Tableheading"/>
            </w:pPr>
            <w:r w:rsidRPr="009F1E7A">
              <w:t>Kimberley</w:t>
            </w:r>
          </w:p>
        </w:tc>
        <w:tc>
          <w:tcPr>
            <w:tcW w:w="681" w:type="pct"/>
            <w:noWrap/>
            <w:hideMark/>
          </w:tcPr>
          <w:p w14:paraId="295F49EC" w14:textId="77777777" w:rsidR="004807BF" w:rsidRPr="009F1E7A" w:rsidRDefault="004807BF" w:rsidP="00F76882">
            <w:pPr>
              <w:pStyle w:val="Tableheading"/>
            </w:pPr>
            <w:r w:rsidRPr="009F1E7A">
              <w:t>Midwest</w:t>
            </w:r>
          </w:p>
        </w:tc>
        <w:tc>
          <w:tcPr>
            <w:tcW w:w="681" w:type="pct"/>
            <w:noWrap/>
            <w:hideMark/>
          </w:tcPr>
          <w:p w14:paraId="47A3A785" w14:textId="77777777" w:rsidR="004807BF" w:rsidRPr="009F1E7A" w:rsidRDefault="004807BF" w:rsidP="00F76882">
            <w:pPr>
              <w:pStyle w:val="Tableheading"/>
            </w:pPr>
            <w:r w:rsidRPr="009F1E7A">
              <w:t>Pilbara</w:t>
            </w:r>
          </w:p>
        </w:tc>
        <w:tc>
          <w:tcPr>
            <w:tcW w:w="681" w:type="pct"/>
            <w:noWrap/>
            <w:hideMark/>
          </w:tcPr>
          <w:p w14:paraId="6C5E696A" w14:textId="77777777" w:rsidR="004807BF" w:rsidRPr="009F1E7A" w:rsidRDefault="004807BF" w:rsidP="00F76882">
            <w:pPr>
              <w:pStyle w:val="Tableheading"/>
            </w:pPr>
            <w:r w:rsidRPr="009F1E7A">
              <w:t>Total</w:t>
            </w:r>
          </w:p>
        </w:tc>
      </w:tr>
      <w:tr w:rsidR="006E1859" w:rsidRPr="0036007C" w14:paraId="7F02EBA8" w14:textId="77777777" w:rsidTr="00E60B9E">
        <w:trPr>
          <w:trHeight w:val="570"/>
        </w:trPr>
        <w:tc>
          <w:tcPr>
            <w:tcW w:w="1595" w:type="pct"/>
            <w:hideMark/>
          </w:tcPr>
          <w:p w14:paraId="5A17B97E" w14:textId="77777777" w:rsidR="006E1859" w:rsidRPr="009F1E7A" w:rsidRDefault="006E1859" w:rsidP="00F76882">
            <w:pPr>
              <w:pStyle w:val="Tabletextleft"/>
            </w:pPr>
            <w:r w:rsidRPr="009F1E7A">
              <w:t>Number of communities that reported health promotion activities</w:t>
            </w:r>
          </w:p>
        </w:tc>
        <w:tc>
          <w:tcPr>
            <w:tcW w:w="681" w:type="pct"/>
            <w:noWrap/>
          </w:tcPr>
          <w:p w14:paraId="5B340118" w14:textId="18CAB588" w:rsidR="006E1859" w:rsidRPr="009F1E7A" w:rsidRDefault="006E1859" w:rsidP="00F76882">
            <w:pPr>
              <w:pStyle w:val="Tabletextleft"/>
            </w:pPr>
            <w:r w:rsidRPr="009F1E7A">
              <w:t>14</w:t>
            </w:r>
          </w:p>
        </w:tc>
        <w:tc>
          <w:tcPr>
            <w:tcW w:w="681" w:type="pct"/>
            <w:noWrap/>
          </w:tcPr>
          <w:p w14:paraId="751AEC41" w14:textId="0A21E333" w:rsidR="006E1859" w:rsidRPr="009F1E7A" w:rsidRDefault="006E1859" w:rsidP="00F76882">
            <w:pPr>
              <w:pStyle w:val="Tabletextleft"/>
            </w:pPr>
            <w:r w:rsidRPr="009F1E7A">
              <w:t>12</w:t>
            </w:r>
          </w:p>
        </w:tc>
        <w:tc>
          <w:tcPr>
            <w:tcW w:w="681" w:type="pct"/>
            <w:noWrap/>
          </w:tcPr>
          <w:p w14:paraId="24E66117" w14:textId="4B06DE4E" w:rsidR="006E1859" w:rsidRPr="009F1E7A" w:rsidRDefault="006E1859" w:rsidP="00F76882">
            <w:pPr>
              <w:pStyle w:val="Tabletextleft"/>
            </w:pPr>
            <w:r w:rsidRPr="009F1E7A">
              <w:t>7</w:t>
            </w:r>
          </w:p>
        </w:tc>
        <w:tc>
          <w:tcPr>
            <w:tcW w:w="681" w:type="pct"/>
            <w:noWrap/>
          </w:tcPr>
          <w:p w14:paraId="3527835A" w14:textId="33BB6069" w:rsidR="006E1859" w:rsidRPr="009F1E7A" w:rsidRDefault="006E1859" w:rsidP="00F76882">
            <w:pPr>
              <w:pStyle w:val="Tabletextleft"/>
            </w:pPr>
            <w:r w:rsidRPr="009F1E7A">
              <w:t>15</w:t>
            </w:r>
          </w:p>
        </w:tc>
        <w:tc>
          <w:tcPr>
            <w:tcW w:w="681" w:type="pct"/>
            <w:noWrap/>
          </w:tcPr>
          <w:p w14:paraId="47E6DEEC" w14:textId="42BA63DF" w:rsidR="006E1859" w:rsidRPr="009F1E7A" w:rsidRDefault="006E1859" w:rsidP="00F76882">
            <w:pPr>
              <w:pStyle w:val="Tabletextleft"/>
            </w:pPr>
            <w:r w:rsidRPr="009F1E7A">
              <w:t>48</w:t>
            </w:r>
          </w:p>
        </w:tc>
      </w:tr>
      <w:tr w:rsidR="006E1859" w:rsidRPr="0036007C" w14:paraId="1AA58496" w14:textId="77777777" w:rsidTr="00E60B9E">
        <w:trPr>
          <w:cnfStyle w:val="000000010000" w:firstRow="0" w:lastRow="0" w:firstColumn="0" w:lastColumn="0" w:oddVBand="0" w:evenVBand="0" w:oddHBand="0" w:evenHBand="1" w:firstRowFirstColumn="0" w:firstRowLastColumn="0" w:lastRowFirstColumn="0" w:lastRowLastColumn="0"/>
          <w:trHeight w:val="570"/>
        </w:trPr>
        <w:tc>
          <w:tcPr>
            <w:tcW w:w="1595" w:type="pct"/>
            <w:hideMark/>
          </w:tcPr>
          <w:p w14:paraId="2E1789C3" w14:textId="77777777" w:rsidR="006E1859" w:rsidRPr="009F1E7A" w:rsidRDefault="006E1859" w:rsidP="00F76882">
            <w:pPr>
              <w:pStyle w:val="Tabletextleft"/>
            </w:pPr>
            <w:r w:rsidRPr="009F1E7A">
              <w:t>Total number of programs reported</w:t>
            </w:r>
          </w:p>
        </w:tc>
        <w:tc>
          <w:tcPr>
            <w:tcW w:w="681" w:type="pct"/>
            <w:noWrap/>
          </w:tcPr>
          <w:p w14:paraId="580CCFE3" w14:textId="34FBD1F2" w:rsidR="006E1859" w:rsidRPr="009F1E7A" w:rsidRDefault="006E1859" w:rsidP="00F76882">
            <w:pPr>
              <w:pStyle w:val="Tabletextleft"/>
            </w:pPr>
            <w:r w:rsidRPr="009F1E7A">
              <w:t>18</w:t>
            </w:r>
          </w:p>
        </w:tc>
        <w:tc>
          <w:tcPr>
            <w:tcW w:w="681" w:type="pct"/>
            <w:noWrap/>
          </w:tcPr>
          <w:p w14:paraId="7E900D54" w14:textId="3889FD54" w:rsidR="006E1859" w:rsidRPr="009F1E7A" w:rsidRDefault="006E1859" w:rsidP="00F76882">
            <w:pPr>
              <w:pStyle w:val="Tabletextleft"/>
            </w:pPr>
            <w:r w:rsidRPr="009F1E7A">
              <w:t>20</w:t>
            </w:r>
          </w:p>
        </w:tc>
        <w:tc>
          <w:tcPr>
            <w:tcW w:w="681" w:type="pct"/>
            <w:noWrap/>
          </w:tcPr>
          <w:p w14:paraId="775C55DC" w14:textId="40CB2D39" w:rsidR="006E1859" w:rsidRPr="009F1E7A" w:rsidRDefault="006E1859" w:rsidP="00F76882">
            <w:pPr>
              <w:pStyle w:val="Tabletextleft"/>
            </w:pPr>
            <w:r w:rsidRPr="009F1E7A">
              <w:t>12</w:t>
            </w:r>
          </w:p>
        </w:tc>
        <w:tc>
          <w:tcPr>
            <w:tcW w:w="681" w:type="pct"/>
            <w:noWrap/>
          </w:tcPr>
          <w:p w14:paraId="2C56CCFD" w14:textId="10DA9CE8" w:rsidR="006E1859" w:rsidRPr="009F1E7A" w:rsidRDefault="006E1859" w:rsidP="00F76882">
            <w:pPr>
              <w:pStyle w:val="Tabletextleft"/>
            </w:pPr>
            <w:r w:rsidRPr="009F1E7A">
              <w:t>28</w:t>
            </w:r>
          </w:p>
        </w:tc>
        <w:tc>
          <w:tcPr>
            <w:tcW w:w="681" w:type="pct"/>
            <w:noWrap/>
          </w:tcPr>
          <w:p w14:paraId="1902C753" w14:textId="0C8673C8" w:rsidR="006E1859" w:rsidRPr="009F1E7A" w:rsidRDefault="006E1859" w:rsidP="00F76882">
            <w:pPr>
              <w:pStyle w:val="Tabletextleft"/>
            </w:pPr>
            <w:r w:rsidRPr="009F1E7A">
              <w:t>78</w:t>
            </w:r>
          </w:p>
        </w:tc>
      </w:tr>
      <w:tr w:rsidR="006E555D" w:rsidRPr="0036007C" w14:paraId="1AE0F828" w14:textId="77777777" w:rsidTr="00E60B9E">
        <w:trPr>
          <w:trHeight w:val="454"/>
        </w:trPr>
        <w:tc>
          <w:tcPr>
            <w:tcW w:w="5000" w:type="pct"/>
            <w:gridSpan w:val="6"/>
            <w:hideMark/>
          </w:tcPr>
          <w:p w14:paraId="4A1B783F" w14:textId="3430AF14" w:rsidR="00036BFC" w:rsidRPr="009F1E7A" w:rsidRDefault="00036BFC" w:rsidP="00F76882">
            <w:pPr>
              <w:rPr>
                <w:rStyle w:val="Strong"/>
              </w:rPr>
            </w:pPr>
            <w:r w:rsidRPr="009F1E7A">
              <w:rPr>
                <w:rStyle w:val="Strong"/>
              </w:rPr>
              <w:t>Methods of health promotion</w:t>
            </w:r>
          </w:p>
        </w:tc>
      </w:tr>
      <w:tr w:rsidR="00F72FED" w:rsidRPr="0036007C" w14:paraId="7D75FD13" w14:textId="77777777" w:rsidTr="00E60B9E">
        <w:trPr>
          <w:cnfStyle w:val="000000010000" w:firstRow="0" w:lastRow="0" w:firstColumn="0" w:lastColumn="0" w:oddVBand="0" w:evenVBand="0" w:oddHBand="0" w:evenHBand="1" w:firstRowFirstColumn="0" w:firstRowLastColumn="0" w:lastRowFirstColumn="0" w:lastRowLastColumn="0"/>
          <w:trHeight w:val="454"/>
        </w:trPr>
        <w:tc>
          <w:tcPr>
            <w:tcW w:w="1595" w:type="pct"/>
            <w:hideMark/>
          </w:tcPr>
          <w:p w14:paraId="439CE641" w14:textId="77777777" w:rsidR="00F72FED" w:rsidRPr="009F1E7A" w:rsidRDefault="00F72FED" w:rsidP="00F76882">
            <w:pPr>
              <w:pStyle w:val="Tabletextleft"/>
            </w:pPr>
            <w:r w:rsidRPr="009F1E7A">
              <w:t>One-on-one discussion</w:t>
            </w:r>
          </w:p>
        </w:tc>
        <w:tc>
          <w:tcPr>
            <w:tcW w:w="681" w:type="pct"/>
            <w:noWrap/>
          </w:tcPr>
          <w:p w14:paraId="753A2FA4" w14:textId="2ABD8928" w:rsidR="00F72FED" w:rsidRPr="009F1E7A" w:rsidRDefault="00F72FED" w:rsidP="00F76882">
            <w:pPr>
              <w:pStyle w:val="Tabletext"/>
            </w:pPr>
            <w:r w:rsidRPr="009F1E7A">
              <w:t>1</w:t>
            </w:r>
          </w:p>
        </w:tc>
        <w:tc>
          <w:tcPr>
            <w:tcW w:w="681" w:type="pct"/>
            <w:noWrap/>
          </w:tcPr>
          <w:p w14:paraId="54429339" w14:textId="70F9172E" w:rsidR="00F72FED" w:rsidRPr="009F1E7A" w:rsidRDefault="00F72FED" w:rsidP="00F76882">
            <w:pPr>
              <w:pStyle w:val="Tabletext"/>
            </w:pPr>
            <w:r w:rsidRPr="009F1E7A">
              <w:t>11</w:t>
            </w:r>
          </w:p>
        </w:tc>
        <w:tc>
          <w:tcPr>
            <w:tcW w:w="681" w:type="pct"/>
            <w:noWrap/>
          </w:tcPr>
          <w:p w14:paraId="1916DA3C" w14:textId="27BE8688" w:rsidR="00F72FED" w:rsidRPr="009F1E7A" w:rsidRDefault="00F72FED" w:rsidP="00F76882">
            <w:pPr>
              <w:pStyle w:val="Tabletext"/>
            </w:pPr>
            <w:r w:rsidRPr="009F1E7A">
              <w:t>7</w:t>
            </w:r>
          </w:p>
        </w:tc>
        <w:tc>
          <w:tcPr>
            <w:tcW w:w="681" w:type="pct"/>
            <w:noWrap/>
          </w:tcPr>
          <w:p w14:paraId="1CBEF230" w14:textId="3B5ED3D8" w:rsidR="00F72FED" w:rsidRPr="009F1E7A" w:rsidRDefault="00F72FED" w:rsidP="00F76882">
            <w:pPr>
              <w:pStyle w:val="Tabletext"/>
            </w:pPr>
            <w:r w:rsidRPr="009F1E7A">
              <w:t>6</w:t>
            </w:r>
          </w:p>
        </w:tc>
        <w:tc>
          <w:tcPr>
            <w:tcW w:w="681" w:type="pct"/>
            <w:noWrap/>
          </w:tcPr>
          <w:p w14:paraId="645DCC5D" w14:textId="3E2D3E91" w:rsidR="00F72FED" w:rsidRPr="009F1E7A" w:rsidRDefault="00F72FED" w:rsidP="00F76882">
            <w:pPr>
              <w:pStyle w:val="Tabletext"/>
            </w:pPr>
            <w:r w:rsidRPr="009F1E7A">
              <w:t>25</w:t>
            </w:r>
          </w:p>
        </w:tc>
      </w:tr>
      <w:tr w:rsidR="00F72FED" w:rsidRPr="0036007C" w14:paraId="0509135F" w14:textId="77777777" w:rsidTr="00E60B9E">
        <w:trPr>
          <w:trHeight w:val="454"/>
        </w:trPr>
        <w:tc>
          <w:tcPr>
            <w:tcW w:w="1595" w:type="pct"/>
            <w:hideMark/>
          </w:tcPr>
          <w:p w14:paraId="327AB452" w14:textId="77777777" w:rsidR="00F72FED" w:rsidRPr="009F1E7A" w:rsidRDefault="00F72FED" w:rsidP="00F76882">
            <w:pPr>
              <w:pStyle w:val="Tabletextleft"/>
            </w:pPr>
            <w:r w:rsidRPr="009F1E7A">
              <w:t>Presentation to group</w:t>
            </w:r>
          </w:p>
        </w:tc>
        <w:tc>
          <w:tcPr>
            <w:tcW w:w="681" w:type="pct"/>
            <w:noWrap/>
          </w:tcPr>
          <w:p w14:paraId="28646F5A" w14:textId="14FC5438" w:rsidR="00F72FED" w:rsidRPr="009F1E7A" w:rsidRDefault="00F72FED" w:rsidP="00F76882">
            <w:pPr>
              <w:pStyle w:val="Tabletext"/>
            </w:pPr>
            <w:r w:rsidRPr="009F1E7A">
              <w:t>18</w:t>
            </w:r>
          </w:p>
        </w:tc>
        <w:tc>
          <w:tcPr>
            <w:tcW w:w="681" w:type="pct"/>
            <w:noWrap/>
          </w:tcPr>
          <w:p w14:paraId="3010A710" w14:textId="068394E2" w:rsidR="00F72FED" w:rsidRPr="009F1E7A" w:rsidRDefault="00F72FED" w:rsidP="00F76882">
            <w:pPr>
              <w:pStyle w:val="Tabletext"/>
            </w:pPr>
            <w:r w:rsidRPr="009F1E7A">
              <w:t>19</w:t>
            </w:r>
          </w:p>
        </w:tc>
        <w:tc>
          <w:tcPr>
            <w:tcW w:w="681" w:type="pct"/>
            <w:noWrap/>
          </w:tcPr>
          <w:p w14:paraId="09E5E2B6" w14:textId="1240BF47" w:rsidR="00F72FED" w:rsidRPr="009F1E7A" w:rsidRDefault="00F72FED" w:rsidP="00F76882">
            <w:pPr>
              <w:pStyle w:val="Tabletext"/>
            </w:pPr>
            <w:r w:rsidRPr="009F1E7A">
              <w:t>7</w:t>
            </w:r>
          </w:p>
        </w:tc>
        <w:tc>
          <w:tcPr>
            <w:tcW w:w="681" w:type="pct"/>
            <w:noWrap/>
          </w:tcPr>
          <w:p w14:paraId="5337280C" w14:textId="0C7464D2" w:rsidR="00F72FED" w:rsidRPr="009F1E7A" w:rsidRDefault="00F72FED" w:rsidP="00F76882">
            <w:pPr>
              <w:pStyle w:val="Tabletext"/>
            </w:pPr>
            <w:r w:rsidRPr="009F1E7A">
              <w:t>12</w:t>
            </w:r>
          </w:p>
        </w:tc>
        <w:tc>
          <w:tcPr>
            <w:tcW w:w="681" w:type="pct"/>
            <w:noWrap/>
          </w:tcPr>
          <w:p w14:paraId="06083C97" w14:textId="5AE52754" w:rsidR="00F72FED" w:rsidRPr="009F1E7A" w:rsidRDefault="00F72FED" w:rsidP="00F76882">
            <w:pPr>
              <w:pStyle w:val="Tabletext"/>
            </w:pPr>
            <w:r w:rsidRPr="009F1E7A">
              <w:t>56</w:t>
            </w:r>
          </w:p>
        </w:tc>
      </w:tr>
      <w:tr w:rsidR="00F72FED" w:rsidRPr="0036007C" w14:paraId="7F1F0776" w14:textId="77777777" w:rsidTr="00E60B9E">
        <w:trPr>
          <w:cnfStyle w:val="000000010000" w:firstRow="0" w:lastRow="0" w:firstColumn="0" w:lastColumn="0" w:oddVBand="0" w:evenVBand="0" w:oddHBand="0" w:evenHBand="1" w:firstRowFirstColumn="0" w:firstRowLastColumn="0" w:lastRowFirstColumn="0" w:lastRowLastColumn="0"/>
          <w:trHeight w:val="454"/>
        </w:trPr>
        <w:tc>
          <w:tcPr>
            <w:tcW w:w="1595" w:type="pct"/>
            <w:hideMark/>
          </w:tcPr>
          <w:p w14:paraId="4838E4ED" w14:textId="77777777" w:rsidR="00F72FED" w:rsidRPr="009F1E7A" w:rsidRDefault="00F72FED" w:rsidP="00F76882">
            <w:pPr>
              <w:pStyle w:val="Tabletextleft"/>
            </w:pPr>
            <w:r w:rsidRPr="009F1E7A">
              <w:t>Interactive group session</w:t>
            </w:r>
          </w:p>
        </w:tc>
        <w:tc>
          <w:tcPr>
            <w:tcW w:w="681" w:type="pct"/>
            <w:noWrap/>
          </w:tcPr>
          <w:p w14:paraId="49B32187" w14:textId="61F33E18" w:rsidR="00F72FED" w:rsidRPr="009F1E7A" w:rsidRDefault="00F72FED" w:rsidP="00F76882">
            <w:pPr>
              <w:pStyle w:val="Tabletext"/>
            </w:pPr>
            <w:r w:rsidRPr="009F1E7A">
              <w:t>0</w:t>
            </w:r>
          </w:p>
        </w:tc>
        <w:tc>
          <w:tcPr>
            <w:tcW w:w="681" w:type="pct"/>
            <w:noWrap/>
          </w:tcPr>
          <w:p w14:paraId="781A122E" w14:textId="23F98762" w:rsidR="00F72FED" w:rsidRPr="009F1E7A" w:rsidRDefault="00F72FED" w:rsidP="00F76882">
            <w:pPr>
              <w:pStyle w:val="Tabletext"/>
            </w:pPr>
            <w:r w:rsidRPr="009F1E7A">
              <w:t>0</w:t>
            </w:r>
          </w:p>
        </w:tc>
        <w:tc>
          <w:tcPr>
            <w:tcW w:w="681" w:type="pct"/>
            <w:noWrap/>
          </w:tcPr>
          <w:p w14:paraId="1B385C42" w14:textId="3A94AA07" w:rsidR="00F72FED" w:rsidRPr="009F1E7A" w:rsidRDefault="00F72FED" w:rsidP="00F76882">
            <w:pPr>
              <w:pStyle w:val="Tabletext"/>
            </w:pPr>
            <w:r w:rsidRPr="009F1E7A">
              <w:t>0</w:t>
            </w:r>
          </w:p>
        </w:tc>
        <w:tc>
          <w:tcPr>
            <w:tcW w:w="681" w:type="pct"/>
            <w:noWrap/>
          </w:tcPr>
          <w:p w14:paraId="5C381908" w14:textId="1209917F" w:rsidR="00F72FED" w:rsidRPr="009F1E7A" w:rsidRDefault="00F72FED" w:rsidP="00F76882">
            <w:pPr>
              <w:pStyle w:val="Tabletext"/>
            </w:pPr>
            <w:r w:rsidRPr="009F1E7A">
              <w:t>8</w:t>
            </w:r>
          </w:p>
        </w:tc>
        <w:tc>
          <w:tcPr>
            <w:tcW w:w="681" w:type="pct"/>
            <w:noWrap/>
          </w:tcPr>
          <w:p w14:paraId="6F252590" w14:textId="16478654" w:rsidR="00F72FED" w:rsidRPr="009F1E7A" w:rsidRDefault="00F72FED" w:rsidP="00F76882">
            <w:pPr>
              <w:pStyle w:val="Tabletext"/>
            </w:pPr>
            <w:r w:rsidRPr="009F1E7A">
              <w:t>8</w:t>
            </w:r>
          </w:p>
        </w:tc>
      </w:tr>
      <w:tr w:rsidR="00F72FED" w:rsidRPr="0036007C" w14:paraId="2341F05F" w14:textId="77777777" w:rsidTr="00E60B9E">
        <w:trPr>
          <w:trHeight w:val="454"/>
        </w:trPr>
        <w:tc>
          <w:tcPr>
            <w:tcW w:w="1595" w:type="pct"/>
            <w:hideMark/>
          </w:tcPr>
          <w:p w14:paraId="646E2756" w14:textId="77777777" w:rsidR="00F72FED" w:rsidRPr="009F1E7A" w:rsidRDefault="00F72FED" w:rsidP="00F76882">
            <w:pPr>
              <w:pStyle w:val="Tabletextleft"/>
            </w:pPr>
            <w:r w:rsidRPr="009F1E7A">
              <w:t>Social marketing</w:t>
            </w:r>
          </w:p>
        </w:tc>
        <w:tc>
          <w:tcPr>
            <w:tcW w:w="681" w:type="pct"/>
            <w:noWrap/>
          </w:tcPr>
          <w:p w14:paraId="70E7F69D" w14:textId="7ABBD807" w:rsidR="00F72FED" w:rsidRPr="009F1E7A" w:rsidRDefault="00F72FED" w:rsidP="00F76882">
            <w:pPr>
              <w:pStyle w:val="Tabletext"/>
            </w:pPr>
            <w:r w:rsidRPr="009F1E7A">
              <w:t>0</w:t>
            </w:r>
          </w:p>
        </w:tc>
        <w:tc>
          <w:tcPr>
            <w:tcW w:w="681" w:type="pct"/>
            <w:noWrap/>
          </w:tcPr>
          <w:p w14:paraId="0DECE637" w14:textId="38766B58" w:rsidR="00F72FED" w:rsidRPr="009F1E7A" w:rsidRDefault="00F72FED" w:rsidP="00F76882">
            <w:pPr>
              <w:pStyle w:val="Tabletext"/>
            </w:pPr>
            <w:r w:rsidRPr="009F1E7A">
              <w:t>0</w:t>
            </w:r>
          </w:p>
        </w:tc>
        <w:tc>
          <w:tcPr>
            <w:tcW w:w="681" w:type="pct"/>
            <w:noWrap/>
          </w:tcPr>
          <w:p w14:paraId="54488526" w14:textId="64106B7D" w:rsidR="00F72FED" w:rsidRPr="009F1E7A" w:rsidRDefault="00F72FED" w:rsidP="00F76882">
            <w:pPr>
              <w:pStyle w:val="Tabletext"/>
            </w:pPr>
            <w:r w:rsidRPr="009F1E7A">
              <w:t>0</w:t>
            </w:r>
          </w:p>
        </w:tc>
        <w:tc>
          <w:tcPr>
            <w:tcW w:w="681" w:type="pct"/>
            <w:noWrap/>
          </w:tcPr>
          <w:p w14:paraId="7D28F358" w14:textId="2AD869B1" w:rsidR="00F72FED" w:rsidRPr="009F1E7A" w:rsidRDefault="00F72FED" w:rsidP="00F76882">
            <w:pPr>
              <w:pStyle w:val="Tabletext"/>
            </w:pPr>
            <w:r w:rsidRPr="009F1E7A">
              <w:t>0</w:t>
            </w:r>
          </w:p>
        </w:tc>
        <w:tc>
          <w:tcPr>
            <w:tcW w:w="681" w:type="pct"/>
            <w:noWrap/>
          </w:tcPr>
          <w:p w14:paraId="270C706E" w14:textId="0D0D55EC" w:rsidR="00F72FED" w:rsidRPr="009F1E7A" w:rsidRDefault="00F72FED" w:rsidP="00F76882">
            <w:pPr>
              <w:pStyle w:val="Tabletext"/>
            </w:pPr>
            <w:r w:rsidRPr="009F1E7A">
              <w:t>0</w:t>
            </w:r>
          </w:p>
        </w:tc>
      </w:tr>
      <w:tr w:rsidR="00F72FED" w:rsidRPr="0036007C" w14:paraId="7E21BA36" w14:textId="77777777" w:rsidTr="00E60B9E">
        <w:trPr>
          <w:cnfStyle w:val="000000010000" w:firstRow="0" w:lastRow="0" w:firstColumn="0" w:lastColumn="0" w:oddVBand="0" w:evenVBand="0" w:oddHBand="0" w:evenHBand="1" w:firstRowFirstColumn="0" w:firstRowLastColumn="0" w:lastRowFirstColumn="0" w:lastRowLastColumn="0"/>
          <w:trHeight w:val="454"/>
        </w:trPr>
        <w:tc>
          <w:tcPr>
            <w:tcW w:w="1595" w:type="pct"/>
            <w:hideMark/>
          </w:tcPr>
          <w:p w14:paraId="33AF4022" w14:textId="77777777" w:rsidR="00F72FED" w:rsidRPr="009F1E7A" w:rsidRDefault="00F72FED" w:rsidP="00F76882">
            <w:pPr>
              <w:pStyle w:val="Tabletextleft"/>
            </w:pPr>
            <w:r w:rsidRPr="009F1E7A">
              <w:t>Print material/mass media</w:t>
            </w:r>
          </w:p>
        </w:tc>
        <w:tc>
          <w:tcPr>
            <w:tcW w:w="681" w:type="pct"/>
            <w:noWrap/>
          </w:tcPr>
          <w:p w14:paraId="653C2719" w14:textId="223B1CEB" w:rsidR="00F72FED" w:rsidRPr="009F1E7A" w:rsidRDefault="00F72FED" w:rsidP="00F76882">
            <w:pPr>
              <w:pStyle w:val="Tabletext"/>
            </w:pPr>
            <w:r w:rsidRPr="009F1E7A">
              <w:t>0</w:t>
            </w:r>
          </w:p>
        </w:tc>
        <w:tc>
          <w:tcPr>
            <w:tcW w:w="681" w:type="pct"/>
            <w:noWrap/>
          </w:tcPr>
          <w:p w14:paraId="4FB4E69D" w14:textId="02B959BD" w:rsidR="00F72FED" w:rsidRPr="009F1E7A" w:rsidRDefault="00F72FED" w:rsidP="00F76882">
            <w:pPr>
              <w:pStyle w:val="Tabletext"/>
            </w:pPr>
            <w:r w:rsidRPr="009F1E7A">
              <w:t>0</w:t>
            </w:r>
          </w:p>
        </w:tc>
        <w:tc>
          <w:tcPr>
            <w:tcW w:w="681" w:type="pct"/>
            <w:noWrap/>
          </w:tcPr>
          <w:p w14:paraId="69FFEA87" w14:textId="6FAC0FD0" w:rsidR="00F72FED" w:rsidRPr="009F1E7A" w:rsidRDefault="00F72FED" w:rsidP="00F76882">
            <w:pPr>
              <w:pStyle w:val="Tabletext"/>
            </w:pPr>
            <w:r w:rsidRPr="009F1E7A">
              <w:t>0</w:t>
            </w:r>
          </w:p>
        </w:tc>
        <w:tc>
          <w:tcPr>
            <w:tcW w:w="681" w:type="pct"/>
            <w:noWrap/>
          </w:tcPr>
          <w:p w14:paraId="19D5208D" w14:textId="6A5609E7" w:rsidR="00F72FED" w:rsidRPr="009F1E7A" w:rsidRDefault="00F72FED" w:rsidP="00F76882">
            <w:pPr>
              <w:pStyle w:val="Tabletext"/>
            </w:pPr>
            <w:r w:rsidRPr="009F1E7A">
              <w:t>0</w:t>
            </w:r>
          </w:p>
        </w:tc>
        <w:tc>
          <w:tcPr>
            <w:tcW w:w="681" w:type="pct"/>
            <w:noWrap/>
          </w:tcPr>
          <w:p w14:paraId="204E7D18" w14:textId="431B6F6E" w:rsidR="00F72FED" w:rsidRPr="009F1E7A" w:rsidRDefault="00F72FED" w:rsidP="00F76882">
            <w:pPr>
              <w:pStyle w:val="Tabletext"/>
            </w:pPr>
            <w:r w:rsidRPr="009F1E7A">
              <w:t>0</w:t>
            </w:r>
          </w:p>
        </w:tc>
      </w:tr>
      <w:tr w:rsidR="00F72FED" w:rsidRPr="0036007C" w14:paraId="28BFD4A2" w14:textId="77777777" w:rsidTr="00E60B9E">
        <w:trPr>
          <w:trHeight w:val="454"/>
        </w:trPr>
        <w:tc>
          <w:tcPr>
            <w:tcW w:w="1595" w:type="pct"/>
            <w:hideMark/>
          </w:tcPr>
          <w:p w14:paraId="6EF1A82B" w14:textId="77777777" w:rsidR="00F72FED" w:rsidRPr="009F1E7A" w:rsidRDefault="00F72FED" w:rsidP="00F76882">
            <w:pPr>
              <w:pStyle w:val="Tabletextleft"/>
            </w:pPr>
            <w:r w:rsidRPr="009F1E7A">
              <w:t>Sporting/community events</w:t>
            </w:r>
          </w:p>
        </w:tc>
        <w:tc>
          <w:tcPr>
            <w:tcW w:w="681" w:type="pct"/>
            <w:noWrap/>
          </w:tcPr>
          <w:p w14:paraId="47CD71E1" w14:textId="10D7D5B2" w:rsidR="00F72FED" w:rsidRPr="009F1E7A" w:rsidRDefault="00F72FED" w:rsidP="00F76882">
            <w:pPr>
              <w:pStyle w:val="Tabletext"/>
            </w:pPr>
            <w:r w:rsidRPr="009F1E7A">
              <w:t>0</w:t>
            </w:r>
          </w:p>
        </w:tc>
        <w:tc>
          <w:tcPr>
            <w:tcW w:w="681" w:type="pct"/>
            <w:noWrap/>
          </w:tcPr>
          <w:p w14:paraId="2F96B31C" w14:textId="4E54485E" w:rsidR="00F72FED" w:rsidRPr="009F1E7A" w:rsidRDefault="00F72FED" w:rsidP="00F76882">
            <w:pPr>
              <w:pStyle w:val="Tabletext"/>
            </w:pPr>
            <w:r w:rsidRPr="009F1E7A">
              <w:t>0</w:t>
            </w:r>
          </w:p>
        </w:tc>
        <w:tc>
          <w:tcPr>
            <w:tcW w:w="681" w:type="pct"/>
            <w:noWrap/>
          </w:tcPr>
          <w:p w14:paraId="43620201" w14:textId="67DDB325" w:rsidR="00F72FED" w:rsidRPr="009F1E7A" w:rsidRDefault="00F72FED" w:rsidP="00F76882">
            <w:pPr>
              <w:pStyle w:val="Tabletext"/>
            </w:pPr>
            <w:r w:rsidRPr="009F1E7A">
              <w:t>0</w:t>
            </w:r>
          </w:p>
        </w:tc>
        <w:tc>
          <w:tcPr>
            <w:tcW w:w="681" w:type="pct"/>
            <w:noWrap/>
          </w:tcPr>
          <w:p w14:paraId="21F3A91F" w14:textId="762D3319" w:rsidR="00F72FED" w:rsidRPr="009F1E7A" w:rsidRDefault="00F72FED" w:rsidP="00F76882">
            <w:pPr>
              <w:pStyle w:val="Tabletext"/>
            </w:pPr>
            <w:r w:rsidRPr="009F1E7A">
              <w:t>1</w:t>
            </w:r>
          </w:p>
        </w:tc>
        <w:tc>
          <w:tcPr>
            <w:tcW w:w="681" w:type="pct"/>
            <w:noWrap/>
          </w:tcPr>
          <w:p w14:paraId="1BABCC0D" w14:textId="1EAE92AB" w:rsidR="00F72FED" w:rsidRPr="009F1E7A" w:rsidRDefault="00F72FED" w:rsidP="00F76882">
            <w:pPr>
              <w:pStyle w:val="Tabletext"/>
            </w:pPr>
            <w:r w:rsidRPr="009F1E7A">
              <w:t>1</w:t>
            </w:r>
          </w:p>
        </w:tc>
      </w:tr>
      <w:tr w:rsidR="00F72FED" w:rsidRPr="0036007C" w14:paraId="442903BF" w14:textId="77777777" w:rsidTr="00E60B9E">
        <w:trPr>
          <w:cnfStyle w:val="000000010000" w:firstRow="0" w:lastRow="0" w:firstColumn="0" w:lastColumn="0" w:oddVBand="0" w:evenVBand="0" w:oddHBand="0" w:evenHBand="1" w:firstRowFirstColumn="0" w:firstRowLastColumn="0" w:lastRowFirstColumn="0" w:lastRowLastColumn="0"/>
          <w:trHeight w:val="454"/>
        </w:trPr>
        <w:tc>
          <w:tcPr>
            <w:tcW w:w="1595" w:type="pct"/>
            <w:hideMark/>
          </w:tcPr>
          <w:p w14:paraId="624D1062" w14:textId="77777777" w:rsidR="00F72FED" w:rsidRPr="009F1E7A" w:rsidRDefault="00F72FED" w:rsidP="00F76882">
            <w:pPr>
              <w:pStyle w:val="Tabletextleft"/>
            </w:pPr>
            <w:r w:rsidRPr="009F1E7A">
              <w:t>Other</w:t>
            </w:r>
          </w:p>
        </w:tc>
        <w:tc>
          <w:tcPr>
            <w:tcW w:w="681" w:type="pct"/>
            <w:noWrap/>
          </w:tcPr>
          <w:p w14:paraId="417A6F05" w14:textId="1383B6FC" w:rsidR="00F72FED" w:rsidRPr="009F1E7A" w:rsidRDefault="00F72FED" w:rsidP="00F76882">
            <w:pPr>
              <w:pStyle w:val="Tabletext"/>
            </w:pPr>
            <w:r w:rsidRPr="009F1E7A">
              <w:t>3</w:t>
            </w:r>
          </w:p>
        </w:tc>
        <w:tc>
          <w:tcPr>
            <w:tcW w:w="681" w:type="pct"/>
            <w:noWrap/>
          </w:tcPr>
          <w:p w14:paraId="1101F07B" w14:textId="542DF4D7" w:rsidR="00F72FED" w:rsidRPr="009F1E7A" w:rsidRDefault="00F72FED" w:rsidP="00F76882">
            <w:pPr>
              <w:pStyle w:val="Tabletext"/>
            </w:pPr>
            <w:r w:rsidRPr="009F1E7A">
              <w:t>0</w:t>
            </w:r>
          </w:p>
        </w:tc>
        <w:tc>
          <w:tcPr>
            <w:tcW w:w="681" w:type="pct"/>
            <w:noWrap/>
          </w:tcPr>
          <w:p w14:paraId="1273541C" w14:textId="40178B01" w:rsidR="00F72FED" w:rsidRPr="009F1E7A" w:rsidRDefault="00F72FED" w:rsidP="00F76882">
            <w:pPr>
              <w:pStyle w:val="Tabletext"/>
            </w:pPr>
            <w:r w:rsidRPr="009F1E7A">
              <w:t>1</w:t>
            </w:r>
          </w:p>
        </w:tc>
        <w:tc>
          <w:tcPr>
            <w:tcW w:w="681" w:type="pct"/>
            <w:noWrap/>
          </w:tcPr>
          <w:p w14:paraId="6D6E7D34" w14:textId="44AF84A9" w:rsidR="00F72FED" w:rsidRPr="009F1E7A" w:rsidRDefault="00F72FED" w:rsidP="00F76882">
            <w:pPr>
              <w:pStyle w:val="Tabletext"/>
            </w:pPr>
            <w:r w:rsidRPr="009F1E7A">
              <w:t>7</w:t>
            </w:r>
          </w:p>
        </w:tc>
        <w:tc>
          <w:tcPr>
            <w:tcW w:w="681" w:type="pct"/>
            <w:noWrap/>
          </w:tcPr>
          <w:p w14:paraId="42C61539" w14:textId="238B2DF3" w:rsidR="00F72FED" w:rsidRPr="009F1E7A" w:rsidRDefault="00F72FED" w:rsidP="00F76882">
            <w:pPr>
              <w:pStyle w:val="Tabletext"/>
            </w:pPr>
            <w:r w:rsidRPr="009F1E7A">
              <w:t>11</w:t>
            </w:r>
          </w:p>
        </w:tc>
      </w:tr>
      <w:tr w:rsidR="006E555D" w:rsidRPr="0036007C" w14:paraId="0A8C328C" w14:textId="77777777" w:rsidTr="00E60B9E">
        <w:trPr>
          <w:trHeight w:val="454"/>
        </w:trPr>
        <w:tc>
          <w:tcPr>
            <w:tcW w:w="5000" w:type="pct"/>
            <w:gridSpan w:val="6"/>
            <w:hideMark/>
          </w:tcPr>
          <w:p w14:paraId="2BFC566C" w14:textId="689DFD3D" w:rsidR="00036BFC" w:rsidRPr="009F1E7A" w:rsidRDefault="00036BFC" w:rsidP="00F76882">
            <w:pPr>
              <w:rPr>
                <w:rStyle w:val="Strong"/>
              </w:rPr>
            </w:pPr>
            <w:r w:rsidRPr="009F1E7A">
              <w:rPr>
                <w:rStyle w:val="Strong"/>
              </w:rPr>
              <w:t>Target audience</w:t>
            </w:r>
          </w:p>
        </w:tc>
      </w:tr>
      <w:tr w:rsidR="00F72FED" w:rsidRPr="0036007C" w14:paraId="3F19CA09" w14:textId="77777777" w:rsidTr="00E60B9E">
        <w:trPr>
          <w:cnfStyle w:val="000000010000" w:firstRow="0" w:lastRow="0" w:firstColumn="0" w:lastColumn="0" w:oddVBand="0" w:evenVBand="0" w:oddHBand="0" w:evenHBand="1" w:firstRowFirstColumn="0" w:firstRowLastColumn="0" w:lastRowFirstColumn="0" w:lastRowLastColumn="0"/>
          <w:trHeight w:val="454"/>
        </w:trPr>
        <w:tc>
          <w:tcPr>
            <w:tcW w:w="1595" w:type="pct"/>
            <w:hideMark/>
          </w:tcPr>
          <w:p w14:paraId="3F7BD903" w14:textId="77777777" w:rsidR="00F72FED" w:rsidRPr="009F1E7A" w:rsidRDefault="00F72FED" w:rsidP="00F76882">
            <w:pPr>
              <w:pStyle w:val="Tabletextleft"/>
            </w:pPr>
            <w:r w:rsidRPr="009F1E7A">
              <w:t>Health professionals/staff</w:t>
            </w:r>
          </w:p>
        </w:tc>
        <w:tc>
          <w:tcPr>
            <w:tcW w:w="681" w:type="pct"/>
            <w:noWrap/>
          </w:tcPr>
          <w:p w14:paraId="0D410BC1" w14:textId="116D9C22" w:rsidR="00F72FED" w:rsidRPr="009F1E7A" w:rsidRDefault="00F72FED" w:rsidP="00F76882">
            <w:pPr>
              <w:pStyle w:val="Tabletext"/>
            </w:pPr>
            <w:r w:rsidRPr="009F1E7A">
              <w:t>1</w:t>
            </w:r>
          </w:p>
        </w:tc>
        <w:tc>
          <w:tcPr>
            <w:tcW w:w="681" w:type="pct"/>
            <w:noWrap/>
          </w:tcPr>
          <w:p w14:paraId="136C9F6B" w14:textId="13F83214" w:rsidR="00F72FED" w:rsidRPr="009F1E7A" w:rsidRDefault="00F72FED" w:rsidP="00F76882">
            <w:pPr>
              <w:pStyle w:val="Tabletext"/>
            </w:pPr>
            <w:r w:rsidRPr="009F1E7A">
              <w:t>10</w:t>
            </w:r>
          </w:p>
        </w:tc>
        <w:tc>
          <w:tcPr>
            <w:tcW w:w="681" w:type="pct"/>
            <w:noWrap/>
          </w:tcPr>
          <w:p w14:paraId="492C771B" w14:textId="7EDB4221" w:rsidR="00F72FED" w:rsidRPr="009F1E7A" w:rsidRDefault="00F72FED" w:rsidP="00F76882">
            <w:pPr>
              <w:pStyle w:val="Tabletext"/>
            </w:pPr>
            <w:r w:rsidRPr="009F1E7A">
              <w:t>1</w:t>
            </w:r>
          </w:p>
        </w:tc>
        <w:tc>
          <w:tcPr>
            <w:tcW w:w="681" w:type="pct"/>
            <w:noWrap/>
          </w:tcPr>
          <w:p w14:paraId="49E2193B" w14:textId="51DECB8D" w:rsidR="00F72FED" w:rsidRPr="009F1E7A" w:rsidRDefault="00F72FED" w:rsidP="00F76882">
            <w:pPr>
              <w:pStyle w:val="Tabletext"/>
            </w:pPr>
            <w:r w:rsidRPr="009F1E7A">
              <w:t>6</w:t>
            </w:r>
          </w:p>
        </w:tc>
        <w:tc>
          <w:tcPr>
            <w:tcW w:w="681" w:type="pct"/>
            <w:noWrap/>
          </w:tcPr>
          <w:p w14:paraId="01EEBEC9" w14:textId="3AAC6707" w:rsidR="00F72FED" w:rsidRPr="009F1E7A" w:rsidRDefault="00F72FED" w:rsidP="00F76882">
            <w:pPr>
              <w:pStyle w:val="Tabletext"/>
            </w:pPr>
            <w:r w:rsidRPr="009F1E7A">
              <w:t>18</w:t>
            </w:r>
          </w:p>
        </w:tc>
      </w:tr>
      <w:tr w:rsidR="00F72FED" w:rsidRPr="0036007C" w14:paraId="532F0A71" w14:textId="77777777" w:rsidTr="00E60B9E">
        <w:trPr>
          <w:trHeight w:val="454"/>
        </w:trPr>
        <w:tc>
          <w:tcPr>
            <w:tcW w:w="1595" w:type="pct"/>
            <w:hideMark/>
          </w:tcPr>
          <w:p w14:paraId="5B688AC5" w14:textId="77777777" w:rsidR="00F72FED" w:rsidRPr="009F1E7A" w:rsidRDefault="00F72FED" w:rsidP="00F76882">
            <w:pPr>
              <w:pStyle w:val="Tabletextleft"/>
            </w:pPr>
            <w:r w:rsidRPr="009F1E7A">
              <w:t>Children</w:t>
            </w:r>
          </w:p>
        </w:tc>
        <w:tc>
          <w:tcPr>
            <w:tcW w:w="681" w:type="pct"/>
            <w:noWrap/>
          </w:tcPr>
          <w:p w14:paraId="54A08DB1" w14:textId="316931A3" w:rsidR="00F72FED" w:rsidRPr="009F1E7A" w:rsidRDefault="00F72FED" w:rsidP="00F76882">
            <w:pPr>
              <w:pStyle w:val="Tabletext"/>
            </w:pPr>
            <w:r w:rsidRPr="009F1E7A">
              <w:t>14</w:t>
            </w:r>
          </w:p>
        </w:tc>
        <w:tc>
          <w:tcPr>
            <w:tcW w:w="681" w:type="pct"/>
            <w:noWrap/>
          </w:tcPr>
          <w:p w14:paraId="2E68AF3F" w14:textId="02A65440" w:rsidR="00F72FED" w:rsidRPr="009F1E7A" w:rsidRDefault="00F72FED" w:rsidP="00F76882">
            <w:pPr>
              <w:pStyle w:val="Tabletext"/>
            </w:pPr>
            <w:r w:rsidRPr="009F1E7A">
              <w:t>11</w:t>
            </w:r>
          </w:p>
        </w:tc>
        <w:tc>
          <w:tcPr>
            <w:tcW w:w="681" w:type="pct"/>
            <w:noWrap/>
          </w:tcPr>
          <w:p w14:paraId="0117C59A" w14:textId="4C9A7599" w:rsidR="00F72FED" w:rsidRPr="009F1E7A" w:rsidRDefault="00F72FED" w:rsidP="00F76882">
            <w:pPr>
              <w:pStyle w:val="Tabletext"/>
            </w:pPr>
            <w:r w:rsidRPr="009F1E7A">
              <w:t>7</w:t>
            </w:r>
          </w:p>
        </w:tc>
        <w:tc>
          <w:tcPr>
            <w:tcW w:w="681" w:type="pct"/>
            <w:noWrap/>
          </w:tcPr>
          <w:p w14:paraId="080463E4" w14:textId="423E4706" w:rsidR="00F72FED" w:rsidRPr="009F1E7A" w:rsidRDefault="00F72FED" w:rsidP="00F76882">
            <w:pPr>
              <w:pStyle w:val="Tabletext"/>
            </w:pPr>
            <w:r w:rsidRPr="009F1E7A">
              <w:t>14</w:t>
            </w:r>
          </w:p>
        </w:tc>
        <w:tc>
          <w:tcPr>
            <w:tcW w:w="681" w:type="pct"/>
            <w:noWrap/>
          </w:tcPr>
          <w:p w14:paraId="2B78C51F" w14:textId="6EF71AD5" w:rsidR="00F72FED" w:rsidRPr="009F1E7A" w:rsidRDefault="00F72FED" w:rsidP="00F76882">
            <w:pPr>
              <w:pStyle w:val="Tabletext"/>
            </w:pPr>
            <w:r w:rsidRPr="009F1E7A">
              <w:t>46</w:t>
            </w:r>
          </w:p>
        </w:tc>
      </w:tr>
      <w:tr w:rsidR="00F72FED" w:rsidRPr="0036007C" w14:paraId="2AD8274D" w14:textId="77777777" w:rsidTr="00E60B9E">
        <w:trPr>
          <w:cnfStyle w:val="000000010000" w:firstRow="0" w:lastRow="0" w:firstColumn="0" w:lastColumn="0" w:oddVBand="0" w:evenVBand="0" w:oddHBand="0" w:evenHBand="1" w:firstRowFirstColumn="0" w:firstRowLastColumn="0" w:lastRowFirstColumn="0" w:lastRowLastColumn="0"/>
          <w:trHeight w:val="454"/>
        </w:trPr>
        <w:tc>
          <w:tcPr>
            <w:tcW w:w="1595" w:type="pct"/>
            <w:hideMark/>
          </w:tcPr>
          <w:p w14:paraId="4EB080E1" w14:textId="77777777" w:rsidR="00F72FED" w:rsidRPr="009F1E7A" w:rsidRDefault="00F72FED" w:rsidP="00F76882">
            <w:pPr>
              <w:pStyle w:val="Tabletextleft"/>
            </w:pPr>
            <w:r w:rsidRPr="009F1E7A">
              <w:t>Youth</w:t>
            </w:r>
          </w:p>
        </w:tc>
        <w:tc>
          <w:tcPr>
            <w:tcW w:w="681" w:type="pct"/>
            <w:noWrap/>
          </w:tcPr>
          <w:p w14:paraId="644D2894" w14:textId="1724CA8E" w:rsidR="00F72FED" w:rsidRPr="009F1E7A" w:rsidRDefault="00F72FED" w:rsidP="00F76882">
            <w:pPr>
              <w:pStyle w:val="Tabletext"/>
            </w:pPr>
            <w:r w:rsidRPr="009F1E7A">
              <w:t>0</w:t>
            </w:r>
          </w:p>
        </w:tc>
        <w:tc>
          <w:tcPr>
            <w:tcW w:w="681" w:type="pct"/>
            <w:noWrap/>
          </w:tcPr>
          <w:p w14:paraId="7F1AA4BB" w14:textId="0D96D603" w:rsidR="00F72FED" w:rsidRPr="009F1E7A" w:rsidRDefault="00F72FED" w:rsidP="00F76882">
            <w:pPr>
              <w:pStyle w:val="Tabletext"/>
            </w:pPr>
            <w:r w:rsidRPr="009F1E7A">
              <w:t>0</w:t>
            </w:r>
          </w:p>
        </w:tc>
        <w:tc>
          <w:tcPr>
            <w:tcW w:w="681" w:type="pct"/>
            <w:noWrap/>
          </w:tcPr>
          <w:p w14:paraId="3C2E9A83" w14:textId="15A2CD36" w:rsidR="00F72FED" w:rsidRPr="009F1E7A" w:rsidRDefault="00F72FED" w:rsidP="00F76882">
            <w:pPr>
              <w:pStyle w:val="Tabletext"/>
            </w:pPr>
            <w:r w:rsidRPr="009F1E7A">
              <w:t>1</w:t>
            </w:r>
          </w:p>
        </w:tc>
        <w:tc>
          <w:tcPr>
            <w:tcW w:w="681" w:type="pct"/>
            <w:noWrap/>
          </w:tcPr>
          <w:p w14:paraId="62EA61BD" w14:textId="2976182F" w:rsidR="00F72FED" w:rsidRPr="009F1E7A" w:rsidRDefault="00F72FED" w:rsidP="00F76882">
            <w:pPr>
              <w:pStyle w:val="Tabletext"/>
            </w:pPr>
            <w:r w:rsidRPr="009F1E7A">
              <w:t>0</w:t>
            </w:r>
          </w:p>
        </w:tc>
        <w:tc>
          <w:tcPr>
            <w:tcW w:w="681" w:type="pct"/>
            <w:noWrap/>
          </w:tcPr>
          <w:p w14:paraId="54B47ACF" w14:textId="09BB59CE" w:rsidR="00F72FED" w:rsidRPr="009F1E7A" w:rsidRDefault="00F72FED" w:rsidP="00F76882">
            <w:pPr>
              <w:pStyle w:val="Tabletext"/>
            </w:pPr>
            <w:r w:rsidRPr="009F1E7A">
              <w:t>1</w:t>
            </w:r>
          </w:p>
        </w:tc>
      </w:tr>
      <w:tr w:rsidR="00F72FED" w:rsidRPr="0036007C" w14:paraId="15D8793A" w14:textId="77777777" w:rsidTr="00E60B9E">
        <w:trPr>
          <w:trHeight w:val="454"/>
        </w:trPr>
        <w:tc>
          <w:tcPr>
            <w:tcW w:w="1595" w:type="pct"/>
            <w:hideMark/>
          </w:tcPr>
          <w:p w14:paraId="41686F1E" w14:textId="77777777" w:rsidR="00F72FED" w:rsidRPr="009F1E7A" w:rsidRDefault="00F72FED" w:rsidP="00F76882">
            <w:pPr>
              <w:pStyle w:val="Tabletextleft"/>
            </w:pPr>
            <w:r w:rsidRPr="009F1E7A">
              <w:t>Teachers/childcare/preschool staff</w:t>
            </w:r>
          </w:p>
        </w:tc>
        <w:tc>
          <w:tcPr>
            <w:tcW w:w="681" w:type="pct"/>
            <w:noWrap/>
          </w:tcPr>
          <w:p w14:paraId="5E7BA9F0" w14:textId="4EB42ABB" w:rsidR="00F72FED" w:rsidRPr="009F1E7A" w:rsidRDefault="00F72FED" w:rsidP="00F76882">
            <w:pPr>
              <w:pStyle w:val="Tabletext"/>
            </w:pPr>
            <w:r w:rsidRPr="009F1E7A">
              <w:t>3</w:t>
            </w:r>
          </w:p>
        </w:tc>
        <w:tc>
          <w:tcPr>
            <w:tcW w:w="681" w:type="pct"/>
            <w:noWrap/>
          </w:tcPr>
          <w:p w14:paraId="49334670" w14:textId="31A2576D" w:rsidR="00F72FED" w:rsidRPr="009F1E7A" w:rsidRDefault="00F72FED" w:rsidP="00F76882">
            <w:pPr>
              <w:pStyle w:val="Tabletext"/>
            </w:pPr>
            <w:r w:rsidRPr="009F1E7A">
              <w:t>9</w:t>
            </w:r>
          </w:p>
        </w:tc>
        <w:tc>
          <w:tcPr>
            <w:tcW w:w="681" w:type="pct"/>
            <w:noWrap/>
          </w:tcPr>
          <w:p w14:paraId="4F21FFE4" w14:textId="04158B5D" w:rsidR="00F72FED" w:rsidRPr="009F1E7A" w:rsidRDefault="00F72FED" w:rsidP="00F76882">
            <w:pPr>
              <w:pStyle w:val="Tabletext"/>
            </w:pPr>
            <w:r w:rsidRPr="009F1E7A">
              <w:t>0</w:t>
            </w:r>
          </w:p>
        </w:tc>
        <w:tc>
          <w:tcPr>
            <w:tcW w:w="681" w:type="pct"/>
            <w:noWrap/>
          </w:tcPr>
          <w:p w14:paraId="6662B96C" w14:textId="3C145844" w:rsidR="00F72FED" w:rsidRPr="009F1E7A" w:rsidRDefault="00F72FED" w:rsidP="00F76882">
            <w:pPr>
              <w:pStyle w:val="Tabletext"/>
            </w:pPr>
            <w:r w:rsidRPr="009F1E7A">
              <w:t>10</w:t>
            </w:r>
          </w:p>
        </w:tc>
        <w:tc>
          <w:tcPr>
            <w:tcW w:w="681" w:type="pct"/>
            <w:noWrap/>
          </w:tcPr>
          <w:p w14:paraId="74705E24" w14:textId="388B4D8C" w:rsidR="00F72FED" w:rsidRPr="009F1E7A" w:rsidRDefault="00F72FED" w:rsidP="00F76882">
            <w:pPr>
              <w:pStyle w:val="Tabletext"/>
            </w:pPr>
            <w:r w:rsidRPr="009F1E7A">
              <w:t>22</w:t>
            </w:r>
          </w:p>
        </w:tc>
      </w:tr>
      <w:tr w:rsidR="00F72FED" w:rsidRPr="0036007C" w14:paraId="7016884D" w14:textId="77777777" w:rsidTr="00E60B9E">
        <w:trPr>
          <w:cnfStyle w:val="000000010000" w:firstRow="0" w:lastRow="0" w:firstColumn="0" w:lastColumn="0" w:oddVBand="0" w:evenVBand="0" w:oddHBand="0" w:evenHBand="1" w:firstRowFirstColumn="0" w:firstRowLastColumn="0" w:lastRowFirstColumn="0" w:lastRowLastColumn="0"/>
          <w:trHeight w:val="454"/>
        </w:trPr>
        <w:tc>
          <w:tcPr>
            <w:tcW w:w="1595" w:type="pct"/>
            <w:hideMark/>
          </w:tcPr>
          <w:p w14:paraId="2CAF5A26" w14:textId="77777777" w:rsidR="00F72FED" w:rsidRPr="009F1E7A" w:rsidRDefault="00F72FED" w:rsidP="00F76882">
            <w:pPr>
              <w:pStyle w:val="Tabletextleft"/>
            </w:pPr>
            <w:r w:rsidRPr="009F1E7A">
              <w:t>Caregivers/parents</w:t>
            </w:r>
          </w:p>
        </w:tc>
        <w:tc>
          <w:tcPr>
            <w:tcW w:w="681" w:type="pct"/>
            <w:noWrap/>
          </w:tcPr>
          <w:p w14:paraId="5E22207F" w14:textId="2964BD42" w:rsidR="00F72FED" w:rsidRPr="009F1E7A" w:rsidRDefault="00F72FED" w:rsidP="00F76882">
            <w:pPr>
              <w:pStyle w:val="Tabletext"/>
            </w:pPr>
            <w:r w:rsidRPr="009F1E7A">
              <w:t>3</w:t>
            </w:r>
          </w:p>
        </w:tc>
        <w:tc>
          <w:tcPr>
            <w:tcW w:w="681" w:type="pct"/>
            <w:noWrap/>
          </w:tcPr>
          <w:p w14:paraId="5E4586EB" w14:textId="3083A69F" w:rsidR="00F72FED" w:rsidRPr="009F1E7A" w:rsidRDefault="00F72FED" w:rsidP="00F76882">
            <w:pPr>
              <w:pStyle w:val="Tabletext"/>
            </w:pPr>
            <w:r w:rsidRPr="009F1E7A">
              <w:t>0</w:t>
            </w:r>
          </w:p>
        </w:tc>
        <w:tc>
          <w:tcPr>
            <w:tcW w:w="681" w:type="pct"/>
            <w:noWrap/>
          </w:tcPr>
          <w:p w14:paraId="2C55DCF5" w14:textId="0C3E128D" w:rsidR="00F72FED" w:rsidRPr="009F1E7A" w:rsidRDefault="00F72FED" w:rsidP="00F76882">
            <w:pPr>
              <w:pStyle w:val="Tabletext"/>
            </w:pPr>
            <w:r w:rsidRPr="009F1E7A">
              <w:t>3</w:t>
            </w:r>
          </w:p>
        </w:tc>
        <w:tc>
          <w:tcPr>
            <w:tcW w:w="681" w:type="pct"/>
            <w:noWrap/>
          </w:tcPr>
          <w:p w14:paraId="750A78F2" w14:textId="5B7C78DA" w:rsidR="00F72FED" w:rsidRPr="009F1E7A" w:rsidRDefault="00F72FED" w:rsidP="00F76882">
            <w:pPr>
              <w:pStyle w:val="Tabletext"/>
            </w:pPr>
            <w:r w:rsidRPr="009F1E7A">
              <w:t>1</w:t>
            </w:r>
          </w:p>
        </w:tc>
        <w:tc>
          <w:tcPr>
            <w:tcW w:w="681" w:type="pct"/>
            <w:noWrap/>
          </w:tcPr>
          <w:p w14:paraId="2DCEC2DE" w14:textId="7E992913" w:rsidR="00F72FED" w:rsidRPr="009F1E7A" w:rsidRDefault="00F72FED" w:rsidP="00F76882">
            <w:pPr>
              <w:pStyle w:val="Tabletext"/>
            </w:pPr>
            <w:r w:rsidRPr="009F1E7A">
              <w:t>7</w:t>
            </w:r>
          </w:p>
        </w:tc>
      </w:tr>
      <w:tr w:rsidR="00F72FED" w:rsidRPr="0036007C" w14:paraId="72324AF8" w14:textId="77777777" w:rsidTr="00E60B9E">
        <w:trPr>
          <w:trHeight w:val="454"/>
        </w:trPr>
        <w:tc>
          <w:tcPr>
            <w:tcW w:w="1595" w:type="pct"/>
            <w:hideMark/>
          </w:tcPr>
          <w:p w14:paraId="2B77E105" w14:textId="77777777" w:rsidR="00F72FED" w:rsidRPr="009F1E7A" w:rsidRDefault="00F72FED" w:rsidP="00F76882">
            <w:pPr>
              <w:pStyle w:val="Tabletextleft"/>
            </w:pPr>
            <w:r w:rsidRPr="009F1E7A">
              <w:t>Community members</w:t>
            </w:r>
          </w:p>
        </w:tc>
        <w:tc>
          <w:tcPr>
            <w:tcW w:w="681" w:type="pct"/>
            <w:noWrap/>
          </w:tcPr>
          <w:p w14:paraId="310037C9" w14:textId="5A5B25E2" w:rsidR="00F72FED" w:rsidRPr="009F1E7A" w:rsidRDefault="00F72FED" w:rsidP="00F76882">
            <w:pPr>
              <w:pStyle w:val="Tabletext"/>
            </w:pPr>
            <w:r w:rsidRPr="009F1E7A">
              <w:t>1</w:t>
            </w:r>
          </w:p>
        </w:tc>
        <w:tc>
          <w:tcPr>
            <w:tcW w:w="681" w:type="pct"/>
            <w:noWrap/>
          </w:tcPr>
          <w:p w14:paraId="7068F1FC" w14:textId="41CCD05E" w:rsidR="00F72FED" w:rsidRPr="009F1E7A" w:rsidRDefault="00F72FED" w:rsidP="00F76882">
            <w:pPr>
              <w:pStyle w:val="Tabletext"/>
            </w:pPr>
            <w:r w:rsidRPr="009F1E7A">
              <w:t>0</w:t>
            </w:r>
          </w:p>
        </w:tc>
        <w:tc>
          <w:tcPr>
            <w:tcW w:w="681" w:type="pct"/>
            <w:noWrap/>
          </w:tcPr>
          <w:p w14:paraId="051833D5" w14:textId="0489CAEE" w:rsidR="00F72FED" w:rsidRPr="009F1E7A" w:rsidRDefault="00F72FED" w:rsidP="00F76882">
            <w:pPr>
              <w:pStyle w:val="Tabletext"/>
            </w:pPr>
            <w:r w:rsidRPr="009F1E7A">
              <w:t>1</w:t>
            </w:r>
          </w:p>
        </w:tc>
        <w:tc>
          <w:tcPr>
            <w:tcW w:w="681" w:type="pct"/>
            <w:noWrap/>
          </w:tcPr>
          <w:p w14:paraId="0C89196C" w14:textId="27EE025D" w:rsidR="00F72FED" w:rsidRPr="009F1E7A" w:rsidRDefault="00F72FED" w:rsidP="00F76882">
            <w:pPr>
              <w:pStyle w:val="Tabletext"/>
            </w:pPr>
            <w:r w:rsidRPr="009F1E7A">
              <w:t>8</w:t>
            </w:r>
          </w:p>
        </w:tc>
        <w:tc>
          <w:tcPr>
            <w:tcW w:w="681" w:type="pct"/>
            <w:noWrap/>
          </w:tcPr>
          <w:p w14:paraId="02A0E9B4" w14:textId="7B37F801" w:rsidR="00F72FED" w:rsidRPr="009F1E7A" w:rsidRDefault="00F72FED" w:rsidP="00F76882">
            <w:pPr>
              <w:pStyle w:val="Tabletext"/>
            </w:pPr>
            <w:r w:rsidRPr="009F1E7A">
              <w:t>10</w:t>
            </w:r>
          </w:p>
        </w:tc>
      </w:tr>
      <w:tr w:rsidR="00F72FED" w:rsidRPr="0036007C" w14:paraId="5DBAC0E0" w14:textId="77777777" w:rsidTr="00E60B9E">
        <w:trPr>
          <w:cnfStyle w:val="000000010000" w:firstRow="0" w:lastRow="0" w:firstColumn="0" w:lastColumn="0" w:oddVBand="0" w:evenVBand="0" w:oddHBand="0" w:evenHBand="1" w:firstRowFirstColumn="0" w:firstRowLastColumn="0" w:lastRowFirstColumn="0" w:lastRowLastColumn="0"/>
          <w:trHeight w:val="454"/>
        </w:trPr>
        <w:tc>
          <w:tcPr>
            <w:tcW w:w="1595" w:type="pct"/>
            <w:hideMark/>
          </w:tcPr>
          <w:p w14:paraId="0E730F39" w14:textId="77777777" w:rsidR="00F72FED" w:rsidRPr="009F1E7A" w:rsidRDefault="00F72FED" w:rsidP="00F76882">
            <w:pPr>
              <w:pStyle w:val="Tabletextleft"/>
            </w:pPr>
            <w:r w:rsidRPr="009F1E7A">
              <w:t>Community educators/health promoters</w:t>
            </w:r>
          </w:p>
        </w:tc>
        <w:tc>
          <w:tcPr>
            <w:tcW w:w="681" w:type="pct"/>
            <w:noWrap/>
          </w:tcPr>
          <w:p w14:paraId="6F1BC350" w14:textId="79582C49" w:rsidR="00F72FED" w:rsidRPr="009F1E7A" w:rsidRDefault="00F72FED" w:rsidP="00F76882">
            <w:pPr>
              <w:pStyle w:val="Tabletext"/>
            </w:pPr>
            <w:r w:rsidRPr="009F1E7A">
              <w:t>0</w:t>
            </w:r>
          </w:p>
        </w:tc>
        <w:tc>
          <w:tcPr>
            <w:tcW w:w="681" w:type="pct"/>
            <w:noWrap/>
          </w:tcPr>
          <w:p w14:paraId="1720CA74" w14:textId="31347DEC" w:rsidR="00F72FED" w:rsidRPr="009F1E7A" w:rsidRDefault="00F72FED" w:rsidP="00F76882">
            <w:pPr>
              <w:pStyle w:val="Tabletext"/>
            </w:pPr>
            <w:r w:rsidRPr="009F1E7A">
              <w:t>0</w:t>
            </w:r>
          </w:p>
        </w:tc>
        <w:tc>
          <w:tcPr>
            <w:tcW w:w="681" w:type="pct"/>
            <w:noWrap/>
          </w:tcPr>
          <w:p w14:paraId="60037751" w14:textId="45A9C31B" w:rsidR="00F72FED" w:rsidRPr="009F1E7A" w:rsidRDefault="00F72FED" w:rsidP="00F76882">
            <w:pPr>
              <w:pStyle w:val="Tabletext"/>
            </w:pPr>
            <w:r w:rsidRPr="009F1E7A">
              <w:t>0</w:t>
            </w:r>
          </w:p>
        </w:tc>
        <w:tc>
          <w:tcPr>
            <w:tcW w:w="681" w:type="pct"/>
            <w:noWrap/>
          </w:tcPr>
          <w:p w14:paraId="00053A98" w14:textId="75F56492" w:rsidR="00F72FED" w:rsidRPr="009F1E7A" w:rsidRDefault="00F72FED" w:rsidP="00F76882">
            <w:pPr>
              <w:pStyle w:val="Tabletext"/>
            </w:pPr>
            <w:r w:rsidRPr="009F1E7A">
              <w:t>0</w:t>
            </w:r>
          </w:p>
        </w:tc>
        <w:tc>
          <w:tcPr>
            <w:tcW w:w="681" w:type="pct"/>
            <w:noWrap/>
          </w:tcPr>
          <w:p w14:paraId="63A5765D" w14:textId="0596A0A8" w:rsidR="00F72FED" w:rsidRPr="009F1E7A" w:rsidRDefault="00F72FED" w:rsidP="00F76882">
            <w:pPr>
              <w:pStyle w:val="Tabletext"/>
            </w:pPr>
            <w:r w:rsidRPr="009F1E7A">
              <w:t>0</w:t>
            </w:r>
          </w:p>
        </w:tc>
      </w:tr>
      <w:tr w:rsidR="00F72FED" w:rsidRPr="0036007C" w14:paraId="559BCD31" w14:textId="77777777" w:rsidTr="00E60B9E">
        <w:trPr>
          <w:trHeight w:val="454"/>
        </w:trPr>
        <w:tc>
          <w:tcPr>
            <w:tcW w:w="1595" w:type="pct"/>
            <w:hideMark/>
          </w:tcPr>
          <w:p w14:paraId="60863913" w14:textId="77777777" w:rsidR="00F72FED" w:rsidRPr="009F1E7A" w:rsidRDefault="00F72FED" w:rsidP="00F76882">
            <w:pPr>
              <w:pStyle w:val="Tabletextleft"/>
            </w:pPr>
            <w:r w:rsidRPr="009F1E7A">
              <w:t>Interagency members</w:t>
            </w:r>
          </w:p>
        </w:tc>
        <w:tc>
          <w:tcPr>
            <w:tcW w:w="681" w:type="pct"/>
            <w:noWrap/>
          </w:tcPr>
          <w:p w14:paraId="184876BB" w14:textId="0CAC023E" w:rsidR="00F72FED" w:rsidRPr="009F1E7A" w:rsidRDefault="00F72FED" w:rsidP="00F76882">
            <w:pPr>
              <w:pStyle w:val="Tabletext"/>
            </w:pPr>
            <w:r w:rsidRPr="009F1E7A">
              <w:t>3</w:t>
            </w:r>
          </w:p>
        </w:tc>
        <w:tc>
          <w:tcPr>
            <w:tcW w:w="681" w:type="pct"/>
            <w:noWrap/>
          </w:tcPr>
          <w:p w14:paraId="2EFF9BD5" w14:textId="22A1FC8E" w:rsidR="00F72FED" w:rsidRPr="009F1E7A" w:rsidRDefault="00F72FED" w:rsidP="00F76882">
            <w:pPr>
              <w:pStyle w:val="Tabletext"/>
            </w:pPr>
            <w:r w:rsidRPr="009F1E7A">
              <w:t>0</w:t>
            </w:r>
          </w:p>
        </w:tc>
        <w:tc>
          <w:tcPr>
            <w:tcW w:w="681" w:type="pct"/>
            <w:noWrap/>
          </w:tcPr>
          <w:p w14:paraId="1F0A0130" w14:textId="51C115FF" w:rsidR="00F72FED" w:rsidRPr="009F1E7A" w:rsidRDefault="00F72FED" w:rsidP="00F76882">
            <w:pPr>
              <w:pStyle w:val="Tabletext"/>
            </w:pPr>
            <w:r w:rsidRPr="009F1E7A">
              <w:t>0</w:t>
            </w:r>
          </w:p>
        </w:tc>
        <w:tc>
          <w:tcPr>
            <w:tcW w:w="681" w:type="pct"/>
            <w:noWrap/>
          </w:tcPr>
          <w:p w14:paraId="5DDC5ADD" w14:textId="795A24A9" w:rsidR="00F72FED" w:rsidRPr="009F1E7A" w:rsidRDefault="00F72FED" w:rsidP="00F76882">
            <w:pPr>
              <w:pStyle w:val="Tabletext"/>
            </w:pPr>
            <w:r w:rsidRPr="009F1E7A">
              <w:t>0</w:t>
            </w:r>
          </w:p>
        </w:tc>
        <w:tc>
          <w:tcPr>
            <w:tcW w:w="681" w:type="pct"/>
            <w:noWrap/>
          </w:tcPr>
          <w:p w14:paraId="6996B49D" w14:textId="590CA6B5" w:rsidR="00F72FED" w:rsidRPr="009F1E7A" w:rsidRDefault="00F72FED" w:rsidP="00F76882">
            <w:pPr>
              <w:pStyle w:val="Tabletext"/>
            </w:pPr>
            <w:r w:rsidRPr="009F1E7A">
              <w:t>3</w:t>
            </w:r>
          </w:p>
        </w:tc>
      </w:tr>
      <w:tr w:rsidR="006E555D" w:rsidRPr="0036007C" w14:paraId="66BDDA7B" w14:textId="77777777" w:rsidTr="00E60B9E">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6"/>
            <w:hideMark/>
          </w:tcPr>
          <w:p w14:paraId="21236A9D" w14:textId="1008F490" w:rsidR="00036BFC" w:rsidRPr="009F1E7A" w:rsidRDefault="00036BFC" w:rsidP="00F76882">
            <w:pPr>
              <w:rPr>
                <w:rStyle w:val="Strong"/>
              </w:rPr>
            </w:pPr>
            <w:r w:rsidRPr="009F1E7A">
              <w:rPr>
                <w:rStyle w:val="Strong"/>
              </w:rPr>
              <w:t>Frequency of health promotion activities</w:t>
            </w:r>
          </w:p>
        </w:tc>
      </w:tr>
      <w:tr w:rsidR="00E559EE" w:rsidRPr="0036007C" w14:paraId="59AB4264" w14:textId="77777777" w:rsidTr="00E60B9E">
        <w:trPr>
          <w:trHeight w:val="454"/>
        </w:trPr>
        <w:tc>
          <w:tcPr>
            <w:tcW w:w="1595" w:type="pct"/>
            <w:hideMark/>
          </w:tcPr>
          <w:p w14:paraId="1C738B89" w14:textId="77777777" w:rsidR="00E559EE" w:rsidRPr="009F1E7A" w:rsidRDefault="00E559EE" w:rsidP="00F76882">
            <w:pPr>
              <w:pStyle w:val="Tabletextleft"/>
            </w:pPr>
            <w:r w:rsidRPr="009F1E7A">
              <w:t>Once</w:t>
            </w:r>
          </w:p>
        </w:tc>
        <w:tc>
          <w:tcPr>
            <w:tcW w:w="681" w:type="pct"/>
            <w:noWrap/>
          </w:tcPr>
          <w:p w14:paraId="17BCBAFF" w14:textId="10F0356D" w:rsidR="00E559EE" w:rsidRPr="009F1E7A" w:rsidRDefault="00E559EE" w:rsidP="00F76882">
            <w:pPr>
              <w:pStyle w:val="Tabletext"/>
            </w:pPr>
            <w:r w:rsidRPr="009F1E7A">
              <w:t>11</w:t>
            </w:r>
          </w:p>
        </w:tc>
        <w:tc>
          <w:tcPr>
            <w:tcW w:w="681" w:type="pct"/>
            <w:noWrap/>
          </w:tcPr>
          <w:p w14:paraId="3E5E9344" w14:textId="71F494D9" w:rsidR="00E559EE" w:rsidRPr="009F1E7A" w:rsidRDefault="00E559EE" w:rsidP="00F76882">
            <w:pPr>
              <w:pStyle w:val="Tabletext"/>
            </w:pPr>
            <w:r w:rsidRPr="009F1E7A">
              <w:t>8</w:t>
            </w:r>
          </w:p>
        </w:tc>
        <w:tc>
          <w:tcPr>
            <w:tcW w:w="681" w:type="pct"/>
            <w:noWrap/>
          </w:tcPr>
          <w:p w14:paraId="4D446E3F" w14:textId="31D87912" w:rsidR="00E559EE" w:rsidRPr="009F1E7A" w:rsidRDefault="00E559EE" w:rsidP="00F76882">
            <w:pPr>
              <w:pStyle w:val="Tabletext"/>
            </w:pPr>
            <w:r w:rsidRPr="009F1E7A">
              <w:t>6</w:t>
            </w:r>
          </w:p>
        </w:tc>
        <w:tc>
          <w:tcPr>
            <w:tcW w:w="681" w:type="pct"/>
            <w:noWrap/>
          </w:tcPr>
          <w:p w14:paraId="554638DB" w14:textId="780C2C78" w:rsidR="00E559EE" w:rsidRPr="009F1E7A" w:rsidRDefault="00E559EE" w:rsidP="00F76882">
            <w:pPr>
              <w:pStyle w:val="Tabletext"/>
            </w:pPr>
            <w:r w:rsidRPr="009F1E7A">
              <w:t>21</w:t>
            </w:r>
          </w:p>
        </w:tc>
        <w:tc>
          <w:tcPr>
            <w:tcW w:w="681" w:type="pct"/>
            <w:noWrap/>
          </w:tcPr>
          <w:p w14:paraId="02001ED3" w14:textId="211DBA68" w:rsidR="00E559EE" w:rsidRPr="009F1E7A" w:rsidRDefault="00E559EE" w:rsidP="00F76882">
            <w:pPr>
              <w:pStyle w:val="Tabletext"/>
            </w:pPr>
            <w:r w:rsidRPr="009F1E7A">
              <w:t>46</w:t>
            </w:r>
          </w:p>
        </w:tc>
      </w:tr>
      <w:tr w:rsidR="00E559EE" w:rsidRPr="0036007C" w14:paraId="511A27BF" w14:textId="77777777" w:rsidTr="00E60B9E">
        <w:trPr>
          <w:cnfStyle w:val="000000010000" w:firstRow="0" w:lastRow="0" w:firstColumn="0" w:lastColumn="0" w:oddVBand="0" w:evenVBand="0" w:oddHBand="0" w:evenHBand="1" w:firstRowFirstColumn="0" w:firstRowLastColumn="0" w:lastRowFirstColumn="0" w:lastRowLastColumn="0"/>
          <w:trHeight w:val="454"/>
        </w:trPr>
        <w:tc>
          <w:tcPr>
            <w:tcW w:w="1595" w:type="pct"/>
            <w:hideMark/>
          </w:tcPr>
          <w:p w14:paraId="1A1EE9F3" w14:textId="77777777" w:rsidR="00E559EE" w:rsidRPr="009F1E7A" w:rsidRDefault="00E559EE" w:rsidP="00F76882">
            <w:pPr>
              <w:pStyle w:val="Tabletextleft"/>
            </w:pPr>
            <w:r w:rsidRPr="009F1E7A">
              <w:t>Occasional *</w:t>
            </w:r>
          </w:p>
        </w:tc>
        <w:tc>
          <w:tcPr>
            <w:tcW w:w="681" w:type="pct"/>
            <w:noWrap/>
          </w:tcPr>
          <w:p w14:paraId="2F01BDCF" w14:textId="63433D76" w:rsidR="00E559EE" w:rsidRPr="009F1E7A" w:rsidRDefault="00E559EE" w:rsidP="00F76882">
            <w:pPr>
              <w:pStyle w:val="Tabletext"/>
            </w:pPr>
            <w:r w:rsidRPr="009F1E7A">
              <w:t>7</w:t>
            </w:r>
          </w:p>
        </w:tc>
        <w:tc>
          <w:tcPr>
            <w:tcW w:w="681" w:type="pct"/>
            <w:noWrap/>
          </w:tcPr>
          <w:p w14:paraId="70DB8051" w14:textId="16CA0155" w:rsidR="00E559EE" w:rsidRPr="009F1E7A" w:rsidRDefault="00E559EE" w:rsidP="00F76882">
            <w:pPr>
              <w:pStyle w:val="Tabletext"/>
            </w:pPr>
            <w:r w:rsidRPr="009F1E7A">
              <w:t>8</w:t>
            </w:r>
          </w:p>
        </w:tc>
        <w:tc>
          <w:tcPr>
            <w:tcW w:w="681" w:type="pct"/>
            <w:noWrap/>
          </w:tcPr>
          <w:p w14:paraId="2FD6A6A0" w14:textId="7F4499C1" w:rsidR="00E559EE" w:rsidRPr="009F1E7A" w:rsidRDefault="00E559EE" w:rsidP="00F76882">
            <w:pPr>
              <w:pStyle w:val="Tabletext"/>
            </w:pPr>
            <w:r w:rsidRPr="009F1E7A">
              <w:t>6</w:t>
            </w:r>
          </w:p>
        </w:tc>
        <w:tc>
          <w:tcPr>
            <w:tcW w:w="681" w:type="pct"/>
            <w:noWrap/>
          </w:tcPr>
          <w:p w14:paraId="58C32410" w14:textId="6B0D3385" w:rsidR="00E559EE" w:rsidRPr="009F1E7A" w:rsidRDefault="00E559EE" w:rsidP="00F76882">
            <w:pPr>
              <w:pStyle w:val="Tabletext"/>
            </w:pPr>
            <w:r w:rsidRPr="009F1E7A">
              <w:t>5</w:t>
            </w:r>
          </w:p>
        </w:tc>
        <w:tc>
          <w:tcPr>
            <w:tcW w:w="681" w:type="pct"/>
            <w:noWrap/>
          </w:tcPr>
          <w:p w14:paraId="514B4EC8" w14:textId="2DA9981A" w:rsidR="00E559EE" w:rsidRPr="009F1E7A" w:rsidRDefault="00E559EE" w:rsidP="00F76882">
            <w:pPr>
              <w:pStyle w:val="Tabletext"/>
            </w:pPr>
            <w:r w:rsidRPr="009F1E7A">
              <w:t>26</w:t>
            </w:r>
          </w:p>
        </w:tc>
      </w:tr>
      <w:tr w:rsidR="00E559EE" w:rsidRPr="0036007C" w14:paraId="4218C6F6" w14:textId="77777777" w:rsidTr="00E60B9E">
        <w:trPr>
          <w:trHeight w:val="454"/>
        </w:trPr>
        <w:tc>
          <w:tcPr>
            <w:tcW w:w="1595" w:type="pct"/>
            <w:hideMark/>
          </w:tcPr>
          <w:p w14:paraId="7373A319" w14:textId="77777777" w:rsidR="00E559EE" w:rsidRPr="009F1E7A" w:rsidRDefault="00E559EE" w:rsidP="00F76882">
            <w:pPr>
              <w:pStyle w:val="Tabletextleft"/>
            </w:pPr>
            <w:r w:rsidRPr="009F1E7A">
              <w:t>Regular†</w:t>
            </w:r>
          </w:p>
        </w:tc>
        <w:tc>
          <w:tcPr>
            <w:tcW w:w="681" w:type="pct"/>
            <w:noWrap/>
          </w:tcPr>
          <w:p w14:paraId="3644F8AF" w14:textId="63F2FCAC" w:rsidR="00E559EE" w:rsidRPr="009F1E7A" w:rsidRDefault="00E559EE" w:rsidP="00F76882">
            <w:pPr>
              <w:pStyle w:val="Tabletext"/>
            </w:pPr>
            <w:r w:rsidRPr="009F1E7A">
              <w:t>0</w:t>
            </w:r>
          </w:p>
        </w:tc>
        <w:tc>
          <w:tcPr>
            <w:tcW w:w="681" w:type="pct"/>
            <w:noWrap/>
          </w:tcPr>
          <w:p w14:paraId="0F051C22" w14:textId="18EB58D7" w:rsidR="00E559EE" w:rsidRPr="009F1E7A" w:rsidRDefault="00E559EE" w:rsidP="00F76882">
            <w:pPr>
              <w:pStyle w:val="Tabletext"/>
            </w:pPr>
            <w:r w:rsidRPr="009F1E7A">
              <w:t>4</w:t>
            </w:r>
          </w:p>
        </w:tc>
        <w:tc>
          <w:tcPr>
            <w:tcW w:w="681" w:type="pct"/>
            <w:noWrap/>
          </w:tcPr>
          <w:p w14:paraId="5214ED90" w14:textId="1F9D8B37" w:rsidR="00E559EE" w:rsidRPr="009F1E7A" w:rsidRDefault="00E559EE" w:rsidP="00F76882">
            <w:pPr>
              <w:pStyle w:val="Tabletext"/>
            </w:pPr>
            <w:r w:rsidRPr="009F1E7A">
              <w:t>0</w:t>
            </w:r>
          </w:p>
        </w:tc>
        <w:tc>
          <w:tcPr>
            <w:tcW w:w="681" w:type="pct"/>
            <w:noWrap/>
          </w:tcPr>
          <w:p w14:paraId="07EA8369" w14:textId="66FEB116" w:rsidR="00E559EE" w:rsidRPr="009F1E7A" w:rsidRDefault="00E559EE" w:rsidP="00F76882">
            <w:pPr>
              <w:pStyle w:val="Tabletext"/>
            </w:pPr>
            <w:r w:rsidRPr="009F1E7A">
              <w:t>2</w:t>
            </w:r>
          </w:p>
        </w:tc>
        <w:tc>
          <w:tcPr>
            <w:tcW w:w="681" w:type="pct"/>
            <w:noWrap/>
          </w:tcPr>
          <w:p w14:paraId="4ABFFB4E" w14:textId="4C089D39" w:rsidR="00E559EE" w:rsidRPr="009F1E7A" w:rsidRDefault="00E559EE" w:rsidP="00F76882">
            <w:pPr>
              <w:pStyle w:val="Tabletext"/>
            </w:pPr>
            <w:r w:rsidRPr="009F1E7A">
              <w:t>6</w:t>
            </w:r>
          </w:p>
        </w:tc>
      </w:tr>
      <w:tr w:rsidR="00E559EE" w:rsidRPr="0036007C" w14:paraId="25E08AF3" w14:textId="77777777" w:rsidTr="00E60B9E">
        <w:trPr>
          <w:cnfStyle w:val="000000010000" w:firstRow="0" w:lastRow="0" w:firstColumn="0" w:lastColumn="0" w:oddVBand="0" w:evenVBand="0" w:oddHBand="0" w:evenHBand="1" w:firstRowFirstColumn="0" w:firstRowLastColumn="0" w:lastRowFirstColumn="0" w:lastRowLastColumn="0"/>
          <w:trHeight w:val="454"/>
        </w:trPr>
        <w:tc>
          <w:tcPr>
            <w:tcW w:w="1595" w:type="pct"/>
            <w:hideMark/>
          </w:tcPr>
          <w:p w14:paraId="4B95AD39" w14:textId="77777777" w:rsidR="00E559EE" w:rsidRPr="009F1E7A" w:rsidRDefault="00E559EE" w:rsidP="00F76882">
            <w:pPr>
              <w:pStyle w:val="Tabletextleft"/>
            </w:pPr>
            <w:r w:rsidRPr="009F1E7A">
              <w:t>Ongoing/routine</w:t>
            </w:r>
          </w:p>
        </w:tc>
        <w:tc>
          <w:tcPr>
            <w:tcW w:w="681" w:type="pct"/>
            <w:noWrap/>
          </w:tcPr>
          <w:p w14:paraId="48234616" w14:textId="4F68B12C" w:rsidR="00E559EE" w:rsidRPr="009F1E7A" w:rsidRDefault="00E559EE" w:rsidP="00F76882">
            <w:pPr>
              <w:pStyle w:val="Tabletext"/>
            </w:pPr>
            <w:r w:rsidRPr="009F1E7A">
              <w:t>0</w:t>
            </w:r>
          </w:p>
        </w:tc>
        <w:tc>
          <w:tcPr>
            <w:tcW w:w="681" w:type="pct"/>
            <w:noWrap/>
          </w:tcPr>
          <w:p w14:paraId="0C44A6CB" w14:textId="04E8988E" w:rsidR="00E559EE" w:rsidRPr="009F1E7A" w:rsidRDefault="00E559EE" w:rsidP="00F76882">
            <w:pPr>
              <w:pStyle w:val="Tabletext"/>
            </w:pPr>
            <w:r w:rsidRPr="009F1E7A">
              <w:t>0</w:t>
            </w:r>
          </w:p>
        </w:tc>
        <w:tc>
          <w:tcPr>
            <w:tcW w:w="681" w:type="pct"/>
            <w:noWrap/>
          </w:tcPr>
          <w:p w14:paraId="40BF6355" w14:textId="7AB4D32C" w:rsidR="00E559EE" w:rsidRPr="009F1E7A" w:rsidRDefault="00E559EE" w:rsidP="00F76882">
            <w:pPr>
              <w:pStyle w:val="Tabletext"/>
            </w:pPr>
            <w:r w:rsidRPr="009F1E7A">
              <w:t>0</w:t>
            </w:r>
          </w:p>
        </w:tc>
        <w:tc>
          <w:tcPr>
            <w:tcW w:w="681" w:type="pct"/>
            <w:noWrap/>
          </w:tcPr>
          <w:p w14:paraId="09528674" w14:textId="1F859A8C" w:rsidR="00E559EE" w:rsidRPr="009F1E7A" w:rsidRDefault="00E559EE" w:rsidP="00F76882">
            <w:pPr>
              <w:pStyle w:val="Tabletext"/>
            </w:pPr>
            <w:r w:rsidRPr="009F1E7A">
              <w:t>0</w:t>
            </w:r>
          </w:p>
        </w:tc>
        <w:tc>
          <w:tcPr>
            <w:tcW w:w="681" w:type="pct"/>
            <w:noWrap/>
          </w:tcPr>
          <w:p w14:paraId="3DFCCA10" w14:textId="41A493AD" w:rsidR="00E559EE" w:rsidRPr="009F1E7A" w:rsidRDefault="00E559EE" w:rsidP="00F76882">
            <w:pPr>
              <w:pStyle w:val="Tabletext"/>
            </w:pPr>
            <w:r w:rsidRPr="009F1E7A">
              <w:t>0</w:t>
            </w:r>
          </w:p>
        </w:tc>
      </w:tr>
    </w:tbl>
    <w:p w14:paraId="7340991D" w14:textId="22FD2611" w:rsidR="00E3767F" w:rsidRPr="009F1E7A" w:rsidRDefault="00E3767F" w:rsidP="00F76882">
      <w:pPr>
        <w:pStyle w:val="tablefigfootnote"/>
      </w:pPr>
      <w:r w:rsidRPr="009F1E7A">
        <w:t>* 2</w:t>
      </w:r>
      <w:r w:rsidR="003D00CE" w:rsidRPr="009F1E7A">
        <w:t>–</w:t>
      </w:r>
      <w:r w:rsidRPr="009F1E7A">
        <w:t>4 times per year</w:t>
      </w:r>
      <w:r w:rsidR="009F6DF5" w:rsidRPr="009F1E7A">
        <w:t>.</w:t>
      </w:r>
    </w:p>
    <w:p w14:paraId="6B6FAC32" w14:textId="73DDE73E" w:rsidR="000D4460" w:rsidRPr="009F1E7A" w:rsidRDefault="00E3767F" w:rsidP="00F76882">
      <w:pPr>
        <w:pStyle w:val="tablefigfootnote"/>
      </w:pPr>
      <w:r w:rsidRPr="0036007C">
        <w:t>† 5</w:t>
      </w:r>
      <w:r w:rsidR="003D00CE" w:rsidRPr="0036007C">
        <w:t>–</w:t>
      </w:r>
      <w:r w:rsidRPr="0036007C">
        <w:t>12 times per year</w:t>
      </w:r>
      <w:bookmarkStart w:id="405" w:name="_Toc360460829"/>
      <w:bookmarkStart w:id="406" w:name="_Toc392153942"/>
      <w:bookmarkStart w:id="407" w:name="_Toc490035409"/>
      <w:bookmarkStart w:id="408" w:name="_Toc520298323"/>
      <w:bookmarkEnd w:id="274"/>
      <w:bookmarkEnd w:id="275"/>
      <w:r w:rsidR="009F6DF5" w:rsidRPr="0036007C">
        <w:t>.</w:t>
      </w:r>
      <w:r w:rsidR="000D4460" w:rsidRPr="009F1E7A">
        <w:br w:type="page"/>
      </w:r>
    </w:p>
    <w:p w14:paraId="2A70322F" w14:textId="0CFD45E9" w:rsidR="00DF524D" w:rsidRPr="004609FA" w:rsidRDefault="00CC43E0" w:rsidP="00F76882">
      <w:pPr>
        <w:pStyle w:val="Heading1"/>
      </w:pPr>
      <w:bookmarkStart w:id="409" w:name="_Toc160544986"/>
      <w:bookmarkStart w:id="410" w:name="_Toc203986554"/>
      <w:bookmarkStart w:id="411" w:name="_Toc215236964"/>
      <w:r w:rsidRPr="004609FA">
        <w:t>Reference</w:t>
      </w:r>
      <w:bookmarkEnd w:id="405"/>
      <w:bookmarkEnd w:id="406"/>
      <w:bookmarkEnd w:id="407"/>
      <w:r w:rsidR="00425DE0" w:rsidRPr="004609FA">
        <w:t>s</w:t>
      </w:r>
      <w:bookmarkEnd w:id="408"/>
      <w:bookmarkEnd w:id="409"/>
      <w:bookmarkEnd w:id="410"/>
      <w:bookmarkEnd w:id="411"/>
    </w:p>
    <w:p w14:paraId="243B2F56" w14:textId="39C43C84" w:rsidR="00256D38" w:rsidRPr="003D3BBA" w:rsidRDefault="00DF524D" w:rsidP="00F76882">
      <w:r w:rsidRPr="003D3BBA">
        <w:fldChar w:fldCharType="begin"/>
      </w:r>
      <w:r w:rsidRPr="003D3BBA">
        <w:instrText xml:space="preserve"> ADDIN EN.REFLIST </w:instrText>
      </w:r>
      <w:r w:rsidRPr="003D3BBA">
        <w:fldChar w:fldCharType="separate"/>
      </w:r>
      <w:r w:rsidR="00256D38" w:rsidRPr="003D3BBA">
        <w:t>1.</w:t>
      </w:r>
      <w:r w:rsidR="00256D38" w:rsidRPr="003D3BBA">
        <w:tab/>
        <w:t xml:space="preserve">Solomon AW, Burton MJ, Gower EW, Harding-Esch EM, Oldenburg CE, Taylor HR, et al. Trachoma. Nat Rev Dis Primers. 2022;8(1):32. DOI: </w:t>
      </w:r>
      <w:hyperlink r:id="rId71" w:history="1">
        <w:r w:rsidR="00256D38" w:rsidRPr="003D3BBA">
          <w:rPr>
            <w:rStyle w:val="Hyperlink"/>
          </w:rPr>
          <w:t>https://doi.org/10.1038/s41572-022-00359-5</w:t>
        </w:r>
      </w:hyperlink>
      <w:r w:rsidR="00256D38" w:rsidRPr="003D3BBA">
        <w:t>.</w:t>
      </w:r>
    </w:p>
    <w:p w14:paraId="4C96C806" w14:textId="74131BCB" w:rsidR="00256D38" w:rsidRPr="003D3BBA" w:rsidRDefault="00256D38" w:rsidP="00F76882">
      <w:r w:rsidRPr="003D3BBA">
        <w:t>2.</w:t>
      </w:r>
      <w:r w:rsidRPr="003D3BBA">
        <w:tab/>
        <w:t xml:space="preserve">Solomon AW, Kello AB, Bangert M, West SK, Taylor HR, </w:t>
      </w:r>
      <w:proofErr w:type="spellStart"/>
      <w:r w:rsidRPr="003D3BBA">
        <w:t>Tekeraoi</w:t>
      </w:r>
      <w:proofErr w:type="spellEnd"/>
      <w:r w:rsidRPr="003D3BBA">
        <w:t xml:space="preserve"> R, et al. The simplified trachoma grading system, amended. Bull World Health Organ. 2020;98(10):698-705. DOI: </w:t>
      </w:r>
      <w:hyperlink r:id="rId72" w:history="1">
        <w:r w:rsidRPr="003D3BBA">
          <w:rPr>
            <w:rStyle w:val="Hyperlink"/>
          </w:rPr>
          <w:t>https://doi.org/10.2471/blt.19.248708</w:t>
        </w:r>
      </w:hyperlink>
      <w:r w:rsidRPr="003D3BBA">
        <w:t>.</w:t>
      </w:r>
    </w:p>
    <w:p w14:paraId="3238E51E" w14:textId="77777777" w:rsidR="00256D38" w:rsidRPr="003D3BBA" w:rsidRDefault="00256D38" w:rsidP="00F76882">
      <w:r w:rsidRPr="003D3BBA">
        <w:t>3.</w:t>
      </w:r>
      <w:r w:rsidRPr="003D3BBA">
        <w:tab/>
        <w:t>World Health Organization. Future approaches to trachoma control: report of a global scientific meeting, Geneva, 17–20 June 1996 (WHO/PBL/96.56). Geneva, Switzerland: World Health Organization; 1997. 46p.</w:t>
      </w:r>
    </w:p>
    <w:p w14:paraId="7E103EC7" w14:textId="77777777" w:rsidR="00256D38" w:rsidRPr="003D3BBA" w:rsidRDefault="00256D38" w:rsidP="00F76882">
      <w:r w:rsidRPr="003D3BBA">
        <w:t>4.</w:t>
      </w:r>
      <w:r w:rsidRPr="003D3BBA">
        <w:tab/>
        <w:t>World Health Organization. Ending the neglect to attain the Sustainable Development Goals: a road map for neglected tropical diseases 2021–2030. Geneva, Switzerland: World Health Organization; 2021 Jan 28.</w:t>
      </w:r>
    </w:p>
    <w:p w14:paraId="76EC67FC" w14:textId="77777777" w:rsidR="00256D38" w:rsidRPr="003D3BBA" w:rsidRDefault="00256D38" w:rsidP="00F76882">
      <w:r w:rsidRPr="003D3BBA">
        <w:t>5.</w:t>
      </w:r>
      <w:r w:rsidRPr="003D3BBA">
        <w:tab/>
        <w:t>Royal Australian College of Ophthalmologists. The National Trachoma and Eye Health Program of the Royal Australian College of Ophthalmologists. Sydney: Royal Australian College of Ophthalmologists; 1980. 246p.</w:t>
      </w:r>
    </w:p>
    <w:p w14:paraId="453758E1" w14:textId="77777777" w:rsidR="00256D38" w:rsidRPr="003D3BBA" w:rsidRDefault="00256D38" w:rsidP="00F76882">
      <w:r w:rsidRPr="003D3BBA">
        <w:t>6.</w:t>
      </w:r>
      <w:r w:rsidRPr="003D3BBA">
        <w:tab/>
        <w:t>Taylor H. Trachoma: A Blinding Scourge from the Bronze Age to the Twenty-first Century. East Melbourne, Vic: Centre for Eye Research Australia; 2008.</w:t>
      </w:r>
    </w:p>
    <w:p w14:paraId="0C0A0142" w14:textId="77777777" w:rsidR="00256D38" w:rsidRPr="003D3BBA" w:rsidRDefault="00256D38" w:rsidP="00F76882">
      <w:r w:rsidRPr="003D3BBA">
        <w:t>7.</w:t>
      </w:r>
      <w:r w:rsidRPr="003D3BBA">
        <w:tab/>
        <w:t xml:space="preserve">WHO Alliance for the Global Elimination of Trachoma. Progress report on elimination of trachoma, 2024-2025. </w:t>
      </w:r>
      <w:proofErr w:type="spellStart"/>
      <w:r w:rsidRPr="003D3BBA">
        <w:t>Wkly</w:t>
      </w:r>
      <w:proofErr w:type="spellEnd"/>
      <w:r w:rsidRPr="003D3BBA">
        <w:t xml:space="preserve"> Epidemiol Rec. 2025 Jul 18;100(29/30):285-302.</w:t>
      </w:r>
    </w:p>
    <w:p w14:paraId="2114E25B" w14:textId="47B7F51F" w:rsidR="00256D38" w:rsidRPr="003D3BBA" w:rsidRDefault="00256D38" w:rsidP="00F76882">
      <w:r w:rsidRPr="003D3BBA">
        <w:t>8.</w:t>
      </w:r>
      <w:r w:rsidRPr="003D3BBA">
        <w:tab/>
        <w:t xml:space="preserve">Wolle MA, Muñoz BE, </w:t>
      </w:r>
      <w:proofErr w:type="spellStart"/>
      <w:r w:rsidRPr="003D3BBA">
        <w:t>Mkocha</w:t>
      </w:r>
      <w:proofErr w:type="spellEnd"/>
      <w:r w:rsidRPr="003D3BBA">
        <w:t xml:space="preserve"> H, West SK. Constant ocular infection with Chlamydia trachomatis predicts risk of scarring in children in Tanzania. Ophthalmology. 2009;116(2):243-7. DOI: </w:t>
      </w:r>
      <w:hyperlink r:id="rId73" w:history="1">
        <w:r w:rsidRPr="003D3BBA">
          <w:rPr>
            <w:rStyle w:val="Hyperlink"/>
          </w:rPr>
          <w:t>https://doi.org/10.1016/j.ophtha.2008.09.011</w:t>
        </w:r>
      </w:hyperlink>
      <w:r w:rsidRPr="003D3BBA">
        <w:t>.</w:t>
      </w:r>
    </w:p>
    <w:p w14:paraId="6398712F" w14:textId="77777777" w:rsidR="00256D38" w:rsidRPr="003D3BBA" w:rsidRDefault="00256D38" w:rsidP="00F76882">
      <w:r w:rsidRPr="003D3BBA">
        <w:t>9.</w:t>
      </w:r>
      <w:r w:rsidRPr="003D3BBA">
        <w:tab/>
        <w:t>World Health Organization. Report of the 4th global scientific meeting on trachoma: Geneva, 27 –29 November 2018 (WHO/CDS/NTD/PCT/2019.03). Geneva, Switzerland: World Health Organization; 2019.</w:t>
      </w:r>
    </w:p>
    <w:p w14:paraId="1CE14310" w14:textId="0D09BF38" w:rsidR="00256D38" w:rsidRPr="003D3BBA" w:rsidRDefault="00256D38" w:rsidP="00F76882">
      <w:r w:rsidRPr="003D3BBA">
        <w:t>10.</w:t>
      </w:r>
      <w:r w:rsidRPr="003D3BBA">
        <w:tab/>
        <w:t xml:space="preserve">Elwell C, </w:t>
      </w:r>
      <w:proofErr w:type="spellStart"/>
      <w:r w:rsidRPr="003D3BBA">
        <w:t>Mirrashidi</w:t>
      </w:r>
      <w:proofErr w:type="spellEnd"/>
      <w:r w:rsidRPr="003D3BBA">
        <w:t xml:space="preserve"> K, Engel J. Chlamydia cell biology and pathogenesis. Nat Rev </w:t>
      </w:r>
      <w:proofErr w:type="spellStart"/>
      <w:r w:rsidRPr="003D3BBA">
        <w:t>Microbiol</w:t>
      </w:r>
      <w:proofErr w:type="spellEnd"/>
      <w:r w:rsidRPr="003D3BBA">
        <w:t xml:space="preserve">. 2016;14(6):385-400. DOI: </w:t>
      </w:r>
      <w:hyperlink r:id="rId74" w:history="1">
        <w:r w:rsidRPr="003D3BBA">
          <w:rPr>
            <w:rStyle w:val="Hyperlink"/>
          </w:rPr>
          <w:t>https://doi.org/10.1038/nrmicro.2016.30</w:t>
        </w:r>
      </w:hyperlink>
      <w:r w:rsidRPr="003D3BBA">
        <w:t>.</w:t>
      </w:r>
    </w:p>
    <w:p w14:paraId="504F58FA" w14:textId="0EDB03FF" w:rsidR="00256D38" w:rsidRPr="003D3BBA" w:rsidRDefault="00256D38" w:rsidP="00F76882">
      <w:r w:rsidRPr="003D3BBA">
        <w:t>11.</w:t>
      </w:r>
      <w:r w:rsidRPr="003D3BBA">
        <w:tab/>
        <w:t xml:space="preserve">Gower EW, Sisay A, </w:t>
      </w:r>
      <w:proofErr w:type="spellStart"/>
      <w:r w:rsidRPr="003D3BBA">
        <w:t>Bayissasse</w:t>
      </w:r>
      <w:proofErr w:type="spellEnd"/>
      <w:r w:rsidRPr="003D3BBA">
        <w:t xml:space="preserve"> B, </w:t>
      </w:r>
      <w:proofErr w:type="spellStart"/>
      <w:r w:rsidRPr="003D3BBA">
        <w:t>Seyum</w:t>
      </w:r>
      <w:proofErr w:type="spellEnd"/>
      <w:r w:rsidRPr="003D3BBA">
        <w:t xml:space="preserve"> D, Weaver J, Munoz B, et al. The impact of modified incision height and surgical procedure on trichiasis surgery outcomes: </w:t>
      </w:r>
      <w:r w:rsidR="008061B0" w:rsidRPr="003D3BBA">
        <w:t>r</w:t>
      </w:r>
      <w:r w:rsidRPr="003D3BBA">
        <w:t xml:space="preserve">esults of the maximizing trichiasis surgery success (MTSS) randomized trial. </w:t>
      </w:r>
      <w:proofErr w:type="spellStart"/>
      <w:r w:rsidR="00927416" w:rsidRPr="003D3BBA">
        <w:t>PLoS</w:t>
      </w:r>
      <w:proofErr w:type="spellEnd"/>
      <w:r w:rsidR="00927416" w:rsidRPr="003D3BBA">
        <w:t xml:space="preserve"> </w:t>
      </w:r>
      <w:proofErr w:type="spellStart"/>
      <w:r w:rsidR="00927416" w:rsidRPr="003D3BBA">
        <w:t>Negl</w:t>
      </w:r>
      <w:proofErr w:type="spellEnd"/>
      <w:r w:rsidR="00927416" w:rsidRPr="003D3BBA">
        <w:t xml:space="preserve"> Trop Dis</w:t>
      </w:r>
      <w:r w:rsidRPr="003D3BBA">
        <w:t>. 2024;18(9</w:t>
      </w:r>
      <w:proofErr w:type="gramStart"/>
      <w:r w:rsidRPr="003D3BBA">
        <w:t>):e</w:t>
      </w:r>
      <w:proofErr w:type="gramEnd"/>
      <w:r w:rsidRPr="003D3BBA">
        <w:t xml:space="preserve">0012034. DOI: </w:t>
      </w:r>
      <w:hyperlink r:id="rId75" w:history="1">
        <w:r w:rsidRPr="003D3BBA">
          <w:rPr>
            <w:rStyle w:val="Hyperlink"/>
          </w:rPr>
          <w:t>https://doi.org/10.1371/journal.pntd.0012034</w:t>
        </w:r>
      </w:hyperlink>
      <w:r w:rsidRPr="003D3BBA">
        <w:t>.</w:t>
      </w:r>
    </w:p>
    <w:p w14:paraId="12721F7A" w14:textId="1CC48115" w:rsidR="00256D38" w:rsidRPr="003D3BBA" w:rsidRDefault="00256D38" w:rsidP="00F76882">
      <w:r w:rsidRPr="003D3BBA">
        <w:t>12.</w:t>
      </w:r>
      <w:r w:rsidRPr="003D3BBA">
        <w:tab/>
        <w:t xml:space="preserve">Versteeg B, Vasileva H, Houghton J, Last A, Shafi Abdurahman O, Sarah V, et al. Viability PCR shows that non-ocular surfaces could contribute to transmission of Chlamydia trachomatis infection in trachoma. </w:t>
      </w:r>
      <w:proofErr w:type="spellStart"/>
      <w:r w:rsidRPr="003D3BBA">
        <w:t>PLoS</w:t>
      </w:r>
      <w:proofErr w:type="spellEnd"/>
      <w:r w:rsidRPr="003D3BBA">
        <w:t xml:space="preserve"> </w:t>
      </w:r>
      <w:proofErr w:type="spellStart"/>
      <w:r w:rsidRPr="003D3BBA">
        <w:t>Negl</w:t>
      </w:r>
      <w:proofErr w:type="spellEnd"/>
      <w:r w:rsidRPr="003D3BBA">
        <w:t xml:space="preserve"> Trop Dis. 2020;14(7</w:t>
      </w:r>
      <w:proofErr w:type="gramStart"/>
      <w:r w:rsidRPr="003D3BBA">
        <w:t>):e</w:t>
      </w:r>
      <w:proofErr w:type="gramEnd"/>
      <w:r w:rsidRPr="003D3BBA">
        <w:t xml:space="preserve">0008449. DOI: </w:t>
      </w:r>
      <w:hyperlink r:id="rId76" w:history="1">
        <w:r w:rsidRPr="003D3BBA">
          <w:rPr>
            <w:rStyle w:val="Hyperlink"/>
          </w:rPr>
          <w:t>https://doi.org/10.1371/journal.pntd.0008449</w:t>
        </w:r>
      </w:hyperlink>
      <w:r w:rsidRPr="003D3BBA">
        <w:t>.</w:t>
      </w:r>
    </w:p>
    <w:p w14:paraId="6B5FD2F6" w14:textId="773BF45A" w:rsidR="00256D38" w:rsidRPr="003D3BBA" w:rsidRDefault="00256D38" w:rsidP="00F76882">
      <w:r w:rsidRPr="003D3BBA">
        <w:t>13.</w:t>
      </w:r>
      <w:r w:rsidRPr="003D3BBA">
        <w:tab/>
        <w:t xml:space="preserve">Miller K, </w:t>
      </w:r>
      <w:proofErr w:type="spellStart"/>
      <w:r w:rsidRPr="003D3BBA">
        <w:t>Pakpour</w:t>
      </w:r>
      <w:proofErr w:type="spellEnd"/>
      <w:r w:rsidRPr="003D3BBA">
        <w:t xml:space="preserve"> N, Yi E, Melese M, Alemayehu W, Bird M, et al. Pesky trachoma </w:t>
      </w:r>
      <w:proofErr w:type="gramStart"/>
      <w:r w:rsidRPr="003D3BBA">
        <w:t>suspect</w:t>
      </w:r>
      <w:proofErr w:type="gramEnd"/>
      <w:r w:rsidRPr="003D3BBA">
        <w:t xml:space="preserve"> finally caught. Br J Ophthalmol. 2004;88(6):750-1. DOI: </w:t>
      </w:r>
      <w:hyperlink r:id="rId77" w:history="1">
        <w:r w:rsidRPr="003D3BBA">
          <w:rPr>
            <w:rStyle w:val="Hyperlink"/>
          </w:rPr>
          <w:t>https://doi.org/10.1136/bjo.2003.038661</w:t>
        </w:r>
      </w:hyperlink>
      <w:r w:rsidRPr="003D3BBA">
        <w:t>.</w:t>
      </w:r>
    </w:p>
    <w:p w14:paraId="5943ABC9" w14:textId="3D7141E8" w:rsidR="00256D38" w:rsidRPr="003D3BBA" w:rsidRDefault="00256D38" w:rsidP="00F76882">
      <w:r w:rsidRPr="003D3BBA">
        <w:t>14.</w:t>
      </w:r>
      <w:r w:rsidRPr="003D3BBA">
        <w:tab/>
        <w:t xml:space="preserve">Solomon AW, Holland MJ, Burton MJ, West SK, Alexander ND, Aguirre A, et al. Strategies for control of trachoma: observational study with quantitative PCR. Lancet. 2003;362(9379):198-204. DOI: </w:t>
      </w:r>
      <w:hyperlink r:id="rId78" w:history="1">
        <w:r w:rsidRPr="003D3BBA">
          <w:rPr>
            <w:rStyle w:val="Hyperlink"/>
          </w:rPr>
          <w:t>https://doi.org/10.1016/s0140-6736(03)13909-8</w:t>
        </w:r>
      </w:hyperlink>
      <w:r w:rsidRPr="003D3BBA">
        <w:t>.</w:t>
      </w:r>
    </w:p>
    <w:p w14:paraId="1C050157" w14:textId="4FF605A3" w:rsidR="00256D38" w:rsidRPr="003D3BBA" w:rsidRDefault="00256D38" w:rsidP="00F76882">
      <w:r w:rsidRPr="003D3BBA">
        <w:t>15.</w:t>
      </w:r>
      <w:r w:rsidRPr="003D3BBA">
        <w:tab/>
      </w:r>
      <w:proofErr w:type="spellStart"/>
      <w:r w:rsidRPr="003D3BBA">
        <w:t>Bodimeade</w:t>
      </w:r>
      <w:proofErr w:type="spellEnd"/>
      <w:r w:rsidRPr="003D3BBA">
        <w:t xml:space="preserve"> C, Marks M, Mabey D. Neglected tropical diseases: elimination and eradication. Clin Med (Lond). 2019;19(2):157-60. DOI: </w:t>
      </w:r>
      <w:hyperlink r:id="rId79" w:history="1">
        <w:r w:rsidRPr="003D3BBA">
          <w:rPr>
            <w:rStyle w:val="Hyperlink"/>
          </w:rPr>
          <w:t>https://doi.org/10.7861/clinmedicine.19-2-157</w:t>
        </w:r>
      </w:hyperlink>
      <w:r w:rsidRPr="003D3BBA">
        <w:t>.</w:t>
      </w:r>
    </w:p>
    <w:p w14:paraId="6E7EC4CF" w14:textId="77777777" w:rsidR="00256D38" w:rsidRPr="003D3BBA" w:rsidRDefault="00256D38" w:rsidP="00F76882">
      <w:r w:rsidRPr="003D3BBA">
        <w:t>16.</w:t>
      </w:r>
      <w:r w:rsidRPr="003D3BBA">
        <w:tab/>
        <w:t>World Health Organization. Validation of elimination of trachoma as a public health problem (WHO/HTM/NTD/2016.8). Geneva, Switzerland: World Health Organization; 2016 Jun 4.</w:t>
      </w:r>
    </w:p>
    <w:p w14:paraId="123D0DD5" w14:textId="77777777" w:rsidR="00256D38" w:rsidRPr="003D3BBA" w:rsidRDefault="00256D38" w:rsidP="00F76882">
      <w:r w:rsidRPr="003D3BBA">
        <w:t>17.</w:t>
      </w:r>
      <w:r w:rsidRPr="003D3BBA">
        <w:tab/>
        <w:t>Communicable Diseases Network Australia. CDNA National Guidelines for the Public Health Management of Trachoma. Canberra: Department of Health and Aged Care; 2014 Jan.</w:t>
      </w:r>
    </w:p>
    <w:p w14:paraId="005204C1" w14:textId="77777777" w:rsidR="00256D38" w:rsidRPr="003D3BBA" w:rsidRDefault="00256D38" w:rsidP="00F76882">
      <w:r w:rsidRPr="003D3BBA">
        <w:t>18.</w:t>
      </w:r>
      <w:r w:rsidRPr="003D3BBA">
        <w:tab/>
        <w:t>The National Trachoma Surveillance and Reporting Unit for the Australian Government Department of Health. Australian Trachoma Surveillance Report 2010. Sydney, New South Wales: The Kirby Institute, UNSW Sydney; 2011.</w:t>
      </w:r>
    </w:p>
    <w:p w14:paraId="146C9863" w14:textId="77777777" w:rsidR="00256D38" w:rsidRPr="003D3BBA" w:rsidRDefault="00256D38" w:rsidP="00F76882">
      <w:r w:rsidRPr="003D3BBA">
        <w:t>19.</w:t>
      </w:r>
      <w:r w:rsidRPr="003D3BBA">
        <w:tab/>
        <w:t>The National Trachoma Surveillance and Reporting Unit for the Australian Government Department of Health. Australian Trachoma Surveillance Report 2011. Sydney, New South Wales: The Kirby Institute, UNSW Sydney; 2012.</w:t>
      </w:r>
    </w:p>
    <w:p w14:paraId="45A85242" w14:textId="77777777" w:rsidR="00256D38" w:rsidRPr="003D3BBA" w:rsidRDefault="00256D38" w:rsidP="00F76882">
      <w:r w:rsidRPr="003D3BBA">
        <w:t>20.</w:t>
      </w:r>
      <w:r w:rsidRPr="003D3BBA">
        <w:tab/>
        <w:t>The National Trachoma Surveillance and Reporting Unit for the Australian Government Department of Health. Australian Trachoma Surveillance Report 2012. Sydney, New South Wales: The Kirby Institute, UNSW Sydney; 2013.</w:t>
      </w:r>
    </w:p>
    <w:p w14:paraId="7D6DE933" w14:textId="77777777" w:rsidR="00256D38" w:rsidRPr="003D3BBA" w:rsidRDefault="00256D38" w:rsidP="00F76882">
      <w:r w:rsidRPr="003D3BBA">
        <w:t>21.</w:t>
      </w:r>
      <w:r w:rsidRPr="003D3BBA">
        <w:tab/>
        <w:t>The National Trachoma Surveillance and Reporting Unit for the Australian Government Department of Health. Australian Trachoma Surveillance Report 2013. Sydney, New South Wales: The Kirby Institute, UNSW Sydney; 2014.</w:t>
      </w:r>
    </w:p>
    <w:p w14:paraId="452B27C5" w14:textId="77777777" w:rsidR="00256D38" w:rsidRPr="003D3BBA" w:rsidRDefault="00256D38" w:rsidP="00F76882">
      <w:r w:rsidRPr="003D3BBA">
        <w:t>22.</w:t>
      </w:r>
      <w:r w:rsidRPr="003D3BBA">
        <w:tab/>
        <w:t>The National Trachoma Surveillance and Reporting Unit for the Australian Government Department of Health. Australian Trachoma Surveillance Report 2014. Sydney, New South Wales: The Kirby Institute, UNSW Sydney; 2015.</w:t>
      </w:r>
    </w:p>
    <w:p w14:paraId="798DEDD9" w14:textId="77777777" w:rsidR="00256D38" w:rsidRPr="003D3BBA" w:rsidRDefault="00256D38" w:rsidP="00F76882">
      <w:r w:rsidRPr="003D3BBA">
        <w:t>23.</w:t>
      </w:r>
      <w:r w:rsidRPr="003D3BBA">
        <w:tab/>
        <w:t>The National Trachoma Surveillance and Reporting Unit for the Australian Government Department of Health. Australian Trachoma Surveillance Report 2015. Sydney, New South Wales: The Kirby Institute, UNSW Sydney; 2016.</w:t>
      </w:r>
    </w:p>
    <w:p w14:paraId="48336BA4" w14:textId="77777777" w:rsidR="00256D38" w:rsidRPr="003D3BBA" w:rsidRDefault="00256D38" w:rsidP="00F76882">
      <w:r w:rsidRPr="003D3BBA">
        <w:t>24.</w:t>
      </w:r>
      <w:r w:rsidRPr="003D3BBA">
        <w:tab/>
        <w:t>The National Trachoma Surveillance and Reporting Unit for the Australian Government Department of Health. Australian Trachoma Surveillance Report 2016. Sydney, New South Wales: The Kirby Institute, UNSW Sydney; 2017.</w:t>
      </w:r>
    </w:p>
    <w:p w14:paraId="06D77141" w14:textId="77777777" w:rsidR="00256D38" w:rsidRPr="003D3BBA" w:rsidRDefault="00256D38" w:rsidP="00F76882">
      <w:r w:rsidRPr="003D3BBA">
        <w:t>25.</w:t>
      </w:r>
      <w:r w:rsidRPr="003D3BBA">
        <w:tab/>
        <w:t>The National Trachoma Surveillance and Reporting Unit for the Australian Government Department of Health. Australian Trachoma Surveillance Report 2017. Sydney, New South Wales: The Kirby Institute, UNSW Sydney; 2018.</w:t>
      </w:r>
    </w:p>
    <w:p w14:paraId="24895716" w14:textId="77777777" w:rsidR="00256D38" w:rsidRPr="003D3BBA" w:rsidRDefault="00256D38" w:rsidP="00F76882">
      <w:r w:rsidRPr="003D3BBA">
        <w:t>26.</w:t>
      </w:r>
      <w:r w:rsidRPr="003D3BBA">
        <w:tab/>
        <w:t>The National Trachoma Surveillance and Reporting Unit for the Australian Government Department of Health. Australian Trachoma Surveillance Report 2018. Sydney, New South Wales: The Kirby Institute, UNSW Sydney; 2019.</w:t>
      </w:r>
    </w:p>
    <w:p w14:paraId="375F6423" w14:textId="77777777" w:rsidR="00256D38" w:rsidRPr="003D3BBA" w:rsidRDefault="00256D38" w:rsidP="00F76882">
      <w:r w:rsidRPr="003D3BBA">
        <w:t>27.</w:t>
      </w:r>
      <w:r w:rsidRPr="003D3BBA">
        <w:tab/>
        <w:t>The National Trachoma Surveillance and Reporting Unit for the Australian Government Department of Health. Australian Trachoma Surveillance Report 2019. Sydney, New South Wales: The Kirby Institute, UNSW Sydney; 2020.</w:t>
      </w:r>
    </w:p>
    <w:p w14:paraId="1BBB2FCB" w14:textId="77777777" w:rsidR="00256D38" w:rsidRPr="003D3BBA" w:rsidRDefault="00256D38" w:rsidP="00F76882">
      <w:r w:rsidRPr="003D3BBA">
        <w:t>28.</w:t>
      </w:r>
      <w:r w:rsidRPr="003D3BBA">
        <w:tab/>
        <w:t>The National Trachoma Surveillance and Reporting Unit for the Australian Government Department of Health. Australian Trachoma Surveillance Report 2020. Sydney, New South Wales: The Kirby Institute, UNSW Sydney; 2021.</w:t>
      </w:r>
    </w:p>
    <w:p w14:paraId="5929CADB" w14:textId="77777777" w:rsidR="00256D38" w:rsidRPr="003D3BBA" w:rsidRDefault="00256D38" w:rsidP="00F76882">
      <w:r w:rsidRPr="003D3BBA">
        <w:t>29.</w:t>
      </w:r>
      <w:r w:rsidRPr="003D3BBA">
        <w:tab/>
        <w:t>The National Trachoma Surveillance and Reporting Unit for the Australian Government Department of Health. Australian Trachoma Surveillance Report 2021. Sydney, New South Wales: The Kirby Institute, UNSW Sydney; 2022.</w:t>
      </w:r>
    </w:p>
    <w:p w14:paraId="54101EC6" w14:textId="77777777" w:rsidR="00256D38" w:rsidRPr="003D3BBA" w:rsidRDefault="00256D38" w:rsidP="00F76882">
      <w:r w:rsidRPr="003D3BBA">
        <w:t>30.</w:t>
      </w:r>
      <w:r w:rsidRPr="003D3BBA">
        <w:tab/>
        <w:t>The National Trachoma Surveillance and Reporting Unit for the Australian Government Department of Health. Australian Trachoma Surveillance Report 2022. Sydney, New South Wales: The Kirby Institute, UNSW Sydney; 2023.</w:t>
      </w:r>
    </w:p>
    <w:p w14:paraId="52993893" w14:textId="138B53EB" w:rsidR="00256D38" w:rsidRPr="003D3BBA" w:rsidRDefault="00256D38" w:rsidP="00F76882">
      <w:r w:rsidRPr="003D3BBA">
        <w:t>31.</w:t>
      </w:r>
      <w:r w:rsidRPr="003D3BBA">
        <w:tab/>
        <w:t xml:space="preserve">Tellis B, Keeffe JE, Taylor HR. Surveillance report for active trachoma, 2006: National Trachoma Surveillance and Reporting Unit. Commun Dis </w:t>
      </w:r>
      <w:proofErr w:type="spellStart"/>
      <w:r w:rsidRPr="003D3BBA">
        <w:t>Intell</w:t>
      </w:r>
      <w:proofErr w:type="spellEnd"/>
      <w:r w:rsidRPr="003D3BBA">
        <w:t xml:space="preserve"> Q Rep. 2007;31(4):366-74. DOI: </w:t>
      </w:r>
      <w:hyperlink r:id="rId80" w:history="1">
        <w:r w:rsidRPr="003D3BBA">
          <w:rPr>
            <w:rStyle w:val="Hyperlink"/>
          </w:rPr>
          <w:t>https://doi.org/10.33321/cdi.2007.31.38</w:t>
        </w:r>
      </w:hyperlink>
      <w:r w:rsidRPr="003D3BBA">
        <w:t>.</w:t>
      </w:r>
    </w:p>
    <w:p w14:paraId="66707E50" w14:textId="57C1F01C" w:rsidR="00256D38" w:rsidRPr="003D3BBA" w:rsidRDefault="00256D38" w:rsidP="00F76882">
      <w:r w:rsidRPr="003D3BBA">
        <w:t>32.</w:t>
      </w:r>
      <w:r w:rsidRPr="003D3BBA">
        <w:tab/>
        <w:t xml:space="preserve">Tellis B, Keeffe JE, Taylor HR. Trachoma surveillance annual report, 2007. A report by the National Trachoma Surveillance and Reporting Unit. Commun Dis </w:t>
      </w:r>
      <w:proofErr w:type="spellStart"/>
      <w:r w:rsidRPr="003D3BBA">
        <w:t>Intell</w:t>
      </w:r>
      <w:proofErr w:type="spellEnd"/>
      <w:r w:rsidRPr="003D3BBA">
        <w:t xml:space="preserve"> Q Rep. 2008;32(4):388-99. DOI: </w:t>
      </w:r>
      <w:hyperlink r:id="rId81" w:history="1">
        <w:r w:rsidRPr="003D3BBA">
          <w:rPr>
            <w:rStyle w:val="Hyperlink"/>
          </w:rPr>
          <w:t>https://doi.org/10.33321/cdi.2008.32.38</w:t>
        </w:r>
      </w:hyperlink>
      <w:r w:rsidRPr="003D3BBA">
        <w:t>.</w:t>
      </w:r>
    </w:p>
    <w:p w14:paraId="3BE1D030" w14:textId="05F8C8C7" w:rsidR="00256D38" w:rsidRPr="003D3BBA" w:rsidRDefault="00256D38" w:rsidP="00F76882">
      <w:r w:rsidRPr="003D3BBA">
        <w:t>33.</w:t>
      </w:r>
      <w:r w:rsidRPr="003D3BBA">
        <w:tab/>
        <w:t xml:space="preserve">Tellis B, Fotis K, Keeffe JE, Taylor HR. Trachoma surveillance annual report, 2008. A report by the National Trachoma Surveillance and Reporting Unit. Commun Dis </w:t>
      </w:r>
      <w:proofErr w:type="spellStart"/>
      <w:r w:rsidRPr="003D3BBA">
        <w:t>Intell</w:t>
      </w:r>
      <w:proofErr w:type="spellEnd"/>
      <w:r w:rsidRPr="003D3BBA">
        <w:t xml:space="preserve"> Q Rep. 2009;33(3):275-90. DOI: </w:t>
      </w:r>
      <w:hyperlink r:id="rId82" w:history="1">
        <w:r w:rsidRPr="003D3BBA">
          <w:rPr>
            <w:rStyle w:val="Hyperlink"/>
          </w:rPr>
          <w:t>https://doi.org/10.33321/cdi.2009.33.30</w:t>
        </w:r>
      </w:hyperlink>
      <w:r w:rsidRPr="003D3BBA">
        <w:t>.</w:t>
      </w:r>
    </w:p>
    <w:p w14:paraId="64DBA043" w14:textId="26CF0C97" w:rsidR="00256D38" w:rsidRPr="003D3BBA" w:rsidRDefault="00256D38" w:rsidP="00F76882">
      <w:r w:rsidRPr="003D3BBA">
        <w:t>34.</w:t>
      </w:r>
      <w:r w:rsidRPr="003D3BBA">
        <w:tab/>
        <w:t xml:space="preserve">Adams KS, Burgess JA, </w:t>
      </w:r>
      <w:proofErr w:type="spellStart"/>
      <w:r w:rsidRPr="003D3BBA">
        <w:t>Dharmage</w:t>
      </w:r>
      <w:proofErr w:type="spellEnd"/>
      <w:r w:rsidRPr="003D3BBA">
        <w:t xml:space="preserve"> SC, Taylor H. Trachoma surveillance in Australia, 2009. A report by the National Trachoma Surveillance and Reporting Unit. Commun Dis </w:t>
      </w:r>
      <w:proofErr w:type="spellStart"/>
      <w:r w:rsidRPr="003D3BBA">
        <w:t>Intell</w:t>
      </w:r>
      <w:proofErr w:type="spellEnd"/>
      <w:r w:rsidRPr="003D3BBA">
        <w:t xml:space="preserve"> Q Rep. 2010;34(4):375-95. DOI: </w:t>
      </w:r>
      <w:hyperlink r:id="rId83" w:history="1">
        <w:r w:rsidRPr="003D3BBA">
          <w:rPr>
            <w:rStyle w:val="Hyperlink"/>
          </w:rPr>
          <w:t>https://doi.org/10.33321/cdi.2010.34.39</w:t>
        </w:r>
      </w:hyperlink>
      <w:r w:rsidRPr="003D3BBA">
        <w:t>.</w:t>
      </w:r>
    </w:p>
    <w:p w14:paraId="2FA5622A" w14:textId="5C698174" w:rsidR="00256D38" w:rsidRPr="003D3BBA" w:rsidRDefault="00256D38" w:rsidP="00F76882">
      <w:r w:rsidRPr="003D3BBA">
        <w:t>35.</w:t>
      </w:r>
      <w:r w:rsidRPr="003D3BBA">
        <w:tab/>
        <w:t xml:space="preserve">Harding-Esch EM, Burgert-Brucker CR, Jimenez C, Bakhtiari A, Willis R, </w:t>
      </w:r>
      <w:proofErr w:type="spellStart"/>
      <w:r w:rsidRPr="003D3BBA">
        <w:t>Bejiga</w:t>
      </w:r>
      <w:proofErr w:type="spellEnd"/>
      <w:r w:rsidRPr="003D3BBA">
        <w:t xml:space="preserve"> MD, et al. Tropical Data: </w:t>
      </w:r>
      <w:r w:rsidR="0092248D" w:rsidRPr="003D3BBA">
        <w:t>a</w:t>
      </w:r>
      <w:r w:rsidRPr="003D3BBA">
        <w:t xml:space="preserve">pproach and </w:t>
      </w:r>
      <w:r w:rsidR="0092248D" w:rsidRPr="003D3BBA">
        <w:t>m</w:t>
      </w:r>
      <w:r w:rsidRPr="003D3BBA">
        <w:t xml:space="preserve">ethodology as </w:t>
      </w:r>
      <w:r w:rsidR="0092248D" w:rsidRPr="003D3BBA">
        <w:t>a</w:t>
      </w:r>
      <w:r w:rsidRPr="003D3BBA">
        <w:t xml:space="preserve">pplied to </w:t>
      </w:r>
      <w:r w:rsidR="0092248D" w:rsidRPr="003D3BBA">
        <w:t>t</w:t>
      </w:r>
      <w:r w:rsidRPr="003D3BBA">
        <w:t xml:space="preserve">rachoma </w:t>
      </w:r>
      <w:r w:rsidR="0092248D" w:rsidRPr="003D3BBA">
        <w:t>p</w:t>
      </w:r>
      <w:r w:rsidRPr="003D3BBA">
        <w:t xml:space="preserve">revalence </w:t>
      </w:r>
      <w:r w:rsidR="0092248D" w:rsidRPr="003D3BBA">
        <w:t>s</w:t>
      </w:r>
      <w:r w:rsidRPr="003D3BBA">
        <w:t xml:space="preserve">urveys. Ophthalmic Epidemiol. 2023;30(6):544-60. DOI: </w:t>
      </w:r>
      <w:hyperlink r:id="rId84" w:history="1">
        <w:r w:rsidRPr="003D3BBA">
          <w:rPr>
            <w:rStyle w:val="Hyperlink"/>
          </w:rPr>
          <w:t>https://doi.org/10.1080/09286586.2023.2249546</w:t>
        </w:r>
      </w:hyperlink>
      <w:r w:rsidRPr="003D3BBA">
        <w:t>.</w:t>
      </w:r>
    </w:p>
    <w:p w14:paraId="659CC34E" w14:textId="77777777" w:rsidR="00256D38" w:rsidRPr="003D3BBA" w:rsidRDefault="00256D38" w:rsidP="00F76882">
      <w:r w:rsidRPr="003D3BBA">
        <w:t>36.</w:t>
      </w:r>
      <w:r w:rsidRPr="003D3BBA">
        <w:tab/>
        <w:t>World Health Organization. Validation of elimination of trachoma as a public health problem (WHO/HTM/NTD/2016.8). Geneva, Switzerland: World Health Organization; 2016 Jun. 15p.</w:t>
      </w:r>
    </w:p>
    <w:p w14:paraId="3C468EAB" w14:textId="380EF8C0" w:rsidR="00256D38" w:rsidRPr="003D3BBA" w:rsidRDefault="00256D38" w:rsidP="00F76882">
      <w:r w:rsidRPr="003D3BBA">
        <w:t>37.</w:t>
      </w:r>
      <w:r w:rsidRPr="003D3BBA">
        <w:tab/>
        <w:t xml:space="preserve">Lynch KD, Brian G, </w:t>
      </w:r>
      <w:proofErr w:type="spellStart"/>
      <w:r w:rsidRPr="003D3BBA">
        <w:t>Ahwang</w:t>
      </w:r>
      <w:proofErr w:type="spellEnd"/>
      <w:r w:rsidRPr="003D3BBA">
        <w:t xml:space="preserve"> T, </w:t>
      </w:r>
      <w:proofErr w:type="spellStart"/>
      <w:r w:rsidRPr="003D3BBA">
        <w:t>Morotti</w:t>
      </w:r>
      <w:proofErr w:type="spellEnd"/>
      <w:r w:rsidRPr="003D3BBA">
        <w:t xml:space="preserve"> W, Wharton G, Newie T, et al. Assessing the prevalence of trachoma: lessons from community screening with laboratory testing in Australia's Torres Strait Islands. Ophthalmic Epidemiol. 2022:1-8. DOI: </w:t>
      </w:r>
      <w:hyperlink r:id="rId85" w:history="1">
        <w:r w:rsidRPr="003D3BBA">
          <w:rPr>
            <w:rStyle w:val="Hyperlink"/>
          </w:rPr>
          <w:t>https://doi.org/10.1080/09286586.2022.2136389</w:t>
        </w:r>
      </w:hyperlink>
      <w:r w:rsidRPr="003D3BBA">
        <w:t>.</w:t>
      </w:r>
    </w:p>
    <w:p w14:paraId="53DEF411" w14:textId="7E18C726" w:rsidR="00256D38" w:rsidRPr="003D3BBA" w:rsidRDefault="00256D38" w:rsidP="00F76882">
      <w:r w:rsidRPr="003D3BBA">
        <w:t>38.</w:t>
      </w:r>
      <w:r w:rsidRPr="003D3BBA">
        <w:tab/>
        <w:t xml:space="preserve">Lynch KD, Brian G, </w:t>
      </w:r>
      <w:proofErr w:type="spellStart"/>
      <w:r w:rsidRPr="003D3BBA">
        <w:t>Ahwang</w:t>
      </w:r>
      <w:proofErr w:type="spellEnd"/>
      <w:r w:rsidRPr="003D3BBA">
        <w:t xml:space="preserve"> T, Newie T, Newie V, Perrett C, et al. Discord between presence of follicular conjunctivitis and Chlamydia trachomatis infection in a single Torres Strait Island community: a cross-sectional survey. Aust N Z J Public Health. 2022;46(2):155-60. DOI: </w:t>
      </w:r>
      <w:hyperlink r:id="rId86" w:history="1">
        <w:r w:rsidRPr="003D3BBA">
          <w:rPr>
            <w:rStyle w:val="Hyperlink"/>
          </w:rPr>
          <w:t>https://doi.org/10.1111/1753-6405.13179</w:t>
        </w:r>
      </w:hyperlink>
      <w:r w:rsidRPr="003D3BBA">
        <w:t>.</w:t>
      </w:r>
    </w:p>
    <w:p w14:paraId="3B84AFE6" w14:textId="768F69A7" w:rsidR="00256D38" w:rsidRPr="003D3BBA" w:rsidRDefault="00256D38" w:rsidP="00F76882">
      <w:r w:rsidRPr="003D3BBA">
        <w:t>39.</w:t>
      </w:r>
      <w:r w:rsidRPr="003D3BBA">
        <w:tab/>
        <w:t xml:space="preserve">Kuper H, Solomon AW, Buchan J, Zondervan M, Foster A, Mabey D. A critical review of the SAFE strategy for the prevention of blinding trachoma. Lancet Infect Dis. 2003;3(6):372-81. DOI: </w:t>
      </w:r>
      <w:hyperlink r:id="rId87" w:history="1">
        <w:r w:rsidRPr="003D3BBA">
          <w:rPr>
            <w:rStyle w:val="Hyperlink"/>
          </w:rPr>
          <w:t>https://doi.org/10.1016/s1473-3099(03)00659-5</w:t>
        </w:r>
      </w:hyperlink>
      <w:r w:rsidRPr="003D3BBA">
        <w:t>.</w:t>
      </w:r>
    </w:p>
    <w:p w14:paraId="1992FB4F" w14:textId="552CD16C" w:rsidR="00256D38" w:rsidRPr="003D3BBA" w:rsidRDefault="00256D38" w:rsidP="00F76882">
      <w:r w:rsidRPr="003D3BBA">
        <w:t>40.</w:t>
      </w:r>
      <w:r w:rsidRPr="003D3BBA">
        <w:tab/>
        <w:t xml:space="preserve">Solomon AW, </w:t>
      </w:r>
      <w:proofErr w:type="spellStart"/>
      <w:r w:rsidRPr="003D3BBA">
        <w:t>Pavluck</w:t>
      </w:r>
      <w:proofErr w:type="spellEnd"/>
      <w:r w:rsidRPr="003D3BBA">
        <w:t xml:space="preserve"> AL, Courtright P, </w:t>
      </w:r>
      <w:proofErr w:type="spellStart"/>
      <w:r w:rsidRPr="003D3BBA">
        <w:t>Aboe</w:t>
      </w:r>
      <w:proofErr w:type="spellEnd"/>
      <w:r w:rsidRPr="003D3BBA">
        <w:t xml:space="preserve"> A, Adamu L, Alemayehu W, et al. The Global Trachoma Mapping Project: </w:t>
      </w:r>
      <w:r w:rsidR="0092248D" w:rsidRPr="003D3BBA">
        <w:t>m</w:t>
      </w:r>
      <w:r w:rsidRPr="003D3BBA">
        <w:t>ethodology of a 34-</w:t>
      </w:r>
      <w:r w:rsidR="0092248D" w:rsidRPr="003D3BBA">
        <w:t>c</w:t>
      </w:r>
      <w:r w:rsidRPr="003D3BBA">
        <w:t xml:space="preserve">ountry </w:t>
      </w:r>
      <w:r w:rsidR="0092248D" w:rsidRPr="003D3BBA">
        <w:t>p</w:t>
      </w:r>
      <w:r w:rsidRPr="003D3BBA">
        <w:t>opulation-</w:t>
      </w:r>
      <w:r w:rsidR="0092248D" w:rsidRPr="003D3BBA">
        <w:t>b</w:t>
      </w:r>
      <w:r w:rsidRPr="003D3BBA">
        <w:t xml:space="preserve">ased </w:t>
      </w:r>
      <w:r w:rsidR="0092248D" w:rsidRPr="003D3BBA">
        <w:t>s</w:t>
      </w:r>
      <w:r w:rsidRPr="003D3BBA">
        <w:t xml:space="preserve">tudy. Ophthalmic Epidemiol. 2015;22(3):214-25. DOI: </w:t>
      </w:r>
      <w:hyperlink r:id="rId88" w:history="1">
        <w:r w:rsidRPr="003D3BBA">
          <w:rPr>
            <w:rStyle w:val="Hyperlink"/>
          </w:rPr>
          <w:t>https://doi.org/10.3109/09286586.2015.1037401</w:t>
        </w:r>
      </w:hyperlink>
      <w:r w:rsidRPr="003D3BBA">
        <w:t>.</w:t>
      </w:r>
    </w:p>
    <w:p w14:paraId="4432FDFD" w14:textId="2236C737" w:rsidR="00256D38" w:rsidRPr="003D3BBA" w:rsidRDefault="00256D38" w:rsidP="00F76882">
      <w:r w:rsidRPr="003D3BBA">
        <w:t>41.</w:t>
      </w:r>
      <w:r w:rsidRPr="003D3BBA">
        <w:tab/>
        <w:t xml:space="preserve">Ramadhani AM, Derrick T, Macleod D, Holland MJ, Burton MJ. The relationship between active trachoma and ocular Chlamydia trachomatis infection before and after mass antibiotic treatment. </w:t>
      </w:r>
      <w:proofErr w:type="spellStart"/>
      <w:r w:rsidR="00927416" w:rsidRPr="003D3BBA">
        <w:t>PLoS</w:t>
      </w:r>
      <w:proofErr w:type="spellEnd"/>
      <w:r w:rsidR="00927416" w:rsidRPr="003D3BBA">
        <w:t xml:space="preserve"> </w:t>
      </w:r>
      <w:proofErr w:type="spellStart"/>
      <w:r w:rsidR="00927416" w:rsidRPr="003D3BBA">
        <w:t>Negl</w:t>
      </w:r>
      <w:proofErr w:type="spellEnd"/>
      <w:r w:rsidR="00927416" w:rsidRPr="003D3BBA">
        <w:t xml:space="preserve"> Trop Dis</w:t>
      </w:r>
      <w:r w:rsidRPr="003D3BBA">
        <w:t>. 2016;10(10</w:t>
      </w:r>
      <w:proofErr w:type="gramStart"/>
      <w:r w:rsidRPr="003D3BBA">
        <w:t>):e</w:t>
      </w:r>
      <w:proofErr w:type="gramEnd"/>
      <w:r w:rsidRPr="003D3BBA">
        <w:t xml:space="preserve">0005080. DOI: </w:t>
      </w:r>
      <w:hyperlink r:id="rId89" w:history="1">
        <w:r w:rsidRPr="003D3BBA">
          <w:rPr>
            <w:rStyle w:val="Hyperlink"/>
          </w:rPr>
          <w:t>https://doi.org/10.1371/journal.pntd.0005080</w:t>
        </w:r>
      </w:hyperlink>
      <w:r w:rsidRPr="003D3BBA">
        <w:t>.</w:t>
      </w:r>
    </w:p>
    <w:p w14:paraId="4075DE31" w14:textId="5D9EC43A" w:rsidR="00724975" w:rsidRPr="00F57624" w:rsidRDefault="00DF524D" w:rsidP="00F76882">
      <w:r w:rsidRPr="003D3BBA">
        <w:fldChar w:fldCharType="end"/>
      </w:r>
    </w:p>
    <w:sectPr w:rsidR="00724975" w:rsidRPr="00F576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0D75" w14:textId="77777777" w:rsidR="009C2717" w:rsidRPr="00FF7193" w:rsidRDefault="009C2717" w:rsidP="00F76882">
      <w:r w:rsidRPr="00FF7193">
        <w:separator/>
      </w:r>
    </w:p>
  </w:endnote>
  <w:endnote w:type="continuationSeparator" w:id="0">
    <w:p w14:paraId="3AC9F1C0" w14:textId="77777777" w:rsidR="009C2717" w:rsidRPr="00FF7193" w:rsidRDefault="009C2717" w:rsidP="00F76882">
      <w:r w:rsidRPr="00FF7193">
        <w:continuationSeparator/>
      </w:r>
    </w:p>
  </w:endnote>
  <w:endnote w:type="continuationNotice" w:id="1">
    <w:p w14:paraId="32665069" w14:textId="77777777" w:rsidR="009C2717" w:rsidRPr="00FF7193" w:rsidRDefault="009C2717" w:rsidP="00F76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92CC" w14:textId="4D8C201E" w:rsidR="00C81205" w:rsidRPr="00FF7193" w:rsidRDefault="009D6D1B" w:rsidP="00F76882">
    <w:pPr>
      <w:pStyle w:val="Footer"/>
      <w:rPr>
        <w:rStyle w:val="PageNumber"/>
      </w:rPr>
    </w:pPr>
    <w:r>
      <w:rPr>
        <w:noProof/>
      </w:rPr>
      <mc:AlternateContent>
        <mc:Choice Requires="wps">
          <w:drawing>
            <wp:anchor distT="0" distB="0" distL="0" distR="0" simplePos="0" relativeHeight="251753984" behindDoc="0" locked="0" layoutInCell="1" allowOverlap="1" wp14:anchorId="13B90029" wp14:editId="3A211F66">
              <wp:simplePos x="635" y="635"/>
              <wp:positionH relativeFrom="page">
                <wp:align>center</wp:align>
              </wp:positionH>
              <wp:positionV relativeFrom="page">
                <wp:align>bottom</wp:align>
              </wp:positionV>
              <wp:extent cx="833755" cy="404495"/>
              <wp:effectExtent l="0" t="0" r="4445" b="0"/>
              <wp:wrapNone/>
              <wp:docPr id="1701219540" name="Text Box 17"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6167C35D" w14:textId="64BEB587" w:rsidR="009D6D1B" w:rsidRPr="009D6D1B" w:rsidRDefault="009D6D1B" w:rsidP="00F76882">
                          <w:pPr>
                            <w:rPr>
                              <w:noProof/>
                            </w:rPr>
                          </w:pPr>
                          <w:r w:rsidRPr="009D6D1B">
                            <w:rPr>
                              <w:noProof/>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90029" id="_x0000_t202" coordsize="21600,21600" o:spt="202" path="m,l,21600r21600,l21600,xe">
              <v:stroke joinstyle="miter"/>
              <v:path gradientshapeok="t" o:connecttype="rect"/>
            </v:shapetype>
            <v:shape id="Text Box 17" o:spid="_x0000_s1029" type="#_x0000_t202" alt="UNOFFICIAL" style="position:absolute;margin-left:0;margin-top:0;width:65.65pt;height:31.85pt;z-index:251753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" filled="f" stroked="f">
              <v:fill o:detectmouseclick="t"/>
              <v:textbox style="mso-fit-shape-to-text:t" inset="0,0,0,15pt">
                <w:txbxContent>
                  <w:p w14:paraId="6167C35D" w14:textId="64BEB587" w:rsidR="009D6D1B" w:rsidRPr="009D6D1B" w:rsidRDefault="009D6D1B" w:rsidP="00F76882">
                    <w:pPr>
                      <w:rPr>
                        <w:noProof/>
                      </w:rPr>
                    </w:pPr>
                    <w:r w:rsidRPr="009D6D1B">
                      <w:rPr>
                        <w:noProof/>
                      </w:rPr>
                      <w:t>UNOFFICIAL</w:t>
                    </w:r>
                  </w:p>
                </w:txbxContent>
              </v:textbox>
              <w10:wrap anchorx="page" anchory="page"/>
            </v:shape>
          </w:pict>
        </mc:Fallback>
      </mc:AlternateContent>
    </w:r>
    <w:r w:rsidR="00C81205" w:rsidRPr="00FF7193">
      <w:rPr>
        <w:rStyle w:val="PageNumber"/>
      </w:rPr>
      <w:fldChar w:fldCharType="begin"/>
    </w:r>
    <w:r w:rsidR="00C81205" w:rsidRPr="00FF7193">
      <w:rPr>
        <w:rStyle w:val="PageNumber"/>
      </w:rPr>
      <w:instrText xml:space="preserve"> PAGE </w:instrText>
    </w:r>
    <w:r w:rsidR="00C81205" w:rsidRPr="00FF7193">
      <w:rPr>
        <w:rStyle w:val="PageNumber"/>
      </w:rPr>
      <w:fldChar w:fldCharType="separate"/>
    </w:r>
    <w:r w:rsidR="00C81205" w:rsidRPr="00FF7193">
      <w:rPr>
        <w:rStyle w:val="PageNumber"/>
      </w:rPr>
      <w:t>27</w:t>
    </w:r>
    <w:r w:rsidR="00C81205" w:rsidRPr="00FF7193">
      <w:rPr>
        <w:rStyle w:val="PageNumber"/>
      </w:rPr>
      <w:fldChar w:fldCharType="end"/>
    </w:r>
  </w:p>
  <w:p w14:paraId="3B7480D0" w14:textId="77777777" w:rsidR="00C81205" w:rsidRPr="00FF7193" w:rsidRDefault="00C81205" w:rsidP="00F76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CEE5" w14:textId="5CFC94EA" w:rsidR="00C81205" w:rsidRPr="0036007C" w:rsidRDefault="00000000" w:rsidP="00096570">
    <w:pPr>
      <w:pStyle w:val="Footer"/>
    </w:pPr>
    <w:sdt>
      <w:sdtPr>
        <w:rPr>
          <w:rStyle w:val="PageNumber"/>
        </w:rPr>
        <w:id w:val="964615172"/>
        <w:docPartObj>
          <w:docPartGallery w:val="Page Numbers (Bottom of Page)"/>
          <w:docPartUnique/>
        </w:docPartObj>
      </w:sdtPr>
      <w:sdtContent>
        <w:r w:rsidR="00C81205" w:rsidRPr="0036007C">
          <w:rPr>
            <w:rStyle w:val="PageNumber"/>
          </w:rPr>
          <w:fldChar w:fldCharType="begin"/>
        </w:r>
        <w:r w:rsidR="00C81205" w:rsidRPr="0036007C">
          <w:rPr>
            <w:rStyle w:val="PageNumber"/>
          </w:rPr>
          <w:instrText xml:space="preserve"> PAGE </w:instrText>
        </w:r>
        <w:r w:rsidR="00C81205" w:rsidRPr="0036007C">
          <w:rPr>
            <w:rStyle w:val="PageNumber"/>
          </w:rPr>
          <w:fldChar w:fldCharType="separate"/>
        </w:r>
        <w:r w:rsidR="00FD10A3" w:rsidRPr="0036007C">
          <w:rPr>
            <w:rStyle w:val="PageNumber"/>
          </w:rPr>
          <w:t>57</w:t>
        </w:r>
        <w:r w:rsidR="00C81205" w:rsidRPr="0036007C">
          <w:rPr>
            <w:rStyle w:val="PageNumbe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F954" w14:textId="79A303DA" w:rsidR="00AE408D" w:rsidRDefault="009D6D1B" w:rsidP="00F76882">
    <w:pPr>
      <w:pStyle w:val="Footer"/>
    </w:pPr>
    <w:r>
      <w:rPr>
        <w:noProof/>
      </w:rPr>
      <mc:AlternateContent>
        <mc:Choice Requires="wps">
          <w:drawing>
            <wp:anchor distT="0" distB="0" distL="0" distR="0" simplePos="0" relativeHeight="251744768" behindDoc="0" locked="0" layoutInCell="1" allowOverlap="1" wp14:anchorId="7DD7C731" wp14:editId="2A941B9E">
              <wp:simplePos x="635" y="635"/>
              <wp:positionH relativeFrom="page">
                <wp:align>center</wp:align>
              </wp:positionH>
              <wp:positionV relativeFrom="page">
                <wp:align>bottom</wp:align>
              </wp:positionV>
              <wp:extent cx="833755" cy="404495"/>
              <wp:effectExtent l="0" t="0" r="4445" b="0"/>
              <wp:wrapNone/>
              <wp:docPr id="20689440" name="Text Box 1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1EB30E55" w14:textId="56399FAE" w:rsidR="009D6D1B" w:rsidRPr="009D6D1B" w:rsidRDefault="009D6D1B" w:rsidP="00F76882">
                          <w:pPr>
                            <w:rPr>
                              <w:noProof/>
                            </w:rPr>
                          </w:pPr>
                          <w:r w:rsidRPr="009D6D1B">
                            <w:rPr>
                              <w:noProof/>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7C731" id="_x0000_t202" coordsize="21600,21600" o:spt="202" path="m,l,21600r21600,l21600,xe">
              <v:stroke joinstyle="miter"/>
              <v:path gradientshapeok="t" o:connecttype="rect"/>
            </v:shapetype>
            <v:shape id="Text Box 16" o:spid="_x0000_s1031" type="#_x0000_t202" alt="UNOFFICIAL" style="position:absolute;margin-left:0;margin-top:0;width:65.65pt;height:31.85pt;z-index:251744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" filled="f" stroked="f">
              <v:fill o:detectmouseclick="t"/>
              <v:textbox style="mso-fit-shape-to-text:t" inset="0,0,0,15pt">
                <w:txbxContent>
                  <w:p w14:paraId="1EB30E55" w14:textId="56399FAE" w:rsidR="009D6D1B" w:rsidRPr="009D6D1B" w:rsidRDefault="009D6D1B" w:rsidP="00F76882">
                    <w:pPr>
                      <w:rPr>
                        <w:noProof/>
                      </w:rPr>
                    </w:pPr>
                    <w:r w:rsidRPr="009D6D1B">
                      <w:rPr>
                        <w:noProof/>
                      </w:rPr>
                      <w:t>UNOFFICIAL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BC0B" w14:textId="2F43AB4C" w:rsidR="00C81205" w:rsidRPr="0036007C" w:rsidRDefault="00000000" w:rsidP="00F76882">
    <w:pPr>
      <w:pStyle w:val="Footer"/>
    </w:pPr>
    <w:sdt>
      <w:sdtPr>
        <w:id w:val="2116091784"/>
        <w:docPartObj>
          <w:docPartGallery w:val="Page Numbers (Bottom of Page)"/>
          <w:docPartUnique/>
        </w:docPartObj>
      </w:sdtPr>
      <w:sdtContent>
        <w:r w:rsidR="00C81205" w:rsidRPr="0036007C">
          <w:fldChar w:fldCharType="begin"/>
        </w:r>
        <w:r w:rsidR="00C81205" w:rsidRPr="0036007C">
          <w:instrText xml:space="preserve"> PAGE   \* MERGEFORMAT </w:instrText>
        </w:r>
        <w:r w:rsidR="00C81205" w:rsidRPr="0036007C">
          <w:fldChar w:fldCharType="separate"/>
        </w:r>
        <w:r w:rsidR="00FD10A3" w:rsidRPr="0036007C">
          <w:t>58</w:t>
        </w:r>
        <w:r w:rsidR="00C81205" w:rsidRPr="0036007C">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8FBD" w14:textId="3112DF32" w:rsidR="00C81205" w:rsidRPr="0036007C" w:rsidRDefault="00000000" w:rsidP="00F76882">
    <w:pPr>
      <w:pStyle w:val="Footer"/>
    </w:pPr>
    <w:sdt>
      <w:sdtPr>
        <w:id w:val="2020429489"/>
        <w:docPartObj>
          <w:docPartGallery w:val="Page Numbers (Bottom of Page)"/>
          <w:docPartUnique/>
        </w:docPartObj>
      </w:sdtPr>
      <w:sdtContent>
        <w:r w:rsidR="00C81205" w:rsidRPr="0036007C">
          <w:fldChar w:fldCharType="begin"/>
        </w:r>
        <w:r w:rsidR="00C81205" w:rsidRPr="0036007C">
          <w:instrText xml:space="preserve"> PAGE   \* MERGEFORMAT </w:instrText>
        </w:r>
        <w:r w:rsidR="00C81205" w:rsidRPr="0036007C">
          <w:fldChar w:fldCharType="separate"/>
        </w:r>
        <w:r w:rsidR="00FD10A3" w:rsidRPr="0036007C">
          <w:t>71</w:t>
        </w:r>
        <w:r w:rsidR="00C81205" w:rsidRPr="0036007C">
          <w:fldChar w:fldCharType="end"/>
        </w:r>
      </w:sdtContent>
    </w:sdt>
  </w:p>
  <w:p w14:paraId="1DCB4005" w14:textId="77777777" w:rsidR="00C81205" w:rsidRPr="0036007C" w:rsidRDefault="00C81205" w:rsidP="00F768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DEC8" w14:textId="3BD497C9" w:rsidR="00C81205" w:rsidRPr="00FF7193" w:rsidRDefault="00000000" w:rsidP="00F76882">
    <w:pPr>
      <w:pStyle w:val="Footer"/>
    </w:pPr>
    <w:sdt>
      <w:sdtPr>
        <w:id w:val="1654338323"/>
        <w:docPartObj>
          <w:docPartGallery w:val="Page Numbers (Bottom of Page)"/>
          <w:docPartUnique/>
        </w:docPartObj>
      </w:sdtPr>
      <w:sdtContent>
        <w:r w:rsidR="00C81205" w:rsidRPr="00FF7193">
          <w:fldChar w:fldCharType="begin"/>
        </w:r>
        <w:r w:rsidR="00C81205" w:rsidRPr="00FF7193">
          <w:instrText xml:space="preserve"> PAGE   \* MERGEFORMAT </w:instrText>
        </w:r>
        <w:r w:rsidR="00C81205" w:rsidRPr="00FF7193">
          <w:fldChar w:fldCharType="separate"/>
        </w:r>
        <w:r w:rsidR="00FD10A3" w:rsidRPr="00FF7193">
          <w:t>86</w:t>
        </w:r>
        <w:r w:rsidR="00C81205" w:rsidRPr="00FF7193">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D9CE" w14:textId="344DE330" w:rsidR="00C81205" w:rsidRPr="00FF7193" w:rsidRDefault="00000000" w:rsidP="00F76882">
    <w:pPr>
      <w:pStyle w:val="Footer"/>
    </w:pPr>
    <w:sdt>
      <w:sdtPr>
        <w:id w:val="1987888089"/>
        <w:docPartObj>
          <w:docPartGallery w:val="Page Numbers (Bottom of Page)"/>
          <w:docPartUnique/>
        </w:docPartObj>
      </w:sdtPr>
      <w:sdtContent>
        <w:r w:rsidR="00C81205" w:rsidRPr="00FF7193">
          <w:fldChar w:fldCharType="begin"/>
        </w:r>
        <w:r w:rsidR="00C81205" w:rsidRPr="00FF7193">
          <w:instrText xml:space="preserve"> PAGE   \* MERGEFORMAT </w:instrText>
        </w:r>
        <w:r w:rsidR="00C81205" w:rsidRPr="00FF7193">
          <w:fldChar w:fldCharType="separate"/>
        </w:r>
        <w:r w:rsidR="00FD10A3" w:rsidRPr="00FF7193">
          <w:t>91</w:t>
        </w:r>
        <w:r w:rsidR="00C81205" w:rsidRPr="00FF719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2FB8A" w14:textId="77777777" w:rsidR="009C2717" w:rsidRPr="0036007C" w:rsidRDefault="009C2717" w:rsidP="00F76882">
      <w:r w:rsidRPr="0036007C">
        <w:separator/>
      </w:r>
    </w:p>
  </w:footnote>
  <w:footnote w:type="continuationSeparator" w:id="0">
    <w:p w14:paraId="20CBEF60" w14:textId="77777777" w:rsidR="009C2717" w:rsidRPr="00FF7193" w:rsidRDefault="009C2717" w:rsidP="00F76882">
      <w:r w:rsidRPr="00FF7193">
        <w:continuationSeparator/>
      </w:r>
    </w:p>
  </w:footnote>
  <w:footnote w:type="continuationNotice" w:id="1">
    <w:p w14:paraId="1C9B52C8" w14:textId="77777777" w:rsidR="009C2717" w:rsidRPr="00FF7193" w:rsidRDefault="009C2717" w:rsidP="00F76882"/>
  </w:footnote>
  <w:footnote w:id="2">
    <w:p w14:paraId="1E5986BA" w14:textId="4421F411" w:rsidR="00E3069A" w:rsidRPr="00490CF4" w:rsidRDefault="00E3069A" w:rsidP="00F76882">
      <w:pPr>
        <w:pStyle w:val="FootnoteText"/>
      </w:pPr>
      <w:r w:rsidRPr="0036007C">
        <w:rPr>
          <w:rStyle w:val="FootnoteReference"/>
        </w:rPr>
        <w:footnoteRef/>
      </w:r>
      <w:r w:rsidRPr="0036007C">
        <w:t xml:space="preserve"> </w:t>
      </w:r>
      <w:r w:rsidR="005D5CFA" w:rsidRPr="0036007C">
        <w:t>Refer to Methodology section for how Australia’s targets and processes differ from WHO guidelines.</w:t>
      </w:r>
    </w:p>
  </w:footnote>
  <w:footnote w:id="3">
    <w:p w14:paraId="6C62F179" w14:textId="77777777" w:rsidR="00A21F87" w:rsidRPr="00490CF4" w:rsidRDefault="00A21F87" w:rsidP="00F76882">
      <w:pPr>
        <w:pStyle w:val="FootnoteText"/>
      </w:pPr>
      <w:r w:rsidRPr="0036007C">
        <w:rPr>
          <w:rStyle w:val="FootnoteReference"/>
        </w:rPr>
        <w:footnoteRef/>
      </w:r>
      <w:r w:rsidRPr="0036007C">
        <w:t xml:space="preserve"> </w:t>
      </w:r>
      <w:r w:rsidRPr="00FF7193">
        <w:t>In regions where at least 20 children were screened.</w:t>
      </w:r>
    </w:p>
  </w:footnote>
  <w:footnote w:id="4">
    <w:p w14:paraId="5735B2C3" w14:textId="35C0B465" w:rsidR="00FA1A0F" w:rsidRPr="0036007C" w:rsidRDefault="00FA1A0F" w:rsidP="00F76882">
      <w:pPr>
        <w:pStyle w:val="FootnoteText"/>
      </w:pPr>
      <w:r w:rsidRPr="0036007C">
        <w:rPr>
          <w:rStyle w:val="FootnoteReference"/>
        </w:rPr>
        <w:footnoteRef/>
      </w:r>
      <w:r w:rsidRPr="0036007C">
        <w:t xml:space="preserve"> </w:t>
      </w:r>
      <w:r w:rsidRPr="00FF7193">
        <w:t>In regions where at least 20 children were screened.</w:t>
      </w:r>
    </w:p>
  </w:footnote>
  <w:footnote w:id="5">
    <w:p w14:paraId="1846D5C0" w14:textId="778F6342" w:rsidR="001104E5" w:rsidRPr="00FF7193" w:rsidRDefault="001104E5" w:rsidP="00F76882">
      <w:pPr>
        <w:pStyle w:val="FootnoteText"/>
        <w:rPr>
          <w:lang w:val="en-US"/>
        </w:rPr>
      </w:pPr>
      <w:r w:rsidRPr="0036007C">
        <w:rPr>
          <w:rStyle w:val="FootnoteReference"/>
        </w:rPr>
        <w:footnoteRef/>
      </w:r>
      <w:r w:rsidRPr="0036007C">
        <w:t xml:space="preserve"> </w:t>
      </w:r>
      <w:r w:rsidR="00E75FFA" w:rsidRPr="00FF7193">
        <w:t xml:space="preserve">This </w:t>
      </w:r>
      <w:r w:rsidR="0036007C" w:rsidRPr="00FF7193">
        <w:t xml:space="preserve">figure </w:t>
      </w:r>
      <w:r w:rsidR="00E75FFA" w:rsidRPr="00FF7193">
        <w:t>is higher than Table 4.6, which summarises facial cleanliness-specific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216" w14:textId="720C0365" w:rsidR="00AE408D" w:rsidRDefault="009D6D1B" w:rsidP="00F76882">
    <w:pPr>
      <w:pStyle w:val="Header"/>
    </w:pPr>
    <w:r>
      <w:rPr>
        <w:noProof/>
      </w:rPr>
      <mc:AlternateContent>
        <mc:Choice Requires="wps">
          <w:drawing>
            <wp:anchor distT="0" distB="0" distL="0" distR="0" simplePos="0" relativeHeight="251517440" behindDoc="0" locked="0" layoutInCell="1" allowOverlap="1" wp14:anchorId="51EB297C" wp14:editId="068E4101">
              <wp:simplePos x="635" y="635"/>
              <wp:positionH relativeFrom="page">
                <wp:align>center</wp:align>
              </wp:positionH>
              <wp:positionV relativeFrom="page">
                <wp:align>top</wp:align>
              </wp:positionV>
              <wp:extent cx="833755" cy="404495"/>
              <wp:effectExtent l="0" t="0" r="4445" b="14605"/>
              <wp:wrapNone/>
              <wp:docPr id="91997017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5676A8AA" w14:textId="213177D9" w:rsidR="009D6D1B" w:rsidRPr="009D6D1B" w:rsidRDefault="009D6D1B" w:rsidP="00F76882">
                          <w:pPr>
                            <w:rPr>
                              <w:noProof/>
                            </w:rPr>
                          </w:pPr>
                          <w:r w:rsidRPr="009D6D1B">
                            <w:rPr>
                              <w:noProof/>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EB297C" id="_x0000_t202" coordsize="21600,21600" o:spt="202" path="m,l,21600r21600,l21600,xe">
              <v:stroke joinstyle="miter"/>
              <v:path gradientshapeok="t" o:connecttype="rect"/>
            </v:shapetype>
            <v:shape id="Text Box 2" o:spid="_x0000_s1028" type="#_x0000_t202" alt="UNOFFICIAL" style="position:absolute;margin-left:0;margin-top:0;width:65.65pt;height:31.85pt;z-index:251517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" filled="f" stroked="f">
              <v:fill o:detectmouseclick="t"/>
              <v:textbox style="mso-fit-shape-to-text:t" inset="0,15pt,0,0">
                <w:txbxContent>
                  <w:p w14:paraId="5676A8AA" w14:textId="213177D9" w:rsidR="009D6D1B" w:rsidRPr="009D6D1B" w:rsidRDefault="009D6D1B" w:rsidP="00F76882">
                    <w:pPr>
                      <w:rPr>
                        <w:noProof/>
                      </w:rPr>
                    </w:pPr>
                    <w:r w:rsidRPr="009D6D1B">
                      <w:rPr>
                        <w:noProof/>
                      </w:rPr>
                      <w:t>UNOFFICIAL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A458" w14:textId="7A8783B4" w:rsidR="00C81205" w:rsidRPr="00FF7193" w:rsidRDefault="00C81205" w:rsidP="00F7688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282E" w14:textId="694BFCF9" w:rsidR="00C81205" w:rsidRPr="00FF7193" w:rsidRDefault="009D6D1B" w:rsidP="00F76882">
    <w:pPr>
      <w:pStyle w:val="Header"/>
    </w:pPr>
    <w:r>
      <w:rPr>
        <w:noProof/>
      </w:rPr>
      <mc:AlternateContent>
        <mc:Choice Requires="wps">
          <w:drawing>
            <wp:anchor distT="0" distB="0" distL="0" distR="0" simplePos="0" relativeHeight="251648512" behindDoc="0" locked="0" layoutInCell="1" allowOverlap="1" wp14:anchorId="2334DE4F" wp14:editId="0914B139">
              <wp:simplePos x="635" y="635"/>
              <wp:positionH relativeFrom="page">
                <wp:align>center</wp:align>
              </wp:positionH>
              <wp:positionV relativeFrom="page">
                <wp:align>top</wp:align>
              </wp:positionV>
              <wp:extent cx="833755" cy="404495"/>
              <wp:effectExtent l="0" t="0" r="4445" b="14605"/>
              <wp:wrapNone/>
              <wp:docPr id="1277275328" name="Text Box 10"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6673775C" w14:textId="76B6F5C9" w:rsidR="009D6D1B" w:rsidRPr="009D6D1B" w:rsidRDefault="009D6D1B" w:rsidP="00F76882">
                          <w:pPr>
                            <w:rPr>
                              <w:noProof/>
                            </w:rPr>
                          </w:pPr>
                          <w:r w:rsidRPr="009D6D1B">
                            <w:rPr>
                              <w:noProof/>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4DE4F" id="_x0000_t202" coordsize="21600,21600" o:spt="202" path="m,l,21600r21600,l21600,xe">
              <v:stroke joinstyle="miter"/>
              <v:path gradientshapeok="t" o:connecttype="rect"/>
            </v:shapetype>
            <v:shape id="Text Box 10" o:spid="_x0000_s1037" type="#_x0000_t202" alt="UNOFFICIAL" style="position:absolute;margin-left:0;margin-top:0;width:65.65pt;height:31.85pt;z-index:251648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" filled="f" stroked="f">
              <v:fill o:detectmouseclick="t"/>
              <v:textbox style="mso-fit-shape-to-text:t" inset="0,15pt,0,0">
                <w:txbxContent>
                  <w:p w14:paraId="6673775C" w14:textId="76B6F5C9" w:rsidR="009D6D1B" w:rsidRPr="009D6D1B" w:rsidRDefault="009D6D1B" w:rsidP="00F76882">
                    <w:pPr>
                      <w:rPr>
                        <w:noProof/>
                      </w:rPr>
                    </w:pPr>
                    <w:r w:rsidRPr="009D6D1B">
                      <w:rPr>
                        <w:noProof/>
                      </w:rPr>
                      <w:t>UNOFFICIAL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D91B" w14:textId="154A652C" w:rsidR="00C81205" w:rsidRPr="00FF7193" w:rsidRDefault="009D6D1B" w:rsidP="00F76882">
    <w:pPr>
      <w:pStyle w:val="Header"/>
    </w:pPr>
    <w:r>
      <w:rPr>
        <w:noProof/>
      </w:rPr>
      <mc:AlternateContent>
        <mc:Choice Requires="wps">
          <w:drawing>
            <wp:anchor distT="0" distB="0" distL="0" distR="0" simplePos="0" relativeHeight="251718144" behindDoc="0" locked="0" layoutInCell="1" allowOverlap="1" wp14:anchorId="621817BB" wp14:editId="5A306778">
              <wp:simplePos x="635" y="635"/>
              <wp:positionH relativeFrom="page">
                <wp:align>center</wp:align>
              </wp:positionH>
              <wp:positionV relativeFrom="page">
                <wp:align>top</wp:align>
              </wp:positionV>
              <wp:extent cx="833755" cy="404495"/>
              <wp:effectExtent l="0" t="0" r="4445" b="14605"/>
              <wp:wrapNone/>
              <wp:docPr id="332150533" name="Text Box 1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4BA563B6" w14:textId="22EF1F5A" w:rsidR="009D6D1B" w:rsidRPr="009D6D1B" w:rsidRDefault="009D6D1B" w:rsidP="00F76882">
                          <w:pPr>
                            <w:rPr>
                              <w:noProof/>
                            </w:rPr>
                          </w:pPr>
                          <w:r w:rsidRPr="009D6D1B">
                            <w:rPr>
                              <w:noProof/>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817BB" id="_x0000_t202" coordsize="21600,21600" o:spt="202" path="m,l,21600r21600,l21600,xe">
              <v:stroke joinstyle="miter"/>
              <v:path gradientshapeok="t" o:connecttype="rect"/>
            </v:shapetype>
            <v:shape id="Text Box 14" o:spid="_x0000_s1038" type="#_x0000_t202" alt="UNOFFICIAL" style="position:absolute;margin-left:0;margin-top:0;width:65.65pt;height:31.85pt;z-index:251718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" filled="f" stroked="f">
              <v:fill o:detectmouseclick="t"/>
              <v:textbox style="mso-fit-shape-to-text:t" inset="0,15pt,0,0">
                <w:txbxContent>
                  <w:p w14:paraId="4BA563B6" w14:textId="22EF1F5A" w:rsidR="009D6D1B" w:rsidRPr="009D6D1B" w:rsidRDefault="009D6D1B" w:rsidP="00F76882">
                    <w:pPr>
                      <w:rPr>
                        <w:noProof/>
                      </w:rPr>
                    </w:pPr>
                    <w:r w:rsidRPr="009D6D1B">
                      <w:rPr>
                        <w:noProof/>
                      </w:rPr>
                      <w:t>UNOFFICIAL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E9DB" w14:textId="16B18BD3" w:rsidR="00C81205" w:rsidRPr="00FF7193" w:rsidRDefault="00C81205" w:rsidP="00F7688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73C8" w14:textId="520C5285" w:rsidR="00C81205" w:rsidRPr="00FF7193" w:rsidRDefault="009D6D1B" w:rsidP="00F76882">
    <w:pPr>
      <w:pStyle w:val="Header"/>
    </w:pPr>
    <w:r>
      <w:rPr>
        <w:noProof/>
      </w:rPr>
      <mc:AlternateContent>
        <mc:Choice Requires="wps">
          <w:drawing>
            <wp:anchor distT="0" distB="0" distL="0" distR="0" simplePos="0" relativeHeight="251700736" behindDoc="0" locked="0" layoutInCell="1" allowOverlap="1" wp14:anchorId="3DC6A88F" wp14:editId="588A2A27">
              <wp:simplePos x="635" y="635"/>
              <wp:positionH relativeFrom="page">
                <wp:align>center</wp:align>
              </wp:positionH>
              <wp:positionV relativeFrom="page">
                <wp:align>top</wp:align>
              </wp:positionV>
              <wp:extent cx="833755" cy="404495"/>
              <wp:effectExtent l="0" t="0" r="4445" b="14605"/>
              <wp:wrapNone/>
              <wp:docPr id="1937082454" name="Text Box 1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5E570302" w14:textId="4B1B44AF" w:rsidR="009D6D1B" w:rsidRPr="009D6D1B" w:rsidRDefault="009D6D1B" w:rsidP="00F76882">
                          <w:pPr>
                            <w:rPr>
                              <w:noProof/>
                            </w:rPr>
                          </w:pPr>
                          <w:r w:rsidRPr="009D6D1B">
                            <w:rPr>
                              <w:noProof/>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6A88F" id="_x0000_t202" coordsize="21600,21600" o:spt="202" path="m,l,21600r21600,l21600,xe">
              <v:stroke joinstyle="miter"/>
              <v:path gradientshapeok="t" o:connecttype="rect"/>
            </v:shapetype>
            <v:shape id="Text Box 13" o:spid="_x0000_s1039" type="#_x0000_t202" alt="UNOFFICIAL" style="position:absolute;margin-left:0;margin-top:0;width:65.65pt;height:31.85pt;z-index:2517007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" filled="f" stroked="f">
              <v:fill o:detectmouseclick="t"/>
              <v:textbox style="mso-fit-shape-to-text:t" inset="0,15pt,0,0">
                <w:txbxContent>
                  <w:p w14:paraId="5E570302" w14:textId="4B1B44AF" w:rsidR="009D6D1B" w:rsidRPr="009D6D1B" w:rsidRDefault="009D6D1B" w:rsidP="00F76882">
                    <w:pPr>
                      <w:rPr>
                        <w:noProof/>
                      </w:rPr>
                    </w:pPr>
                    <w:r w:rsidRPr="009D6D1B">
                      <w:rPr>
                        <w:noProof/>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E3E2" w14:textId="00A8D10E" w:rsidR="00AE408D" w:rsidRDefault="009D6D1B" w:rsidP="00F76882">
    <w:pPr>
      <w:pStyle w:val="Header"/>
    </w:pPr>
    <w:r>
      <w:rPr>
        <w:noProof/>
      </w:rPr>
      <mc:AlternateContent>
        <mc:Choice Requires="wps">
          <w:drawing>
            <wp:anchor distT="0" distB="0" distL="0" distR="0" simplePos="0" relativeHeight="251508224" behindDoc="0" locked="0" layoutInCell="1" allowOverlap="1" wp14:anchorId="6768AB9F" wp14:editId="12332FC7">
              <wp:simplePos x="635" y="635"/>
              <wp:positionH relativeFrom="page">
                <wp:align>center</wp:align>
              </wp:positionH>
              <wp:positionV relativeFrom="page">
                <wp:align>top</wp:align>
              </wp:positionV>
              <wp:extent cx="833755" cy="404495"/>
              <wp:effectExtent l="0" t="0" r="4445" b="14605"/>
              <wp:wrapNone/>
              <wp:docPr id="1317030009"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7A26E1E8" w14:textId="40B58BF9" w:rsidR="009D6D1B" w:rsidRPr="009D6D1B" w:rsidRDefault="009D6D1B" w:rsidP="00F76882">
                          <w:pPr>
                            <w:rPr>
                              <w:noProof/>
                            </w:rPr>
                          </w:pPr>
                          <w:r w:rsidRPr="009D6D1B">
                            <w:rPr>
                              <w:noProof/>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68AB9F" id="_x0000_t202" coordsize="21600,21600" o:spt="202" path="m,l,21600r21600,l21600,xe">
              <v:stroke joinstyle="miter"/>
              <v:path gradientshapeok="t" o:connecttype="rect"/>
            </v:shapetype>
            <v:shape id="Text Box 1" o:spid="_x0000_s1030" type="#_x0000_t202" alt="UNOFFICIAL" style="position:absolute;margin-left:0;margin-top:0;width:65.65pt;height:31.85pt;z-index:251508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" filled="f" stroked="f">
              <v:fill o:detectmouseclick="t"/>
              <v:textbox style="mso-fit-shape-to-text:t" inset="0,15pt,0,0">
                <w:txbxContent>
                  <w:p w14:paraId="7A26E1E8" w14:textId="40B58BF9" w:rsidR="009D6D1B" w:rsidRPr="009D6D1B" w:rsidRDefault="009D6D1B" w:rsidP="00F76882">
                    <w:pPr>
                      <w:rPr>
                        <w:noProof/>
                      </w:rPr>
                    </w:pPr>
                    <w:r w:rsidRPr="009D6D1B">
                      <w:rPr>
                        <w:noProof/>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344F" w14:textId="4E7B5868" w:rsidR="00C81205" w:rsidRPr="00FF7193" w:rsidRDefault="009D6D1B" w:rsidP="00F76882">
    <w:pPr>
      <w:pStyle w:val="Header"/>
    </w:pPr>
    <w:r>
      <w:rPr>
        <w:noProof/>
      </w:rPr>
      <mc:AlternateContent>
        <mc:Choice Requires="wps">
          <w:drawing>
            <wp:anchor distT="0" distB="0" distL="0" distR="0" simplePos="0" relativeHeight="251561472" behindDoc="0" locked="0" layoutInCell="1" allowOverlap="1" wp14:anchorId="6CFB7D0C" wp14:editId="764E2A74">
              <wp:simplePos x="635" y="635"/>
              <wp:positionH relativeFrom="page">
                <wp:align>center</wp:align>
              </wp:positionH>
              <wp:positionV relativeFrom="page">
                <wp:align>top</wp:align>
              </wp:positionV>
              <wp:extent cx="833755" cy="404495"/>
              <wp:effectExtent l="0" t="0" r="4445" b="14605"/>
              <wp:wrapNone/>
              <wp:docPr id="262199786"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6B5913B2" w14:textId="53557C0A" w:rsidR="009D6D1B" w:rsidRPr="009D6D1B" w:rsidRDefault="009D6D1B" w:rsidP="00F76882">
                          <w:pPr>
                            <w:rPr>
                              <w:noProof/>
                            </w:rPr>
                          </w:pPr>
                          <w:r w:rsidRPr="009D6D1B">
                            <w:rPr>
                              <w:noProof/>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FB7D0C" id="_x0000_t202" coordsize="21600,21600" o:spt="202" path="m,l,21600r21600,l21600,xe">
              <v:stroke joinstyle="miter"/>
              <v:path gradientshapeok="t" o:connecttype="rect"/>
            </v:shapetype>
            <v:shape id="Text Box 5" o:spid="_x0000_s1032" type="#_x0000_t202" alt="UNOFFICIAL" style="position:absolute;margin-left:0;margin-top:0;width:65.65pt;height:31.85pt;z-index:2515614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" filled="f" stroked="f">
              <v:fill o:detectmouseclick="t"/>
              <v:textbox style="mso-fit-shape-to-text:t" inset="0,15pt,0,0">
                <w:txbxContent>
                  <w:p w14:paraId="6B5913B2" w14:textId="53557C0A" w:rsidR="009D6D1B" w:rsidRPr="009D6D1B" w:rsidRDefault="009D6D1B" w:rsidP="00F76882">
                    <w:pPr>
                      <w:rPr>
                        <w:noProof/>
                      </w:rPr>
                    </w:pPr>
                    <w:r w:rsidRPr="009D6D1B">
                      <w:rPr>
                        <w:noProof/>
                      </w:rPr>
                      <w:t>UNOFFICIAL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5362" w14:textId="1BFFC17A" w:rsidR="00C81205" w:rsidRPr="0036007C" w:rsidRDefault="00C81205" w:rsidP="00F768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0207" w14:textId="31F45C22" w:rsidR="00C81205" w:rsidRPr="00FF7193" w:rsidRDefault="009D6D1B" w:rsidP="00F76882">
    <w:pPr>
      <w:pStyle w:val="Header"/>
    </w:pPr>
    <w:r>
      <w:rPr>
        <w:noProof/>
      </w:rPr>
      <mc:AlternateContent>
        <mc:Choice Requires="wps">
          <w:drawing>
            <wp:anchor distT="0" distB="0" distL="0" distR="0" simplePos="0" relativeHeight="251544064" behindDoc="0" locked="0" layoutInCell="1" allowOverlap="1" wp14:anchorId="067F55BA" wp14:editId="1962B680">
              <wp:simplePos x="635" y="635"/>
              <wp:positionH relativeFrom="page">
                <wp:align>center</wp:align>
              </wp:positionH>
              <wp:positionV relativeFrom="page">
                <wp:align>top</wp:align>
              </wp:positionV>
              <wp:extent cx="833755" cy="404495"/>
              <wp:effectExtent l="0" t="0" r="4445" b="14605"/>
              <wp:wrapNone/>
              <wp:docPr id="1740153740" name="Text Box 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71F3F3A4" w14:textId="36D6DB02" w:rsidR="009D6D1B" w:rsidRPr="009D6D1B" w:rsidRDefault="009D6D1B" w:rsidP="00F76882">
                          <w:pPr>
                            <w:rPr>
                              <w:noProof/>
                            </w:rPr>
                          </w:pPr>
                          <w:r w:rsidRPr="009D6D1B">
                            <w:rPr>
                              <w:noProof/>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7F55BA" id="_x0000_t202" coordsize="21600,21600" o:spt="202" path="m,l,21600r21600,l21600,xe">
              <v:stroke joinstyle="miter"/>
              <v:path gradientshapeok="t" o:connecttype="rect"/>
            </v:shapetype>
            <v:shape id="Text Box 4" o:spid="_x0000_s1033" type="#_x0000_t202" alt="UNOFFICIAL" style="position:absolute;margin-left:0;margin-top:0;width:65.65pt;height:31.85pt;z-index:251544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" filled="f" stroked="f">
              <v:fill o:detectmouseclick="t"/>
              <v:textbox style="mso-fit-shape-to-text:t" inset="0,15pt,0,0">
                <w:txbxContent>
                  <w:p w14:paraId="71F3F3A4" w14:textId="36D6DB02" w:rsidR="009D6D1B" w:rsidRPr="009D6D1B" w:rsidRDefault="009D6D1B" w:rsidP="00F76882">
                    <w:pPr>
                      <w:rPr>
                        <w:noProof/>
                      </w:rPr>
                    </w:pPr>
                    <w:r w:rsidRPr="009D6D1B">
                      <w:rPr>
                        <w:noProof/>
                      </w:rPr>
                      <w:t>UNOFFICIAL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925A" w14:textId="48C4FCA8" w:rsidR="00C81205" w:rsidRPr="00FF7193" w:rsidRDefault="009D6D1B" w:rsidP="00F76882">
    <w:pPr>
      <w:pStyle w:val="Header"/>
    </w:pPr>
    <w:r>
      <w:rPr>
        <w:noProof/>
      </w:rPr>
      <mc:AlternateContent>
        <mc:Choice Requires="wps">
          <w:drawing>
            <wp:anchor distT="0" distB="0" distL="0" distR="0" simplePos="0" relativeHeight="251613696" behindDoc="0" locked="0" layoutInCell="1" allowOverlap="1" wp14:anchorId="481D9677" wp14:editId="429D2881">
              <wp:simplePos x="635" y="635"/>
              <wp:positionH relativeFrom="page">
                <wp:align>center</wp:align>
              </wp:positionH>
              <wp:positionV relativeFrom="page">
                <wp:align>top</wp:align>
              </wp:positionV>
              <wp:extent cx="833755" cy="404495"/>
              <wp:effectExtent l="0" t="0" r="4445" b="14605"/>
              <wp:wrapNone/>
              <wp:docPr id="673989438" name="Text Box 8"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799B5BAF" w14:textId="58195178" w:rsidR="009D6D1B" w:rsidRPr="009D6D1B" w:rsidRDefault="009D6D1B" w:rsidP="00F76882">
                          <w:pPr>
                            <w:rPr>
                              <w:noProof/>
                            </w:rPr>
                          </w:pPr>
                          <w:r w:rsidRPr="009D6D1B">
                            <w:rPr>
                              <w:noProof/>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1D9677" id="_x0000_t202" coordsize="21600,21600" o:spt="202" path="m,l,21600r21600,l21600,xe">
              <v:stroke joinstyle="miter"/>
              <v:path gradientshapeok="t" o:connecttype="rect"/>
            </v:shapetype>
            <v:shape id="Text Box 8" o:spid="_x0000_s1034" type="#_x0000_t202" alt="UNOFFICIAL" style="position:absolute;margin-left:0;margin-top:0;width:65.65pt;height:31.85pt;z-index:251613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" filled="f" stroked="f">
              <v:fill o:detectmouseclick="t"/>
              <v:textbox style="mso-fit-shape-to-text:t" inset="0,15pt,0,0">
                <w:txbxContent>
                  <w:p w14:paraId="799B5BAF" w14:textId="58195178" w:rsidR="009D6D1B" w:rsidRPr="009D6D1B" w:rsidRDefault="009D6D1B" w:rsidP="00F76882">
                    <w:pPr>
                      <w:rPr>
                        <w:noProof/>
                      </w:rPr>
                    </w:pPr>
                    <w:r w:rsidRPr="009D6D1B">
                      <w:rPr>
                        <w:noProof/>
                      </w:rPr>
                      <w:t>UNOFFICIAL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C22E" w14:textId="520F53E8" w:rsidR="00C81205" w:rsidRPr="0036007C" w:rsidRDefault="00C81205" w:rsidP="00F768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B3D4" w14:textId="1DA9A537" w:rsidR="00C81205" w:rsidRPr="00FF7193" w:rsidRDefault="009D6D1B" w:rsidP="00F76882">
    <w:pPr>
      <w:pStyle w:val="Header"/>
    </w:pPr>
    <w:r>
      <w:rPr>
        <w:noProof/>
      </w:rPr>
      <mc:AlternateContent>
        <mc:Choice Requires="wps">
          <w:drawing>
            <wp:anchor distT="0" distB="0" distL="0" distR="0" simplePos="0" relativeHeight="251596288" behindDoc="0" locked="0" layoutInCell="1" allowOverlap="1" wp14:anchorId="1033FA49" wp14:editId="5B27E60E">
              <wp:simplePos x="635" y="635"/>
              <wp:positionH relativeFrom="page">
                <wp:align>center</wp:align>
              </wp:positionH>
              <wp:positionV relativeFrom="page">
                <wp:align>top</wp:align>
              </wp:positionV>
              <wp:extent cx="833755" cy="404495"/>
              <wp:effectExtent l="0" t="0" r="4445" b="14605"/>
              <wp:wrapNone/>
              <wp:docPr id="2010164339" name="Text Box 7"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6B56B05D" w14:textId="77B8CA8E" w:rsidR="009D6D1B" w:rsidRPr="009D6D1B" w:rsidRDefault="009D6D1B" w:rsidP="00F76882">
                          <w:pPr>
                            <w:rPr>
                              <w:noProof/>
                            </w:rPr>
                          </w:pPr>
                          <w:r w:rsidRPr="009D6D1B">
                            <w:rPr>
                              <w:noProof/>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33FA49" id="_x0000_t202" coordsize="21600,21600" o:spt="202" path="m,l,21600r21600,l21600,xe">
              <v:stroke joinstyle="miter"/>
              <v:path gradientshapeok="t" o:connecttype="rect"/>
            </v:shapetype>
            <v:shape id="Text Box 7" o:spid="_x0000_s1035" type="#_x0000_t202" alt="UNOFFICIAL" style="position:absolute;margin-left:0;margin-top:0;width:65.65pt;height:31.85pt;z-index:251596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" filled="f" stroked="f">
              <v:fill o:detectmouseclick="t"/>
              <v:textbox style="mso-fit-shape-to-text:t" inset="0,15pt,0,0">
                <w:txbxContent>
                  <w:p w14:paraId="6B56B05D" w14:textId="77B8CA8E" w:rsidR="009D6D1B" w:rsidRPr="009D6D1B" w:rsidRDefault="009D6D1B" w:rsidP="00F76882">
                    <w:pPr>
                      <w:rPr>
                        <w:noProof/>
                      </w:rPr>
                    </w:pPr>
                    <w:r w:rsidRPr="009D6D1B">
                      <w:rPr>
                        <w:noProof/>
                      </w:rPr>
                      <w:t>UNOFFICIAL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4CEC" w14:textId="10A35379" w:rsidR="00C81205" w:rsidRPr="00FF7193" w:rsidRDefault="009D6D1B" w:rsidP="00F76882">
    <w:pPr>
      <w:pStyle w:val="Header"/>
    </w:pPr>
    <w:r>
      <w:rPr>
        <w:noProof/>
      </w:rPr>
      <mc:AlternateContent>
        <mc:Choice Requires="wps">
          <w:drawing>
            <wp:anchor distT="0" distB="0" distL="0" distR="0" simplePos="0" relativeHeight="251665920" behindDoc="0" locked="0" layoutInCell="1" allowOverlap="1" wp14:anchorId="64C600ED" wp14:editId="0B660DBC">
              <wp:simplePos x="635" y="635"/>
              <wp:positionH relativeFrom="page">
                <wp:align>center</wp:align>
              </wp:positionH>
              <wp:positionV relativeFrom="page">
                <wp:align>top</wp:align>
              </wp:positionV>
              <wp:extent cx="833755" cy="404495"/>
              <wp:effectExtent l="0" t="0" r="4445" b="14605"/>
              <wp:wrapNone/>
              <wp:docPr id="1110180554" name="Text Box 1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04A1ADF0" w14:textId="499A8875" w:rsidR="009D6D1B" w:rsidRPr="009D6D1B" w:rsidRDefault="009D6D1B" w:rsidP="00F76882">
                          <w:pPr>
                            <w:rPr>
                              <w:noProof/>
                            </w:rPr>
                          </w:pPr>
                          <w:r w:rsidRPr="009D6D1B">
                            <w:rPr>
                              <w:noProof/>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600ED" id="_x0000_t202" coordsize="21600,21600" o:spt="202" path="m,l,21600r21600,l21600,xe">
              <v:stroke joinstyle="miter"/>
              <v:path gradientshapeok="t" o:connecttype="rect"/>
            </v:shapetype>
            <v:shape id="Text Box 11" o:spid="_x0000_s1036" type="#_x0000_t202" alt="UNOFFICIAL" style="position:absolute;margin-left:0;margin-top:0;width:65.65pt;height:31.8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" filled="f" stroked="f">
              <v:fill o:detectmouseclick="t"/>
              <v:textbox style="mso-fit-shape-to-text:t" inset="0,15pt,0,0">
                <w:txbxContent>
                  <w:p w14:paraId="04A1ADF0" w14:textId="499A8875" w:rsidR="009D6D1B" w:rsidRPr="009D6D1B" w:rsidRDefault="009D6D1B" w:rsidP="00F76882">
                    <w:pPr>
                      <w:rPr>
                        <w:noProof/>
                      </w:rPr>
                    </w:pPr>
                    <w:r w:rsidRPr="009D6D1B">
                      <w:rPr>
                        <w:noProof/>
                      </w:rPr>
                      <w:t>UNOFFICIAL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Y67lC67mZK7QBM" int2:id="8AD1nTdS">
      <int2:state int2:value="Rejected" int2:type="AugLoop_Text_Critique"/>
    </int2:textHash>
    <int2:textHash int2:hashCode="znZArIgOljCAP9" int2:id="BVGbaKQ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C2A629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292BC5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3863FA8"/>
    <w:lvl w:ilvl="0">
      <w:start w:val="1"/>
      <w:numFmt w:val="decimal"/>
      <w:lvlText w:val="%1."/>
      <w:lvlJc w:val="left"/>
      <w:pPr>
        <w:tabs>
          <w:tab w:val="num" w:pos="360"/>
        </w:tabs>
        <w:ind w:left="360" w:hanging="360"/>
      </w:pPr>
    </w:lvl>
  </w:abstractNum>
  <w:abstractNum w:abstractNumId="3" w15:restartNumberingAfterBreak="0">
    <w:nsid w:val="02E82E6F"/>
    <w:multiLevelType w:val="hybridMultilevel"/>
    <w:tmpl w:val="777087D6"/>
    <w:lvl w:ilvl="0" w:tplc="BA749A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F45333"/>
    <w:multiLevelType w:val="hybridMultilevel"/>
    <w:tmpl w:val="47A02618"/>
    <w:lvl w:ilvl="0" w:tplc="E6FA93C8">
      <w:numFmt w:val="bullet"/>
      <w:lvlText w:val="•"/>
      <w:lvlJc w:val="left"/>
      <w:pPr>
        <w:ind w:left="1830" w:hanging="147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A35BA4"/>
    <w:multiLevelType w:val="multilevel"/>
    <w:tmpl w:val="587E60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0336B2E"/>
    <w:multiLevelType w:val="hybridMultilevel"/>
    <w:tmpl w:val="F94099AA"/>
    <w:lvl w:ilvl="0" w:tplc="BBA682FC">
      <w:start w:val="1"/>
      <w:numFmt w:val="bullet"/>
      <w:pStyle w:val="TableofFigures"/>
      <w:lvlText w:val=""/>
      <w:lvlJc w:val="left"/>
      <w:pPr>
        <w:ind w:left="644" w:hanging="360"/>
      </w:pPr>
      <w:rPr>
        <w:rFonts w:ascii="Symbol" w:hAnsi="Symbol" w:hint="default"/>
        <w:color w:val="2F2B20" w:themeColor="text1"/>
        <w:sz w:val="24"/>
        <w:szCs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A61F0A"/>
    <w:multiLevelType w:val="hybridMultilevel"/>
    <w:tmpl w:val="CF9041F6"/>
    <w:lvl w:ilvl="0" w:tplc="069E1E50">
      <w:start w:val="1"/>
      <w:numFmt w:val="bullet"/>
      <w:lvlText w:val=""/>
      <w:lvlJc w:val="left"/>
      <w:pPr>
        <w:ind w:left="720" w:hanging="360"/>
      </w:pPr>
      <w:rPr>
        <w:rFonts w:ascii="Symbol" w:hAnsi="Symbol"/>
      </w:rPr>
    </w:lvl>
    <w:lvl w:ilvl="1" w:tplc="2E34E77C">
      <w:start w:val="1"/>
      <w:numFmt w:val="bullet"/>
      <w:lvlText w:val=""/>
      <w:lvlJc w:val="left"/>
      <w:pPr>
        <w:ind w:left="720" w:hanging="360"/>
      </w:pPr>
      <w:rPr>
        <w:rFonts w:ascii="Symbol" w:hAnsi="Symbol"/>
      </w:rPr>
    </w:lvl>
    <w:lvl w:ilvl="2" w:tplc="3CE46C82">
      <w:start w:val="1"/>
      <w:numFmt w:val="bullet"/>
      <w:lvlText w:val=""/>
      <w:lvlJc w:val="left"/>
      <w:pPr>
        <w:ind w:left="720" w:hanging="360"/>
      </w:pPr>
      <w:rPr>
        <w:rFonts w:ascii="Symbol" w:hAnsi="Symbol"/>
      </w:rPr>
    </w:lvl>
    <w:lvl w:ilvl="3" w:tplc="3F2E2D80">
      <w:start w:val="1"/>
      <w:numFmt w:val="bullet"/>
      <w:lvlText w:val=""/>
      <w:lvlJc w:val="left"/>
      <w:pPr>
        <w:ind w:left="720" w:hanging="360"/>
      </w:pPr>
      <w:rPr>
        <w:rFonts w:ascii="Symbol" w:hAnsi="Symbol"/>
      </w:rPr>
    </w:lvl>
    <w:lvl w:ilvl="4" w:tplc="039492E6">
      <w:start w:val="1"/>
      <w:numFmt w:val="bullet"/>
      <w:lvlText w:val=""/>
      <w:lvlJc w:val="left"/>
      <w:pPr>
        <w:ind w:left="720" w:hanging="360"/>
      </w:pPr>
      <w:rPr>
        <w:rFonts w:ascii="Symbol" w:hAnsi="Symbol"/>
      </w:rPr>
    </w:lvl>
    <w:lvl w:ilvl="5" w:tplc="EDE64B72">
      <w:start w:val="1"/>
      <w:numFmt w:val="bullet"/>
      <w:lvlText w:val=""/>
      <w:lvlJc w:val="left"/>
      <w:pPr>
        <w:ind w:left="720" w:hanging="360"/>
      </w:pPr>
      <w:rPr>
        <w:rFonts w:ascii="Symbol" w:hAnsi="Symbol"/>
      </w:rPr>
    </w:lvl>
    <w:lvl w:ilvl="6" w:tplc="EACAF6AA">
      <w:start w:val="1"/>
      <w:numFmt w:val="bullet"/>
      <w:lvlText w:val=""/>
      <w:lvlJc w:val="left"/>
      <w:pPr>
        <w:ind w:left="720" w:hanging="360"/>
      </w:pPr>
      <w:rPr>
        <w:rFonts w:ascii="Symbol" w:hAnsi="Symbol"/>
      </w:rPr>
    </w:lvl>
    <w:lvl w:ilvl="7" w:tplc="7CD446B2">
      <w:start w:val="1"/>
      <w:numFmt w:val="bullet"/>
      <w:lvlText w:val=""/>
      <w:lvlJc w:val="left"/>
      <w:pPr>
        <w:ind w:left="720" w:hanging="360"/>
      </w:pPr>
      <w:rPr>
        <w:rFonts w:ascii="Symbol" w:hAnsi="Symbol"/>
      </w:rPr>
    </w:lvl>
    <w:lvl w:ilvl="8" w:tplc="82465508">
      <w:start w:val="1"/>
      <w:numFmt w:val="bullet"/>
      <w:lvlText w:val=""/>
      <w:lvlJc w:val="left"/>
      <w:pPr>
        <w:ind w:left="720" w:hanging="360"/>
      </w:pPr>
      <w:rPr>
        <w:rFonts w:ascii="Symbol" w:hAnsi="Symbol"/>
      </w:rPr>
    </w:lvl>
  </w:abstractNum>
  <w:abstractNum w:abstractNumId="8" w15:restartNumberingAfterBreak="0">
    <w:nsid w:val="736666A4"/>
    <w:multiLevelType w:val="hybridMultilevel"/>
    <w:tmpl w:val="E040AC0E"/>
    <w:lvl w:ilvl="0" w:tplc="0224801A">
      <w:start w:val="1"/>
      <w:numFmt w:val="bullet"/>
      <w:lvlText w:val=""/>
      <w:lvlJc w:val="left"/>
      <w:pPr>
        <w:ind w:left="720" w:hanging="360"/>
      </w:pPr>
      <w:rPr>
        <w:rFonts w:ascii="Symbol" w:hAnsi="Symbol"/>
      </w:rPr>
    </w:lvl>
    <w:lvl w:ilvl="1" w:tplc="0E540BDA">
      <w:start w:val="1"/>
      <w:numFmt w:val="bullet"/>
      <w:lvlText w:val=""/>
      <w:lvlJc w:val="left"/>
      <w:pPr>
        <w:ind w:left="720" w:hanging="360"/>
      </w:pPr>
      <w:rPr>
        <w:rFonts w:ascii="Symbol" w:hAnsi="Symbol"/>
      </w:rPr>
    </w:lvl>
    <w:lvl w:ilvl="2" w:tplc="12B040B8">
      <w:start w:val="1"/>
      <w:numFmt w:val="bullet"/>
      <w:lvlText w:val=""/>
      <w:lvlJc w:val="left"/>
      <w:pPr>
        <w:ind w:left="720" w:hanging="360"/>
      </w:pPr>
      <w:rPr>
        <w:rFonts w:ascii="Symbol" w:hAnsi="Symbol"/>
      </w:rPr>
    </w:lvl>
    <w:lvl w:ilvl="3" w:tplc="35AA0574">
      <w:start w:val="1"/>
      <w:numFmt w:val="bullet"/>
      <w:lvlText w:val=""/>
      <w:lvlJc w:val="left"/>
      <w:pPr>
        <w:ind w:left="720" w:hanging="360"/>
      </w:pPr>
      <w:rPr>
        <w:rFonts w:ascii="Symbol" w:hAnsi="Symbol"/>
      </w:rPr>
    </w:lvl>
    <w:lvl w:ilvl="4" w:tplc="9D34546C">
      <w:start w:val="1"/>
      <w:numFmt w:val="bullet"/>
      <w:lvlText w:val=""/>
      <w:lvlJc w:val="left"/>
      <w:pPr>
        <w:ind w:left="720" w:hanging="360"/>
      </w:pPr>
      <w:rPr>
        <w:rFonts w:ascii="Symbol" w:hAnsi="Symbol"/>
      </w:rPr>
    </w:lvl>
    <w:lvl w:ilvl="5" w:tplc="46D26C5A">
      <w:start w:val="1"/>
      <w:numFmt w:val="bullet"/>
      <w:lvlText w:val=""/>
      <w:lvlJc w:val="left"/>
      <w:pPr>
        <w:ind w:left="720" w:hanging="360"/>
      </w:pPr>
      <w:rPr>
        <w:rFonts w:ascii="Symbol" w:hAnsi="Symbol"/>
      </w:rPr>
    </w:lvl>
    <w:lvl w:ilvl="6" w:tplc="2C7CF06C">
      <w:start w:val="1"/>
      <w:numFmt w:val="bullet"/>
      <w:lvlText w:val=""/>
      <w:lvlJc w:val="left"/>
      <w:pPr>
        <w:ind w:left="720" w:hanging="360"/>
      </w:pPr>
      <w:rPr>
        <w:rFonts w:ascii="Symbol" w:hAnsi="Symbol"/>
      </w:rPr>
    </w:lvl>
    <w:lvl w:ilvl="7" w:tplc="F3549546">
      <w:start w:val="1"/>
      <w:numFmt w:val="bullet"/>
      <w:lvlText w:val=""/>
      <w:lvlJc w:val="left"/>
      <w:pPr>
        <w:ind w:left="720" w:hanging="360"/>
      </w:pPr>
      <w:rPr>
        <w:rFonts w:ascii="Symbol" w:hAnsi="Symbol"/>
      </w:rPr>
    </w:lvl>
    <w:lvl w:ilvl="8" w:tplc="21005B5A">
      <w:start w:val="1"/>
      <w:numFmt w:val="bullet"/>
      <w:lvlText w:val=""/>
      <w:lvlJc w:val="left"/>
      <w:pPr>
        <w:ind w:left="720" w:hanging="360"/>
      </w:pPr>
      <w:rPr>
        <w:rFonts w:ascii="Symbol" w:hAnsi="Symbol"/>
      </w:rPr>
    </w:lvl>
  </w:abstractNum>
  <w:num w:numId="1" w16cid:durableId="913508023">
    <w:abstractNumId w:val="0"/>
  </w:num>
  <w:num w:numId="2" w16cid:durableId="1608194979">
    <w:abstractNumId w:val="1"/>
  </w:num>
  <w:num w:numId="3" w16cid:durableId="924532758">
    <w:abstractNumId w:val="6"/>
  </w:num>
  <w:num w:numId="4" w16cid:durableId="1327904622">
    <w:abstractNumId w:val="5"/>
  </w:num>
  <w:num w:numId="5" w16cid:durableId="858931525">
    <w:abstractNumId w:val="4"/>
  </w:num>
  <w:num w:numId="6" w16cid:durableId="49429781">
    <w:abstractNumId w:val="3"/>
  </w:num>
  <w:num w:numId="7" w16cid:durableId="1892879844">
    <w:abstractNumId w:val="8"/>
  </w:num>
  <w:num w:numId="8" w16cid:durableId="1442724175">
    <w:abstractNumId w:val="7"/>
  </w:num>
  <w:num w:numId="9" w16cid:durableId="32219927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1474"/>
  <w:characterSpacingControl w:val="doNotCompress"/>
  <w:savePreviewPicture/>
  <w:hdrShapeDefaults>
    <o:shapedefaults v:ext="edit" spidmax="205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 Superscript&lt;/Style&gt;&lt;LeftDelim&gt;{&lt;/LeftDelim&gt;&lt;RightDelim&gt;}&lt;/RightDelim&gt;&lt;FontName&gt;Calibri Light&lt;/FontName&gt;&lt;FontSize&gt;1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r9t20smsvp0rex9v1vsfe3tt9vxfdpvwsa&quot;&gt;Trachoma Library-Converted&lt;record-ids&gt;&lt;item&gt;1&lt;/item&gt;&lt;item&gt;4&lt;/item&gt;&lt;item&gt;6&lt;/item&gt;&lt;item&gt;7&lt;/item&gt;&lt;item&gt;13&lt;/item&gt;&lt;item&gt;28&lt;/item&gt;&lt;item&gt;29&lt;/item&gt;&lt;item&gt;30&lt;/item&gt;&lt;item&gt;31&lt;/item&gt;&lt;item&gt;32&lt;/item&gt;&lt;item&gt;33&lt;/item&gt;&lt;item&gt;34&lt;/item&gt;&lt;item&gt;35&lt;/item&gt;&lt;item&gt;37&lt;/item&gt;&lt;item&gt;38&lt;/item&gt;&lt;item&gt;39&lt;/item&gt;&lt;item&gt;41&lt;/item&gt;&lt;item&gt;42&lt;/item&gt;&lt;item&gt;43&lt;/item&gt;&lt;item&gt;44&lt;/item&gt;&lt;item&gt;51&lt;/item&gt;&lt;item&gt;55&lt;/item&gt;&lt;item&gt;60&lt;/item&gt;&lt;item&gt;61&lt;/item&gt;&lt;item&gt;63&lt;/item&gt;&lt;item&gt;66&lt;/item&gt;&lt;item&gt;83&lt;/item&gt;&lt;item&gt;84&lt;/item&gt;&lt;item&gt;101&lt;/item&gt;&lt;item&gt;121&lt;/item&gt;&lt;item&gt;254&lt;/item&gt;&lt;item&gt;309&lt;/item&gt;&lt;item&gt;310&lt;/item&gt;&lt;item&gt;328&lt;/item&gt;&lt;item&gt;338&lt;/item&gt;&lt;item&gt;378&lt;/item&gt;&lt;item&gt;399&lt;/item&gt;&lt;item&gt;411&lt;/item&gt;&lt;item&gt;413&lt;/item&gt;&lt;item&gt;416&lt;/item&gt;&lt;/record-ids&gt;&lt;/item&gt;&lt;/Libraries&gt;"/>
  </w:docVars>
  <w:rsids>
    <w:rsidRoot w:val="00616870"/>
    <w:rsid w:val="00000058"/>
    <w:rsid w:val="00000485"/>
    <w:rsid w:val="000009CA"/>
    <w:rsid w:val="00000AE6"/>
    <w:rsid w:val="00000C77"/>
    <w:rsid w:val="000010B2"/>
    <w:rsid w:val="00001247"/>
    <w:rsid w:val="00001541"/>
    <w:rsid w:val="000019BA"/>
    <w:rsid w:val="00001A74"/>
    <w:rsid w:val="00001AC2"/>
    <w:rsid w:val="00001C70"/>
    <w:rsid w:val="00001DE9"/>
    <w:rsid w:val="00001F81"/>
    <w:rsid w:val="000026AF"/>
    <w:rsid w:val="00002741"/>
    <w:rsid w:val="00002776"/>
    <w:rsid w:val="000028DA"/>
    <w:rsid w:val="00002B67"/>
    <w:rsid w:val="00003A97"/>
    <w:rsid w:val="0000408B"/>
    <w:rsid w:val="00004219"/>
    <w:rsid w:val="00004ABE"/>
    <w:rsid w:val="00004BF8"/>
    <w:rsid w:val="00004D80"/>
    <w:rsid w:val="00005318"/>
    <w:rsid w:val="00005558"/>
    <w:rsid w:val="00005762"/>
    <w:rsid w:val="000057CE"/>
    <w:rsid w:val="000057F5"/>
    <w:rsid w:val="000058E4"/>
    <w:rsid w:val="00005950"/>
    <w:rsid w:val="00006274"/>
    <w:rsid w:val="00006738"/>
    <w:rsid w:val="000067E4"/>
    <w:rsid w:val="00006CDC"/>
    <w:rsid w:val="00006D78"/>
    <w:rsid w:val="00006DD0"/>
    <w:rsid w:val="000070AA"/>
    <w:rsid w:val="0000715F"/>
    <w:rsid w:val="000074D0"/>
    <w:rsid w:val="000075E4"/>
    <w:rsid w:val="000077A2"/>
    <w:rsid w:val="00007A8C"/>
    <w:rsid w:val="00007B55"/>
    <w:rsid w:val="00007D7E"/>
    <w:rsid w:val="000100E6"/>
    <w:rsid w:val="000101C7"/>
    <w:rsid w:val="0001033F"/>
    <w:rsid w:val="000107BC"/>
    <w:rsid w:val="00010886"/>
    <w:rsid w:val="00010A56"/>
    <w:rsid w:val="00010DF9"/>
    <w:rsid w:val="0001111D"/>
    <w:rsid w:val="000114EF"/>
    <w:rsid w:val="0001154D"/>
    <w:rsid w:val="00011581"/>
    <w:rsid w:val="0001203D"/>
    <w:rsid w:val="0001280A"/>
    <w:rsid w:val="00012963"/>
    <w:rsid w:val="00012D99"/>
    <w:rsid w:val="00012EE4"/>
    <w:rsid w:val="00012F0B"/>
    <w:rsid w:val="0001329E"/>
    <w:rsid w:val="0001339A"/>
    <w:rsid w:val="00013477"/>
    <w:rsid w:val="000136D2"/>
    <w:rsid w:val="000138B2"/>
    <w:rsid w:val="0001395F"/>
    <w:rsid w:val="00013B07"/>
    <w:rsid w:val="00013B4F"/>
    <w:rsid w:val="000143CA"/>
    <w:rsid w:val="00014957"/>
    <w:rsid w:val="00014B04"/>
    <w:rsid w:val="00014BD9"/>
    <w:rsid w:val="00014D2A"/>
    <w:rsid w:val="00014E2F"/>
    <w:rsid w:val="00014E68"/>
    <w:rsid w:val="00015138"/>
    <w:rsid w:val="000155BD"/>
    <w:rsid w:val="00015718"/>
    <w:rsid w:val="00015768"/>
    <w:rsid w:val="00015982"/>
    <w:rsid w:val="00015B81"/>
    <w:rsid w:val="00015CEC"/>
    <w:rsid w:val="000161C3"/>
    <w:rsid w:val="00016254"/>
    <w:rsid w:val="000168C7"/>
    <w:rsid w:val="00016BEA"/>
    <w:rsid w:val="00016CAB"/>
    <w:rsid w:val="00016F06"/>
    <w:rsid w:val="00016F49"/>
    <w:rsid w:val="00017420"/>
    <w:rsid w:val="00017799"/>
    <w:rsid w:val="00017B81"/>
    <w:rsid w:val="00020003"/>
    <w:rsid w:val="0002014C"/>
    <w:rsid w:val="00020724"/>
    <w:rsid w:val="0002076C"/>
    <w:rsid w:val="000209A4"/>
    <w:rsid w:val="00020AD1"/>
    <w:rsid w:val="00020AEF"/>
    <w:rsid w:val="00020FA2"/>
    <w:rsid w:val="00021136"/>
    <w:rsid w:val="000219B1"/>
    <w:rsid w:val="00021BD3"/>
    <w:rsid w:val="00021D13"/>
    <w:rsid w:val="00021E9D"/>
    <w:rsid w:val="00021F8E"/>
    <w:rsid w:val="0002205D"/>
    <w:rsid w:val="0002269B"/>
    <w:rsid w:val="00022DA8"/>
    <w:rsid w:val="0002302C"/>
    <w:rsid w:val="00023328"/>
    <w:rsid w:val="000233CB"/>
    <w:rsid w:val="0002349D"/>
    <w:rsid w:val="0002359A"/>
    <w:rsid w:val="00023758"/>
    <w:rsid w:val="00023946"/>
    <w:rsid w:val="0002397A"/>
    <w:rsid w:val="00023BDB"/>
    <w:rsid w:val="00023C96"/>
    <w:rsid w:val="00024131"/>
    <w:rsid w:val="00024192"/>
    <w:rsid w:val="00024359"/>
    <w:rsid w:val="00024445"/>
    <w:rsid w:val="00024672"/>
    <w:rsid w:val="000246D1"/>
    <w:rsid w:val="00024876"/>
    <w:rsid w:val="000249D9"/>
    <w:rsid w:val="00025C3C"/>
    <w:rsid w:val="00026317"/>
    <w:rsid w:val="000263E8"/>
    <w:rsid w:val="00026412"/>
    <w:rsid w:val="00026483"/>
    <w:rsid w:val="00026563"/>
    <w:rsid w:val="00026905"/>
    <w:rsid w:val="00026C0F"/>
    <w:rsid w:val="00026DC0"/>
    <w:rsid w:val="00026FC6"/>
    <w:rsid w:val="0002702D"/>
    <w:rsid w:val="00027053"/>
    <w:rsid w:val="00027060"/>
    <w:rsid w:val="0002742E"/>
    <w:rsid w:val="00027510"/>
    <w:rsid w:val="00027699"/>
    <w:rsid w:val="000279B7"/>
    <w:rsid w:val="00027CA9"/>
    <w:rsid w:val="00027CDF"/>
    <w:rsid w:val="00027E58"/>
    <w:rsid w:val="00027ED9"/>
    <w:rsid w:val="00027EFC"/>
    <w:rsid w:val="0003070F"/>
    <w:rsid w:val="0003078D"/>
    <w:rsid w:val="00030DE1"/>
    <w:rsid w:val="0003127A"/>
    <w:rsid w:val="00031353"/>
    <w:rsid w:val="00031766"/>
    <w:rsid w:val="00031B6A"/>
    <w:rsid w:val="00031EA5"/>
    <w:rsid w:val="00031F4C"/>
    <w:rsid w:val="000321CD"/>
    <w:rsid w:val="000324D0"/>
    <w:rsid w:val="0003250F"/>
    <w:rsid w:val="00032671"/>
    <w:rsid w:val="00032E27"/>
    <w:rsid w:val="00032EB6"/>
    <w:rsid w:val="0003382D"/>
    <w:rsid w:val="00033960"/>
    <w:rsid w:val="00033A53"/>
    <w:rsid w:val="0003428A"/>
    <w:rsid w:val="000342DE"/>
    <w:rsid w:val="00034496"/>
    <w:rsid w:val="00034CE4"/>
    <w:rsid w:val="00034DE9"/>
    <w:rsid w:val="00034EDE"/>
    <w:rsid w:val="000351B0"/>
    <w:rsid w:val="00035358"/>
    <w:rsid w:val="000353D1"/>
    <w:rsid w:val="00035459"/>
    <w:rsid w:val="00035553"/>
    <w:rsid w:val="00035863"/>
    <w:rsid w:val="000359F6"/>
    <w:rsid w:val="000359FC"/>
    <w:rsid w:val="00035A96"/>
    <w:rsid w:val="00035B95"/>
    <w:rsid w:val="00035ED1"/>
    <w:rsid w:val="0003618D"/>
    <w:rsid w:val="000366F9"/>
    <w:rsid w:val="00036786"/>
    <w:rsid w:val="00036BFC"/>
    <w:rsid w:val="0003719D"/>
    <w:rsid w:val="0003736B"/>
    <w:rsid w:val="00037C0D"/>
    <w:rsid w:val="00040965"/>
    <w:rsid w:val="00040D50"/>
    <w:rsid w:val="00040EF6"/>
    <w:rsid w:val="00041064"/>
    <w:rsid w:val="0004120A"/>
    <w:rsid w:val="00041476"/>
    <w:rsid w:val="000415E6"/>
    <w:rsid w:val="000416B8"/>
    <w:rsid w:val="00041730"/>
    <w:rsid w:val="00041932"/>
    <w:rsid w:val="000422E4"/>
    <w:rsid w:val="000426A1"/>
    <w:rsid w:val="0004270E"/>
    <w:rsid w:val="0004271D"/>
    <w:rsid w:val="00042914"/>
    <w:rsid w:val="00042B63"/>
    <w:rsid w:val="00042E85"/>
    <w:rsid w:val="00043016"/>
    <w:rsid w:val="000432E8"/>
    <w:rsid w:val="0004348D"/>
    <w:rsid w:val="000435C0"/>
    <w:rsid w:val="00043A3A"/>
    <w:rsid w:val="00043B12"/>
    <w:rsid w:val="00043C76"/>
    <w:rsid w:val="00043DC4"/>
    <w:rsid w:val="00044176"/>
    <w:rsid w:val="000442CC"/>
    <w:rsid w:val="000444DB"/>
    <w:rsid w:val="00044584"/>
    <w:rsid w:val="0004491C"/>
    <w:rsid w:val="0004493E"/>
    <w:rsid w:val="000449D0"/>
    <w:rsid w:val="00044B5A"/>
    <w:rsid w:val="00044E7D"/>
    <w:rsid w:val="00044EAE"/>
    <w:rsid w:val="00044F04"/>
    <w:rsid w:val="0004502B"/>
    <w:rsid w:val="00045152"/>
    <w:rsid w:val="000451FB"/>
    <w:rsid w:val="000456CD"/>
    <w:rsid w:val="0004579E"/>
    <w:rsid w:val="00045D98"/>
    <w:rsid w:val="00045EC4"/>
    <w:rsid w:val="00045FC8"/>
    <w:rsid w:val="000464A8"/>
    <w:rsid w:val="0004654C"/>
    <w:rsid w:val="00046C9F"/>
    <w:rsid w:val="00046CCC"/>
    <w:rsid w:val="000470A3"/>
    <w:rsid w:val="000470AF"/>
    <w:rsid w:val="00047187"/>
    <w:rsid w:val="000473E8"/>
    <w:rsid w:val="00047856"/>
    <w:rsid w:val="00047B2D"/>
    <w:rsid w:val="00047B3E"/>
    <w:rsid w:val="00047E49"/>
    <w:rsid w:val="00047E67"/>
    <w:rsid w:val="00050459"/>
    <w:rsid w:val="000504A5"/>
    <w:rsid w:val="00050551"/>
    <w:rsid w:val="00050A5E"/>
    <w:rsid w:val="00050CC5"/>
    <w:rsid w:val="00050F43"/>
    <w:rsid w:val="0005152F"/>
    <w:rsid w:val="000519DB"/>
    <w:rsid w:val="00051E5F"/>
    <w:rsid w:val="00051F40"/>
    <w:rsid w:val="0005226D"/>
    <w:rsid w:val="00052545"/>
    <w:rsid w:val="00052AA3"/>
    <w:rsid w:val="00052F85"/>
    <w:rsid w:val="000530A6"/>
    <w:rsid w:val="00053122"/>
    <w:rsid w:val="0005332D"/>
    <w:rsid w:val="00053424"/>
    <w:rsid w:val="00053443"/>
    <w:rsid w:val="000536C9"/>
    <w:rsid w:val="00053A3D"/>
    <w:rsid w:val="00053BFC"/>
    <w:rsid w:val="00053F8E"/>
    <w:rsid w:val="00054369"/>
    <w:rsid w:val="000544B8"/>
    <w:rsid w:val="000544E4"/>
    <w:rsid w:val="000544EB"/>
    <w:rsid w:val="00054575"/>
    <w:rsid w:val="000545E1"/>
    <w:rsid w:val="00054A17"/>
    <w:rsid w:val="00054FFF"/>
    <w:rsid w:val="000550AF"/>
    <w:rsid w:val="00055233"/>
    <w:rsid w:val="000552CB"/>
    <w:rsid w:val="00055506"/>
    <w:rsid w:val="00055BC0"/>
    <w:rsid w:val="00055E86"/>
    <w:rsid w:val="00056337"/>
    <w:rsid w:val="00056653"/>
    <w:rsid w:val="00056FE6"/>
    <w:rsid w:val="00056FF0"/>
    <w:rsid w:val="00056FFD"/>
    <w:rsid w:val="000573C0"/>
    <w:rsid w:val="000577A8"/>
    <w:rsid w:val="000579BA"/>
    <w:rsid w:val="00057A80"/>
    <w:rsid w:val="00057CE1"/>
    <w:rsid w:val="00057D30"/>
    <w:rsid w:val="0006001A"/>
    <w:rsid w:val="0006016D"/>
    <w:rsid w:val="00060A94"/>
    <w:rsid w:val="00060FC3"/>
    <w:rsid w:val="00060FF3"/>
    <w:rsid w:val="00061146"/>
    <w:rsid w:val="00061150"/>
    <w:rsid w:val="00061499"/>
    <w:rsid w:val="000614D0"/>
    <w:rsid w:val="000618CA"/>
    <w:rsid w:val="00061C2A"/>
    <w:rsid w:val="000621C7"/>
    <w:rsid w:val="0006266F"/>
    <w:rsid w:val="0006270F"/>
    <w:rsid w:val="0006310C"/>
    <w:rsid w:val="00063735"/>
    <w:rsid w:val="00063976"/>
    <w:rsid w:val="00063A0F"/>
    <w:rsid w:val="00063A4F"/>
    <w:rsid w:val="00063F66"/>
    <w:rsid w:val="00064050"/>
    <w:rsid w:val="000641FD"/>
    <w:rsid w:val="000644B2"/>
    <w:rsid w:val="000647F5"/>
    <w:rsid w:val="000648D4"/>
    <w:rsid w:val="00064F6D"/>
    <w:rsid w:val="000651BD"/>
    <w:rsid w:val="00065407"/>
    <w:rsid w:val="000654B8"/>
    <w:rsid w:val="00065513"/>
    <w:rsid w:val="000657B5"/>
    <w:rsid w:val="00065F5D"/>
    <w:rsid w:val="0006624A"/>
    <w:rsid w:val="00066283"/>
    <w:rsid w:val="00066288"/>
    <w:rsid w:val="00066C9B"/>
    <w:rsid w:val="00066EC6"/>
    <w:rsid w:val="00066F86"/>
    <w:rsid w:val="000671F1"/>
    <w:rsid w:val="0006736D"/>
    <w:rsid w:val="0006739B"/>
    <w:rsid w:val="0006748A"/>
    <w:rsid w:val="000679AA"/>
    <w:rsid w:val="00067B0D"/>
    <w:rsid w:val="000704BD"/>
    <w:rsid w:val="00070501"/>
    <w:rsid w:val="00070616"/>
    <w:rsid w:val="0007083D"/>
    <w:rsid w:val="00070A6C"/>
    <w:rsid w:val="000712EB"/>
    <w:rsid w:val="00071385"/>
    <w:rsid w:val="00071A45"/>
    <w:rsid w:val="00071AC2"/>
    <w:rsid w:val="00071D61"/>
    <w:rsid w:val="000722B4"/>
    <w:rsid w:val="00072453"/>
    <w:rsid w:val="000726E4"/>
    <w:rsid w:val="000728ED"/>
    <w:rsid w:val="00072E47"/>
    <w:rsid w:val="0007307B"/>
    <w:rsid w:val="000731B1"/>
    <w:rsid w:val="00073918"/>
    <w:rsid w:val="00073A27"/>
    <w:rsid w:val="00074111"/>
    <w:rsid w:val="00074527"/>
    <w:rsid w:val="000747DC"/>
    <w:rsid w:val="00074DB3"/>
    <w:rsid w:val="00075016"/>
    <w:rsid w:val="000750BB"/>
    <w:rsid w:val="000754B3"/>
    <w:rsid w:val="00075510"/>
    <w:rsid w:val="00075EDE"/>
    <w:rsid w:val="0007614A"/>
    <w:rsid w:val="00076218"/>
    <w:rsid w:val="00076583"/>
    <w:rsid w:val="000765AE"/>
    <w:rsid w:val="000769C8"/>
    <w:rsid w:val="00076BFE"/>
    <w:rsid w:val="000772C0"/>
    <w:rsid w:val="00077912"/>
    <w:rsid w:val="00077BF2"/>
    <w:rsid w:val="00077D3B"/>
    <w:rsid w:val="0008008D"/>
    <w:rsid w:val="000803B5"/>
    <w:rsid w:val="00080763"/>
    <w:rsid w:val="00080A03"/>
    <w:rsid w:val="00080B24"/>
    <w:rsid w:val="00080D39"/>
    <w:rsid w:val="00080F60"/>
    <w:rsid w:val="00081209"/>
    <w:rsid w:val="000814E5"/>
    <w:rsid w:val="000818A0"/>
    <w:rsid w:val="0008200D"/>
    <w:rsid w:val="000820BB"/>
    <w:rsid w:val="00082163"/>
    <w:rsid w:val="000821B8"/>
    <w:rsid w:val="0008223A"/>
    <w:rsid w:val="00082352"/>
    <w:rsid w:val="000823FE"/>
    <w:rsid w:val="00082870"/>
    <w:rsid w:val="0008318B"/>
    <w:rsid w:val="000831CB"/>
    <w:rsid w:val="00083524"/>
    <w:rsid w:val="0008379F"/>
    <w:rsid w:val="00083F2C"/>
    <w:rsid w:val="0008417C"/>
    <w:rsid w:val="000842D1"/>
    <w:rsid w:val="00084AD4"/>
    <w:rsid w:val="00084D4A"/>
    <w:rsid w:val="00084D87"/>
    <w:rsid w:val="00085D69"/>
    <w:rsid w:val="00085FAE"/>
    <w:rsid w:val="000862B6"/>
    <w:rsid w:val="00086547"/>
    <w:rsid w:val="00086668"/>
    <w:rsid w:val="00086854"/>
    <w:rsid w:val="00086862"/>
    <w:rsid w:val="00086AFF"/>
    <w:rsid w:val="00086C9A"/>
    <w:rsid w:val="00086E8D"/>
    <w:rsid w:val="0008709B"/>
    <w:rsid w:val="00087652"/>
    <w:rsid w:val="00087ACB"/>
    <w:rsid w:val="00087CBE"/>
    <w:rsid w:val="00087F94"/>
    <w:rsid w:val="000900FB"/>
    <w:rsid w:val="00090245"/>
    <w:rsid w:val="00090698"/>
    <w:rsid w:val="000908C7"/>
    <w:rsid w:val="000908DB"/>
    <w:rsid w:val="00090E85"/>
    <w:rsid w:val="00090F13"/>
    <w:rsid w:val="000916E8"/>
    <w:rsid w:val="000917DE"/>
    <w:rsid w:val="00091CD6"/>
    <w:rsid w:val="00091D6B"/>
    <w:rsid w:val="00091D76"/>
    <w:rsid w:val="00091DA5"/>
    <w:rsid w:val="00091DBD"/>
    <w:rsid w:val="0009285A"/>
    <w:rsid w:val="00092E0D"/>
    <w:rsid w:val="0009343A"/>
    <w:rsid w:val="00093B72"/>
    <w:rsid w:val="00093C90"/>
    <w:rsid w:val="00093D30"/>
    <w:rsid w:val="00093D81"/>
    <w:rsid w:val="00093DD8"/>
    <w:rsid w:val="00093E04"/>
    <w:rsid w:val="00093E09"/>
    <w:rsid w:val="00093E1C"/>
    <w:rsid w:val="00094293"/>
    <w:rsid w:val="00094564"/>
    <w:rsid w:val="00094858"/>
    <w:rsid w:val="00094D11"/>
    <w:rsid w:val="00094F9E"/>
    <w:rsid w:val="0009506E"/>
    <w:rsid w:val="0009514B"/>
    <w:rsid w:val="0009517F"/>
    <w:rsid w:val="00095882"/>
    <w:rsid w:val="000958DE"/>
    <w:rsid w:val="000958FA"/>
    <w:rsid w:val="00095C6E"/>
    <w:rsid w:val="00095E92"/>
    <w:rsid w:val="0009608D"/>
    <w:rsid w:val="00096432"/>
    <w:rsid w:val="00096570"/>
    <w:rsid w:val="0009674D"/>
    <w:rsid w:val="00096809"/>
    <w:rsid w:val="00096839"/>
    <w:rsid w:val="00096938"/>
    <w:rsid w:val="000969B8"/>
    <w:rsid w:val="00096A65"/>
    <w:rsid w:val="00096C0C"/>
    <w:rsid w:val="00096C83"/>
    <w:rsid w:val="00096E15"/>
    <w:rsid w:val="000976FD"/>
    <w:rsid w:val="0009773D"/>
    <w:rsid w:val="00097CCB"/>
    <w:rsid w:val="00097EA9"/>
    <w:rsid w:val="00097F3B"/>
    <w:rsid w:val="00097F60"/>
    <w:rsid w:val="000A00CD"/>
    <w:rsid w:val="000A0358"/>
    <w:rsid w:val="000A05D7"/>
    <w:rsid w:val="000A060A"/>
    <w:rsid w:val="000A083D"/>
    <w:rsid w:val="000A0BCB"/>
    <w:rsid w:val="000A0BF1"/>
    <w:rsid w:val="000A0F40"/>
    <w:rsid w:val="000A1600"/>
    <w:rsid w:val="000A1717"/>
    <w:rsid w:val="000A191B"/>
    <w:rsid w:val="000A1E7D"/>
    <w:rsid w:val="000A1EF0"/>
    <w:rsid w:val="000A1FA9"/>
    <w:rsid w:val="000A2303"/>
    <w:rsid w:val="000A2692"/>
    <w:rsid w:val="000A2C70"/>
    <w:rsid w:val="000A2D2D"/>
    <w:rsid w:val="000A2D52"/>
    <w:rsid w:val="000A2F2B"/>
    <w:rsid w:val="000A3327"/>
    <w:rsid w:val="000A3484"/>
    <w:rsid w:val="000A358D"/>
    <w:rsid w:val="000A3812"/>
    <w:rsid w:val="000A39D7"/>
    <w:rsid w:val="000A3F46"/>
    <w:rsid w:val="000A3FC9"/>
    <w:rsid w:val="000A4305"/>
    <w:rsid w:val="000A4957"/>
    <w:rsid w:val="000A4E4D"/>
    <w:rsid w:val="000A52E7"/>
    <w:rsid w:val="000A54F5"/>
    <w:rsid w:val="000A55B5"/>
    <w:rsid w:val="000A5754"/>
    <w:rsid w:val="000A57C2"/>
    <w:rsid w:val="000A59AE"/>
    <w:rsid w:val="000A5AD1"/>
    <w:rsid w:val="000A5B10"/>
    <w:rsid w:val="000A5CC7"/>
    <w:rsid w:val="000A5CF4"/>
    <w:rsid w:val="000A5EE5"/>
    <w:rsid w:val="000A62B6"/>
    <w:rsid w:val="000A64E1"/>
    <w:rsid w:val="000A65C7"/>
    <w:rsid w:val="000A69EF"/>
    <w:rsid w:val="000A6A46"/>
    <w:rsid w:val="000A6A74"/>
    <w:rsid w:val="000A6F89"/>
    <w:rsid w:val="000A70E4"/>
    <w:rsid w:val="000A7196"/>
    <w:rsid w:val="000A7626"/>
    <w:rsid w:val="000A7B6E"/>
    <w:rsid w:val="000A7C1A"/>
    <w:rsid w:val="000A7CEF"/>
    <w:rsid w:val="000B011D"/>
    <w:rsid w:val="000B01A9"/>
    <w:rsid w:val="000B0CA7"/>
    <w:rsid w:val="000B0CD0"/>
    <w:rsid w:val="000B0D85"/>
    <w:rsid w:val="000B0DC9"/>
    <w:rsid w:val="000B1074"/>
    <w:rsid w:val="000B12F5"/>
    <w:rsid w:val="000B141C"/>
    <w:rsid w:val="000B15B2"/>
    <w:rsid w:val="000B1E47"/>
    <w:rsid w:val="000B1F50"/>
    <w:rsid w:val="000B22CD"/>
    <w:rsid w:val="000B24AB"/>
    <w:rsid w:val="000B2552"/>
    <w:rsid w:val="000B2FAA"/>
    <w:rsid w:val="000B3057"/>
    <w:rsid w:val="000B3103"/>
    <w:rsid w:val="000B3179"/>
    <w:rsid w:val="000B328B"/>
    <w:rsid w:val="000B38C4"/>
    <w:rsid w:val="000B39C5"/>
    <w:rsid w:val="000B3C04"/>
    <w:rsid w:val="000B3C6A"/>
    <w:rsid w:val="000B3CAA"/>
    <w:rsid w:val="000B3E7A"/>
    <w:rsid w:val="000B419E"/>
    <w:rsid w:val="000B41BE"/>
    <w:rsid w:val="000B4420"/>
    <w:rsid w:val="000B45F8"/>
    <w:rsid w:val="000B4623"/>
    <w:rsid w:val="000B47C8"/>
    <w:rsid w:val="000B4A55"/>
    <w:rsid w:val="000B4F03"/>
    <w:rsid w:val="000B53B9"/>
    <w:rsid w:val="000B540D"/>
    <w:rsid w:val="000B557A"/>
    <w:rsid w:val="000B55DE"/>
    <w:rsid w:val="000B566B"/>
    <w:rsid w:val="000B56CD"/>
    <w:rsid w:val="000B597D"/>
    <w:rsid w:val="000B5E5A"/>
    <w:rsid w:val="000B5F6F"/>
    <w:rsid w:val="000B6377"/>
    <w:rsid w:val="000B6734"/>
    <w:rsid w:val="000B6843"/>
    <w:rsid w:val="000B6DBD"/>
    <w:rsid w:val="000B6DFC"/>
    <w:rsid w:val="000B6F71"/>
    <w:rsid w:val="000B705F"/>
    <w:rsid w:val="000B70DB"/>
    <w:rsid w:val="000B7871"/>
    <w:rsid w:val="000B78B7"/>
    <w:rsid w:val="000B78E4"/>
    <w:rsid w:val="000B79D1"/>
    <w:rsid w:val="000B7A69"/>
    <w:rsid w:val="000B7C05"/>
    <w:rsid w:val="000B7F52"/>
    <w:rsid w:val="000B7F7C"/>
    <w:rsid w:val="000C01B0"/>
    <w:rsid w:val="000C01DB"/>
    <w:rsid w:val="000C0B50"/>
    <w:rsid w:val="000C0B52"/>
    <w:rsid w:val="000C0D2D"/>
    <w:rsid w:val="000C13BF"/>
    <w:rsid w:val="000C146E"/>
    <w:rsid w:val="000C1C44"/>
    <w:rsid w:val="000C2493"/>
    <w:rsid w:val="000C26AB"/>
    <w:rsid w:val="000C2A2A"/>
    <w:rsid w:val="000C2DF3"/>
    <w:rsid w:val="000C3435"/>
    <w:rsid w:val="000C35CB"/>
    <w:rsid w:val="000C3883"/>
    <w:rsid w:val="000C3B5F"/>
    <w:rsid w:val="000C3BBF"/>
    <w:rsid w:val="000C4079"/>
    <w:rsid w:val="000C4190"/>
    <w:rsid w:val="000C4195"/>
    <w:rsid w:val="000C41B9"/>
    <w:rsid w:val="000C4295"/>
    <w:rsid w:val="000C43DC"/>
    <w:rsid w:val="000C4C19"/>
    <w:rsid w:val="000C4E29"/>
    <w:rsid w:val="000C4F6C"/>
    <w:rsid w:val="000C5033"/>
    <w:rsid w:val="000C5B72"/>
    <w:rsid w:val="000C5CB7"/>
    <w:rsid w:val="000C5CBC"/>
    <w:rsid w:val="000C5D63"/>
    <w:rsid w:val="000C69DC"/>
    <w:rsid w:val="000C6D73"/>
    <w:rsid w:val="000C705E"/>
    <w:rsid w:val="000C70C6"/>
    <w:rsid w:val="000C7444"/>
    <w:rsid w:val="000C7592"/>
    <w:rsid w:val="000C7C23"/>
    <w:rsid w:val="000D00D6"/>
    <w:rsid w:val="000D0391"/>
    <w:rsid w:val="000D0487"/>
    <w:rsid w:val="000D058F"/>
    <w:rsid w:val="000D0651"/>
    <w:rsid w:val="000D06A5"/>
    <w:rsid w:val="000D089D"/>
    <w:rsid w:val="000D0D48"/>
    <w:rsid w:val="000D0E95"/>
    <w:rsid w:val="000D1042"/>
    <w:rsid w:val="000D113E"/>
    <w:rsid w:val="000D1146"/>
    <w:rsid w:val="000D118C"/>
    <w:rsid w:val="000D14F8"/>
    <w:rsid w:val="000D1500"/>
    <w:rsid w:val="000D16D5"/>
    <w:rsid w:val="000D1751"/>
    <w:rsid w:val="000D1804"/>
    <w:rsid w:val="000D19E8"/>
    <w:rsid w:val="000D1BF9"/>
    <w:rsid w:val="000D1D5F"/>
    <w:rsid w:val="000D1EEA"/>
    <w:rsid w:val="000D20A5"/>
    <w:rsid w:val="000D24AE"/>
    <w:rsid w:val="000D24EA"/>
    <w:rsid w:val="000D2C53"/>
    <w:rsid w:val="000D2D56"/>
    <w:rsid w:val="000D35E2"/>
    <w:rsid w:val="000D37E9"/>
    <w:rsid w:val="000D391B"/>
    <w:rsid w:val="000D3B51"/>
    <w:rsid w:val="000D3B91"/>
    <w:rsid w:val="000D3C09"/>
    <w:rsid w:val="000D3C68"/>
    <w:rsid w:val="000D3C6E"/>
    <w:rsid w:val="000D3F83"/>
    <w:rsid w:val="000D4008"/>
    <w:rsid w:val="000D4069"/>
    <w:rsid w:val="000D43EC"/>
    <w:rsid w:val="000D4460"/>
    <w:rsid w:val="000D5137"/>
    <w:rsid w:val="000D5428"/>
    <w:rsid w:val="000D55B9"/>
    <w:rsid w:val="000D56BD"/>
    <w:rsid w:val="000D5752"/>
    <w:rsid w:val="000D5892"/>
    <w:rsid w:val="000D592B"/>
    <w:rsid w:val="000D63E5"/>
    <w:rsid w:val="000D6619"/>
    <w:rsid w:val="000D68B1"/>
    <w:rsid w:val="000D6CD7"/>
    <w:rsid w:val="000D6F2C"/>
    <w:rsid w:val="000D7219"/>
    <w:rsid w:val="000D737E"/>
    <w:rsid w:val="000D7A49"/>
    <w:rsid w:val="000D7D25"/>
    <w:rsid w:val="000D7F9F"/>
    <w:rsid w:val="000E0455"/>
    <w:rsid w:val="000E0494"/>
    <w:rsid w:val="000E07D1"/>
    <w:rsid w:val="000E0A93"/>
    <w:rsid w:val="000E0C40"/>
    <w:rsid w:val="000E1144"/>
    <w:rsid w:val="000E1249"/>
    <w:rsid w:val="000E13A7"/>
    <w:rsid w:val="000E14EE"/>
    <w:rsid w:val="000E1606"/>
    <w:rsid w:val="000E1AD2"/>
    <w:rsid w:val="000E2155"/>
    <w:rsid w:val="000E21D6"/>
    <w:rsid w:val="000E2678"/>
    <w:rsid w:val="000E26F8"/>
    <w:rsid w:val="000E270A"/>
    <w:rsid w:val="000E2A5F"/>
    <w:rsid w:val="000E2FA7"/>
    <w:rsid w:val="000E3332"/>
    <w:rsid w:val="000E374F"/>
    <w:rsid w:val="000E3B15"/>
    <w:rsid w:val="000E3CE0"/>
    <w:rsid w:val="000E3EF5"/>
    <w:rsid w:val="000E405A"/>
    <w:rsid w:val="000E429A"/>
    <w:rsid w:val="000E4373"/>
    <w:rsid w:val="000E4415"/>
    <w:rsid w:val="000E44BF"/>
    <w:rsid w:val="000E44C4"/>
    <w:rsid w:val="000E489C"/>
    <w:rsid w:val="000E49C4"/>
    <w:rsid w:val="000E4E25"/>
    <w:rsid w:val="000E5239"/>
    <w:rsid w:val="000E55FA"/>
    <w:rsid w:val="000E56A3"/>
    <w:rsid w:val="000E5B67"/>
    <w:rsid w:val="000E5E64"/>
    <w:rsid w:val="000E6256"/>
    <w:rsid w:val="000E63A8"/>
    <w:rsid w:val="000E66A8"/>
    <w:rsid w:val="000E6AAF"/>
    <w:rsid w:val="000E6B59"/>
    <w:rsid w:val="000E6F2B"/>
    <w:rsid w:val="000E70CB"/>
    <w:rsid w:val="000E74FE"/>
    <w:rsid w:val="000E7881"/>
    <w:rsid w:val="000E79F4"/>
    <w:rsid w:val="000E7C47"/>
    <w:rsid w:val="000E7ED7"/>
    <w:rsid w:val="000F051E"/>
    <w:rsid w:val="000F070A"/>
    <w:rsid w:val="000F0900"/>
    <w:rsid w:val="000F0AD5"/>
    <w:rsid w:val="000F0BEA"/>
    <w:rsid w:val="000F0F59"/>
    <w:rsid w:val="000F105F"/>
    <w:rsid w:val="000F10A3"/>
    <w:rsid w:val="000F1110"/>
    <w:rsid w:val="000F1603"/>
    <w:rsid w:val="000F1AF0"/>
    <w:rsid w:val="000F1DDB"/>
    <w:rsid w:val="000F1EF1"/>
    <w:rsid w:val="000F1FB2"/>
    <w:rsid w:val="000F2AB5"/>
    <w:rsid w:val="000F2C17"/>
    <w:rsid w:val="000F2E6D"/>
    <w:rsid w:val="000F2E80"/>
    <w:rsid w:val="000F2E8E"/>
    <w:rsid w:val="000F36A5"/>
    <w:rsid w:val="000F372A"/>
    <w:rsid w:val="000F3767"/>
    <w:rsid w:val="000F384F"/>
    <w:rsid w:val="000F3918"/>
    <w:rsid w:val="000F3A8F"/>
    <w:rsid w:val="000F403A"/>
    <w:rsid w:val="000F4509"/>
    <w:rsid w:val="000F4550"/>
    <w:rsid w:val="000F46EB"/>
    <w:rsid w:val="000F4917"/>
    <w:rsid w:val="000F4AA9"/>
    <w:rsid w:val="000F503F"/>
    <w:rsid w:val="000F5341"/>
    <w:rsid w:val="000F547E"/>
    <w:rsid w:val="000F568C"/>
    <w:rsid w:val="000F579D"/>
    <w:rsid w:val="000F5905"/>
    <w:rsid w:val="000F5EE2"/>
    <w:rsid w:val="000F600D"/>
    <w:rsid w:val="000F6693"/>
    <w:rsid w:val="000F69E1"/>
    <w:rsid w:val="000F6BCB"/>
    <w:rsid w:val="000F6F43"/>
    <w:rsid w:val="000F6F80"/>
    <w:rsid w:val="000F7009"/>
    <w:rsid w:val="000F73DE"/>
    <w:rsid w:val="000F73E1"/>
    <w:rsid w:val="000F74F1"/>
    <w:rsid w:val="000F78DC"/>
    <w:rsid w:val="000F79E8"/>
    <w:rsid w:val="000F7A69"/>
    <w:rsid w:val="001005E6"/>
    <w:rsid w:val="0010067D"/>
    <w:rsid w:val="00100986"/>
    <w:rsid w:val="00100E16"/>
    <w:rsid w:val="00100EEA"/>
    <w:rsid w:val="0010123C"/>
    <w:rsid w:val="0010127A"/>
    <w:rsid w:val="001015A4"/>
    <w:rsid w:val="001017E8"/>
    <w:rsid w:val="00101BBB"/>
    <w:rsid w:val="00101D1A"/>
    <w:rsid w:val="00101E9E"/>
    <w:rsid w:val="001022FD"/>
    <w:rsid w:val="001023AB"/>
    <w:rsid w:val="001023B7"/>
    <w:rsid w:val="0010244E"/>
    <w:rsid w:val="00102BA1"/>
    <w:rsid w:val="00102C00"/>
    <w:rsid w:val="00102CD2"/>
    <w:rsid w:val="00102F30"/>
    <w:rsid w:val="0010318E"/>
    <w:rsid w:val="0010363A"/>
    <w:rsid w:val="0010399B"/>
    <w:rsid w:val="001039A8"/>
    <w:rsid w:val="00103A00"/>
    <w:rsid w:val="00103D1C"/>
    <w:rsid w:val="00103F58"/>
    <w:rsid w:val="0010451E"/>
    <w:rsid w:val="0010452A"/>
    <w:rsid w:val="001045F2"/>
    <w:rsid w:val="00104655"/>
    <w:rsid w:val="00104C22"/>
    <w:rsid w:val="00104C60"/>
    <w:rsid w:val="00104D41"/>
    <w:rsid w:val="00104DD4"/>
    <w:rsid w:val="00104F16"/>
    <w:rsid w:val="00105015"/>
    <w:rsid w:val="00105131"/>
    <w:rsid w:val="00105253"/>
    <w:rsid w:val="0010529B"/>
    <w:rsid w:val="00105304"/>
    <w:rsid w:val="001055F5"/>
    <w:rsid w:val="001058C9"/>
    <w:rsid w:val="00105A59"/>
    <w:rsid w:val="00105D07"/>
    <w:rsid w:val="00105E96"/>
    <w:rsid w:val="0010611F"/>
    <w:rsid w:val="00106288"/>
    <w:rsid w:val="001064C7"/>
    <w:rsid w:val="0010657D"/>
    <w:rsid w:val="001066B2"/>
    <w:rsid w:val="001066F4"/>
    <w:rsid w:val="00106789"/>
    <w:rsid w:val="00106DD6"/>
    <w:rsid w:val="00106E81"/>
    <w:rsid w:val="00106E8C"/>
    <w:rsid w:val="001072B5"/>
    <w:rsid w:val="001075B5"/>
    <w:rsid w:val="001075DB"/>
    <w:rsid w:val="001075F5"/>
    <w:rsid w:val="0010789F"/>
    <w:rsid w:val="0010798D"/>
    <w:rsid w:val="00107AE4"/>
    <w:rsid w:val="00107D29"/>
    <w:rsid w:val="00107F54"/>
    <w:rsid w:val="0011005C"/>
    <w:rsid w:val="00110162"/>
    <w:rsid w:val="001103EE"/>
    <w:rsid w:val="0011040E"/>
    <w:rsid w:val="001104BD"/>
    <w:rsid w:val="001104E5"/>
    <w:rsid w:val="001107F8"/>
    <w:rsid w:val="00110CB1"/>
    <w:rsid w:val="00110E05"/>
    <w:rsid w:val="001111D4"/>
    <w:rsid w:val="00111289"/>
    <w:rsid w:val="001114E5"/>
    <w:rsid w:val="00111583"/>
    <w:rsid w:val="001117A2"/>
    <w:rsid w:val="0011269D"/>
    <w:rsid w:val="00112912"/>
    <w:rsid w:val="00112F9B"/>
    <w:rsid w:val="00113206"/>
    <w:rsid w:val="00113287"/>
    <w:rsid w:val="001133AA"/>
    <w:rsid w:val="00113400"/>
    <w:rsid w:val="00113498"/>
    <w:rsid w:val="0011359D"/>
    <w:rsid w:val="00114A2C"/>
    <w:rsid w:val="00114AB5"/>
    <w:rsid w:val="00114D4F"/>
    <w:rsid w:val="00114F27"/>
    <w:rsid w:val="00114F3A"/>
    <w:rsid w:val="001153C2"/>
    <w:rsid w:val="001158A4"/>
    <w:rsid w:val="001159AF"/>
    <w:rsid w:val="001159D5"/>
    <w:rsid w:val="00115AAF"/>
    <w:rsid w:val="00115C57"/>
    <w:rsid w:val="00115E68"/>
    <w:rsid w:val="0011605E"/>
    <w:rsid w:val="0011651C"/>
    <w:rsid w:val="001169F3"/>
    <w:rsid w:val="00116C15"/>
    <w:rsid w:val="00116D75"/>
    <w:rsid w:val="00116F00"/>
    <w:rsid w:val="00116FDA"/>
    <w:rsid w:val="001175F6"/>
    <w:rsid w:val="001176A0"/>
    <w:rsid w:val="00117724"/>
    <w:rsid w:val="001178EC"/>
    <w:rsid w:val="00117A7C"/>
    <w:rsid w:val="00117DAD"/>
    <w:rsid w:val="0012026B"/>
    <w:rsid w:val="001202C7"/>
    <w:rsid w:val="00120633"/>
    <w:rsid w:val="001206A6"/>
    <w:rsid w:val="00120DF7"/>
    <w:rsid w:val="00121526"/>
    <w:rsid w:val="00121A32"/>
    <w:rsid w:val="00121F39"/>
    <w:rsid w:val="001223A6"/>
    <w:rsid w:val="0012257B"/>
    <w:rsid w:val="00122822"/>
    <w:rsid w:val="00122853"/>
    <w:rsid w:val="0012294F"/>
    <w:rsid w:val="00122B19"/>
    <w:rsid w:val="00122C3F"/>
    <w:rsid w:val="0012318D"/>
    <w:rsid w:val="001231FE"/>
    <w:rsid w:val="001232E7"/>
    <w:rsid w:val="00123388"/>
    <w:rsid w:val="001236B1"/>
    <w:rsid w:val="00123EE3"/>
    <w:rsid w:val="00124558"/>
    <w:rsid w:val="001246F1"/>
    <w:rsid w:val="00124FE0"/>
    <w:rsid w:val="00125746"/>
    <w:rsid w:val="00125823"/>
    <w:rsid w:val="00125CA6"/>
    <w:rsid w:val="00126045"/>
    <w:rsid w:val="00126179"/>
    <w:rsid w:val="001266AE"/>
    <w:rsid w:val="00126709"/>
    <w:rsid w:val="00126921"/>
    <w:rsid w:val="0012694C"/>
    <w:rsid w:val="00126D57"/>
    <w:rsid w:val="00126FA6"/>
    <w:rsid w:val="00127123"/>
    <w:rsid w:val="00127279"/>
    <w:rsid w:val="001272E9"/>
    <w:rsid w:val="00127526"/>
    <w:rsid w:val="0012770A"/>
    <w:rsid w:val="00127968"/>
    <w:rsid w:val="001279C9"/>
    <w:rsid w:val="00127A64"/>
    <w:rsid w:val="00127B66"/>
    <w:rsid w:val="00127D0C"/>
    <w:rsid w:val="00130088"/>
    <w:rsid w:val="00130235"/>
    <w:rsid w:val="00130397"/>
    <w:rsid w:val="00130754"/>
    <w:rsid w:val="00130929"/>
    <w:rsid w:val="00130B08"/>
    <w:rsid w:val="00130FEA"/>
    <w:rsid w:val="00131158"/>
    <w:rsid w:val="001316FC"/>
    <w:rsid w:val="00131A40"/>
    <w:rsid w:val="00131E97"/>
    <w:rsid w:val="00131FFA"/>
    <w:rsid w:val="001322AC"/>
    <w:rsid w:val="001326A6"/>
    <w:rsid w:val="00132707"/>
    <w:rsid w:val="00132989"/>
    <w:rsid w:val="00132BDB"/>
    <w:rsid w:val="00132E6B"/>
    <w:rsid w:val="00132F58"/>
    <w:rsid w:val="001331B9"/>
    <w:rsid w:val="00133549"/>
    <w:rsid w:val="0013374C"/>
    <w:rsid w:val="001346C1"/>
    <w:rsid w:val="001346F9"/>
    <w:rsid w:val="00134935"/>
    <w:rsid w:val="001349CF"/>
    <w:rsid w:val="00134BF0"/>
    <w:rsid w:val="00134C03"/>
    <w:rsid w:val="00134FA8"/>
    <w:rsid w:val="0013503A"/>
    <w:rsid w:val="00135341"/>
    <w:rsid w:val="00135384"/>
    <w:rsid w:val="00135405"/>
    <w:rsid w:val="00135DF3"/>
    <w:rsid w:val="00135E51"/>
    <w:rsid w:val="00136451"/>
    <w:rsid w:val="00136596"/>
    <w:rsid w:val="0013678A"/>
    <w:rsid w:val="00136AF2"/>
    <w:rsid w:val="00136CA0"/>
    <w:rsid w:val="001370A4"/>
    <w:rsid w:val="0013714F"/>
    <w:rsid w:val="00137184"/>
    <w:rsid w:val="001375FE"/>
    <w:rsid w:val="00137675"/>
    <w:rsid w:val="00137F90"/>
    <w:rsid w:val="00140747"/>
    <w:rsid w:val="00140A37"/>
    <w:rsid w:val="00140D75"/>
    <w:rsid w:val="00140E22"/>
    <w:rsid w:val="001411D2"/>
    <w:rsid w:val="00141B25"/>
    <w:rsid w:val="00141FE4"/>
    <w:rsid w:val="001425E8"/>
    <w:rsid w:val="001425FA"/>
    <w:rsid w:val="00142B71"/>
    <w:rsid w:val="00142BDC"/>
    <w:rsid w:val="00142D93"/>
    <w:rsid w:val="00142EE8"/>
    <w:rsid w:val="001431BA"/>
    <w:rsid w:val="00143421"/>
    <w:rsid w:val="00143B67"/>
    <w:rsid w:val="00143D1C"/>
    <w:rsid w:val="00144651"/>
    <w:rsid w:val="00144783"/>
    <w:rsid w:val="00144AF2"/>
    <w:rsid w:val="00144B19"/>
    <w:rsid w:val="00145355"/>
    <w:rsid w:val="00145515"/>
    <w:rsid w:val="0014566F"/>
    <w:rsid w:val="001459A7"/>
    <w:rsid w:val="00145A79"/>
    <w:rsid w:val="00145BEA"/>
    <w:rsid w:val="00145C83"/>
    <w:rsid w:val="00145CBC"/>
    <w:rsid w:val="00145CBD"/>
    <w:rsid w:val="00145D00"/>
    <w:rsid w:val="00146943"/>
    <w:rsid w:val="00146C80"/>
    <w:rsid w:val="00146DAF"/>
    <w:rsid w:val="00146FAB"/>
    <w:rsid w:val="001470E9"/>
    <w:rsid w:val="00147216"/>
    <w:rsid w:val="00147492"/>
    <w:rsid w:val="00147529"/>
    <w:rsid w:val="00147583"/>
    <w:rsid w:val="001475CE"/>
    <w:rsid w:val="001476A1"/>
    <w:rsid w:val="001476E7"/>
    <w:rsid w:val="00147868"/>
    <w:rsid w:val="00147883"/>
    <w:rsid w:val="001478BA"/>
    <w:rsid w:val="00147BE4"/>
    <w:rsid w:val="001501AC"/>
    <w:rsid w:val="0015053E"/>
    <w:rsid w:val="001507A6"/>
    <w:rsid w:val="00150B14"/>
    <w:rsid w:val="00150CB8"/>
    <w:rsid w:val="00150FEA"/>
    <w:rsid w:val="0015117C"/>
    <w:rsid w:val="001511C0"/>
    <w:rsid w:val="001513EA"/>
    <w:rsid w:val="00151CAA"/>
    <w:rsid w:val="00151F30"/>
    <w:rsid w:val="001522B1"/>
    <w:rsid w:val="00152709"/>
    <w:rsid w:val="001529C6"/>
    <w:rsid w:val="00152A1C"/>
    <w:rsid w:val="00152AC4"/>
    <w:rsid w:val="00152FE4"/>
    <w:rsid w:val="00153360"/>
    <w:rsid w:val="00153ADB"/>
    <w:rsid w:val="00153F51"/>
    <w:rsid w:val="0015421E"/>
    <w:rsid w:val="00154231"/>
    <w:rsid w:val="00154367"/>
    <w:rsid w:val="00154CE0"/>
    <w:rsid w:val="00154EEA"/>
    <w:rsid w:val="001554FF"/>
    <w:rsid w:val="001555C2"/>
    <w:rsid w:val="00155F1E"/>
    <w:rsid w:val="00155FFD"/>
    <w:rsid w:val="0015678F"/>
    <w:rsid w:val="00156F65"/>
    <w:rsid w:val="00156FFA"/>
    <w:rsid w:val="001570FF"/>
    <w:rsid w:val="0015734C"/>
    <w:rsid w:val="001575CC"/>
    <w:rsid w:val="00160688"/>
    <w:rsid w:val="001606C4"/>
    <w:rsid w:val="0016070F"/>
    <w:rsid w:val="00160ADE"/>
    <w:rsid w:val="00160D38"/>
    <w:rsid w:val="00160D4F"/>
    <w:rsid w:val="00160D6D"/>
    <w:rsid w:val="00160FEB"/>
    <w:rsid w:val="0016106F"/>
    <w:rsid w:val="0016113C"/>
    <w:rsid w:val="0016148C"/>
    <w:rsid w:val="00161735"/>
    <w:rsid w:val="001618E6"/>
    <w:rsid w:val="0016199F"/>
    <w:rsid w:val="00161A07"/>
    <w:rsid w:val="00161AB4"/>
    <w:rsid w:val="00161BAF"/>
    <w:rsid w:val="00161FC5"/>
    <w:rsid w:val="0016209A"/>
    <w:rsid w:val="00162713"/>
    <w:rsid w:val="00162794"/>
    <w:rsid w:val="001627A8"/>
    <w:rsid w:val="001628EC"/>
    <w:rsid w:val="00162A65"/>
    <w:rsid w:val="00162C22"/>
    <w:rsid w:val="00163044"/>
    <w:rsid w:val="001632C9"/>
    <w:rsid w:val="001633B3"/>
    <w:rsid w:val="0016358D"/>
    <w:rsid w:val="001636EF"/>
    <w:rsid w:val="001637A2"/>
    <w:rsid w:val="00163F1D"/>
    <w:rsid w:val="0016408A"/>
    <w:rsid w:val="00164241"/>
    <w:rsid w:val="00164515"/>
    <w:rsid w:val="0016456A"/>
    <w:rsid w:val="0016492F"/>
    <w:rsid w:val="00164950"/>
    <w:rsid w:val="00164C15"/>
    <w:rsid w:val="0016578C"/>
    <w:rsid w:val="001657E9"/>
    <w:rsid w:val="00165A50"/>
    <w:rsid w:val="00166317"/>
    <w:rsid w:val="001663B5"/>
    <w:rsid w:val="0016698E"/>
    <w:rsid w:val="00166CFE"/>
    <w:rsid w:val="00166FC3"/>
    <w:rsid w:val="00167159"/>
    <w:rsid w:val="0016719A"/>
    <w:rsid w:val="0016771C"/>
    <w:rsid w:val="00167819"/>
    <w:rsid w:val="00167A7B"/>
    <w:rsid w:val="00167EC0"/>
    <w:rsid w:val="00170133"/>
    <w:rsid w:val="0017018B"/>
    <w:rsid w:val="001702D4"/>
    <w:rsid w:val="00170460"/>
    <w:rsid w:val="001704EE"/>
    <w:rsid w:val="00170754"/>
    <w:rsid w:val="001707B1"/>
    <w:rsid w:val="00170AB1"/>
    <w:rsid w:val="00170AFD"/>
    <w:rsid w:val="00170D50"/>
    <w:rsid w:val="00170F70"/>
    <w:rsid w:val="00171247"/>
    <w:rsid w:val="001715DB"/>
    <w:rsid w:val="00171763"/>
    <w:rsid w:val="001717DE"/>
    <w:rsid w:val="00171B89"/>
    <w:rsid w:val="00172424"/>
    <w:rsid w:val="00172BCF"/>
    <w:rsid w:val="00173887"/>
    <w:rsid w:val="00173A4C"/>
    <w:rsid w:val="00173AC3"/>
    <w:rsid w:val="00173C4C"/>
    <w:rsid w:val="00173DF3"/>
    <w:rsid w:val="00174393"/>
    <w:rsid w:val="00174826"/>
    <w:rsid w:val="00174E83"/>
    <w:rsid w:val="00174EA5"/>
    <w:rsid w:val="0017546F"/>
    <w:rsid w:val="00175499"/>
    <w:rsid w:val="0017558D"/>
    <w:rsid w:val="00175929"/>
    <w:rsid w:val="001759F9"/>
    <w:rsid w:val="00175CF1"/>
    <w:rsid w:val="001760AD"/>
    <w:rsid w:val="00176276"/>
    <w:rsid w:val="001775CF"/>
    <w:rsid w:val="001776A3"/>
    <w:rsid w:val="001776B7"/>
    <w:rsid w:val="001778BC"/>
    <w:rsid w:val="001779A8"/>
    <w:rsid w:val="00177D54"/>
    <w:rsid w:val="00180429"/>
    <w:rsid w:val="00180E0B"/>
    <w:rsid w:val="00181099"/>
    <w:rsid w:val="00181217"/>
    <w:rsid w:val="001813D9"/>
    <w:rsid w:val="00181B29"/>
    <w:rsid w:val="00181C8E"/>
    <w:rsid w:val="00181E54"/>
    <w:rsid w:val="0018260E"/>
    <w:rsid w:val="001826AC"/>
    <w:rsid w:val="001828E5"/>
    <w:rsid w:val="00182F16"/>
    <w:rsid w:val="00183254"/>
    <w:rsid w:val="001834B1"/>
    <w:rsid w:val="001836D4"/>
    <w:rsid w:val="00183A66"/>
    <w:rsid w:val="00184081"/>
    <w:rsid w:val="001840A1"/>
    <w:rsid w:val="00184321"/>
    <w:rsid w:val="0018435D"/>
    <w:rsid w:val="00184372"/>
    <w:rsid w:val="001844A1"/>
    <w:rsid w:val="001845A2"/>
    <w:rsid w:val="001847E1"/>
    <w:rsid w:val="0018490B"/>
    <w:rsid w:val="00184B74"/>
    <w:rsid w:val="00184EA1"/>
    <w:rsid w:val="00185007"/>
    <w:rsid w:val="001852D7"/>
    <w:rsid w:val="00185597"/>
    <w:rsid w:val="00185673"/>
    <w:rsid w:val="001857F5"/>
    <w:rsid w:val="00185AB0"/>
    <w:rsid w:val="00185CE4"/>
    <w:rsid w:val="00185E0D"/>
    <w:rsid w:val="00185E92"/>
    <w:rsid w:val="0018601D"/>
    <w:rsid w:val="00186126"/>
    <w:rsid w:val="001862F5"/>
    <w:rsid w:val="00186339"/>
    <w:rsid w:val="00186472"/>
    <w:rsid w:val="0018658D"/>
    <w:rsid w:val="0018674A"/>
    <w:rsid w:val="00186EE0"/>
    <w:rsid w:val="001873CC"/>
    <w:rsid w:val="00187765"/>
    <w:rsid w:val="00187B91"/>
    <w:rsid w:val="00187BA5"/>
    <w:rsid w:val="0019016B"/>
    <w:rsid w:val="00190AE8"/>
    <w:rsid w:val="00190CB7"/>
    <w:rsid w:val="00190F82"/>
    <w:rsid w:val="00191524"/>
    <w:rsid w:val="00191670"/>
    <w:rsid w:val="00191B64"/>
    <w:rsid w:val="00191BBE"/>
    <w:rsid w:val="00191DC8"/>
    <w:rsid w:val="001926E0"/>
    <w:rsid w:val="00192A43"/>
    <w:rsid w:val="00193167"/>
    <w:rsid w:val="00193506"/>
    <w:rsid w:val="001936CE"/>
    <w:rsid w:val="001937AB"/>
    <w:rsid w:val="0019398C"/>
    <w:rsid w:val="00193F52"/>
    <w:rsid w:val="00194244"/>
    <w:rsid w:val="00194317"/>
    <w:rsid w:val="00194631"/>
    <w:rsid w:val="00194A59"/>
    <w:rsid w:val="001950C4"/>
    <w:rsid w:val="001950F6"/>
    <w:rsid w:val="001955F5"/>
    <w:rsid w:val="001958BE"/>
    <w:rsid w:val="00195E4E"/>
    <w:rsid w:val="00195F38"/>
    <w:rsid w:val="00195F5B"/>
    <w:rsid w:val="00195FE1"/>
    <w:rsid w:val="0019618D"/>
    <w:rsid w:val="00196265"/>
    <w:rsid w:val="00196535"/>
    <w:rsid w:val="00196810"/>
    <w:rsid w:val="0019682D"/>
    <w:rsid w:val="00196F27"/>
    <w:rsid w:val="001975B3"/>
    <w:rsid w:val="001977FE"/>
    <w:rsid w:val="00197AB7"/>
    <w:rsid w:val="00197CB7"/>
    <w:rsid w:val="00197DCB"/>
    <w:rsid w:val="001A0025"/>
    <w:rsid w:val="001A00FB"/>
    <w:rsid w:val="001A0A07"/>
    <w:rsid w:val="001A0A69"/>
    <w:rsid w:val="001A0B97"/>
    <w:rsid w:val="001A0F6B"/>
    <w:rsid w:val="001A1076"/>
    <w:rsid w:val="001A10D7"/>
    <w:rsid w:val="001A1467"/>
    <w:rsid w:val="001A14D7"/>
    <w:rsid w:val="001A178D"/>
    <w:rsid w:val="001A188F"/>
    <w:rsid w:val="001A19C7"/>
    <w:rsid w:val="001A1A1D"/>
    <w:rsid w:val="001A202A"/>
    <w:rsid w:val="001A2B20"/>
    <w:rsid w:val="001A2C0E"/>
    <w:rsid w:val="001A2C55"/>
    <w:rsid w:val="001A339F"/>
    <w:rsid w:val="001A364F"/>
    <w:rsid w:val="001A38F9"/>
    <w:rsid w:val="001A39D4"/>
    <w:rsid w:val="001A3B2B"/>
    <w:rsid w:val="001A3B5D"/>
    <w:rsid w:val="001A3D70"/>
    <w:rsid w:val="001A40D3"/>
    <w:rsid w:val="001A463D"/>
    <w:rsid w:val="001A4A9E"/>
    <w:rsid w:val="001A4AB1"/>
    <w:rsid w:val="001A4CBD"/>
    <w:rsid w:val="001A4F5B"/>
    <w:rsid w:val="001A51D7"/>
    <w:rsid w:val="001A5216"/>
    <w:rsid w:val="001A54D2"/>
    <w:rsid w:val="001A5C07"/>
    <w:rsid w:val="001A5F47"/>
    <w:rsid w:val="001A6058"/>
    <w:rsid w:val="001A6299"/>
    <w:rsid w:val="001A63BA"/>
    <w:rsid w:val="001A676A"/>
    <w:rsid w:val="001A6AFA"/>
    <w:rsid w:val="001A6B28"/>
    <w:rsid w:val="001A6B68"/>
    <w:rsid w:val="001A719B"/>
    <w:rsid w:val="001A73B0"/>
    <w:rsid w:val="001A74E9"/>
    <w:rsid w:val="001A751D"/>
    <w:rsid w:val="001A7740"/>
    <w:rsid w:val="001A79CD"/>
    <w:rsid w:val="001A7A82"/>
    <w:rsid w:val="001A7CAC"/>
    <w:rsid w:val="001A7CD3"/>
    <w:rsid w:val="001A7DE1"/>
    <w:rsid w:val="001A7E17"/>
    <w:rsid w:val="001B0317"/>
    <w:rsid w:val="001B0752"/>
    <w:rsid w:val="001B082C"/>
    <w:rsid w:val="001B08F1"/>
    <w:rsid w:val="001B0AA1"/>
    <w:rsid w:val="001B0B53"/>
    <w:rsid w:val="001B0BB6"/>
    <w:rsid w:val="001B1149"/>
    <w:rsid w:val="001B11A5"/>
    <w:rsid w:val="001B14D1"/>
    <w:rsid w:val="001B15A8"/>
    <w:rsid w:val="001B168C"/>
    <w:rsid w:val="001B1723"/>
    <w:rsid w:val="001B1764"/>
    <w:rsid w:val="001B179F"/>
    <w:rsid w:val="001B17C3"/>
    <w:rsid w:val="001B1995"/>
    <w:rsid w:val="001B1D68"/>
    <w:rsid w:val="001B1E4F"/>
    <w:rsid w:val="001B20CF"/>
    <w:rsid w:val="001B2232"/>
    <w:rsid w:val="001B2403"/>
    <w:rsid w:val="001B2820"/>
    <w:rsid w:val="001B2CD9"/>
    <w:rsid w:val="001B3195"/>
    <w:rsid w:val="001B3540"/>
    <w:rsid w:val="001B3628"/>
    <w:rsid w:val="001B38A7"/>
    <w:rsid w:val="001B398F"/>
    <w:rsid w:val="001B3AB2"/>
    <w:rsid w:val="001B3D80"/>
    <w:rsid w:val="001B3FEC"/>
    <w:rsid w:val="001B4458"/>
    <w:rsid w:val="001B4471"/>
    <w:rsid w:val="001B4B1E"/>
    <w:rsid w:val="001B4FED"/>
    <w:rsid w:val="001B51D9"/>
    <w:rsid w:val="001B5350"/>
    <w:rsid w:val="001B53BC"/>
    <w:rsid w:val="001B5687"/>
    <w:rsid w:val="001B5848"/>
    <w:rsid w:val="001B58F3"/>
    <w:rsid w:val="001B5977"/>
    <w:rsid w:val="001B5B34"/>
    <w:rsid w:val="001B5F89"/>
    <w:rsid w:val="001B5FB6"/>
    <w:rsid w:val="001B604F"/>
    <w:rsid w:val="001B697A"/>
    <w:rsid w:val="001B6A17"/>
    <w:rsid w:val="001B7098"/>
    <w:rsid w:val="001B7370"/>
    <w:rsid w:val="001B75FE"/>
    <w:rsid w:val="001B7AF2"/>
    <w:rsid w:val="001C05A0"/>
    <w:rsid w:val="001C0912"/>
    <w:rsid w:val="001C0A75"/>
    <w:rsid w:val="001C0AA9"/>
    <w:rsid w:val="001C0BE0"/>
    <w:rsid w:val="001C0E07"/>
    <w:rsid w:val="001C13CF"/>
    <w:rsid w:val="001C1719"/>
    <w:rsid w:val="001C1C7A"/>
    <w:rsid w:val="001C1CB2"/>
    <w:rsid w:val="001C1E72"/>
    <w:rsid w:val="001C1FA2"/>
    <w:rsid w:val="001C1FD6"/>
    <w:rsid w:val="001C22C0"/>
    <w:rsid w:val="001C2317"/>
    <w:rsid w:val="001C2435"/>
    <w:rsid w:val="001C24AD"/>
    <w:rsid w:val="001C2657"/>
    <w:rsid w:val="001C285C"/>
    <w:rsid w:val="001C28EB"/>
    <w:rsid w:val="001C2B85"/>
    <w:rsid w:val="001C2CFB"/>
    <w:rsid w:val="001C3399"/>
    <w:rsid w:val="001C350F"/>
    <w:rsid w:val="001C38EC"/>
    <w:rsid w:val="001C42DF"/>
    <w:rsid w:val="001C4646"/>
    <w:rsid w:val="001C4658"/>
    <w:rsid w:val="001C4AA1"/>
    <w:rsid w:val="001C4CAF"/>
    <w:rsid w:val="001C4D17"/>
    <w:rsid w:val="001C4F67"/>
    <w:rsid w:val="001C5500"/>
    <w:rsid w:val="001C55FA"/>
    <w:rsid w:val="001C5631"/>
    <w:rsid w:val="001C5C97"/>
    <w:rsid w:val="001C5E83"/>
    <w:rsid w:val="001C5FB6"/>
    <w:rsid w:val="001C6102"/>
    <w:rsid w:val="001C66D6"/>
    <w:rsid w:val="001C6736"/>
    <w:rsid w:val="001C695A"/>
    <w:rsid w:val="001C69CA"/>
    <w:rsid w:val="001C6C57"/>
    <w:rsid w:val="001C6D58"/>
    <w:rsid w:val="001C6DAB"/>
    <w:rsid w:val="001C713C"/>
    <w:rsid w:val="001C73B5"/>
    <w:rsid w:val="001C784C"/>
    <w:rsid w:val="001C78FD"/>
    <w:rsid w:val="001C7C70"/>
    <w:rsid w:val="001D0060"/>
    <w:rsid w:val="001D0418"/>
    <w:rsid w:val="001D04CB"/>
    <w:rsid w:val="001D07F6"/>
    <w:rsid w:val="001D0A89"/>
    <w:rsid w:val="001D0CA0"/>
    <w:rsid w:val="001D0D6A"/>
    <w:rsid w:val="001D1164"/>
    <w:rsid w:val="001D1288"/>
    <w:rsid w:val="001D12A9"/>
    <w:rsid w:val="001D1347"/>
    <w:rsid w:val="001D1416"/>
    <w:rsid w:val="001D16EC"/>
    <w:rsid w:val="001D1B92"/>
    <w:rsid w:val="001D1EF0"/>
    <w:rsid w:val="001D275D"/>
    <w:rsid w:val="001D2AD2"/>
    <w:rsid w:val="001D2CA9"/>
    <w:rsid w:val="001D34A4"/>
    <w:rsid w:val="001D35EE"/>
    <w:rsid w:val="001D423A"/>
    <w:rsid w:val="001D42B0"/>
    <w:rsid w:val="001D4CE8"/>
    <w:rsid w:val="001D5382"/>
    <w:rsid w:val="001D57E6"/>
    <w:rsid w:val="001D5A95"/>
    <w:rsid w:val="001D5B4E"/>
    <w:rsid w:val="001D5B5B"/>
    <w:rsid w:val="001D5CD2"/>
    <w:rsid w:val="001D5CD5"/>
    <w:rsid w:val="001D5D96"/>
    <w:rsid w:val="001D5EBE"/>
    <w:rsid w:val="001D6297"/>
    <w:rsid w:val="001D62DB"/>
    <w:rsid w:val="001D655F"/>
    <w:rsid w:val="001D6650"/>
    <w:rsid w:val="001D66F3"/>
    <w:rsid w:val="001D67FD"/>
    <w:rsid w:val="001D6B06"/>
    <w:rsid w:val="001D702C"/>
    <w:rsid w:val="001D70FA"/>
    <w:rsid w:val="001D71F4"/>
    <w:rsid w:val="001D729E"/>
    <w:rsid w:val="001D76E8"/>
    <w:rsid w:val="001D7A0F"/>
    <w:rsid w:val="001D7DC9"/>
    <w:rsid w:val="001E0114"/>
    <w:rsid w:val="001E08D3"/>
    <w:rsid w:val="001E0D51"/>
    <w:rsid w:val="001E0DD0"/>
    <w:rsid w:val="001E0E03"/>
    <w:rsid w:val="001E108C"/>
    <w:rsid w:val="001E12C5"/>
    <w:rsid w:val="001E152C"/>
    <w:rsid w:val="001E15DD"/>
    <w:rsid w:val="001E17FF"/>
    <w:rsid w:val="001E195D"/>
    <w:rsid w:val="001E197F"/>
    <w:rsid w:val="001E1AF1"/>
    <w:rsid w:val="001E1B60"/>
    <w:rsid w:val="001E1C81"/>
    <w:rsid w:val="001E229E"/>
    <w:rsid w:val="001E22D2"/>
    <w:rsid w:val="001E2A3B"/>
    <w:rsid w:val="001E2A86"/>
    <w:rsid w:val="001E2C1C"/>
    <w:rsid w:val="001E2EE3"/>
    <w:rsid w:val="001E3108"/>
    <w:rsid w:val="001E31D0"/>
    <w:rsid w:val="001E341D"/>
    <w:rsid w:val="001E3614"/>
    <w:rsid w:val="001E37DE"/>
    <w:rsid w:val="001E3FD4"/>
    <w:rsid w:val="001E43B8"/>
    <w:rsid w:val="001E450B"/>
    <w:rsid w:val="001E4645"/>
    <w:rsid w:val="001E4A85"/>
    <w:rsid w:val="001E4C18"/>
    <w:rsid w:val="001E4F49"/>
    <w:rsid w:val="001E5096"/>
    <w:rsid w:val="001E5535"/>
    <w:rsid w:val="001E5990"/>
    <w:rsid w:val="001E5F61"/>
    <w:rsid w:val="001E67E8"/>
    <w:rsid w:val="001E696D"/>
    <w:rsid w:val="001E69F5"/>
    <w:rsid w:val="001E6AC4"/>
    <w:rsid w:val="001E6C60"/>
    <w:rsid w:val="001E6D87"/>
    <w:rsid w:val="001E6E8A"/>
    <w:rsid w:val="001E7160"/>
    <w:rsid w:val="001E7274"/>
    <w:rsid w:val="001E72F1"/>
    <w:rsid w:val="001E7653"/>
    <w:rsid w:val="001E7728"/>
    <w:rsid w:val="001E77E5"/>
    <w:rsid w:val="001E7AB1"/>
    <w:rsid w:val="001F02FF"/>
    <w:rsid w:val="001F0E29"/>
    <w:rsid w:val="001F0FE3"/>
    <w:rsid w:val="001F11A3"/>
    <w:rsid w:val="001F14D0"/>
    <w:rsid w:val="001F14DE"/>
    <w:rsid w:val="001F152D"/>
    <w:rsid w:val="001F1598"/>
    <w:rsid w:val="001F164A"/>
    <w:rsid w:val="001F167E"/>
    <w:rsid w:val="001F1E3A"/>
    <w:rsid w:val="001F1EE2"/>
    <w:rsid w:val="001F22F5"/>
    <w:rsid w:val="001F2456"/>
    <w:rsid w:val="001F25C4"/>
    <w:rsid w:val="001F263F"/>
    <w:rsid w:val="001F27AF"/>
    <w:rsid w:val="001F2869"/>
    <w:rsid w:val="001F2BC0"/>
    <w:rsid w:val="001F2C0D"/>
    <w:rsid w:val="001F2F73"/>
    <w:rsid w:val="001F2FFE"/>
    <w:rsid w:val="001F3692"/>
    <w:rsid w:val="001F385A"/>
    <w:rsid w:val="001F3942"/>
    <w:rsid w:val="001F3FB2"/>
    <w:rsid w:val="001F419E"/>
    <w:rsid w:val="001F4346"/>
    <w:rsid w:val="001F44C5"/>
    <w:rsid w:val="001F4C44"/>
    <w:rsid w:val="001F52D9"/>
    <w:rsid w:val="001F5F74"/>
    <w:rsid w:val="001F6973"/>
    <w:rsid w:val="001F6A2C"/>
    <w:rsid w:val="001F6A43"/>
    <w:rsid w:val="001F6C7A"/>
    <w:rsid w:val="001F6E45"/>
    <w:rsid w:val="001F715A"/>
    <w:rsid w:val="001F7179"/>
    <w:rsid w:val="001F754F"/>
    <w:rsid w:val="001F7573"/>
    <w:rsid w:val="001F76B5"/>
    <w:rsid w:val="001F76BA"/>
    <w:rsid w:val="001F7898"/>
    <w:rsid w:val="001F78AD"/>
    <w:rsid w:val="001F7ACB"/>
    <w:rsid w:val="001F7C57"/>
    <w:rsid w:val="001F7F24"/>
    <w:rsid w:val="0020028A"/>
    <w:rsid w:val="0020046B"/>
    <w:rsid w:val="002008F5"/>
    <w:rsid w:val="0020097B"/>
    <w:rsid w:val="00200F37"/>
    <w:rsid w:val="00201706"/>
    <w:rsid w:val="002017D6"/>
    <w:rsid w:val="002022BB"/>
    <w:rsid w:val="002025B5"/>
    <w:rsid w:val="002027E3"/>
    <w:rsid w:val="00202A8F"/>
    <w:rsid w:val="00202E58"/>
    <w:rsid w:val="00202EA1"/>
    <w:rsid w:val="002036A0"/>
    <w:rsid w:val="00203D00"/>
    <w:rsid w:val="00204022"/>
    <w:rsid w:val="002040C0"/>
    <w:rsid w:val="002043CE"/>
    <w:rsid w:val="0020463F"/>
    <w:rsid w:val="0020493B"/>
    <w:rsid w:val="00204E5E"/>
    <w:rsid w:val="00204F4B"/>
    <w:rsid w:val="00205E0E"/>
    <w:rsid w:val="00206B5D"/>
    <w:rsid w:val="00206D31"/>
    <w:rsid w:val="00207007"/>
    <w:rsid w:val="002070C9"/>
    <w:rsid w:val="002074E3"/>
    <w:rsid w:val="002075F6"/>
    <w:rsid w:val="00207CB5"/>
    <w:rsid w:val="00207D89"/>
    <w:rsid w:val="00207F7B"/>
    <w:rsid w:val="002103A4"/>
    <w:rsid w:val="002103E4"/>
    <w:rsid w:val="002104E7"/>
    <w:rsid w:val="0021083B"/>
    <w:rsid w:val="00210B65"/>
    <w:rsid w:val="00210C09"/>
    <w:rsid w:val="00210FF8"/>
    <w:rsid w:val="002110B8"/>
    <w:rsid w:val="00211555"/>
    <w:rsid w:val="0021168B"/>
    <w:rsid w:val="00211C40"/>
    <w:rsid w:val="00212277"/>
    <w:rsid w:val="0021232D"/>
    <w:rsid w:val="00212CDE"/>
    <w:rsid w:val="00212E25"/>
    <w:rsid w:val="00212EED"/>
    <w:rsid w:val="00212F46"/>
    <w:rsid w:val="00213D2C"/>
    <w:rsid w:val="00213FC6"/>
    <w:rsid w:val="00214365"/>
    <w:rsid w:val="002149DE"/>
    <w:rsid w:val="002149EF"/>
    <w:rsid w:val="00214BC4"/>
    <w:rsid w:val="00215236"/>
    <w:rsid w:val="0021528D"/>
    <w:rsid w:val="00215645"/>
    <w:rsid w:val="0021599E"/>
    <w:rsid w:val="00215B05"/>
    <w:rsid w:val="00216237"/>
    <w:rsid w:val="00216565"/>
    <w:rsid w:val="00216951"/>
    <w:rsid w:val="00216AA0"/>
    <w:rsid w:val="00216AF3"/>
    <w:rsid w:val="00217390"/>
    <w:rsid w:val="002178E5"/>
    <w:rsid w:val="00217C41"/>
    <w:rsid w:val="00217C51"/>
    <w:rsid w:val="00220041"/>
    <w:rsid w:val="00220344"/>
    <w:rsid w:val="002203AF"/>
    <w:rsid w:val="00220533"/>
    <w:rsid w:val="00220710"/>
    <w:rsid w:val="0022098C"/>
    <w:rsid w:val="00220A46"/>
    <w:rsid w:val="00220A76"/>
    <w:rsid w:val="00220BFF"/>
    <w:rsid w:val="00220DFE"/>
    <w:rsid w:val="00221259"/>
    <w:rsid w:val="00221403"/>
    <w:rsid w:val="00221548"/>
    <w:rsid w:val="002215E2"/>
    <w:rsid w:val="00221BE9"/>
    <w:rsid w:val="00221D3D"/>
    <w:rsid w:val="00222289"/>
    <w:rsid w:val="002225A6"/>
    <w:rsid w:val="0022276B"/>
    <w:rsid w:val="00222E4C"/>
    <w:rsid w:val="00222F79"/>
    <w:rsid w:val="002231C0"/>
    <w:rsid w:val="002232D7"/>
    <w:rsid w:val="002232EC"/>
    <w:rsid w:val="0022330D"/>
    <w:rsid w:val="0022366C"/>
    <w:rsid w:val="0022395E"/>
    <w:rsid w:val="00223B9D"/>
    <w:rsid w:val="00223BA4"/>
    <w:rsid w:val="00224168"/>
    <w:rsid w:val="00224461"/>
    <w:rsid w:val="002245F1"/>
    <w:rsid w:val="00225184"/>
    <w:rsid w:val="00225925"/>
    <w:rsid w:val="0022626C"/>
    <w:rsid w:val="002262B6"/>
    <w:rsid w:val="002264CA"/>
    <w:rsid w:val="0022666C"/>
    <w:rsid w:val="002269AD"/>
    <w:rsid w:val="00226B0E"/>
    <w:rsid w:val="00226D45"/>
    <w:rsid w:val="00226F0D"/>
    <w:rsid w:val="00226FA0"/>
    <w:rsid w:val="0022761F"/>
    <w:rsid w:val="00227972"/>
    <w:rsid w:val="00227ACA"/>
    <w:rsid w:val="00227E2D"/>
    <w:rsid w:val="00230561"/>
    <w:rsid w:val="002305CF"/>
    <w:rsid w:val="002306F3"/>
    <w:rsid w:val="002306FD"/>
    <w:rsid w:val="00230928"/>
    <w:rsid w:val="00230A9B"/>
    <w:rsid w:val="00230C8A"/>
    <w:rsid w:val="00231000"/>
    <w:rsid w:val="00231179"/>
    <w:rsid w:val="0023132A"/>
    <w:rsid w:val="0023174A"/>
    <w:rsid w:val="002318DE"/>
    <w:rsid w:val="00231D52"/>
    <w:rsid w:val="00231D59"/>
    <w:rsid w:val="00232456"/>
    <w:rsid w:val="00232A81"/>
    <w:rsid w:val="00232E0F"/>
    <w:rsid w:val="0023318E"/>
    <w:rsid w:val="0023326E"/>
    <w:rsid w:val="002333D3"/>
    <w:rsid w:val="00233756"/>
    <w:rsid w:val="002337DC"/>
    <w:rsid w:val="0023381C"/>
    <w:rsid w:val="00233B83"/>
    <w:rsid w:val="00233CD7"/>
    <w:rsid w:val="00234048"/>
    <w:rsid w:val="00234126"/>
    <w:rsid w:val="00234520"/>
    <w:rsid w:val="0023455D"/>
    <w:rsid w:val="00234921"/>
    <w:rsid w:val="00234986"/>
    <w:rsid w:val="00234BAD"/>
    <w:rsid w:val="00235033"/>
    <w:rsid w:val="00235417"/>
    <w:rsid w:val="0023544B"/>
    <w:rsid w:val="002355CA"/>
    <w:rsid w:val="00235656"/>
    <w:rsid w:val="00236075"/>
    <w:rsid w:val="00236177"/>
    <w:rsid w:val="00236638"/>
    <w:rsid w:val="00236693"/>
    <w:rsid w:val="00236C18"/>
    <w:rsid w:val="00236C4F"/>
    <w:rsid w:val="00236D05"/>
    <w:rsid w:val="00236DAF"/>
    <w:rsid w:val="002374EB"/>
    <w:rsid w:val="00237710"/>
    <w:rsid w:val="0023774F"/>
    <w:rsid w:val="00237C45"/>
    <w:rsid w:val="00237DE5"/>
    <w:rsid w:val="00240002"/>
    <w:rsid w:val="00240123"/>
    <w:rsid w:val="00240453"/>
    <w:rsid w:val="00240553"/>
    <w:rsid w:val="002405C4"/>
    <w:rsid w:val="002407B7"/>
    <w:rsid w:val="002407FF"/>
    <w:rsid w:val="00240C42"/>
    <w:rsid w:val="00240C5A"/>
    <w:rsid w:val="00240ED8"/>
    <w:rsid w:val="00240F7E"/>
    <w:rsid w:val="00240FA8"/>
    <w:rsid w:val="00241098"/>
    <w:rsid w:val="00241546"/>
    <w:rsid w:val="0024167F"/>
    <w:rsid w:val="002417A5"/>
    <w:rsid w:val="00241928"/>
    <w:rsid w:val="00241AEB"/>
    <w:rsid w:val="0024251A"/>
    <w:rsid w:val="002425BF"/>
    <w:rsid w:val="00242930"/>
    <w:rsid w:val="00242F31"/>
    <w:rsid w:val="00242F45"/>
    <w:rsid w:val="00243475"/>
    <w:rsid w:val="002436BA"/>
    <w:rsid w:val="002437C1"/>
    <w:rsid w:val="00243F26"/>
    <w:rsid w:val="00244002"/>
    <w:rsid w:val="0024455A"/>
    <w:rsid w:val="00244603"/>
    <w:rsid w:val="00244840"/>
    <w:rsid w:val="0024553D"/>
    <w:rsid w:val="00245887"/>
    <w:rsid w:val="002458B2"/>
    <w:rsid w:val="00245A3E"/>
    <w:rsid w:val="00246382"/>
    <w:rsid w:val="00246673"/>
    <w:rsid w:val="002467F2"/>
    <w:rsid w:val="00246915"/>
    <w:rsid w:val="00246B97"/>
    <w:rsid w:val="00247008"/>
    <w:rsid w:val="0024707B"/>
    <w:rsid w:val="002470EC"/>
    <w:rsid w:val="002473E6"/>
    <w:rsid w:val="00247821"/>
    <w:rsid w:val="00247B15"/>
    <w:rsid w:val="00247CD9"/>
    <w:rsid w:val="002501EE"/>
    <w:rsid w:val="002504C9"/>
    <w:rsid w:val="0025079A"/>
    <w:rsid w:val="002507F6"/>
    <w:rsid w:val="00250A3D"/>
    <w:rsid w:val="00250C7C"/>
    <w:rsid w:val="00250CAC"/>
    <w:rsid w:val="00250CB5"/>
    <w:rsid w:val="00250D5B"/>
    <w:rsid w:val="00250DDF"/>
    <w:rsid w:val="0025101B"/>
    <w:rsid w:val="002510ED"/>
    <w:rsid w:val="002517F6"/>
    <w:rsid w:val="002518D4"/>
    <w:rsid w:val="00251F78"/>
    <w:rsid w:val="00252190"/>
    <w:rsid w:val="00252252"/>
    <w:rsid w:val="00252424"/>
    <w:rsid w:val="00252973"/>
    <w:rsid w:val="00252D91"/>
    <w:rsid w:val="0025313E"/>
    <w:rsid w:val="0025330D"/>
    <w:rsid w:val="0025363F"/>
    <w:rsid w:val="0025399F"/>
    <w:rsid w:val="00254292"/>
    <w:rsid w:val="00254584"/>
    <w:rsid w:val="0025473F"/>
    <w:rsid w:val="00254B21"/>
    <w:rsid w:val="00254CB1"/>
    <w:rsid w:val="00254DB7"/>
    <w:rsid w:val="00254F43"/>
    <w:rsid w:val="002556C7"/>
    <w:rsid w:val="00255940"/>
    <w:rsid w:val="00255997"/>
    <w:rsid w:val="00255B86"/>
    <w:rsid w:val="00255D28"/>
    <w:rsid w:val="00255EE8"/>
    <w:rsid w:val="00255FE0"/>
    <w:rsid w:val="0025611B"/>
    <w:rsid w:val="002562EA"/>
    <w:rsid w:val="002563AA"/>
    <w:rsid w:val="002565FF"/>
    <w:rsid w:val="00256602"/>
    <w:rsid w:val="002568A2"/>
    <w:rsid w:val="00256C70"/>
    <w:rsid w:val="00256CA9"/>
    <w:rsid w:val="00256D38"/>
    <w:rsid w:val="00256E52"/>
    <w:rsid w:val="00256FC4"/>
    <w:rsid w:val="002576A3"/>
    <w:rsid w:val="002579CF"/>
    <w:rsid w:val="00257B9F"/>
    <w:rsid w:val="00257F8F"/>
    <w:rsid w:val="002601B0"/>
    <w:rsid w:val="0026036C"/>
    <w:rsid w:val="002603D5"/>
    <w:rsid w:val="0026076C"/>
    <w:rsid w:val="0026093D"/>
    <w:rsid w:val="00260E39"/>
    <w:rsid w:val="00260EC9"/>
    <w:rsid w:val="00260F56"/>
    <w:rsid w:val="002610B6"/>
    <w:rsid w:val="00261446"/>
    <w:rsid w:val="00261579"/>
    <w:rsid w:val="002618E4"/>
    <w:rsid w:val="00261999"/>
    <w:rsid w:val="00261A2D"/>
    <w:rsid w:val="00262032"/>
    <w:rsid w:val="00262171"/>
    <w:rsid w:val="00262353"/>
    <w:rsid w:val="00262A4A"/>
    <w:rsid w:val="00262B92"/>
    <w:rsid w:val="00262DC9"/>
    <w:rsid w:val="00262E13"/>
    <w:rsid w:val="00262FCB"/>
    <w:rsid w:val="002632F7"/>
    <w:rsid w:val="00263527"/>
    <w:rsid w:val="002637C5"/>
    <w:rsid w:val="00263838"/>
    <w:rsid w:val="002639AD"/>
    <w:rsid w:val="00263AC7"/>
    <w:rsid w:val="002648C6"/>
    <w:rsid w:val="00264DA0"/>
    <w:rsid w:val="00264F68"/>
    <w:rsid w:val="00264FA1"/>
    <w:rsid w:val="00265090"/>
    <w:rsid w:val="0026530D"/>
    <w:rsid w:val="002653BF"/>
    <w:rsid w:val="00265634"/>
    <w:rsid w:val="0026598B"/>
    <w:rsid w:val="00265B88"/>
    <w:rsid w:val="00265DE1"/>
    <w:rsid w:val="002667C4"/>
    <w:rsid w:val="00266845"/>
    <w:rsid w:val="00266F77"/>
    <w:rsid w:val="00267336"/>
    <w:rsid w:val="002678E9"/>
    <w:rsid w:val="00267AD2"/>
    <w:rsid w:val="002704AA"/>
    <w:rsid w:val="00270D6C"/>
    <w:rsid w:val="00271530"/>
    <w:rsid w:val="002716F2"/>
    <w:rsid w:val="002717B8"/>
    <w:rsid w:val="002717FA"/>
    <w:rsid w:val="00271BA4"/>
    <w:rsid w:val="00271BDB"/>
    <w:rsid w:val="00271D0F"/>
    <w:rsid w:val="00271F7A"/>
    <w:rsid w:val="00272255"/>
    <w:rsid w:val="002725AD"/>
    <w:rsid w:val="0027263B"/>
    <w:rsid w:val="00272678"/>
    <w:rsid w:val="00273102"/>
    <w:rsid w:val="002734E8"/>
    <w:rsid w:val="0027362E"/>
    <w:rsid w:val="002736CA"/>
    <w:rsid w:val="00273754"/>
    <w:rsid w:val="00273955"/>
    <w:rsid w:val="00273C26"/>
    <w:rsid w:val="00273D38"/>
    <w:rsid w:val="00273EFE"/>
    <w:rsid w:val="00273F0E"/>
    <w:rsid w:val="00274076"/>
    <w:rsid w:val="002742C7"/>
    <w:rsid w:val="00274A6F"/>
    <w:rsid w:val="00274B66"/>
    <w:rsid w:val="0027500F"/>
    <w:rsid w:val="0027503C"/>
    <w:rsid w:val="002750CA"/>
    <w:rsid w:val="002753A1"/>
    <w:rsid w:val="002756ED"/>
    <w:rsid w:val="002756F9"/>
    <w:rsid w:val="002758A0"/>
    <w:rsid w:val="0027593E"/>
    <w:rsid w:val="00275E8C"/>
    <w:rsid w:val="0027629B"/>
    <w:rsid w:val="002767DA"/>
    <w:rsid w:val="00276B29"/>
    <w:rsid w:val="00276CA0"/>
    <w:rsid w:val="00276E7D"/>
    <w:rsid w:val="00276F4F"/>
    <w:rsid w:val="002774A0"/>
    <w:rsid w:val="002774C6"/>
    <w:rsid w:val="00280114"/>
    <w:rsid w:val="002804A6"/>
    <w:rsid w:val="00280532"/>
    <w:rsid w:val="00280C17"/>
    <w:rsid w:val="002817ED"/>
    <w:rsid w:val="00281962"/>
    <w:rsid w:val="00281AEE"/>
    <w:rsid w:val="00281FF4"/>
    <w:rsid w:val="0028211E"/>
    <w:rsid w:val="00282151"/>
    <w:rsid w:val="002821DC"/>
    <w:rsid w:val="00282402"/>
    <w:rsid w:val="002825C1"/>
    <w:rsid w:val="0028280A"/>
    <w:rsid w:val="00282872"/>
    <w:rsid w:val="00282FE5"/>
    <w:rsid w:val="00283277"/>
    <w:rsid w:val="002832DA"/>
    <w:rsid w:val="0028373F"/>
    <w:rsid w:val="0028382E"/>
    <w:rsid w:val="00283930"/>
    <w:rsid w:val="00283DC9"/>
    <w:rsid w:val="00283DE9"/>
    <w:rsid w:val="002842B2"/>
    <w:rsid w:val="0028499E"/>
    <w:rsid w:val="00284BE3"/>
    <w:rsid w:val="0028543D"/>
    <w:rsid w:val="00285885"/>
    <w:rsid w:val="00285AF9"/>
    <w:rsid w:val="00285B66"/>
    <w:rsid w:val="00286579"/>
    <w:rsid w:val="00286BF0"/>
    <w:rsid w:val="00286CF7"/>
    <w:rsid w:val="00286D40"/>
    <w:rsid w:val="00286E8E"/>
    <w:rsid w:val="0028754B"/>
    <w:rsid w:val="002876B3"/>
    <w:rsid w:val="002877B7"/>
    <w:rsid w:val="00287DDB"/>
    <w:rsid w:val="00290352"/>
    <w:rsid w:val="00290432"/>
    <w:rsid w:val="00290587"/>
    <w:rsid w:val="00290704"/>
    <w:rsid w:val="00290E7D"/>
    <w:rsid w:val="00290E93"/>
    <w:rsid w:val="00291186"/>
    <w:rsid w:val="002915CF"/>
    <w:rsid w:val="002916DB"/>
    <w:rsid w:val="00291B0E"/>
    <w:rsid w:val="00291C69"/>
    <w:rsid w:val="00291E3C"/>
    <w:rsid w:val="00291E96"/>
    <w:rsid w:val="00291F33"/>
    <w:rsid w:val="00292076"/>
    <w:rsid w:val="002920B8"/>
    <w:rsid w:val="00292CA5"/>
    <w:rsid w:val="00292CF1"/>
    <w:rsid w:val="00292E37"/>
    <w:rsid w:val="00293139"/>
    <w:rsid w:val="002934FD"/>
    <w:rsid w:val="00293B67"/>
    <w:rsid w:val="00293CEF"/>
    <w:rsid w:val="00293E48"/>
    <w:rsid w:val="00294542"/>
    <w:rsid w:val="00295296"/>
    <w:rsid w:val="002954B2"/>
    <w:rsid w:val="002956B6"/>
    <w:rsid w:val="00295AB4"/>
    <w:rsid w:val="00295C22"/>
    <w:rsid w:val="00295E50"/>
    <w:rsid w:val="00296315"/>
    <w:rsid w:val="00296B51"/>
    <w:rsid w:val="00296C15"/>
    <w:rsid w:val="002970E2"/>
    <w:rsid w:val="0029732A"/>
    <w:rsid w:val="0029748F"/>
    <w:rsid w:val="002979E2"/>
    <w:rsid w:val="00297A29"/>
    <w:rsid w:val="00297AB4"/>
    <w:rsid w:val="00297B6A"/>
    <w:rsid w:val="002A06E8"/>
    <w:rsid w:val="002A0F43"/>
    <w:rsid w:val="002A102E"/>
    <w:rsid w:val="002A10FC"/>
    <w:rsid w:val="002A1230"/>
    <w:rsid w:val="002A166A"/>
    <w:rsid w:val="002A1761"/>
    <w:rsid w:val="002A2829"/>
    <w:rsid w:val="002A30CF"/>
    <w:rsid w:val="002A3291"/>
    <w:rsid w:val="002A3352"/>
    <w:rsid w:val="002A3395"/>
    <w:rsid w:val="002A33F2"/>
    <w:rsid w:val="002A3889"/>
    <w:rsid w:val="002A392C"/>
    <w:rsid w:val="002A3976"/>
    <w:rsid w:val="002A3CA2"/>
    <w:rsid w:val="002A3EA4"/>
    <w:rsid w:val="002A4128"/>
    <w:rsid w:val="002A414F"/>
    <w:rsid w:val="002A43A8"/>
    <w:rsid w:val="002A4726"/>
    <w:rsid w:val="002A492E"/>
    <w:rsid w:val="002A4962"/>
    <w:rsid w:val="002A53EA"/>
    <w:rsid w:val="002A54F0"/>
    <w:rsid w:val="002A5764"/>
    <w:rsid w:val="002A582F"/>
    <w:rsid w:val="002A596E"/>
    <w:rsid w:val="002A5A6B"/>
    <w:rsid w:val="002A6349"/>
    <w:rsid w:val="002A63D9"/>
    <w:rsid w:val="002A672A"/>
    <w:rsid w:val="002A684A"/>
    <w:rsid w:val="002A6B40"/>
    <w:rsid w:val="002A74C7"/>
    <w:rsid w:val="002A7E10"/>
    <w:rsid w:val="002A7FA4"/>
    <w:rsid w:val="002B0148"/>
    <w:rsid w:val="002B01F1"/>
    <w:rsid w:val="002B0493"/>
    <w:rsid w:val="002B06F4"/>
    <w:rsid w:val="002B08FD"/>
    <w:rsid w:val="002B090C"/>
    <w:rsid w:val="002B0BE5"/>
    <w:rsid w:val="002B0D73"/>
    <w:rsid w:val="002B0F2B"/>
    <w:rsid w:val="002B17F3"/>
    <w:rsid w:val="002B18E3"/>
    <w:rsid w:val="002B190A"/>
    <w:rsid w:val="002B1E55"/>
    <w:rsid w:val="002B2064"/>
    <w:rsid w:val="002B2932"/>
    <w:rsid w:val="002B3900"/>
    <w:rsid w:val="002B3990"/>
    <w:rsid w:val="002B3993"/>
    <w:rsid w:val="002B3A52"/>
    <w:rsid w:val="002B3F32"/>
    <w:rsid w:val="002B44D8"/>
    <w:rsid w:val="002B4AD4"/>
    <w:rsid w:val="002B4BA4"/>
    <w:rsid w:val="002B51F7"/>
    <w:rsid w:val="002B5612"/>
    <w:rsid w:val="002B568A"/>
    <w:rsid w:val="002B5896"/>
    <w:rsid w:val="002B60EF"/>
    <w:rsid w:val="002B6126"/>
    <w:rsid w:val="002B61A3"/>
    <w:rsid w:val="002B65D0"/>
    <w:rsid w:val="002B65F4"/>
    <w:rsid w:val="002B66F5"/>
    <w:rsid w:val="002B6757"/>
    <w:rsid w:val="002B68B5"/>
    <w:rsid w:val="002B6B0C"/>
    <w:rsid w:val="002B6C8E"/>
    <w:rsid w:val="002B6DDE"/>
    <w:rsid w:val="002B720A"/>
    <w:rsid w:val="002B7B5F"/>
    <w:rsid w:val="002C086C"/>
    <w:rsid w:val="002C0B12"/>
    <w:rsid w:val="002C0F66"/>
    <w:rsid w:val="002C1736"/>
    <w:rsid w:val="002C17C7"/>
    <w:rsid w:val="002C190A"/>
    <w:rsid w:val="002C1B10"/>
    <w:rsid w:val="002C1CCB"/>
    <w:rsid w:val="002C1CF9"/>
    <w:rsid w:val="002C20A3"/>
    <w:rsid w:val="002C211E"/>
    <w:rsid w:val="002C2563"/>
    <w:rsid w:val="002C29AE"/>
    <w:rsid w:val="002C2C42"/>
    <w:rsid w:val="002C2F0F"/>
    <w:rsid w:val="002C312F"/>
    <w:rsid w:val="002C343F"/>
    <w:rsid w:val="002C3456"/>
    <w:rsid w:val="002C3843"/>
    <w:rsid w:val="002C395E"/>
    <w:rsid w:val="002C3ABE"/>
    <w:rsid w:val="002C40D4"/>
    <w:rsid w:val="002C4599"/>
    <w:rsid w:val="002C4949"/>
    <w:rsid w:val="002C49B0"/>
    <w:rsid w:val="002C53CE"/>
    <w:rsid w:val="002C57D3"/>
    <w:rsid w:val="002C58B5"/>
    <w:rsid w:val="002C590D"/>
    <w:rsid w:val="002C59BF"/>
    <w:rsid w:val="002C5A73"/>
    <w:rsid w:val="002C629E"/>
    <w:rsid w:val="002C6478"/>
    <w:rsid w:val="002C6511"/>
    <w:rsid w:val="002C6743"/>
    <w:rsid w:val="002C6D70"/>
    <w:rsid w:val="002C73A4"/>
    <w:rsid w:val="002C781C"/>
    <w:rsid w:val="002C7A5F"/>
    <w:rsid w:val="002C7D67"/>
    <w:rsid w:val="002C7DBA"/>
    <w:rsid w:val="002D01AE"/>
    <w:rsid w:val="002D028F"/>
    <w:rsid w:val="002D02FC"/>
    <w:rsid w:val="002D045A"/>
    <w:rsid w:val="002D051C"/>
    <w:rsid w:val="002D0A02"/>
    <w:rsid w:val="002D0B28"/>
    <w:rsid w:val="002D107C"/>
    <w:rsid w:val="002D1301"/>
    <w:rsid w:val="002D1493"/>
    <w:rsid w:val="002D1739"/>
    <w:rsid w:val="002D1CA6"/>
    <w:rsid w:val="002D1F03"/>
    <w:rsid w:val="002D264E"/>
    <w:rsid w:val="002D276E"/>
    <w:rsid w:val="002D27D8"/>
    <w:rsid w:val="002D2939"/>
    <w:rsid w:val="002D2AB6"/>
    <w:rsid w:val="002D2B07"/>
    <w:rsid w:val="002D35F5"/>
    <w:rsid w:val="002D390C"/>
    <w:rsid w:val="002D402D"/>
    <w:rsid w:val="002D4224"/>
    <w:rsid w:val="002D4500"/>
    <w:rsid w:val="002D4668"/>
    <w:rsid w:val="002D48B2"/>
    <w:rsid w:val="002D4921"/>
    <w:rsid w:val="002D4EA8"/>
    <w:rsid w:val="002D587C"/>
    <w:rsid w:val="002D5C49"/>
    <w:rsid w:val="002D5E73"/>
    <w:rsid w:val="002D6115"/>
    <w:rsid w:val="002D6131"/>
    <w:rsid w:val="002D64A3"/>
    <w:rsid w:val="002D6AFB"/>
    <w:rsid w:val="002D6E18"/>
    <w:rsid w:val="002D76DB"/>
    <w:rsid w:val="002D7845"/>
    <w:rsid w:val="002D7915"/>
    <w:rsid w:val="002D7A5D"/>
    <w:rsid w:val="002D7E61"/>
    <w:rsid w:val="002E028F"/>
    <w:rsid w:val="002E066A"/>
    <w:rsid w:val="002E093E"/>
    <w:rsid w:val="002E1192"/>
    <w:rsid w:val="002E13E0"/>
    <w:rsid w:val="002E144E"/>
    <w:rsid w:val="002E1517"/>
    <w:rsid w:val="002E1629"/>
    <w:rsid w:val="002E1951"/>
    <w:rsid w:val="002E1A43"/>
    <w:rsid w:val="002E1C94"/>
    <w:rsid w:val="002E1D11"/>
    <w:rsid w:val="002E1DD0"/>
    <w:rsid w:val="002E1DF7"/>
    <w:rsid w:val="002E1F2E"/>
    <w:rsid w:val="002E1FC0"/>
    <w:rsid w:val="002E2299"/>
    <w:rsid w:val="002E22BE"/>
    <w:rsid w:val="002E23CD"/>
    <w:rsid w:val="002E2528"/>
    <w:rsid w:val="002E259B"/>
    <w:rsid w:val="002E25D1"/>
    <w:rsid w:val="002E2674"/>
    <w:rsid w:val="002E27BB"/>
    <w:rsid w:val="002E296B"/>
    <w:rsid w:val="002E2970"/>
    <w:rsid w:val="002E2B45"/>
    <w:rsid w:val="002E2E1A"/>
    <w:rsid w:val="002E2EEA"/>
    <w:rsid w:val="002E30A0"/>
    <w:rsid w:val="002E32CE"/>
    <w:rsid w:val="002E3994"/>
    <w:rsid w:val="002E3A47"/>
    <w:rsid w:val="002E3DC0"/>
    <w:rsid w:val="002E4064"/>
    <w:rsid w:val="002E4177"/>
    <w:rsid w:val="002E44F3"/>
    <w:rsid w:val="002E45BF"/>
    <w:rsid w:val="002E466C"/>
    <w:rsid w:val="002E4FF5"/>
    <w:rsid w:val="002E516E"/>
    <w:rsid w:val="002E53D8"/>
    <w:rsid w:val="002E5475"/>
    <w:rsid w:val="002E5BB1"/>
    <w:rsid w:val="002E5E14"/>
    <w:rsid w:val="002E5E6A"/>
    <w:rsid w:val="002E5F6E"/>
    <w:rsid w:val="002E60CF"/>
    <w:rsid w:val="002E612C"/>
    <w:rsid w:val="002E61BE"/>
    <w:rsid w:val="002E6292"/>
    <w:rsid w:val="002E637F"/>
    <w:rsid w:val="002E63A9"/>
    <w:rsid w:val="002E6591"/>
    <w:rsid w:val="002E6945"/>
    <w:rsid w:val="002E69B4"/>
    <w:rsid w:val="002E6D48"/>
    <w:rsid w:val="002E6DFA"/>
    <w:rsid w:val="002E6E5A"/>
    <w:rsid w:val="002E7054"/>
    <w:rsid w:val="002E70D0"/>
    <w:rsid w:val="002E7198"/>
    <w:rsid w:val="002E7461"/>
    <w:rsid w:val="002E7675"/>
    <w:rsid w:val="002E7DA4"/>
    <w:rsid w:val="002E7E22"/>
    <w:rsid w:val="002E7E3A"/>
    <w:rsid w:val="002E7EEA"/>
    <w:rsid w:val="002F01B3"/>
    <w:rsid w:val="002F02EA"/>
    <w:rsid w:val="002F0456"/>
    <w:rsid w:val="002F07B5"/>
    <w:rsid w:val="002F17A6"/>
    <w:rsid w:val="002F184D"/>
    <w:rsid w:val="002F1A11"/>
    <w:rsid w:val="002F1B0E"/>
    <w:rsid w:val="002F28EC"/>
    <w:rsid w:val="002F292E"/>
    <w:rsid w:val="002F2B5B"/>
    <w:rsid w:val="002F2CF7"/>
    <w:rsid w:val="002F32BD"/>
    <w:rsid w:val="002F34AE"/>
    <w:rsid w:val="002F35CE"/>
    <w:rsid w:val="002F3867"/>
    <w:rsid w:val="002F3FDC"/>
    <w:rsid w:val="002F4308"/>
    <w:rsid w:val="002F460E"/>
    <w:rsid w:val="002F462D"/>
    <w:rsid w:val="002F4AF4"/>
    <w:rsid w:val="002F4BF6"/>
    <w:rsid w:val="002F4D55"/>
    <w:rsid w:val="002F4E6E"/>
    <w:rsid w:val="002F5478"/>
    <w:rsid w:val="002F5609"/>
    <w:rsid w:val="002F56CB"/>
    <w:rsid w:val="002F58B8"/>
    <w:rsid w:val="002F61C5"/>
    <w:rsid w:val="002F621B"/>
    <w:rsid w:val="002F63CA"/>
    <w:rsid w:val="002F64D3"/>
    <w:rsid w:val="002F64E9"/>
    <w:rsid w:val="002F6671"/>
    <w:rsid w:val="002F66AF"/>
    <w:rsid w:val="002F67B7"/>
    <w:rsid w:val="002F6A14"/>
    <w:rsid w:val="002F6F04"/>
    <w:rsid w:val="002F7694"/>
    <w:rsid w:val="002F7B6D"/>
    <w:rsid w:val="002F7EB1"/>
    <w:rsid w:val="002F7EDB"/>
    <w:rsid w:val="00300453"/>
    <w:rsid w:val="00300466"/>
    <w:rsid w:val="00300749"/>
    <w:rsid w:val="00300B1E"/>
    <w:rsid w:val="00300B3E"/>
    <w:rsid w:val="00300C6D"/>
    <w:rsid w:val="00300C77"/>
    <w:rsid w:val="00301220"/>
    <w:rsid w:val="003015D6"/>
    <w:rsid w:val="003017D4"/>
    <w:rsid w:val="0030183D"/>
    <w:rsid w:val="00301927"/>
    <w:rsid w:val="00301B8B"/>
    <w:rsid w:val="00301D44"/>
    <w:rsid w:val="00301EC0"/>
    <w:rsid w:val="0030208C"/>
    <w:rsid w:val="00302586"/>
    <w:rsid w:val="00302784"/>
    <w:rsid w:val="00302AF1"/>
    <w:rsid w:val="00302BC7"/>
    <w:rsid w:val="00302C88"/>
    <w:rsid w:val="00302E4F"/>
    <w:rsid w:val="00302F0E"/>
    <w:rsid w:val="003032E9"/>
    <w:rsid w:val="0030348C"/>
    <w:rsid w:val="00303887"/>
    <w:rsid w:val="003039B7"/>
    <w:rsid w:val="00303B92"/>
    <w:rsid w:val="00303BBD"/>
    <w:rsid w:val="00303CF5"/>
    <w:rsid w:val="00303F09"/>
    <w:rsid w:val="0030408E"/>
    <w:rsid w:val="00304090"/>
    <w:rsid w:val="003041CC"/>
    <w:rsid w:val="00304343"/>
    <w:rsid w:val="003043DF"/>
    <w:rsid w:val="003044AB"/>
    <w:rsid w:val="0030465F"/>
    <w:rsid w:val="00304751"/>
    <w:rsid w:val="00304779"/>
    <w:rsid w:val="003047B5"/>
    <w:rsid w:val="003047BA"/>
    <w:rsid w:val="00304A05"/>
    <w:rsid w:val="00304D6F"/>
    <w:rsid w:val="00305260"/>
    <w:rsid w:val="003052E9"/>
    <w:rsid w:val="0030536D"/>
    <w:rsid w:val="00305EF4"/>
    <w:rsid w:val="00305F1B"/>
    <w:rsid w:val="00306070"/>
    <w:rsid w:val="00306083"/>
    <w:rsid w:val="00306207"/>
    <w:rsid w:val="00306260"/>
    <w:rsid w:val="003069BD"/>
    <w:rsid w:val="00306B24"/>
    <w:rsid w:val="00306F9C"/>
    <w:rsid w:val="00307394"/>
    <w:rsid w:val="00307650"/>
    <w:rsid w:val="00307909"/>
    <w:rsid w:val="00307B65"/>
    <w:rsid w:val="00310065"/>
    <w:rsid w:val="00310147"/>
    <w:rsid w:val="003101F2"/>
    <w:rsid w:val="003105B8"/>
    <w:rsid w:val="0031083F"/>
    <w:rsid w:val="00310877"/>
    <w:rsid w:val="00310C41"/>
    <w:rsid w:val="00310CE7"/>
    <w:rsid w:val="00310D41"/>
    <w:rsid w:val="00311014"/>
    <w:rsid w:val="0031108D"/>
    <w:rsid w:val="00311EE3"/>
    <w:rsid w:val="003120DE"/>
    <w:rsid w:val="00312387"/>
    <w:rsid w:val="003124B4"/>
    <w:rsid w:val="003132CE"/>
    <w:rsid w:val="00313451"/>
    <w:rsid w:val="00313573"/>
    <w:rsid w:val="00313A8E"/>
    <w:rsid w:val="00313C98"/>
    <w:rsid w:val="003140C6"/>
    <w:rsid w:val="00314203"/>
    <w:rsid w:val="00314613"/>
    <w:rsid w:val="00314819"/>
    <w:rsid w:val="00314A9A"/>
    <w:rsid w:val="00314C56"/>
    <w:rsid w:val="00314F79"/>
    <w:rsid w:val="0031534E"/>
    <w:rsid w:val="003159FD"/>
    <w:rsid w:val="00315CDC"/>
    <w:rsid w:val="00315E90"/>
    <w:rsid w:val="00315F37"/>
    <w:rsid w:val="00316169"/>
    <w:rsid w:val="00316248"/>
    <w:rsid w:val="00316566"/>
    <w:rsid w:val="00316DFB"/>
    <w:rsid w:val="00316E05"/>
    <w:rsid w:val="00316E68"/>
    <w:rsid w:val="00317754"/>
    <w:rsid w:val="0031782D"/>
    <w:rsid w:val="00317B6E"/>
    <w:rsid w:val="003204CE"/>
    <w:rsid w:val="003205FF"/>
    <w:rsid w:val="00320A87"/>
    <w:rsid w:val="00320AE0"/>
    <w:rsid w:val="00320B3E"/>
    <w:rsid w:val="00320EC7"/>
    <w:rsid w:val="003212D5"/>
    <w:rsid w:val="0032148A"/>
    <w:rsid w:val="00321CD9"/>
    <w:rsid w:val="00321CEC"/>
    <w:rsid w:val="00321E36"/>
    <w:rsid w:val="00321E70"/>
    <w:rsid w:val="00322331"/>
    <w:rsid w:val="003225BB"/>
    <w:rsid w:val="0032265C"/>
    <w:rsid w:val="00322FCD"/>
    <w:rsid w:val="00323037"/>
    <w:rsid w:val="00323855"/>
    <w:rsid w:val="0032389D"/>
    <w:rsid w:val="00323DF6"/>
    <w:rsid w:val="003246D2"/>
    <w:rsid w:val="0032470E"/>
    <w:rsid w:val="00324C57"/>
    <w:rsid w:val="00325053"/>
    <w:rsid w:val="00325275"/>
    <w:rsid w:val="00325AF2"/>
    <w:rsid w:val="00325E58"/>
    <w:rsid w:val="00326001"/>
    <w:rsid w:val="00326112"/>
    <w:rsid w:val="003261DD"/>
    <w:rsid w:val="00326358"/>
    <w:rsid w:val="0032692F"/>
    <w:rsid w:val="0032707C"/>
    <w:rsid w:val="00327122"/>
    <w:rsid w:val="003272F5"/>
    <w:rsid w:val="0032779C"/>
    <w:rsid w:val="00327819"/>
    <w:rsid w:val="00327867"/>
    <w:rsid w:val="003278DB"/>
    <w:rsid w:val="00327E32"/>
    <w:rsid w:val="0033078D"/>
    <w:rsid w:val="00330B95"/>
    <w:rsid w:val="00330BE2"/>
    <w:rsid w:val="00330BEC"/>
    <w:rsid w:val="00331040"/>
    <w:rsid w:val="0033192C"/>
    <w:rsid w:val="00331C98"/>
    <w:rsid w:val="003320D3"/>
    <w:rsid w:val="003321A0"/>
    <w:rsid w:val="003324A5"/>
    <w:rsid w:val="00332507"/>
    <w:rsid w:val="003325BB"/>
    <w:rsid w:val="00332713"/>
    <w:rsid w:val="00332848"/>
    <w:rsid w:val="00332A12"/>
    <w:rsid w:val="00332CB7"/>
    <w:rsid w:val="0033322B"/>
    <w:rsid w:val="00333C14"/>
    <w:rsid w:val="00333D13"/>
    <w:rsid w:val="00333FF2"/>
    <w:rsid w:val="0033431D"/>
    <w:rsid w:val="00334516"/>
    <w:rsid w:val="003345E9"/>
    <w:rsid w:val="00334B50"/>
    <w:rsid w:val="00335847"/>
    <w:rsid w:val="003358F1"/>
    <w:rsid w:val="0033596D"/>
    <w:rsid w:val="00335975"/>
    <w:rsid w:val="00335983"/>
    <w:rsid w:val="00335DAF"/>
    <w:rsid w:val="00335F82"/>
    <w:rsid w:val="003360A8"/>
    <w:rsid w:val="003363C5"/>
    <w:rsid w:val="003366DB"/>
    <w:rsid w:val="00336866"/>
    <w:rsid w:val="00336CA8"/>
    <w:rsid w:val="00337128"/>
    <w:rsid w:val="003372DC"/>
    <w:rsid w:val="00337986"/>
    <w:rsid w:val="00337C8E"/>
    <w:rsid w:val="00337CE2"/>
    <w:rsid w:val="00337D1D"/>
    <w:rsid w:val="00337EB1"/>
    <w:rsid w:val="0034068F"/>
    <w:rsid w:val="003406CE"/>
    <w:rsid w:val="0034093C"/>
    <w:rsid w:val="00340F09"/>
    <w:rsid w:val="00340FC6"/>
    <w:rsid w:val="0034106B"/>
    <w:rsid w:val="00341116"/>
    <w:rsid w:val="0034128D"/>
    <w:rsid w:val="003414E1"/>
    <w:rsid w:val="003418F0"/>
    <w:rsid w:val="00341FDB"/>
    <w:rsid w:val="00342550"/>
    <w:rsid w:val="0034281F"/>
    <w:rsid w:val="0034297F"/>
    <w:rsid w:val="00342C91"/>
    <w:rsid w:val="00342D7B"/>
    <w:rsid w:val="00342E69"/>
    <w:rsid w:val="0034312C"/>
    <w:rsid w:val="003431F6"/>
    <w:rsid w:val="00343746"/>
    <w:rsid w:val="00343AEE"/>
    <w:rsid w:val="00343BB1"/>
    <w:rsid w:val="00343E05"/>
    <w:rsid w:val="00343F3D"/>
    <w:rsid w:val="0034408B"/>
    <w:rsid w:val="00344277"/>
    <w:rsid w:val="00344319"/>
    <w:rsid w:val="003448FF"/>
    <w:rsid w:val="00344C0C"/>
    <w:rsid w:val="00344D09"/>
    <w:rsid w:val="00344EC4"/>
    <w:rsid w:val="00345081"/>
    <w:rsid w:val="00345287"/>
    <w:rsid w:val="003452F4"/>
    <w:rsid w:val="00345508"/>
    <w:rsid w:val="00345798"/>
    <w:rsid w:val="003459F5"/>
    <w:rsid w:val="00345AD3"/>
    <w:rsid w:val="00345CB0"/>
    <w:rsid w:val="00346743"/>
    <w:rsid w:val="00346806"/>
    <w:rsid w:val="00346AD3"/>
    <w:rsid w:val="00346B2A"/>
    <w:rsid w:val="00346D73"/>
    <w:rsid w:val="003470B5"/>
    <w:rsid w:val="003470CF"/>
    <w:rsid w:val="00347226"/>
    <w:rsid w:val="00347647"/>
    <w:rsid w:val="0034766E"/>
    <w:rsid w:val="0034780E"/>
    <w:rsid w:val="003479A7"/>
    <w:rsid w:val="00347ACA"/>
    <w:rsid w:val="00347B4B"/>
    <w:rsid w:val="00350499"/>
    <w:rsid w:val="003504C6"/>
    <w:rsid w:val="003506DC"/>
    <w:rsid w:val="00350F3E"/>
    <w:rsid w:val="003511D5"/>
    <w:rsid w:val="003511E7"/>
    <w:rsid w:val="003513B4"/>
    <w:rsid w:val="0035155E"/>
    <w:rsid w:val="00351662"/>
    <w:rsid w:val="00351B6C"/>
    <w:rsid w:val="00351FBC"/>
    <w:rsid w:val="00351FFE"/>
    <w:rsid w:val="003522BA"/>
    <w:rsid w:val="00352363"/>
    <w:rsid w:val="003524BE"/>
    <w:rsid w:val="00352B9B"/>
    <w:rsid w:val="00352D16"/>
    <w:rsid w:val="00352D84"/>
    <w:rsid w:val="00352E5D"/>
    <w:rsid w:val="00352EFA"/>
    <w:rsid w:val="00353298"/>
    <w:rsid w:val="00353933"/>
    <w:rsid w:val="00353A9C"/>
    <w:rsid w:val="00353AB3"/>
    <w:rsid w:val="00354219"/>
    <w:rsid w:val="0035426C"/>
    <w:rsid w:val="003543DF"/>
    <w:rsid w:val="0035479D"/>
    <w:rsid w:val="00354804"/>
    <w:rsid w:val="00354FA1"/>
    <w:rsid w:val="00355268"/>
    <w:rsid w:val="0035537B"/>
    <w:rsid w:val="0035558D"/>
    <w:rsid w:val="0035562E"/>
    <w:rsid w:val="00355838"/>
    <w:rsid w:val="00355BA3"/>
    <w:rsid w:val="00356048"/>
    <w:rsid w:val="00356118"/>
    <w:rsid w:val="00356467"/>
    <w:rsid w:val="00356A09"/>
    <w:rsid w:val="00356BD2"/>
    <w:rsid w:val="00356BE5"/>
    <w:rsid w:val="00356C22"/>
    <w:rsid w:val="00356E60"/>
    <w:rsid w:val="00356F05"/>
    <w:rsid w:val="00357246"/>
    <w:rsid w:val="00357273"/>
    <w:rsid w:val="003577D7"/>
    <w:rsid w:val="00357AB1"/>
    <w:rsid w:val="00357E13"/>
    <w:rsid w:val="0036007C"/>
    <w:rsid w:val="0036018B"/>
    <w:rsid w:val="00360265"/>
    <w:rsid w:val="00360416"/>
    <w:rsid w:val="00360537"/>
    <w:rsid w:val="00360734"/>
    <w:rsid w:val="00360824"/>
    <w:rsid w:val="00360831"/>
    <w:rsid w:val="00360A7D"/>
    <w:rsid w:val="00360C4A"/>
    <w:rsid w:val="0036131F"/>
    <w:rsid w:val="00361B07"/>
    <w:rsid w:val="00361C4A"/>
    <w:rsid w:val="00361C89"/>
    <w:rsid w:val="00361D37"/>
    <w:rsid w:val="0036232A"/>
    <w:rsid w:val="0036250A"/>
    <w:rsid w:val="003626CB"/>
    <w:rsid w:val="003632CD"/>
    <w:rsid w:val="00363310"/>
    <w:rsid w:val="00363489"/>
    <w:rsid w:val="00363855"/>
    <w:rsid w:val="00363F21"/>
    <w:rsid w:val="003641E8"/>
    <w:rsid w:val="00364442"/>
    <w:rsid w:val="00364640"/>
    <w:rsid w:val="00364A20"/>
    <w:rsid w:val="00364A66"/>
    <w:rsid w:val="00365052"/>
    <w:rsid w:val="00365134"/>
    <w:rsid w:val="003652A0"/>
    <w:rsid w:val="003657B9"/>
    <w:rsid w:val="00365957"/>
    <w:rsid w:val="003659DE"/>
    <w:rsid w:val="00365CC5"/>
    <w:rsid w:val="003661BB"/>
    <w:rsid w:val="0036644E"/>
    <w:rsid w:val="00366800"/>
    <w:rsid w:val="00366864"/>
    <w:rsid w:val="00366991"/>
    <w:rsid w:val="00366CD2"/>
    <w:rsid w:val="00366DCE"/>
    <w:rsid w:val="00366F87"/>
    <w:rsid w:val="003671F8"/>
    <w:rsid w:val="003672D6"/>
    <w:rsid w:val="00367702"/>
    <w:rsid w:val="00367743"/>
    <w:rsid w:val="0036798B"/>
    <w:rsid w:val="00367E25"/>
    <w:rsid w:val="00367F0E"/>
    <w:rsid w:val="00370877"/>
    <w:rsid w:val="00370931"/>
    <w:rsid w:val="003709D3"/>
    <w:rsid w:val="00370A13"/>
    <w:rsid w:val="00370FB4"/>
    <w:rsid w:val="00371259"/>
    <w:rsid w:val="003715F0"/>
    <w:rsid w:val="0037161C"/>
    <w:rsid w:val="003716B3"/>
    <w:rsid w:val="0037183C"/>
    <w:rsid w:val="00371935"/>
    <w:rsid w:val="00371DD1"/>
    <w:rsid w:val="00372116"/>
    <w:rsid w:val="00372255"/>
    <w:rsid w:val="003723A8"/>
    <w:rsid w:val="003723D7"/>
    <w:rsid w:val="0037265A"/>
    <w:rsid w:val="00372787"/>
    <w:rsid w:val="00372C24"/>
    <w:rsid w:val="00372FE3"/>
    <w:rsid w:val="003731E9"/>
    <w:rsid w:val="003731ED"/>
    <w:rsid w:val="00373335"/>
    <w:rsid w:val="0037343D"/>
    <w:rsid w:val="003734B1"/>
    <w:rsid w:val="00373A5E"/>
    <w:rsid w:val="00373DE2"/>
    <w:rsid w:val="003743F6"/>
    <w:rsid w:val="003744F6"/>
    <w:rsid w:val="0037450C"/>
    <w:rsid w:val="00374550"/>
    <w:rsid w:val="00374AE2"/>
    <w:rsid w:val="00374B9A"/>
    <w:rsid w:val="00375074"/>
    <w:rsid w:val="00375113"/>
    <w:rsid w:val="003753D3"/>
    <w:rsid w:val="003755C5"/>
    <w:rsid w:val="00375689"/>
    <w:rsid w:val="00375779"/>
    <w:rsid w:val="00375B5A"/>
    <w:rsid w:val="00375BBD"/>
    <w:rsid w:val="00375E4B"/>
    <w:rsid w:val="00375F5A"/>
    <w:rsid w:val="0037611A"/>
    <w:rsid w:val="00376364"/>
    <w:rsid w:val="0037644D"/>
    <w:rsid w:val="0037663C"/>
    <w:rsid w:val="003769E1"/>
    <w:rsid w:val="00376B49"/>
    <w:rsid w:val="00376B5B"/>
    <w:rsid w:val="00376D8F"/>
    <w:rsid w:val="003770AB"/>
    <w:rsid w:val="0037748E"/>
    <w:rsid w:val="003775C3"/>
    <w:rsid w:val="00377631"/>
    <w:rsid w:val="003779DD"/>
    <w:rsid w:val="00377DC7"/>
    <w:rsid w:val="0038036C"/>
    <w:rsid w:val="00380853"/>
    <w:rsid w:val="00380866"/>
    <w:rsid w:val="0038092A"/>
    <w:rsid w:val="0038096B"/>
    <w:rsid w:val="00380A50"/>
    <w:rsid w:val="00380C70"/>
    <w:rsid w:val="00380E2F"/>
    <w:rsid w:val="00380E87"/>
    <w:rsid w:val="0038109F"/>
    <w:rsid w:val="003811F3"/>
    <w:rsid w:val="003812E7"/>
    <w:rsid w:val="0038132A"/>
    <w:rsid w:val="003814DD"/>
    <w:rsid w:val="00382249"/>
    <w:rsid w:val="003829CF"/>
    <w:rsid w:val="00382B9E"/>
    <w:rsid w:val="00382E64"/>
    <w:rsid w:val="00382F92"/>
    <w:rsid w:val="00383385"/>
    <w:rsid w:val="00383494"/>
    <w:rsid w:val="00383916"/>
    <w:rsid w:val="00383C44"/>
    <w:rsid w:val="00383CF3"/>
    <w:rsid w:val="00383D60"/>
    <w:rsid w:val="00383FAC"/>
    <w:rsid w:val="00383FB5"/>
    <w:rsid w:val="00383FD7"/>
    <w:rsid w:val="00384399"/>
    <w:rsid w:val="003847FC"/>
    <w:rsid w:val="00384ED3"/>
    <w:rsid w:val="00384ED9"/>
    <w:rsid w:val="00384FD4"/>
    <w:rsid w:val="00385139"/>
    <w:rsid w:val="00385415"/>
    <w:rsid w:val="00385484"/>
    <w:rsid w:val="00385602"/>
    <w:rsid w:val="00385938"/>
    <w:rsid w:val="00385B97"/>
    <w:rsid w:val="00386419"/>
    <w:rsid w:val="00386801"/>
    <w:rsid w:val="00386F13"/>
    <w:rsid w:val="00387022"/>
    <w:rsid w:val="0038759F"/>
    <w:rsid w:val="0038765C"/>
    <w:rsid w:val="00387941"/>
    <w:rsid w:val="00387A28"/>
    <w:rsid w:val="00387CB5"/>
    <w:rsid w:val="00387CC8"/>
    <w:rsid w:val="00387DF9"/>
    <w:rsid w:val="00387F1B"/>
    <w:rsid w:val="0039007D"/>
    <w:rsid w:val="00390242"/>
    <w:rsid w:val="003906CA"/>
    <w:rsid w:val="00390840"/>
    <w:rsid w:val="00390924"/>
    <w:rsid w:val="00390C42"/>
    <w:rsid w:val="00390C5C"/>
    <w:rsid w:val="00390E76"/>
    <w:rsid w:val="00391995"/>
    <w:rsid w:val="00391F69"/>
    <w:rsid w:val="003923D7"/>
    <w:rsid w:val="00392DDE"/>
    <w:rsid w:val="00392E0E"/>
    <w:rsid w:val="00392E10"/>
    <w:rsid w:val="003930C8"/>
    <w:rsid w:val="003930E9"/>
    <w:rsid w:val="003936DB"/>
    <w:rsid w:val="00393A99"/>
    <w:rsid w:val="00393B79"/>
    <w:rsid w:val="00393B7B"/>
    <w:rsid w:val="00393FE3"/>
    <w:rsid w:val="00394190"/>
    <w:rsid w:val="003941E7"/>
    <w:rsid w:val="0039432B"/>
    <w:rsid w:val="0039441B"/>
    <w:rsid w:val="00394AAF"/>
    <w:rsid w:val="00394B7B"/>
    <w:rsid w:val="00394D1D"/>
    <w:rsid w:val="00395066"/>
    <w:rsid w:val="003950A4"/>
    <w:rsid w:val="003950F6"/>
    <w:rsid w:val="00395219"/>
    <w:rsid w:val="0039549F"/>
    <w:rsid w:val="003958EC"/>
    <w:rsid w:val="00395A8F"/>
    <w:rsid w:val="00395B1F"/>
    <w:rsid w:val="00395C41"/>
    <w:rsid w:val="00395E46"/>
    <w:rsid w:val="003962E1"/>
    <w:rsid w:val="003964A4"/>
    <w:rsid w:val="003964F6"/>
    <w:rsid w:val="00396AD8"/>
    <w:rsid w:val="003976DF"/>
    <w:rsid w:val="00397728"/>
    <w:rsid w:val="00397755"/>
    <w:rsid w:val="00397770"/>
    <w:rsid w:val="00397F2C"/>
    <w:rsid w:val="00397F7C"/>
    <w:rsid w:val="003A039E"/>
    <w:rsid w:val="003A0921"/>
    <w:rsid w:val="003A0B54"/>
    <w:rsid w:val="003A0D2B"/>
    <w:rsid w:val="003A1005"/>
    <w:rsid w:val="003A12BB"/>
    <w:rsid w:val="003A1352"/>
    <w:rsid w:val="003A146A"/>
    <w:rsid w:val="003A152B"/>
    <w:rsid w:val="003A1737"/>
    <w:rsid w:val="003A17AD"/>
    <w:rsid w:val="003A18E5"/>
    <w:rsid w:val="003A1968"/>
    <w:rsid w:val="003A1C7B"/>
    <w:rsid w:val="003A1D14"/>
    <w:rsid w:val="003A1D64"/>
    <w:rsid w:val="003A1E4F"/>
    <w:rsid w:val="003A22C3"/>
    <w:rsid w:val="003A26F5"/>
    <w:rsid w:val="003A2CE8"/>
    <w:rsid w:val="003A2DBF"/>
    <w:rsid w:val="003A30B2"/>
    <w:rsid w:val="003A3962"/>
    <w:rsid w:val="003A3B8A"/>
    <w:rsid w:val="003A3BB6"/>
    <w:rsid w:val="003A3C43"/>
    <w:rsid w:val="003A3D56"/>
    <w:rsid w:val="003A3DFD"/>
    <w:rsid w:val="003A47C6"/>
    <w:rsid w:val="003A4D11"/>
    <w:rsid w:val="003A50EB"/>
    <w:rsid w:val="003A53D9"/>
    <w:rsid w:val="003A57AF"/>
    <w:rsid w:val="003A5D9E"/>
    <w:rsid w:val="003A5E28"/>
    <w:rsid w:val="003A6196"/>
    <w:rsid w:val="003A6201"/>
    <w:rsid w:val="003A6712"/>
    <w:rsid w:val="003A68D8"/>
    <w:rsid w:val="003A6927"/>
    <w:rsid w:val="003A6B5A"/>
    <w:rsid w:val="003A7015"/>
    <w:rsid w:val="003A705B"/>
    <w:rsid w:val="003A7103"/>
    <w:rsid w:val="003A7150"/>
    <w:rsid w:val="003A7613"/>
    <w:rsid w:val="003A769A"/>
    <w:rsid w:val="003A7B14"/>
    <w:rsid w:val="003A7C53"/>
    <w:rsid w:val="003A7EC5"/>
    <w:rsid w:val="003B00BC"/>
    <w:rsid w:val="003B02FF"/>
    <w:rsid w:val="003B0870"/>
    <w:rsid w:val="003B08BB"/>
    <w:rsid w:val="003B08C2"/>
    <w:rsid w:val="003B0A61"/>
    <w:rsid w:val="003B0A87"/>
    <w:rsid w:val="003B102C"/>
    <w:rsid w:val="003B1410"/>
    <w:rsid w:val="003B180C"/>
    <w:rsid w:val="003B2045"/>
    <w:rsid w:val="003B20A1"/>
    <w:rsid w:val="003B22EB"/>
    <w:rsid w:val="003B327D"/>
    <w:rsid w:val="003B364C"/>
    <w:rsid w:val="003B36D5"/>
    <w:rsid w:val="003B3CDC"/>
    <w:rsid w:val="003B3D48"/>
    <w:rsid w:val="003B3FDE"/>
    <w:rsid w:val="003B4559"/>
    <w:rsid w:val="003B4561"/>
    <w:rsid w:val="003B458F"/>
    <w:rsid w:val="003B4743"/>
    <w:rsid w:val="003B4B5B"/>
    <w:rsid w:val="003B4EDC"/>
    <w:rsid w:val="003B5400"/>
    <w:rsid w:val="003B5675"/>
    <w:rsid w:val="003B5DDA"/>
    <w:rsid w:val="003B5E21"/>
    <w:rsid w:val="003B60BB"/>
    <w:rsid w:val="003B62E5"/>
    <w:rsid w:val="003B64DC"/>
    <w:rsid w:val="003B6573"/>
    <w:rsid w:val="003B727D"/>
    <w:rsid w:val="003B7304"/>
    <w:rsid w:val="003B7581"/>
    <w:rsid w:val="003B772B"/>
    <w:rsid w:val="003B7939"/>
    <w:rsid w:val="003B7A4A"/>
    <w:rsid w:val="003B7B16"/>
    <w:rsid w:val="003B7B48"/>
    <w:rsid w:val="003B7B6B"/>
    <w:rsid w:val="003B7B7B"/>
    <w:rsid w:val="003B7D40"/>
    <w:rsid w:val="003B7F75"/>
    <w:rsid w:val="003C0E22"/>
    <w:rsid w:val="003C0F83"/>
    <w:rsid w:val="003C167E"/>
    <w:rsid w:val="003C1724"/>
    <w:rsid w:val="003C1734"/>
    <w:rsid w:val="003C1A1F"/>
    <w:rsid w:val="003C1B09"/>
    <w:rsid w:val="003C1CDA"/>
    <w:rsid w:val="003C1D64"/>
    <w:rsid w:val="003C1DBB"/>
    <w:rsid w:val="003C1E41"/>
    <w:rsid w:val="003C1EFB"/>
    <w:rsid w:val="003C22CC"/>
    <w:rsid w:val="003C2518"/>
    <w:rsid w:val="003C2527"/>
    <w:rsid w:val="003C25DF"/>
    <w:rsid w:val="003C2A50"/>
    <w:rsid w:val="003C2BA1"/>
    <w:rsid w:val="003C2CCC"/>
    <w:rsid w:val="003C30B7"/>
    <w:rsid w:val="003C3155"/>
    <w:rsid w:val="003C3329"/>
    <w:rsid w:val="003C35B7"/>
    <w:rsid w:val="003C3633"/>
    <w:rsid w:val="003C37B2"/>
    <w:rsid w:val="003C41F3"/>
    <w:rsid w:val="003C49C0"/>
    <w:rsid w:val="003C4A3E"/>
    <w:rsid w:val="003C4B68"/>
    <w:rsid w:val="003C4ED0"/>
    <w:rsid w:val="003C5157"/>
    <w:rsid w:val="003C555C"/>
    <w:rsid w:val="003C5647"/>
    <w:rsid w:val="003C5B88"/>
    <w:rsid w:val="003C5CC1"/>
    <w:rsid w:val="003C625F"/>
    <w:rsid w:val="003C6352"/>
    <w:rsid w:val="003C63AE"/>
    <w:rsid w:val="003C6496"/>
    <w:rsid w:val="003C66D4"/>
    <w:rsid w:val="003C6933"/>
    <w:rsid w:val="003C69E3"/>
    <w:rsid w:val="003C703A"/>
    <w:rsid w:val="003C71AB"/>
    <w:rsid w:val="003C7730"/>
    <w:rsid w:val="003C7B4C"/>
    <w:rsid w:val="003C7DB0"/>
    <w:rsid w:val="003C7E6D"/>
    <w:rsid w:val="003D00CE"/>
    <w:rsid w:val="003D0584"/>
    <w:rsid w:val="003D08CB"/>
    <w:rsid w:val="003D0AB6"/>
    <w:rsid w:val="003D0E0E"/>
    <w:rsid w:val="003D1090"/>
    <w:rsid w:val="003D1127"/>
    <w:rsid w:val="003D1252"/>
    <w:rsid w:val="003D13D4"/>
    <w:rsid w:val="003D199F"/>
    <w:rsid w:val="003D19C4"/>
    <w:rsid w:val="003D1C96"/>
    <w:rsid w:val="003D1F4C"/>
    <w:rsid w:val="003D2399"/>
    <w:rsid w:val="003D2563"/>
    <w:rsid w:val="003D2614"/>
    <w:rsid w:val="003D2779"/>
    <w:rsid w:val="003D2903"/>
    <w:rsid w:val="003D2C05"/>
    <w:rsid w:val="003D2E45"/>
    <w:rsid w:val="003D3282"/>
    <w:rsid w:val="003D3820"/>
    <w:rsid w:val="003D388A"/>
    <w:rsid w:val="003D3A7D"/>
    <w:rsid w:val="003D3BBA"/>
    <w:rsid w:val="003D4581"/>
    <w:rsid w:val="003D4809"/>
    <w:rsid w:val="003D4A97"/>
    <w:rsid w:val="003D5021"/>
    <w:rsid w:val="003D503D"/>
    <w:rsid w:val="003D50EC"/>
    <w:rsid w:val="003D5B5F"/>
    <w:rsid w:val="003D5D13"/>
    <w:rsid w:val="003D5D14"/>
    <w:rsid w:val="003D5D37"/>
    <w:rsid w:val="003D5ECD"/>
    <w:rsid w:val="003D5FC1"/>
    <w:rsid w:val="003D64E5"/>
    <w:rsid w:val="003D6551"/>
    <w:rsid w:val="003D68C7"/>
    <w:rsid w:val="003D69ED"/>
    <w:rsid w:val="003D6E10"/>
    <w:rsid w:val="003D6E15"/>
    <w:rsid w:val="003D70A0"/>
    <w:rsid w:val="003D72D1"/>
    <w:rsid w:val="003D734F"/>
    <w:rsid w:val="003D749D"/>
    <w:rsid w:val="003D76D3"/>
    <w:rsid w:val="003D7B29"/>
    <w:rsid w:val="003D7CFC"/>
    <w:rsid w:val="003D7F2D"/>
    <w:rsid w:val="003E02E3"/>
    <w:rsid w:val="003E034E"/>
    <w:rsid w:val="003E0391"/>
    <w:rsid w:val="003E0570"/>
    <w:rsid w:val="003E080A"/>
    <w:rsid w:val="003E08EE"/>
    <w:rsid w:val="003E0F2E"/>
    <w:rsid w:val="003E1298"/>
    <w:rsid w:val="003E12CC"/>
    <w:rsid w:val="003E141F"/>
    <w:rsid w:val="003E15FF"/>
    <w:rsid w:val="003E16B5"/>
    <w:rsid w:val="003E1746"/>
    <w:rsid w:val="003E18C7"/>
    <w:rsid w:val="003E1A08"/>
    <w:rsid w:val="003E1AC5"/>
    <w:rsid w:val="003E1CD5"/>
    <w:rsid w:val="003E1E68"/>
    <w:rsid w:val="003E21F7"/>
    <w:rsid w:val="003E2326"/>
    <w:rsid w:val="003E269B"/>
    <w:rsid w:val="003E269E"/>
    <w:rsid w:val="003E29B0"/>
    <w:rsid w:val="003E2C27"/>
    <w:rsid w:val="003E2EB9"/>
    <w:rsid w:val="003E3056"/>
    <w:rsid w:val="003E306A"/>
    <w:rsid w:val="003E33FE"/>
    <w:rsid w:val="003E3587"/>
    <w:rsid w:val="003E394E"/>
    <w:rsid w:val="003E412B"/>
    <w:rsid w:val="003E4240"/>
    <w:rsid w:val="003E4477"/>
    <w:rsid w:val="003E4802"/>
    <w:rsid w:val="003E4B49"/>
    <w:rsid w:val="003E4CB7"/>
    <w:rsid w:val="003E4CE4"/>
    <w:rsid w:val="003E4E09"/>
    <w:rsid w:val="003E4E18"/>
    <w:rsid w:val="003E51B1"/>
    <w:rsid w:val="003E535C"/>
    <w:rsid w:val="003E5CBE"/>
    <w:rsid w:val="003E6030"/>
    <w:rsid w:val="003E75B2"/>
    <w:rsid w:val="003E787C"/>
    <w:rsid w:val="003E7B65"/>
    <w:rsid w:val="003E7F0A"/>
    <w:rsid w:val="003F047A"/>
    <w:rsid w:val="003F04EE"/>
    <w:rsid w:val="003F0534"/>
    <w:rsid w:val="003F0B46"/>
    <w:rsid w:val="003F0C03"/>
    <w:rsid w:val="003F12E8"/>
    <w:rsid w:val="003F132A"/>
    <w:rsid w:val="003F15DE"/>
    <w:rsid w:val="003F16A3"/>
    <w:rsid w:val="003F177A"/>
    <w:rsid w:val="003F1E13"/>
    <w:rsid w:val="003F1E17"/>
    <w:rsid w:val="003F1F59"/>
    <w:rsid w:val="003F20E0"/>
    <w:rsid w:val="003F20F0"/>
    <w:rsid w:val="003F2719"/>
    <w:rsid w:val="003F287D"/>
    <w:rsid w:val="003F2991"/>
    <w:rsid w:val="003F2A2C"/>
    <w:rsid w:val="003F2ADD"/>
    <w:rsid w:val="003F3509"/>
    <w:rsid w:val="003F3574"/>
    <w:rsid w:val="003F3C14"/>
    <w:rsid w:val="003F3C37"/>
    <w:rsid w:val="003F43EF"/>
    <w:rsid w:val="003F4626"/>
    <w:rsid w:val="003F4687"/>
    <w:rsid w:val="003F46CF"/>
    <w:rsid w:val="003F4726"/>
    <w:rsid w:val="003F496F"/>
    <w:rsid w:val="003F531F"/>
    <w:rsid w:val="003F5518"/>
    <w:rsid w:val="003F5712"/>
    <w:rsid w:val="003F5A0D"/>
    <w:rsid w:val="003F5AE6"/>
    <w:rsid w:val="003F6135"/>
    <w:rsid w:val="003F62DB"/>
    <w:rsid w:val="003F6464"/>
    <w:rsid w:val="003F646B"/>
    <w:rsid w:val="003F6BAF"/>
    <w:rsid w:val="003F6D83"/>
    <w:rsid w:val="003F6DC9"/>
    <w:rsid w:val="003F6E8F"/>
    <w:rsid w:val="003F6F25"/>
    <w:rsid w:val="003F7091"/>
    <w:rsid w:val="003F7160"/>
    <w:rsid w:val="003F73F7"/>
    <w:rsid w:val="003F7672"/>
    <w:rsid w:val="003F7709"/>
    <w:rsid w:val="003F79B5"/>
    <w:rsid w:val="003F7A0A"/>
    <w:rsid w:val="003F7B7A"/>
    <w:rsid w:val="003F7CB3"/>
    <w:rsid w:val="003F7FF8"/>
    <w:rsid w:val="004003F2"/>
    <w:rsid w:val="0040079B"/>
    <w:rsid w:val="0040090F"/>
    <w:rsid w:val="00400D89"/>
    <w:rsid w:val="004011BE"/>
    <w:rsid w:val="0040146A"/>
    <w:rsid w:val="004014CE"/>
    <w:rsid w:val="004016FD"/>
    <w:rsid w:val="00401958"/>
    <w:rsid w:val="00402097"/>
    <w:rsid w:val="004020D3"/>
    <w:rsid w:val="0040240B"/>
    <w:rsid w:val="00402448"/>
    <w:rsid w:val="00402681"/>
    <w:rsid w:val="004026F2"/>
    <w:rsid w:val="004027CD"/>
    <w:rsid w:val="0040296F"/>
    <w:rsid w:val="00402BA5"/>
    <w:rsid w:val="00402C08"/>
    <w:rsid w:val="00402CD8"/>
    <w:rsid w:val="004030C2"/>
    <w:rsid w:val="00403431"/>
    <w:rsid w:val="0040345A"/>
    <w:rsid w:val="004034DE"/>
    <w:rsid w:val="0040392C"/>
    <w:rsid w:val="00403A22"/>
    <w:rsid w:val="00403DFB"/>
    <w:rsid w:val="00405302"/>
    <w:rsid w:val="00405687"/>
    <w:rsid w:val="0040573F"/>
    <w:rsid w:val="00405A19"/>
    <w:rsid w:val="00405AD2"/>
    <w:rsid w:val="00405BD0"/>
    <w:rsid w:val="004061D6"/>
    <w:rsid w:val="0040662D"/>
    <w:rsid w:val="00406D74"/>
    <w:rsid w:val="004070BD"/>
    <w:rsid w:val="00407156"/>
    <w:rsid w:val="00407191"/>
    <w:rsid w:val="00407636"/>
    <w:rsid w:val="00407D23"/>
    <w:rsid w:val="00410326"/>
    <w:rsid w:val="004104A3"/>
    <w:rsid w:val="0041060A"/>
    <w:rsid w:val="004111B7"/>
    <w:rsid w:val="004115CD"/>
    <w:rsid w:val="0041174F"/>
    <w:rsid w:val="00411931"/>
    <w:rsid w:val="00411C5B"/>
    <w:rsid w:val="00411C8E"/>
    <w:rsid w:val="004125D1"/>
    <w:rsid w:val="00412B23"/>
    <w:rsid w:val="00412E3F"/>
    <w:rsid w:val="004132FF"/>
    <w:rsid w:val="00413D57"/>
    <w:rsid w:val="00413FE5"/>
    <w:rsid w:val="00414782"/>
    <w:rsid w:val="00414BA7"/>
    <w:rsid w:val="00414BFD"/>
    <w:rsid w:val="00414CC8"/>
    <w:rsid w:val="00414CD6"/>
    <w:rsid w:val="00414FF8"/>
    <w:rsid w:val="004150EE"/>
    <w:rsid w:val="0041521C"/>
    <w:rsid w:val="004158D6"/>
    <w:rsid w:val="004159D7"/>
    <w:rsid w:val="00415A90"/>
    <w:rsid w:val="00415B1A"/>
    <w:rsid w:val="00415D46"/>
    <w:rsid w:val="00415D7B"/>
    <w:rsid w:val="00415FCC"/>
    <w:rsid w:val="0041645E"/>
    <w:rsid w:val="00416E28"/>
    <w:rsid w:val="0041703C"/>
    <w:rsid w:val="0041721E"/>
    <w:rsid w:val="00417A90"/>
    <w:rsid w:val="00417DA5"/>
    <w:rsid w:val="00417EBA"/>
    <w:rsid w:val="00420238"/>
    <w:rsid w:val="0042054A"/>
    <w:rsid w:val="00420917"/>
    <w:rsid w:val="00420A71"/>
    <w:rsid w:val="00420A9B"/>
    <w:rsid w:val="00420AC8"/>
    <w:rsid w:val="00420ADF"/>
    <w:rsid w:val="00420B45"/>
    <w:rsid w:val="00420C73"/>
    <w:rsid w:val="00420F50"/>
    <w:rsid w:val="004219DF"/>
    <w:rsid w:val="00421BB0"/>
    <w:rsid w:val="00421D66"/>
    <w:rsid w:val="004223CD"/>
    <w:rsid w:val="00422A84"/>
    <w:rsid w:val="00423050"/>
    <w:rsid w:val="0042317A"/>
    <w:rsid w:val="0042317F"/>
    <w:rsid w:val="004234DA"/>
    <w:rsid w:val="0042370C"/>
    <w:rsid w:val="0042387F"/>
    <w:rsid w:val="00423B71"/>
    <w:rsid w:val="00423BCF"/>
    <w:rsid w:val="00423E02"/>
    <w:rsid w:val="00423FBB"/>
    <w:rsid w:val="004241DE"/>
    <w:rsid w:val="0042458A"/>
    <w:rsid w:val="004246A8"/>
    <w:rsid w:val="00424B8C"/>
    <w:rsid w:val="00424E64"/>
    <w:rsid w:val="00425698"/>
    <w:rsid w:val="00425DE0"/>
    <w:rsid w:val="0042689E"/>
    <w:rsid w:val="004268E0"/>
    <w:rsid w:val="00426C57"/>
    <w:rsid w:val="00426F73"/>
    <w:rsid w:val="00427013"/>
    <w:rsid w:val="00427101"/>
    <w:rsid w:val="00427931"/>
    <w:rsid w:val="00427968"/>
    <w:rsid w:val="004301E1"/>
    <w:rsid w:val="0043033F"/>
    <w:rsid w:val="004303DA"/>
    <w:rsid w:val="00430515"/>
    <w:rsid w:val="00430CF6"/>
    <w:rsid w:val="004316B6"/>
    <w:rsid w:val="004317CE"/>
    <w:rsid w:val="004317D4"/>
    <w:rsid w:val="00431D31"/>
    <w:rsid w:val="00431EFC"/>
    <w:rsid w:val="00431FE1"/>
    <w:rsid w:val="00432197"/>
    <w:rsid w:val="0043226B"/>
    <w:rsid w:val="004323B2"/>
    <w:rsid w:val="004323D3"/>
    <w:rsid w:val="004329BC"/>
    <w:rsid w:val="00432AA3"/>
    <w:rsid w:val="0043312F"/>
    <w:rsid w:val="00433303"/>
    <w:rsid w:val="00433328"/>
    <w:rsid w:val="004337B0"/>
    <w:rsid w:val="0043384B"/>
    <w:rsid w:val="00433A43"/>
    <w:rsid w:val="00433E92"/>
    <w:rsid w:val="004340D7"/>
    <w:rsid w:val="0043431B"/>
    <w:rsid w:val="004343B7"/>
    <w:rsid w:val="004345B8"/>
    <w:rsid w:val="004347CB"/>
    <w:rsid w:val="00434BDC"/>
    <w:rsid w:val="00434C6C"/>
    <w:rsid w:val="0043518E"/>
    <w:rsid w:val="0043541B"/>
    <w:rsid w:val="00435777"/>
    <w:rsid w:val="004358FA"/>
    <w:rsid w:val="00435A79"/>
    <w:rsid w:val="00435BF4"/>
    <w:rsid w:val="00436518"/>
    <w:rsid w:val="004366F2"/>
    <w:rsid w:val="00436735"/>
    <w:rsid w:val="00436F36"/>
    <w:rsid w:val="00436FA7"/>
    <w:rsid w:val="0043738F"/>
    <w:rsid w:val="004373FA"/>
    <w:rsid w:val="004374C8"/>
    <w:rsid w:val="00437539"/>
    <w:rsid w:val="00437E86"/>
    <w:rsid w:val="0044016A"/>
    <w:rsid w:val="004403A9"/>
    <w:rsid w:val="00440FDC"/>
    <w:rsid w:val="004412A0"/>
    <w:rsid w:val="004412BA"/>
    <w:rsid w:val="0044151D"/>
    <w:rsid w:val="00441AB0"/>
    <w:rsid w:val="00441F8B"/>
    <w:rsid w:val="0044253C"/>
    <w:rsid w:val="00442732"/>
    <w:rsid w:val="00442EFF"/>
    <w:rsid w:val="004430E4"/>
    <w:rsid w:val="0044319A"/>
    <w:rsid w:val="0044332B"/>
    <w:rsid w:val="004434BB"/>
    <w:rsid w:val="004436D4"/>
    <w:rsid w:val="00443A38"/>
    <w:rsid w:val="00443A66"/>
    <w:rsid w:val="00443B79"/>
    <w:rsid w:val="00443DD6"/>
    <w:rsid w:val="0044407A"/>
    <w:rsid w:val="0044462B"/>
    <w:rsid w:val="004446EF"/>
    <w:rsid w:val="0044477B"/>
    <w:rsid w:val="00444948"/>
    <w:rsid w:val="004449F6"/>
    <w:rsid w:val="00444C12"/>
    <w:rsid w:val="00444C6F"/>
    <w:rsid w:val="00444CCF"/>
    <w:rsid w:val="00444D2F"/>
    <w:rsid w:val="00445180"/>
    <w:rsid w:val="00445460"/>
    <w:rsid w:val="004454F9"/>
    <w:rsid w:val="00445EB0"/>
    <w:rsid w:val="00445EC5"/>
    <w:rsid w:val="00445FDE"/>
    <w:rsid w:val="00446054"/>
    <w:rsid w:val="004460A1"/>
    <w:rsid w:val="004471F7"/>
    <w:rsid w:val="00447571"/>
    <w:rsid w:val="00447CD8"/>
    <w:rsid w:val="00450441"/>
    <w:rsid w:val="00450A4E"/>
    <w:rsid w:val="00450B3C"/>
    <w:rsid w:val="00450C7F"/>
    <w:rsid w:val="00451132"/>
    <w:rsid w:val="004511C2"/>
    <w:rsid w:val="00451203"/>
    <w:rsid w:val="0045132A"/>
    <w:rsid w:val="0045192C"/>
    <w:rsid w:val="004519D5"/>
    <w:rsid w:val="00452109"/>
    <w:rsid w:val="00452186"/>
    <w:rsid w:val="0045241E"/>
    <w:rsid w:val="00452470"/>
    <w:rsid w:val="004524F4"/>
    <w:rsid w:val="004525D8"/>
    <w:rsid w:val="004528DA"/>
    <w:rsid w:val="00452EFE"/>
    <w:rsid w:val="00453420"/>
    <w:rsid w:val="00453440"/>
    <w:rsid w:val="004535AA"/>
    <w:rsid w:val="0045378B"/>
    <w:rsid w:val="004541BE"/>
    <w:rsid w:val="00454389"/>
    <w:rsid w:val="004543A4"/>
    <w:rsid w:val="004547C7"/>
    <w:rsid w:val="00454A44"/>
    <w:rsid w:val="00454FBF"/>
    <w:rsid w:val="00455659"/>
    <w:rsid w:val="00455732"/>
    <w:rsid w:val="00455874"/>
    <w:rsid w:val="00455886"/>
    <w:rsid w:val="00455FC8"/>
    <w:rsid w:val="0045615C"/>
    <w:rsid w:val="004562AF"/>
    <w:rsid w:val="004567EA"/>
    <w:rsid w:val="00456993"/>
    <w:rsid w:val="0045699B"/>
    <w:rsid w:val="00456D34"/>
    <w:rsid w:val="00456E09"/>
    <w:rsid w:val="0045742A"/>
    <w:rsid w:val="00457522"/>
    <w:rsid w:val="004575D1"/>
    <w:rsid w:val="00457915"/>
    <w:rsid w:val="00457E8F"/>
    <w:rsid w:val="004600AA"/>
    <w:rsid w:val="004602B1"/>
    <w:rsid w:val="004609FA"/>
    <w:rsid w:val="00460C53"/>
    <w:rsid w:val="00460DE0"/>
    <w:rsid w:val="00460E0D"/>
    <w:rsid w:val="00460EAE"/>
    <w:rsid w:val="0046108F"/>
    <w:rsid w:val="004611F2"/>
    <w:rsid w:val="00461434"/>
    <w:rsid w:val="004614AC"/>
    <w:rsid w:val="004617A5"/>
    <w:rsid w:val="00461D3F"/>
    <w:rsid w:val="00461F24"/>
    <w:rsid w:val="00461FCA"/>
    <w:rsid w:val="0046206C"/>
    <w:rsid w:val="00462220"/>
    <w:rsid w:val="004623B3"/>
    <w:rsid w:val="00462451"/>
    <w:rsid w:val="004624B3"/>
    <w:rsid w:val="00462B2A"/>
    <w:rsid w:val="004640C2"/>
    <w:rsid w:val="00464140"/>
    <w:rsid w:val="0046445A"/>
    <w:rsid w:val="00464516"/>
    <w:rsid w:val="00465207"/>
    <w:rsid w:val="00466104"/>
    <w:rsid w:val="00466151"/>
    <w:rsid w:val="00466189"/>
    <w:rsid w:val="004661F2"/>
    <w:rsid w:val="004665C1"/>
    <w:rsid w:val="00466771"/>
    <w:rsid w:val="0046677A"/>
    <w:rsid w:val="004667A5"/>
    <w:rsid w:val="00466916"/>
    <w:rsid w:val="00466A21"/>
    <w:rsid w:val="00466B62"/>
    <w:rsid w:val="00466C64"/>
    <w:rsid w:val="0046709D"/>
    <w:rsid w:val="00467888"/>
    <w:rsid w:val="0046792A"/>
    <w:rsid w:val="00467DC5"/>
    <w:rsid w:val="00470587"/>
    <w:rsid w:val="004705D5"/>
    <w:rsid w:val="00470607"/>
    <w:rsid w:val="00471061"/>
    <w:rsid w:val="00471188"/>
    <w:rsid w:val="00471572"/>
    <w:rsid w:val="00471946"/>
    <w:rsid w:val="00471B3A"/>
    <w:rsid w:val="004722F4"/>
    <w:rsid w:val="0047253F"/>
    <w:rsid w:val="00472855"/>
    <w:rsid w:val="004728CF"/>
    <w:rsid w:val="004729B6"/>
    <w:rsid w:val="004729D1"/>
    <w:rsid w:val="00472A11"/>
    <w:rsid w:val="00472BDB"/>
    <w:rsid w:val="00472DF2"/>
    <w:rsid w:val="00473327"/>
    <w:rsid w:val="004737AD"/>
    <w:rsid w:val="004737E5"/>
    <w:rsid w:val="00473AF3"/>
    <w:rsid w:val="00473CCB"/>
    <w:rsid w:val="00473DEE"/>
    <w:rsid w:val="00473F30"/>
    <w:rsid w:val="0047465E"/>
    <w:rsid w:val="00474883"/>
    <w:rsid w:val="00474886"/>
    <w:rsid w:val="004749E1"/>
    <w:rsid w:val="00474BB6"/>
    <w:rsid w:val="00475555"/>
    <w:rsid w:val="004757D6"/>
    <w:rsid w:val="00475843"/>
    <w:rsid w:val="00475A36"/>
    <w:rsid w:val="00475A58"/>
    <w:rsid w:val="00475C0B"/>
    <w:rsid w:val="00475E6F"/>
    <w:rsid w:val="00475F3B"/>
    <w:rsid w:val="0047651B"/>
    <w:rsid w:val="004765B9"/>
    <w:rsid w:val="004765E8"/>
    <w:rsid w:val="00477204"/>
    <w:rsid w:val="004777FA"/>
    <w:rsid w:val="00477948"/>
    <w:rsid w:val="00477C88"/>
    <w:rsid w:val="00477ED3"/>
    <w:rsid w:val="00477EED"/>
    <w:rsid w:val="00477F98"/>
    <w:rsid w:val="0047A1F9"/>
    <w:rsid w:val="00480145"/>
    <w:rsid w:val="004807BF"/>
    <w:rsid w:val="004808CB"/>
    <w:rsid w:val="00480AA3"/>
    <w:rsid w:val="00480D16"/>
    <w:rsid w:val="004815FD"/>
    <w:rsid w:val="00481A57"/>
    <w:rsid w:val="00481B85"/>
    <w:rsid w:val="00481F07"/>
    <w:rsid w:val="00482690"/>
    <w:rsid w:val="004826B1"/>
    <w:rsid w:val="004827F3"/>
    <w:rsid w:val="0048286B"/>
    <w:rsid w:val="0048341D"/>
    <w:rsid w:val="00483692"/>
    <w:rsid w:val="00483995"/>
    <w:rsid w:val="00483A04"/>
    <w:rsid w:val="00483C22"/>
    <w:rsid w:val="00483C63"/>
    <w:rsid w:val="00483FB1"/>
    <w:rsid w:val="004841D2"/>
    <w:rsid w:val="0048433D"/>
    <w:rsid w:val="0048436C"/>
    <w:rsid w:val="004843AB"/>
    <w:rsid w:val="0048457C"/>
    <w:rsid w:val="004845C2"/>
    <w:rsid w:val="00484817"/>
    <w:rsid w:val="00484C25"/>
    <w:rsid w:val="00484D53"/>
    <w:rsid w:val="00484FEA"/>
    <w:rsid w:val="00485218"/>
    <w:rsid w:val="00485330"/>
    <w:rsid w:val="004853E3"/>
    <w:rsid w:val="00485413"/>
    <w:rsid w:val="00485CDB"/>
    <w:rsid w:val="00485F68"/>
    <w:rsid w:val="00486806"/>
    <w:rsid w:val="00486ED9"/>
    <w:rsid w:val="004870AD"/>
    <w:rsid w:val="0048724B"/>
    <w:rsid w:val="0048728D"/>
    <w:rsid w:val="004872CC"/>
    <w:rsid w:val="004872EC"/>
    <w:rsid w:val="0048747D"/>
    <w:rsid w:val="0048782D"/>
    <w:rsid w:val="00487840"/>
    <w:rsid w:val="0049081E"/>
    <w:rsid w:val="00490BEF"/>
    <w:rsid w:val="00490CF4"/>
    <w:rsid w:val="00490D86"/>
    <w:rsid w:val="00490D97"/>
    <w:rsid w:val="00491371"/>
    <w:rsid w:val="0049196B"/>
    <w:rsid w:val="00491F00"/>
    <w:rsid w:val="00492345"/>
    <w:rsid w:val="0049238E"/>
    <w:rsid w:val="004923A7"/>
    <w:rsid w:val="004923C7"/>
    <w:rsid w:val="00492D40"/>
    <w:rsid w:val="00492EFB"/>
    <w:rsid w:val="00493091"/>
    <w:rsid w:val="00493496"/>
    <w:rsid w:val="00493859"/>
    <w:rsid w:val="00493FD3"/>
    <w:rsid w:val="00493FE2"/>
    <w:rsid w:val="00494882"/>
    <w:rsid w:val="004949F0"/>
    <w:rsid w:val="00494A63"/>
    <w:rsid w:val="00494FC6"/>
    <w:rsid w:val="00494FFB"/>
    <w:rsid w:val="0049513F"/>
    <w:rsid w:val="004951BA"/>
    <w:rsid w:val="00495326"/>
    <w:rsid w:val="004953DA"/>
    <w:rsid w:val="00495851"/>
    <w:rsid w:val="0049591B"/>
    <w:rsid w:val="004967E6"/>
    <w:rsid w:val="00496B93"/>
    <w:rsid w:val="00497F92"/>
    <w:rsid w:val="004A003A"/>
    <w:rsid w:val="004A0173"/>
    <w:rsid w:val="004A06FB"/>
    <w:rsid w:val="004A07F3"/>
    <w:rsid w:val="004A0BA1"/>
    <w:rsid w:val="004A0CC9"/>
    <w:rsid w:val="004A102B"/>
    <w:rsid w:val="004A1387"/>
    <w:rsid w:val="004A19B3"/>
    <w:rsid w:val="004A1BF8"/>
    <w:rsid w:val="004A1C2B"/>
    <w:rsid w:val="004A1C41"/>
    <w:rsid w:val="004A1F13"/>
    <w:rsid w:val="004A23ED"/>
    <w:rsid w:val="004A24FA"/>
    <w:rsid w:val="004A2926"/>
    <w:rsid w:val="004A2B79"/>
    <w:rsid w:val="004A3AE9"/>
    <w:rsid w:val="004A3B05"/>
    <w:rsid w:val="004A3B27"/>
    <w:rsid w:val="004A3B6E"/>
    <w:rsid w:val="004A3B86"/>
    <w:rsid w:val="004A3E08"/>
    <w:rsid w:val="004A4414"/>
    <w:rsid w:val="004A4B2F"/>
    <w:rsid w:val="004A5732"/>
    <w:rsid w:val="004A5908"/>
    <w:rsid w:val="004A59CF"/>
    <w:rsid w:val="004A5AAE"/>
    <w:rsid w:val="004A5F1A"/>
    <w:rsid w:val="004A6114"/>
    <w:rsid w:val="004A6660"/>
    <w:rsid w:val="004A6771"/>
    <w:rsid w:val="004A69D5"/>
    <w:rsid w:val="004A6F11"/>
    <w:rsid w:val="004A7513"/>
    <w:rsid w:val="004A7A5F"/>
    <w:rsid w:val="004A7DBC"/>
    <w:rsid w:val="004B0240"/>
    <w:rsid w:val="004B02FF"/>
    <w:rsid w:val="004B0414"/>
    <w:rsid w:val="004B061E"/>
    <w:rsid w:val="004B0B13"/>
    <w:rsid w:val="004B0C3B"/>
    <w:rsid w:val="004B1216"/>
    <w:rsid w:val="004B1847"/>
    <w:rsid w:val="004B1A8D"/>
    <w:rsid w:val="004B1AB4"/>
    <w:rsid w:val="004B1AB9"/>
    <w:rsid w:val="004B1BE1"/>
    <w:rsid w:val="004B1E0E"/>
    <w:rsid w:val="004B2287"/>
    <w:rsid w:val="004B2A33"/>
    <w:rsid w:val="004B2B4C"/>
    <w:rsid w:val="004B2C73"/>
    <w:rsid w:val="004B2DE5"/>
    <w:rsid w:val="004B30D1"/>
    <w:rsid w:val="004B3267"/>
    <w:rsid w:val="004B33A7"/>
    <w:rsid w:val="004B34EB"/>
    <w:rsid w:val="004B350C"/>
    <w:rsid w:val="004B35D2"/>
    <w:rsid w:val="004B3657"/>
    <w:rsid w:val="004B3D26"/>
    <w:rsid w:val="004B423F"/>
    <w:rsid w:val="004B4490"/>
    <w:rsid w:val="004B4854"/>
    <w:rsid w:val="004B4BA9"/>
    <w:rsid w:val="004B4CD7"/>
    <w:rsid w:val="004B4CE5"/>
    <w:rsid w:val="004B5374"/>
    <w:rsid w:val="004B5A1B"/>
    <w:rsid w:val="004B5A53"/>
    <w:rsid w:val="004B5C74"/>
    <w:rsid w:val="004B5C76"/>
    <w:rsid w:val="004B6881"/>
    <w:rsid w:val="004B6C3A"/>
    <w:rsid w:val="004B6C90"/>
    <w:rsid w:val="004B7084"/>
    <w:rsid w:val="004B7244"/>
    <w:rsid w:val="004B764C"/>
    <w:rsid w:val="004B7669"/>
    <w:rsid w:val="004B77DE"/>
    <w:rsid w:val="004C0024"/>
    <w:rsid w:val="004C0294"/>
    <w:rsid w:val="004C0550"/>
    <w:rsid w:val="004C055A"/>
    <w:rsid w:val="004C09FD"/>
    <w:rsid w:val="004C0CFF"/>
    <w:rsid w:val="004C0EA5"/>
    <w:rsid w:val="004C104C"/>
    <w:rsid w:val="004C1452"/>
    <w:rsid w:val="004C14E4"/>
    <w:rsid w:val="004C17C4"/>
    <w:rsid w:val="004C1886"/>
    <w:rsid w:val="004C1C2D"/>
    <w:rsid w:val="004C1C77"/>
    <w:rsid w:val="004C1D19"/>
    <w:rsid w:val="004C1F4F"/>
    <w:rsid w:val="004C1F62"/>
    <w:rsid w:val="004C1FF5"/>
    <w:rsid w:val="004C2292"/>
    <w:rsid w:val="004C2594"/>
    <w:rsid w:val="004C26DD"/>
    <w:rsid w:val="004C2B3D"/>
    <w:rsid w:val="004C3325"/>
    <w:rsid w:val="004C3585"/>
    <w:rsid w:val="004C3603"/>
    <w:rsid w:val="004C3EC2"/>
    <w:rsid w:val="004C4668"/>
    <w:rsid w:val="004C47D5"/>
    <w:rsid w:val="004C4DB9"/>
    <w:rsid w:val="004C4E25"/>
    <w:rsid w:val="004C55B8"/>
    <w:rsid w:val="004C5628"/>
    <w:rsid w:val="004C5825"/>
    <w:rsid w:val="004C58A7"/>
    <w:rsid w:val="004C5B7D"/>
    <w:rsid w:val="004C5C00"/>
    <w:rsid w:val="004C5DB2"/>
    <w:rsid w:val="004C5DF3"/>
    <w:rsid w:val="004C5F41"/>
    <w:rsid w:val="004C636D"/>
    <w:rsid w:val="004C65EA"/>
    <w:rsid w:val="004C6C21"/>
    <w:rsid w:val="004C7520"/>
    <w:rsid w:val="004C769C"/>
    <w:rsid w:val="004C78D3"/>
    <w:rsid w:val="004C7A4B"/>
    <w:rsid w:val="004C7E74"/>
    <w:rsid w:val="004D0023"/>
    <w:rsid w:val="004D010C"/>
    <w:rsid w:val="004D02E1"/>
    <w:rsid w:val="004D0481"/>
    <w:rsid w:val="004D06CF"/>
    <w:rsid w:val="004D0A99"/>
    <w:rsid w:val="004D0DF9"/>
    <w:rsid w:val="004D0EED"/>
    <w:rsid w:val="004D1057"/>
    <w:rsid w:val="004D119D"/>
    <w:rsid w:val="004D11A5"/>
    <w:rsid w:val="004D12E2"/>
    <w:rsid w:val="004D1351"/>
    <w:rsid w:val="004D13A0"/>
    <w:rsid w:val="004D1452"/>
    <w:rsid w:val="004D154E"/>
    <w:rsid w:val="004D1584"/>
    <w:rsid w:val="004D18AC"/>
    <w:rsid w:val="004D19B6"/>
    <w:rsid w:val="004D1AE2"/>
    <w:rsid w:val="004D1BE7"/>
    <w:rsid w:val="004D1DDA"/>
    <w:rsid w:val="004D1FE8"/>
    <w:rsid w:val="004D23C6"/>
    <w:rsid w:val="004D257C"/>
    <w:rsid w:val="004D2685"/>
    <w:rsid w:val="004D26B3"/>
    <w:rsid w:val="004D26BB"/>
    <w:rsid w:val="004D27BD"/>
    <w:rsid w:val="004D27FC"/>
    <w:rsid w:val="004D280C"/>
    <w:rsid w:val="004D2D37"/>
    <w:rsid w:val="004D3014"/>
    <w:rsid w:val="004D317F"/>
    <w:rsid w:val="004D37DD"/>
    <w:rsid w:val="004D39F6"/>
    <w:rsid w:val="004D3BD4"/>
    <w:rsid w:val="004D47EF"/>
    <w:rsid w:val="004D48E4"/>
    <w:rsid w:val="004D4B32"/>
    <w:rsid w:val="004D4BBE"/>
    <w:rsid w:val="004D4D79"/>
    <w:rsid w:val="004D4F27"/>
    <w:rsid w:val="004D5402"/>
    <w:rsid w:val="004D56E1"/>
    <w:rsid w:val="004D615B"/>
    <w:rsid w:val="004D63CA"/>
    <w:rsid w:val="004D6408"/>
    <w:rsid w:val="004D6497"/>
    <w:rsid w:val="004D6E0F"/>
    <w:rsid w:val="004D72A8"/>
    <w:rsid w:val="004D77AB"/>
    <w:rsid w:val="004D7805"/>
    <w:rsid w:val="004D79C5"/>
    <w:rsid w:val="004D7E44"/>
    <w:rsid w:val="004D7E53"/>
    <w:rsid w:val="004E0204"/>
    <w:rsid w:val="004E0441"/>
    <w:rsid w:val="004E07CA"/>
    <w:rsid w:val="004E0934"/>
    <w:rsid w:val="004E0A9D"/>
    <w:rsid w:val="004E0AC2"/>
    <w:rsid w:val="004E0B12"/>
    <w:rsid w:val="004E0D31"/>
    <w:rsid w:val="004E1293"/>
    <w:rsid w:val="004E1AF1"/>
    <w:rsid w:val="004E1B9A"/>
    <w:rsid w:val="004E1DBD"/>
    <w:rsid w:val="004E1F2F"/>
    <w:rsid w:val="004E1FC7"/>
    <w:rsid w:val="004E209A"/>
    <w:rsid w:val="004E20EA"/>
    <w:rsid w:val="004E2437"/>
    <w:rsid w:val="004E270D"/>
    <w:rsid w:val="004E2A68"/>
    <w:rsid w:val="004E2AEF"/>
    <w:rsid w:val="004E2BB2"/>
    <w:rsid w:val="004E36F1"/>
    <w:rsid w:val="004E38DC"/>
    <w:rsid w:val="004E3D4F"/>
    <w:rsid w:val="004E3D6F"/>
    <w:rsid w:val="004E4204"/>
    <w:rsid w:val="004E44FD"/>
    <w:rsid w:val="004E46F1"/>
    <w:rsid w:val="004E4B2B"/>
    <w:rsid w:val="004E505F"/>
    <w:rsid w:val="004E5A7A"/>
    <w:rsid w:val="004E5D2F"/>
    <w:rsid w:val="004E643D"/>
    <w:rsid w:val="004E6710"/>
    <w:rsid w:val="004E6D18"/>
    <w:rsid w:val="004E6E01"/>
    <w:rsid w:val="004E7012"/>
    <w:rsid w:val="004E71BF"/>
    <w:rsid w:val="004E7204"/>
    <w:rsid w:val="004E721D"/>
    <w:rsid w:val="004E72B0"/>
    <w:rsid w:val="004E746D"/>
    <w:rsid w:val="004E7748"/>
    <w:rsid w:val="004E78F1"/>
    <w:rsid w:val="004E7E76"/>
    <w:rsid w:val="004F0246"/>
    <w:rsid w:val="004F07E9"/>
    <w:rsid w:val="004F0875"/>
    <w:rsid w:val="004F0B12"/>
    <w:rsid w:val="004F0D8C"/>
    <w:rsid w:val="004F108A"/>
    <w:rsid w:val="004F113D"/>
    <w:rsid w:val="004F14C2"/>
    <w:rsid w:val="004F168F"/>
    <w:rsid w:val="004F16E6"/>
    <w:rsid w:val="004F1AA7"/>
    <w:rsid w:val="004F1CD9"/>
    <w:rsid w:val="004F1E0F"/>
    <w:rsid w:val="004F23EE"/>
    <w:rsid w:val="004F258B"/>
    <w:rsid w:val="004F25DE"/>
    <w:rsid w:val="004F273F"/>
    <w:rsid w:val="004F27F1"/>
    <w:rsid w:val="004F288A"/>
    <w:rsid w:val="004F2DA1"/>
    <w:rsid w:val="004F3009"/>
    <w:rsid w:val="004F3084"/>
    <w:rsid w:val="004F3417"/>
    <w:rsid w:val="004F3893"/>
    <w:rsid w:val="004F3A30"/>
    <w:rsid w:val="004F3D74"/>
    <w:rsid w:val="004F4954"/>
    <w:rsid w:val="004F4E05"/>
    <w:rsid w:val="004F531B"/>
    <w:rsid w:val="004F5464"/>
    <w:rsid w:val="004F5539"/>
    <w:rsid w:val="004F5EE9"/>
    <w:rsid w:val="004F6644"/>
    <w:rsid w:val="004F690B"/>
    <w:rsid w:val="004F7492"/>
    <w:rsid w:val="004F74C6"/>
    <w:rsid w:val="004F7868"/>
    <w:rsid w:val="004F7916"/>
    <w:rsid w:val="005000CF"/>
    <w:rsid w:val="005000FE"/>
    <w:rsid w:val="00500512"/>
    <w:rsid w:val="005005BC"/>
    <w:rsid w:val="00500708"/>
    <w:rsid w:val="0050081C"/>
    <w:rsid w:val="0050092A"/>
    <w:rsid w:val="005009F0"/>
    <w:rsid w:val="00500ADE"/>
    <w:rsid w:val="00500BB2"/>
    <w:rsid w:val="00500CA3"/>
    <w:rsid w:val="00501004"/>
    <w:rsid w:val="005011CF"/>
    <w:rsid w:val="005012AF"/>
    <w:rsid w:val="005016A5"/>
    <w:rsid w:val="00501DB7"/>
    <w:rsid w:val="005025C7"/>
    <w:rsid w:val="00502DA8"/>
    <w:rsid w:val="0050303C"/>
    <w:rsid w:val="00503132"/>
    <w:rsid w:val="00503469"/>
    <w:rsid w:val="005039D4"/>
    <w:rsid w:val="00503CA7"/>
    <w:rsid w:val="00503DD0"/>
    <w:rsid w:val="00504838"/>
    <w:rsid w:val="00504936"/>
    <w:rsid w:val="0050495D"/>
    <w:rsid w:val="005049DE"/>
    <w:rsid w:val="00504C00"/>
    <w:rsid w:val="00504E71"/>
    <w:rsid w:val="00504F5D"/>
    <w:rsid w:val="00504F9F"/>
    <w:rsid w:val="005051B3"/>
    <w:rsid w:val="00505241"/>
    <w:rsid w:val="00505731"/>
    <w:rsid w:val="00505A8E"/>
    <w:rsid w:val="00505F73"/>
    <w:rsid w:val="00505FCD"/>
    <w:rsid w:val="00506158"/>
    <w:rsid w:val="00506404"/>
    <w:rsid w:val="005064FB"/>
    <w:rsid w:val="005065EB"/>
    <w:rsid w:val="0050682A"/>
    <w:rsid w:val="00506CD6"/>
    <w:rsid w:val="00506EEF"/>
    <w:rsid w:val="005072D8"/>
    <w:rsid w:val="00507869"/>
    <w:rsid w:val="00507A5E"/>
    <w:rsid w:val="00507C5E"/>
    <w:rsid w:val="00507EC2"/>
    <w:rsid w:val="005102AD"/>
    <w:rsid w:val="005102E8"/>
    <w:rsid w:val="00510506"/>
    <w:rsid w:val="005105FC"/>
    <w:rsid w:val="005107D6"/>
    <w:rsid w:val="0051086F"/>
    <w:rsid w:val="00510E78"/>
    <w:rsid w:val="00510F1B"/>
    <w:rsid w:val="00511078"/>
    <w:rsid w:val="00511156"/>
    <w:rsid w:val="00511663"/>
    <w:rsid w:val="005118D6"/>
    <w:rsid w:val="0051190B"/>
    <w:rsid w:val="00511CF8"/>
    <w:rsid w:val="00511E42"/>
    <w:rsid w:val="00511FA2"/>
    <w:rsid w:val="005123B6"/>
    <w:rsid w:val="005125A6"/>
    <w:rsid w:val="005129D5"/>
    <w:rsid w:val="00512DC1"/>
    <w:rsid w:val="005133F1"/>
    <w:rsid w:val="005134BC"/>
    <w:rsid w:val="005136DD"/>
    <w:rsid w:val="00513DAB"/>
    <w:rsid w:val="00513E18"/>
    <w:rsid w:val="00513E5F"/>
    <w:rsid w:val="00514288"/>
    <w:rsid w:val="0051435C"/>
    <w:rsid w:val="0051489B"/>
    <w:rsid w:val="005148F0"/>
    <w:rsid w:val="00514927"/>
    <w:rsid w:val="00514FBA"/>
    <w:rsid w:val="00515188"/>
    <w:rsid w:val="00515635"/>
    <w:rsid w:val="00515717"/>
    <w:rsid w:val="005158A9"/>
    <w:rsid w:val="00515971"/>
    <w:rsid w:val="00515C55"/>
    <w:rsid w:val="005160B7"/>
    <w:rsid w:val="0051623E"/>
    <w:rsid w:val="0051648E"/>
    <w:rsid w:val="005169FE"/>
    <w:rsid w:val="00516A9D"/>
    <w:rsid w:val="0051728A"/>
    <w:rsid w:val="00517D74"/>
    <w:rsid w:val="00517DE8"/>
    <w:rsid w:val="00517E1D"/>
    <w:rsid w:val="00520006"/>
    <w:rsid w:val="0052017D"/>
    <w:rsid w:val="005204F0"/>
    <w:rsid w:val="0052062E"/>
    <w:rsid w:val="00520A95"/>
    <w:rsid w:val="00520CF2"/>
    <w:rsid w:val="00520CFD"/>
    <w:rsid w:val="00521215"/>
    <w:rsid w:val="005214C9"/>
    <w:rsid w:val="005214FE"/>
    <w:rsid w:val="005216AA"/>
    <w:rsid w:val="0052173E"/>
    <w:rsid w:val="005219F5"/>
    <w:rsid w:val="00521E59"/>
    <w:rsid w:val="0052215F"/>
    <w:rsid w:val="00522631"/>
    <w:rsid w:val="00522D3E"/>
    <w:rsid w:val="0052317F"/>
    <w:rsid w:val="0052334A"/>
    <w:rsid w:val="0052379D"/>
    <w:rsid w:val="00523853"/>
    <w:rsid w:val="00523925"/>
    <w:rsid w:val="00523946"/>
    <w:rsid w:val="00523A0A"/>
    <w:rsid w:val="00523A7F"/>
    <w:rsid w:val="00523B56"/>
    <w:rsid w:val="00523D85"/>
    <w:rsid w:val="00523FE6"/>
    <w:rsid w:val="0052410A"/>
    <w:rsid w:val="005242E5"/>
    <w:rsid w:val="0052471A"/>
    <w:rsid w:val="00524F89"/>
    <w:rsid w:val="005254BC"/>
    <w:rsid w:val="005254DA"/>
    <w:rsid w:val="005259FB"/>
    <w:rsid w:val="00525F80"/>
    <w:rsid w:val="0052655B"/>
    <w:rsid w:val="005265F3"/>
    <w:rsid w:val="00526675"/>
    <w:rsid w:val="005266EE"/>
    <w:rsid w:val="005266F6"/>
    <w:rsid w:val="00526EE6"/>
    <w:rsid w:val="00526FB6"/>
    <w:rsid w:val="00527695"/>
    <w:rsid w:val="00527ACE"/>
    <w:rsid w:val="00527C32"/>
    <w:rsid w:val="00527E5E"/>
    <w:rsid w:val="00527EB5"/>
    <w:rsid w:val="00530056"/>
    <w:rsid w:val="00530654"/>
    <w:rsid w:val="005319F1"/>
    <w:rsid w:val="00531ECE"/>
    <w:rsid w:val="00532398"/>
    <w:rsid w:val="00532841"/>
    <w:rsid w:val="00532ACB"/>
    <w:rsid w:val="0053308F"/>
    <w:rsid w:val="00533253"/>
    <w:rsid w:val="00533399"/>
    <w:rsid w:val="00533428"/>
    <w:rsid w:val="00533592"/>
    <w:rsid w:val="00533F98"/>
    <w:rsid w:val="00534006"/>
    <w:rsid w:val="0053424E"/>
    <w:rsid w:val="00534322"/>
    <w:rsid w:val="00534648"/>
    <w:rsid w:val="005348FF"/>
    <w:rsid w:val="0053490E"/>
    <w:rsid w:val="00534D46"/>
    <w:rsid w:val="005353C5"/>
    <w:rsid w:val="005359BA"/>
    <w:rsid w:val="00535DB0"/>
    <w:rsid w:val="005366F0"/>
    <w:rsid w:val="005368A8"/>
    <w:rsid w:val="0053722E"/>
    <w:rsid w:val="005374B8"/>
    <w:rsid w:val="00537523"/>
    <w:rsid w:val="00537730"/>
    <w:rsid w:val="00537BE6"/>
    <w:rsid w:val="00537DBE"/>
    <w:rsid w:val="00537EC9"/>
    <w:rsid w:val="00540017"/>
    <w:rsid w:val="005402CA"/>
    <w:rsid w:val="00540546"/>
    <w:rsid w:val="00540561"/>
    <w:rsid w:val="00540647"/>
    <w:rsid w:val="005407BB"/>
    <w:rsid w:val="00540C82"/>
    <w:rsid w:val="00540CB4"/>
    <w:rsid w:val="00540F34"/>
    <w:rsid w:val="0054158C"/>
    <w:rsid w:val="0054160A"/>
    <w:rsid w:val="00541772"/>
    <w:rsid w:val="0054186E"/>
    <w:rsid w:val="00541AB6"/>
    <w:rsid w:val="005420B3"/>
    <w:rsid w:val="0054219E"/>
    <w:rsid w:val="0054243D"/>
    <w:rsid w:val="00542AB0"/>
    <w:rsid w:val="00543361"/>
    <w:rsid w:val="00543452"/>
    <w:rsid w:val="0054351C"/>
    <w:rsid w:val="005435AF"/>
    <w:rsid w:val="00543DAA"/>
    <w:rsid w:val="00543F9B"/>
    <w:rsid w:val="0054418C"/>
    <w:rsid w:val="0054429C"/>
    <w:rsid w:val="005442B0"/>
    <w:rsid w:val="00544343"/>
    <w:rsid w:val="00544570"/>
    <w:rsid w:val="00544A76"/>
    <w:rsid w:val="00544BA8"/>
    <w:rsid w:val="0054511D"/>
    <w:rsid w:val="00545279"/>
    <w:rsid w:val="005459C0"/>
    <w:rsid w:val="00545DCD"/>
    <w:rsid w:val="005461D5"/>
    <w:rsid w:val="005466BE"/>
    <w:rsid w:val="00546829"/>
    <w:rsid w:val="0054691A"/>
    <w:rsid w:val="0054695F"/>
    <w:rsid w:val="00546D52"/>
    <w:rsid w:val="005471AF"/>
    <w:rsid w:val="00547783"/>
    <w:rsid w:val="00547A82"/>
    <w:rsid w:val="00547C25"/>
    <w:rsid w:val="00547C72"/>
    <w:rsid w:val="00547D24"/>
    <w:rsid w:val="00547E8E"/>
    <w:rsid w:val="0055048F"/>
    <w:rsid w:val="00550534"/>
    <w:rsid w:val="005507F7"/>
    <w:rsid w:val="0055093E"/>
    <w:rsid w:val="005510EE"/>
    <w:rsid w:val="005512F5"/>
    <w:rsid w:val="0055130F"/>
    <w:rsid w:val="00551373"/>
    <w:rsid w:val="005513BA"/>
    <w:rsid w:val="00551684"/>
    <w:rsid w:val="00551C36"/>
    <w:rsid w:val="00551CAB"/>
    <w:rsid w:val="00551D98"/>
    <w:rsid w:val="00551F1C"/>
    <w:rsid w:val="00552079"/>
    <w:rsid w:val="005523A6"/>
    <w:rsid w:val="005523C6"/>
    <w:rsid w:val="0055278D"/>
    <w:rsid w:val="00552AAA"/>
    <w:rsid w:val="00552DA6"/>
    <w:rsid w:val="00552F67"/>
    <w:rsid w:val="00553541"/>
    <w:rsid w:val="005536A0"/>
    <w:rsid w:val="005536E1"/>
    <w:rsid w:val="00553C5B"/>
    <w:rsid w:val="0055418C"/>
    <w:rsid w:val="005542A9"/>
    <w:rsid w:val="00554A89"/>
    <w:rsid w:val="00554D11"/>
    <w:rsid w:val="00554D17"/>
    <w:rsid w:val="00555049"/>
    <w:rsid w:val="00555164"/>
    <w:rsid w:val="00555567"/>
    <w:rsid w:val="005557FC"/>
    <w:rsid w:val="00555872"/>
    <w:rsid w:val="005558D0"/>
    <w:rsid w:val="00555F95"/>
    <w:rsid w:val="005560FB"/>
    <w:rsid w:val="0055659B"/>
    <w:rsid w:val="005565EF"/>
    <w:rsid w:val="00556687"/>
    <w:rsid w:val="005567CA"/>
    <w:rsid w:val="00556DED"/>
    <w:rsid w:val="00557100"/>
    <w:rsid w:val="005573D8"/>
    <w:rsid w:val="0055798A"/>
    <w:rsid w:val="00557B39"/>
    <w:rsid w:val="005609D8"/>
    <w:rsid w:val="00560E00"/>
    <w:rsid w:val="0056123B"/>
    <w:rsid w:val="00561741"/>
    <w:rsid w:val="00561B1B"/>
    <w:rsid w:val="00561E62"/>
    <w:rsid w:val="00561FB2"/>
    <w:rsid w:val="00562018"/>
    <w:rsid w:val="005627AC"/>
    <w:rsid w:val="00562817"/>
    <w:rsid w:val="00562D1B"/>
    <w:rsid w:val="00562F00"/>
    <w:rsid w:val="00562FFC"/>
    <w:rsid w:val="00563626"/>
    <w:rsid w:val="00563834"/>
    <w:rsid w:val="005640AF"/>
    <w:rsid w:val="005646A1"/>
    <w:rsid w:val="00564A94"/>
    <w:rsid w:val="00564B60"/>
    <w:rsid w:val="00564C4A"/>
    <w:rsid w:val="005651C9"/>
    <w:rsid w:val="005652B0"/>
    <w:rsid w:val="00565502"/>
    <w:rsid w:val="00565629"/>
    <w:rsid w:val="005657D7"/>
    <w:rsid w:val="00565D57"/>
    <w:rsid w:val="00566340"/>
    <w:rsid w:val="005667A6"/>
    <w:rsid w:val="00566D75"/>
    <w:rsid w:val="00567051"/>
    <w:rsid w:val="0056731B"/>
    <w:rsid w:val="0056785A"/>
    <w:rsid w:val="0056798D"/>
    <w:rsid w:val="00567D30"/>
    <w:rsid w:val="0057007A"/>
    <w:rsid w:val="00570327"/>
    <w:rsid w:val="00570674"/>
    <w:rsid w:val="00570F72"/>
    <w:rsid w:val="005711D1"/>
    <w:rsid w:val="005712C6"/>
    <w:rsid w:val="005712E7"/>
    <w:rsid w:val="005715A8"/>
    <w:rsid w:val="0057190C"/>
    <w:rsid w:val="00571A47"/>
    <w:rsid w:val="00571ABC"/>
    <w:rsid w:val="00571B79"/>
    <w:rsid w:val="00571BFC"/>
    <w:rsid w:val="00571DB1"/>
    <w:rsid w:val="00572114"/>
    <w:rsid w:val="005722D5"/>
    <w:rsid w:val="005722DD"/>
    <w:rsid w:val="005728F1"/>
    <w:rsid w:val="005729B7"/>
    <w:rsid w:val="00572D94"/>
    <w:rsid w:val="005734E7"/>
    <w:rsid w:val="00573D21"/>
    <w:rsid w:val="00574151"/>
    <w:rsid w:val="005743F1"/>
    <w:rsid w:val="00574755"/>
    <w:rsid w:val="005747F2"/>
    <w:rsid w:val="00574B7E"/>
    <w:rsid w:val="00574C64"/>
    <w:rsid w:val="00575126"/>
    <w:rsid w:val="005759FE"/>
    <w:rsid w:val="00575C4D"/>
    <w:rsid w:val="00575C8C"/>
    <w:rsid w:val="00575C9E"/>
    <w:rsid w:val="00575E65"/>
    <w:rsid w:val="005764CA"/>
    <w:rsid w:val="0057690A"/>
    <w:rsid w:val="00576B55"/>
    <w:rsid w:val="005770E2"/>
    <w:rsid w:val="005774F6"/>
    <w:rsid w:val="00577533"/>
    <w:rsid w:val="005778A6"/>
    <w:rsid w:val="0058002E"/>
    <w:rsid w:val="0058014B"/>
    <w:rsid w:val="00580182"/>
    <w:rsid w:val="005802AB"/>
    <w:rsid w:val="00580318"/>
    <w:rsid w:val="00580441"/>
    <w:rsid w:val="00580524"/>
    <w:rsid w:val="005809EA"/>
    <w:rsid w:val="00580B04"/>
    <w:rsid w:val="00581475"/>
    <w:rsid w:val="005814B9"/>
    <w:rsid w:val="005818C3"/>
    <w:rsid w:val="0058213C"/>
    <w:rsid w:val="005822F4"/>
    <w:rsid w:val="005829B8"/>
    <w:rsid w:val="00582BE9"/>
    <w:rsid w:val="00582C9E"/>
    <w:rsid w:val="00583126"/>
    <w:rsid w:val="00583392"/>
    <w:rsid w:val="005835B9"/>
    <w:rsid w:val="00583DE9"/>
    <w:rsid w:val="00584041"/>
    <w:rsid w:val="005841DB"/>
    <w:rsid w:val="005841E4"/>
    <w:rsid w:val="005845CC"/>
    <w:rsid w:val="005848DC"/>
    <w:rsid w:val="005849E5"/>
    <w:rsid w:val="00584B85"/>
    <w:rsid w:val="00584BD1"/>
    <w:rsid w:val="00584C98"/>
    <w:rsid w:val="00584CEA"/>
    <w:rsid w:val="00584F7B"/>
    <w:rsid w:val="00585052"/>
    <w:rsid w:val="00585C83"/>
    <w:rsid w:val="00585DB7"/>
    <w:rsid w:val="00586057"/>
    <w:rsid w:val="005861FD"/>
    <w:rsid w:val="0058629E"/>
    <w:rsid w:val="00586352"/>
    <w:rsid w:val="0058640E"/>
    <w:rsid w:val="005866B6"/>
    <w:rsid w:val="00586759"/>
    <w:rsid w:val="00586864"/>
    <w:rsid w:val="00586BB2"/>
    <w:rsid w:val="00586D59"/>
    <w:rsid w:val="00586E71"/>
    <w:rsid w:val="00586EC9"/>
    <w:rsid w:val="00586F39"/>
    <w:rsid w:val="005872B7"/>
    <w:rsid w:val="005874F3"/>
    <w:rsid w:val="00587620"/>
    <w:rsid w:val="005876F6"/>
    <w:rsid w:val="00587757"/>
    <w:rsid w:val="00587A1E"/>
    <w:rsid w:val="0059057D"/>
    <w:rsid w:val="00590F73"/>
    <w:rsid w:val="00591023"/>
    <w:rsid w:val="00591DD2"/>
    <w:rsid w:val="00592502"/>
    <w:rsid w:val="00592F00"/>
    <w:rsid w:val="00593055"/>
    <w:rsid w:val="0059392E"/>
    <w:rsid w:val="00593A2B"/>
    <w:rsid w:val="00593DAC"/>
    <w:rsid w:val="00593DDE"/>
    <w:rsid w:val="00593F4D"/>
    <w:rsid w:val="005941E3"/>
    <w:rsid w:val="00594219"/>
    <w:rsid w:val="005943FB"/>
    <w:rsid w:val="005945ED"/>
    <w:rsid w:val="005946C2"/>
    <w:rsid w:val="00594ABA"/>
    <w:rsid w:val="00594BDE"/>
    <w:rsid w:val="00594D4E"/>
    <w:rsid w:val="00595100"/>
    <w:rsid w:val="0059557B"/>
    <w:rsid w:val="005956EE"/>
    <w:rsid w:val="00595CF7"/>
    <w:rsid w:val="00595F67"/>
    <w:rsid w:val="00595FD5"/>
    <w:rsid w:val="00596E81"/>
    <w:rsid w:val="00596EB9"/>
    <w:rsid w:val="005970C0"/>
    <w:rsid w:val="00597154"/>
    <w:rsid w:val="005971FD"/>
    <w:rsid w:val="0059750F"/>
    <w:rsid w:val="0059781B"/>
    <w:rsid w:val="00597A30"/>
    <w:rsid w:val="00597BB2"/>
    <w:rsid w:val="00597D7B"/>
    <w:rsid w:val="005A01C4"/>
    <w:rsid w:val="005A0230"/>
    <w:rsid w:val="005A0308"/>
    <w:rsid w:val="005A0348"/>
    <w:rsid w:val="005A037A"/>
    <w:rsid w:val="005A0540"/>
    <w:rsid w:val="005A0B80"/>
    <w:rsid w:val="005A0BCA"/>
    <w:rsid w:val="005A1578"/>
    <w:rsid w:val="005A1628"/>
    <w:rsid w:val="005A1C6C"/>
    <w:rsid w:val="005A1DDA"/>
    <w:rsid w:val="005A202B"/>
    <w:rsid w:val="005A212F"/>
    <w:rsid w:val="005A213B"/>
    <w:rsid w:val="005A2387"/>
    <w:rsid w:val="005A242E"/>
    <w:rsid w:val="005A2543"/>
    <w:rsid w:val="005A277C"/>
    <w:rsid w:val="005A27C2"/>
    <w:rsid w:val="005A2D04"/>
    <w:rsid w:val="005A2FE2"/>
    <w:rsid w:val="005A3064"/>
    <w:rsid w:val="005A35E0"/>
    <w:rsid w:val="005A37CF"/>
    <w:rsid w:val="005A3900"/>
    <w:rsid w:val="005A460A"/>
    <w:rsid w:val="005A4699"/>
    <w:rsid w:val="005A474C"/>
    <w:rsid w:val="005A4946"/>
    <w:rsid w:val="005A4A0D"/>
    <w:rsid w:val="005A4B5B"/>
    <w:rsid w:val="005A4BE2"/>
    <w:rsid w:val="005A5731"/>
    <w:rsid w:val="005A5CD2"/>
    <w:rsid w:val="005A5E16"/>
    <w:rsid w:val="005A633F"/>
    <w:rsid w:val="005A6A23"/>
    <w:rsid w:val="005A76B8"/>
    <w:rsid w:val="005A7745"/>
    <w:rsid w:val="005A7D0D"/>
    <w:rsid w:val="005B020B"/>
    <w:rsid w:val="005B04F4"/>
    <w:rsid w:val="005B061A"/>
    <w:rsid w:val="005B0861"/>
    <w:rsid w:val="005B0ACD"/>
    <w:rsid w:val="005B0C8E"/>
    <w:rsid w:val="005B10A0"/>
    <w:rsid w:val="005B11AD"/>
    <w:rsid w:val="005B1931"/>
    <w:rsid w:val="005B19D6"/>
    <w:rsid w:val="005B1D34"/>
    <w:rsid w:val="005B22DC"/>
    <w:rsid w:val="005B2456"/>
    <w:rsid w:val="005B2A2B"/>
    <w:rsid w:val="005B2CF2"/>
    <w:rsid w:val="005B2E21"/>
    <w:rsid w:val="005B2F13"/>
    <w:rsid w:val="005B304B"/>
    <w:rsid w:val="005B319C"/>
    <w:rsid w:val="005B45D2"/>
    <w:rsid w:val="005B46CF"/>
    <w:rsid w:val="005B47BA"/>
    <w:rsid w:val="005B4922"/>
    <w:rsid w:val="005B4C67"/>
    <w:rsid w:val="005B4DE4"/>
    <w:rsid w:val="005B4FF4"/>
    <w:rsid w:val="005B51BA"/>
    <w:rsid w:val="005B55E1"/>
    <w:rsid w:val="005B570A"/>
    <w:rsid w:val="005B57BB"/>
    <w:rsid w:val="005B57FE"/>
    <w:rsid w:val="005B5A9A"/>
    <w:rsid w:val="005B5F75"/>
    <w:rsid w:val="005B6BCD"/>
    <w:rsid w:val="005B6C53"/>
    <w:rsid w:val="005B6D80"/>
    <w:rsid w:val="005B6EE9"/>
    <w:rsid w:val="005B6F5E"/>
    <w:rsid w:val="005B7530"/>
    <w:rsid w:val="005B7775"/>
    <w:rsid w:val="005B7C67"/>
    <w:rsid w:val="005B7F02"/>
    <w:rsid w:val="005C098C"/>
    <w:rsid w:val="005C0997"/>
    <w:rsid w:val="005C0C98"/>
    <w:rsid w:val="005C0EC8"/>
    <w:rsid w:val="005C13A3"/>
    <w:rsid w:val="005C1AAC"/>
    <w:rsid w:val="005C1CB0"/>
    <w:rsid w:val="005C1ED6"/>
    <w:rsid w:val="005C229E"/>
    <w:rsid w:val="005C292F"/>
    <w:rsid w:val="005C32AF"/>
    <w:rsid w:val="005C35DD"/>
    <w:rsid w:val="005C3621"/>
    <w:rsid w:val="005C3691"/>
    <w:rsid w:val="005C3831"/>
    <w:rsid w:val="005C3AA3"/>
    <w:rsid w:val="005C41F9"/>
    <w:rsid w:val="005C4269"/>
    <w:rsid w:val="005C4438"/>
    <w:rsid w:val="005C44D7"/>
    <w:rsid w:val="005C45F7"/>
    <w:rsid w:val="005C472B"/>
    <w:rsid w:val="005C49F7"/>
    <w:rsid w:val="005C4A0D"/>
    <w:rsid w:val="005C4A37"/>
    <w:rsid w:val="005C503B"/>
    <w:rsid w:val="005C528E"/>
    <w:rsid w:val="005C54B7"/>
    <w:rsid w:val="005C56CE"/>
    <w:rsid w:val="005C581C"/>
    <w:rsid w:val="005C5A5F"/>
    <w:rsid w:val="005C5B4A"/>
    <w:rsid w:val="005C5BBC"/>
    <w:rsid w:val="005C5F0D"/>
    <w:rsid w:val="005C623B"/>
    <w:rsid w:val="005C6522"/>
    <w:rsid w:val="005C6621"/>
    <w:rsid w:val="005C66B9"/>
    <w:rsid w:val="005C6727"/>
    <w:rsid w:val="005C6CD2"/>
    <w:rsid w:val="005C7069"/>
    <w:rsid w:val="005C71BD"/>
    <w:rsid w:val="005C73F0"/>
    <w:rsid w:val="005C7B08"/>
    <w:rsid w:val="005C7E46"/>
    <w:rsid w:val="005D0053"/>
    <w:rsid w:val="005D03C4"/>
    <w:rsid w:val="005D04E5"/>
    <w:rsid w:val="005D06F2"/>
    <w:rsid w:val="005D0774"/>
    <w:rsid w:val="005D07A6"/>
    <w:rsid w:val="005D07D0"/>
    <w:rsid w:val="005D0C9D"/>
    <w:rsid w:val="005D0D5D"/>
    <w:rsid w:val="005D0E8C"/>
    <w:rsid w:val="005D0E92"/>
    <w:rsid w:val="005D117D"/>
    <w:rsid w:val="005D23AC"/>
    <w:rsid w:val="005D2587"/>
    <w:rsid w:val="005D2642"/>
    <w:rsid w:val="005D27AD"/>
    <w:rsid w:val="005D28C1"/>
    <w:rsid w:val="005D2A5F"/>
    <w:rsid w:val="005D2BDE"/>
    <w:rsid w:val="005D30AD"/>
    <w:rsid w:val="005D3356"/>
    <w:rsid w:val="005D34DF"/>
    <w:rsid w:val="005D35ED"/>
    <w:rsid w:val="005D36E5"/>
    <w:rsid w:val="005D3C1A"/>
    <w:rsid w:val="005D3D5F"/>
    <w:rsid w:val="005D3EC2"/>
    <w:rsid w:val="005D3FE8"/>
    <w:rsid w:val="005D4014"/>
    <w:rsid w:val="005D42E0"/>
    <w:rsid w:val="005D44CB"/>
    <w:rsid w:val="005D5032"/>
    <w:rsid w:val="005D50C6"/>
    <w:rsid w:val="005D54C6"/>
    <w:rsid w:val="005D5522"/>
    <w:rsid w:val="005D575A"/>
    <w:rsid w:val="005D5AD0"/>
    <w:rsid w:val="005D5CFA"/>
    <w:rsid w:val="005D5DF0"/>
    <w:rsid w:val="005D6030"/>
    <w:rsid w:val="005D622F"/>
    <w:rsid w:val="005D63FB"/>
    <w:rsid w:val="005D6780"/>
    <w:rsid w:val="005D67B0"/>
    <w:rsid w:val="005D67F7"/>
    <w:rsid w:val="005D69DB"/>
    <w:rsid w:val="005D69EA"/>
    <w:rsid w:val="005D6A09"/>
    <w:rsid w:val="005D7006"/>
    <w:rsid w:val="005D7AC0"/>
    <w:rsid w:val="005E008F"/>
    <w:rsid w:val="005E00B9"/>
    <w:rsid w:val="005E01FA"/>
    <w:rsid w:val="005E0373"/>
    <w:rsid w:val="005E1089"/>
    <w:rsid w:val="005E18FA"/>
    <w:rsid w:val="005E1AA7"/>
    <w:rsid w:val="005E1D4F"/>
    <w:rsid w:val="005E1E76"/>
    <w:rsid w:val="005E2157"/>
    <w:rsid w:val="005E24AA"/>
    <w:rsid w:val="005E25AD"/>
    <w:rsid w:val="005E2681"/>
    <w:rsid w:val="005E27D2"/>
    <w:rsid w:val="005E29BB"/>
    <w:rsid w:val="005E2B56"/>
    <w:rsid w:val="005E3BEB"/>
    <w:rsid w:val="005E3F51"/>
    <w:rsid w:val="005E3FC1"/>
    <w:rsid w:val="005E4253"/>
    <w:rsid w:val="005E4276"/>
    <w:rsid w:val="005E4485"/>
    <w:rsid w:val="005E46A5"/>
    <w:rsid w:val="005E4A10"/>
    <w:rsid w:val="005E4DA2"/>
    <w:rsid w:val="005E4E49"/>
    <w:rsid w:val="005E59AD"/>
    <w:rsid w:val="005E59ED"/>
    <w:rsid w:val="005E62AA"/>
    <w:rsid w:val="005E656F"/>
    <w:rsid w:val="005E6741"/>
    <w:rsid w:val="005E6909"/>
    <w:rsid w:val="005E6A52"/>
    <w:rsid w:val="005E6A53"/>
    <w:rsid w:val="005E6B6C"/>
    <w:rsid w:val="005E6C81"/>
    <w:rsid w:val="005E6D99"/>
    <w:rsid w:val="005E6EAD"/>
    <w:rsid w:val="005E7010"/>
    <w:rsid w:val="005E70E4"/>
    <w:rsid w:val="005E71F3"/>
    <w:rsid w:val="005E722F"/>
    <w:rsid w:val="005E7523"/>
    <w:rsid w:val="005E7C20"/>
    <w:rsid w:val="005E7DFB"/>
    <w:rsid w:val="005E7F8E"/>
    <w:rsid w:val="005F04AD"/>
    <w:rsid w:val="005F10C3"/>
    <w:rsid w:val="005F119A"/>
    <w:rsid w:val="005F145C"/>
    <w:rsid w:val="005F1650"/>
    <w:rsid w:val="005F18A6"/>
    <w:rsid w:val="005F1AFE"/>
    <w:rsid w:val="005F219B"/>
    <w:rsid w:val="005F2469"/>
    <w:rsid w:val="005F24B9"/>
    <w:rsid w:val="005F24ED"/>
    <w:rsid w:val="005F28B8"/>
    <w:rsid w:val="005F2B36"/>
    <w:rsid w:val="005F2BC9"/>
    <w:rsid w:val="005F30E5"/>
    <w:rsid w:val="005F3104"/>
    <w:rsid w:val="005F32F3"/>
    <w:rsid w:val="005F3EF3"/>
    <w:rsid w:val="005F45E0"/>
    <w:rsid w:val="005F4629"/>
    <w:rsid w:val="005F4644"/>
    <w:rsid w:val="005F4CB8"/>
    <w:rsid w:val="005F51EC"/>
    <w:rsid w:val="005F538B"/>
    <w:rsid w:val="005F55A0"/>
    <w:rsid w:val="005F578C"/>
    <w:rsid w:val="005F58BD"/>
    <w:rsid w:val="005F6166"/>
    <w:rsid w:val="005F636E"/>
    <w:rsid w:val="005F63BC"/>
    <w:rsid w:val="005F674C"/>
    <w:rsid w:val="005F679C"/>
    <w:rsid w:val="005F6CDC"/>
    <w:rsid w:val="005F6D1E"/>
    <w:rsid w:val="005F736A"/>
    <w:rsid w:val="005F7822"/>
    <w:rsid w:val="005F7F23"/>
    <w:rsid w:val="0060022B"/>
    <w:rsid w:val="00600390"/>
    <w:rsid w:val="006003E3"/>
    <w:rsid w:val="006004A2"/>
    <w:rsid w:val="00600663"/>
    <w:rsid w:val="00600687"/>
    <w:rsid w:val="0060099B"/>
    <w:rsid w:val="00600A6F"/>
    <w:rsid w:val="00600B4C"/>
    <w:rsid w:val="00600C0A"/>
    <w:rsid w:val="00600F77"/>
    <w:rsid w:val="006011F9"/>
    <w:rsid w:val="0060128A"/>
    <w:rsid w:val="0060168A"/>
    <w:rsid w:val="00601E55"/>
    <w:rsid w:val="00602459"/>
    <w:rsid w:val="00602B5F"/>
    <w:rsid w:val="00603003"/>
    <w:rsid w:val="006030DB"/>
    <w:rsid w:val="00603246"/>
    <w:rsid w:val="00603302"/>
    <w:rsid w:val="00603423"/>
    <w:rsid w:val="006034C7"/>
    <w:rsid w:val="006035D6"/>
    <w:rsid w:val="006037D6"/>
    <w:rsid w:val="00603A86"/>
    <w:rsid w:val="006041AD"/>
    <w:rsid w:val="00604333"/>
    <w:rsid w:val="006043C2"/>
    <w:rsid w:val="00604940"/>
    <w:rsid w:val="00604AE1"/>
    <w:rsid w:val="00605163"/>
    <w:rsid w:val="006052D5"/>
    <w:rsid w:val="00605357"/>
    <w:rsid w:val="00605463"/>
    <w:rsid w:val="00605469"/>
    <w:rsid w:val="00606395"/>
    <w:rsid w:val="00606930"/>
    <w:rsid w:val="00606A60"/>
    <w:rsid w:val="00606C54"/>
    <w:rsid w:val="00606DF8"/>
    <w:rsid w:val="006070DD"/>
    <w:rsid w:val="00607156"/>
    <w:rsid w:val="00607260"/>
    <w:rsid w:val="00607863"/>
    <w:rsid w:val="00607A60"/>
    <w:rsid w:val="00607AF0"/>
    <w:rsid w:val="00607B56"/>
    <w:rsid w:val="00607C90"/>
    <w:rsid w:val="00607D4A"/>
    <w:rsid w:val="00607F85"/>
    <w:rsid w:val="0061029F"/>
    <w:rsid w:val="006103A4"/>
    <w:rsid w:val="006105DF"/>
    <w:rsid w:val="00610880"/>
    <w:rsid w:val="00610B1B"/>
    <w:rsid w:val="00610C61"/>
    <w:rsid w:val="00610D77"/>
    <w:rsid w:val="00611463"/>
    <w:rsid w:val="00611AD2"/>
    <w:rsid w:val="00611C6E"/>
    <w:rsid w:val="00612303"/>
    <w:rsid w:val="006127A3"/>
    <w:rsid w:val="00612859"/>
    <w:rsid w:val="00612FA3"/>
    <w:rsid w:val="006130EA"/>
    <w:rsid w:val="0061354C"/>
    <w:rsid w:val="00613781"/>
    <w:rsid w:val="00613BC8"/>
    <w:rsid w:val="00613C5A"/>
    <w:rsid w:val="00613C9E"/>
    <w:rsid w:val="00613DA1"/>
    <w:rsid w:val="00613E5C"/>
    <w:rsid w:val="00613ED8"/>
    <w:rsid w:val="00613F09"/>
    <w:rsid w:val="00614828"/>
    <w:rsid w:val="00614907"/>
    <w:rsid w:val="006149A3"/>
    <w:rsid w:val="00614EFF"/>
    <w:rsid w:val="0061502F"/>
    <w:rsid w:val="0061533D"/>
    <w:rsid w:val="00615382"/>
    <w:rsid w:val="006153F3"/>
    <w:rsid w:val="00615661"/>
    <w:rsid w:val="00615E3D"/>
    <w:rsid w:val="0061619C"/>
    <w:rsid w:val="0061621F"/>
    <w:rsid w:val="0061686F"/>
    <w:rsid w:val="00616870"/>
    <w:rsid w:val="00616BB7"/>
    <w:rsid w:val="00616BE0"/>
    <w:rsid w:val="00616C32"/>
    <w:rsid w:val="00616CE6"/>
    <w:rsid w:val="00616D55"/>
    <w:rsid w:val="00616E4E"/>
    <w:rsid w:val="00617171"/>
    <w:rsid w:val="006171F8"/>
    <w:rsid w:val="00617802"/>
    <w:rsid w:val="00617D5E"/>
    <w:rsid w:val="00617F11"/>
    <w:rsid w:val="00617F82"/>
    <w:rsid w:val="006204F9"/>
    <w:rsid w:val="00620A85"/>
    <w:rsid w:val="00620B14"/>
    <w:rsid w:val="00620BB2"/>
    <w:rsid w:val="00620C47"/>
    <w:rsid w:val="00620EC1"/>
    <w:rsid w:val="0062110D"/>
    <w:rsid w:val="006213E5"/>
    <w:rsid w:val="0062188D"/>
    <w:rsid w:val="006218CD"/>
    <w:rsid w:val="00621981"/>
    <w:rsid w:val="00621EDD"/>
    <w:rsid w:val="0062258D"/>
    <w:rsid w:val="00622BCF"/>
    <w:rsid w:val="00623620"/>
    <w:rsid w:val="0062377B"/>
    <w:rsid w:val="00623F6D"/>
    <w:rsid w:val="006242CB"/>
    <w:rsid w:val="006242E1"/>
    <w:rsid w:val="00624A34"/>
    <w:rsid w:val="00624E1A"/>
    <w:rsid w:val="006252C2"/>
    <w:rsid w:val="006253B2"/>
    <w:rsid w:val="0062593A"/>
    <w:rsid w:val="006259B9"/>
    <w:rsid w:val="00625FA4"/>
    <w:rsid w:val="00626357"/>
    <w:rsid w:val="00626483"/>
    <w:rsid w:val="0062675C"/>
    <w:rsid w:val="00626B25"/>
    <w:rsid w:val="00627087"/>
    <w:rsid w:val="00627C63"/>
    <w:rsid w:val="0063016C"/>
    <w:rsid w:val="006301C3"/>
    <w:rsid w:val="0063025B"/>
    <w:rsid w:val="006302C2"/>
    <w:rsid w:val="00630607"/>
    <w:rsid w:val="00630719"/>
    <w:rsid w:val="0063087A"/>
    <w:rsid w:val="00630BDE"/>
    <w:rsid w:val="00630C09"/>
    <w:rsid w:val="00630E70"/>
    <w:rsid w:val="00630F02"/>
    <w:rsid w:val="0063111C"/>
    <w:rsid w:val="00631D06"/>
    <w:rsid w:val="00632196"/>
    <w:rsid w:val="006322DF"/>
    <w:rsid w:val="0063306A"/>
    <w:rsid w:val="00633124"/>
    <w:rsid w:val="00633231"/>
    <w:rsid w:val="006332EE"/>
    <w:rsid w:val="00633519"/>
    <w:rsid w:val="0063358F"/>
    <w:rsid w:val="00633699"/>
    <w:rsid w:val="00634118"/>
    <w:rsid w:val="006342B8"/>
    <w:rsid w:val="006344A3"/>
    <w:rsid w:val="0063450E"/>
    <w:rsid w:val="006345F4"/>
    <w:rsid w:val="006346C7"/>
    <w:rsid w:val="00634A44"/>
    <w:rsid w:val="00634AF4"/>
    <w:rsid w:val="00634CAE"/>
    <w:rsid w:val="00634DD7"/>
    <w:rsid w:val="00634DEB"/>
    <w:rsid w:val="00635069"/>
    <w:rsid w:val="006353C8"/>
    <w:rsid w:val="0063545B"/>
    <w:rsid w:val="006354EB"/>
    <w:rsid w:val="006355B5"/>
    <w:rsid w:val="00635A02"/>
    <w:rsid w:val="00635BFF"/>
    <w:rsid w:val="00635D83"/>
    <w:rsid w:val="0063643A"/>
    <w:rsid w:val="0063650A"/>
    <w:rsid w:val="00636987"/>
    <w:rsid w:val="006369C0"/>
    <w:rsid w:val="00636A1D"/>
    <w:rsid w:val="00636B79"/>
    <w:rsid w:val="00636F80"/>
    <w:rsid w:val="00636FE1"/>
    <w:rsid w:val="00637AAA"/>
    <w:rsid w:val="00637BE1"/>
    <w:rsid w:val="00637C84"/>
    <w:rsid w:val="006407B3"/>
    <w:rsid w:val="00640913"/>
    <w:rsid w:val="00640B0A"/>
    <w:rsid w:val="00640B22"/>
    <w:rsid w:val="00640D68"/>
    <w:rsid w:val="006412C0"/>
    <w:rsid w:val="00641306"/>
    <w:rsid w:val="0064131A"/>
    <w:rsid w:val="00641813"/>
    <w:rsid w:val="006418BC"/>
    <w:rsid w:val="00641D15"/>
    <w:rsid w:val="00641DA3"/>
    <w:rsid w:val="0064221A"/>
    <w:rsid w:val="00642506"/>
    <w:rsid w:val="00642696"/>
    <w:rsid w:val="00642B3E"/>
    <w:rsid w:val="00642B54"/>
    <w:rsid w:val="00642D5A"/>
    <w:rsid w:val="006430E4"/>
    <w:rsid w:val="006431E4"/>
    <w:rsid w:val="0064354D"/>
    <w:rsid w:val="00644C01"/>
    <w:rsid w:val="00644D1C"/>
    <w:rsid w:val="00645235"/>
    <w:rsid w:val="00645379"/>
    <w:rsid w:val="006453FC"/>
    <w:rsid w:val="0064549D"/>
    <w:rsid w:val="00645521"/>
    <w:rsid w:val="00645621"/>
    <w:rsid w:val="00645C13"/>
    <w:rsid w:val="00645FC8"/>
    <w:rsid w:val="006460DA"/>
    <w:rsid w:val="00646111"/>
    <w:rsid w:val="00646468"/>
    <w:rsid w:val="00646485"/>
    <w:rsid w:val="006464D4"/>
    <w:rsid w:val="00646644"/>
    <w:rsid w:val="006466D7"/>
    <w:rsid w:val="00646A60"/>
    <w:rsid w:val="00646A69"/>
    <w:rsid w:val="00646C27"/>
    <w:rsid w:val="0064717D"/>
    <w:rsid w:val="006471E6"/>
    <w:rsid w:val="0064730B"/>
    <w:rsid w:val="00647459"/>
    <w:rsid w:val="0064776C"/>
    <w:rsid w:val="00647777"/>
    <w:rsid w:val="006477F1"/>
    <w:rsid w:val="00647D5D"/>
    <w:rsid w:val="00647E0D"/>
    <w:rsid w:val="00647FFA"/>
    <w:rsid w:val="006504F0"/>
    <w:rsid w:val="00650C2D"/>
    <w:rsid w:val="00650CC4"/>
    <w:rsid w:val="00650D6D"/>
    <w:rsid w:val="00650E5F"/>
    <w:rsid w:val="00650F00"/>
    <w:rsid w:val="0065116F"/>
    <w:rsid w:val="006512E6"/>
    <w:rsid w:val="0065171E"/>
    <w:rsid w:val="00651A38"/>
    <w:rsid w:val="00651C94"/>
    <w:rsid w:val="00651E50"/>
    <w:rsid w:val="006525B1"/>
    <w:rsid w:val="00652B40"/>
    <w:rsid w:val="00652F06"/>
    <w:rsid w:val="006530BB"/>
    <w:rsid w:val="006537A1"/>
    <w:rsid w:val="00653A98"/>
    <w:rsid w:val="00653B1C"/>
    <w:rsid w:val="00653FB8"/>
    <w:rsid w:val="006545B7"/>
    <w:rsid w:val="00654A81"/>
    <w:rsid w:val="00654B20"/>
    <w:rsid w:val="00655389"/>
    <w:rsid w:val="00655463"/>
    <w:rsid w:val="00655C3B"/>
    <w:rsid w:val="00656619"/>
    <w:rsid w:val="00656761"/>
    <w:rsid w:val="00657035"/>
    <w:rsid w:val="006571C4"/>
    <w:rsid w:val="0065735C"/>
    <w:rsid w:val="006574DC"/>
    <w:rsid w:val="0065782E"/>
    <w:rsid w:val="00657995"/>
    <w:rsid w:val="0066019D"/>
    <w:rsid w:val="006604F3"/>
    <w:rsid w:val="0066083F"/>
    <w:rsid w:val="00660F1B"/>
    <w:rsid w:val="0066143C"/>
    <w:rsid w:val="006616EF"/>
    <w:rsid w:val="00661738"/>
    <w:rsid w:val="0066186F"/>
    <w:rsid w:val="006619DD"/>
    <w:rsid w:val="00661D89"/>
    <w:rsid w:val="00661EF9"/>
    <w:rsid w:val="00661F12"/>
    <w:rsid w:val="00661FCF"/>
    <w:rsid w:val="00662121"/>
    <w:rsid w:val="006623B1"/>
    <w:rsid w:val="0066254C"/>
    <w:rsid w:val="00662723"/>
    <w:rsid w:val="00662B9F"/>
    <w:rsid w:val="00662C25"/>
    <w:rsid w:val="00662D5F"/>
    <w:rsid w:val="006631B4"/>
    <w:rsid w:val="006631B8"/>
    <w:rsid w:val="00663253"/>
    <w:rsid w:val="00663598"/>
    <w:rsid w:val="006637D0"/>
    <w:rsid w:val="00663811"/>
    <w:rsid w:val="006639A9"/>
    <w:rsid w:val="006639E0"/>
    <w:rsid w:val="00663C89"/>
    <w:rsid w:val="006642DE"/>
    <w:rsid w:val="006646A4"/>
    <w:rsid w:val="006646BC"/>
    <w:rsid w:val="00664845"/>
    <w:rsid w:val="0066491C"/>
    <w:rsid w:val="006654C4"/>
    <w:rsid w:val="00665A72"/>
    <w:rsid w:val="00665BB3"/>
    <w:rsid w:val="0066614C"/>
    <w:rsid w:val="006664CB"/>
    <w:rsid w:val="00666ECB"/>
    <w:rsid w:val="00666ED8"/>
    <w:rsid w:val="00666EE5"/>
    <w:rsid w:val="006670CB"/>
    <w:rsid w:val="0066715E"/>
    <w:rsid w:val="006672D0"/>
    <w:rsid w:val="006672FC"/>
    <w:rsid w:val="006674E3"/>
    <w:rsid w:val="0066756D"/>
    <w:rsid w:val="0066764D"/>
    <w:rsid w:val="0066786E"/>
    <w:rsid w:val="00667A22"/>
    <w:rsid w:val="00667AEE"/>
    <w:rsid w:val="00667DDE"/>
    <w:rsid w:val="006701EA"/>
    <w:rsid w:val="006702F2"/>
    <w:rsid w:val="006704F8"/>
    <w:rsid w:val="0067054E"/>
    <w:rsid w:val="006706BB"/>
    <w:rsid w:val="006706D0"/>
    <w:rsid w:val="0067081D"/>
    <w:rsid w:val="00670A05"/>
    <w:rsid w:val="00670B29"/>
    <w:rsid w:val="00670CC3"/>
    <w:rsid w:val="0067126A"/>
    <w:rsid w:val="006713EE"/>
    <w:rsid w:val="006718B8"/>
    <w:rsid w:val="0067199A"/>
    <w:rsid w:val="00671CE5"/>
    <w:rsid w:val="006721B2"/>
    <w:rsid w:val="00672747"/>
    <w:rsid w:val="0067292E"/>
    <w:rsid w:val="00672F9E"/>
    <w:rsid w:val="00673173"/>
    <w:rsid w:val="006734BC"/>
    <w:rsid w:val="006735C9"/>
    <w:rsid w:val="00673610"/>
    <w:rsid w:val="006741C2"/>
    <w:rsid w:val="00674539"/>
    <w:rsid w:val="00674588"/>
    <w:rsid w:val="00674B07"/>
    <w:rsid w:val="00674C75"/>
    <w:rsid w:val="00675248"/>
    <w:rsid w:val="0067524E"/>
    <w:rsid w:val="006752C2"/>
    <w:rsid w:val="006753F5"/>
    <w:rsid w:val="00675476"/>
    <w:rsid w:val="00675861"/>
    <w:rsid w:val="00675893"/>
    <w:rsid w:val="00675948"/>
    <w:rsid w:val="00675B3A"/>
    <w:rsid w:val="00675B86"/>
    <w:rsid w:val="00675F55"/>
    <w:rsid w:val="00676018"/>
    <w:rsid w:val="0067622D"/>
    <w:rsid w:val="0067642D"/>
    <w:rsid w:val="006765E1"/>
    <w:rsid w:val="00676C2B"/>
    <w:rsid w:val="00677291"/>
    <w:rsid w:val="006774F4"/>
    <w:rsid w:val="0067752C"/>
    <w:rsid w:val="00677BFF"/>
    <w:rsid w:val="0068003C"/>
    <w:rsid w:val="006800C0"/>
    <w:rsid w:val="00680384"/>
    <w:rsid w:val="0068059E"/>
    <w:rsid w:val="0068064B"/>
    <w:rsid w:val="00680ECF"/>
    <w:rsid w:val="00681302"/>
    <w:rsid w:val="00681438"/>
    <w:rsid w:val="00681577"/>
    <w:rsid w:val="00681953"/>
    <w:rsid w:val="00681971"/>
    <w:rsid w:val="00681975"/>
    <w:rsid w:val="006819C5"/>
    <w:rsid w:val="00681CC5"/>
    <w:rsid w:val="00681EFB"/>
    <w:rsid w:val="00682250"/>
    <w:rsid w:val="00682276"/>
    <w:rsid w:val="00682418"/>
    <w:rsid w:val="00682497"/>
    <w:rsid w:val="006829BE"/>
    <w:rsid w:val="00682B49"/>
    <w:rsid w:val="0068313A"/>
    <w:rsid w:val="006831E0"/>
    <w:rsid w:val="00683498"/>
    <w:rsid w:val="006834A6"/>
    <w:rsid w:val="00683643"/>
    <w:rsid w:val="00683978"/>
    <w:rsid w:val="00683B26"/>
    <w:rsid w:val="00683C25"/>
    <w:rsid w:val="00683D77"/>
    <w:rsid w:val="006844E9"/>
    <w:rsid w:val="00685559"/>
    <w:rsid w:val="00685E0F"/>
    <w:rsid w:val="00685FB0"/>
    <w:rsid w:val="0068624F"/>
    <w:rsid w:val="006862D9"/>
    <w:rsid w:val="00686728"/>
    <w:rsid w:val="006869CF"/>
    <w:rsid w:val="00686A00"/>
    <w:rsid w:val="006872E9"/>
    <w:rsid w:val="00687E75"/>
    <w:rsid w:val="00687EBD"/>
    <w:rsid w:val="00687F7E"/>
    <w:rsid w:val="006900AF"/>
    <w:rsid w:val="0069053B"/>
    <w:rsid w:val="006905A6"/>
    <w:rsid w:val="00690701"/>
    <w:rsid w:val="00690850"/>
    <w:rsid w:val="00690A83"/>
    <w:rsid w:val="00691285"/>
    <w:rsid w:val="006913C1"/>
    <w:rsid w:val="0069158D"/>
    <w:rsid w:val="00691A88"/>
    <w:rsid w:val="0069251E"/>
    <w:rsid w:val="006930BC"/>
    <w:rsid w:val="006931E5"/>
    <w:rsid w:val="00693291"/>
    <w:rsid w:val="006934DE"/>
    <w:rsid w:val="006936BC"/>
    <w:rsid w:val="006938CD"/>
    <w:rsid w:val="00693AF7"/>
    <w:rsid w:val="00693D70"/>
    <w:rsid w:val="00694172"/>
    <w:rsid w:val="00694177"/>
    <w:rsid w:val="00694565"/>
    <w:rsid w:val="006948A2"/>
    <w:rsid w:val="00694C5B"/>
    <w:rsid w:val="0069512A"/>
    <w:rsid w:val="0069540F"/>
    <w:rsid w:val="006954BE"/>
    <w:rsid w:val="00695889"/>
    <w:rsid w:val="006959CE"/>
    <w:rsid w:val="00695B2F"/>
    <w:rsid w:val="00695E0E"/>
    <w:rsid w:val="00696003"/>
    <w:rsid w:val="0069611E"/>
    <w:rsid w:val="006961E6"/>
    <w:rsid w:val="00696442"/>
    <w:rsid w:val="00696505"/>
    <w:rsid w:val="00696559"/>
    <w:rsid w:val="0069666F"/>
    <w:rsid w:val="00696D75"/>
    <w:rsid w:val="0069746B"/>
    <w:rsid w:val="00697492"/>
    <w:rsid w:val="006974DF"/>
    <w:rsid w:val="00697939"/>
    <w:rsid w:val="006A033C"/>
    <w:rsid w:val="006A03C5"/>
    <w:rsid w:val="006A04AE"/>
    <w:rsid w:val="006A05B0"/>
    <w:rsid w:val="006A092B"/>
    <w:rsid w:val="006A0AD3"/>
    <w:rsid w:val="006A0D02"/>
    <w:rsid w:val="006A11F0"/>
    <w:rsid w:val="006A1257"/>
    <w:rsid w:val="006A1301"/>
    <w:rsid w:val="006A1524"/>
    <w:rsid w:val="006A15DE"/>
    <w:rsid w:val="006A1702"/>
    <w:rsid w:val="006A1743"/>
    <w:rsid w:val="006A1A26"/>
    <w:rsid w:val="006A201D"/>
    <w:rsid w:val="006A23C0"/>
    <w:rsid w:val="006A25F1"/>
    <w:rsid w:val="006A28D5"/>
    <w:rsid w:val="006A2908"/>
    <w:rsid w:val="006A2CF3"/>
    <w:rsid w:val="006A2E1B"/>
    <w:rsid w:val="006A2EF5"/>
    <w:rsid w:val="006A3283"/>
    <w:rsid w:val="006A334D"/>
    <w:rsid w:val="006A33F2"/>
    <w:rsid w:val="006A34D1"/>
    <w:rsid w:val="006A368E"/>
    <w:rsid w:val="006A36BB"/>
    <w:rsid w:val="006A3BC6"/>
    <w:rsid w:val="006A3F85"/>
    <w:rsid w:val="006A458B"/>
    <w:rsid w:val="006A4987"/>
    <w:rsid w:val="006A4A9C"/>
    <w:rsid w:val="006A4F68"/>
    <w:rsid w:val="006A56AC"/>
    <w:rsid w:val="006A5846"/>
    <w:rsid w:val="006A5AE9"/>
    <w:rsid w:val="006A5B35"/>
    <w:rsid w:val="006A60EE"/>
    <w:rsid w:val="006A618A"/>
    <w:rsid w:val="006A67C1"/>
    <w:rsid w:val="006A6C78"/>
    <w:rsid w:val="006A6E24"/>
    <w:rsid w:val="006A7750"/>
    <w:rsid w:val="006A7922"/>
    <w:rsid w:val="006A79F0"/>
    <w:rsid w:val="006A7E75"/>
    <w:rsid w:val="006B00AE"/>
    <w:rsid w:val="006B0472"/>
    <w:rsid w:val="006B07CF"/>
    <w:rsid w:val="006B0AD8"/>
    <w:rsid w:val="006B110C"/>
    <w:rsid w:val="006B14AB"/>
    <w:rsid w:val="006B1607"/>
    <w:rsid w:val="006B18D7"/>
    <w:rsid w:val="006B1D9C"/>
    <w:rsid w:val="006B2231"/>
    <w:rsid w:val="006B2748"/>
    <w:rsid w:val="006B2A2A"/>
    <w:rsid w:val="006B2B9D"/>
    <w:rsid w:val="006B2FAE"/>
    <w:rsid w:val="006B3016"/>
    <w:rsid w:val="006B308C"/>
    <w:rsid w:val="006B328B"/>
    <w:rsid w:val="006B345F"/>
    <w:rsid w:val="006B36EC"/>
    <w:rsid w:val="006B3742"/>
    <w:rsid w:val="006B3FE4"/>
    <w:rsid w:val="006B41EA"/>
    <w:rsid w:val="006B4917"/>
    <w:rsid w:val="006B4BDD"/>
    <w:rsid w:val="006B4C07"/>
    <w:rsid w:val="006B5766"/>
    <w:rsid w:val="006B58D7"/>
    <w:rsid w:val="006B5B99"/>
    <w:rsid w:val="006B5CCA"/>
    <w:rsid w:val="006B63DD"/>
    <w:rsid w:val="006B6738"/>
    <w:rsid w:val="006B69E2"/>
    <w:rsid w:val="006B6DFF"/>
    <w:rsid w:val="006B6E1C"/>
    <w:rsid w:val="006B6E83"/>
    <w:rsid w:val="006B6E91"/>
    <w:rsid w:val="006B6EAB"/>
    <w:rsid w:val="006B71BA"/>
    <w:rsid w:val="006B7253"/>
    <w:rsid w:val="006B72AC"/>
    <w:rsid w:val="006B769A"/>
    <w:rsid w:val="006B7701"/>
    <w:rsid w:val="006B78A0"/>
    <w:rsid w:val="006B79B4"/>
    <w:rsid w:val="006B7A57"/>
    <w:rsid w:val="006B7ECA"/>
    <w:rsid w:val="006B7F47"/>
    <w:rsid w:val="006B7F87"/>
    <w:rsid w:val="006C0086"/>
    <w:rsid w:val="006C0565"/>
    <w:rsid w:val="006C06F0"/>
    <w:rsid w:val="006C0B2F"/>
    <w:rsid w:val="006C10C1"/>
    <w:rsid w:val="006C116A"/>
    <w:rsid w:val="006C1210"/>
    <w:rsid w:val="006C144B"/>
    <w:rsid w:val="006C1454"/>
    <w:rsid w:val="006C1FE2"/>
    <w:rsid w:val="006C2140"/>
    <w:rsid w:val="006C21F6"/>
    <w:rsid w:val="006C2676"/>
    <w:rsid w:val="006C28CD"/>
    <w:rsid w:val="006C2DB3"/>
    <w:rsid w:val="006C2EFF"/>
    <w:rsid w:val="006C35FE"/>
    <w:rsid w:val="006C4AE5"/>
    <w:rsid w:val="006C5247"/>
    <w:rsid w:val="006C560C"/>
    <w:rsid w:val="006C5F41"/>
    <w:rsid w:val="006C61BE"/>
    <w:rsid w:val="006C62D5"/>
    <w:rsid w:val="006C63EE"/>
    <w:rsid w:val="006C67E9"/>
    <w:rsid w:val="006C6E59"/>
    <w:rsid w:val="006C70E4"/>
    <w:rsid w:val="006C7127"/>
    <w:rsid w:val="006C74FB"/>
    <w:rsid w:val="006C7A69"/>
    <w:rsid w:val="006C7B75"/>
    <w:rsid w:val="006C7B9C"/>
    <w:rsid w:val="006C7F0D"/>
    <w:rsid w:val="006D0556"/>
    <w:rsid w:val="006D0CB8"/>
    <w:rsid w:val="006D1634"/>
    <w:rsid w:val="006D1683"/>
    <w:rsid w:val="006D1696"/>
    <w:rsid w:val="006D1A98"/>
    <w:rsid w:val="006D1B3C"/>
    <w:rsid w:val="006D1BE6"/>
    <w:rsid w:val="006D2080"/>
    <w:rsid w:val="006D2284"/>
    <w:rsid w:val="006D2ADA"/>
    <w:rsid w:val="006D2C8C"/>
    <w:rsid w:val="006D2CB9"/>
    <w:rsid w:val="006D304E"/>
    <w:rsid w:val="006D31C4"/>
    <w:rsid w:val="006D355D"/>
    <w:rsid w:val="006D39C2"/>
    <w:rsid w:val="006D3B73"/>
    <w:rsid w:val="006D4525"/>
    <w:rsid w:val="006D4648"/>
    <w:rsid w:val="006D48F1"/>
    <w:rsid w:val="006D4A1A"/>
    <w:rsid w:val="006D50E9"/>
    <w:rsid w:val="006D5200"/>
    <w:rsid w:val="006D54A8"/>
    <w:rsid w:val="006D556E"/>
    <w:rsid w:val="006D5A14"/>
    <w:rsid w:val="006D5C81"/>
    <w:rsid w:val="006D5CF2"/>
    <w:rsid w:val="006D5D77"/>
    <w:rsid w:val="006D63DA"/>
    <w:rsid w:val="006D6438"/>
    <w:rsid w:val="006D656D"/>
    <w:rsid w:val="006D678F"/>
    <w:rsid w:val="006D6853"/>
    <w:rsid w:val="006D686C"/>
    <w:rsid w:val="006D6C6D"/>
    <w:rsid w:val="006D6D94"/>
    <w:rsid w:val="006D7120"/>
    <w:rsid w:val="006D7423"/>
    <w:rsid w:val="006D7CCB"/>
    <w:rsid w:val="006E017D"/>
    <w:rsid w:val="006E15D1"/>
    <w:rsid w:val="006E16D8"/>
    <w:rsid w:val="006E1859"/>
    <w:rsid w:val="006E29BB"/>
    <w:rsid w:val="006E2EDA"/>
    <w:rsid w:val="006E2F5A"/>
    <w:rsid w:val="006E2F8C"/>
    <w:rsid w:val="006E2FCD"/>
    <w:rsid w:val="006E3188"/>
    <w:rsid w:val="006E3295"/>
    <w:rsid w:val="006E3876"/>
    <w:rsid w:val="006E3982"/>
    <w:rsid w:val="006E3DC8"/>
    <w:rsid w:val="006E3E71"/>
    <w:rsid w:val="006E3EA2"/>
    <w:rsid w:val="006E4659"/>
    <w:rsid w:val="006E4ADE"/>
    <w:rsid w:val="006E4B15"/>
    <w:rsid w:val="006E4BAF"/>
    <w:rsid w:val="006E4EB0"/>
    <w:rsid w:val="006E4F8B"/>
    <w:rsid w:val="006E5402"/>
    <w:rsid w:val="006E545B"/>
    <w:rsid w:val="006E555D"/>
    <w:rsid w:val="006E5960"/>
    <w:rsid w:val="006E5CD5"/>
    <w:rsid w:val="006E6D43"/>
    <w:rsid w:val="006E70C2"/>
    <w:rsid w:val="006E73BA"/>
    <w:rsid w:val="006E745B"/>
    <w:rsid w:val="006E7A63"/>
    <w:rsid w:val="006F02EA"/>
    <w:rsid w:val="006F0610"/>
    <w:rsid w:val="006F09AC"/>
    <w:rsid w:val="006F1696"/>
    <w:rsid w:val="006F1721"/>
    <w:rsid w:val="006F173E"/>
    <w:rsid w:val="006F190F"/>
    <w:rsid w:val="006F193C"/>
    <w:rsid w:val="006F1FD4"/>
    <w:rsid w:val="006F2065"/>
    <w:rsid w:val="006F2880"/>
    <w:rsid w:val="006F2902"/>
    <w:rsid w:val="006F297E"/>
    <w:rsid w:val="006F2DBF"/>
    <w:rsid w:val="006F2F7D"/>
    <w:rsid w:val="006F32BC"/>
    <w:rsid w:val="006F349C"/>
    <w:rsid w:val="006F34C7"/>
    <w:rsid w:val="006F35E5"/>
    <w:rsid w:val="006F37CC"/>
    <w:rsid w:val="006F37DD"/>
    <w:rsid w:val="006F3E55"/>
    <w:rsid w:val="006F44E8"/>
    <w:rsid w:val="006F466F"/>
    <w:rsid w:val="006F4C04"/>
    <w:rsid w:val="006F4DF8"/>
    <w:rsid w:val="006F52CF"/>
    <w:rsid w:val="006F5461"/>
    <w:rsid w:val="006F5655"/>
    <w:rsid w:val="006F5900"/>
    <w:rsid w:val="006F5CF8"/>
    <w:rsid w:val="006F605A"/>
    <w:rsid w:val="006F611D"/>
    <w:rsid w:val="006F62C9"/>
    <w:rsid w:val="006F63F2"/>
    <w:rsid w:val="006F643E"/>
    <w:rsid w:val="006F672A"/>
    <w:rsid w:val="006F6F1E"/>
    <w:rsid w:val="006F70B4"/>
    <w:rsid w:val="006F743C"/>
    <w:rsid w:val="006F74C2"/>
    <w:rsid w:val="006F76C1"/>
    <w:rsid w:val="006F7760"/>
    <w:rsid w:val="006F7AED"/>
    <w:rsid w:val="006F7C3B"/>
    <w:rsid w:val="00700016"/>
    <w:rsid w:val="00700043"/>
    <w:rsid w:val="007000B0"/>
    <w:rsid w:val="007009C0"/>
    <w:rsid w:val="00700BB2"/>
    <w:rsid w:val="00700E82"/>
    <w:rsid w:val="007010E6"/>
    <w:rsid w:val="00701268"/>
    <w:rsid w:val="00701341"/>
    <w:rsid w:val="00701458"/>
    <w:rsid w:val="0070148F"/>
    <w:rsid w:val="007016FE"/>
    <w:rsid w:val="0070174C"/>
    <w:rsid w:val="00701BB7"/>
    <w:rsid w:val="00701BF4"/>
    <w:rsid w:val="00701CE5"/>
    <w:rsid w:val="00701D46"/>
    <w:rsid w:val="00702081"/>
    <w:rsid w:val="0070233E"/>
    <w:rsid w:val="007026E7"/>
    <w:rsid w:val="00702702"/>
    <w:rsid w:val="0070275C"/>
    <w:rsid w:val="00702909"/>
    <w:rsid w:val="007029A5"/>
    <w:rsid w:val="00702A44"/>
    <w:rsid w:val="00702A89"/>
    <w:rsid w:val="00702B14"/>
    <w:rsid w:val="00702D11"/>
    <w:rsid w:val="00702FB4"/>
    <w:rsid w:val="00703445"/>
    <w:rsid w:val="007034F8"/>
    <w:rsid w:val="0070361A"/>
    <w:rsid w:val="0070376F"/>
    <w:rsid w:val="00703A0F"/>
    <w:rsid w:val="00703E03"/>
    <w:rsid w:val="00704415"/>
    <w:rsid w:val="00704643"/>
    <w:rsid w:val="00704ACE"/>
    <w:rsid w:val="00705207"/>
    <w:rsid w:val="007052F8"/>
    <w:rsid w:val="00705D51"/>
    <w:rsid w:val="007062A1"/>
    <w:rsid w:val="007063EB"/>
    <w:rsid w:val="00706901"/>
    <w:rsid w:val="00706AD1"/>
    <w:rsid w:val="00706E72"/>
    <w:rsid w:val="007072CE"/>
    <w:rsid w:val="007073C9"/>
    <w:rsid w:val="007075AF"/>
    <w:rsid w:val="0071026C"/>
    <w:rsid w:val="00710A74"/>
    <w:rsid w:val="007115F3"/>
    <w:rsid w:val="00711AAC"/>
    <w:rsid w:val="00711E2B"/>
    <w:rsid w:val="007121FD"/>
    <w:rsid w:val="00712422"/>
    <w:rsid w:val="00712E62"/>
    <w:rsid w:val="00713054"/>
    <w:rsid w:val="00713104"/>
    <w:rsid w:val="00713495"/>
    <w:rsid w:val="00713967"/>
    <w:rsid w:val="00713A68"/>
    <w:rsid w:val="0071419E"/>
    <w:rsid w:val="007146E4"/>
    <w:rsid w:val="007152AE"/>
    <w:rsid w:val="00715379"/>
    <w:rsid w:val="00715508"/>
    <w:rsid w:val="00715861"/>
    <w:rsid w:val="007158A4"/>
    <w:rsid w:val="00715A01"/>
    <w:rsid w:val="00715A3E"/>
    <w:rsid w:val="00715A55"/>
    <w:rsid w:val="0071600B"/>
    <w:rsid w:val="007160B4"/>
    <w:rsid w:val="00716120"/>
    <w:rsid w:val="007163BB"/>
    <w:rsid w:val="007167F2"/>
    <w:rsid w:val="00716DC9"/>
    <w:rsid w:val="00716E76"/>
    <w:rsid w:val="00717245"/>
    <w:rsid w:val="0071727C"/>
    <w:rsid w:val="0071790B"/>
    <w:rsid w:val="0071794D"/>
    <w:rsid w:val="00717B6C"/>
    <w:rsid w:val="00717FE4"/>
    <w:rsid w:val="007201AF"/>
    <w:rsid w:val="007206F8"/>
    <w:rsid w:val="0072116E"/>
    <w:rsid w:val="00721320"/>
    <w:rsid w:val="007218D0"/>
    <w:rsid w:val="00721CBB"/>
    <w:rsid w:val="00721CEF"/>
    <w:rsid w:val="0072286B"/>
    <w:rsid w:val="00722BE8"/>
    <w:rsid w:val="00722D8C"/>
    <w:rsid w:val="00722DFB"/>
    <w:rsid w:val="00723066"/>
    <w:rsid w:val="00723230"/>
    <w:rsid w:val="00723373"/>
    <w:rsid w:val="007235D8"/>
    <w:rsid w:val="00723614"/>
    <w:rsid w:val="00723658"/>
    <w:rsid w:val="007237C5"/>
    <w:rsid w:val="00724329"/>
    <w:rsid w:val="00724975"/>
    <w:rsid w:val="00724F95"/>
    <w:rsid w:val="007250D2"/>
    <w:rsid w:val="00725201"/>
    <w:rsid w:val="0072580C"/>
    <w:rsid w:val="00725977"/>
    <w:rsid w:val="00725C22"/>
    <w:rsid w:val="00725C38"/>
    <w:rsid w:val="0072619A"/>
    <w:rsid w:val="0072643D"/>
    <w:rsid w:val="0072662C"/>
    <w:rsid w:val="0072684C"/>
    <w:rsid w:val="00726BA1"/>
    <w:rsid w:val="00726D7C"/>
    <w:rsid w:val="00726F4D"/>
    <w:rsid w:val="00727100"/>
    <w:rsid w:val="007271B0"/>
    <w:rsid w:val="007272DE"/>
    <w:rsid w:val="00727306"/>
    <w:rsid w:val="007300E2"/>
    <w:rsid w:val="00730619"/>
    <w:rsid w:val="00730664"/>
    <w:rsid w:val="00730B34"/>
    <w:rsid w:val="007312BC"/>
    <w:rsid w:val="00731311"/>
    <w:rsid w:val="007316DE"/>
    <w:rsid w:val="00731EAF"/>
    <w:rsid w:val="007322E8"/>
    <w:rsid w:val="0073237F"/>
    <w:rsid w:val="00732509"/>
    <w:rsid w:val="00732565"/>
    <w:rsid w:val="007327D4"/>
    <w:rsid w:val="007328D4"/>
    <w:rsid w:val="00732970"/>
    <w:rsid w:val="00732C9A"/>
    <w:rsid w:val="00732F25"/>
    <w:rsid w:val="007331F4"/>
    <w:rsid w:val="007333E4"/>
    <w:rsid w:val="0073349A"/>
    <w:rsid w:val="007336FA"/>
    <w:rsid w:val="00733912"/>
    <w:rsid w:val="007339CF"/>
    <w:rsid w:val="00733B49"/>
    <w:rsid w:val="00733BCF"/>
    <w:rsid w:val="00733CBF"/>
    <w:rsid w:val="0073428E"/>
    <w:rsid w:val="00734298"/>
    <w:rsid w:val="00734496"/>
    <w:rsid w:val="0073473F"/>
    <w:rsid w:val="00734751"/>
    <w:rsid w:val="00734856"/>
    <w:rsid w:val="00734876"/>
    <w:rsid w:val="0073495F"/>
    <w:rsid w:val="00734A68"/>
    <w:rsid w:val="00734E94"/>
    <w:rsid w:val="00734F81"/>
    <w:rsid w:val="00735610"/>
    <w:rsid w:val="007358E2"/>
    <w:rsid w:val="00735963"/>
    <w:rsid w:val="00735AD5"/>
    <w:rsid w:val="00735AE5"/>
    <w:rsid w:val="00735B63"/>
    <w:rsid w:val="0073616B"/>
    <w:rsid w:val="0073652F"/>
    <w:rsid w:val="00736756"/>
    <w:rsid w:val="00736960"/>
    <w:rsid w:val="00736DE2"/>
    <w:rsid w:val="0073759F"/>
    <w:rsid w:val="007378A3"/>
    <w:rsid w:val="007378FE"/>
    <w:rsid w:val="00737B96"/>
    <w:rsid w:val="007402E6"/>
    <w:rsid w:val="00740684"/>
    <w:rsid w:val="007408CB"/>
    <w:rsid w:val="00740E6A"/>
    <w:rsid w:val="00740EE8"/>
    <w:rsid w:val="00740F52"/>
    <w:rsid w:val="0074119F"/>
    <w:rsid w:val="007411D5"/>
    <w:rsid w:val="00741471"/>
    <w:rsid w:val="007419EA"/>
    <w:rsid w:val="00741DDE"/>
    <w:rsid w:val="00741E25"/>
    <w:rsid w:val="00741F8E"/>
    <w:rsid w:val="00742195"/>
    <w:rsid w:val="0074262A"/>
    <w:rsid w:val="00742A1D"/>
    <w:rsid w:val="00742B01"/>
    <w:rsid w:val="00743221"/>
    <w:rsid w:val="00743ED6"/>
    <w:rsid w:val="007441FC"/>
    <w:rsid w:val="007444B2"/>
    <w:rsid w:val="007444E4"/>
    <w:rsid w:val="00744894"/>
    <w:rsid w:val="007448FC"/>
    <w:rsid w:val="00744CB3"/>
    <w:rsid w:val="00745035"/>
    <w:rsid w:val="00745173"/>
    <w:rsid w:val="00745286"/>
    <w:rsid w:val="00745311"/>
    <w:rsid w:val="0074534C"/>
    <w:rsid w:val="0074575B"/>
    <w:rsid w:val="00745792"/>
    <w:rsid w:val="007457B2"/>
    <w:rsid w:val="00745847"/>
    <w:rsid w:val="007459E6"/>
    <w:rsid w:val="00745ADF"/>
    <w:rsid w:val="00745E11"/>
    <w:rsid w:val="00746237"/>
    <w:rsid w:val="0074627F"/>
    <w:rsid w:val="007462AC"/>
    <w:rsid w:val="007464A2"/>
    <w:rsid w:val="00746563"/>
    <w:rsid w:val="00746735"/>
    <w:rsid w:val="0074675E"/>
    <w:rsid w:val="00746AAE"/>
    <w:rsid w:val="007470B7"/>
    <w:rsid w:val="0074723E"/>
    <w:rsid w:val="00747401"/>
    <w:rsid w:val="007477B0"/>
    <w:rsid w:val="007479AB"/>
    <w:rsid w:val="007479F0"/>
    <w:rsid w:val="00747D15"/>
    <w:rsid w:val="00747DBE"/>
    <w:rsid w:val="00750158"/>
    <w:rsid w:val="0075016C"/>
    <w:rsid w:val="00750174"/>
    <w:rsid w:val="00750272"/>
    <w:rsid w:val="00750493"/>
    <w:rsid w:val="0075092B"/>
    <w:rsid w:val="00750B6C"/>
    <w:rsid w:val="00750C9F"/>
    <w:rsid w:val="00750F0A"/>
    <w:rsid w:val="00751803"/>
    <w:rsid w:val="00751C6A"/>
    <w:rsid w:val="00751DFD"/>
    <w:rsid w:val="00752577"/>
    <w:rsid w:val="00752687"/>
    <w:rsid w:val="00752D38"/>
    <w:rsid w:val="00753129"/>
    <w:rsid w:val="007531E5"/>
    <w:rsid w:val="00753733"/>
    <w:rsid w:val="0075384E"/>
    <w:rsid w:val="007544AE"/>
    <w:rsid w:val="0075481F"/>
    <w:rsid w:val="00754A57"/>
    <w:rsid w:val="00754B59"/>
    <w:rsid w:val="00754C4E"/>
    <w:rsid w:val="0075504C"/>
    <w:rsid w:val="00755674"/>
    <w:rsid w:val="00755B23"/>
    <w:rsid w:val="00755EBA"/>
    <w:rsid w:val="00756502"/>
    <w:rsid w:val="007566EC"/>
    <w:rsid w:val="00756734"/>
    <w:rsid w:val="0075698F"/>
    <w:rsid w:val="00756B22"/>
    <w:rsid w:val="00756F4F"/>
    <w:rsid w:val="00756FB8"/>
    <w:rsid w:val="00757108"/>
    <w:rsid w:val="0075723C"/>
    <w:rsid w:val="007575F4"/>
    <w:rsid w:val="00757B61"/>
    <w:rsid w:val="00757DBE"/>
    <w:rsid w:val="007604D2"/>
    <w:rsid w:val="00760682"/>
    <w:rsid w:val="00760691"/>
    <w:rsid w:val="0076080E"/>
    <w:rsid w:val="00760D35"/>
    <w:rsid w:val="00761426"/>
    <w:rsid w:val="007616CE"/>
    <w:rsid w:val="007616FA"/>
    <w:rsid w:val="00761D9C"/>
    <w:rsid w:val="00761EFB"/>
    <w:rsid w:val="007622A2"/>
    <w:rsid w:val="00762789"/>
    <w:rsid w:val="00762A2E"/>
    <w:rsid w:val="00763029"/>
    <w:rsid w:val="007630D6"/>
    <w:rsid w:val="00763246"/>
    <w:rsid w:val="0076362A"/>
    <w:rsid w:val="0076366F"/>
    <w:rsid w:val="007637F4"/>
    <w:rsid w:val="0076391A"/>
    <w:rsid w:val="00763A0F"/>
    <w:rsid w:val="0076408E"/>
    <w:rsid w:val="0076415D"/>
    <w:rsid w:val="007641F3"/>
    <w:rsid w:val="00764A56"/>
    <w:rsid w:val="00764D92"/>
    <w:rsid w:val="00764E4C"/>
    <w:rsid w:val="00765805"/>
    <w:rsid w:val="0076596E"/>
    <w:rsid w:val="00765B9D"/>
    <w:rsid w:val="007664B8"/>
    <w:rsid w:val="00766711"/>
    <w:rsid w:val="00766A4C"/>
    <w:rsid w:val="00766B9E"/>
    <w:rsid w:val="0076779F"/>
    <w:rsid w:val="00767821"/>
    <w:rsid w:val="007678BB"/>
    <w:rsid w:val="0076795B"/>
    <w:rsid w:val="00767A88"/>
    <w:rsid w:val="00767B9D"/>
    <w:rsid w:val="00767BCB"/>
    <w:rsid w:val="00767D0A"/>
    <w:rsid w:val="00770148"/>
    <w:rsid w:val="00770E30"/>
    <w:rsid w:val="00771200"/>
    <w:rsid w:val="007713F8"/>
    <w:rsid w:val="0077142C"/>
    <w:rsid w:val="00771499"/>
    <w:rsid w:val="00771669"/>
    <w:rsid w:val="00771927"/>
    <w:rsid w:val="00771A4F"/>
    <w:rsid w:val="00771B52"/>
    <w:rsid w:val="00771DB4"/>
    <w:rsid w:val="0077223B"/>
    <w:rsid w:val="00772282"/>
    <w:rsid w:val="00772599"/>
    <w:rsid w:val="007725E0"/>
    <w:rsid w:val="00772907"/>
    <w:rsid w:val="00772B7A"/>
    <w:rsid w:val="00772C67"/>
    <w:rsid w:val="00772E55"/>
    <w:rsid w:val="00772F7D"/>
    <w:rsid w:val="0077303B"/>
    <w:rsid w:val="00773667"/>
    <w:rsid w:val="00773723"/>
    <w:rsid w:val="007737B1"/>
    <w:rsid w:val="007737B7"/>
    <w:rsid w:val="007739F1"/>
    <w:rsid w:val="00773B4E"/>
    <w:rsid w:val="00773E32"/>
    <w:rsid w:val="007742D6"/>
    <w:rsid w:val="007747B0"/>
    <w:rsid w:val="007747C8"/>
    <w:rsid w:val="00774A26"/>
    <w:rsid w:val="00774A83"/>
    <w:rsid w:val="00774C81"/>
    <w:rsid w:val="00774E69"/>
    <w:rsid w:val="00774F76"/>
    <w:rsid w:val="00775116"/>
    <w:rsid w:val="00775137"/>
    <w:rsid w:val="007751D7"/>
    <w:rsid w:val="007754B8"/>
    <w:rsid w:val="00775A88"/>
    <w:rsid w:val="00775CD1"/>
    <w:rsid w:val="00775E89"/>
    <w:rsid w:val="00775EF1"/>
    <w:rsid w:val="00776240"/>
    <w:rsid w:val="00776746"/>
    <w:rsid w:val="0077681D"/>
    <w:rsid w:val="00776CB4"/>
    <w:rsid w:val="00776E61"/>
    <w:rsid w:val="00776F52"/>
    <w:rsid w:val="00776F85"/>
    <w:rsid w:val="007772C0"/>
    <w:rsid w:val="00777522"/>
    <w:rsid w:val="00777DC9"/>
    <w:rsid w:val="00777F89"/>
    <w:rsid w:val="00780113"/>
    <w:rsid w:val="00780196"/>
    <w:rsid w:val="00780368"/>
    <w:rsid w:val="00780834"/>
    <w:rsid w:val="0078084C"/>
    <w:rsid w:val="00780989"/>
    <w:rsid w:val="00780A7C"/>
    <w:rsid w:val="00781263"/>
    <w:rsid w:val="0078127C"/>
    <w:rsid w:val="00781506"/>
    <w:rsid w:val="007819D3"/>
    <w:rsid w:val="00781B57"/>
    <w:rsid w:val="00781BF0"/>
    <w:rsid w:val="00781E66"/>
    <w:rsid w:val="00781FDF"/>
    <w:rsid w:val="007822EB"/>
    <w:rsid w:val="0078283D"/>
    <w:rsid w:val="00782949"/>
    <w:rsid w:val="00782A9D"/>
    <w:rsid w:val="00782D57"/>
    <w:rsid w:val="00783236"/>
    <w:rsid w:val="00783839"/>
    <w:rsid w:val="007839C9"/>
    <w:rsid w:val="00783A06"/>
    <w:rsid w:val="00783D39"/>
    <w:rsid w:val="007841F0"/>
    <w:rsid w:val="00784441"/>
    <w:rsid w:val="0078455C"/>
    <w:rsid w:val="0078461A"/>
    <w:rsid w:val="00784A6A"/>
    <w:rsid w:val="00784B7A"/>
    <w:rsid w:val="00785064"/>
    <w:rsid w:val="00785484"/>
    <w:rsid w:val="0078561B"/>
    <w:rsid w:val="00785EA1"/>
    <w:rsid w:val="00786800"/>
    <w:rsid w:val="00786835"/>
    <w:rsid w:val="007869EE"/>
    <w:rsid w:val="00786C34"/>
    <w:rsid w:val="00786D0E"/>
    <w:rsid w:val="00786EF7"/>
    <w:rsid w:val="00786F4C"/>
    <w:rsid w:val="00786F8E"/>
    <w:rsid w:val="00787131"/>
    <w:rsid w:val="007872E2"/>
    <w:rsid w:val="0078737F"/>
    <w:rsid w:val="0078740E"/>
    <w:rsid w:val="007875D1"/>
    <w:rsid w:val="00787E26"/>
    <w:rsid w:val="00787FBF"/>
    <w:rsid w:val="0079039B"/>
    <w:rsid w:val="00790473"/>
    <w:rsid w:val="007904C9"/>
    <w:rsid w:val="00790C2B"/>
    <w:rsid w:val="00791022"/>
    <w:rsid w:val="007910B4"/>
    <w:rsid w:val="007912F1"/>
    <w:rsid w:val="0079140D"/>
    <w:rsid w:val="00791486"/>
    <w:rsid w:val="0079156D"/>
    <w:rsid w:val="00791576"/>
    <w:rsid w:val="00791999"/>
    <w:rsid w:val="00791B80"/>
    <w:rsid w:val="00791C93"/>
    <w:rsid w:val="007926D0"/>
    <w:rsid w:val="00792B0D"/>
    <w:rsid w:val="00792ED3"/>
    <w:rsid w:val="0079326F"/>
    <w:rsid w:val="0079342B"/>
    <w:rsid w:val="00793649"/>
    <w:rsid w:val="007936B6"/>
    <w:rsid w:val="00793CBF"/>
    <w:rsid w:val="00793DD8"/>
    <w:rsid w:val="00793EFD"/>
    <w:rsid w:val="007942CB"/>
    <w:rsid w:val="007944C2"/>
    <w:rsid w:val="0079465D"/>
    <w:rsid w:val="0079477F"/>
    <w:rsid w:val="007948A0"/>
    <w:rsid w:val="00794E12"/>
    <w:rsid w:val="00795024"/>
    <w:rsid w:val="0079543D"/>
    <w:rsid w:val="007954DF"/>
    <w:rsid w:val="00795590"/>
    <w:rsid w:val="00795595"/>
    <w:rsid w:val="0079572D"/>
    <w:rsid w:val="00796094"/>
    <w:rsid w:val="00796207"/>
    <w:rsid w:val="00796227"/>
    <w:rsid w:val="0079649D"/>
    <w:rsid w:val="00796505"/>
    <w:rsid w:val="00796875"/>
    <w:rsid w:val="0079698E"/>
    <w:rsid w:val="00796CC2"/>
    <w:rsid w:val="00797144"/>
    <w:rsid w:val="00797287"/>
    <w:rsid w:val="007973B0"/>
    <w:rsid w:val="0079753B"/>
    <w:rsid w:val="00797C67"/>
    <w:rsid w:val="00797FF7"/>
    <w:rsid w:val="007A0297"/>
    <w:rsid w:val="007A035C"/>
    <w:rsid w:val="007A066D"/>
    <w:rsid w:val="007A07A3"/>
    <w:rsid w:val="007A0CA6"/>
    <w:rsid w:val="007A1013"/>
    <w:rsid w:val="007A1232"/>
    <w:rsid w:val="007A168A"/>
    <w:rsid w:val="007A186B"/>
    <w:rsid w:val="007A1ACD"/>
    <w:rsid w:val="007A2310"/>
    <w:rsid w:val="007A2370"/>
    <w:rsid w:val="007A2A3B"/>
    <w:rsid w:val="007A2A5B"/>
    <w:rsid w:val="007A2A68"/>
    <w:rsid w:val="007A2AE4"/>
    <w:rsid w:val="007A2D50"/>
    <w:rsid w:val="007A304F"/>
    <w:rsid w:val="007A34A6"/>
    <w:rsid w:val="007A376F"/>
    <w:rsid w:val="007A37F1"/>
    <w:rsid w:val="007A3897"/>
    <w:rsid w:val="007A3982"/>
    <w:rsid w:val="007A3B90"/>
    <w:rsid w:val="007A3DEC"/>
    <w:rsid w:val="007A3EBF"/>
    <w:rsid w:val="007A4369"/>
    <w:rsid w:val="007A4656"/>
    <w:rsid w:val="007A469B"/>
    <w:rsid w:val="007A48C9"/>
    <w:rsid w:val="007A4D29"/>
    <w:rsid w:val="007A4EAF"/>
    <w:rsid w:val="007A4EE0"/>
    <w:rsid w:val="007A5330"/>
    <w:rsid w:val="007A55A6"/>
    <w:rsid w:val="007A56DB"/>
    <w:rsid w:val="007A5794"/>
    <w:rsid w:val="007A586E"/>
    <w:rsid w:val="007A5EE4"/>
    <w:rsid w:val="007A7004"/>
    <w:rsid w:val="007A7240"/>
    <w:rsid w:val="007A7356"/>
    <w:rsid w:val="007A74B4"/>
    <w:rsid w:val="007A79B4"/>
    <w:rsid w:val="007A7E46"/>
    <w:rsid w:val="007B003C"/>
    <w:rsid w:val="007B0EB3"/>
    <w:rsid w:val="007B132B"/>
    <w:rsid w:val="007B1612"/>
    <w:rsid w:val="007B1769"/>
    <w:rsid w:val="007B181D"/>
    <w:rsid w:val="007B1F64"/>
    <w:rsid w:val="007B22DB"/>
    <w:rsid w:val="007B2A5A"/>
    <w:rsid w:val="007B2C41"/>
    <w:rsid w:val="007B3020"/>
    <w:rsid w:val="007B372E"/>
    <w:rsid w:val="007B375F"/>
    <w:rsid w:val="007B39D3"/>
    <w:rsid w:val="007B3B5E"/>
    <w:rsid w:val="007B4695"/>
    <w:rsid w:val="007B4853"/>
    <w:rsid w:val="007B48F9"/>
    <w:rsid w:val="007B4945"/>
    <w:rsid w:val="007B500B"/>
    <w:rsid w:val="007B5319"/>
    <w:rsid w:val="007B581D"/>
    <w:rsid w:val="007B5A4A"/>
    <w:rsid w:val="007B5B51"/>
    <w:rsid w:val="007B5B5B"/>
    <w:rsid w:val="007B6697"/>
    <w:rsid w:val="007B682E"/>
    <w:rsid w:val="007B686D"/>
    <w:rsid w:val="007B6890"/>
    <w:rsid w:val="007B7002"/>
    <w:rsid w:val="007B75E4"/>
    <w:rsid w:val="007B77B7"/>
    <w:rsid w:val="007B77D6"/>
    <w:rsid w:val="007B796E"/>
    <w:rsid w:val="007B79F1"/>
    <w:rsid w:val="007C00CB"/>
    <w:rsid w:val="007C0339"/>
    <w:rsid w:val="007C03DB"/>
    <w:rsid w:val="007C0688"/>
    <w:rsid w:val="007C0B5F"/>
    <w:rsid w:val="007C102F"/>
    <w:rsid w:val="007C1129"/>
    <w:rsid w:val="007C1793"/>
    <w:rsid w:val="007C19DB"/>
    <w:rsid w:val="007C1E55"/>
    <w:rsid w:val="007C20DA"/>
    <w:rsid w:val="007C2148"/>
    <w:rsid w:val="007C256D"/>
    <w:rsid w:val="007C28D7"/>
    <w:rsid w:val="007C2C48"/>
    <w:rsid w:val="007C2D26"/>
    <w:rsid w:val="007C3001"/>
    <w:rsid w:val="007C3021"/>
    <w:rsid w:val="007C308C"/>
    <w:rsid w:val="007C349A"/>
    <w:rsid w:val="007C3AEB"/>
    <w:rsid w:val="007C3D0D"/>
    <w:rsid w:val="007C3D7C"/>
    <w:rsid w:val="007C3D9F"/>
    <w:rsid w:val="007C3DBC"/>
    <w:rsid w:val="007C414E"/>
    <w:rsid w:val="007C418C"/>
    <w:rsid w:val="007C425E"/>
    <w:rsid w:val="007C482C"/>
    <w:rsid w:val="007C4899"/>
    <w:rsid w:val="007C4A3C"/>
    <w:rsid w:val="007C5180"/>
    <w:rsid w:val="007C53F9"/>
    <w:rsid w:val="007C56ED"/>
    <w:rsid w:val="007C57C2"/>
    <w:rsid w:val="007C5A49"/>
    <w:rsid w:val="007C5C6F"/>
    <w:rsid w:val="007C5E70"/>
    <w:rsid w:val="007C5FA7"/>
    <w:rsid w:val="007C61C2"/>
    <w:rsid w:val="007C6A65"/>
    <w:rsid w:val="007C6BF9"/>
    <w:rsid w:val="007C6E5B"/>
    <w:rsid w:val="007C7167"/>
    <w:rsid w:val="007C77AF"/>
    <w:rsid w:val="007C7CAD"/>
    <w:rsid w:val="007C7D4A"/>
    <w:rsid w:val="007D010D"/>
    <w:rsid w:val="007D01AB"/>
    <w:rsid w:val="007D04E0"/>
    <w:rsid w:val="007D062B"/>
    <w:rsid w:val="007D09F1"/>
    <w:rsid w:val="007D0B6B"/>
    <w:rsid w:val="007D0E83"/>
    <w:rsid w:val="007D1087"/>
    <w:rsid w:val="007D1682"/>
    <w:rsid w:val="007D1ABA"/>
    <w:rsid w:val="007D1D90"/>
    <w:rsid w:val="007D20B9"/>
    <w:rsid w:val="007D21BC"/>
    <w:rsid w:val="007D25D6"/>
    <w:rsid w:val="007D2963"/>
    <w:rsid w:val="007D2B0A"/>
    <w:rsid w:val="007D2B69"/>
    <w:rsid w:val="007D36C4"/>
    <w:rsid w:val="007D36F2"/>
    <w:rsid w:val="007D38E6"/>
    <w:rsid w:val="007D39FA"/>
    <w:rsid w:val="007D3D8C"/>
    <w:rsid w:val="007D4190"/>
    <w:rsid w:val="007D4222"/>
    <w:rsid w:val="007D42DA"/>
    <w:rsid w:val="007D472C"/>
    <w:rsid w:val="007D47EF"/>
    <w:rsid w:val="007D50FD"/>
    <w:rsid w:val="007D5178"/>
    <w:rsid w:val="007D5361"/>
    <w:rsid w:val="007D5B9F"/>
    <w:rsid w:val="007D628A"/>
    <w:rsid w:val="007D6D94"/>
    <w:rsid w:val="007D71C6"/>
    <w:rsid w:val="007D72AF"/>
    <w:rsid w:val="007D7A90"/>
    <w:rsid w:val="007E0234"/>
    <w:rsid w:val="007E06A9"/>
    <w:rsid w:val="007E09E7"/>
    <w:rsid w:val="007E0B35"/>
    <w:rsid w:val="007E1280"/>
    <w:rsid w:val="007E14F4"/>
    <w:rsid w:val="007E1541"/>
    <w:rsid w:val="007E18EF"/>
    <w:rsid w:val="007E1F42"/>
    <w:rsid w:val="007E2179"/>
    <w:rsid w:val="007E22E9"/>
    <w:rsid w:val="007E255B"/>
    <w:rsid w:val="007E2B87"/>
    <w:rsid w:val="007E2DD2"/>
    <w:rsid w:val="007E2F03"/>
    <w:rsid w:val="007E302A"/>
    <w:rsid w:val="007E314E"/>
    <w:rsid w:val="007E316D"/>
    <w:rsid w:val="007E330F"/>
    <w:rsid w:val="007E332A"/>
    <w:rsid w:val="007E3378"/>
    <w:rsid w:val="007E3659"/>
    <w:rsid w:val="007E3660"/>
    <w:rsid w:val="007E3675"/>
    <w:rsid w:val="007E3A0A"/>
    <w:rsid w:val="007E44AA"/>
    <w:rsid w:val="007E4739"/>
    <w:rsid w:val="007E4798"/>
    <w:rsid w:val="007E4C67"/>
    <w:rsid w:val="007E4D25"/>
    <w:rsid w:val="007E5140"/>
    <w:rsid w:val="007E5220"/>
    <w:rsid w:val="007E5AEF"/>
    <w:rsid w:val="007E5B64"/>
    <w:rsid w:val="007E5ED2"/>
    <w:rsid w:val="007E6065"/>
    <w:rsid w:val="007E60CB"/>
    <w:rsid w:val="007E6379"/>
    <w:rsid w:val="007E6581"/>
    <w:rsid w:val="007E6BF2"/>
    <w:rsid w:val="007E6EFD"/>
    <w:rsid w:val="007E73D0"/>
    <w:rsid w:val="007E7413"/>
    <w:rsid w:val="007E7B9C"/>
    <w:rsid w:val="007E7ED6"/>
    <w:rsid w:val="007F055D"/>
    <w:rsid w:val="007F084B"/>
    <w:rsid w:val="007F0A4A"/>
    <w:rsid w:val="007F0B51"/>
    <w:rsid w:val="007F0C03"/>
    <w:rsid w:val="007F0F55"/>
    <w:rsid w:val="007F12B0"/>
    <w:rsid w:val="007F132B"/>
    <w:rsid w:val="007F134B"/>
    <w:rsid w:val="007F142E"/>
    <w:rsid w:val="007F166A"/>
    <w:rsid w:val="007F1773"/>
    <w:rsid w:val="007F17E8"/>
    <w:rsid w:val="007F19D6"/>
    <w:rsid w:val="007F1E18"/>
    <w:rsid w:val="007F2144"/>
    <w:rsid w:val="007F22DB"/>
    <w:rsid w:val="007F2470"/>
    <w:rsid w:val="007F271D"/>
    <w:rsid w:val="007F285D"/>
    <w:rsid w:val="007F2C72"/>
    <w:rsid w:val="007F2EC5"/>
    <w:rsid w:val="007F3074"/>
    <w:rsid w:val="007F3611"/>
    <w:rsid w:val="007F38A1"/>
    <w:rsid w:val="007F3DCD"/>
    <w:rsid w:val="007F4094"/>
    <w:rsid w:val="007F476C"/>
    <w:rsid w:val="007F48B9"/>
    <w:rsid w:val="007F4C1C"/>
    <w:rsid w:val="007F4D9A"/>
    <w:rsid w:val="007F4F2C"/>
    <w:rsid w:val="007F5298"/>
    <w:rsid w:val="007F52E8"/>
    <w:rsid w:val="007F5450"/>
    <w:rsid w:val="007F5A9B"/>
    <w:rsid w:val="007F61AA"/>
    <w:rsid w:val="007F63BE"/>
    <w:rsid w:val="007F66C0"/>
    <w:rsid w:val="007F66EA"/>
    <w:rsid w:val="007F6706"/>
    <w:rsid w:val="007F6972"/>
    <w:rsid w:val="007F6EE1"/>
    <w:rsid w:val="007F6FE0"/>
    <w:rsid w:val="007F7593"/>
    <w:rsid w:val="007F7B31"/>
    <w:rsid w:val="007F7D29"/>
    <w:rsid w:val="00800663"/>
    <w:rsid w:val="008011F5"/>
    <w:rsid w:val="00801230"/>
    <w:rsid w:val="00801293"/>
    <w:rsid w:val="00801615"/>
    <w:rsid w:val="00801B27"/>
    <w:rsid w:val="00801CBE"/>
    <w:rsid w:val="00801D8F"/>
    <w:rsid w:val="00801DC4"/>
    <w:rsid w:val="00801EA0"/>
    <w:rsid w:val="008021E9"/>
    <w:rsid w:val="0080260C"/>
    <w:rsid w:val="0080279D"/>
    <w:rsid w:val="00802845"/>
    <w:rsid w:val="008028A4"/>
    <w:rsid w:val="0080295F"/>
    <w:rsid w:val="00802C1C"/>
    <w:rsid w:val="00802C68"/>
    <w:rsid w:val="00802C74"/>
    <w:rsid w:val="0080311F"/>
    <w:rsid w:val="00803248"/>
    <w:rsid w:val="008033DE"/>
    <w:rsid w:val="008034BA"/>
    <w:rsid w:val="00803639"/>
    <w:rsid w:val="00803D0E"/>
    <w:rsid w:val="008040E7"/>
    <w:rsid w:val="00804204"/>
    <w:rsid w:val="008044EB"/>
    <w:rsid w:val="00804704"/>
    <w:rsid w:val="00804A0A"/>
    <w:rsid w:val="00804AA7"/>
    <w:rsid w:val="0080508D"/>
    <w:rsid w:val="00805090"/>
    <w:rsid w:val="00805216"/>
    <w:rsid w:val="00805512"/>
    <w:rsid w:val="0080605B"/>
    <w:rsid w:val="00806114"/>
    <w:rsid w:val="008061B0"/>
    <w:rsid w:val="00806725"/>
    <w:rsid w:val="0080686F"/>
    <w:rsid w:val="008068CC"/>
    <w:rsid w:val="008068EF"/>
    <w:rsid w:val="0080693B"/>
    <w:rsid w:val="00806CF9"/>
    <w:rsid w:val="00806D35"/>
    <w:rsid w:val="00806D64"/>
    <w:rsid w:val="0080723B"/>
    <w:rsid w:val="00807BBE"/>
    <w:rsid w:val="00807FE6"/>
    <w:rsid w:val="008100B2"/>
    <w:rsid w:val="0081024B"/>
    <w:rsid w:val="008103DB"/>
    <w:rsid w:val="008103F4"/>
    <w:rsid w:val="0081072A"/>
    <w:rsid w:val="00810AEC"/>
    <w:rsid w:val="00810B26"/>
    <w:rsid w:val="00810C1C"/>
    <w:rsid w:val="00810CD5"/>
    <w:rsid w:val="008110AD"/>
    <w:rsid w:val="008110DC"/>
    <w:rsid w:val="00811431"/>
    <w:rsid w:val="008116BD"/>
    <w:rsid w:val="008116BE"/>
    <w:rsid w:val="008125E7"/>
    <w:rsid w:val="00812B90"/>
    <w:rsid w:val="0081347C"/>
    <w:rsid w:val="00813498"/>
    <w:rsid w:val="008136AD"/>
    <w:rsid w:val="00813D8E"/>
    <w:rsid w:val="00813FA0"/>
    <w:rsid w:val="00813FA8"/>
    <w:rsid w:val="00813FCE"/>
    <w:rsid w:val="00813FD5"/>
    <w:rsid w:val="00814019"/>
    <w:rsid w:val="008140A8"/>
    <w:rsid w:val="008145A1"/>
    <w:rsid w:val="00814618"/>
    <w:rsid w:val="008146F0"/>
    <w:rsid w:val="00814721"/>
    <w:rsid w:val="00814BB0"/>
    <w:rsid w:val="00814BDD"/>
    <w:rsid w:val="00814C11"/>
    <w:rsid w:val="00814C8A"/>
    <w:rsid w:val="00814EA4"/>
    <w:rsid w:val="008150C8"/>
    <w:rsid w:val="00815449"/>
    <w:rsid w:val="0081591F"/>
    <w:rsid w:val="00815935"/>
    <w:rsid w:val="00815BF5"/>
    <w:rsid w:val="0081605B"/>
    <w:rsid w:val="0081659F"/>
    <w:rsid w:val="008165E3"/>
    <w:rsid w:val="00816E17"/>
    <w:rsid w:val="00816F66"/>
    <w:rsid w:val="00817877"/>
    <w:rsid w:val="00817BF3"/>
    <w:rsid w:val="008201B6"/>
    <w:rsid w:val="00820267"/>
    <w:rsid w:val="0082026F"/>
    <w:rsid w:val="008204E4"/>
    <w:rsid w:val="00820705"/>
    <w:rsid w:val="008207EC"/>
    <w:rsid w:val="008208BE"/>
    <w:rsid w:val="00820AB8"/>
    <w:rsid w:val="00820B2B"/>
    <w:rsid w:val="00820CFA"/>
    <w:rsid w:val="00820E18"/>
    <w:rsid w:val="00820ECE"/>
    <w:rsid w:val="00820F03"/>
    <w:rsid w:val="0082101D"/>
    <w:rsid w:val="00821185"/>
    <w:rsid w:val="00821543"/>
    <w:rsid w:val="008217DB"/>
    <w:rsid w:val="00821BEB"/>
    <w:rsid w:val="00821BFF"/>
    <w:rsid w:val="00821E42"/>
    <w:rsid w:val="00821EC0"/>
    <w:rsid w:val="00821F3B"/>
    <w:rsid w:val="00821FC6"/>
    <w:rsid w:val="00821FFD"/>
    <w:rsid w:val="00822461"/>
    <w:rsid w:val="008224E0"/>
    <w:rsid w:val="00822544"/>
    <w:rsid w:val="00822551"/>
    <w:rsid w:val="00822768"/>
    <w:rsid w:val="008229AA"/>
    <w:rsid w:val="00822FCE"/>
    <w:rsid w:val="0082326A"/>
    <w:rsid w:val="008232FB"/>
    <w:rsid w:val="0082338D"/>
    <w:rsid w:val="008233A5"/>
    <w:rsid w:val="008233BF"/>
    <w:rsid w:val="0082351A"/>
    <w:rsid w:val="00823967"/>
    <w:rsid w:val="00823CA4"/>
    <w:rsid w:val="008241AE"/>
    <w:rsid w:val="008242DA"/>
    <w:rsid w:val="0082451F"/>
    <w:rsid w:val="0082497D"/>
    <w:rsid w:val="00824996"/>
    <w:rsid w:val="00824CF5"/>
    <w:rsid w:val="00824E1B"/>
    <w:rsid w:val="00824FEE"/>
    <w:rsid w:val="00825419"/>
    <w:rsid w:val="00825F6B"/>
    <w:rsid w:val="008260CA"/>
    <w:rsid w:val="00826363"/>
    <w:rsid w:val="00826512"/>
    <w:rsid w:val="0082653A"/>
    <w:rsid w:val="008268B9"/>
    <w:rsid w:val="00826D22"/>
    <w:rsid w:val="008270D6"/>
    <w:rsid w:val="00827747"/>
    <w:rsid w:val="008277C6"/>
    <w:rsid w:val="00827893"/>
    <w:rsid w:val="00827A67"/>
    <w:rsid w:val="00827BCC"/>
    <w:rsid w:val="00827D1A"/>
    <w:rsid w:val="00827DD7"/>
    <w:rsid w:val="00827F7A"/>
    <w:rsid w:val="008303EC"/>
    <w:rsid w:val="0083047E"/>
    <w:rsid w:val="00830492"/>
    <w:rsid w:val="00830549"/>
    <w:rsid w:val="00830572"/>
    <w:rsid w:val="00830600"/>
    <w:rsid w:val="00830728"/>
    <w:rsid w:val="008307C9"/>
    <w:rsid w:val="00830854"/>
    <w:rsid w:val="00830890"/>
    <w:rsid w:val="00830A91"/>
    <w:rsid w:val="00830BD1"/>
    <w:rsid w:val="00830D41"/>
    <w:rsid w:val="00830F4E"/>
    <w:rsid w:val="0083115E"/>
    <w:rsid w:val="0083130E"/>
    <w:rsid w:val="00831584"/>
    <w:rsid w:val="00831E3A"/>
    <w:rsid w:val="00831E59"/>
    <w:rsid w:val="00832469"/>
    <w:rsid w:val="008324C8"/>
    <w:rsid w:val="00832760"/>
    <w:rsid w:val="00832C5F"/>
    <w:rsid w:val="0083304D"/>
    <w:rsid w:val="00833161"/>
    <w:rsid w:val="008335EE"/>
    <w:rsid w:val="008339B2"/>
    <w:rsid w:val="00833A11"/>
    <w:rsid w:val="00833FCC"/>
    <w:rsid w:val="00834468"/>
    <w:rsid w:val="008346CE"/>
    <w:rsid w:val="00834766"/>
    <w:rsid w:val="008349A5"/>
    <w:rsid w:val="00834A27"/>
    <w:rsid w:val="00834B95"/>
    <w:rsid w:val="0083524F"/>
    <w:rsid w:val="00835440"/>
    <w:rsid w:val="0083586C"/>
    <w:rsid w:val="00835D46"/>
    <w:rsid w:val="00836067"/>
    <w:rsid w:val="00836330"/>
    <w:rsid w:val="00836680"/>
    <w:rsid w:val="008369ED"/>
    <w:rsid w:val="00836AC8"/>
    <w:rsid w:val="00836D9F"/>
    <w:rsid w:val="00836EF0"/>
    <w:rsid w:val="008372C4"/>
    <w:rsid w:val="00837501"/>
    <w:rsid w:val="0083756F"/>
    <w:rsid w:val="008378D1"/>
    <w:rsid w:val="0084031B"/>
    <w:rsid w:val="0084039E"/>
    <w:rsid w:val="00840646"/>
    <w:rsid w:val="00840851"/>
    <w:rsid w:val="00840B62"/>
    <w:rsid w:val="00840FAA"/>
    <w:rsid w:val="008414CB"/>
    <w:rsid w:val="00841685"/>
    <w:rsid w:val="008416AB"/>
    <w:rsid w:val="008417D7"/>
    <w:rsid w:val="00841BD7"/>
    <w:rsid w:val="00841CDE"/>
    <w:rsid w:val="00841D65"/>
    <w:rsid w:val="00841F8C"/>
    <w:rsid w:val="008426EA"/>
    <w:rsid w:val="00842A88"/>
    <w:rsid w:val="00842B49"/>
    <w:rsid w:val="00842BA0"/>
    <w:rsid w:val="008430E8"/>
    <w:rsid w:val="008431A7"/>
    <w:rsid w:val="008434CA"/>
    <w:rsid w:val="00843E18"/>
    <w:rsid w:val="00843E69"/>
    <w:rsid w:val="008442F4"/>
    <w:rsid w:val="00844999"/>
    <w:rsid w:val="00844C43"/>
    <w:rsid w:val="00844C94"/>
    <w:rsid w:val="00845180"/>
    <w:rsid w:val="008456B9"/>
    <w:rsid w:val="00845BBE"/>
    <w:rsid w:val="00845C3C"/>
    <w:rsid w:val="00845E30"/>
    <w:rsid w:val="00845EAD"/>
    <w:rsid w:val="008463DC"/>
    <w:rsid w:val="00846421"/>
    <w:rsid w:val="008465FA"/>
    <w:rsid w:val="00846933"/>
    <w:rsid w:val="008470E3"/>
    <w:rsid w:val="00847337"/>
    <w:rsid w:val="00847527"/>
    <w:rsid w:val="008478BA"/>
    <w:rsid w:val="00847AE5"/>
    <w:rsid w:val="00847D69"/>
    <w:rsid w:val="008504DB"/>
    <w:rsid w:val="008505FA"/>
    <w:rsid w:val="00850652"/>
    <w:rsid w:val="008506D4"/>
    <w:rsid w:val="008506D7"/>
    <w:rsid w:val="008509EE"/>
    <w:rsid w:val="00850ED0"/>
    <w:rsid w:val="00851060"/>
    <w:rsid w:val="00851269"/>
    <w:rsid w:val="0085139B"/>
    <w:rsid w:val="0085178A"/>
    <w:rsid w:val="00851C63"/>
    <w:rsid w:val="00852723"/>
    <w:rsid w:val="00852A01"/>
    <w:rsid w:val="00852B8E"/>
    <w:rsid w:val="00852B99"/>
    <w:rsid w:val="00852F71"/>
    <w:rsid w:val="00852FA6"/>
    <w:rsid w:val="00852FCE"/>
    <w:rsid w:val="00853194"/>
    <w:rsid w:val="0085323F"/>
    <w:rsid w:val="008536D5"/>
    <w:rsid w:val="00853979"/>
    <w:rsid w:val="00853CC7"/>
    <w:rsid w:val="00854476"/>
    <w:rsid w:val="00854924"/>
    <w:rsid w:val="00854A88"/>
    <w:rsid w:val="00854ED5"/>
    <w:rsid w:val="008554C2"/>
    <w:rsid w:val="008554C4"/>
    <w:rsid w:val="00855523"/>
    <w:rsid w:val="0085597E"/>
    <w:rsid w:val="00855E15"/>
    <w:rsid w:val="00855FEA"/>
    <w:rsid w:val="00856513"/>
    <w:rsid w:val="00856579"/>
    <w:rsid w:val="00856AB0"/>
    <w:rsid w:val="00857065"/>
    <w:rsid w:val="00857191"/>
    <w:rsid w:val="00857521"/>
    <w:rsid w:val="00857760"/>
    <w:rsid w:val="008578F4"/>
    <w:rsid w:val="00857D31"/>
    <w:rsid w:val="008602E4"/>
    <w:rsid w:val="008602F2"/>
    <w:rsid w:val="00860765"/>
    <w:rsid w:val="00860B6A"/>
    <w:rsid w:val="00860B8B"/>
    <w:rsid w:val="00860D1C"/>
    <w:rsid w:val="00860ED5"/>
    <w:rsid w:val="008616D8"/>
    <w:rsid w:val="00861A0D"/>
    <w:rsid w:val="008621B5"/>
    <w:rsid w:val="0086222B"/>
    <w:rsid w:val="00862453"/>
    <w:rsid w:val="008625D4"/>
    <w:rsid w:val="00862762"/>
    <w:rsid w:val="00862EF7"/>
    <w:rsid w:val="00863092"/>
    <w:rsid w:val="008631BF"/>
    <w:rsid w:val="008637DC"/>
    <w:rsid w:val="00863C8E"/>
    <w:rsid w:val="00863CFC"/>
    <w:rsid w:val="00863DD9"/>
    <w:rsid w:val="008640D8"/>
    <w:rsid w:val="0086430E"/>
    <w:rsid w:val="00864830"/>
    <w:rsid w:val="00864AE0"/>
    <w:rsid w:val="00864CBB"/>
    <w:rsid w:val="0086509C"/>
    <w:rsid w:val="0086523B"/>
    <w:rsid w:val="008652EC"/>
    <w:rsid w:val="00865410"/>
    <w:rsid w:val="008659CA"/>
    <w:rsid w:val="00865B1E"/>
    <w:rsid w:val="00865D2D"/>
    <w:rsid w:val="00865D38"/>
    <w:rsid w:val="0086604C"/>
    <w:rsid w:val="008663B3"/>
    <w:rsid w:val="008664C8"/>
    <w:rsid w:val="00866C13"/>
    <w:rsid w:val="00866E28"/>
    <w:rsid w:val="008670C6"/>
    <w:rsid w:val="00867351"/>
    <w:rsid w:val="008673EF"/>
    <w:rsid w:val="008678B9"/>
    <w:rsid w:val="008701F1"/>
    <w:rsid w:val="00870A3C"/>
    <w:rsid w:val="0087133A"/>
    <w:rsid w:val="008713A3"/>
    <w:rsid w:val="008719D4"/>
    <w:rsid w:val="008720B0"/>
    <w:rsid w:val="0087254C"/>
    <w:rsid w:val="0087297A"/>
    <w:rsid w:val="00872CA2"/>
    <w:rsid w:val="0087333D"/>
    <w:rsid w:val="008739FE"/>
    <w:rsid w:val="00873FA7"/>
    <w:rsid w:val="00874090"/>
    <w:rsid w:val="00874134"/>
    <w:rsid w:val="008742F1"/>
    <w:rsid w:val="008745ED"/>
    <w:rsid w:val="00874670"/>
    <w:rsid w:val="008749FC"/>
    <w:rsid w:val="00874A73"/>
    <w:rsid w:val="00874B8B"/>
    <w:rsid w:val="00874BE6"/>
    <w:rsid w:val="00874C67"/>
    <w:rsid w:val="00874DEA"/>
    <w:rsid w:val="008750BB"/>
    <w:rsid w:val="0087545C"/>
    <w:rsid w:val="008759E6"/>
    <w:rsid w:val="00875A92"/>
    <w:rsid w:val="00875B79"/>
    <w:rsid w:val="00875E56"/>
    <w:rsid w:val="008762D8"/>
    <w:rsid w:val="00876444"/>
    <w:rsid w:val="0087673F"/>
    <w:rsid w:val="00876A94"/>
    <w:rsid w:val="00876F47"/>
    <w:rsid w:val="008770BF"/>
    <w:rsid w:val="008771D1"/>
    <w:rsid w:val="00877308"/>
    <w:rsid w:val="00877313"/>
    <w:rsid w:val="0087784E"/>
    <w:rsid w:val="00877B06"/>
    <w:rsid w:val="00877D34"/>
    <w:rsid w:val="00880243"/>
    <w:rsid w:val="008802F5"/>
    <w:rsid w:val="00880428"/>
    <w:rsid w:val="0088050E"/>
    <w:rsid w:val="00880CBE"/>
    <w:rsid w:val="0088104A"/>
    <w:rsid w:val="008811E4"/>
    <w:rsid w:val="008815DA"/>
    <w:rsid w:val="0088166C"/>
    <w:rsid w:val="00881723"/>
    <w:rsid w:val="008817E7"/>
    <w:rsid w:val="00881941"/>
    <w:rsid w:val="0088315D"/>
    <w:rsid w:val="0088322B"/>
    <w:rsid w:val="00883343"/>
    <w:rsid w:val="0088358F"/>
    <w:rsid w:val="00883CC6"/>
    <w:rsid w:val="00884461"/>
    <w:rsid w:val="00884577"/>
    <w:rsid w:val="008848CB"/>
    <w:rsid w:val="00884F10"/>
    <w:rsid w:val="0088500B"/>
    <w:rsid w:val="00885676"/>
    <w:rsid w:val="008856E1"/>
    <w:rsid w:val="00885B8C"/>
    <w:rsid w:val="00885DD2"/>
    <w:rsid w:val="00885E2F"/>
    <w:rsid w:val="008860B2"/>
    <w:rsid w:val="0088631B"/>
    <w:rsid w:val="008867E6"/>
    <w:rsid w:val="00886D46"/>
    <w:rsid w:val="00886DB6"/>
    <w:rsid w:val="00886F09"/>
    <w:rsid w:val="008871A2"/>
    <w:rsid w:val="0088724E"/>
    <w:rsid w:val="00887335"/>
    <w:rsid w:val="0088798F"/>
    <w:rsid w:val="008904C8"/>
    <w:rsid w:val="0089055B"/>
    <w:rsid w:val="008908D3"/>
    <w:rsid w:val="00890AE6"/>
    <w:rsid w:val="00891962"/>
    <w:rsid w:val="008919BE"/>
    <w:rsid w:val="00891A84"/>
    <w:rsid w:val="00891B71"/>
    <w:rsid w:val="00891DA0"/>
    <w:rsid w:val="00891E81"/>
    <w:rsid w:val="00892016"/>
    <w:rsid w:val="008920C1"/>
    <w:rsid w:val="00892187"/>
    <w:rsid w:val="0089252C"/>
    <w:rsid w:val="008926CE"/>
    <w:rsid w:val="00892DD4"/>
    <w:rsid w:val="00892DF6"/>
    <w:rsid w:val="00893183"/>
    <w:rsid w:val="00893452"/>
    <w:rsid w:val="008934E1"/>
    <w:rsid w:val="00893665"/>
    <w:rsid w:val="00893C74"/>
    <w:rsid w:val="00893C9D"/>
    <w:rsid w:val="00893E04"/>
    <w:rsid w:val="00894012"/>
    <w:rsid w:val="0089468D"/>
    <w:rsid w:val="00894AB6"/>
    <w:rsid w:val="00895201"/>
    <w:rsid w:val="0089562C"/>
    <w:rsid w:val="008957EA"/>
    <w:rsid w:val="00895C1F"/>
    <w:rsid w:val="00895D5B"/>
    <w:rsid w:val="00895E2E"/>
    <w:rsid w:val="00896225"/>
    <w:rsid w:val="0089641E"/>
    <w:rsid w:val="008964E1"/>
    <w:rsid w:val="00896A69"/>
    <w:rsid w:val="0089704C"/>
    <w:rsid w:val="00897419"/>
    <w:rsid w:val="0089751D"/>
    <w:rsid w:val="008978E9"/>
    <w:rsid w:val="00897D98"/>
    <w:rsid w:val="00897E41"/>
    <w:rsid w:val="00897F72"/>
    <w:rsid w:val="008A0771"/>
    <w:rsid w:val="008A0779"/>
    <w:rsid w:val="008A07E7"/>
    <w:rsid w:val="008A097E"/>
    <w:rsid w:val="008A0B11"/>
    <w:rsid w:val="008A0BD0"/>
    <w:rsid w:val="008A0DAF"/>
    <w:rsid w:val="008A0FCE"/>
    <w:rsid w:val="008A13D8"/>
    <w:rsid w:val="008A15DB"/>
    <w:rsid w:val="008A167E"/>
    <w:rsid w:val="008A1706"/>
    <w:rsid w:val="008A21FF"/>
    <w:rsid w:val="008A2657"/>
    <w:rsid w:val="008A29E3"/>
    <w:rsid w:val="008A2F6A"/>
    <w:rsid w:val="008A30CA"/>
    <w:rsid w:val="008A32A6"/>
    <w:rsid w:val="008A3572"/>
    <w:rsid w:val="008A39C8"/>
    <w:rsid w:val="008A3BF4"/>
    <w:rsid w:val="008A3F87"/>
    <w:rsid w:val="008A407F"/>
    <w:rsid w:val="008A41FA"/>
    <w:rsid w:val="008A4466"/>
    <w:rsid w:val="008A4613"/>
    <w:rsid w:val="008A4636"/>
    <w:rsid w:val="008A4AC6"/>
    <w:rsid w:val="008A4C6B"/>
    <w:rsid w:val="008A4F87"/>
    <w:rsid w:val="008A511D"/>
    <w:rsid w:val="008A54B2"/>
    <w:rsid w:val="008A586F"/>
    <w:rsid w:val="008A5B5F"/>
    <w:rsid w:val="008A612F"/>
    <w:rsid w:val="008A616F"/>
    <w:rsid w:val="008A7043"/>
    <w:rsid w:val="008A7854"/>
    <w:rsid w:val="008A79EC"/>
    <w:rsid w:val="008A7B62"/>
    <w:rsid w:val="008A7E53"/>
    <w:rsid w:val="008A7EDE"/>
    <w:rsid w:val="008B04F7"/>
    <w:rsid w:val="008B061B"/>
    <w:rsid w:val="008B0E4A"/>
    <w:rsid w:val="008B0E7C"/>
    <w:rsid w:val="008B0EE3"/>
    <w:rsid w:val="008B1102"/>
    <w:rsid w:val="008B12F9"/>
    <w:rsid w:val="008B1536"/>
    <w:rsid w:val="008B19AC"/>
    <w:rsid w:val="008B1FAD"/>
    <w:rsid w:val="008B230A"/>
    <w:rsid w:val="008B245A"/>
    <w:rsid w:val="008B2C0B"/>
    <w:rsid w:val="008B2DC1"/>
    <w:rsid w:val="008B3296"/>
    <w:rsid w:val="008B3489"/>
    <w:rsid w:val="008B39E1"/>
    <w:rsid w:val="008B3E6A"/>
    <w:rsid w:val="008B3E7E"/>
    <w:rsid w:val="008B3FC8"/>
    <w:rsid w:val="008B414D"/>
    <w:rsid w:val="008B4675"/>
    <w:rsid w:val="008B4728"/>
    <w:rsid w:val="008B497D"/>
    <w:rsid w:val="008B49A3"/>
    <w:rsid w:val="008B4DDA"/>
    <w:rsid w:val="008B4F59"/>
    <w:rsid w:val="008B5027"/>
    <w:rsid w:val="008B50ED"/>
    <w:rsid w:val="008B535B"/>
    <w:rsid w:val="008B58DF"/>
    <w:rsid w:val="008B5EA3"/>
    <w:rsid w:val="008B605D"/>
    <w:rsid w:val="008B64DE"/>
    <w:rsid w:val="008B6603"/>
    <w:rsid w:val="008B6760"/>
    <w:rsid w:val="008B688E"/>
    <w:rsid w:val="008B68E0"/>
    <w:rsid w:val="008B6BF4"/>
    <w:rsid w:val="008B7123"/>
    <w:rsid w:val="008B73AB"/>
    <w:rsid w:val="008B7552"/>
    <w:rsid w:val="008B7693"/>
    <w:rsid w:val="008B7732"/>
    <w:rsid w:val="008B7736"/>
    <w:rsid w:val="008B7A5C"/>
    <w:rsid w:val="008B7F28"/>
    <w:rsid w:val="008C0108"/>
    <w:rsid w:val="008C07B4"/>
    <w:rsid w:val="008C07B9"/>
    <w:rsid w:val="008C0E3F"/>
    <w:rsid w:val="008C1183"/>
    <w:rsid w:val="008C18DA"/>
    <w:rsid w:val="008C18F2"/>
    <w:rsid w:val="008C1918"/>
    <w:rsid w:val="008C1941"/>
    <w:rsid w:val="008C1CB3"/>
    <w:rsid w:val="008C1D42"/>
    <w:rsid w:val="008C1D8B"/>
    <w:rsid w:val="008C1E44"/>
    <w:rsid w:val="008C1FFC"/>
    <w:rsid w:val="008C2203"/>
    <w:rsid w:val="008C2A49"/>
    <w:rsid w:val="008C2DFD"/>
    <w:rsid w:val="008C2ED4"/>
    <w:rsid w:val="008C335C"/>
    <w:rsid w:val="008C337E"/>
    <w:rsid w:val="008C3460"/>
    <w:rsid w:val="008C3678"/>
    <w:rsid w:val="008C3693"/>
    <w:rsid w:val="008C3A7D"/>
    <w:rsid w:val="008C3B53"/>
    <w:rsid w:val="008C3E60"/>
    <w:rsid w:val="008C4224"/>
    <w:rsid w:val="008C42E0"/>
    <w:rsid w:val="008C46C3"/>
    <w:rsid w:val="008C46ED"/>
    <w:rsid w:val="008C476B"/>
    <w:rsid w:val="008C4B58"/>
    <w:rsid w:val="008C535C"/>
    <w:rsid w:val="008C5433"/>
    <w:rsid w:val="008C5C95"/>
    <w:rsid w:val="008C695E"/>
    <w:rsid w:val="008C6AF7"/>
    <w:rsid w:val="008C6B79"/>
    <w:rsid w:val="008C6C57"/>
    <w:rsid w:val="008C6D1B"/>
    <w:rsid w:val="008C6D9C"/>
    <w:rsid w:val="008C6DE8"/>
    <w:rsid w:val="008C76FB"/>
    <w:rsid w:val="008C773E"/>
    <w:rsid w:val="008C7A75"/>
    <w:rsid w:val="008C7E9E"/>
    <w:rsid w:val="008D006B"/>
    <w:rsid w:val="008D0246"/>
    <w:rsid w:val="008D064A"/>
    <w:rsid w:val="008D093E"/>
    <w:rsid w:val="008D0C2B"/>
    <w:rsid w:val="008D0EB6"/>
    <w:rsid w:val="008D1089"/>
    <w:rsid w:val="008D1188"/>
    <w:rsid w:val="008D1699"/>
    <w:rsid w:val="008D191F"/>
    <w:rsid w:val="008D19C1"/>
    <w:rsid w:val="008D1D48"/>
    <w:rsid w:val="008D1F05"/>
    <w:rsid w:val="008D2517"/>
    <w:rsid w:val="008D25B4"/>
    <w:rsid w:val="008D2B1F"/>
    <w:rsid w:val="008D2B6B"/>
    <w:rsid w:val="008D2DBC"/>
    <w:rsid w:val="008D2F52"/>
    <w:rsid w:val="008D35A0"/>
    <w:rsid w:val="008D35BE"/>
    <w:rsid w:val="008D360D"/>
    <w:rsid w:val="008D3719"/>
    <w:rsid w:val="008D3F36"/>
    <w:rsid w:val="008D4158"/>
    <w:rsid w:val="008D4688"/>
    <w:rsid w:val="008D48C9"/>
    <w:rsid w:val="008D4D75"/>
    <w:rsid w:val="008D4E43"/>
    <w:rsid w:val="008D5136"/>
    <w:rsid w:val="008D54D1"/>
    <w:rsid w:val="008D5D9C"/>
    <w:rsid w:val="008D6B70"/>
    <w:rsid w:val="008D6EDA"/>
    <w:rsid w:val="008D7419"/>
    <w:rsid w:val="008D762C"/>
    <w:rsid w:val="008D784A"/>
    <w:rsid w:val="008D792B"/>
    <w:rsid w:val="008D7BCB"/>
    <w:rsid w:val="008D7D2C"/>
    <w:rsid w:val="008E032D"/>
    <w:rsid w:val="008E0618"/>
    <w:rsid w:val="008E0817"/>
    <w:rsid w:val="008E0E20"/>
    <w:rsid w:val="008E0E47"/>
    <w:rsid w:val="008E0E7F"/>
    <w:rsid w:val="008E0F81"/>
    <w:rsid w:val="008E152D"/>
    <w:rsid w:val="008E254B"/>
    <w:rsid w:val="008E28E8"/>
    <w:rsid w:val="008E3231"/>
    <w:rsid w:val="008E35AA"/>
    <w:rsid w:val="008E373F"/>
    <w:rsid w:val="008E378E"/>
    <w:rsid w:val="008E3855"/>
    <w:rsid w:val="008E3B05"/>
    <w:rsid w:val="008E3B16"/>
    <w:rsid w:val="008E3B1F"/>
    <w:rsid w:val="008E3CF0"/>
    <w:rsid w:val="008E3D78"/>
    <w:rsid w:val="008E3ED5"/>
    <w:rsid w:val="008E3F5A"/>
    <w:rsid w:val="008E409D"/>
    <w:rsid w:val="008E42CF"/>
    <w:rsid w:val="008E43BD"/>
    <w:rsid w:val="008E4714"/>
    <w:rsid w:val="008E4AB5"/>
    <w:rsid w:val="008E4AEC"/>
    <w:rsid w:val="008E4B53"/>
    <w:rsid w:val="008E4CE3"/>
    <w:rsid w:val="008E4D8C"/>
    <w:rsid w:val="008E4FAD"/>
    <w:rsid w:val="008E4FC0"/>
    <w:rsid w:val="008E4FCF"/>
    <w:rsid w:val="008E5102"/>
    <w:rsid w:val="008E5395"/>
    <w:rsid w:val="008E55C2"/>
    <w:rsid w:val="008E563D"/>
    <w:rsid w:val="008E594A"/>
    <w:rsid w:val="008E6AA8"/>
    <w:rsid w:val="008E6CF5"/>
    <w:rsid w:val="008E6F07"/>
    <w:rsid w:val="008E6FB9"/>
    <w:rsid w:val="008E7101"/>
    <w:rsid w:val="008E7434"/>
    <w:rsid w:val="008E7502"/>
    <w:rsid w:val="008E7D7D"/>
    <w:rsid w:val="008F04A5"/>
    <w:rsid w:val="008F050A"/>
    <w:rsid w:val="008F0790"/>
    <w:rsid w:val="008F0AA4"/>
    <w:rsid w:val="008F117D"/>
    <w:rsid w:val="008F1292"/>
    <w:rsid w:val="008F1769"/>
    <w:rsid w:val="008F187A"/>
    <w:rsid w:val="008F19C5"/>
    <w:rsid w:val="008F1CBD"/>
    <w:rsid w:val="008F1D06"/>
    <w:rsid w:val="008F2049"/>
    <w:rsid w:val="008F246E"/>
    <w:rsid w:val="008F268E"/>
    <w:rsid w:val="008F2797"/>
    <w:rsid w:val="008F2968"/>
    <w:rsid w:val="008F2BCA"/>
    <w:rsid w:val="008F2CCD"/>
    <w:rsid w:val="008F3508"/>
    <w:rsid w:val="008F350B"/>
    <w:rsid w:val="008F35C2"/>
    <w:rsid w:val="008F371D"/>
    <w:rsid w:val="008F3733"/>
    <w:rsid w:val="008F3A81"/>
    <w:rsid w:val="008F3AA1"/>
    <w:rsid w:val="008F4449"/>
    <w:rsid w:val="008F472A"/>
    <w:rsid w:val="008F4EF4"/>
    <w:rsid w:val="008F4EF8"/>
    <w:rsid w:val="008F50B1"/>
    <w:rsid w:val="008F51A3"/>
    <w:rsid w:val="008F5821"/>
    <w:rsid w:val="008F5E9D"/>
    <w:rsid w:val="008F6811"/>
    <w:rsid w:val="008F69C3"/>
    <w:rsid w:val="008F6C3F"/>
    <w:rsid w:val="008F70C4"/>
    <w:rsid w:val="008F73C4"/>
    <w:rsid w:val="008F7CCA"/>
    <w:rsid w:val="008F7F22"/>
    <w:rsid w:val="00900667"/>
    <w:rsid w:val="009008A5"/>
    <w:rsid w:val="009008AE"/>
    <w:rsid w:val="00900EAF"/>
    <w:rsid w:val="00900FBC"/>
    <w:rsid w:val="00900FEC"/>
    <w:rsid w:val="00901013"/>
    <w:rsid w:val="00901075"/>
    <w:rsid w:val="00901198"/>
    <w:rsid w:val="009018BB"/>
    <w:rsid w:val="009018CC"/>
    <w:rsid w:val="009019F4"/>
    <w:rsid w:val="00901C0A"/>
    <w:rsid w:val="00901DF2"/>
    <w:rsid w:val="00901E89"/>
    <w:rsid w:val="009020FA"/>
    <w:rsid w:val="00902477"/>
    <w:rsid w:val="0090284A"/>
    <w:rsid w:val="00902D49"/>
    <w:rsid w:val="00902F55"/>
    <w:rsid w:val="009035A3"/>
    <w:rsid w:val="009037A8"/>
    <w:rsid w:val="00903A0B"/>
    <w:rsid w:val="00904071"/>
    <w:rsid w:val="0090435F"/>
    <w:rsid w:val="009045D3"/>
    <w:rsid w:val="009047C2"/>
    <w:rsid w:val="0090488F"/>
    <w:rsid w:val="00904E22"/>
    <w:rsid w:val="00904F40"/>
    <w:rsid w:val="00904FD5"/>
    <w:rsid w:val="00905251"/>
    <w:rsid w:val="00905289"/>
    <w:rsid w:val="00905612"/>
    <w:rsid w:val="00905918"/>
    <w:rsid w:val="00905B26"/>
    <w:rsid w:val="00905BEF"/>
    <w:rsid w:val="00905D5D"/>
    <w:rsid w:val="00905F92"/>
    <w:rsid w:val="0090637E"/>
    <w:rsid w:val="00906BF4"/>
    <w:rsid w:val="00906EED"/>
    <w:rsid w:val="00906F51"/>
    <w:rsid w:val="00907077"/>
    <w:rsid w:val="009072A6"/>
    <w:rsid w:val="0090733B"/>
    <w:rsid w:val="009075FB"/>
    <w:rsid w:val="00907E24"/>
    <w:rsid w:val="00907EE0"/>
    <w:rsid w:val="0091001B"/>
    <w:rsid w:val="00910079"/>
    <w:rsid w:val="00910682"/>
    <w:rsid w:val="00911038"/>
    <w:rsid w:val="0091129C"/>
    <w:rsid w:val="0091143B"/>
    <w:rsid w:val="00911453"/>
    <w:rsid w:val="00911599"/>
    <w:rsid w:val="009117BC"/>
    <w:rsid w:val="00911BE4"/>
    <w:rsid w:val="009127A0"/>
    <w:rsid w:val="009130BF"/>
    <w:rsid w:val="00913288"/>
    <w:rsid w:val="00913909"/>
    <w:rsid w:val="00913993"/>
    <w:rsid w:val="00913AFE"/>
    <w:rsid w:val="00913B05"/>
    <w:rsid w:val="00913B6E"/>
    <w:rsid w:val="00914029"/>
    <w:rsid w:val="009141E2"/>
    <w:rsid w:val="0091441D"/>
    <w:rsid w:val="009144A4"/>
    <w:rsid w:val="00914533"/>
    <w:rsid w:val="0091461D"/>
    <w:rsid w:val="00914653"/>
    <w:rsid w:val="00914C07"/>
    <w:rsid w:val="00914CBE"/>
    <w:rsid w:val="00915086"/>
    <w:rsid w:val="009151CA"/>
    <w:rsid w:val="0091532A"/>
    <w:rsid w:val="009158CE"/>
    <w:rsid w:val="00916338"/>
    <w:rsid w:val="009165A2"/>
    <w:rsid w:val="00916B3C"/>
    <w:rsid w:val="00916FED"/>
    <w:rsid w:val="009174BE"/>
    <w:rsid w:val="0092010D"/>
    <w:rsid w:val="00920324"/>
    <w:rsid w:val="00920529"/>
    <w:rsid w:val="0092055C"/>
    <w:rsid w:val="0092092A"/>
    <w:rsid w:val="00920AA1"/>
    <w:rsid w:val="00920CB9"/>
    <w:rsid w:val="00920EEE"/>
    <w:rsid w:val="0092103D"/>
    <w:rsid w:val="009212B9"/>
    <w:rsid w:val="00921584"/>
    <w:rsid w:val="00921830"/>
    <w:rsid w:val="009218E3"/>
    <w:rsid w:val="00921AD2"/>
    <w:rsid w:val="00921B61"/>
    <w:rsid w:val="00921E94"/>
    <w:rsid w:val="00922462"/>
    <w:rsid w:val="0092248D"/>
    <w:rsid w:val="00922882"/>
    <w:rsid w:val="009231F9"/>
    <w:rsid w:val="00923838"/>
    <w:rsid w:val="00923850"/>
    <w:rsid w:val="00923E20"/>
    <w:rsid w:val="009242CC"/>
    <w:rsid w:val="009242FE"/>
    <w:rsid w:val="00924B3F"/>
    <w:rsid w:val="00924B7A"/>
    <w:rsid w:val="00924CAC"/>
    <w:rsid w:val="00924E45"/>
    <w:rsid w:val="00924FD9"/>
    <w:rsid w:val="00925080"/>
    <w:rsid w:val="009250AC"/>
    <w:rsid w:val="00925446"/>
    <w:rsid w:val="00925515"/>
    <w:rsid w:val="0092595F"/>
    <w:rsid w:val="00925C83"/>
    <w:rsid w:val="009262B7"/>
    <w:rsid w:val="00926376"/>
    <w:rsid w:val="00926681"/>
    <w:rsid w:val="009268F2"/>
    <w:rsid w:val="009269A6"/>
    <w:rsid w:val="00926A38"/>
    <w:rsid w:val="00926EA4"/>
    <w:rsid w:val="00927284"/>
    <w:rsid w:val="00927416"/>
    <w:rsid w:val="009278AD"/>
    <w:rsid w:val="009279B5"/>
    <w:rsid w:val="00930005"/>
    <w:rsid w:val="00930395"/>
    <w:rsid w:val="0093055E"/>
    <w:rsid w:val="0093071C"/>
    <w:rsid w:val="009307D1"/>
    <w:rsid w:val="00930871"/>
    <w:rsid w:val="009312CE"/>
    <w:rsid w:val="0093137E"/>
    <w:rsid w:val="00931456"/>
    <w:rsid w:val="00931629"/>
    <w:rsid w:val="00931BF3"/>
    <w:rsid w:val="00931C2C"/>
    <w:rsid w:val="00931E2D"/>
    <w:rsid w:val="009320E0"/>
    <w:rsid w:val="00932166"/>
    <w:rsid w:val="00932194"/>
    <w:rsid w:val="0093239B"/>
    <w:rsid w:val="009324C5"/>
    <w:rsid w:val="00932D79"/>
    <w:rsid w:val="00932F56"/>
    <w:rsid w:val="0093303D"/>
    <w:rsid w:val="00933153"/>
    <w:rsid w:val="009332BD"/>
    <w:rsid w:val="0093349E"/>
    <w:rsid w:val="00933510"/>
    <w:rsid w:val="00933845"/>
    <w:rsid w:val="00933AD9"/>
    <w:rsid w:val="00933B59"/>
    <w:rsid w:val="00934040"/>
    <w:rsid w:val="00934487"/>
    <w:rsid w:val="00934710"/>
    <w:rsid w:val="00934A90"/>
    <w:rsid w:val="00934ED9"/>
    <w:rsid w:val="00935192"/>
    <w:rsid w:val="009354FD"/>
    <w:rsid w:val="00935537"/>
    <w:rsid w:val="0093555C"/>
    <w:rsid w:val="0093577B"/>
    <w:rsid w:val="00935C87"/>
    <w:rsid w:val="00935DF2"/>
    <w:rsid w:val="00935E4F"/>
    <w:rsid w:val="00936735"/>
    <w:rsid w:val="00936BBC"/>
    <w:rsid w:val="00936E1A"/>
    <w:rsid w:val="00937429"/>
    <w:rsid w:val="00937D07"/>
    <w:rsid w:val="00937D8E"/>
    <w:rsid w:val="00937E23"/>
    <w:rsid w:val="00940388"/>
    <w:rsid w:val="00940444"/>
    <w:rsid w:val="009404BE"/>
    <w:rsid w:val="0094053B"/>
    <w:rsid w:val="009406EC"/>
    <w:rsid w:val="00940753"/>
    <w:rsid w:val="00940960"/>
    <w:rsid w:val="00940E1B"/>
    <w:rsid w:val="009410E8"/>
    <w:rsid w:val="00941337"/>
    <w:rsid w:val="0094142E"/>
    <w:rsid w:val="00941BE1"/>
    <w:rsid w:val="00942034"/>
    <w:rsid w:val="009420AB"/>
    <w:rsid w:val="009425F9"/>
    <w:rsid w:val="00942ACA"/>
    <w:rsid w:val="00942DF9"/>
    <w:rsid w:val="00942E50"/>
    <w:rsid w:val="00942F34"/>
    <w:rsid w:val="00943A30"/>
    <w:rsid w:val="00943C9A"/>
    <w:rsid w:val="0094460A"/>
    <w:rsid w:val="00944859"/>
    <w:rsid w:val="009449FC"/>
    <w:rsid w:val="00944BA9"/>
    <w:rsid w:val="00944BD1"/>
    <w:rsid w:val="00944BFE"/>
    <w:rsid w:val="00944F2D"/>
    <w:rsid w:val="0094538B"/>
    <w:rsid w:val="009455FC"/>
    <w:rsid w:val="009456BB"/>
    <w:rsid w:val="009456E9"/>
    <w:rsid w:val="00945941"/>
    <w:rsid w:val="00945B62"/>
    <w:rsid w:val="00945DD7"/>
    <w:rsid w:val="009464DA"/>
    <w:rsid w:val="00946CE9"/>
    <w:rsid w:val="00946D36"/>
    <w:rsid w:val="00946E60"/>
    <w:rsid w:val="009470B8"/>
    <w:rsid w:val="00947182"/>
    <w:rsid w:val="009472C0"/>
    <w:rsid w:val="0094795A"/>
    <w:rsid w:val="0094798E"/>
    <w:rsid w:val="00947A2D"/>
    <w:rsid w:val="00947A92"/>
    <w:rsid w:val="00947BEC"/>
    <w:rsid w:val="00947D34"/>
    <w:rsid w:val="00947D7D"/>
    <w:rsid w:val="00947DCA"/>
    <w:rsid w:val="00947E2B"/>
    <w:rsid w:val="00950A8F"/>
    <w:rsid w:val="00950B00"/>
    <w:rsid w:val="00950D0F"/>
    <w:rsid w:val="00950F70"/>
    <w:rsid w:val="00951396"/>
    <w:rsid w:val="00951407"/>
    <w:rsid w:val="00951AEC"/>
    <w:rsid w:val="00951AF9"/>
    <w:rsid w:val="00951C8A"/>
    <w:rsid w:val="00951D57"/>
    <w:rsid w:val="00952067"/>
    <w:rsid w:val="00952278"/>
    <w:rsid w:val="00952378"/>
    <w:rsid w:val="00952796"/>
    <w:rsid w:val="009528AA"/>
    <w:rsid w:val="009528F3"/>
    <w:rsid w:val="00952B6D"/>
    <w:rsid w:val="00952E1A"/>
    <w:rsid w:val="00952EA3"/>
    <w:rsid w:val="00952EEB"/>
    <w:rsid w:val="0095375B"/>
    <w:rsid w:val="00953937"/>
    <w:rsid w:val="00953B34"/>
    <w:rsid w:val="00953E6F"/>
    <w:rsid w:val="00954452"/>
    <w:rsid w:val="009544C6"/>
    <w:rsid w:val="00954B8A"/>
    <w:rsid w:val="00954F0F"/>
    <w:rsid w:val="00955005"/>
    <w:rsid w:val="009552C2"/>
    <w:rsid w:val="00956002"/>
    <w:rsid w:val="009560D3"/>
    <w:rsid w:val="009560D6"/>
    <w:rsid w:val="00956285"/>
    <w:rsid w:val="009563E1"/>
    <w:rsid w:val="00956663"/>
    <w:rsid w:val="0095698E"/>
    <w:rsid w:val="00956E37"/>
    <w:rsid w:val="00956E49"/>
    <w:rsid w:val="00956ECD"/>
    <w:rsid w:val="00956F13"/>
    <w:rsid w:val="0095712F"/>
    <w:rsid w:val="009575F5"/>
    <w:rsid w:val="00957A9E"/>
    <w:rsid w:val="00957D45"/>
    <w:rsid w:val="00957F2C"/>
    <w:rsid w:val="009601A6"/>
    <w:rsid w:val="0096057C"/>
    <w:rsid w:val="009607AB"/>
    <w:rsid w:val="00960A25"/>
    <w:rsid w:val="0096152E"/>
    <w:rsid w:val="00961651"/>
    <w:rsid w:val="00961A27"/>
    <w:rsid w:val="00961E09"/>
    <w:rsid w:val="009621B6"/>
    <w:rsid w:val="009623FD"/>
    <w:rsid w:val="009628B0"/>
    <w:rsid w:val="00962D5A"/>
    <w:rsid w:val="00962FA7"/>
    <w:rsid w:val="00963125"/>
    <w:rsid w:val="0096325A"/>
    <w:rsid w:val="009633DA"/>
    <w:rsid w:val="009635E9"/>
    <w:rsid w:val="009636FF"/>
    <w:rsid w:val="00963A5A"/>
    <w:rsid w:val="00963B05"/>
    <w:rsid w:val="00963C70"/>
    <w:rsid w:val="00963CBD"/>
    <w:rsid w:val="00963DB2"/>
    <w:rsid w:val="009647E3"/>
    <w:rsid w:val="009649B2"/>
    <w:rsid w:val="00964CFC"/>
    <w:rsid w:val="00964DCE"/>
    <w:rsid w:val="00965111"/>
    <w:rsid w:val="00965BB2"/>
    <w:rsid w:val="00965D18"/>
    <w:rsid w:val="00965DA4"/>
    <w:rsid w:val="00965E55"/>
    <w:rsid w:val="00966506"/>
    <w:rsid w:val="0096655B"/>
    <w:rsid w:val="009665DD"/>
    <w:rsid w:val="009665FF"/>
    <w:rsid w:val="009666D6"/>
    <w:rsid w:val="00966787"/>
    <w:rsid w:val="00966A5A"/>
    <w:rsid w:val="00966DA8"/>
    <w:rsid w:val="00966F3D"/>
    <w:rsid w:val="00967115"/>
    <w:rsid w:val="0096731C"/>
    <w:rsid w:val="00967349"/>
    <w:rsid w:val="0096799E"/>
    <w:rsid w:val="00967D7A"/>
    <w:rsid w:val="0097067E"/>
    <w:rsid w:val="00970809"/>
    <w:rsid w:val="00970E1B"/>
    <w:rsid w:val="00971720"/>
    <w:rsid w:val="009717F7"/>
    <w:rsid w:val="00971A5A"/>
    <w:rsid w:val="00971A73"/>
    <w:rsid w:val="00971AED"/>
    <w:rsid w:val="00971AFC"/>
    <w:rsid w:val="00971F99"/>
    <w:rsid w:val="00972317"/>
    <w:rsid w:val="009726C0"/>
    <w:rsid w:val="009726C9"/>
    <w:rsid w:val="00972783"/>
    <w:rsid w:val="00972C4C"/>
    <w:rsid w:val="00972C97"/>
    <w:rsid w:val="00972CF1"/>
    <w:rsid w:val="00972E94"/>
    <w:rsid w:val="00972FA0"/>
    <w:rsid w:val="00973B2E"/>
    <w:rsid w:val="00973F04"/>
    <w:rsid w:val="00974046"/>
    <w:rsid w:val="00974345"/>
    <w:rsid w:val="0097496B"/>
    <w:rsid w:val="00974BC2"/>
    <w:rsid w:val="00974BFC"/>
    <w:rsid w:val="00974E5E"/>
    <w:rsid w:val="0097514C"/>
    <w:rsid w:val="0097569B"/>
    <w:rsid w:val="00975EF8"/>
    <w:rsid w:val="00976140"/>
    <w:rsid w:val="00976142"/>
    <w:rsid w:val="0097627A"/>
    <w:rsid w:val="00976781"/>
    <w:rsid w:val="0097694F"/>
    <w:rsid w:val="00976AB1"/>
    <w:rsid w:val="00976F3C"/>
    <w:rsid w:val="00977064"/>
    <w:rsid w:val="0097716A"/>
    <w:rsid w:val="009772FB"/>
    <w:rsid w:val="009778BD"/>
    <w:rsid w:val="009779AD"/>
    <w:rsid w:val="00977A29"/>
    <w:rsid w:val="00977BF9"/>
    <w:rsid w:val="00977C41"/>
    <w:rsid w:val="00977E7C"/>
    <w:rsid w:val="00977F46"/>
    <w:rsid w:val="00977F96"/>
    <w:rsid w:val="00980373"/>
    <w:rsid w:val="00980626"/>
    <w:rsid w:val="00980AA6"/>
    <w:rsid w:val="00980BAF"/>
    <w:rsid w:val="00980F17"/>
    <w:rsid w:val="009810D1"/>
    <w:rsid w:val="009812EA"/>
    <w:rsid w:val="00981428"/>
    <w:rsid w:val="0098182E"/>
    <w:rsid w:val="00982287"/>
    <w:rsid w:val="0098238E"/>
    <w:rsid w:val="009826DB"/>
    <w:rsid w:val="0098275C"/>
    <w:rsid w:val="009828D6"/>
    <w:rsid w:val="009829B3"/>
    <w:rsid w:val="00982A4F"/>
    <w:rsid w:val="009831BD"/>
    <w:rsid w:val="00983209"/>
    <w:rsid w:val="00983540"/>
    <w:rsid w:val="00983735"/>
    <w:rsid w:val="009838BD"/>
    <w:rsid w:val="0098394B"/>
    <w:rsid w:val="00983953"/>
    <w:rsid w:val="00983AE2"/>
    <w:rsid w:val="00983B79"/>
    <w:rsid w:val="00983C49"/>
    <w:rsid w:val="00983D07"/>
    <w:rsid w:val="00983D52"/>
    <w:rsid w:val="00983E43"/>
    <w:rsid w:val="009840BC"/>
    <w:rsid w:val="0098444E"/>
    <w:rsid w:val="0098495F"/>
    <w:rsid w:val="00984D68"/>
    <w:rsid w:val="009858A7"/>
    <w:rsid w:val="00985FE3"/>
    <w:rsid w:val="00986343"/>
    <w:rsid w:val="0098688C"/>
    <w:rsid w:val="00986D13"/>
    <w:rsid w:val="009871C1"/>
    <w:rsid w:val="009871D4"/>
    <w:rsid w:val="00987A3D"/>
    <w:rsid w:val="009903AE"/>
    <w:rsid w:val="00990882"/>
    <w:rsid w:val="00990A17"/>
    <w:rsid w:val="00990A7B"/>
    <w:rsid w:val="00990D78"/>
    <w:rsid w:val="00990E8B"/>
    <w:rsid w:val="0099105D"/>
    <w:rsid w:val="00991117"/>
    <w:rsid w:val="009914A8"/>
    <w:rsid w:val="00991580"/>
    <w:rsid w:val="00991A26"/>
    <w:rsid w:val="00991EEE"/>
    <w:rsid w:val="00991F56"/>
    <w:rsid w:val="00991F7D"/>
    <w:rsid w:val="0099221A"/>
    <w:rsid w:val="00992268"/>
    <w:rsid w:val="009926A6"/>
    <w:rsid w:val="00992C74"/>
    <w:rsid w:val="00993162"/>
    <w:rsid w:val="00993319"/>
    <w:rsid w:val="00993AEE"/>
    <w:rsid w:val="00993DC6"/>
    <w:rsid w:val="00993E69"/>
    <w:rsid w:val="0099421B"/>
    <w:rsid w:val="00994669"/>
    <w:rsid w:val="00994A11"/>
    <w:rsid w:val="0099501B"/>
    <w:rsid w:val="009956E9"/>
    <w:rsid w:val="00995E60"/>
    <w:rsid w:val="00995F4E"/>
    <w:rsid w:val="00995FEC"/>
    <w:rsid w:val="00996688"/>
    <w:rsid w:val="009967B2"/>
    <w:rsid w:val="00996AC6"/>
    <w:rsid w:val="00997298"/>
    <w:rsid w:val="00997F42"/>
    <w:rsid w:val="009A07C6"/>
    <w:rsid w:val="009A0E48"/>
    <w:rsid w:val="009A0E83"/>
    <w:rsid w:val="009A1046"/>
    <w:rsid w:val="009A1B39"/>
    <w:rsid w:val="009A1F46"/>
    <w:rsid w:val="009A1F6B"/>
    <w:rsid w:val="009A2381"/>
    <w:rsid w:val="009A263E"/>
    <w:rsid w:val="009A28A5"/>
    <w:rsid w:val="009A29CF"/>
    <w:rsid w:val="009A2A19"/>
    <w:rsid w:val="009A2B8F"/>
    <w:rsid w:val="009A2C2F"/>
    <w:rsid w:val="009A2C8F"/>
    <w:rsid w:val="009A2F8C"/>
    <w:rsid w:val="009A30EB"/>
    <w:rsid w:val="009A31BD"/>
    <w:rsid w:val="009A383C"/>
    <w:rsid w:val="009A3CC7"/>
    <w:rsid w:val="009A405C"/>
    <w:rsid w:val="009A45FB"/>
    <w:rsid w:val="009A4693"/>
    <w:rsid w:val="009A46B3"/>
    <w:rsid w:val="009A48BC"/>
    <w:rsid w:val="009A4985"/>
    <w:rsid w:val="009A58AB"/>
    <w:rsid w:val="009A5C68"/>
    <w:rsid w:val="009A5DDD"/>
    <w:rsid w:val="009A5E0A"/>
    <w:rsid w:val="009A6220"/>
    <w:rsid w:val="009A65FF"/>
    <w:rsid w:val="009A6D9D"/>
    <w:rsid w:val="009A71B3"/>
    <w:rsid w:val="009A737D"/>
    <w:rsid w:val="009A7491"/>
    <w:rsid w:val="009A76C6"/>
    <w:rsid w:val="009A77D6"/>
    <w:rsid w:val="009A7D3B"/>
    <w:rsid w:val="009A7EC3"/>
    <w:rsid w:val="009A7F09"/>
    <w:rsid w:val="009A7F36"/>
    <w:rsid w:val="009B00E9"/>
    <w:rsid w:val="009B0750"/>
    <w:rsid w:val="009B1091"/>
    <w:rsid w:val="009B12D1"/>
    <w:rsid w:val="009B149A"/>
    <w:rsid w:val="009B179C"/>
    <w:rsid w:val="009B1D6B"/>
    <w:rsid w:val="009B2095"/>
    <w:rsid w:val="009B20FF"/>
    <w:rsid w:val="009B216B"/>
    <w:rsid w:val="009B2192"/>
    <w:rsid w:val="009B2456"/>
    <w:rsid w:val="009B2D30"/>
    <w:rsid w:val="009B2D40"/>
    <w:rsid w:val="009B3144"/>
    <w:rsid w:val="009B3306"/>
    <w:rsid w:val="009B36AF"/>
    <w:rsid w:val="009B43E7"/>
    <w:rsid w:val="009B451D"/>
    <w:rsid w:val="009B467A"/>
    <w:rsid w:val="009B4850"/>
    <w:rsid w:val="009B514B"/>
    <w:rsid w:val="009B53F0"/>
    <w:rsid w:val="009B5460"/>
    <w:rsid w:val="009B5494"/>
    <w:rsid w:val="009B5586"/>
    <w:rsid w:val="009B5631"/>
    <w:rsid w:val="009B57FB"/>
    <w:rsid w:val="009B5975"/>
    <w:rsid w:val="009B5983"/>
    <w:rsid w:val="009B5BB7"/>
    <w:rsid w:val="009B5EC1"/>
    <w:rsid w:val="009B6209"/>
    <w:rsid w:val="009B62BD"/>
    <w:rsid w:val="009B630C"/>
    <w:rsid w:val="009B6797"/>
    <w:rsid w:val="009B6BF5"/>
    <w:rsid w:val="009B6C9A"/>
    <w:rsid w:val="009B6E51"/>
    <w:rsid w:val="009B7007"/>
    <w:rsid w:val="009B73AD"/>
    <w:rsid w:val="009B73E0"/>
    <w:rsid w:val="009B7B21"/>
    <w:rsid w:val="009B7C00"/>
    <w:rsid w:val="009B7C74"/>
    <w:rsid w:val="009C034E"/>
    <w:rsid w:val="009C0611"/>
    <w:rsid w:val="009C0863"/>
    <w:rsid w:val="009C08FD"/>
    <w:rsid w:val="009C0948"/>
    <w:rsid w:val="009C1476"/>
    <w:rsid w:val="009C168C"/>
    <w:rsid w:val="009C1747"/>
    <w:rsid w:val="009C1EF7"/>
    <w:rsid w:val="009C2717"/>
    <w:rsid w:val="009C2D74"/>
    <w:rsid w:val="009C2E9E"/>
    <w:rsid w:val="009C2F78"/>
    <w:rsid w:val="009C3172"/>
    <w:rsid w:val="009C379B"/>
    <w:rsid w:val="009C3A55"/>
    <w:rsid w:val="009C3AF2"/>
    <w:rsid w:val="009C43F9"/>
    <w:rsid w:val="009C4532"/>
    <w:rsid w:val="009C48DA"/>
    <w:rsid w:val="009C4B1A"/>
    <w:rsid w:val="009C4F53"/>
    <w:rsid w:val="009C4FCD"/>
    <w:rsid w:val="009C532B"/>
    <w:rsid w:val="009C574F"/>
    <w:rsid w:val="009C64CE"/>
    <w:rsid w:val="009C66D1"/>
    <w:rsid w:val="009C67DD"/>
    <w:rsid w:val="009C6A19"/>
    <w:rsid w:val="009C6C16"/>
    <w:rsid w:val="009C6C25"/>
    <w:rsid w:val="009C71D2"/>
    <w:rsid w:val="009C753F"/>
    <w:rsid w:val="009C765E"/>
    <w:rsid w:val="009C77F7"/>
    <w:rsid w:val="009C7944"/>
    <w:rsid w:val="009C7A20"/>
    <w:rsid w:val="009C7E07"/>
    <w:rsid w:val="009C7F5A"/>
    <w:rsid w:val="009D0134"/>
    <w:rsid w:val="009D0269"/>
    <w:rsid w:val="009D08D5"/>
    <w:rsid w:val="009D0C36"/>
    <w:rsid w:val="009D0F50"/>
    <w:rsid w:val="009D11AD"/>
    <w:rsid w:val="009D12CD"/>
    <w:rsid w:val="009D1505"/>
    <w:rsid w:val="009D15B6"/>
    <w:rsid w:val="009D191D"/>
    <w:rsid w:val="009D1B28"/>
    <w:rsid w:val="009D20F0"/>
    <w:rsid w:val="009D2A59"/>
    <w:rsid w:val="009D2AE3"/>
    <w:rsid w:val="009D2BDD"/>
    <w:rsid w:val="009D3553"/>
    <w:rsid w:val="009D39A8"/>
    <w:rsid w:val="009D3C00"/>
    <w:rsid w:val="009D3E69"/>
    <w:rsid w:val="009D434E"/>
    <w:rsid w:val="009D471A"/>
    <w:rsid w:val="009D4A23"/>
    <w:rsid w:val="009D4DE4"/>
    <w:rsid w:val="009D516B"/>
    <w:rsid w:val="009D5175"/>
    <w:rsid w:val="009D5363"/>
    <w:rsid w:val="009D5714"/>
    <w:rsid w:val="009D5D0A"/>
    <w:rsid w:val="009D5DB1"/>
    <w:rsid w:val="009D5EC9"/>
    <w:rsid w:val="009D6213"/>
    <w:rsid w:val="009D62A0"/>
    <w:rsid w:val="009D630C"/>
    <w:rsid w:val="009D6362"/>
    <w:rsid w:val="009D64ED"/>
    <w:rsid w:val="009D66B1"/>
    <w:rsid w:val="009D68CA"/>
    <w:rsid w:val="009D6CA4"/>
    <w:rsid w:val="009D6CB9"/>
    <w:rsid w:val="009D6D1B"/>
    <w:rsid w:val="009D6D25"/>
    <w:rsid w:val="009D6F1C"/>
    <w:rsid w:val="009D706D"/>
    <w:rsid w:val="009D710B"/>
    <w:rsid w:val="009D752F"/>
    <w:rsid w:val="009D7635"/>
    <w:rsid w:val="009D769D"/>
    <w:rsid w:val="009D76B1"/>
    <w:rsid w:val="009D7BC1"/>
    <w:rsid w:val="009D7E9A"/>
    <w:rsid w:val="009E03F2"/>
    <w:rsid w:val="009E0495"/>
    <w:rsid w:val="009E06E1"/>
    <w:rsid w:val="009E08A6"/>
    <w:rsid w:val="009E0E9D"/>
    <w:rsid w:val="009E108B"/>
    <w:rsid w:val="009E14BA"/>
    <w:rsid w:val="009E19B6"/>
    <w:rsid w:val="009E1E20"/>
    <w:rsid w:val="009E227C"/>
    <w:rsid w:val="009E2BE3"/>
    <w:rsid w:val="009E2C57"/>
    <w:rsid w:val="009E2C8F"/>
    <w:rsid w:val="009E2E53"/>
    <w:rsid w:val="009E3260"/>
    <w:rsid w:val="009E32C8"/>
    <w:rsid w:val="009E33F0"/>
    <w:rsid w:val="009E3998"/>
    <w:rsid w:val="009E4227"/>
    <w:rsid w:val="009E46E1"/>
    <w:rsid w:val="009E4C50"/>
    <w:rsid w:val="009E54B3"/>
    <w:rsid w:val="009E5695"/>
    <w:rsid w:val="009E586A"/>
    <w:rsid w:val="009E5A2A"/>
    <w:rsid w:val="009E6368"/>
    <w:rsid w:val="009E65C7"/>
    <w:rsid w:val="009E69F4"/>
    <w:rsid w:val="009E6CD3"/>
    <w:rsid w:val="009E7112"/>
    <w:rsid w:val="009E7212"/>
    <w:rsid w:val="009E721B"/>
    <w:rsid w:val="009E73D5"/>
    <w:rsid w:val="009E7436"/>
    <w:rsid w:val="009E76C6"/>
    <w:rsid w:val="009E7733"/>
    <w:rsid w:val="009E7A81"/>
    <w:rsid w:val="009E7B35"/>
    <w:rsid w:val="009E7E64"/>
    <w:rsid w:val="009F00DC"/>
    <w:rsid w:val="009F0461"/>
    <w:rsid w:val="009F0681"/>
    <w:rsid w:val="009F06B1"/>
    <w:rsid w:val="009F0A46"/>
    <w:rsid w:val="009F0E20"/>
    <w:rsid w:val="009F0E49"/>
    <w:rsid w:val="009F11B1"/>
    <w:rsid w:val="009F1516"/>
    <w:rsid w:val="009F1CC0"/>
    <w:rsid w:val="009F1E7A"/>
    <w:rsid w:val="009F212A"/>
    <w:rsid w:val="009F255D"/>
    <w:rsid w:val="009F25B9"/>
    <w:rsid w:val="009F2622"/>
    <w:rsid w:val="009F2656"/>
    <w:rsid w:val="009F2AE0"/>
    <w:rsid w:val="009F3033"/>
    <w:rsid w:val="009F3419"/>
    <w:rsid w:val="009F3899"/>
    <w:rsid w:val="009F3F35"/>
    <w:rsid w:val="009F4A82"/>
    <w:rsid w:val="009F4D5C"/>
    <w:rsid w:val="009F4E00"/>
    <w:rsid w:val="009F4F46"/>
    <w:rsid w:val="009F5123"/>
    <w:rsid w:val="009F5125"/>
    <w:rsid w:val="009F5630"/>
    <w:rsid w:val="009F5B3F"/>
    <w:rsid w:val="009F62B0"/>
    <w:rsid w:val="009F646E"/>
    <w:rsid w:val="009F67CB"/>
    <w:rsid w:val="009F6A30"/>
    <w:rsid w:val="009F6C55"/>
    <w:rsid w:val="009F6D26"/>
    <w:rsid w:val="009F6DF5"/>
    <w:rsid w:val="009F7084"/>
    <w:rsid w:val="009F71A0"/>
    <w:rsid w:val="009F724A"/>
    <w:rsid w:val="009F726A"/>
    <w:rsid w:val="009F78D1"/>
    <w:rsid w:val="009F7BE0"/>
    <w:rsid w:val="009F7C00"/>
    <w:rsid w:val="009F7C86"/>
    <w:rsid w:val="00A00421"/>
    <w:rsid w:val="00A006AD"/>
    <w:rsid w:val="00A0073B"/>
    <w:rsid w:val="00A009F4"/>
    <w:rsid w:val="00A00C84"/>
    <w:rsid w:val="00A00ED2"/>
    <w:rsid w:val="00A01110"/>
    <w:rsid w:val="00A013D0"/>
    <w:rsid w:val="00A013D7"/>
    <w:rsid w:val="00A01724"/>
    <w:rsid w:val="00A01904"/>
    <w:rsid w:val="00A0253C"/>
    <w:rsid w:val="00A02938"/>
    <w:rsid w:val="00A02CC2"/>
    <w:rsid w:val="00A02E75"/>
    <w:rsid w:val="00A02F71"/>
    <w:rsid w:val="00A02FC6"/>
    <w:rsid w:val="00A032DD"/>
    <w:rsid w:val="00A0391D"/>
    <w:rsid w:val="00A03A60"/>
    <w:rsid w:val="00A0447F"/>
    <w:rsid w:val="00A044FA"/>
    <w:rsid w:val="00A048DE"/>
    <w:rsid w:val="00A04AA6"/>
    <w:rsid w:val="00A04AB3"/>
    <w:rsid w:val="00A04CDC"/>
    <w:rsid w:val="00A055B1"/>
    <w:rsid w:val="00A056EB"/>
    <w:rsid w:val="00A059D1"/>
    <w:rsid w:val="00A05D81"/>
    <w:rsid w:val="00A05E17"/>
    <w:rsid w:val="00A0612F"/>
    <w:rsid w:val="00A0657F"/>
    <w:rsid w:val="00A067BA"/>
    <w:rsid w:val="00A069DC"/>
    <w:rsid w:val="00A06A2D"/>
    <w:rsid w:val="00A06B5F"/>
    <w:rsid w:val="00A06C17"/>
    <w:rsid w:val="00A0746A"/>
    <w:rsid w:val="00A07546"/>
    <w:rsid w:val="00A075F0"/>
    <w:rsid w:val="00A07AEA"/>
    <w:rsid w:val="00A07C16"/>
    <w:rsid w:val="00A10AA8"/>
    <w:rsid w:val="00A10B93"/>
    <w:rsid w:val="00A11C2C"/>
    <w:rsid w:val="00A11F94"/>
    <w:rsid w:val="00A123DD"/>
    <w:rsid w:val="00A124E1"/>
    <w:rsid w:val="00A12582"/>
    <w:rsid w:val="00A1299E"/>
    <w:rsid w:val="00A12E8E"/>
    <w:rsid w:val="00A1317C"/>
    <w:rsid w:val="00A131DB"/>
    <w:rsid w:val="00A13367"/>
    <w:rsid w:val="00A13CD8"/>
    <w:rsid w:val="00A1433F"/>
    <w:rsid w:val="00A14361"/>
    <w:rsid w:val="00A14372"/>
    <w:rsid w:val="00A14630"/>
    <w:rsid w:val="00A14A01"/>
    <w:rsid w:val="00A14B33"/>
    <w:rsid w:val="00A14BC4"/>
    <w:rsid w:val="00A14D12"/>
    <w:rsid w:val="00A14E20"/>
    <w:rsid w:val="00A151AB"/>
    <w:rsid w:val="00A152B0"/>
    <w:rsid w:val="00A1563D"/>
    <w:rsid w:val="00A1564D"/>
    <w:rsid w:val="00A15A9B"/>
    <w:rsid w:val="00A16124"/>
    <w:rsid w:val="00A16200"/>
    <w:rsid w:val="00A168F4"/>
    <w:rsid w:val="00A16B2E"/>
    <w:rsid w:val="00A16C95"/>
    <w:rsid w:val="00A16D37"/>
    <w:rsid w:val="00A16F1B"/>
    <w:rsid w:val="00A17014"/>
    <w:rsid w:val="00A17189"/>
    <w:rsid w:val="00A1723F"/>
    <w:rsid w:val="00A1778B"/>
    <w:rsid w:val="00A1785F"/>
    <w:rsid w:val="00A17C8F"/>
    <w:rsid w:val="00A17DB6"/>
    <w:rsid w:val="00A17F24"/>
    <w:rsid w:val="00A17F25"/>
    <w:rsid w:val="00A17FA8"/>
    <w:rsid w:val="00A202A5"/>
    <w:rsid w:val="00A20399"/>
    <w:rsid w:val="00A2050E"/>
    <w:rsid w:val="00A20888"/>
    <w:rsid w:val="00A20A66"/>
    <w:rsid w:val="00A20C5E"/>
    <w:rsid w:val="00A20D32"/>
    <w:rsid w:val="00A2128F"/>
    <w:rsid w:val="00A21473"/>
    <w:rsid w:val="00A21478"/>
    <w:rsid w:val="00A2176F"/>
    <w:rsid w:val="00A21F87"/>
    <w:rsid w:val="00A2236E"/>
    <w:rsid w:val="00A22372"/>
    <w:rsid w:val="00A224A9"/>
    <w:rsid w:val="00A228CB"/>
    <w:rsid w:val="00A23102"/>
    <w:rsid w:val="00A2334B"/>
    <w:rsid w:val="00A23BA1"/>
    <w:rsid w:val="00A23DAB"/>
    <w:rsid w:val="00A23FCA"/>
    <w:rsid w:val="00A241D1"/>
    <w:rsid w:val="00A24E48"/>
    <w:rsid w:val="00A24EA3"/>
    <w:rsid w:val="00A24ECF"/>
    <w:rsid w:val="00A24F78"/>
    <w:rsid w:val="00A253B9"/>
    <w:rsid w:val="00A25433"/>
    <w:rsid w:val="00A25E7E"/>
    <w:rsid w:val="00A25E87"/>
    <w:rsid w:val="00A25F65"/>
    <w:rsid w:val="00A25FC5"/>
    <w:rsid w:val="00A26005"/>
    <w:rsid w:val="00A2643B"/>
    <w:rsid w:val="00A264D2"/>
    <w:rsid w:val="00A2657F"/>
    <w:rsid w:val="00A266E2"/>
    <w:rsid w:val="00A269D8"/>
    <w:rsid w:val="00A26C16"/>
    <w:rsid w:val="00A26D2C"/>
    <w:rsid w:val="00A27E1F"/>
    <w:rsid w:val="00A27ECF"/>
    <w:rsid w:val="00A27ED0"/>
    <w:rsid w:val="00A301B2"/>
    <w:rsid w:val="00A30F5E"/>
    <w:rsid w:val="00A31188"/>
    <w:rsid w:val="00A312B5"/>
    <w:rsid w:val="00A31692"/>
    <w:rsid w:val="00A31980"/>
    <w:rsid w:val="00A31C73"/>
    <w:rsid w:val="00A31C84"/>
    <w:rsid w:val="00A3231E"/>
    <w:rsid w:val="00A32ACA"/>
    <w:rsid w:val="00A32C7F"/>
    <w:rsid w:val="00A32F29"/>
    <w:rsid w:val="00A332EE"/>
    <w:rsid w:val="00A3347D"/>
    <w:rsid w:val="00A334A4"/>
    <w:rsid w:val="00A335B4"/>
    <w:rsid w:val="00A33A5F"/>
    <w:rsid w:val="00A33CE4"/>
    <w:rsid w:val="00A33DD2"/>
    <w:rsid w:val="00A34044"/>
    <w:rsid w:val="00A34116"/>
    <w:rsid w:val="00A34A9E"/>
    <w:rsid w:val="00A34BA9"/>
    <w:rsid w:val="00A35856"/>
    <w:rsid w:val="00A35CEB"/>
    <w:rsid w:val="00A36584"/>
    <w:rsid w:val="00A3660D"/>
    <w:rsid w:val="00A36829"/>
    <w:rsid w:val="00A36BD9"/>
    <w:rsid w:val="00A36C6D"/>
    <w:rsid w:val="00A37151"/>
    <w:rsid w:val="00A37529"/>
    <w:rsid w:val="00A401FA"/>
    <w:rsid w:val="00A40394"/>
    <w:rsid w:val="00A406A4"/>
    <w:rsid w:val="00A406CC"/>
    <w:rsid w:val="00A40712"/>
    <w:rsid w:val="00A40944"/>
    <w:rsid w:val="00A409A3"/>
    <w:rsid w:val="00A40AFC"/>
    <w:rsid w:val="00A40B17"/>
    <w:rsid w:val="00A40C30"/>
    <w:rsid w:val="00A40D83"/>
    <w:rsid w:val="00A40DD8"/>
    <w:rsid w:val="00A40F0A"/>
    <w:rsid w:val="00A41091"/>
    <w:rsid w:val="00A416B4"/>
    <w:rsid w:val="00A41EE3"/>
    <w:rsid w:val="00A42011"/>
    <w:rsid w:val="00A424D6"/>
    <w:rsid w:val="00A42AC8"/>
    <w:rsid w:val="00A42EF4"/>
    <w:rsid w:val="00A42F92"/>
    <w:rsid w:val="00A43243"/>
    <w:rsid w:val="00A4369F"/>
    <w:rsid w:val="00A441EB"/>
    <w:rsid w:val="00A4428B"/>
    <w:rsid w:val="00A44437"/>
    <w:rsid w:val="00A445AF"/>
    <w:rsid w:val="00A447BE"/>
    <w:rsid w:val="00A44912"/>
    <w:rsid w:val="00A449F8"/>
    <w:rsid w:val="00A44D3A"/>
    <w:rsid w:val="00A45206"/>
    <w:rsid w:val="00A4530F"/>
    <w:rsid w:val="00A4531A"/>
    <w:rsid w:val="00A457B4"/>
    <w:rsid w:val="00A45F45"/>
    <w:rsid w:val="00A45F84"/>
    <w:rsid w:val="00A4610A"/>
    <w:rsid w:val="00A461E6"/>
    <w:rsid w:val="00A463BB"/>
    <w:rsid w:val="00A468C2"/>
    <w:rsid w:val="00A46ADE"/>
    <w:rsid w:val="00A476B9"/>
    <w:rsid w:val="00A47928"/>
    <w:rsid w:val="00A47BD2"/>
    <w:rsid w:val="00A47D5E"/>
    <w:rsid w:val="00A501CE"/>
    <w:rsid w:val="00A50277"/>
    <w:rsid w:val="00A50343"/>
    <w:rsid w:val="00A508F9"/>
    <w:rsid w:val="00A50B0B"/>
    <w:rsid w:val="00A50CA0"/>
    <w:rsid w:val="00A510A6"/>
    <w:rsid w:val="00A5128B"/>
    <w:rsid w:val="00A51620"/>
    <w:rsid w:val="00A51782"/>
    <w:rsid w:val="00A51B19"/>
    <w:rsid w:val="00A51DDF"/>
    <w:rsid w:val="00A51EF1"/>
    <w:rsid w:val="00A51FB3"/>
    <w:rsid w:val="00A527A8"/>
    <w:rsid w:val="00A527D1"/>
    <w:rsid w:val="00A529D0"/>
    <w:rsid w:val="00A52DFE"/>
    <w:rsid w:val="00A52E15"/>
    <w:rsid w:val="00A52F6E"/>
    <w:rsid w:val="00A53343"/>
    <w:rsid w:val="00A534AD"/>
    <w:rsid w:val="00A53AD2"/>
    <w:rsid w:val="00A53AFE"/>
    <w:rsid w:val="00A53C1A"/>
    <w:rsid w:val="00A5428A"/>
    <w:rsid w:val="00A54348"/>
    <w:rsid w:val="00A54363"/>
    <w:rsid w:val="00A5442F"/>
    <w:rsid w:val="00A5473C"/>
    <w:rsid w:val="00A54763"/>
    <w:rsid w:val="00A549D3"/>
    <w:rsid w:val="00A55263"/>
    <w:rsid w:val="00A55B1F"/>
    <w:rsid w:val="00A55BFB"/>
    <w:rsid w:val="00A55D64"/>
    <w:rsid w:val="00A56A19"/>
    <w:rsid w:val="00A56CAA"/>
    <w:rsid w:val="00A56FA2"/>
    <w:rsid w:val="00A57175"/>
    <w:rsid w:val="00A57212"/>
    <w:rsid w:val="00A572FB"/>
    <w:rsid w:val="00A5731F"/>
    <w:rsid w:val="00A57361"/>
    <w:rsid w:val="00A57593"/>
    <w:rsid w:val="00A57AF9"/>
    <w:rsid w:val="00A57CA7"/>
    <w:rsid w:val="00A603DB"/>
    <w:rsid w:val="00A6065A"/>
    <w:rsid w:val="00A60A5E"/>
    <w:rsid w:val="00A60EFD"/>
    <w:rsid w:val="00A61140"/>
    <w:rsid w:val="00A61229"/>
    <w:rsid w:val="00A612D3"/>
    <w:rsid w:val="00A61550"/>
    <w:rsid w:val="00A616D5"/>
    <w:rsid w:val="00A61A10"/>
    <w:rsid w:val="00A61B35"/>
    <w:rsid w:val="00A61C9B"/>
    <w:rsid w:val="00A61D76"/>
    <w:rsid w:val="00A61F0E"/>
    <w:rsid w:val="00A620CF"/>
    <w:rsid w:val="00A62463"/>
    <w:rsid w:val="00A627DD"/>
    <w:rsid w:val="00A62F33"/>
    <w:rsid w:val="00A62FB7"/>
    <w:rsid w:val="00A63123"/>
    <w:rsid w:val="00A632E9"/>
    <w:rsid w:val="00A6347C"/>
    <w:rsid w:val="00A63A93"/>
    <w:rsid w:val="00A6405C"/>
    <w:rsid w:val="00A644BB"/>
    <w:rsid w:val="00A647DE"/>
    <w:rsid w:val="00A649C3"/>
    <w:rsid w:val="00A64BD6"/>
    <w:rsid w:val="00A64D30"/>
    <w:rsid w:val="00A64DDE"/>
    <w:rsid w:val="00A6527E"/>
    <w:rsid w:val="00A65330"/>
    <w:rsid w:val="00A656A9"/>
    <w:rsid w:val="00A659F1"/>
    <w:rsid w:val="00A65A6D"/>
    <w:rsid w:val="00A65C04"/>
    <w:rsid w:val="00A65C8B"/>
    <w:rsid w:val="00A66170"/>
    <w:rsid w:val="00A665D6"/>
    <w:rsid w:val="00A66ED5"/>
    <w:rsid w:val="00A672E2"/>
    <w:rsid w:val="00A67453"/>
    <w:rsid w:val="00A676AA"/>
    <w:rsid w:val="00A67DC9"/>
    <w:rsid w:val="00A67F57"/>
    <w:rsid w:val="00A7006F"/>
    <w:rsid w:val="00A70211"/>
    <w:rsid w:val="00A702EE"/>
    <w:rsid w:val="00A70379"/>
    <w:rsid w:val="00A707BE"/>
    <w:rsid w:val="00A70C70"/>
    <w:rsid w:val="00A70D45"/>
    <w:rsid w:val="00A71029"/>
    <w:rsid w:val="00A7107C"/>
    <w:rsid w:val="00A710EA"/>
    <w:rsid w:val="00A71231"/>
    <w:rsid w:val="00A71236"/>
    <w:rsid w:val="00A715F8"/>
    <w:rsid w:val="00A71F92"/>
    <w:rsid w:val="00A72270"/>
    <w:rsid w:val="00A72630"/>
    <w:rsid w:val="00A72849"/>
    <w:rsid w:val="00A72932"/>
    <w:rsid w:val="00A729A5"/>
    <w:rsid w:val="00A73263"/>
    <w:rsid w:val="00A73663"/>
    <w:rsid w:val="00A737DF"/>
    <w:rsid w:val="00A73B60"/>
    <w:rsid w:val="00A73D6D"/>
    <w:rsid w:val="00A747B5"/>
    <w:rsid w:val="00A754F1"/>
    <w:rsid w:val="00A75578"/>
    <w:rsid w:val="00A75E5C"/>
    <w:rsid w:val="00A760A5"/>
    <w:rsid w:val="00A76169"/>
    <w:rsid w:val="00A7616D"/>
    <w:rsid w:val="00A763F6"/>
    <w:rsid w:val="00A76584"/>
    <w:rsid w:val="00A7673E"/>
    <w:rsid w:val="00A7679B"/>
    <w:rsid w:val="00A768FD"/>
    <w:rsid w:val="00A76939"/>
    <w:rsid w:val="00A7693D"/>
    <w:rsid w:val="00A76A43"/>
    <w:rsid w:val="00A76D1C"/>
    <w:rsid w:val="00A77768"/>
    <w:rsid w:val="00A77938"/>
    <w:rsid w:val="00A779E0"/>
    <w:rsid w:val="00A77B99"/>
    <w:rsid w:val="00A77BAE"/>
    <w:rsid w:val="00A77C7E"/>
    <w:rsid w:val="00A80136"/>
    <w:rsid w:val="00A8054F"/>
    <w:rsid w:val="00A8061D"/>
    <w:rsid w:val="00A809E7"/>
    <w:rsid w:val="00A80AC6"/>
    <w:rsid w:val="00A80F69"/>
    <w:rsid w:val="00A81601"/>
    <w:rsid w:val="00A816DA"/>
    <w:rsid w:val="00A8171D"/>
    <w:rsid w:val="00A81A08"/>
    <w:rsid w:val="00A82254"/>
    <w:rsid w:val="00A826F7"/>
    <w:rsid w:val="00A82A85"/>
    <w:rsid w:val="00A82B19"/>
    <w:rsid w:val="00A82E06"/>
    <w:rsid w:val="00A8308E"/>
    <w:rsid w:val="00A8320E"/>
    <w:rsid w:val="00A83241"/>
    <w:rsid w:val="00A83286"/>
    <w:rsid w:val="00A834BA"/>
    <w:rsid w:val="00A839A8"/>
    <w:rsid w:val="00A83B2D"/>
    <w:rsid w:val="00A83B44"/>
    <w:rsid w:val="00A83E78"/>
    <w:rsid w:val="00A84043"/>
    <w:rsid w:val="00A841AB"/>
    <w:rsid w:val="00A84561"/>
    <w:rsid w:val="00A84D69"/>
    <w:rsid w:val="00A85231"/>
    <w:rsid w:val="00A85236"/>
    <w:rsid w:val="00A85375"/>
    <w:rsid w:val="00A85664"/>
    <w:rsid w:val="00A85A18"/>
    <w:rsid w:val="00A85D93"/>
    <w:rsid w:val="00A86140"/>
    <w:rsid w:val="00A864C1"/>
    <w:rsid w:val="00A869F9"/>
    <w:rsid w:val="00A87143"/>
    <w:rsid w:val="00A878A3"/>
    <w:rsid w:val="00A87B77"/>
    <w:rsid w:val="00A9018E"/>
    <w:rsid w:val="00A9040F"/>
    <w:rsid w:val="00A9044F"/>
    <w:rsid w:val="00A904FC"/>
    <w:rsid w:val="00A905B0"/>
    <w:rsid w:val="00A90882"/>
    <w:rsid w:val="00A909E4"/>
    <w:rsid w:val="00A90E82"/>
    <w:rsid w:val="00A91126"/>
    <w:rsid w:val="00A91136"/>
    <w:rsid w:val="00A91945"/>
    <w:rsid w:val="00A91D2B"/>
    <w:rsid w:val="00A91D78"/>
    <w:rsid w:val="00A92277"/>
    <w:rsid w:val="00A925B2"/>
    <w:rsid w:val="00A92770"/>
    <w:rsid w:val="00A927B5"/>
    <w:rsid w:val="00A92869"/>
    <w:rsid w:val="00A9290B"/>
    <w:rsid w:val="00A92AC8"/>
    <w:rsid w:val="00A92D19"/>
    <w:rsid w:val="00A93388"/>
    <w:rsid w:val="00A935B4"/>
    <w:rsid w:val="00A9381A"/>
    <w:rsid w:val="00A93842"/>
    <w:rsid w:val="00A93B83"/>
    <w:rsid w:val="00A93BC3"/>
    <w:rsid w:val="00A93C25"/>
    <w:rsid w:val="00A93D20"/>
    <w:rsid w:val="00A940B3"/>
    <w:rsid w:val="00A9440E"/>
    <w:rsid w:val="00A94465"/>
    <w:rsid w:val="00A94469"/>
    <w:rsid w:val="00A946FB"/>
    <w:rsid w:val="00A9470A"/>
    <w:rsid w:val="00A94760"/>
    <w:rsid w:val="00A948F1"/>
    <w:rsid w:val="00A949AD"/>
    <w:rsid w:val="00A949D6"/>
    <w:rsid w:val="00A94A60"/>
    <w:rsid w:val="00A94A66"/>
    <w:rsid w:val="00A950A7"/>
    <w:rsid w:val="00A953AD"/>
    <w:rsid w:val="00A95578"/>
    <w:rsid w:val="00A9557B"/>
    <w:rsid w:val="00A958C8"/>
    <w:rsid w:val="00A9594D"/>
    <w:rsid w:val="00A95FB1"/>
    <w:rsid w:val="00A960B6"/>
    <w:rsid w:val="00A96129"/>
    <w:rsid w:val="00A962CB"/>
    <w:rsid w:val="00A9636D"/>
    <w:rsid w:val="00A96DAD"/>
    <w:rsid w:val="00A97162"/>
    <w:rsid w:val="00A9725A"/>
    <w:rsid w:val="00A978FF"/>
    <w:rsid w:val="00A97C3D"/>
    <w:rsid w:val="00A97EDC"/>
    <w:rsid w:val="00AA041A"/>
    <w:rsid w:val="00AA046F"/>
    <w:rsid w:val="00AA0975"/>
    <w:rsid w:val="00AA0B87"/>
    <w:rsid w:val="00AA1284"/>
    <w:rsid w:val="00AA1367"/>
    <w:rsid w:val="00AA14B7"/>
    <w:rsid w:val="00AA1627"/>
    <w:rsid w:val="00AA1661"/>
    <w:rsid w:val="00AA1942"/>
    <w:rsid w:val="00AA1968"/>
    <w:rsid w:val="00AA2071"/>
    <w:rsid w:val="00AA23DE"/>
    <w:rsid w:val="00AA2718"/>
    <w:rsid w:val="00AA2830"/>
    <w:rsid w:val="00AA28ED"/>
    <w:rsid w:val="00AA2DBF"/>
    <w:rsid w:val="00AA308B"/>
    <w:rsid w:val="00AA329C"/>
    <w:rsid w:val="00AA3309"/>
    <w:rsid w:val="00AA349E"/>
    <w:rsid w:val="00AA35AE"/>
    <w:rsid w:val="00AA3694"/>
    <w:rsid w:val="00AA411A"/>
    <w:rsid w:val="00AA4711"/>
    <w:rsid w:val="00AA4B0C"/>
    <w:rsid w:val="00AA4B89"/>
    <w:rsid w:val="00AA4C2D"/>
    <w:rsid w:val="00AA50C7"/>
    <w:rsid w:val="00AA5299"/>
    <w:rsid w:val="00AA52F6"/>
    <w:rsid w:val="00AA58FE"/>
    <w:rsid w:val="00AA5998"/>
    <w:rsid w:val="00AA6130"/>
    <w:rsid w:val="00AA6933"/>
    <w:rsid w:val="00AA6951"/>
    <w:rsid w:val="00AA69DA"/>
    <w:rsid w:val="00AA6BEE"/>
    <w:rsid w:val="00AA6F05"/>
    <w:rsid w:val="00AA6F93"/>
    <w:rsid w:val="00AA73FD"/>
    <w:rsid w:val="00AA7563"/>
    <w:rsid w:val="00AA7A84"/>
    <w:rsid w:val="00AA7AA9"/>
    <w:rsid w:val="00AA7F13"/>
    <w:rsid w:val="00AB00FF"/>
    <w:rsid w:val="00AB06AD"/>
    <w:rsid w:val="00AB06D5"/>
    <w:rsid w:val="00AB079D"/>
    <w:rsid w:val="00AB0877"/>
    <w:rsid w:val="00AB08FB"/>
    <w:rsid w:val="00AB1072"/>
    <w:rsid w:val="00AB147D"/>
    <w:rsid w:val="00AB16AB"/>
    <w:rsid w:val="00AB1B88"/>
    <w:rsid w:val="00AB2132"/>
    <w:rsid w:val="00AB2555"/>
    <w:rsid w:val="00AB25C2"/>
    <w:rsid w:val="00AB26CC"/>
    <w:rsid w:val="00AB26FF"/>
    <w:rsid w:val="00AB2A42"/>
    <w:rsid w:val="00AB2B46"/>
    <w:rsid w:val="00AB2B9F"/>
    <w:rsid w:val="00AB2C96"/>
    <w:rsid w:val="00AB2D0A"/>
    <w:rsid w:val="00AB2FA0"/>
    <w:rsid w:val="00AB36BC"/>
    <w:rsid w:val="00AB3EA5"/>
    <w:rsid w:val="00AB3F7E"/>
    <w:rsid w:val="00AB41FD"/>
    <w:rsid w:val="00AB434A"/>
    <w:rsid w:val="00AB4577"/>
    <w:rsid w:val="00AB45F1"/>
    <w:rsid w:val="00AB4633"/>
    <w:rsid w:val="00AB5259"/>
    <w:rsid w:val="00AB63D7"/>
    <w:rsid w:val="00AB6715"/>
    <w:rsid w:val="00AB6CC2"/>
    <w:rsid w:val="00AB7153"/>
    <w:rsid w:val="00AB7425"/>
    <w:rsid w:val="00AB74A2"/>
    <w:rsid w:val="00AB7E3A"/>
    <w:rsid w:val="00AB7EED"/>
    <w:rsid w:val="00AB7F43"/>
    <w:rsid w:val="00AB7FF6"/>
    <w:rsid w:val="00AC01C1"/>
    <w:rsid w:val="00AC040B"/>
    <w:rsid w:val="00AC080F"/>
    <w:rsid w:val="00AC0CB4"/>
    <w:rsid w:val="00AC1A41"/>
    <w:rsid w:val="00AC1A60"/>
    <w:rsid w:val="00AC1CA9"/>
    <w:rsid w:val="00AC2129"/>
    <w:rsid w:val="00AC2713"/>
    <w:rsid w:val="00AC27D9"/>
    <w:rsid w:val="00AC2AB4"/>
    <w:rsid w:val="00AC2C7B"/>
    <w:rsid w:val="00AC3B1E"/>
    <w:rsid w:val="00AC4111"/>
    <w:rsid w:val="00AC4243"/>
    <w:rsid w:val="00AC43EF"/>
    <w:rsid w:val="00AC4F1D"/>
    <w:rsid w:val="00AC4FB4"/>
    <w:rsid w:val="00AC521C"/>
    <w:rsid w:val="00AC57F5"/>
    <w:rsid w:val="00AC5A7E"/>
    <w:rsid w:val="00AC5DCF"/>
    <w:rsid w:val="00AC6071"/>
    <w:rsid w:val="00AC60BF"/>
    <w:rsid w:val="00AC6397"/>
    <w:rsid w:val="00AC63F9"/>
    <w:rsid w:val="00AC6682"/>
    <w:rsid w:val="00AC67C7"/>
    <w:rsid w:val="00AC687B"/>
    <w:rsid w:val="00AC6A56"/>
    <w:rsid w:val="00AC7216"/>
    <w:rsid w:val="00AC75DA"/>
    <w:rsid w:val="00AC7A7F"/>
    <w:rsid w:val="00AC7BB2"/>
    <w:rsid w:val="00AC7C23"/>
    <w:rsid w:val="00AC7CD5"/>
    <w:rsid w:val="00AC7DE4"/>
    <w:rsid w:val="00AD01BD"/>
    <w:rsid w:val="00AD04F5"/>
    <w:rsid w:val="00AD09A2"/>
    <w:rsid w:val="00AD0A78"/>
    <w:rsid w:val="00AD0D74"/>
    <w:rsid w:val="00AD121B"/>
    <w:rsid w:val="00AD14BB"/>
    <w:rsid w:val="00AD160D"/>
    <w:rsid w:val="00AD19CA"/>
    <w:rsid w:val="00AD1B0F"/>
    <w:rsid w:val="00AD2095"/>
    <w:rsid w:val="00AD2571"/>
    <w:rsid w:val="00AD2836"/>
    <w:rsid w:val="00AD2895"/>
    <w:rsid w:val="00AD29E8"/>
    <w:rsid w:val="00AD3541"/>
    <w:rsid w:val="00AD3B98"/>
    <w:rsid w:val="00AD3F7D"/>
    <w:rsid w:val="00AD477F"/>
    <w:rsid w:val="00AD4DCA"/>
    <w:rsid w:val="00AD4F1C"/>
    <w:rsid w:val="00AD52DF"/>
    <w:rsid w:val="00AD532B"/>
    <w:rsid w:val="00AD53AE"/>
    <w:rsid w:val="00AD56C2"/>
    <w:rsid w:val="00AD5D0F"/>
    <w:rsid w:val="00AD5D2C"/>
    <w:rsid w:val="00AD5DF3"/>
    <w:rsid w:val="00AD625F"/>
    <w:rsid w:val="00AD6A71"/>
    <w:rsid w:val="00AD6B44"/>
    <w:rsid w:val="00AD6FEA"/>
    <w:rsid w:val="00AD701D"/>
    <w:rsid w:val="00AD7140"/>
    <w:rsid w:val="00AD78FF"/>
    <w:rsid w:val="00AD7923"/>
    <w:rsid w:val="00AD7CBF"/>
    <w:rsid w:val="00AE0045"/>
    <w:rsid w:val="00AE02FF"/>
    <w:rsid w:val="00AE032B"/>
    <w:rsid w:val="00AE033C"/>
    <w:rsid w:val="00AE06AB"/>
    <w:rsid w:val="00AE072A"/>
    <w:rsid w:val="00AE07B8"/>
    <w:rsid w:val="00AE099B"/>
    <w:rsid w:val="00AE09E8"/>
    <w:rsid w:val="00AE0B11"/>
    <w:rsid w:val="00AE0C5A"/>
    <w:rsid w:val="00AE0DDD"/>
    <w:rsid w:val="00AE1177"/>
    <w:rsid w:val="00AE1391"/>
    <w:rsid w:val="00AE1C64"/>
    <w:rsid w:val="00AE1E14"/>
    <w:rsid w:val="00AE1F62"/>
    <w:rsid w:val="00AE22D6"/>
    <w:rsid w:val="00AE237E"/>
    <w:rsid w:val="00AE2413"/>
    <w:rsid w:val="00AE2BC6"/>
    <w:rsid w:val="00AE2CDD"/>
    <w:rsid w:val="00AE31A5"/>
    <w:rsid w:val="00AE33DB"/>
    <w:rsid w:val="00AE36C7"/>
    <w:rsid w:val="00AE39A3"/>
    <w:rsid w:val="00AE3CAB"/>
    <w:rsid w:val="00AE3EB0"/>
    <w:rsid w:val="00AE408D"/>
    <w:rsid w:val="00AE4190"/>
    <w:rsid w:val="00AE42C6"/>
    <w:rsid w:val="00AE42C9"/>
    <w:rsid w:val="00AE4698"/>
    <w:rsid w:val="00AE48DC"/>
    <w:rsid w:val="00AE4C1D"/>
    <w:rsid w:val="00AE4F82"/>
    <w:rsid w:val="00AE4FF3"/>
    <w:rsid w:val="00AE5139"/>
    <w:rsid w:val="00AE5519"/>
    <w:rsid w:val="00AE5752"/>
    <w:rsid w:val="00AE583C"/>
    <w:rsid w:val="00AE590D"/>
    <w:rsid w:val="00AE5A7C"/>
    <w:rsid w:val="00AE5C33"/>
    <w:rsid w:val="00AE61AA"/>
    <w:rsid w:val="00AE65E3"/>
    <w:rsid w:val="00AE67F0"/>
    <w:rsid w:val="00AE6D02"/>
    <w:rsid w:val="00AE7155"/>
    <w:rsid w:val="00AE76C1"/>
    <w:rsid w:val="00AE772A"/>
    <w:rsid w:val="00AE779C"/>
    <w:rsid w:val="00AE7CE4"/>
    <w:rsid w:val="00AF040F"/>
    <w:rsid w:val="00AF0513"/>
    <w:rsid w:val="00AF0607"/>
    <w:rsid w:val="00AF0623"/>
    <w:rsid w:val="00AF08EB"/>
    <w:rsid w:val="00AF0DB8"/>
    <w:rsid w:val="00AF11FF"/>
    <w:rsid w:val="00AF125E"/>
    <w:rsid w:val="00AF159E"/>
    <w:rsid w:val="00AF169E"/>
    <w:rsid w:val="00AF1D1D"/>
    <w:rsid w:val="00AF1FEB"/>
    <w:rsid w:val="00AF2021"/>
    <w:rsid w:val="00AF2191"/>
    <w:rsid w:val="00AF23AA"/>
    <w:rsid w:val="00AF246E"/>
    <w:rsid w:val="00AF25EA"/>
    <w:rsid w:val="00AF2822"/>
    <w:rsid w:val="00AF2862"/>
    <w:rsid w:val="00AF2DC4"/>
    <w:rsid w:val="00AF31B6"/>
    <w:rsid w:val="00AF346F"/>
    <w:rsid w:val="00AF36E7"/>
    <w:rsid w:val="00AF38FB"/>
    <w:rsid w:val="00AF3A1E"/>
    <w:rsid w:val="00AF3DB1"/>
    <w:rsid w:val="00AF3E1C"/>
    <w:rsid w:val="00AF450C"/>
    <w:rsid w:val="00AF4955"/>
    <w:rsid w:val="00AF49ED"/>
    <w:rsid w:val="00AF4CFD"/>
    <w:rsid w:val="00AF4D12"/>
    <w:rsid w:val="00AF5161"/>
    <w:rsid w:val="00AF5413"/>
    <w:rsid w:val="00AF55F1"/>
    <w:rsid w:val="00AF608F"/>
    <w:rsid w:val="00AF60E6"/>
    <w:rsid w:val="00AF6B82"/>
    <w:rsid w:val="00AF6CC8"/>
    <w:rsid w:val="00AF6CFC"/>
    <w:rsid w:val="00AF6D1A"/>
    <w:rsid w:val="00AF6ED6"/>
    <w:rsid w:val="00AF726E"/>
    <w:rsid w:val="00AF7284"/>
    <w:rsid w:val="00AF760E"/>
    <w:rsid w:val="00AF7716"/>
    <w:rsid w:val="00AF7757"/>
    <w:rsid w:val="00AF7D07"/>
    <w:rsid w:val="00AF7D8D"/>
    <w:rsid w:val="00AF7FC8"/>
    <w:rsid w:val="00B0020B"/>
    <w:rsid w:val="00B00263"/>
    <w:rsid w:val="00B003F5"/>
    <w:rsid w:val="00B0045C"/>
    <w:rsid w:val="00B008AA"/>
    <w:rsid w:val="00B0091E"/>
    <w:rsid w:val="00B00A31"/>
    <w:rsid w:val="00B00B59"/>
    <w:rsid w:val="00B00BCE"/>
    <w:rsid w:val="00B0107F"/>
    <w:rsid w:val="00B01115"/>
    <w:rsid w:val="00B01178"/>
    <w:rsid w:val="00B01574"/>
    <w:rsid w:val="00B0157C"/>
    <w:rsid w:val="00B0159B"/>
    <w:rsid w:val="00B01CAB"/>
    <w:rsid w:val="00B02102"/>
    <w:rsid w:val="00B02481"/>
    <w:rsid w:val="00B025D0"/>
    <w:rsid w:val="00B025D9"/>
    <w:rsid w:val="00B0263D"/>
    <w:rsid w:val="00B02833"/>
    <w:rsid w:val="00B02E3E"/>
    <w:rsid w:val="00B02FF5"/>
    <w:rsid w:val="00B030F2"/>
    <w:rsid w:val="00B03954"/>
    <w:rsid w:val="00B03DBD"/>
    <w:rsid w:val="00B0436D"/>
    <w:rsid w:val="00B04A00"/>
    <w:rsid w:val="00B04BED"/>
    <w:rsid w:val="00B04F88"/>
    <w:rsid w:val="00B04FD1"/>
    <w:rsid w:val="00B052B7"/>
    <w:rsid w:val="00B054BD"/>
    <w:rsid w:val="00B054E0"/>
    <w:rsid w:val="00B0561C"/>
    <w:rsid w:val="00B058A3"/>
    <w:rsid w:val="00B05BBB"/>
    <w:rsid w:val="00B05F2E"/>
    <w:rsid w:val="00B06004"/>
    <w:rsid w:val="00B0606D"/>
    <w:rsid w:val="00B07129"/>
    <w:rsid w:val="00B07523"/>
    <w:rsid w:val="00B07625"/>
    <w:rsid w:val="00B076FB"/>
    <w:rsid w:val="00B07993"/>
    <w:rsid w:val="00B07A26"/>
    <w:rsid w:val="00B07A2F"/>
    <w:rsid w:val="00B07A8B"/>
    <w:rsid w:val="00B100F4"/>
    <w:rsid w:val="00B10144"/>
    <w:rsid w:val="00B1031A"/>
    <w:rsid w:val="00B10321"/>
    <w:rsid w:val="00B103D0"/>
    <w:rsid w:val="00B1048A"/>
    <w:rsid w:val="00B10534"/>
    <w:rsid w:val="00B10676"/>
    <w:rsid w:val="00B108C4"/>
    <w:rsid w:val="00B10B95"/>
    <w:rsid w:val="00B10FCB"/>
    <w:rsid w:val="00B1140D"/>
    <w:rsid w:val="00B116D4"/>
    <w:rsid w:val="00B11A82"/>
    <w:rsid w:val="00B11B09"/>
    <w:rsid w:val="00B11B9E"/>
    <w:rsid w:val="00B11E74"/>
    <w:rsid w:val="00B12355"/>
    <w:rsid w:val="00B1238E"/>
    <w:rsid w:val="00B128D1"/>
    <w:rsid w:val="00B12AAE"/>
    <w:rsid w:val="00B12C80"/>
    <w:rsid w:val="00B12DFC"/>
    <w:rsid w:val="00B13071"/>
    <w:rsid w:val="00B133A4"/>
    <w:rsid w:val="00B133D0"/>
    <w:rsid w:val="00B13B78"/>
    <w:rsid w:val="00B14233"/>
    <w:rsid w:val="00B14486"/>
    <w:rsid w:val="00B1458B"/>
    <w:rsid w:val="00B1503E"/>
    <w:rsid w:val="00B154A5"/>
    <w:rsid w:val="00B1561C"/>
    <w:rsid w:val="00B15D43"/>
    <w:rsid w:val="00B15F14"/>
    <w:rsid w:val="00B163AA"/>
    <w:rsid w:val="00B16D51"/>
    <w:rsid w:val="00B16DB7"/>
    <w:rsid w:val="00B16FF1"/>
    <w:rsid w:val="00B16FF3"/>
    <w:rsid w:val="00B17398"/>
    <w:rsid w:val="00B173A7"/>
    <w:rsid w:val="00B17BD0"/>
    <w:rsid w:val="00B17D23"/>
    <w:rsid w:val="00B17F72"/>
    <w:rsid w:val="00B17FAD"/>
    <w:rsid w:val="00B20075"/>
    <w:rsid w:val="00B201C7"/>
    <w:rsid w:val="00B20920"/>
    <w:rsid w:val="00B20949"/>
    <w:rsid w:val="00B20A8C"/>
    <w:rsid w:val="00B20B83"/>
    <w:rsid w:val="00B20D29"/>
    <w:rsid w:val="00B20FDB"/>
    <w:rsid w:val="00B21515"/>
    <w:rsid w:val="00B21958"/>
    <w:rsid w:val="00B21DA3"/>
    <w:rsid w:val="00B22424"/>
    <w:rsid w:val="00B22692"/>
    <w:rsid w:val="00B22693"/>
    <w:rsid w:val="00B22D37"/>
    <w:rsid w:val="00B22D8E"/>
    <w:rsid w:val="00B23075"/>
    <w:rsid w:val="00B2309A"/>
    <w:rsid w:val="00B24284"/>
    <w:rsid w:val="00B24485"/>
    <w:rsid w:val="00B247CF"/>
    <w:rsid w:val="00B24C1E"/>
    <w:rsid w:val="00B25112"/>
    <w:rsid w:val="00B2536B"/>
    <w:rsid w:val="00B256DD"/>
    <w:rsid w:val="00B25732"/>
    <w:rsid w:val="00B258E6"/>
    <w:rsid w:val="00B260DE"/>
    <w:rsid w:val="00B261E7"/>
    <w:rsid w:val="00B26598"/>
    <w:rsid w:val="00B265D1"/>
    <w:rsid w:val="00B266A6"/>
    <w:rsid w:val="00B266A7"/>
    <w:rsid w:val="00B26A87"/>
    <w:rsid w:val="00B26FB7"/>
    <w:rsid w:val="00B272C4"/>
    <w:rsid w:val="00B274C4"/>
    <w:rsid w:val="00B278E1"/>
    <w:rsid w:val="00B27A8C"/>
    <w:rsid w:val="00B301C7"/>
    <w:rsid w:val="00B3086C"/>
    <w:rsid w:val="00B30A17"/>
    <w:rsid w:val="00B30BBF"/>
    <w:rsid w:val="00B30D12"/>
    <w:rsid w:val="00B31063"/>
    <w:rsid w:val="00B31531"/>
    <w:rsid w:val="00B3159D"/>
    <w:rsid w:val="00B31F5A"/>
    <w:rsid w:val="00B3216E"/>
    <w:rsid w:val="00B32243"/>
    <w:rsid w:val="00B32277"/>
    <w:rsid w:val="00B322E5"/>
    <w:rsid w:val="00B32848"/>
    <w:rsid w:val="00B32D10"/>
    <w:rsid w:val="00B32F32"/>
    <w:rsid w:val="00B3320F"/>
    <w:rsid w:val="00B33597"/>
    <w:rsid w:val="00B33783"/>
    <w:rsid w:val="00B33E67"/>
    <w:rsid w:val="00B33ED6"/>
    <w:rsid w:val="00B33F18"/>
    <w:rsid w:val="00B34113"/>
    <w:rsid w:val="00B3435A"/>
    <w:rsid w:val="00B34400"/>
    <w:rsid w:val="00B348A5"/>
    <w:rsid w:val="00B3495A"/>
    <w:rsid w:val="00B34C8B"/>
    <w:rsid w:val="00B352E6"/>
    <w:rsid w:val="00B35467"/>
    <w:rsid w:val="00B3578F"/>
    <w:rsid w:val="00B359DB"/>
    <w:rsid w:val="00B35A92"/>
    <w:rsid w:val="00B35FA1"/>
    <w:rsid w:val="00B35FA6"/>
    <w:rsid w:val="00B3631D"/>
    <w:rsid w:val="00B3653F"/>
    <w:rsid w:val="00B368FB"/>
    <w:rsid w:val="00B36BCD"/>
    <w:rsid w:val="00B36D6F"/>
    <w:rsid w:val="00B36DDE"/>
    <w:rsid w:val="00B37184"/>
    <w:rsid w:val="00B37317"/>
    <w:rsid w:val="00B375C9"/>
    <w:rsid w:val="00B376BA"/>
    <w:rsid w:val="00B37704"/>
    <w:rsid w:val="00B378B3"/>
    <w:rsid w:val="00B37BF4"/>
    <w:rsid w:val="00B3B140"/>
    <w:rsid w:val="00B40138"/>
    <w:rsid w:val="00B40179"/>
    <w:rsid w:val="00B402DC"/>
    <w:rsid w:val="00B40391"/>
    <w:rsid w:val="00B403C3"/>
    <w:rsid w:val="00B4052E"/>
    <w:rsid w:val="00B40F16"/>
    <w:rsid w:val="00B40F9A"/>
    <w:rsid w:val="00B40F9F"/>
    <w:rsid w:val="00B411D5"/>
    <w:rsid w:val="00B412DF"/>
    <w:rsid w:val="00B41430"/>
    <w:rsid w:val="00B41623"/>
    <w:rsid w:val="00B4183D"/>
    <w:rsid w:val="00B41B9B"/>
    <w:rsid w:val="00B41BEE"/>
    <w:rsid w:val="00B41D32"/>
    <w:rsid w:val="00B4212B"/>
    <w:rsid w:val="00B42289"/>
    <w:rsid w:val="00B423A9"/>
    <w:rsid w:val="00B42625"/>
    <w:rsid w:val="00B42696"/>
    <w:rsid w:val="00B42A08"/>
    <w:rsid w:val="00B42DBB"/>
    <w:rsid w:val="00B42FB1"/>
    <w:rsid w:val="00B42FBC"/>
    <w:rsid w:val="00B43500"/>
    <w:rsid w:val="00B4378A"/>
    <w:rsid w:val="00B43A23"/>
    <w:rsid w:val="00B43BB1"/>
    <w:rsid w:val="00B43F05"/>
    <w:rsid w:val="00B4458B"/>
    <w:rsid w:val="00B445F0"/>
    <w:rsid w:val="00B4477D"/>
    <w:rsid w:val="00B447E7"/>
    <w:rsid w:val="00B44822"/>
    <w:rsid w:val="00B44BEB"/>
    <w:rsid w:val="00B44EAA"/>
    <w:rsid w:val="00B44ED0"/>
    <w:rsid w:val="00B44F2A"/>
    <w:rsid w:val="00B45119"/>
    <w:rsid w:val="00B45330"/>
    <w:rsid w:val="00B45381"/>
    <w:rsid w:val="00B45798"/>
    <w:rsid w:val="00B45AF8"/>
    <w:rsid w:val="00B45EBA"/>
    <w:rsid w:val="00B461D6"/>
    <w:rsid w:val="00B46507"/>
    <w:rsid w:val="00B46DA0"/>
    <w:rsid w:val="00B4725B"/>
    <w:rsid w:val="00B475CB"/>
    <w:rsid w:val="00B47893"/>
    <w:rsid w:val="00B47A68"/>
    <w:rsid w:val="00B47ED4"/>
    <w:rsid w:val="00B5007E"/>
    <w:rsid w:val="00B5011A"/>
    <w:rsid w:val="00B50340"/>
    <w:rsid w:val="00B505FA"/>
    <w:rsid w:val="00B50991"/>
    <w:rsid w:val="00B50A16"/>
    <w:rsid w:val="00B50A50"/>
    <w:rsid w:val="00B50BF5"/>
    <w:rsid w:val="00B50C8A"/>
    <w:rsid w:val="00B50EF3"/>
    <w:rsid w:val="00B5119F"/>
    <w:rsid w:val="00B513D1"/>
    <w:rsid w:val="00B515CF"/>
    <w:rsid w:val="00B5176B"/>
    <w:rsid w:val="00B51938"/>
    <w:rsid w:val="00B5200B"/>
    <w:rsid w:val="00B523F4"/>
    <w:rsid w:val="00B5248C"/>
    <w:rsid w:val="00B52507"/>
    <w:rsid w:val="00B52740"/>
    <w:rsid w:val="00B528B0"/>
    <w:rsid w:val="00B52F0D"/>
    <w:rsid w:val="00B52F86"/>
    <w:rsid w:val="00B532B0"/>
    <w:rsid w:val="00B53992"/>
    <w:rsid w:val="00B53CE3"/>
    <w:rsid w:val="00B53D94"/>
    <w:rsid w:val="00B54072"/>
    <w:rsid w:val="00B54131"/>
    <w:rsid w:val="00B54332"/>
    <w:rsid w:val="00B5492A"/>
    <w:rsid w:val="00B54BC6"/>
    <w:rsid w:val="00B54C69"/>
    <w:rsid w:val="00B54CB2"/>
    <w:rsid w:val="00B54E36"/>
    <w:rsid w:val="00B54F59"/>
    <w:rsid w:val="00B55018"/>
    <w:rsid w:val="00B55267"/>
    <w:rsid w:val="00B5530D"/>
    <w:rsid w:val="00B553A3"/>
    <w:rsid w:val="00B55635"/>
    <w:rsid w:val="00B55F20"/>
    <w:rsid w:val="00B55F5C"/>
    <w:rsid w:val="00B55F73"/>
    <w:rsid w:val="00B561BA"/>
    <w:rsid w:val="00B561CD"/>
    <w:rsid w:val="00B5648C"/>
    <w:rsid w:val="00B56CF5"/>
    <w:rsid w:val="00B57741"/>
    <w:rsid w:val="00B57C16"/>
    <w:rsid w:val="00B57FB5"/>
    <w:rsid w:val="00B6022E"/>
    <w:rsid w:val="00B605F7"/>
    <w:rsid w:val="00B607A3"/>
    <w:rsid w:val="00B6093C"/>
    <w:rsid w:val="00B609D0"/>
    <w:rsid w:val="00B60D61"/>
    <w:rsid w:val="00B60FA6"/>
    <w:rsid w:val="00B61797"/>
    <w:rsid w:val="00B61819"/>
    <w:rsid w:val="00B61DC4"/>
    <w:rsid w:val="00B62663"/>
    <w:rsid w:val="00B62C96"/>
    <w:rsid w:val="00B63A3C"/>
    <w:rsid w:val="00B63B02"/>
    <w:rsid w:val="00B63CD1"/>
    <w:rsid w:val="00B63DA1"/>
    <w:rsid w:val="00B642FE"/>
    <w:rsid w:val="00B64330"/>
    <w:rsid w:val="00B643D9"/>
    <w:rsid w:val="00B6486E"/>
    <w:rsid w:val="00B64A09"/>
    <w:rsid w:val="00B64C96"/>
    <w:rsid w:val="00B64EC3"/>
    <w:rsid w:val="00B6510C"/>
    <w:rsid w:val="00B653BB"/>
    <w:rsid w:val="00B653D4"/>
    <w:rsid w:val="00B653E6"/>
    <w:rsid w:val="00B65988"/>
    <w:rsid w:val="00B65A97"/>
    <w:rsid w:val="00B65BA1"/>
    <w:rsid w:val="00B65FE9"/>
    <w:rsid w:val="00B6636D"/>
    <w:rsid w:val="00B66D0B"/>
    <w:rsid w:val="00B66D4C"/>
    <w:rsid w:val="00B66F80"/>
    <w:rsid w:val="00B67D21"/>
    <w:rsid w:val="00B70196"/>
    <w:rsid w:val="00B70401"/>
    <w:rsid w:val="00B70D6C"/>
    <w:rsid w:val="00B70DB4"/>
    <w:rsid w:val="00B71532"/>
    <w:rsid w:val="00B71EB2"/>
    <w:rsid w:val="00B72120"/>
    <w:rsid w:val="00B72498"/>
    <w:rsid w:val="00B72FF7"/>
    <w:rsid w:val="00B7309D"/>
    <w:rsid w:val="00B73175"/>
    <w:rsid w:val="00B7365B"/>
    <w:rsid w:val="00B73670"/>
    <w:rsid w:val="00B73BD2"/>
    <w:rsid w:val="00B73C6D"/>
    <w:rsid w:val="00B73C84"/>
    <w:rsid w:val="00B73D44"/>
    <w:rsid w:val="00B74081"/>
    <w:rsid w:val="00B74688"/>
    <w:rsid w:val="00B74939"/>
    <w:rsid w:val="00B74D23"/>
    <w:rsid w:val="00B753CB"/>
    <w:rsid w:val="00B753F5"/>
    <w:rsid w:val="00B754B9"/>
    <w:rsid w:val="00B756CF"/>
    <w:rsid w:val="00B757FF"/>
    <w:rsid w:val="00B7583F"/>
    <w:rsid w:val="00B75F57"/>
    <w:rsid w:val="00B76388"/>
    <w:rsid w:val="00B76417"/>
    <w:rsid w:val="00B76585"/>
    <w:rsid w:val="00B7662B"/>
    <w:rsid w:val="00B76D95"/>
    <w:rsid w:val="00B77517"/>
    <w:rsid w:val="00B77682"/>
    <w:rsid w:val="00B77B87"/>
    <w:rsid w:val="00B77C6E"/>
    <w:rsid w:val="00B77DF5"/>
    <w:rsid w:val="00B802BD"/>
    <w:rsid w:val="00B803C5"/>
    <w:rsid w:val="00B803E4"/>
    <w:rsid w:val="00B8042A"/>
    <w:rsid w:val="00B8044B"/>
    <w:rsid w:val="00B8082B"/>
    <w:rsid w:val="00B80EAF"/>
    <w:rsid w:val="00B814B3"/>
    <w:rsid w:val="00B814CD"/>
    <w:rsid w:val="00B81707"/>
    <w:rsid w:val="00B8171A"/>
    <w:rsid w:val="00B81720"/>
    <w:rsid w:val="00B8195B"/>
    <w:rsid w:val="00B819C3"/>
    <w:rsid w:val="00B81DC0"/>
    <w:rsid w:val="00B821EA"/>
    <w:rsid w:val="00B82621"/>
    <w:rsid w:val="00B8299A"/>
    <w:rsid w:val="00B829E3"/>
    <w:rsid w:val="00B8320E"/>
    <w:rsid w:val="00B83217"/>
    <w:rsid w:val="00B8344A"/>
    <w:rsid w:val="00B83F42"/>
    <w:rsid w:val="00B83F96"/>
    <w:rsid w:val="00B843CD"/>
    <w:rsid w:val="00B84821"/>
    <w:rsid w:val="00B84B7C"/>
    <w:rsid w:val="00B85075"/>
    <w:rsid w:val="00B85086"/>
    <w:rsid w:val="00B8536F"/>
    <w:rsid w:val="00B855AB"/>
    <w:rsid w:val="00B857F7"/>
    <w:rsid w:val="00B858B3"/>
    <w:rsid w:val="00B85A08"/>
    <w:rsid w:val="00B85A7C"/>
    <w:rsid w:val="00B85B62"/>
    <w:rsid w:val="00B860B9"/>
    <w:rsid w:val="00B86119"/>
    <w:rsid w:val="00B86126"/>
    <w:rsid w:val="00B8624B"/>
    <w:rsid w:val="00B863AE"/>
    <w:rsid w:val="00B8649B"/>
    <w:rsid w:val="00B865D4"/>
    <w:rsid w:val="00B8729B"/>
    <w:rsid w:val="00B87342"/>
    <w:rsid w:val="00B87B32"/>
    <w:rsid w:val="00B87C35"/>
    <w:rsid w:val="00B87F37"/>
    <w:rsid w:val="00B9004E"/>
    <w:rsid w:val="00B9058D"/>
    <w:rsid w:val="00B907DE"/>
    <w:rsid w:val="00B90B45"/>
    <w:rsid w:val="00B90EA5"/>
    <w:rsid w:val="00B9106F"/>
    <w:rsid w:val="00B91082"/>
    <w:rsid w:val="00B91A0B"/>
    <w:rsid w:val="00B91CFB"/>
    <w:rsid w:val="00B91D87"/>
    <w:rsid w:val="00B9209A"/>
    <w:rsid w:val="00B923AD"/>
    <w:rsid w:val="00B9266B"/>
    <w:rsid w:val="00B92881"/>
    <w:rsid w:val="00B92B45"/>
    <w:rsid w:val="00B92C74"/>
    <w:rsid w:val="00B93189"/>
    <w:rsid w:val="00B93359"/>
    <w:rsid w:val="00B933B2"/>
    <w:rsid w:val="00B93649"/>
    <w:rsid w:val="00B93C95"/>
    <w:rsid w:val="00B93E1E"/>
    <w:rsid w:val="00B93E2F"/>
    <w:rsid w:val="00B93F56"/>
    <w:rsid w:val="00B943E9"/>
    <w:rsid w:val="00B94519"/>
    <w:rsid w:val="00B94F13"/>
    <w:rsid w:val="00B9505B"/>
    <w:rsid w:val="00B9528A"/>
    <w:rsid w:val="00B954D1"/>
    <w:rsid w:val="00B95552"/>
    <w:rsid w:val="00B9588B"/>
    <w:rsid w:val="00B95B10"/>
    <w:rsid w:val="00B95B52"/>
    <w:rsid w:val="00B95C0C"/>
    <w:rsid w:val="00B95DE8"/>
    <w:rsid w:val="00B95E2D"/>
    <w:rsid w:val="00B96816"/>
    <w:rsid w:val="00B96A83"/>
    <w:rsid w:val="00B96AD5"/>
    <w:rsid w:val="00B96E8A"/>
    <w:rsid w:val="00B9736A"/>
    <w:rsid w:val="00B9740C"/>
    <w:rsid w:val="00B975AF"/>
    <w:rsid w:val="00B97869"/>
    <w:rsid w:val="00B9799B"/>
    <w:rsid w:val="00B97BCE"/>
    <w:rsid w:val="00B97EDD"/>
    <w:rsid w:val="00BA0037"/>
    <w:rsid w:val="00BA031D"/>
    <w:rsid w:val="00BA03B6"/>
    <w:rsid w:val="00BA053E"/>
    <w:rsid w:val="00BA0659"/>
    <w:rsid w:val="00BA0860"/>
    <w:rsid w:val="00BA090A"/>
    <w:rsid w:val="00BA0C91"/>
    <w:rsid w:val="00BA1004"/>
    <w:rsid w:val="00BA1356"/>
    <w:rsid w:val="00BA1405"/>
    <w:rsid w:val="00BA15F1"/>
    <w:rsid w:val="00BA1634"/>
    <w:rsid w:val="00BA16C6"/>
    <w:rsid w:val="00BA1812"/>
    <w:rsid w:val="00BA1B00"/>
    <w:rsid w:val="00BA20DA"/>
    <w:rsid w:val="00BA20EC"/>
    <w:rsid w:val="00BA218D"/>
    <w:rsid w:val="00BA225A"/>
    <w:rsid w:val="00BA23A4"/>
    <w:rsid w:val="00BA30F2"/>
    <w:rsid w:val="00BA320E"/>
    <w:rsid w:val="00BA32E0"/>
    <w:rsid w:val="00BA400F"/>
    <w:rsid w:val="00BA4149"/>
    <w:rsid w:val="00BA437B"/>
    <w:rsid w:val="00BA43A5"/>
    <w:rsid w:val="00BA4AE9"/>
    <w:rsid w:val="00BA4D37"/>
    <w:rsid w:val="00BA4F92"/>
    <w:rsid w:val="00BA5276"/>
    <w:rsid w:val="00BA5373"/>
    <w:rsid w:val="00BA5555"/>
    <w:rsid w:val="00BA559C"/>
    <w:rsid w:val="00BA5AE2"/>
    <w:rsid w:val="00BA5E1B"/>
    <w:rsid w:val="00BA7023"/>
    <w:rsid w:val="00BA73C1"/>
    <w:rsid w:val="00BA78A7"/>
    <w:rsid w:val="00BA7C98"/>
    <w:rsid w:val="00BA7D26"/>
    <w:rsid w:val="00BA7D99"/>
    <w:rsid w:val="00BA7EF9"/>
    <w:rsid w:val="00BB0348"/>
    <w:rsid w:val="00BB03CD"/>
    <w:rsid w:val="00BB07A7"/>
    <w:rsid w:val="00BB0AF3"/>
    <w:rsid w:val="00BB0D76"/>
    <w:rsid w:val="00BB0DF9"/>
    <w:rsid w:val="00BB0F26"/>
    <w:rsid w:val="00BB0F36"/>
    <w:rsid w:val="00BB1334"/>
    <w:rsid w:val="00BB136F"/>
    <w:rsid w:val="00BB1ADF"/>
    <w:rsid w:val="00BB1C54"/>
    <w:rsid w:val="00BB1D91"/>
    <w:rsid w:val="00BB206A"/>
    <w:rsid w:val="00BB264F"/>
    <w:rsid w:val="00BB279F"/>
    <w:rsid w:val="00BB289A"/>
    <w:rsid w:val="00BB2ACC"/>
    <w:rsid w:val="00BB3449"/>
    <w:rsid w:val="00BB369C"/>
    <w:rsid w:val="00BB36C4"/>
    <w:rsid w:val="00BB3AC4"/>
    <w:rsid w:val="00BB3B00"/>
    <w:rsid w:val="00BB3DD1"/>
    <w:rsid w:val="00BB4112"/>
    <w:rsid w:val="00BB43BE"/>
    <w:rsid w:val="00BB463C"/>
    <w:rsid w:val="00BB4E56"/>
    <w:rsid w:val="00BB58E1"/>
    <w:rsid w:val="00BB5DD2"/>
    <w:rsid w:val="00BB5FC9"/>
    <w:rsid w:val="00BB6019"/>
    <w:rsid w:val="00BB6310"/>
    <w:rsid w:val="00BB646E"/>
    <w:rsid w:val="00BB6537"/>
    <w:rsid w:val="00BB6578"/>
    <w:rsid w:val="00BB668A"/>
    <w:rsid w:val="00BB6AA6"/>
    <w:rsid w:val="00BB6ABC"/>
    <w:rsid w:val="00BB6E31"/>
    <w:rsid w:val="00BB6E33"/>
    <w:rsid w:val="00BB70A0"/>
    <w:rsid w:val="00BB72D1"/>
    <w:rsid w:val="00BB730B"/>
    <w:rsid w:val="00BB7698"/>
    <w:rsid w:val="00BB7EA3"/>
    <w:rsid w:val="00BC0105"/>
    <w:rsid w:val="00BC03DE"/>
    <w:rsid w:val="00BC0864"/>
    <w:rsid w:val="00BC0881"/>
    <w:rsid w:val="00BC0B4A"/>
    <w:rsid w:val="00BC0CBC"/>
    <w:rsid w:val="00BC0CD7"/>
    <w:rsid w:val="00BC0F8C"/>
    <w:rsid w:val="00BC1056"/>
    <w:rsid w:val="00BC1233"/>
    <w:rsid w:val="00BC14BB"/>
    <w:rsid w:val="00BC2285"/>
    <w:rsid w:val="00BC271E"/>
    <w:rsid w:val="00BC2AEA"/>
    <w:rsid w:val="00BC2BD5"/>
    <w:rsid w:val="00BC2C90"/>
    <w:rsid w:val="00BC3672"/>
    <w:rsid w:val="00BC3D00"/>
    <w:rsid w:val="00BC42AF"/>
    <w:rsid w:val="00BC4380"/>
    <w:rsid w:val="00BC47CC"/>
    <w:rsid w:val="00BC48BF"/>
    <w:rsid w:val="00BC4C96"/>
    <w:rsid w:val="00BC4E12"/>
    <w:rsid w:val="00BC4ED4"/>
    <w:rsid w:val="00BC4F58"/>
    <w:rsid w:val="00BC4FA4"/>
    <w:rsid w:val="00BC57F5"/>
    <w:rsid w:val="00BC5930"/>
    <w:rsid w:val="00BC5949"/>
    <w:rsid w:val="00BC5A5A"/>
    <w:rsid w:val="00BC5BD8"/>
    <w:rsid w:val="00BC6294"/>
    <w:rsid w:val="00BC6398"/>
    <w:rsid w:val="00BC64E7"/>
    <w:rsid w:val="00BC67C8"/>
    <w:rsid w:val="00BC6C7F"/>
    <w:rsid w:val="00BC6E9A"/>
    <w:rsid w:val="00BC6FB2"/>
    <w:rsid w:val="00BC725A"/>
    <w:rsid w:val="00BC7311"/>
    <w:rsid w:val="00BC733D"/>
    <w:rsid w:val="00BC7365"/>
    <w:rsid w:val="00BC782E"/>
    <w:rsid w:val="00BC78CF"/>
    <w:rsid w:val="00BC79B3"/>
    <w:rsid w:val="00BD0188"/>
    <w:rsid w:val="00BD03D2"/>
    <w:rsid w:val="00BD0403"/>
    <w:rsid w:val="00BD084E"/>
    <w:rsid w:val="00BD154C"/>
    <w:rsid w:val="00BD15DE"/>
    <w:rsid w:val="00BD1AAF"/>
    <w:rsid w:val="00BD1C3B"/>
    <w:rsid w:val="00BD2515"/>
    <w:rsid w:val="00BD2A17"/>
    <w:rsid w:val="00BD2C86"/>
    <w:rsid w:val="00BD3579"/>
    <w:rsid w:val="00BD3E06"/>
    <w:rsid w:val="00BD405B"/>
    <w:rsid w:val="00BD42A1"/>
    <w:rsid w:val="00BD4301"/>
    <w:rsid w:val="00BD480E"/>
    <w:rsid w:val="00BD48E4"/>
    <w:rsid w:val="00BD49AB"/>
    <w:rsid w:val="00BD4B27"/>
    <w:rsid w:val="00BD4CC5"/>
    <w:rsid w:val="00BD4E93"/>
    <w:rsid w:val="00BD4F53"/>
    <w:rsid w:val="00BD5099"/>
    <w:rsid w:val="00BD5263"/>
    <w:rsid w:val="00BD5A5B"/>
    <w:rsid w:val="00BD5AAA"/>
    <w:rsid w:val="00BD5C6E"/>
    <w:rsid w:val="00BD638B"/>
    <w:rsid w:val="00BD6824"/>
    <w:rsid w:val="00BD6CAC"/>
    <w:rsid w:val="00BD6E4A"/>
    <w:rsid w:val="00BD6F17"/>
    <w:rsid w:val="00BD6F65"/>
    <w:rsid w:val="00BD7F1C"/>
    <w:rsid w:val="00BD7F83"/>
    <w:rsid w:val="00BD7F99"/>
    <w:rsid w:val="00BE006A"/>
    <w:rsid w:val="00BE0142"/>
    <w:rsid w:val="00BE0528"/>
    <w:rsid w:val="00BE0684"/>
    <w:rsid w:val="00BE08C3"/>
    <w:rsid w:val="00BE0A84"/>
    <w:rsid w:val="00BE0AFD"/>
    <w:rsid w:val="00BE0EB6"/>
    <w:rsid w:val="00BE12C5"/>
    <w:rsid w:val="00BE1300"/>
    <w:rsid w:val="00BE136A"/>
    <w:rsid w:val="00BE13C5"/>
    <w:rsid w:val="00BE17A4"/>
    <w:rsid w:val="00BE18E8"/>
    <w:rsid w:val="00BE1DD1"/>
    <w:rsid w:val="00BE2244"/>
    <w:rsid w:val="00BE2538"/>
    <w:rsid w:val="00BE257E"/>
    <w:rsid w:val="00BE25F1"/>
    <w:rsid w:val="00BE270A"/>
    <w:rsid w:val="00BE3756"/>
    <w:rsid w:val="00BE3CFC"/>
    <w:rsid w:val="00BE3E3A"/>
    <w:rsid w:val="00BE3E9E"/>
    <w:rsid w:val="00BE403E"/>
    <w:rsid w:val="00BE4167"/>
    <w:rsid w:val="00BE41F2"/>
    <w:rsid w:val="00BE4ACF"/>
    <w:rsid w:val="00BE53AE"/>
    <w:rsid w:val="00BE5539"/>
    <w:rsid w:val="00BE5693"/>
    <w:rsid w:val="00BE59C0"/>
    <w:rsid w:val="00BE59ED"/>
    <w:rsid w:val="00BE5BDC"/>
    <w:rsid w:val="00BE5C32"/>
    <w:rsid w:val="00BE5E7F"/>
    <w:rsid w:val="00BE6202"/>
    <w:rsid w:val="00BE63BA"/>
    <w:rsid w:val="00BE66ED"/>
    <w:rsid w:val="00BE6E26"/>
    <w:rsid w:val="00BE6EAA"/>
    <w:rsid w:val="00BE6EDC"/>
    <w:rsid w:val="00BE7113"/>
    <w:rsid w:val="00BE780B"/>
    <w:rsid w:val="00BE7EE3"/>
    <w:rsid w:val="00BF00E7"/>
    <w:rsid w:val="00BF029C"/>
    <w:rsid w:val="00BF04E8"/>
    <w:rsid w:val="00BF0999"/>
    <w:rsid w:val="00BF0EFF"/>
    <w:rsid w:val="00BF0F2E"/>
    <w:rsid w:val="00BF1015"/>
    <w:rsid w:val="00BF114F"/>
    <w:rsid w:val="00BF1960"/>
    <w:rsid w:val="00BF1B08"/>
    <w:rsid w:val="00BF1C00"/>
    <w:rsid w:val="00BF1C41"/>
    <w:rsid w:val="00BF20BE"/>
    <w:rsid w:val="00BF2193"/>
    <w:rsid w:val="00BF21D5"/>
    <w:rsid w:val="00BF23C2"/>
    <w:rsid w:val="00BF2851"/>
    <w:rsid w:val="00BF2B66"/>
    <w:rsid w:val="00BF2EE6"/>
    <w:rsid w:val="00BF3288"/>
    <w:rsid w:val="00BF3526"/>
    <w:rsid w:val="00BF39AE"/>
    <w:rsid w:val="00BF3E86"/>
    <w:rsid w:val="00BF3E8A"/>
    <w:rsid w:val="00BF3ED0"/>
    <w:rsid w:val="00BF3FBC"/>
    <w:rsid w:val="00BF4D47"/>
    <w:rsid w:val="00BF5398"/>
    <w:rsid w:val="00BF56AE"/>
    <w:rsid w:val="00BF58DE"/>
    <w:rsid w:val="00BF5BFE"/>
    <w:rsid w:val="00BF608A"/>
    <w:rsid w:val="00BF61B2"/>
    <w:rsid w:val="00BF66A8"/>
    <w:rsid w:val="00BF6E1A"/>
    <w:rsid w:val="00BF7007"/>
    <w:rsid w:val="00BF770E"/>
    <w:rsid w:val="00BF778D"/>
    <w:rsid w:val="00BF7E4D"/>
    <w:rsid w:val="00BF7E4E"/>
    <w:rsid w:val="00C0004B"/>
    <w:rsid w:val="00C00161"/>
    <w:rsid w:val="00C002DA"/>
    <w:rsid w:val="00C0042A"/>
    <w:rsid w:val="00C005A9"/>
    <w:rsid w:val="00C0091A"/>
    <w:rsid w:val="00C00FC2"/>
    <w:rsid w:val="00C010BF"/>
    <w:rsid w:val="00C01119"/>
    <w:rsid w:val="00C0111F"/>
    <w:rsid w:val="00C0126F"/>
    <w:rsid w:val="00C015F2"/>
    <w:rsid w:val="00C01822"/>
    <w:rsid w:val="00C02703"/>
    <w:rsid w:val="00C029BF"/>
    <w:rsid w:val="00C02AD5"/>
    <w:rsid w:val="00C02B04"/>
    <w:rsid w:val="00C02DC7"/>
    <w:rsid w:val="00C03027"/>
    <w:rsid w:val="00C032CB"/>
    <w:rsid w:val="00C037D8"/>
    <w:rsid w:val="00C03D0E"/>
    <w:rsid w:val="00C04148"/>
    <w:rsid w:val="00C04203"/>
    <w:rsid w:val="00C0433E"/>
    <w:rsid w:val="00C04AC7"/>
    <w:rsid w:val="00C04B85"/>
    <w:rsid w:val="00C04CBB"/>
    <w:rsid w:val="00C04EAF"/>
    <w:rsid w:val="00C04FF2"/>
    <w:rsid w:val="00C0501C"/>
    <w:rsid w:val="00C05061"/>
    <w:rsid w:val="00C05447"/>
    <w:rsid w:val="00C057AC"/>
    <w:rsid w:val="00C05A87"/>
    <w:rsid w:val="00C05B88"/>
    <w:rsid w:val="00C05C07"/>
    <w:rsid w:val="00C05D4A"/>
    <w:rsid w:val="00C05DE7"/>
    <w:rsid w:val="00C05E74"/>
    <w:rsid w:val="00C0657B"/>
    <w:rsid w:val="00C065E5"/>
    <w:rsid w:val="00C066BD"/>
    <w:rsid w:val="00C06711"/>
    <w:rsid w:val="00C067EA"/>
    <w:rsid w:val="00C0682E"/>
    <w:rsid w:val="00C070B1"/>
    <w:rsid w:val="00C07164"/>
    <w:rsid w:val="00C0716B"/>
    <w:rsid w:val="00C075CD"/>
    <w:rsid w:val="00C07734"/>
    <w:rsid w:val="00C0786A"/>
    <w:rsid w:val="00C07A6B"/>
    <w:rsid w:val="00C07D3A"/>
    <w:rsid w:val="00C07EA5"/>
    <w:rsid w:val="00C07FCE"/>
    <w:rsid w:val="00C10281"/>
    <w:rsid w:val="00C10309"/>
    <w:rsid w:val="00C104E7"/>
    <w:rsid w:val="00C1065D"/>
    <w:rsid w:val="00C10761"/>
    <w:rsid w:val="00C10833"/>
    <w:rsid w:val="00C114BB"/>
    <w:rsid w:val="00C11BF3"/>
    <w:rsid w:val="00C12D09"/>
    <w:rsid w:val="00C13547"/>
    <w:rsid w:val="00C1389F"/>
    <w:rsid w:val="00C13B71"/>
    <w:rsid w:val="00C13C55"/>
    <w:rsid w:val="00C148E8"/>
    <w:rsid w:val="00C14951"/>
    <w:rsid w:val="00C14B2B"/>
    <w:rsid w:val="00C14C7D"/>
    <w:rsid w:val="00C14DDE"/>
    <w:rsid w:val="00C14E1A"/>
    <w:rsid w:val="00C15295"/>
    <w:rsid w:val="00C15391"/>
    <w:rsid w:val="00C154B4"/>
    <w:rsid w:val="00C156FE"/>
    <w:rsid w:val="00C15CC2"/>
    <w:rsid w:val="00C160DD"/>
    <w:rsid w:val="00C16375"/>
    <w:rsid w:val="00C16614"/>
    <w:rsid w:val="00C16875"/>
    <w:rsid w:val="00C16A63"/>
    <w:rsid w:val="00C16CA6"/>
    <w:rsid w:val="00C171D4"/>
    <w:rsid w:val="00C1730B"/>
    <w:rsid w:val="00C17503"/>
    <w:rsid w:val="00C17593"/>
    <w:rsid w:val="00C175EA"/>
    <w:rsid w:val="00C17724"/>
    <w:rsid w:val="00C1783B"/>
    <w:rsid w:val="00C178EC"/>
    <w:rsid w:val="00C179D6"/>
    <w:rsid w:val="00C17F88"/>
    <w:rsid w:val="00C20361"/>
    <w:rsid w:val="00C2044F"/>
    <w:rsid w:val="00C2079A"/>
    <w:rsid w:val="00C2095B"/>
    <w:rsid w:val="00C20AD8"/>
    <w:rsid w:val="00C20EC5"/>
    <w:rsid w:val="00C21142"/>
    <w:rsid w:val="00C2183B"/>
    <w:rsid w:val="00C218E1"/>
    <w:rsid w:val="00C21C11"/>
    <w:rsid w:val="00C21E2D"/>
    <w:rsid w:val="00C21FF0"/>
    <w:rsid w:val="00C2203C"/>
    <w:rsid w:val="00C22187"/>
    <w:rsid w:val="00C221F7"/>
    <w:rsid w:val="00C228B0"/>
    <w:rsid w:val="00C2290F"/>
    <w:rsid w:val="00C22A13"/>
    <w:rsid w:val="00C22B34"/>
    <w:rsid w:val="00C22C6A"/>
    <w:rsid w:val="00C22ECC"/>
    <w:rsid w:val="00C22FEC"/>
    <w:rsid w:val="00C230B8"/>
    <w:rsid w:val="00C233B2"/>
    <w:rsid w:val="00C234B1"/>
    <w:rsid w:val="00C23590"/>
    <w:rsid w:val="00C2360D"/>
    <w:rsid w:val="00C2394B"/>
    <w:rsid w:val="00C23A7F"/>
    <w:rsid w:val="00C23C5C"/>
    <w:rsid w:val="00C23ED8"/>
    <w:rsid w:val="00C24BE3"/>
    <w:rsid w:val="00C2505B"/>
    <w:rsid w:val="00C25154"/>
    <w:rsid w:val="00C2523D"/>
    <w:rsid w:val="00C252D6"/>
    <w:rsid w:val="00C255FB"/>
    <w:rsid w:val="00C25638"/>
    <w:rsid w:val="00C256B7"/>
    <w:rsid w:val="00C25960"/>
    <w:rsid w:val="00C25C41"/>
    <w:rsid w:val="00C26097"/>
    <w:rsid w:val="00C264FF"/>
    <w:rsid w:val="00C2688B"/>
    <w:rsid w:val="00C2739A"/>
    <w:rsid w:val="00C2764B"/>
    <w:rsid w:val="00C27766"/>
    <w:rsid w:val="00C27990"/>
    <w:rsid w:val="00C279F7"/>
    <w:rsid w:val="00C27D97"/>
    <w:rsid w:val="00C27EF2"/>
    <w:rsid w:val="00C27F0D"/>
    <w:rsid w:val="00C30539"/>
    <w:rsid w:val="00C30D34"/>
    <w:rsid w:val="00C30DEF"/>
    <w:rsid w:val="00C30E06"/>
    <w:rsid w:val="00C310C3"/>
    <w:rsid w:val="00C31459"/>
    <w:rsid w:val="00C316CD"/>
    <w:rsid w:val="00C3191D"/>
    <w:rsid w:val="00C31E31"/>
    <w:rsid w:val="00C31FF3"/>
    <w:rsid w:val="00C323D4"/>
    <w:rsid w:val="00C32773"/>
    <w:rsid w:val="00C32808"/>
    <w:rsid w:val="00C3283F"/>
    <w:rsid w:val="00C32AA7"/>
    <w:rsid w:val="00C32F73"/>
    <w:rsid w:val="00C33306"/>
    <w:rsid w:val="00C334BF"/>
    <w:rsid w:val="00C33680"/>
    <w:rsid w:val="00C33C63"/>
    <w:rsid w:val="00C3405D"/>
    <w:rsid w:val="00C340FC"/>
    <w:rsid w:val="00C3419B"/>
    <w:rsid w:val="00C34274"/>
    <w:rsid w:val="00C344C0"/>
    <w:rsid w:val="00C3450B"/>
    <w:rsid w:val="00C34877"/>
    <w:rsid w:val="00C34918"/>
    <w:rsid w:val="00C34CB3"/>
    <w:rsid w:val="00C34CE2"/>
    <w:rsid w:val="00C350C6"/>
    <w:rsid w:val="00C356DA"/>
    <w:rsid w:val="00C3592C"/>
    <w:rsid w:val="00C3597E"/>
    <w:rsid w:val="00C3598B"/>
    <w:rsid w:val="00C35ACB"/>
    <w:rsid w:val="00C36298"/>
    <w:rsid w:val="00C3629D"/>
    <w:rsid w:val="00C36A82"/>
    <w:rsid w:val="00C36B70"/>
    <w:rsid w:val="00C36B86"/>
    <w:rsid w:val="00C36BFF"/>
    <w:rsid w:val="00C36C42"/>
    <w:rsid w:val="00C36D06"/>
    <w:rsid w:val="00C36DAD"/>
    <w:rsid w:val="00C36EEF"/>
    <w:rsid w:val="00C36FFF"/>
    <w:rsid w:val="00C37535"/>
    <w:rsid w:val="00C3799A"/>
    <w:rsid w:val="00C37DD9"/>
    <w:rsid w:val="00C401DE"/>
    <w:rsid w:val="00C404B8"/>
    <w:rsid w:val="00C40922"/>
    <w:rsid w:val="00C40967"/>
    <w:rsid w:val="00C409D5"/>
    <w:rsid w:val="00C40F5F"/>
    <w:rsid w:val="00C41064"/>
    <w:rsid w:val="00C413BC"/>
    <w:rsid w:val="00C41684"/>
    <w:rsid w:val="00C41771"/>
    <w:rsid w:val="00C41781"/>
    <w:rsid w:val="00C4187F"/>
    <w:rsid w:val="00C4214D"/>
    <w:rsid w:val="00C421C4"/>
    <w:rsid w:val="00C424C2"/>
    <w:rsid w:val="00C4281B"/>
    <w:rsid w:val="00C429EB"/>
    <w:rsid w:val="00C42BA0"/>
    <w:rsid w:val="00C42C6A"/>
    <w:rsid w:val="00C42E5E"/>
    <w:rsid w:val="00C4321B"/>
    <w:rsid w:val="00C43A8D"/>
    <w:rsid w:val="00C43D0D"/>
    <w:rsid w:val="00C43D74"/>
    <w:rsid w:val="00C440F1"/>
    <w:rsid w:val="00C441BF"/>
    <w:rsid w:val="00C44524"/>
    <w:rsid w:val="00C4460A"/>
    <w:rsid w:val="00C44879"/>
    <w:rsid w:val="00C44D16"/>
    <w:rsid w:val="00C45209"/>
    <w:rsid w:val="00C454B6"/>
    <w:rsid w:val="00C45C75"/>
    <w:rsid w:val="00C462BC"/>
    <w:rsid w:val="00C4640E"/>
    <w:rsid w:val="00C46B45"/>
    <w:rsid w:val="00C46B62"/>
    <w:rsid w:val="00C46DA3"/>
    <w:rsid w:val="00C471D9"/>
    <w:rsid w:val="00C478BF"/>
    <w:rsid w:val="00C47985"/>
    <w:rsid w:val="00C479DF"/>
    <w:rsid w:val="00C47AF7"/>
    <w:rsid w:val="00C47BDF"/>
    <w:rsid w:val="00C47FBF"/>
    <w:rsid w:val="00C50908"/>
    <w:rsid w:val="00C50DD3"/>
    <w:rsid w:val="00C50FCD"/>
    <w:rsid w:val="00C517FD"/>
    <w:rsid w:val="00C51B88"/>
    <w:rsid w:val="00C51CB7"/>
    <w:rsid w:val="00C51CC9"/>
    <w:rsid w:val="00C51DA9"/>
    <w:rsid w:val="00C51FBD"/>
    <w:rsid w:val="00C52261"/>
    <w:rsid w:val="00C522C0"/>
    <w:rsid w:val="00C52417"/>
    <w:rsid w:val="00C5251A"/>
    <w:rsid w:val="00C529C9"/>
    <w:rsid w:val="00C52D90"/>
    <w:rsid w:val="00C52D98"/>
    <w:rsid w:val="00C52F09"/>
    <w:rsid w:val="00C53079"/>
    <w:rsid w:val="00C53214"/>
    <w:rsid w:val="00C53260"/>
    <w:rsid w:val="00C5343A"/>
    <w:rsid w:val="00C534BC"/>
    <w:rsid w:val="00C53541"/>
    <w:rsid w:val="00C5380A"/>
    <w:rsid w:val="00C53E52"/>
    <w:rsid w:val="00C53EBA"/>
    <w:rsid w:val="00C54AF3"/>
    <w:rsid w:val="00C54C86"/>
    <w:rsid w:val="00C55150"/>
    <w:rsid w:val="00C55754"/>
    <w:rsid w:val="00C559BF"/>
    <w:rsid w:val="00C55EFC"/>
    <w:rsid w:val="00C56052"/>
    <w:rsid w:val="00C562D8"/>
    <w:rsid w:val="00C5633F"/>
    <w:rsid w:val="00C56614"/>
    <w:rsid w:val="00C56707"/>
    <w:rsid w:val="00C56E33"/>
    <w:rsid w:val="00C570D3"/>
    <w:rsid w:val="00C5739D"/>
    <w:rsid w:val="00C574D9"/>
    <w:rsid w:val="00C5768A"/>
    <w:rsid w:val="00C577BB"/>
    <w:rsid w:val="00C5795B"/>
    <w:rsid w:val="00C57C4A"/>
    <w:rsid w:val="00C57C89"/>
    <w:rsid w:val="00C57DBF"/>
    <w:rsid w:val="00C57E97"/>
    <w:rsid w:val="00C60367"/>
    <w:rsid w:val="00C60702"/>
    <w:rsid w:val="00C60897"/>
    <w:rsid w:val="00C609B6"/>
    <w:rsid w:val="00C60C03"/>
    <w:rsid w:val="00C6114D"/>
    <w:rsid w:val="00C6116E"/>
    <w:rsid w:val="00C61181"/>
    <w:rsid w:val="00C611F2"/>
    <w:rsid w:val="00C61602"/>
    <w:rsid w:val="00C61745"/>
    <w:rsid w:val="00C619CD"/>
    <w:rsid w:val="00C62057"/>
    <w:rsid w:val="00C622DC"/>
    <w:rsid w:val="00C624D8"/>
    <w:rsid w:val="00C62630"/>
    <w:rsid w:val="00C6271C"/>
    <w:rsid w:val="00C627B0"/>
    <w:rsid w:val="00C62964"/>
    <w:rsid w:val="00C62CED"/>
    <w:rsid w:val="00C62F90"/>
    <w:rsid w:val="00C63E03"/>
    <w:rsid w:val="00C6411E"/>
    <w:rsid w:val="00C64263"/>
    <w:rsid w:val="00C64661"/>
    <w:rsid w:val="00C646D7"/>
    <w:rsid w:val="00C64A5D"/>
    <w:rsid w:val="00C64ABF"/>
    <w:rsid w:val="00C64CC2"/>
    <w:rsid w:val="00C64FA8"/>
    <w:rsid w:val="00C6573E"/>
    <w:rsid w:val="00C657ED"/>
    <w:rsid w:val="00C65C9F"/>
    <w:rsid w:val="00C65EF3"/>
    <w:rsid w:val="00C66151"/>
    <w:rsid w:val="00C664E0"/>
    <w:rsid w:val="00C66BD6"/>
    <w:rsid w:val="00C66C93"/>
    <w:rsid w:val="00C66D00"/>
    <w:rsid w:val="00C67067"/>
    <w:rsid w:val="00C6767F"/>
    <w:rsid w:val="00C67DC6"/>
    <w:rsid w:val="00C67F40"/>
    <w:rsid w:val="00C70335"/>
    <w:rsid w:val="00C7057D"/>
    <w:rsid w:val="00C70590"/>
    <w:rsid w:val="00C70A3A"/>
    <w:rsid w:val="00C70B0D"/>
    <w:rsid w:val="00C70B44"/>
    <w:rsid w:val="00C70D05"/>
    <w:rsid w:val="00C70E2B"/>
    <w:rsid w:val="00C70F69"/>
    <w:rsid w:val="00C70F8C"/>
    <w:rsid w:val="00C7141C"/>
    <w:rsid w:val="00C71B0D"/>
    <w:rsid w:val="00C71C9F"/>
    <w:rsid w:val="00C725E5"/>
    <w:rsid w:val="00C726EE"/>
    <w:rsid w:val="00C73189"/>
    <w:rsid w:val="00C732EE"/>
    <w:rsid w:val="00C732F0"/>
    <w:rsid w:val="00C7333B"/>
    <w:rsid w:val="00C7355A"/>
    <w:rsid w:val="00C73656"/>
    <w:rsid w:val="00C736DB"/>
    <w:rsid w:val="00C741E9"/>
    <w:rsid w:val="00C7432F"/>
    <w:rsid w:val="00C7497A"/>
    <w:rsid w:val="00C74B9A"/>
    <w:rsid w:val="00C74D29"/>
    <w:rsid w:val="00C74ED7"/>
    <w:rsid w:val="00C75125"/>
    <w:rsid w:val="00C754C9"/>
    <w:rsid w:val="00C7568A"/>
    <w:rsid w:val="00C75714"/>
    <w:rsid w:val="00C758C1"/>
    <w:rsid w:val="00C75C20"/>
    <w:rsid w:val="00C75C5B"/>
    <w:rsid w:val="00C76017"/>
    <w:rsid w:val="00C762CB"/>
    <w:rsid w:val="00C76949"/>
    <w:rsid w:val="00C76973"/>
    <w:rsid w:val="00C769D4"/>
    <w:rsid w:val="00C76B5E"/>
    <w:rsid w:val="00C76C35"/>
    <w:rsid w:val="00C76E01"/>
    <w:rsid w:val="00C7707B"/>
    <w:rsid w:val="00C773E5"/>
    <w:rsid w:val="00C77402"/>
    <w:rsid w:val="00C77481"/>
    <w:rsid w:val="00C77550"/>
    <w:rsid w:val="00C777CF"/>
    <w:rsid w:val="00C777D9"/>
    <w:rsid w:val="00C77CD1"/>
    <w:rsid w:val="00C77D8C"/>
    <w:rsid w:val="00C8005B"/>
    <w:rsid w:val="00C80530"/>
    <w:rsid w:val="00C80B06"/>
    <w:rsid w:val="00C80C59"/>
    <w:rsid w:val="00C80F99"/>
    <w:rsid w:val="00C81110"/>
    <w:rsid w:val="00C81205"/>
    <w:rsid w:val="00C8158C"/>
    <w:rsid w:val="00C816D5"/>
    <w:rsid w:val="00C817A8"/>
    <w:rsid w:val="00C81B0A"/>
    <w:rsid w:val="00C81B15"/>
    <w:rsid w:val="00C81C76"/>
    <w:rsid w:val="00C81F39"/>
    <w:rsid w:val="00C826C4"/>
    <w:rsid w:val="00C82AFB"/>
    <w:rsid w:val="00C82DD9"/>
    <w:rsid w:val="00C83021"/>
    <w:rsid w:val="00C833A1"/>
    <w:rsid w:val="00C837C1"/>
    <w:rsid w:val="00C83C27"/>
    <w:rsid w:val="00C83E03"/>
    <w:rsid w:val="00C83E75"/>
    <w:rsid w:val="00C83ED6"/>
    <w:rsid w:val="00C83EE8"/>
    <w:rsid w:val="00C842B4"/>
    <w:rsid w:val="00C84844"/>
    <w:rsid w:val="00C84B5A"/>
    <w:rsid w:val="00C84CA1"/>
    <w:rsid w:val="00C85130"/>
    <w:rsid w:val="00C8586F"/>
    <w:rsid w:val="00C859AF"/>
    <w:rsid w:val="00C85B14"/>
    <w:rsid w:val="00C85E09"/>
    <w:rsid w:val="00C86498"/>
    <w:rsid w:val="00C864DB"/>
    <w:rsid w:val="00C8665C"/>
    <w:rsid w:val="00C86DAA"/>
    <w:rsid w:val="00C8711B"/>
    <w:rsid w:val="00C87141"/>
    <w:rsid w:val="00C8720D"/>
    <w:rsid w:val="00C87350"/>
    <w:rsid w:val="00C87631"/>
    <w:rsid w:val="00C87726"/>
    <w:rsid w:val="00C87874"/>
    <w:rsid w:val="00C878A4"/>
    <w:rsid w:val="00C87972"/>
    <w:rsid w:val="00C879A3"/>
    <w:rsid w:val="00C87AC4"/>
    <w:rsid w:val="00C902D0"/>
    <w:rsid w:val="00C90D0B"/>
    <w:rsid w:val="00C90F7C"/>
    <w:rsid w:val="00C91611"/>
    <w:rsid w:val="00C9162D"/>
    <w:rsid w:val="00C916C5"/>
    <w:rsid w:val="00C91AFA"/>
    <w:rsid w:val="00C91B4E"/>
    <w:rsid w:val="00C91E9D"/>
    <w:rsid w:val="00C91FA2"/>
    <w:rsid w:val="00C9209B"/>
    <w:rsid w:val="00C92311"/>
    <w:rsid w:val="00C927B8"/>
    <w:rsid w:val="00C92B12"/>
    <w:rsid w:val="00C93139"/>
    <w:rsid w:val="00C93166"/>
    <w:rsid w:val="00C9317C"/>
    <w:rsid w:val="00C93288"/>
    <w:rsid w:val="00C932C5"/>
    <w:rsid w:val="00C932E4"/>
    <w:rsid w:val="00C9332C"/>
    <w:rsid w:val="00C93579"/>
    <w:rsid w:val="00C935BE"/>
    <w:rsid w:val="00C93B75"/>
    <w:rsid w:val="00C93E22"/>
    <w:rsid w:val="00C93F39"/>
    <w:rsid w:val="00C945EA"/>
    <w:rsid w:val="00C948A0"/>
    <w:rsid w:val="00C94BBA"/>
    <w:rsid w:val="00C94CC5"/>
    <w:rsid w:val="00C94DCC"/>
    <w:rsid w:val="00C953E6"/>
    <w:rsid w:val="00C95EE5"/>
    <w:rsid w:val="00C962D2"/>
    <w:rsid w:val="00C96319"/>
    <w:rsid w:val="00C965C6"/>
    <w:rsid w:val="00C967D9"/>
    <w:rsid w:val="00C96FCA"/>
    <w:rsid w:val="00C97115"/>
    <w:rsid w:val="00C97160"/>
    <w:rsid w:val="00C9733A"/>
    <w:rsid w:val="00C9748B"/>
    <w:rsid w:val="00C97594"/>
    <w:rsid w:val="00C97989"/>
    <w:rsid w:val="00CA01AF"/>
    <w:rsid w:val="00CA02B4"/>
    <w:rsid w:val="00CA054A"/>
    <w:rsid w:val="00CA0891"/>
    <w:rsid w:val="00CA0CB2"/>
    <w:rsid w:val="00CA1304"/>
    <w:rsid w:val="00CA1424"/>
    <w:rsid w:val="00CA15F5"/>
    <w:rsid w:val="00CA18D8"/>
    <w:rsid w:val="00CA193A"/>
    <w:rsid w:val="00CA2171"/>
    <w:rsid w:val="00CA21D1"/>
    <w:rsid w:val="00CA224D"/>
    <w:rsid w:val="00CA240C"/>
    <w:rsid w:val="00CA27A6"/>
    <w:rsid w:val="00CA2C4A"/>
    <w:rsid w:val="00CA3294"/>
    <w:rsid w:val="00CA32BC"/>
    <w:rsid w:val="00CA3A4D"/>
    <w:rsid w:val="00CA3B45"/>
    <w:rsid w:val="00CA3BD0"/>
    <w:rsid w:val="00CA3F67"/>
    <w:rsid w:val="00CA41C9"/>
    <w:rsid w:val="00CA430F"/>
    <w:rsid w:val="00CA4402"/>
    <w:rsid w:val="00CA485B"/>
    <w:rsid w:val="00CA4939"/>
    <w:rsid w:val="00CA4E25"/>
    <w:rsid w:val="00CA4ED6"/>
    <w:rsid w:val="00CA57F5"/>
    <w:rsid w:val="00CA57FA"/>
    <w:rsid w:val="00CA5B62"/>
    <w:rsid w:val="00CA5C36"/>
    <w:rsid w:val="00CA6334"/>
    <w:rsid w:val="00CA6669"/>
    <w:rsid w:val="00CA67D1"/>
    <w:rsid w:val="00CA695A"/>
    <w:rsid w:val="00CA72CA"/>
    <w:rsid w:val="00CA79F7"/>
    <w:rsid w:val="00CA7AEF"/>
    <w:rsid w:val="00CA7C50"/>
    <w:rsid w:val="00CA7D94"/>
    <w:rsid w:val="00CA7E86"/>
    <w:rsid w:val="00CB0218"/>
    <w:rsid w:val="00CB051D"/>
    <w:rsid w:val="00CB0E6B"/>
    <w:rsid w:val="00CB0FF5"/>
    <w:rsid w:val="00CB10E4"/>
    <w:rsid w:val="00CB1120"/>
    <w:rsid w:val="00CB220F"/>
    <w:rsid w:val="00CB2655"/>
    <w:rsid w:val="00CB2AFE"/>
    <w:rsid w:val="00CB2ED2"/>
    <w:rsid w:val="00CB33AF"/>
    <w:rsid w:val="00CB3569"/>
    <w:rsid w:val="00CB35B8"/>
    <w:rsid w:val="00CB3784"/>
    <w:rsid w:val="00CB389E"/>
    <w:rsid w:val="00CB3A65"/>
    <w:rsid w:val="00CB3B22"/>
    <w:rsid w:val="00CB416A"/>
    <w:rsid w:val="00CB43F4"/>
    <w:rsid w:val="00CB4787"/>
    <w:rsid w:val="00CB4AF9"/>
    <w:rsid w:val="00CB4D94"/>
    <w:rsid w:val="00CB54B3"/>
    <w:rsid w:val="00CB5531"/>
    <w:rsid w:val="00CB59FD"/>
    <w:rsid w:val="00CB6200"/>
    <w:rsid w:val="00CB6AE2"/>
    <w:rsid w:val="00CB6CE1"/>
    <w:rsid w:val="00CB6E08"/>
    <w:rsid w:val="00CB6EAD"/>
    <w:rsid w:val="00CB70A6"/>
    <w:rsid w:val="00CB715C"/>
    <w:rsid w:val="00CB7439"/>
    <w:rsid w:val="00CB75E4"/>
    <w:rsid w:val="00CB7726"/>
    <w:rsid w:val="00CB779C"/>
    <w:rsid w:val="00CB7829"/>
    <w:rsid w:val="00CB7A00"/>
    <w:rsid w:val="00CC032B"/>
    <w:rsid w:val="00CC0ACE"/>
    <w:rsid w:val="00CC0B0E"/>
    <w:rsid w:val="00CC0C9F"/>
    <w:rsid w:val="00CC0E2A"/>
    <w:rsid w:val="00CC0EC0"/>
    <w:rsid w:val="00CC164A"/>
    <w:rsid w:val="00CC1683"/>
    <w:rsid w:val="00CC16F6"/>
    <w:rsid w:val="00CC1911"/>
    <w:rsid w:val="00CC2104"/>
    <w:rsid w:val="00CC279B"/>
    <w:rsid w:val="00CC2938"/>
    <w:rsid w:val="00CC29E1"/>
    <w:rsid w:val="00CC2A8A"/>
    <w:rsid w:val="00CC2B24"/>
    <w:rsid w:val="00CC2E46"/>
    <w:rsid w:val="00CC2F58"/>
    <w:rsid w:val="00CC2F92"/>
    <w:rsid w:val="00CC323B"/>
    <w:rsid w:val="00CC324E"/>
    <w:rsid w:val="00CC32B2"/>
    <w:rsid w:val="00CC3396"/>
    <w:rsid w:val="00CC34D7"/>
    <w:rsid w:val="00CC375A"/>
    <w:rsid w:val="00CC3B5C"/>
    <w:rsid w:val="00CC41D2"/>
    <w:rsid w:val="00CC43E0"/>
    <w:rsid w:val="00CC459F"/>
    <w:rsid w:val="00CC45AA"/>
    <w:rsid w:val="00CC46A8"/>
    <w:rsid w:val="00CC4940"/>
    <w:rsid w:val="00CC4E10"/>
    <w:rsid w:val="00CC53DA"/>
    <w:rsid w:val="00CC5695"/>
    <w:rsid w:val="00CC5751"/>
    <w:rsid w:val="00CC58D9"/>
    <w:rsid w:val="00CC5B8D"/>
    <w:rsid w:val="00CC5C30"/>
    <w:rsid w:val="00CC5E77"/>
    <w:rsid w:val="00CC5E85"/>
    <w:rsid w:val="00CC5FE0"/>
    <w:rsid w:val="00CC680F"/>
    <w:rsid w:val="00CC690B"/>
    <w:rsid w:val="00CC6A42"/>
    <w:rsid w:val="00CC6BCB"/>
    <w:rsid w:val="00CC6CC4"/>
    <w:rsid w:val="00CC78E3"/>
    <w:rsid w:val="00CC7AB5"/>
    <w:rsid w:val="00CD0ACD"/>
    <w:rsid w:val="00CD0FD9"/>
    <w:rsid w:val="00CD1552"/>
    <w:rsid w:val="00CD18BF"/>
    <w:rsid w:val="00CD199A"/>
    <w:rsid w:val="00CD1BD6"/>
    <w:rsid w:val="00CD1F69"/>
    <w:rsid w:val="00CD1FBD"/>
    <w:rsid w:val="00CD23E1"/>
    <w:rsid w:val="00CD25BA"/>
    <w:rsid w:val="00CD2682"/>
    <w:rsid w:val="00CD27CB"/>
    <w:rsid w:val="00CD3069"/>
    <w:rsid w:val="00CD306F"/>
    <w:rsid w:val="00CD320D"/>
    <w:rsid w:val="00CD3791"/>
    <w:rsid w:val="00CD38E3"/>
    <w:rsid w:val="00CD3945"/>
    <w:rsid w:val="00CD3965"/>
    <w:rsid w:val="00CD3A8A"/>
    <w:rsid w:val="00CD3C13"/>
    <w:rsid w:val="00CD3DB0"/>
    <w:rsid w:val="00CD3E87"/>
    <w:rsid w:val="00CD3EB3"/>
    <w:rsid w:val="00CD45CF"/>
    <w:rsid w:val="00CD46B9"/>
    <w:rsid w:val="00CD470D"/>
    <w:rsid w:val="00CD4814"/>
    <w:rsid w:val="00CD4886"/>
    <w:rsid w:val="00CD4BFE"/>
    <w:rsid w:val="00CD4E5F"/>
    <w:rsid w:val="00CD5026"/>
    <w:rsid w:val="00CD5343"/>
    <w:rsid w:val="00CD548C"/>
    <w:rsid w:val="00CD5C70"/>
    <w:rsid w:val="00CD6261"/>
    <w:rsid w:val="00CD6392"/>
    <w:rsid w:val="00CD6719"/>
    <w:rsid w:val="00CD68E3"/>
    <w:rsid w:val="00CD6ADA"/>
    <w:rsid w:val="00CD6B70"/>
    <w:rsid w:val="00CD6C3F"/>
    <w:rsid w:val="00CD7125"/>
    <w:rsid w:val="00CD7515"/>
    <w:rsid w:val="00CD7B46"/>
    <w:rsid w:val="00CD7D06"/>
    <w:rsid w:val="00CD7D37"/>
    <w:rsid w:val="00CE063D"/>
    <w:rsid w:val="00CE08DF"/>
    <w:rsid w:val="00CE09BD"/>
    <w:rsid w:val="00CE0A14"/>
    <w:rsid w:val="00CE0B13"/>
    <w:rsid w:val="00CE1692"/>
    <w:rsid w:val="00CE169A"/>
    <w:rsid w:val="00CE170C"/>
    <w:rsid w:val="00CE1DD8"/>
    <w:rsid w:val="00CE2577"/>
    <w:rsid w:val="00CE26FA"/>
    <w:rsid w:val="00CE2733"/>
    <w:rsid w:val="00CE28B3"/>
    <w:rsid w:val="00CE2B01"/>
    <w:rsid w:val="00CE32C8"/>
    <w:rsid w:val="00CE3E02"/>
    <w:rsid w:val="00CE4630"/>
    <w:rsid w:val="00CE4BA5"/>
    <w:rsid w:val="00CE4EE8"/>
    <w:rsid w:val="00CE51A9"/>
    <w:rsid w:val="00CE52BA"/>
    <w:rsid w:val="00CE5531"/>
    <w:rsid w:val="00CE5556"/>
    <w:rsid w:val="00CE55AC"/>
    <w:rsid w:val="00CE568F"/>
    <w:rsid w:val="00CE5C67"/>
    <w:rsid w:val="00CE5CB7"/>
    <w:rsid w:val="00CE5F07"/>
    <w:rsid w:val="00CE600E"/>
    <w:rsid w:val="00CE6263"/>
    <w:rsid w:val="00CE65F0"/>
    <w:rsid w:val="00CE6F8B"/>
    <w:rsid w:val="00CE7246"/>
    <w:rsid w:val="00CE7449"/>
    <w:rsid w:val="00CE75FC"/>
    <w:rsid w:val="00CE761D"/>
    <w:rsid w:val="00CE7A23"/>
    <w:rsid w:val="00CE7CEE"/>
    <w:rsid w:val="00CE7EB5"/>
    <w:rsid w:val="00CE7FB5"/>
    <w:rsid w:val="00CF046D"/>
    <w:rsid w:val="00CF09FD"/>
    <w:rsid w:val="00CF0A23"/>
    <w:rsid w:val="00CF0B31"/>
    <w:rsid w:val="00CF0C13"/>
    <w:rsid w:val="00CF0F94"/>
    <w:rsid w:val="00CF0FF5"/>
    <w:rsid w:val="00CF10D1"/>
    <w:rsid w:val="00CF1374"/>
    <w:rsid w:val="00CF13BE"/>
    <w:rsid w:val="00CF15EE"/>
    <w:rsid w:val="00CF1860"/>
    <w:rsid w:val="00CF1A03"/>
    <w:rsid w:val="00CF1E59"/>
    <w:rsid w:val="00CF2176"/>
    <w:rsid w:val="00CF249A"/>
    <w:rsid w:val="00CF269A"/>
    <w:rsid w:val="00CF292E"/>
    <w:rsid w:val="00CF2AC0"/>
    <w:rsid w:val="00CF2AD7"/>
    <w:rsid w:val="00CF2AF9"/>
    <w:rsid w:val="00CF2CBE"/>
    <w:rsid w:val="00CF2FDF"/>
    <w:rsid w:val="00CF3175"/>
    <w:rsid w:val="00CF31C9"/>
    <w:rsid w:val="00CF353A"/>
    <w:rsid w:val="00CF3840"/>
    <w:rsid w:val="00CF3C24"/>
    <w:rsid w:val="00CF3C7F"/>
    <w:rsid w:val="00CF3C9C"/>
    <w:rsid w:val="00CF3CF5"/>
    <w:rsid w:val="00CF3D0D"/>
    <w:rsid w:val="00CF3EB4"/>
    <w:rsid w:val="00CF427C"/>
    <w:rsid w:val="00CF44A6"/>
    <w:rsid w:val="00CF49AE"/>
    <w:rsid w:val="00CF4BCC"/>
    <w:rsid w:val="00CF4EE2"/>
    <w:rsid w:val="00CF5393"/>
    <w:rsid w:val="00CF540D"/>
    <w:rsid w:val="00CF5616"/>
    <w:rsid w:val="00CF56A4"/>
    <w:rsid w:val="00CF5A91"/>
    <w:rsid w:val="00CF5FD1"/>
    <w:rsid w:val="00CF603B"/>
    <w:rsid w:val="00CF60EF"/>
    <w:rsid w:val="00CF63B1"/>
    <w:rsid w:val="00CF697C"/>
    <w:rsid w:val="00CF69F6"/>
    <w:rsid w:val="00CF6A62"/>
    <w:rsid w:val="00CF6DC9"/>
    <w:rsid w:val="00CF6E1D"/>
    <w:rsid w:val="00CF6F2A"/>
    <w:rsid w:val="00CF6F69"/>
    <w:rsid w:val="00CF6F7D"/>
    <w:rsid w:val="00CF723F"/>
    <w:rsid w:val="00CF7701"/>
    <w:rsid w:val="00CF7860"/>
    <w:rsid w:val="00D0018C"/>
    <w:rsid w:val="00D0046A"/>
    <w:rsid w:val="00D006EE"/>
    <w:rsid w:val="00D00825"/>
    <w:rsid w:val="00D009A1"/>
    <w:rsid w:val="00D00A77"/>
    <w:rsid w:val="00D00CCB"/>
    <w:rsid w:val="00D00DAA"/>
    <w:rsid w:val="00D00EEF"/>
    <w:rsid w:val="00D011D8"/>
    <w:rsid w:val="00D015AD"/>
    <w:rsid w:val="00D018B9"/>
    <w:rsid w:val="00D01921"/>
    <w:rsid w:val="00D01CC8"/>
    <w:rsid w:val="00D01DF3"/>
    <w:rsid w:val="00D02128"/>
    <w:rsid w:val="00D021C6"/>
    <w:rsid w:val="00D02BB9"/>
    <w:rsid w:val="00D02D42"/>
    <w:rsid w:val="00D03187"/>
    <w:rsid w:val="00D0334F"/>
    <w:rsid w:val="00D03526"/>
    <w:rsid w:val="00D0393F"/>
    <w:rsid w:val="00D039E2"/>
    <w:rsid w:val="00D03B62"/>
    <w:rsid w:val="00D03D52"/>
    <w:rsid w:val="00D03F50"/>
    <w:rsid w:val="00D0404A"/>
    <w:rsid w:val="00D04769"/>
    <w:rsid w:val="00D047CC"/>
    <w:rsid w:val="00D048BD"/>
    <w:rsid w:val="00D04A72"/>
    <w:rsid w:val="00D04FBA"/>
    <w:rsid w:val="00D050A3"/>
    <w:rsid w:val="00D05250"/>
    <w:rsid w:val="00D05275"/>
    <w:rsid w:val="00D05B83"/>
    <w:rsid w:val="00D05C36"/>
    <w:rsid w:val="00D05F47"/>
    <w:rsid w:val="00D0619F"/>
    <w:rsid w:val="00D064DA"/>
    <w:rsid w:val="00D06775"/>
    <w:rsid w:val="00D06987"/>
    <w:rsid w:val="00D06BF2"/>
    <w:rsid w:val="00D06CC8"/>
    <w:rsid w:val="00D06E6F"/>
    <w:rsid w:val="00D07103"/>
    <w:rsid w:val="00D07118"/>
    <w:rsid w:val="00D07168"/>
    <w:rsid w:val="00D0796A"/>
    <w:rsid w:val="00D07FC7"/>
    <w:rsid w:val="00D10114"/>
    <w:rsid w:val="00D10171"/>
    <w:rsid w:val="00D10232"/>
    <w:rsid w:val="00D10305"/>
    <w:rsid w:val="00D1090B"/>
    <w:rsid w:val="00D10A26"/>
    <w:rsid w:val="00D10C7B"/>
    <w:rsid w:val="00D10C86"/>
    <w:rsid w:val="00D111C3"/>
    <w:rsid w:val="00D113A8"/>
    <w:rsid w:val="00D114D0"/>
    <w:rsid w:val="00D114F5"/>
    <w:rsid w:val="00D1170B"/>
    <w:rsid w:val="00D119C2"/>
    <w:rsid w:val="00D11ADD"/>
    <w:rsid w:val="00D11AF3"/>
    <w:rsid w:val="00D11C9C"/>
    <w:rsid w:val="00D11E8A"/>
    <w:rsid w:val="00D12562"/>
    <w:rsid w:val="00D126B9"/>
    <w:rsid w:val="00D128F9"/>
    <w:rsid w:val="00D129FA"/>
    <w:rsid w:val="00D12AD2"/>
    <w:rsid w:val="00D12CE9"/>
    <w:rsid w:val="00D12D0B"/>
    <w:rsid w:val="00D12D54"/>
    <w:rsid w:val="00D12E99"/>
    <w:rsid w:val="00D12F52"/>
    <w:rsid w:val="00D130A7"/>
    <w:rsid w:val="00D1319E"/>
    <w:rsid w:val="00D135CB"/>
    <w:rsid w:val="00D1361D"/>
    <w:rsid w:val="00D137F6"/>
    <w:rsid w:val="00D13AC2"/>
    <w:rsid w:val="00D13B20"/>
    <w:rsid w:val="00D13C2A"/>
    <w:rsid w:val="00D141D6"/>
    <w:rsid w:val="00D148E4"/>
    <w:rsid w:val="00D1491E"/>
    <w:rsid w:val="00D14A68"/>
    <w:rsid w:val="00D14C5C"/>
    <w:rsid w:val="00D14CE9"/>
    <w:rsid w:val="00D151DA"/>
    <w:rsid w:val="00D15264"/>
    <w:rsid w:val="00D15BC7"/>
    <w:rsid w:val="00D15CF9"/>
    <w:rsid w:val="00D15D36"/>
    <w:rsid w:val="00D15F53"/>
    <w:rsid w:val="00D15FDB"/>
    <w:rsid w:val="00D16533"/>
    <w:rsid w:val="00D166BB"/>
    <w:rsid w:val="00D169F5"/>
    <w:rsid w:val="00D16A43"/>
    <w:rsid w:val="00D16A75"/>
    <w:rsid w:val="00D16B6A"/>
    <w:rsid w:val="00D16E4C"/>
    <w:rsid w:val="00D16F86"/>
    <w:rsid w:val="00D17646"/>
    <w:rsid w:val="00D17664"/>
    <w:rsid w:val="00D177AC"/>
    <w:rsid w:val="00D17A6E"/>
    <w:rsid w:val="00D20541"/>
    <w:rsid w:val="00D2060B"/>
    <w:rsid w:val="00D20769"/>
    <w:rsid w:val="00D209A9"/>
    <w:rsid w:val="00D20CD3"/>
    <w:rsid w:val="00D20DC9"/>
    <w:rsid w:val="00D2134B"/>
    <w:rsid w:val="00D21374"/>
    <w:rsid w:val="00D21ADA"/>
    <w:rsid w:val="00D21D2D"/>
    <w:rsid w:val="00D22118"/>
    <w:rsid w:val="00D22434"/>
    <w:rsid w:val="00D224C0"/>
    <w:rsid w:val="00D225F8"/>
    <w:rsid w:val="00D228E5"/>
    <w:rsid w:val="00D22B2E"/>
    <w:rsid w:val="00D230FB"/>
    <w:rsid w:val="00D23545"/>
    <w:rsid w:val="00D23793"/>
    <w:rsid w:val="00D23948"/>
    <w:rsid w:val="00D23BA5"/>
    <w:rsid w:val="00D23C80"/>
    <w:rsid w:val="00D23E02"/>
    <w:rsid w:val="00D23E87"/>
    <w:rsid w:val="00D23EB2"/>
    <w:rsid w:val="00D241DB"/>
    <w:rsid w:val="00D243BD"/>
    <w:rsid w:val="00D2478A"/>
    <w:rsid w:val="00D24A1A"/>
    <w:rsid w:val="00D24B9B"/>
    <w:rsid w:val="00D24D16"/>
    <w:rsid w:val="00D24D57"/>
    <w:rsid w:val="00D25123"/>
    <w:rsid w:val="00D25538"/>
    <w:rsid w:val="00D25FA3"/>
    <w:rsid w:val="00D265E9"/>
    <w:rsid w:val="00D2661C"/>
    <w:rsid w:val="00D26793"/>
    <w:rsid w:val="00D26887"/>
    <w:rsid w:val="00D26968"/>
    <w:rsid w:val="00D26AD4"/>
    <w:rsid w:val="00D26DD2"/>
    <w:rsid w:val="00D26ECF"/>
    <w:rsid w:val="00D26F93"/>
    <w:rsid w:val="00D27469"/>
    <w:rsid w:val="00D27837"/>
    <w:rsid w:val="00D2792D"/>
    <w:rsid w:val="00D27AEB"/>
    <w:rsid w:val="00D30627"/>
    <w:rsid w:val="00D306F1"/>
    <w:rsid w:val="00D30845"/>
    <w:rsid w:val="00D30DD4"/>
    <w:rsid w:val="00D30F0C"/>
    <w:rsid w:val="00D310D7"/>
    <w:rsid w:val="00D311B1"/>
    <w:rsid w:val="00D3128B"/>
    <w:rsid w:val="00D31429"/>
    <w:rsid w:val="00D31658"/>
    <w:rsid w:val="00D3190D"/>
    <w:rsid w:val="00D31A57"/>
    <w:rsid w:val="00D3201A"/>
    <w:rsid w:val="00D320CB"/>
    <w:rsid w:val="00D32198"/>
    <w:rsid w:val="00D323EF"/>
    <w:rsid w:val="00D32930"/>
    <w:rsid w:val="00D32BC1"/>
    <w:rsid w:val="00D32EA3"/>
    <w:rsid w:val="00D33364"/>
    <w:rsid w:val="00D336F6"/>
    <w:rsid w:val="00D33833"/>
    <w:rsid w:val="00D33F04"/>
    <w:rsid w:val="00D34078"/>
    <w:rsid w:val="00D340D2"/>
    <w:rsid w:val="00D346D1"/>
    <w:rsid w:val="00D34D74"/>
    <w:rsid w:val="00D34F05"/>
    <w:rsid w:val="00D34F9B"/>
    <w:rsid w:val="00D3509E"/>
    <w:rsid w:val="00D35527"/>
    <w:rsid w:val="00D35723"/>
    <w:rsid w:val="00D357B9"/>
    <w:rsid w:val="00D358E7"/>
    <w:rsid w:val="00D359CC"/>
    <w:rsid w:val="00D35B1B"/>
    <w:rsid w:val="00D35B4A"/>
    <w:rsid w:val="00D3648D"/>
    <w:rsid w:val="00D364EB"/>
    <w:rsid w:val="00D36CD4"/>
    <w:rsid w:val="00D37186"/>
    <w:rsid w:val="00D371C6"/>
    <w:rsid w:val="00D37802"/>
    <w:rsid w:val="00D37A76"/>
    <w:rsid w:val="00D37B37"/>
    <w:rsid w:val="00D40002"/>
    <w:rsid w:val="00D4065D"/>
    <w:rsid w:val="00D407A4"/>
    <w:rsid w:val="00D4097F"/>
    <w:rsid w:val="00D40994"/>
    <w:rsid w:val="00D40C4B"/>
    <w:rsid w:val="00D41901"/>
    <w:rsid w:val="00D41D93"/>
    <w:rsid w:val="00D41F0A"/>
    <w:rsid w:val="00D42398"/>
    <w:rsid w:val="00D42667"/>
    <w:rsid w:val="00D42C94"/>
    <w:rsid w:val="00D42D98"/>
    <w:rsid w:val="00D42EBD"/>
    <w:rsid w:val="00D42F54"/>
    <w:rsid w:val="00D42FDD"/>
    <w:rsid w:val="00D433D2"/>
    <w:rsid w:val="00D434C5"/>
    <w:rsid w:val="00D436CE"/>
    <w:rsid w:val="00D43745"/>
    <w:rsid w:val="00D4385F"/>
    <w:rsid w:val="00D43A04"/>
    <w:rsid w:val="00D43E18"/>
    <w:rsid w:val="00D43E87"/>
    <w:rsid w:val="00D43EAF"/>
    <w:rsid w:val="00D43F77"/>
    <w:rsid w:val="00D448EE"/>
    <w:rsid w:val="00D44B7C"/>
    <w:rsid w:val="00D44F02"/>
    <w:rsid w:val="00D45098"/>
    <w:rsid w:val="00D4510A"/>
    <w:rsid w:val="00D452FF"/>
    <w:rsid w:val="00D455FE"/>
    <w:rsid w:val="00D456B6"/>
    <w:rsid w:val="00D459FF"/>
    <w:rsid w:val="00D45B47"/>
    <w:rsid w:val="00D45CF7"/>
    <w:rsid w:val="00D46259"/>
    <w:rsid w:val="00D465B6"/>
    <w:rsid w:val="00D469E4"/>
    <w:rsid w:val="00D46A09"/>
    <w:rsid w:val="00D46CAF"/>
    <w:rsid w:val="00D46D81"/>
    <w:rsid w:val="00D474E3"/>
    <w:rsid w:val="00D478F6"/>
    <w:rsid w:val="00D47A16"/>
    <w:rsid w:val="00D50458"/>
    <w:rsid w:val="00D5078F"/>
    <w:rsid w:val="00D50B44"/>
    <w:rsid w:val="00D51238"/>
    <w:rsid w:val="00D51566"/>
    <w:rsid w:val="00D515CE"/>
    <w:rsid w:val="00D5187F"/>
    <w:rsid w:val="00D518BC"/>
    <w:rsid w:val="00D522C2"/>
    <w:rsid w:val="00D52948"/>
    <w:rsid w:val="00D52F9F"/>
    <w:rsid w:val="00D53187"/>
    <w:rsid w:val="00D531E2"/>
    <w:rsid w:val="00D53635"/>
    <w:rsid w:val="00D5385A"/>
    <w:rsid w:val="00D538C1"/>
    <w:rsid w:val="00D53915"/>
    <w:rsid w:val="00D53A23"/>
    <w:rsid w:val="00D53F22"/>
    <w:rsid w:val="00D54127"/>
    <w:rsid w:val="00D5425E"/>
    <w:rsid w:val="00D542F9"/>
    <w:rsid w:val="00D54818"/>
    <w:rsid w:val="00D5484B"/>
    <w:rsid w:val="00D5497B"/>
    <w:rsid w:val="00D5498B"/>
    <w:rsid w:val="00D54A8E"/>
    <w:rsid w:val="00D54F6E"/>
    <w:rsid w:val="00D54FCE"/>
    <w:rsid w:val="00D55023"/>
    <w:rsid w:val="00D55563"/>
    <w:rsid w:val="00D555A4"/>
    <w:rsid w:val="00D556A3"/>
    <w:rsid w:val="00D557D4"/>
    <w:rsid w:val="00D55853"/>
    <w:rsid w:val="00D56021"/>
    <w:rsid w:val="00D56155"/>
    <w:rsid w:val="00D5618F"/>
    <w:rsid w:val="00D561C5"/>
    <w:rsid w:val="00D561CC"/>
    <w:rsid w:val="00D564EA"/>
    <w:rsid w:val="00D56891"/>
    <w:rsid w:val="00D56DB6"/>
    <w:rsid w:val="00D57112"/>
    <w:rsid w:val="00D57145"/>
    <w:rsid w:val="00D575C1"/>
    <w:rsid w:val="00D57E25"/>
    <w:rsid w:val="00D57F71"/>
    <w:rsid w:val="00D600D3"/>
    <w:rsid w:val="00D60193"/>
    <w:rsid w:val="00D60254"/>
    <w:rsid w:val="00D60681"/>
    <w:rsid w:val="00D60984"/>
    <w:rsid w:val="00D60F88"/>
    <w:rsid w:val="00D61531"/>
    <w:rsid w:val="00D616FF"/>
    <w:rsid w:val="00D623F0"/>
    <w:rsid w:val="00D6250B"/>
    <w:rsid w:val="00D62C3E"/>
    <w:rsid w:val="00D62DB8"/>
    <w:rsid w:val="00D631D6"/>
    <w:rsid w:val="00D64030"/>
    <w:rsid w:val="00D6428A"/>
    <w:rsid w:val="00D64568"/>
    <w:rsid w:val="00D64826"/>
    <w:rsid w:val="00D64B1F"/>
    <w:rsid w:val="00D64D26"/>
    <w:rsid w:val="00D64EA2"/>
    <w:rsid w:val="00D651C6"/>
    <w:rsid w:val="00D65272"/>
    <w:rsid w:val="00D659E6"/>
    <w:rsid w:val="00D65EC0"/>
    <w:rsid w:val="00D665D0"/>
    <w:rsid w:val="00D668D8"/>
    <w:rsid w:val="00D668EB"/>
    <w:rsid w:val="00D66DFB"/>
    <w:rsid w:val="00D66E36"/>
    <w:rsid w:val="00D67556"/>
    <w:rsid w:val="00D677D0"/>
    <w:rsid w:val="00D70ABB"/>
    <w:rsid w:val="00D70C63"/>
    <w:rsid w:val="00D70F03"/>
    <w:rsid w:val="00D710CB"/>
    <w:rsid w:val="00D718FF"/>
    <w:rsid w:val="00D71AAB"/>
    <w:rsid w:val="00D71AD7"/>
    <w:rsid w:val="00D71CFC"/>
    <w:rsid w:val="00D71D2D"/>
    <w:rsid w:val="00D72517"/>
    <w:rsid w:val="00D7286F"/>
    <w:rsid w:val="00D728B8"/>
    <w:rsid w:val="00D728D7"/>
    <w:rsid w:val="00D72934"/>
    <w:rsid w:val="00D72C79"/>
    <w:rsid w:val="00D7304B"/>
    <w:rsid w:val="00D731FB"/>
    <w:rsid w:val="00D73C75"/>
    <w:rsid w:val="00D73D0A"/>
    <w:rsid w:val="00D73FC3"/>
    <w:rsid w:val="00D74111"/>
    <w:rsid w:val="00D742A4"/>
    <w:rsid w:val="00D742DC"/>
    <w:rsid w:val="00D742DF"/>
    <w:rsid w:val="00D74787"/>
    <w:rsid w:val="00D747D2"/>
    <w:rsid w:val="00D74883"/>
    <w:rsid w:val="00D74A05"/>
    <w:rsid w:val="00D74B72"/>
    <w:rsid w:val="00D74D6A"/>
    <w:rsid w:val="00D75099"/>
    <w:rsid w:val="00D7534F"/>
    <w:rsid w:val="00D7574D"/>
    <w:rsid w:val="00D75D6C"/>
    <w:rsid w:val="00D75EB2"/>
    <w:rsid w:val="00D76043"/>
    <w:rsid w:val="00D76139"/>
    <w:rsid w:val="00D763B8"/>
    <w:rsid w:val="00D765B1"/>
    <w:rsid w:val="00D768B9"/>
    <w:rsid w:val="00D769D1"/>
    <w:rsid w:val="00D76D4E"/>
    <w:rsid w:val="00D77356"/>
    <w:rsid w:val="00D77379"/>
    <w:rsid w:val="00D77688"/>
    <w:rsid w:val="00D7781F"/>
    <w:rsid w:val="00D77A2C"/>
    <w:rsid w:val="00D77A9D"/>
    <w:rsid w:val="00D77E76"/>
    <w:rsid w:val="00D77F90"/>
    <w:rsid w:val="00D803E7"/>
    <w:rsid w:val="00D806AF"/>
    <w:rsid w:val="00D80A21"/>
    <w:rsid w:val="00D80B57"/>
    <w:rsid w:val="00D80BF5"/>
    <w:rsid w:val="00D80D8A"/>
    <w:rsid w:val="00D80FAE"/>
    <w:rsid w:val="00D815D8"/>
    <w:rsid w:val="00D81719"/>
    <w:rsid w:val="00D81779"/>
    <w:rsid w:val="00D81864"/>
    <w:rsid w:val="00D81A5E"/>
    <w:rsid w:val="00D81C37"/>
    <w:rsid w:val="00D81D56"/>
    <w:rsid w:val="00D81E29"/>
    <w:rsid w:val="00D81E9B"/>
    <w:rsid w:val="00D821E3"/>
    <w:rsid w:val="00D82555"/>
    <w:rsid w:val="00D8294E"/>
    <w:rsid w:val="00D82983"/>
    <w:rsid w:val="00D82993"/>
    <w:rsid w:val="00D82A3E"/>
    <w:rsid w:val="00D82C79"/>
    <w:rsid w:val="00D82CD7"/>
    <w:rsid w:val="00D82D75"/>
    <w:rsid w:val="00D83776"/>
    <w:rsid w:val="00D839C2"/>
    <w:rsid w:val="00D84073"/>
    <w:rsid w:val="00D840D6"/>
    <w:rsid w:val="00D84247"/>
    <w:rsid w:val="00D842F8"/>
    <w:rsid w:val="00D8458C"/>
    <w:rsid w:val="00D845A0"/>
    <w:rsid w:val="00D84678"/>
    <w:rsid w:val="00D8489A"/>
    <w:rsid w:val="00D848EB"/>
    <w:rsid w:val="00D8490A"/>
    <w:rsid w:val="00D84B9B"/>
    <w:rsid w:val="00D84BA3"/>
    <w:rsid w:val="00D84D1B"/>
    <w:rsid w:val="00D84DFB"/>
    <w:rsid w:val="00D84F49"/>
    <w:rsid w:val="00D84FD1"/>
    <w:rsid w:val="00D85187"/>
    <w:rsid w:val="00D8565F"/>
    <w:rsid w:val="00D858FB"/>
    <w:rsid w:val="00D860A9"/>
    <w:rsid w:val="00D863C8"/>
    <w:rsid w:val="00D86656"/>
    <w:rsid w:val="00D868B9"/>
    <w:rsid w:val="00D86A7F"/>
    <w:rsid w:val="00D86BCA"/>
    <w:rsid w:val="00D86E74"/>
    <w:rsid w:val="00D86EA4"/>
    <w:rsid w:val="00D86FA4"/>
    <w:rsid w:val="00D871CB"/>
    <w:rsid w:val="00D873B8"/>
    <w:rsid w:val="00D90355"/>
    <w:rsid w:val="00D90527"/>
    <w:rsid w:val="00D90868"/>
    <w:rsid w:val="00D9086F"/>
    <w:rsid w:val="00D90A77"/>
    <w:rsid w:val="00D90B64"/>
    <w:rsid w:val="00D91220"/>
    <w:rsid w:val="00D91636"/>
    <w:rsid w:val="00D918C8"/>
    <w:rsid w:val="00D91995"/>
    <w:rsid w:val="00D91A5E"/>
    <w:rsid w:val="00D91D86"/>
    <w:rsid w:val="00D91EF5"/>
    <w:rsid w:val="00D925B8"/>
    <w:rsid w:val="00D92C5D"/>
    <w:rsid w:val="00D92F9B"/>
    <w:rsid w:val="00D9329D"/>
    <w:rsid w:val="00D9336C"/>
    <w:rsid w:val="00D93407"/>
    <w:rsid w:val="00D939F9"/>
    <w:rsid w:val="00D93A16"/>
    <w:rsid w:val="00D94053"/>
    <w:rsid w:val="00D940DA"/>
    <w:rsid w:val="00D94B41"/>
    <w:rsid w:val="00D94C90"/>
    <w:rsid w:val="00D94E4D"/>
    <w:rsid w:val="00D94E92"/>
    <w:rsid w:val="00D9523F"/>
    <w:rsid w:val="00D9564E"/>
    <w:rsid w:val="00D95C0A"/>
    <w:rsid w:val="00D96038"/>
    <w:rsid w:val="00D963AF"/>
    <w:rsid w:val="00D965C8"/>
    <w:rsid w:val="00D96CD8"/>
    <w:rsid w:val="00D9703C"/>
    <w:rsid w:val="00D97549"/>
    <w:rsid w:val="00D97773"/>
    <w:rsid w:val="00D9790F"/>
    <w:rsid w:val="00D9799C"/>
    <w:rsid w:val="00D97C51"/>
    <w:rsid w:val="00DA00B2"/>
    <w:rsid w:val="00DA01FC"/>
    <w:rsid w:val="00DA0313"/>
    <w:rsid w:val="00DA07ED"/>
    <w:rsid w:val="00DA07F6"/>
    <w:rsid w:val="00DA082E"/>
    <w:rsid w:val="00DA0A41"/>
    <w:rsid w:val="00DA113E"/>
    <w:rsid w:val="00DA137D"/>
    <w:rsid w:val="00DA16BD"/>
    <w:rsid w:val="00DA1A3E"/>
    <w:rsid w:val="00DA1E81"/>
    <w:rsid w:val="00DA218A"/>
    <w:rsid w:val="00DA2490"/>
    <w:rsid w:val="00DA2A3D"/>
    <w:rsid w:val="00DA3080"/>
    <w:rsid w:val="00DA397A"/>
    <w:rsid w:val="00DA39EE"/>
    <w:rsid w:val="00DA3BC2"/>
    <w:rsid w:val="00DA3E3C"/>
    <w:rsid w:val="00DA3F43"/>
    <w:rsid w:val="00DA401A"/>
    <w:rsid w:val="00DA4A7C"/>
    <w:rsid w:val="00DA4F0C"/>
    <w:rsid w:val="00DA5149"/>
    <w:rsid w:val="00DA52DA"/>
    <w:rsid w:val="00DA53EC"/>
    <w:rsid w:val="00DA5566"/>
    <w:rsid w:val="00DA5957"/>
    <w:rsid w:val="00DA5A90"/>
    <w:rsid w:val="00DA5C0D"/>
    <w:rsid w:val="00DA5E5F"/>
    <w:rsid w:val="00DA6182"/>
    <w:rsid w:val="00DA6355"/>
    <w:rsid w:val="00DA64BC"/>
    <w:rsid w:val="00DA67F6"/>
    <w:rsid w:val="00DA680F"/>
    <w:rsid w:val="00DA6AF7"/>
    <w:rsid w:val="00DA6B93"/>
    <w:rsid w:val="00DA6C0D"/>
    <w:rsid w:val="00DA6C9D"/>
    <w:rsid w:val="00DA6EE6"/>
    <w:rsid w:val="00DA6F5E"/>
    <w:rsid w:val="00DA6FEC"/>
    <w:rsid w:val="00DA77B1"/>
    <w:rsid w:val="00DA7BF0"/>
    <w:rsid w:val="00DA7C23"/>
    <w:rsid w:val="00DA7D27"/>
    <w:rsid w:val="00DB00C7"/>
    <w:rsid w:val="00DB01CF"/>
    <w:rsid w:val="00DB01DE"/>
    <w:rsid w:val="00DB0DFD"/>
    <w:rsid w:val="00DB0ED9"/>
    <w:rsid w:val="00DB10F7"/>
    <w:rsid w:val="00DB1FA8"/>
    <w:rsid w:val="00DB2116"/>
    <w:rsid w:val="00DB2617"/>
    <w:rsid w:val="00DB2BF9"/>
    <w:rsid w:val="00DB2FFE"/>
    <w:rsid w:val="00DB3932"/>
    <w:rsid w:val="00DB3AF8"/>
    <w:rsid w:val="00DB407B"/>
    <w:rsid w:val="00DB4088"/>
    <w:rsid w:val="00DB467E"/>
    <w:rsid w:val="00DB4A3C"/>
    <w:rsid w:val="00DB4AC9"/>
    <w:rsid w:val="00DB4D63"/>
    <w:rsid w:val="00DB4F0B"/>
    <w:rsid w:val="00DB50B3"/>
    <w:rsid w:val="00DB540A"/>
    <w:rsid w:val="00DB580D"/>
    <w:rsid w:val="00DB5AB8"/>
    <w:rsid w:val="00DB5BC9"/>
    <w:rsid w:val="00DB6164"/>
    <w:rsid w:val="00DB63D7"/>
    <w:rsid w:val="00DB6463"/>
    <w:rsid w:val="00DB664A"/>
    <w:rsid w:val="00DB66F0"/>
    <w:rsid w:val="00DB6898"/>
    <w:rsid w:val="00DB6C5F"/>
    <w:rsid w:val="00DB6D80"/>
    <w:rsid w:val="00DB70BE"/>
    <w:rsid w:val="00DB756B"/>
    <w:rsid w:val="00DB76CF"/>
    <w:rsid w:val="00DB79DC"/>
    <w:rsid w:val="00DB7AD2"/>
    <w:rsid w:val="00DB7C8A"/>
    <w:rsid w:val="00DC00EA"/>
    <w:rsid w:val="00DC04C4"/>
    <w:rsid w:val="00DC063F"/>
    <w:rsid w:val="00DC0679"/>
    <w:rsid w:val="00DC082F"/>
    <w:rsid w:val="00DC08D9"/>
    <w:rsid w:val="00DC0F44"/>
    <w:rsid w:val="00DC0FF1"/>
    <w:rsid w:val="00DC14D2"/>
    <w:rsid w:val="00DC1A26"/>
    <w:rsid w:val="00DC1C4D"/>
    <w:rsid w:val="00DC1C88"/>
    <w:rsid w:val="00DC2288"/>
    <w:rsid w:val="00DC2570"/>
    <w:rsid w:val="00DC29BD"/>
    <w:rsid w:val="00DC2EFF"/>
    <w:rsid w:val="00DC332B"/>
    <w:rsid w:val="00DC3331"/>
    <w:rsid w:val="00DC34F2"/>
    <w:rsid w:val="00DC360F"/>
    <w:rsid w:val="00DC3DF2"/>
    <w:rsid w:val="00DC417E"/>
    <w:rsid w:val="00DC46A6"/>
    <w:rsid w:val="00DC488C"/>
    <w:rsid w:val="00DC4BD1"/>
    <w:rsid w:val="00DC4FFB"/>
    <w:rsid w:val="00DC5720"/>
    <w:rsid w:val="00DC5A28"/>
    <w:rsid w:val="00DC5DE5"/>
    <w:rsid w:val="00DC62B7"/>
    <w:rsid w:val="00DC656C"/>
    <w:rsid w:val="00DC6637"/>
    <w:rsid w:val="00DC668F"/>
    <w:rsid w:val="00DC6C49"/>
    <w:rsid w:val="00DC7227"/>
    <w:rsid w:val="00DC7A5F"/>
    <w:rsid w:val="00DC7AE1"/>
    <w:rsid w:val="00DC7F53"/>
    <w:rsid w:val="00DC7FB5"/>
    <w:rsid w:val="00DD01B8"/>
    <w:rsid w:val="00DD0260"/>
    <w:rsid w:val="00DD0B2E"/>
    <w:rsid w:val="00DD0CCB"/>
    <w:rsid w:val="00DD0CD2"/>
    <w:rsid w:val="00DD0D4D"/>
    <w:rsid w:val="00DD0EAD"/>
    <w:rsid w:val="00DD1455"/>
    <w:rsid w:val="00DD14D8"/>
    <w:rsid w:val="00DD16F6"/>
    <w:rsid w:val="00DD17AC"/>
    <w:rsid w:val="00DD1B8C"/>
    <w:rsid w:val="00DD1CD9"/>
    <w:rsid w:val="00DD1D9A"/>
    <w:rsid w:val="00DD1DDD"/>
    <w:rsid w:val="00DD236B"/>
    <w:rsid w:val="00DD246A"/>
    <w:rsid w:val="00DD2678"/>
    <w:rsid w:val="00DD276C"/>
    <w:rsid w:val="00DD28C6"/>
    <w:rsid w:val="00DD2FD2"/>
    <w:rsid w:val="00DD3843"/>
    <w:rsid w:val="00DD3B34"/>
    <w:rsid w:val="00DD3D41"/>
    <w:rsid w:val="00DD3E36"/>
    <w:rsid w:val="00DD42AC"/>
    <w:rsid w:val="00DD4369"/>
    <w:rsid w:val="00DD492A"/>
    <w:rsid w:val="00DD4B56"/>
    <w:rsid w:val="00DD510E"/>
    <w:rsid w:val="00DD5687"/>
    <w:rsid w:val="00DD5717"/>
    <w:rsid w:val="00DD5D9E"/>
    <w:rsid w:val="00DD5EAE"/>
    <w:rsid w:val="00DD6062"/>
    <w:rsid w:val="00DD6124"/>
    <w:rsid w:val="00DD61FA"/>
    <w:rsid w:val="00DD620F"/>
    <w:rsid w:val="00DD6ACC"/>
    <w:rsid w:val="00DD7002"/>
    <w:rsid w:val="00DD702B"/>
    <w:rsid w:val="00DD7435"/>
    <w:rsid w:val="00DD75C4"/>
    <w:rsid w:val="00DD76E7"/>
    <w:rsid w:val="00DD79E0"/>
    <w:rsid w:val="00DD7C63"/>
    <w:rsid w:val="00DD7E77"/>
    <w:rsid w:val="00DE017F"/>
    <w:rsid w:val="00DE0184"/>
    <w:rsid w:val="00DE0410"/>
    <w:rsid w:val="00DE0574"/>
    <w:rsid w:val="00DE0660"/>
    <w:rsid w:val="00DE06A8"/>
    <w:rsid w:val="00DE0C31"/>
    <w:rsid w:val="00DE0EC3"/>
    <w:rsid w:val="00DE0EF6"/>
    <w:rsid w:val="00DE1002"/>
    <w:rsid w:val="00DE1053"/>
    <w:rsid w:val="00DE18E5"/>
    <w:rsid w:val="00DE1926"/>
    <w:rsid w:val="00DE1A29"/>
    <w:rsid w:val="00DE1D67"/>
    <w:rsid w:val="00DE1ED4"/>
    <w:rsid w:val="00DE210E"/>
    <w:rsid w:val="00DE21FC"/>
    <w:rsid w:val="00DE22CE"/>
    <w:rsid w:val="00DE2318"/>
    <w:rsid w:val="00DE290F"/>
    <w:rsid w:val="00DE2D5F"/>
    <w:rsid w:val="00DE2FC8"/>
    <w:rsid w:val="00DE3142"/>
    <w:rsid w:val="00DE32D0"/>
    <w:rsid w:val="00DE3629"/>
    <w:rsid w:val="00DE3AD2"/>
    <w:rsid w:val="00DE408C"/>
    <w:rsid w:val="00DE46F9"/>
    <w:rsid w:val="00DE496A"/>
    <w:rsid w:val="00DE4EEB"/>
    <w:rsid w:val="00DE51F1"/>
    <w:rsid w:val="00DE5512"/>
    <w:rsid w:val="00DE5D4F"/>
    <w:rsid w:val="00DE6124"/>
    <w:rsid w:val="00DE6165"/>
    <w:rsid w:val="00DE6252"/>
    <w:rsid w:val="00DE645C"/>
    <w:rsid w:val="00DE64FC"/>
    <w:rsid w:val="00DE6730"/>
    <w:rsid w:val="00DE6E31"/>
    <w:rsid w:val="00DE7148"/>
    <w:rsid w:val="00DE74A9"/>
    <w:rsid w:val="00DE763C"/>
    <w:rsid w:val="00DE76F0"/>
    <w:rsid w:val="00DF00CD"/>
    <w:rsid w:val="00DF00EB"/>
    <w:rsid w:val="00DF0166"/>
    <w:rsid w:val="00DF01CF"/>
    <w:rsid w:val="00DF0289"/>
    <w:rsid w:val="00DF02C7"/>
    <w:rsid w:val="00DF02DC"/>
    <w:rsid w:val="00DF03EF"/>
    <w:rsid w:val="00DF06FF"/>
    <w:rsid w:val="00DF0788"/>
    <w:rsid w:val="00DF08C0"/>
    <w:rsid w:val="00DF0B3D"/>
    <w:rsid w:val="00DF0E5A"/>
    <w:rsid w:val="00DF0E9B"/>
    <w:rsid w:val="00DF0FB3"/>
    <w:rsid w:val="00DF1502"/>
    <w:rsid w:val="00DF15D5"/>
    <w:rsid w:val="00DF1718"/>
    <w:rsid w:val="00DF1B31"/>
    <w:rsid w:val="00DF20DC"/>
    <w:rsid w:val="00DF25A5"/>
    <w:rsid w:val="00DF367E"/>
    <w:rsid w:val="00DF3E0D"/>
    <w:rsid w:val="00DF4401"/>
    <w:rsid w:val="00DF4432"/>
    <w:rsid w:val="00DF4812"/>
    <w:rsid w:val="00DF4B95"/>
    <w:rsid w:val="00DF50C2"/>
    <w:rsid w:val="00DF524D"/>
    <w:rsid w:val="00DF53DD"/>
    <w:rsid w:val="00DF55DE"/>
    <w:rsid w:val="00DF62CF"/>
    <w:rsid w:val="00DF64DC"/>
    <w:rsid w:val="00DF681E"/>
    <w:rsid w:val="00DF68B8"/>
    <w:rsid w:val="00DF68D9"/>
    <w:rsid w:val="00DF6B61"/>
    <w:rsid w:val="00DF7023"/>
    <w:rsid w:val="00DF74DF"/>
    <w:rsid w:val="00DF756F"/>
    <w:rsid w:val="00DF769E"/>
    <w:rsid w:val="00E003C1"/>
    <w:rsid w:val="00E007AC"/>
    <w:rsid w:val="00E008AE"/>
    <w:rsid w:val="00E00B00"/>
    <w:rsid w:val="00E00C7F"/>
    <w:rsid w:val="00E00D55"/>
    <w:rsid w:val="00E0107C"/>
    <w:rsid w:val="00E01844"/>
    <w:rsid w:val="00E01B31"/>
    <w:rsid w:val="00E01BDD"/>
    <w:rsid w:val="00E01DAC"/>
    <w:rsid w:val="00E02077"/>
    <w:rsid w:val="00E02293"/>
    <w:rsid w:val="00E0231D"/>
    <w:rsid w:val="00E02590"/>
    <w:rsid w:val="00E02637"/>
    <w:rsid w:val="00E0313A"/>
    <w:rsid w:val="00E03198"/>
    <w:rsid w:val="00E031BC"/>
    <w:rsid w:val="00E03355"/>
    <w:rsid w:val="00E033CD"/>
    <w:rsid w:val="00E04007"/>
    <w:rsid w:val="00E040D2"/>
    <w:rsid w:val="00E040E3"/>
    <w:rsid w:val="00E0473E"/>
    <w:rsid w:val="00E04836"/>
    <w:rsid w:val="00E0494B"/>
    <w:rsid w:val="00E04CF1"/>
    <w:rsid w:val="00E050D0"/>
    <w:rsid w:val="00E05400"/>
    <w:rsid w:val="00E059C1"/>
    <w:rsid w:val="00E06066"/>
    <w:rsid w:val="00E06067"/>
    <w:rsid w:val="00E060F7"/>
    <w:rsid w:val="00E063D4"/>
    <w:rsid w:val="00E06708"/>
    <w:rsid w:val="00E068C5"/>
    <w:rsid w:val="00E069E6"/>
    <w:rsid w:val="00E06E08"/>
    <w:rsid w:val="00E07494"/>
    <w:rsid w:val="00E076F3"/>
    <w:rsid w:val="00E078AE"/>
    <w:rsid w:val="00E0793A"/>
    <w:rsid w:val="00E07A79"/>
    <w:rsid w:val="00E07EEF"/>
    <w:rsid w:val="00E07F59"/>
    <w:rsid w:val="00E07FE1"/>
    <w:rsid w:val="00E10073"/>
    <w:rsid w:val="00E10120"/>
    <w:rsid w:val="00E103E3"/>
    <w:rsid w:val="00E10A52"/>
    <w:rsid w:val="00E10AA8"/>
    <w:rsid w:val="00E10C0D"/>
    <w:rsid w:val="00E10D06"/>
    <w:rsid w:val="00E10DFC"/>
    <w:rsid w:val="00E1107F"/>
    <w:rsid w:val="00E110BA"/>
    <w:rsid w:val="00E11109"/>
    <w:rsid w:val="00E111BB"/>
    <w:rsid w:val="00E11364"/>
    <w:rsid w:val="00E11414"/>
    <w:rsid w:val="00E11598"/>
    <w:rsid w:val="00E118D1"/>
    <w:rsid w:val="00E11A7D"/>
    <w:rsid w:val="00E11B2B"/>
    <w:rsid w:val="00E11BFB"/>
    <w:rsid w:val="00E11E25"/>
    <w:rsid w:val="00E11EF7"/>
    <w:rsid w:val="00E121A4"/>
    <w:rsid w:val="00E12ECD"/>
    <w:rsid w:val="00E133B5"/>
    <w:rsid w:val="00E13574"/>
    <w:rsid w:val="00E135EF"/>
    <w:rsid w:val="00E13665"/>
    <w:rsid w:val="00E137ED"/>
    <w:rsid w:val="00E13BEB"/>
    <w:rsid w:val="00E14329"/>
    <w:rsid w:val="00E147C2"/>
    <w:rsid w:val="00E14C27"/>
    <w:rsid w:val="00E14D12"/>
    <w:rsid w:val="00E1508B"/>
    <w:rsid w:val="00E15690"/>
    <w:rsid w:val="00E156D0"/>
    <w:rsid w:val="00E15755"/>
    <w:rsid w:val="00E15B4D"/>
    <w:rsid w:val="00E15C2A"/>
    <w:rsid w:val="00E15CAF"/>
    <w:rsid w:val="00E15E58"/>
    <w:rsid w:val="00E1642B"/>
    <w:rsid w:val="00E166ED"/>
    <w:rsid w:val="00E16783"/>
    <w:rsid w:val="00E16B66"/>
    <w:rsid w:val="00E16D4B"/>
    <w:rsid w:val="00E16F66"/>
    <w:rsid w:val="00E170BC"/>
    <w:rsid w:val="00E174D4"/>
    <w:rsid w:val="00E178B0"/>
    <w:rsid w:val="00E17A29"/>
    <w:rsid w:val="00E17A58"/>
    <w:rsid w:val="00E17DC9"/>
    <w:rsid w:val="00E20069"/>
    <w:rsid w:val="00E203DB"/>
    <w:rsid w:val="00E2052B"/>
    <w:rsid w:val="00E20817"/>
    <w:rsid w:val="00E20BA3"/>
    <w:rsid w:val="00E20E0D"/>
    <w:rsid w:val="00E218C1"/>
    <w:rsid w:val="00E2197D"/>
    <w:rsid w:val="00E21DED"/>
    <w:rsid w:val="00E21E30"/>
    <w:rsid w:val="00E21E7E"/>
    <w:rsid w:val="00E21E80"/>
    <w:rsid w:val="00E22187"/>
    <w:rsid w:val="00E222AD"/>
    <w:rsid w:val="00E22543"/>
    <w:rsid w:val="00E22650"/>
    <w:rsid w:val="00E2271C"/>
    <w:rsid w:val="00E2289A"/>
    <w:rsid w:val="00E22CFA"/>
    <w:rsid w:val="00E2335D"/>
    <w:rsid w:val="00E23541"/>
    <w:rsid w:val="00E23BBA"/>
    <w:rsid w:val="00E23CF1"/>
    <w:rsid w:val="00E2414D"/>
    <w:rsid w:val="00E243DD"/>
    <w:rsid w:val="00E245A4"/>
    <w:rsid w:val="00E2466A"/>
    <w:rsid w:val="00E24729"/>
    <w:rsid w:val="00E249C6"/>
    <w:rsid w:val="00E24A80"/>
    <w:rsid w:val="00E24DE8"/>
    <w:rsid w:val="00E256CB"/>
    <w:rsid w:val="00E25C0C"/>
    <w:rsid w:val="00E25E8F"/>
    <w:rsid w:val="00E261FC"/>
    <w:rsid w:val="00E262F9"/>
    <w:rsid w:val="00E2687B"/>
    <w:rsid w:val="00E26D74"/>
    <w:rsid w:val="00E26D8B"/>
    <w:rsid w:val="00E26E77"/>
    <w:rsid w:val="00E2704A"/>
    <w:rsid w:val="00E27716"/>
    <w:rsid w:val="00E2794D"/>
    <w:rsid w:val="00E27C15"/>
    <w:rsid w:val="00E27E00"/>
    <w:rsid w:val="00E27FF0"/>
    <w:rsid w:val="00E3069A"/>
    <w:rsid w:val="00E30AFA"/>
    <w:rsid w:val="00E30C23"/>
    <w:rsid w:val="00E30D77"/>
    <w:rsid w:val="00E30DA6"/>
    <w:rsid w:val="00E30E34"/>
    <w:rsid w:val="00E31527"/>
    <w:rsid w:val="00E3193D"/>
    <w:rsid w:val="00E31A79"/>
    <w:rsid w:val="00E31BA9"/>
    <w:rsid w:val="00E31C05"/>
    <w:rsid w:val="00E31C6A"/>
    <w:rsid w:val="00E32010"/>
    <w:rsid w:val="00E32339"/>
    <w:rsid w:val="00E32341"/>
    <w:rsid w:val="00E32423"/>
    <w:rsid w:val="00E32AF9"/>
    <w:rsid w:val="00E32B91"/>
    <w:rsid w:val="00E3345B"/>
    <w:rsid w:val="00E335EA"/>
    <w:rsid w:val="00E3371A"/>
    <w:rsid w:val="00E337B1"/>
    <w:rsid w:val="00E33985"/>
    <w:rsid w:val="00E344B2"/>
    <w:rsid w:val="00E34517"/>
    <w:rsid w:val="00E34568"/>
    <w:rsid w:val="00E346BA"/>
    <w:rsid w:val="00E356CA"/>
    <w:rsid w:val="00E3594C"/>
    <w:rsid w:val="00E35A72"/>
    <w:rsid w:val="00E36090"/>
    <w:rsid w:val="00E3630B"/>
    <w:rsid w:val="00E3648F"/>
    <w:rsid w:val="00E36567"/>
    <w:rsid w:val="00E36636"/>
    <w:rsid w:val="00E3671C"/>
    <w:rsid w:val="00E36D3F"/>
    <w:rsid w:val="00E36DBC"/>
    <w:rsid w:val="00E36E22"/>
    <w:rsid w:val="00E36EC4"/>
    <w:rsid w:val="00E3740D"/>
    <w:rsid w:val="00E3741C"/>
    <w:rsid w:val="00E37521"/>
    <w:rsid w:val="00E3767F"/>
    <w:rsid w:val="00E37989"/>
    <w:rsid w:val="00E379A7"/>
    <w:rsid w:val="00E37A98"/>
    <w:rsid w:val="00E37AD4"/>
    <w:rsid w:val="00E40044"/>
    <w:rsid w:val="00E4035D"/>
    <w:rsid w:val="00E40725"/>
    <w:rsid w:val="00E40813"/>
    <w:rsid w:val="00E40A11"/>
    <w:rsid w:val="00E410F4"/>
    <w:rsid w:val="00E414B4"/>
    <w:rsid w:val="00E41C5C"/>
    <w:rsid w:val="00E4204D"/>
    <w:rsid w:val="00E42132"/>
    <w:rsid w:val="00E42578"/>
    <w:rsid w:val="00E42832"/>
    <w:rsid w:val="00E42B9D"/>
    <w:rsid w:val="00E42CF0"/>
    <w:rsid w:val="00E42D52"/>
    <w:rsid w:val="00E43787"/>
    <w:rsid w:val="00E438A1"/>
    <w:rsid w:val="00E43969"/>
    <w:rsid w:val="00E43A3C"/>
    <w:rsid w:val="00E43AF7"/>
    <w:rsid w:val="00E43C3E"/>
    <w:rsid w:val="00E43C57"/>
    <w:rsid w:val="00E44838"/>
    <w:rsid w:val="00E44C09"/>
    <w:rsid w:val="00E4541C"/>
    <w:rsid w:val="00E455C4"/>
    <w:rsid w:val="00E45C96"/>
    <w:rsid w:val="00E46297"/>
    <w:rsid w:val="00E4635E"/>
    <w:rsid w:val="00E46687"/>
    <w:rsid w:val="00E475D1"/>
    <w:rsid w:val="00E5041A"/>
    <w:rsid w:val="00E50547"/>
    <w:rsid w:val="00E5072C"/>
    <w:rsid w:val="00E50791"/>
    <w:rsid w:val="00E50ACA"/>
    <w:rsid w:val="00E518C7"/>
    <w:rsid w:val="00E5196E"/>
    <w:rsid w:val="00E51D4A"/>
    <w:rsid w:val="00E51ED1"/>
    <w:rsid w:val="00E5202A"/>
    <w:rsid w:val="00E526E2"/>
    <w:rsid w:val="00E52CEE"/>
    <w:rsid w:val="00E52E46"/>
    <w:rsid w:val="00E52E77"/>
    <w:rsid w:val="00E532F4"/>
    <w:rsid w:val="00E534AD"/>
    <w:rsid w:val="00E534DF"/>
    <w:rsid w:val="00E5369D"/>
    <w:rsid w:val="00E5391F"/>
    <w:rsid w:val="00E5395C"/>
    <w:rsid w:val="00E540AA"/>
    <w:rsid w:val="00E54223"/>
    <w:rsid w:val="00E5450E"/>
    <w:rsid w:val="00E54578"/>
    <w:rsid w:val="00E545DC"/>
    <w:rsid w:val="00E54734"/>
    <w:rsid w:val="00E54929"/>
    <w:rsid w:val="00E54C63"/>
    <w:rsid w:val="00E54D8B"/>
    <w:rsid w:val="00E54E5D"/>
    <w:rsid w:val="00E5549D"/>
    <w:rsid w:val="00E5562C"/>
    <w:rsid w:val="00E559EE"/>
    <w:rsid w:val="00E55B26"/>
    <w:rsid w:val="00E55DD9"/>
    <w:rsid w:val="00E55EBB"/>
    <w:rsid w:val="00E564BC"/>
    <w:rsid w:val="00E56602"/>
    <w:rsid w:val="00E56655"/>
    <w:rsid w:val="00E568FE"/>
    <w:rsid w:val="00E56D53"/>
    <w:rsid w:val="00E57066"/>
    <w:rsid w:val="00E57F73"/>
    <w:rsid w:val="00E57FE4"/>
    <w:rsid w:val="00E60183"/>
    <w:rsid w:val="00E6036D"/>
    <w:rsid w:val="00E60485"/>
    <w:rsid w:val="00E60B9E"/>
    <w:rsid w:val="00E60DE4"/>
    <w:rsid w:val="00E61250"/>
    <w:rsid w:val="00E6140A"/>
    <w:rsid w:val="00E61BD1"/>
    <w:rsid w:val="00E61D39"/>
    <w:rsid w:val="00E6217B"/>
    <w:rsid w:val="00E62621"/>
    <w:rsid w:val="00E62B69"/>
    <w:rsid w:val="00E62C1E"/>
    <w:rsid w:val="00E62D73"/>
    <w:rsid w:val="00E62E14"/>
    <w:rsid w:val="00E62F7A"/>
    <w:rsid w:val="00E6322B"/>
    <w:rsid w:val="00E63262"/>
    <w:rsid w:val="00E6338B"/>
    <w:rsid w:val="00E637DB"/>
    <w:rsid w:val="00E63955"/>
    <w:rsid w:val="00E63E04"/>
    <w:rsid w:val="00E63FF3"/>
    <w:rsid w:val="00E6411C"/>
    <w:rsid w:val="00E6447D"/>
    <w:rsid w:val="00E645B6"/>
    <w:rsid w:val="00E648C3"/>
    <w:rsid w:val="00E64B78"/>
    <w:rsid w:val="00E64D69"/>
    <w:rsid w:val="00E64FC3"/>
    <w:rsid w:val="00E650FC"/>
    <w:rsid w:val="00E65139"/>
    <w:rsid w:val="00E651C3"/>
    <w:rsid w:val="00E652FB"/>
    <w:rsid w:val="00E65699"/>
    <w:rsid w:val="00E65756"/>
    <w:rsid w:val="00E6591A"/>
    <w:rsid w:val="00E65931"/>
    <w:rsid w:val="00E65C17"/>
    <w:rsid w:val="00E65C55"/>
    <w:rsid w:val="00E66274"/>
    <w:rsid w:val="00E6669A"/>
    <w:rsid w:val="00E666C5"/>
    <w:rsid w:val="00E667B5"/>
    <w:rsid w:val="00E66831"/>
    <w:rsid w:val="00E66903"/>
    <w:rsid w:val="00E66934"/>
    <w:rsid w:val="00E66AB1"/>
    <w:rsid w:val="00E671FB"/>
    <w:rsid w:val="00E674F2"/>
    <w:rsid w:val="00E67A57"/>
    <w:rsid w:val="00E701F8"/>
    <w:rsid w:val="00E702CF"/>
    <w:rsid w:val="00E706B6"/>
    <w:rsid w:val="00E70751"/>
    <w:rsid w:val="00E70867"/>
    <w:rsid w:val="00E70B53"/>
    <w:rsid w:val="00E70D33"/>
    <w:rsid w:val="00E716E0"/>
    <w:rsid w:val="00E71CE5"/>
    <w:rsid w:val="00E7227E"/>
    <w:rsid w:val="00E723BE"/>
    <w:rsid w:val="00E7290F"/>
    <w:rsid w:val="00E72D67"/>
    <w:rsid w:val="00E72E77"/>
    <w:rsid w:val="00E73143"/>
    <w:rsid w:val="00E73169"/>
    <w:rsid w:val="00E7327D"/>
    <w:rsid w:val="00E733E3"/>
    <w:rsid w:val="00E733F2"/>
    <w:rsid w:val="00E73610"/>
    <w:rsid w:val="00E73702"/>
    <w:rsid w:val="00E738AC"/>
    <w:rsid w:val="00E73BC0"/>
    <w:rsid w:val="00E73D19"/>
    <w:rsid w:val="00E741BC"/>
    <w:rsid w:val="00E74992"/>
    <w:rsid w:val="00E74B57"/>
    <w:rsid w:val="00E74CE9"/>
    <w:rsid w:val="00E74D2A"/>
    <w:rsid w:val="00E7520A"/>
    <w:rsid w:val="00E752A4"/>
    <w:rsid w:val="00E752C3"/>
    <w:rsid w:val="00E75335"/>
    <w:rsid w:val="00E7535D"/>
    <w:rsid w:val="00E754BD"/>
    <w:rsid w:val="00E7563B"/>
    <w:rsid w:val="00E75893"/>
    <w:rsid w:val="00E758FC"/>
    <w:rsid w:val="00E75ADA"/>
    <w:rsid w:val="00E75FFA"/>
    <w:rsid w:val="00E760E6"/>
    <w:rsid w:val="00E761BB"/>
    <w:rsid w:val="00E763FE"/>
    <w:rsid w:val="00E764F1"/>
    <w:rsid w:val="00E7650E"/>
    <w:rsid w:val="00E76BB4"/>
    <w:rsid w:val="00E76EC5"/>
    <w:rsid w:val="00E77157"/>
    <w:rsid w:val="00E7769F"/>
    <w:rsid w:val="00E77877"/>
    <w:rsid w:val="00E77919"/>
    <w:rsid w:val="00E77CD0"/>
    <w:rsid w:val="00E8002A"/>
    <w:rsid w:val="00E8054A"/>
    <w:rsid w:val="00E806EE"/>
    <w:rsid w:val="00E80796"/>
    <w:rsid w:val="00E809A4"/>
    <w:rsid w:val="00E80A7E"/>
    <w:rsid w:val="00E80B23"/>
    <w:rsid w:val="00E80C42"/>
    <w:rsid w:val="00E81825"/>
    <w:rsid w:val="00E81959"/>
    <w:rsid w:val="00E81F4A"/>
    <w:rsid w:val="00E81FC3"/>
    <w:rsid w:val="00E82122"/>
    <w:rsid w:val="00E82127"/>
    <w:rsid w:val="00E82411"/>
    <w:rsid w:val="00E828E3"/>
    <w:rsid w:val="00E82A0D"/>
    <w:rsid w:val="00E82AC3"/>
    <w:rsid w:val="00E82CD0"/>
    <w:rsid w:val="00E82EBC"/>
    <w:rsid w:val="00E83229"/>
    <w:rsid w:val="00E833AC"/>
    <w:rsid w:val="00E833E2"/>
    <w:rsid w:val="00E83423"/>
    <w:rsid w:val="00E83577"/>
    <w:rsid w:val="00E83C3B"/>
    <w:rsid w:val="00E84303"/>
    <w:rsid w:val="00E843F4"/>
    <w:rsid w:val="00E84733"/>
    <w:rsid w:val="00E8486B"/>
    <w:rsid w:val="00E84D82"/>
    <w:rsid w:val="00E84E34"/>
    <w:rsid w:val="00E85037"/>
    <w:rsid w:val="00E850EF"/>
    <w:rsid w:val="00E85124"/>
    <w:rsid w:val="00E851EC"/>
    <w:rsid w:val="00E852A1"/>
    <w:rsid w:val="00E852FE"/>
    <w:rsid w:val="00E8548F"/>
    <w:rsid w:val="00E85551"/>
    <w:rsid w:val="00E857E4"/>
    <w:rsid w:val="00E8594E"/>
    <w:rsid w:val="00E8606D"/>
    <w:rsid w:val="00E8631C"/>
    <w:rsid w:val="00E86716"/>
    <w:rsid w:val="00E871D3"/>
    <w:rsid w:val="00E872AC"/>
    <w:rsid w:val="00E875BC"/>
    <w:rsid w:val="00E87A74"/>
    <w:rsid w:val="00E87B4E"/>
    <w:rsid w:val="00E87FE7"/>
    <w:rsid w:val="00E90041"/>
    <w:rsid w:val="00E9058D"/>
    <w:rsid w:val="00E90842"/>
    <w:rsid w:val="00E90D4C"/>
    <w:rsid w:val="00E90D65"/>
    <w:rsid w:val="00E90D7C"/>
    <w:rsid w:val="00E90DE7"/>
    <w:rsid w:val="00E91547"/>
    <w:rsid w:val="00E91B1B"/>
    <w:rsid w:val="00E91CB2"/>
    <w:rsid w:val="00E923D9"/>
    <w:rsid w:val="00E92706"/>
    <w:rsid w:val="00E92725"/>
    <w:rsid w:val="00E93296"/>
    <w:rsid w:val="00E93518"/>
    <w:rsid w:val="00E93A1C"/>
    <w:rsid w:val="00E93EC3"/>
    <w:rsid w:val="00E93FCB"/>
    <w:rsid w:val="00E94094"/>
    <w:rsid w:val="00E9429F"/>
    <w:rsid w:val="00E946CB"/>
    <w:rsid w:val="00E94C43"/>
    <w:rsid w:val="00E94F44"/>
    <w:rsid w:val="00E950C6"/>
    <w:rsid w:val="00E95513"/>
    <w:rsid w:val="00E95695"/>
    <w:rsid w:val="00E956E4"/>
    <w:rsid w:val="00E95803"/>
    <w:rsid w:val="00E95A52"/>
    <w:rsid w:val="00E95AE4"/>
    <w:rsid w:val="00E95B78"/>
    <w:rsid w:val="00E95BE5"/>
    <w:rsid w:val="00E95C82"/>
    <w:rsid w:val="00E95EA4"/>
    <w:rsid w:val="00E95EBB"/>
    <w:rsid w:val="00E95F3D"/>
    <w:rsid w:val="00E95FD1"/>
    <w:rsid w:val="00E96190"/>
    <w:rsid w:val="00E964CF"/>
    <w:rsid w:val="00E96553"/>
    <w:rsid w:val="00E96D6C"/>
    <w:rsid w:val="00E97522"/>
    <w:rsid w:val="00E977FA"/>
    <w:rsid w:val="00E9792A"/>
    <w:rsid w:val="00E97A8C"/>
    <w:rsid w:val="00E97E68"/>
    <w:rsid w:val="00EA04B6"/>
    <w:rsid w:val="00EA0887"/>
    <w:rsid w:val="00EA0E6A"/>
    <w:rsid w:val="00EA12CD"/>
    <w:rsid w:val="00EA159D"/>
    <w:rsid w:val="00EA1639"/>
    <w:rsid w:val="00EA17F1"/>
    <w:rsid w:val="00EA193A"/>
    <w:rsid w:val="00EA1968"/>
    <w:rsid w:val="00EA1CBE"/>
    <w:rsid w:val="00EA22C6"/>
    <w:rsid w:val="00EA23FD"/>
    <w:rsid w:val="00EA24A8"/>
    <w:rsid w:val="00EA2726"/>
    <w:rsid w:val="00EA2D15"/>
    <w:rsid w:val="00EA2D82"/>
    <w:rsid w:val="00EA33D1"/>
    <w:rsid w:val="00EA3796"/>
    <w:rsid w:val="00EA38EC"/>
    <w:rsid w:val="00EA3C62"/>
    <w:rsid w:val="00EA4716"/>
    <w:rsid w:val="00EA474D"/>
    <w:rsid w:val="00EA4832"/>
    <w:rsid w:val="00EA4CCA"/>
    <w:rsid w:val="00EA4FFC"/>
    <w:rsid w:val="00EA50B9"/>
    <w:rsid w:val="00EA50EC"/>
    <w:rsid w:val="00EA5588"/>
    <w:rsid w:val="00EA59EA"/>
    <w:rsid w:val="00EA6378"/>
    <w:rsid w:val="00EA6595"/>
    <w:rsid w:val="00EA65ED"/>
    <w:rsid w:val="00EA662C"/>
    <w:rsid w:val="00EA6844"/>
    <w:rsid w:val="00EA6B60"/>
    <w:rsid w:val="00EA6E6D"/>
    <w:rsid w:val="00EA6F68"/>
    <w:rsid w:val="00EA6F8B"/>
    <w:rsid w:val="00EA7267"/>
    <w:rsid w:val="00EA7310"/>
    <w:rsid w:val="00EA73AB"/>
    <w:rsid w:val="00EA74BC"/>
    <w:rsid w:val="00EA7867"/>
    <w:rsid w:val="00EA799B"/>
    <w:rsid w:val="00EB0010"/>
    <w:rsid w:val="00EB0156"/>
    <w:rsid w:val="00EB0537"/>
    <w:rsid w:val="00EB06DD"/>
    <w:rsid w:val="00EB0714"/>
    <w:rsid w:val="00EB073B"/>
    <w:rsid w:val="00EB0B0D"/>
    <w:rsid w:val="00EB1210"/>
    <w:rsid w:val="00EB1368"/>
    <w:rsid w:val="00EB14CA"/>
    <w:rsid w:val="00EB1904"/>
    <w:rsid w:val="00EB193A"/>
    <w:rsid w:val="00EB1E80"/>
    <w:rsid w:val="00EB1F4B"/>
    <w:rsid w:val="00EB2426"/>
    <w:rsid w:val="00EB290E"/>
    <w:rsid w:val="00EB2C0B"/>
    <w:rsid w:val="00EB2C64"/>
    <w:rsid w:val="00EB2CFC"/>
    <w:rsid w:val="00EB300A"/>
    <w:rsid w:val="00EB3168"/>
    <w:rsid w:val="00EB31D2"/>
    <w:rsid w:val="00EB33A5"/>
    <w:rsid w:val="00EB33B0"/>
    <w:rsid w:val="00EB39C8"/>
    <w:rsid w:val="00EB3BA1"/>
    <w:rsid w:val="00EB3F1E"/>
    <w:rsid w:val="00EB3F69"/>
    <w:rsid w:val="00EB4121"/>
    <w:rsid w:val="00EB42AF"/>
    <w:rsid w:val="00EB438A"/>
    <w:rsid w:val="00EB4514"/>
    <w:rsid w:val="00EB4CBD"/>
    <w:rsid w:val="00EB4E08"/>
    <w:rsid w:val="00EB4FB6"/>
    <w:rsid w:val="00EB5233"/>
    <w:rsid w:val="00EB52F6"/>
    <w:rsid w:val="00EB53D2"/>
    <w:rsid w:val="00EB5FF5"/>
    <w:rsid w:val="00EB641E"/>
    <w:rsid w:val="00EB6852"/>
    <w:rsid w:val="00EB6DB9"/>
    <w:rsid w:val="00EB6EB0"/>
    <w:rsid w:val="00EB6F36"/>
    <w:rsid w:val="00EB6FE1"/>
    <w:rsid w:val="00EB7351"/>
    <w:rsid w:val="00EB739F"/>
    <w:rsid w:val="00EB76E6"/>
    <w:rsid w:val="00EB7D54"/>
    <w:rsid w:val="00EB7F0D"/>
    <w:rsid w:val="00EC0221"/>
    <w:rsid w:val="00EC03F3"/>
    <w:rsid w:val="00EC1008"/>
    <w:rsid w:val="00EC1417"/>
    <w:rsid w:val="00EC17EB"/>
    <w:rsid w:val="00EC17EE"/>
    <w:rsid w:val="00EC1A41"/>
    <w:rsid w:val="00EC2040"/>
    <w:rsid w:val="00EC238F"/>
    <w:rsid w:val="00EC2922"/>
    <w:rsid w:val="00EC2A96"/>
    <w:rsid w:val="00EC2AB2"/>
    <w:rsid w:val="00EC2DB7"/>
    <w:rsid w:val="00EC2F46"/>
    <w:rsid w:val="00EC32F9"/>
    <w:rsid w:val="00EC3361"/>
    <w:rsid w:val="00EC353B"/>
    <w:rsid w:val="00EC3702"/>
    <w:rsid w:val="00EC37A9"/>
    <w:rsid w:val="00EC40BE"/>
    <w:rsid w:val="00EC42FB"/>
    <w:rsid w:val="00EC449F"/>
    <w:rsid w:val="00EC4753"/>
    <w:rsid w:val="00EC521F"/>
    <w:rsid w:val="00EC5602"/>
    <w:rsid w:val="00EC5848"/>
    <w:rsid w:val="00EC591F"/>
    <w:rsid w:val="00EC592B"/>
    <w:rsid w:val="00EC59EA"/>
    <w:rsid w:val="00EC5B4B"/>
    <w:rsid w:val="00EC5D55"/>
    <w:rsid w:val="00EC669C"/>
    <w:rsid w:val="00EC69A4"/>
    <w:rsid w:val="00EC6A48"/>
    <w:rsid w:val="00EC6CD6"/>
    <w:rsid w:val="00EC6EE3"/>
    <w:rsid w:val="00EC6F80"/>
    <w:rsid w:val="00EC7117"/>
    <w:rsid w:val="00EC7162"/>
    <w:rsid w:val="00EC71A3"/>
    <w:rsid w:val="00EC7208"/>
    <w:rsid w:val="00EC7358"/>
    <w:rsid w:val="00EC7787"/>
    <w:rsid w:val="00EC7ACA"/>
    <w:rsid w:val="00EC7E64"/>
    <w:rsid w:val="00EC7EA3"/>
    <w:rsid w:val="00ED0094"/>
    <w:rsid w:val="00ED02DE"/>
    <w:rsid w:val="00ED0631"/>
    <w:rsid w:val="00ED077E"/>
    <w:rsid w:val="00ED085C"/>
    <w:rsid w:val="00ED092F"/>
    <w:rsid w:val="00ED0A4B"/>
    <w:rsid w:val="00ED0B2A"/>
    <w:rsid w:val="00ED0C4A"/>
    <w:rsid w:val="00ED1010"/>
    <w:rsid w:val="00ED11BA"/>
    <w:rsid w:val="00ED152C"/>
    <w:rsid w:val="00ED16FB"/>
    <w:rsid w:val="00ED1AB0"/>
    <w:rsid w:val="00ED1BC1"/>
    <w:rsid w:val="00ED1DBF"/>
    <w:rsid w:val="00ED1DF6"/>
    <w:rsid w:val="00ED1E0D"/>
    <w:rsid w:val="00ED1FBD"/>
    <w:rsid w:val="00ED215B"/>
    <w:rsid w:val="00ED2252"/>
    <w:rsid w:val="00ED2566"/>
    <w:rsid w:val="00ED2E6E"/>
    <w:rsid w:val="00ED2E80"/>
    <w:rsid w:val="00ED32B4"/>
    <w:rsid w:val="00ED3A84"/>
    <w:rsid w:val="00ED3B39"/>
    <w:rsid w:val="00ED3B6F"/>
    <w:rsid w:val="00ED3C9D"/>
    <w:rsid w:val="00ED3D26"/>
    <w:rsid w:val="00ED3E36"/>
    <w:rsid w:val="00ED3EEF"/>
    <w:rsid w:val="00ED481A"/>
    <w:rsid w:val="00ED4AF9"/>
    <w:rsid w:val="00ED4C86"/>
    <w:rsid w:val="00ED4EDF"/>
    <w:rsid w:val="00ED5121"/>
    <w:rsid w:val="00ED5470"/>
    <w:rsid w:val="00ED5744"/>
    <w:rsid w:val="00ED5B35"/>
    <w:rsid w:val="00ED5C23"/>
    <w:rsid w:val="00ED5FF0"/>
    <w:rsid w:val="00ED6281"/>
    <w:rsid w:val="00ED64D7"/>
    <w:rsid w:val="00ED68E8"/>
    <w:rsid w:val="00ED7272"/>
    <w:rsid w:val="00ED72CA"/>
    <w:rsid w:val="00ED7327"/>
    <w:rsid w:val="00ED7AA1"/>
    <w:rsid w:val="00ED7C29"/>
    <w:rsid w:val="00ED7CAA"/>
    <w:rsid w:val="00ED7E11"/>
    <w:rsid w:val="00ED7F28"/>
    <w:rsid w:val="00EE01B2"/>
    <w:rsid w:val="00EE06EF"/>
    <w:rsid w:val="00EE0A67"/>
    <w:rsid w:val="00EE0C9A"/>
    <w:rsid w:val="00EE0EFA"/>
    <w:rsid w:val="00EE106B"/>
    <w:rsid w:val="00EE13EC"/>
    <w:rsid w:val="00EE1589"/>
    <w:rsid w:val="00EE15B1"/>
    <w:rsid w:val="00EE16F8"/>
    <w:rsid w:val="00EE172F"/>
    <w:rsid w:val="00EE18D0"/>
    <w:rsid w:val="00EE19C5"/>
    <w:rsid w:val="00EE1C02"/>
    <w:rsid w:val="00EE1F43"/>
    <w:rsid w:val="00EE240C"/>
    <w:rsid w:val="00EE279C"/>
    <w:rsid w:val="00EE286B"/>
    <w:rsid w:val="00EE28BD"/>
    <w:rsid w:val="00EE28E9"/>
    <w:rsid w:val="00EE2C0B"/>
    <w:rsid w:val="00EE2D2F"/>
    <w:rsid w:val="00EE34BE"/>
    <w:rsid w:val="00EE352E"/>
    <w:rsid w:val="00EE35A8"/>
    <w:rsid w:val="00EE35D8"/>
    <w:rsid w:val="00EE36A0"/>
    <w:rsid w:val="00EE374D"/>
    <w:rsid w:val="00EE3A00"/>
    <w:rsid w:val="00EE3A07"/>
    <w:rsid w:val="00EE3DEF"/>
    <w:rsid w:val="00EE40C3"/>
    <w:rsid w:val="00EE44F5"/>
    <w:rsid w:val="00EE47B9"/>
    <w:rsid w:val="00EE4884"/>
    <w:rsid w:val="00EE492D"/>
    <w:rsid w:val="00EE49F3"/>
    <w:rsid w:val="00EE4A30"/>
    <w:rsid w:val="00EE4CF7"/>
    <w:rsid w:val="00EE5464"/>
    <w:rsid w:val="00EE57E2"/>
    <w:rsid w:val="00EE5AED"/>
    <w:rsid w:val="00EE5E66"/>
    <w:rsid w:val="00EE633B"/>
    <w:rsid w:val="00EE67C4"/>
    <w:rsid w:val="00EE6807"/>
    <w:rsid w:val="00EE6890"/>
    <w:rsid w:val="00EE702A"/>
    <w:rsid w:val="00EE7211"/>
    <w:rsid w:val="00EE7748"/>
    <w:rsid w:val="00EE7B86"/>
    <w:rsid w:val="00EF0251"/>
    <w:rsid w:val="00EF0288"/>
    <w:rsid w:val="00EF0297"/>
    <w:rsid w:val="00EF03D2"/>
    <w:rsid w:val="00EF0722"/>
    <w:rsid w:val="00EF0738"/>
    <w:rsid w:val="00EF0777"/>
    <w:rsid w:val="00EF0921"/>
    <w:rsid w:val="00EF0B65"/>
    <w:rsid w:val="00EF0C10"/>
    <w:rsid w:val="00EF0E47"/>
    <w:rsid w:val="00EF0FB3"/>
    <w:rsid w:val="00EF1453"/>
    <w:rsid w:val="00EF14C5"/>
    <w:rsid w:val="00EF1796"/>
    <w:rsid w:val="00EF17BB"/>
    <w:rsid w:val="00EF17E4"/>
    <w:rsid w:val="00EF1854"/>
    <w:rsid w:val="00EF1980"/>
    <w:rsid w:val="00EF19E9"/>
    <w:rsid w:val="00EF1E43"/>
    <w:rsid w:val="00EF2166"/>
    <w:rsid w:val="00EF22F3"/>
    <w:rsid w:val="00EF301C"/>
    <w:rsid w:val="00EF33CB"/>
    <w:rsid w:val="00EF35D4"/>
    <w:rsid w:val="00EF3756"/>
    <w:rsid w:val="00EF3CCE"/>
    <w:rsid w:val="00EF40C7"/>
    <w:rsid w:val="00EF4105"/>
    <w:rsid w:val="00EF41C3"/>
    <w:rsid w:val="00EF4490"/>
    <w:rsid w:val="00EF4630"/>
    <w:rsid w:val="00EF4784"/>
    <w:rsid w:val="00EF47C9"/>
    <w:rsid w:val="00EF47E8"/>
    <w:rsid w:val="00EF4884"/>
    <w:rsid w:val="00EF5278"/>
    <w:rsid w:val="00EF531C"/>
    <w:rsid w:val="00EF56DC"/>
    <w:rsid w:val="00EF5715"/>
    <w:rsid w:val="00EF58E5"/>
    <w:rsid w:val="00EF5909"/>
    <w:rsid w:val="00EF5A13"/>
    <w:rsid w:val="00EF5A9F"/>
    <w:rsid w:val="00EF5C1B"/>
    <w:rsid w:val="00EF5E17"/>
    <w:rsid w:val="00EF6342"/>
    <w:rsid w:val="00EF6881"/>
    <w:rsid w:val="00EF692D"/>
    <w:rsid w:val="00EF6A2E"/>
    <w:rsid w:val="00EF6A72"/>
    <w:rsid w:val="00EF6EB6"/>
    <w:rsid w:val="00EF7140"/>
    <w:rsid w:val="00EF71FC"/>
    <w:rsid w:val="00EF7C9D"/>
    <w:rsid w:val="00F0048E"/>
    <w:rsid w:val="00F006AB"/>
    <w:rsid w:val="00F00764"/>
    <w:rsid w:val="00F00A2B"/>
    <w:rsid w:val="00F00B84"/>
    <w:rsid w:val="00F00CBC"/>
    <w:rsid w:val="00F00D00"/>
    <w:rsid w:val="00F00E4A"/>
    <w:rsid w:val="00F00F93"/>
    <w:rsid w:val="00F010D2"/>
    <w:rsid w:val="00F012B3"/>
    <w:rsid w:val="00F017D9"/>
    <w:rsid w:val="00F01B95"/>
    <w:rsid w:val="00F02243"/>
    <w:rsid w:val="00F02689"/>
    <w:rsid w:val="00F02BAB"/>
    <w:rsid w:val="00F02C85"/>
    <w:rsid w:val="00F02E88"/>
    <w:rsid w:val="00F02EDA"/>
    <w:rsid w:val="00F03032"/>
    <w:rsid w:val="00F03427"/>
    <w:rsid w:val="00F03594"/>
    <w:rsid w:val="00F03658"/>
    <w:rsid w:val="00F03AB7"/>
    <w:rsid w:val="00F03B53"/>
    <w:rsid w:val="00F03C0F"/>
    <w:rsid w:val="00F03D38"/>
    <w:rsid w:val="00F03E2B"/>
    <w:rsid w:val="00F03F06"/>
    <w:rsid w:val="00F03FD3"/>
    <w:rsid w:val="00F045D6"/>
    <w:rsid w:val="00F0462C"/>
    <w:rsid w:val="00F046B8"/>
    <w:rsid w:val="00F048B8"/>
    <w:rsid w:val="00F04F8E"/>
    <w:rsid w:val="00F04FDA"/>
    <w:rsid w:val="00F052E8"/>
    <w:rsid w:val="00F05737"/>
    <w:rsid w:val="00F05A50"/>
    <w:rsid w:val="00F05DF7"/>
    <w:rsid w:val="00F05E0D"/>
    <w:rsid w:val="00F05E3A"/>
    <w:rsid w:val="00F05FCB"/>
    <w:rsid w:val="00F06AE3"/>
    <w:rsid w:val="00F06BA1"/>
    <w:rsid w:val="00F06EB5"/>
    <w:rsid w:val="00F06F60"/>
    <w:rsid w:val="00F0713B"/>
    <w:rsid w:val="00F07497"/>
    <w:rsid w:val="00F0775D"/>
    <w:rsid w:val="00F07A15"/>
    <w:rsid w:val="00F07EB2"/>
    <w:rsid w:val="00F07F48"/>
    <w:rsid w:val="00F102C7"/>
    <w:rsid w:val="00F106E8"/>
    <w:rsid w:val="00F10791"/>
    <w:rsid w:val="00F10860"/>
    <w:rsid w:val="00F10A87"/>
    <w:rsid w:val="00F10C15"/>
    <w:rsid w:val="00F114BD"/>
    <w:rsid w:val="00F11C3A"/>
    <w:rsid w:val="00F12254"/>
    <w:rsid w:val="00F123B6"/>
    <w:rsid w:val="00F126BF"/>
    <w:rsid w:val="00F1281A"/>
    <w:rsid w:val="00F128A5"/>
    <w:rsid w:val="00F12F9F"/>
    <w:rsid w:val="00F12FD2"/>
    <w:rsid w:val="00F12FEF"/>
    <w:rsid w:val="00F136A0"/>
    <w:rsid w:val="00F13743"/>
    <w:rsid w:val="00F13C35"/>
    <w:rsid w:val="00F13DAA"/>
    <w:rsid w:val="00F13FE0"/>
    <w:rsid w:val="00F1441E"/>
    <w:rsid w:val="00F145DF"/>
    <w:rsid w:val="00F14D98"/>
    <w:rsid w:val="00F15114"/>
    <w:rsid w:val="00F151F0"/>
    <w:rsid w:val="00F1574F"/>
    <w:rsid w:val="00F16A94"/>
    <w:rsid w:val="00F16C2E"/>
    <w:rsid w:val="00F16C34"/>
    <w:rsid w:val="00F16F4B"/>
    <w:rsid w:val="00F17578"/>
    <w:rsid w:val="00F17C8F"/>
    <w:rsid w:val="00F17F96"/>
    <w:rsid w:val="00F200C0"/>
    <w:rsid w:val="00F20B28"/>
    <w:rsid w:val="00F210D7"/>
    <w:rsid w:val="00F21665"/>
    <w:rsid w:val="00F217AE"/>
    <w:rsid w:val="00F21A16"/>
    <w:rsid w:val="00F221AA"/>
    <w:rsid w:val="00F223C7"/>
    <w:rsid w:val="00F228FE"/>
    <w:rsid w:val="00F22984"/>
    <w:rsid w:val="00F22EDA"/>
    <w:rsid w:val="00F23148"/>
    <w:rsid w:val="00F23596"/>
    <w:rsid w:val="00F235E6"/>
    <w:rsid w:val="00F23720"/>
    <w:rsid w:val="00F23C1F"/>
    <w:rsid w:val="00F23D24"/>
    <w:rsid w:val="00F23DB5"/>
    <w:rsid w:val="00F240FF"/>
    <w:rsid w:val="00F24171"/>
    <w:rsid w:val="00F24219"/>
    <w:rsid w:val="00F243F8"/>
    <w:rsid w:val="00F24508"/>
    <w:rsid w:val="00F24D8D"/>
    <w:rsid w:val="00F24ED0"/>
    <w:rsid w:val="00F24FEE"/>
    <w:rsid w:val="00F2531D"/>
    <w:rsid w:val="00F25C54"/>
    <w:rsid w:val="00F25D08"/>
    <w:rsid w:val="00F2641F"/>
    <w:rsid w:val="00F26556"/>
    <w:rsid w:val="00F26832"/>
    <w:rsid w:val="00F26BBE"/>
    <w:rsid w:val="00F26C3D"/>
    <w:rsid w:val="00F26CD6"/>
    <w:rsid w:val="00F2726A"/>
    <w:rsid w:val="00F27275"/>
    <w:rsid w:val="00F27351"/>
    <w:rsid w:val="00F27ABB"/>
    <w:rsid w:val="00F27B0B"/>
    <w:rsid w:val="00F27B3F"/>
    <w:rsid w:val="00F27BB7"/>
    <w:rsid w:val="00F27C1E"/>
    <w:rsid w:val="00F304F5"/>
    <w:rsid w:val="00F3051C"/>
    <w:rsid w:val="00F306D8"/>
    <w:rsid w:val="00F30FE8"/>
    <w:rsid w:val="00F31099"/>
    <w:rsid w:val="00F3110F"/>
    <w:rsid w:val="00F3124B"/>
    <w:rsid w:val="00F312B5"/>
    <w:rsid w:val="00F317FB"/>
    <w:rsid w:val="00F318FB"/>
    <w:rsid w:val="00F31B46"/>
    <w:rsid w:val="00F31CB6"/>
    <w:rsid w:val="00F32097"/>
    <w:rsid w:val="00F32298"/>
    <w:rsid w:val="00F327BE"/>
    <w:rsid w:val="00F3287A"/>
    <w:rsid w:val="00F32B6A"/>
    <w:rsid w:val="00F32F63"/>
    <w:rsid w:val="00F330CD"/>
    <w:rsid w:val="00F33114"/>
    <w:rsid w:val="00F33285"/>
    <w:rsid w:val="00F333C4"/>
    <w:rsid w:val="00F33D15"/>
    <w:rsid w:val="00F33ECE"/>
    <w:rsid w:val="00F33FCA"/>
    <w:rsid w:val="00F34004"/>
    <w:rsid w:val="00F34261"/>
    <w:rsid w:val="00F342CA"/>
    <w:rsid w:val="00F34741"/>
    <w:rsid w:val="00F3497F"/>
    <w:rsid w:val="00F3501F"/>
    <w:rsid w:val="00F3546B"/>
    <w:rsid w:val="00F355DA"/>
    <w:rsid w:val="00F356F4"/>
    <w:rsid w:val="00F3621A"/>
    <w:rsid w:val="00F36676"/>
    <w:rsid w:val="00F3668A"/>
    <w:rsid w:val="00F36702"/>
    <w:rsid w:val="00F36B25"/>
    <w:rsid w:val="00F3705F"/>
    <w:rsid w:val="00F3734B"/>
    <w:rsid w:val="00F37351"/>
    <w:rsid w:val="00F37395"/>
    <w:rsid w:val="00F373E8"/>
    <w:rsid w:val="00F375AF"/>
    <w:rsid w:val="00F3762F"/>
    <w:rsid w:val="00F376A4"/>
    <w:rsid w:val="00F37831"/>
    <w:rsid w:val="00F3792E"/>
    <w:rsid w:val="00F37C42"/>
    <w:rsid w:val="00F37C6E"/>
    <w:rsid w:val="00F37E4D"/>
    <w:rsid w:val="00F37FB5"/>
    <w:rsid w:val="00F40387"/>
    <w:rsid w:val="00F4059F"/>
    <w:rsid w:val="00F405E3"/>
    <w:rsid w:val="00F40683"/>
    <w:rsid w:val="00F40830"/>
    <w:rsid w:val="00F4107D"/>
    <w:rsid w:val="00F410E5"/>
    <w:rsid w:val="00F415EC"/>
    <w:rsid w:val="00F41694"/>
    <w:rsid w:val="00F41928"/>
    <w:rsid w:val="00F41EBC"/>
    <w:rsid w:val="00F41FA6"/>
    <w:rsid w:val="00F421F9"/>
    <w:rsid w:val="00F42422"/>
    <w:rsid w:val="00F4255F"/>
    <w:rsid w:val="00F4258B"/>
    <w:rsid w:val="00F42BFD"/>
    <w:rsid w:val="00F42DDE"/>
    <w:rsid w:val="00F4373E"/>
    <w:rsid w:val="00F441F0"/>
    <w:rsid w:val="00F44876"/>
    <w:rsid w:val="00F44921"/>
    <w:rsid w:val="00F44DDB"/>
    <w:rsid w:val="00F44E3C"/>
    <w:rsid w:val="00F45221"/>
    <w:rsid w:val="00F45232"/>
    <w:rsid w:val="00F454C9"/>
    <w:rsid w:val="00F45683"/>
    <w:rsid w:val="00F456CA"/>
    <w:rsid w:val="00F45772"/>
    <w:rsid w:val="00F45C9F"/>
    <w:rsid w:val="00F45DF4"/>
    <w:rsid w:val="00F465D9"/>
    <w:rsid w:val="00F46B71"/>
    <w:rsid w:val="00F46B79"/>
    <w:rsid w:val="00F46C40"/>
    <w:rsid w:val="00F47123"/>
    <w:rsid w:val="00F47169"/>
    <w:rsid w:val="00F47676"/>
    <w:rsid w:val="00F47760"/>
    <w:rsid w:val="00F478E0"/>
    <w:rsid w:val="00F47B6C"/>
    <w:rsid w:val="00F47F3B"/>
    <w:rsid w:val="00F500A5"/>
    <w:rsid w:val="00F50B9E"/>
    <w:rsid w:val="00F50F40"/>
    <w:rsid w:val="00F5101E"/>
    <w:rsid w:val="00F5120F"/>
    <w:rsid w:val="00F5181B"/>
    <w:rsid w:val="00F519EF"/>
    <w:rsid w:val="00F51A19"/>
    <w:rsid w:val="00F51E6F"/>
    <w:rsid w:val="00F51E7D"/>
    <w:rsid w:val="00F51F97"/>
    <w:rsid w:val="00F52476"/>
    <w:rsid w:val="00F525D2"/>
    <w:rsid w:val="00F525F2"/>
    <w:rsid w:val="00F52688"/>
    <w:rsid w:val="00F5310B"/>
    <w:rsid w:val="00F536F9"/>
    <w:rsid w:val="00F53BA2"/>
    <w:rsid w:val="00F53C17"/>
    <w:rsid w:val="00F53C35"/>
    <w:rsid w:val="00F53CDB"/>
    <w:rsid w:val="00F53E32"/>
    <w:rsid w:val="00F53E6B"/>
    <w:rsid w:val="00F54250"/>
    <w:rsid w:val="00F54EB8"/>
    <w:rsid w:val="00F55314"/>
    <w:rsid w:val="00F5545F"/>
    <w:rsid w:val="00F55A94"/>
    <w:rsid w:val="00F55C4D"/>
    <w:rsid w:val="00F55CE2"/>
    <w:rsid w:val="00F55CE5"/>
    <w:rsid w:val="00F56295"/>
    <w:rsid w:val="00F56334"/>
    <w:rsid w:val="00F57075"/>
    <w:rsid w:val="00F570F4"/>
    <w:rsid w:val="00F574ED"/>
    <w:rsid w:val="00F57624"/>
    <w:rsid w:val="00F600C5"/>
    <w:rsid w:val="00F600CF"/>
    <w:rsid w:val="00F60262"/>
    <w:rsid w:val="00F607D8"/>
    <w:rsid w:val="00F608B9"/>
    <w:rsid w:val="00F60B33"/>
    <w:rsid w:val="00F60DC5"/>
    <w:rsid w:val="00F615C9"/>
    <w:rsid w:val="00F619DA"/>
    <w:rsid w:val="00F61AFD"/>
    <w:rsid w:val="00F620E6"/>
    <w:rsid w:val="00F62295"/>
    <w:rsid w:val="00F62792"/>
    <w:rsid w:val="00F6285D"/>
    <w:rsid w:val="00F62DE0"/>
    <w:rsid w:val="00F62EEF"/>
    <w:rsid w:val="00F630F7"/>
    <w:rsid w:val="00F638A4"/>
    <w:rsid w:val="00F638E5"/>
    <w:rsid w:val="00F63BB3"/>
    <w:rsid w:val="00F63D99"/>
    <w:rsid w:val="00F642DA"/>
    <w:rsid w:val="00F649F5"/>
    <w:rsid w:val="00F64DA6"/>
    <w:rsid w:val="00F64FAC"/>
    <w:rsid w:val="00F65073"/>
    <w:rsid w:val="00F6515F"/>
    <w:rsid w:val="00F6555C"/>
    <w:rsid w:val="00F659DB"/>
    <w:rsid w:val="00F65C09"/>
    <w:rsid w:val="00F65C4B"/>
    <w:rsid w:val="00F65D17"/>
    <w:rsid w:val="00F65DB9"/>
    <w:rsid w:val="00F65DC1"/>
    <w:rsid w:val="00F65F4F"/>
    <w:rsid w:val="00F664D5"/>
    <w:rsid w:val="00F66A0F"/>
    <w:rsid w:val="00F66E96"/>
    <w:rsid w:val="00F66F9D"/>
    <w:rsid w:val="00F67138"/>
    <w:rsid w:val="00F672E1"/>
    <w:rsid w:val="00F674F4"/>
    <w:rsid w:val="00F67747"/>
    <w:rsid w:val="00F677D7"/>
    <w:rsid w:val="00F678F3"/>
    <w:rsid w:val="00F679AC"/>
    <w:rsid w:val="00F67ABB"/>
    <w:rsid w:val="00F67C2B"/>
    <w:rsid w:val="00F67ED2"/>
    <w:rsid w:val="00F703A1"/>
    <w:rsid w:val="00F707CF"/>
    <w:rsid w:val="00F71051"/>
    <w:rsid w:val="00F71081"/>
    <w:rsid w:val="00F71130"/>
    <w:rsid w:val="00F7165D"/>
    <w:rsid w:val="00F71844"/>
    <w:rsid w:val="00F7193F"/>
    <w:rsid w:val="00F71AA7"/>
    <w:rsid w:val="00F72217"/>
    <w:rsid w:val="00F724FA"/>
    <w:rsid w:val="00F729F5"/>
    <w:rsid w:val="00F72ABC"/>
    <w:rsid w:val="00F72CC3"/>
    <w:rsid w:val="00F72D9D"/>
    <w:rsid w:val="00F72E4E"/>
    <w:rsid w:val="00F72EFF"/>
    <w:rsid w:val="00F72FED"/>
    <w:rsid w:val="00F73196"/>
    <w:rsid w:val="00F73AF1"/>
    <w:rsid w:val="00F74137"/>
    <w:rsid w:val="00F742B1"/>
    <w:rsid w:val="00F746FC"/>
    <w:rsid w:val="00F74800"/>
    <w:rsid w:val="00F749B4"/>
    <w:rsid w:val="00F754A8"/>
    <w:rsid w:val="00F75519"/>
    <w:rsid w:val="00F75A1A"/>
    <w:rsid w:val="00F75C77"/>
    <w:rsid w:val="00F75D55"/>
    <w:rsid w:val="00F7684D"/>
    <w:rsid w:val="00F76882"/>
    <w:rsid w:val="00F76E4C"/>
    <w:rsid w:val="00F77589"/>
    <w:rsid w:val="00F7784B"/>
    <w:rsid w:val="00F77908"/>
    <w:rsid w:val="00F77B14"/>
    <w:rsid w:val="00F77C87"/>
    <w:rsid w:val="00F77F77"/>
    <w:rsid w:val="00F80258"/>
    <w:rsid w:val="00F803EE"/>
    <w:rsid w:val="00F805BF"/>
    <w:rsid w:val="00F80BF1"/>
    <w:rsid w:val="00F810B2"/>
    <w:rsid w:val="00F8121C"/>
    <w:rsid w:val="00F814EA"/>
    <w:rsid w:val="00F81696"/>
    <w:rsid w:val="00F81871"/>
    <w:rsid w:val="00F81CFC"/>
    <w:rsid w:val="00F81E81"/>
    <w:rsid w:val="00F823AE"/>
    <w:rsid w:val="00F82438"/>
    <w:rsid w:val="00F82599"/>
    <w:rsid w:val="00F825C2"/>
    <w:rsid w:val="00F82768"/>
    <w:rsid w:val="00F82BDD"/>
    <w:rsid w:val="00F82DFE"/>
    <w:rsid w:val="00F83226"/>
    <w:rsid w:val="00F83916"/>
    <w:rsid w:val="00F83AB5"/>
    <w:rsid w:val="00F83B4A"/>
    <w:rsid w:val="00F8432B"/>
    <w:rsid w:val="00F84646"/>
    <w:rsid w:val="00F846E0"/>
    <w:rsid w:val="00F847FA"/>
    <w:rsid w:val="00F84960"/>
    <w:rsid w:val="00F84E1B"/>
    <w:rsid w:val="00F85121"/>
    <w:rsid w:val="00F85377"/>
    <w:rsid w:val="00F8552C"/>
    <w:rsid w:val="00F85547"/>
    <w:rsid w:val="00F858C8"/>
    <w:rsid w:val="00F85F5C"/>
    <w:rsid w:val="00F85FDC"/>
    <w:rsid w:val="00F86087"/>
    <w:rsid w:val="00F862A5"/>
    <w:rsid w:val="00F867A8"/>
    <w:rsid w:val="00F86B79"/>
    <w:rsid w:val="00F87036"/>
    <w:rsid w:val="00F87695"/>
    <w:rsid w:val="00F877ED"/>
    <w:rsid w:val="00F87A07"/>
    <w:rsid w:val="00F87FC3"/>
    <w:rsid w:val="00F900A7"/>
    <w:rsid w:val="00F900F5"/>
    <w:rsid w:val="00F90288"/>
    <w:rsid w:val="00F90685"/>
    <w:rsid w:val="00F907FC"/>
    <w:rsid w:val="00F90860"/>
    <w:rsid w:val="00F90EB6"/>
    <w:rsid w:val="00F90FD1"/>
    <w:rsid w:val="00F917E1"/>
    <w:rsid w:val="00F91AE3"/>
    <w:rsid w:val="00F91D63"/>
    <w:rsid w:val="00F91F93"/>
    <w:rsid w:val="00F9232D"/>
    <w:rsid w:val="00F925C4"/>
    <w:rsid w:val="00F928B7"/>
    <w:rsid w:val="00F928DF"/>
    <w:rsid w:val="00F92935"/>
    <w:rsid w:val="00F92969"/>
    <w:rsid w:val="00F9298A"/>
    <w:rsid w:val="00F92B16"/>
    <w:rsid w:val="00F92CAC"/>
    <w:rsid w:val="00F93384"/>
    <w:rsid w:val="00F933F4"/>
    <w:rsid w:val="00F93674"/>
    <w:rsid w:val="00F93D75"/>
    <w:rsid w:val="00F93E00"/>
    <w:rsid w:val="00F94332"/>
    <w:rsid w:val="00F944A4"/>
    <w:rsid w:val="00F945E0"/>
    <w:rsid w:val="00F94645"/>
    <w:rsid w:val="00F9471D"/>
    <w:rsid w:val="00F94875"/>
    <w:rsid w:val="00F9490A"/>
    <w:rsid w:val="00F94FF7"/>
    <w:rsid w:val="00F95425"/>
    <w:rsid w:val="00F95971"/>
    <w:rsid w:val="00F95A2B"/>
    <w:rsid w:val="00F95F62"/>
    <w:rsid w:val="00F960AB"/>
    <w:rsid w:val="00F964BB"/>
    <w:rsid w:val="00F965C4"/>
    <w:rsid w:val="00F96B88"/>
    <w:rsid w:val="00F96E2B"/>
    <w:rsid w:val="00F970F2"/>
    <w:rsid w:val="00F97A73"/>
    <w:rsid w:val="00F97F98"/>
    <w:rsid w:val="00F97FE9"/>
    <w:rsid w:val="00FA01EF"/>
    <w:rsid w:val="00FA02D4"/>
    <w:rsid w:val="00FA08DE"/>
    <w:rsid w:val="00FA09F5"/>
    <w:rsid w:val="00FA0F85"/>
    <w:rsid w:val="00FA135F"/>
    <w:rsid w:val="00FA1801"/>
    <w:rsid w:val="00FA1817"/>
    <w:rsid w:val="00FA195E"/>
    <w:rsid w:val="00FA1A0F"/>
    <w:rsid w:val="00FA1F96"/>
    <w:rsid w:val="00FA236A"/>
    <w:rsid w:val="00FA3050"/>
    <w:rsid w:val="00FA3051"/>
    <w:rsid w:val="00FA3315"/>
    <w:rsid w:val="00FA3861"/>
    <w:rsid w:val="00FA398C"/>
    <w:rsid w:val="00FA3A15"/>
    <w:rsid w:val="00FA3B3A"/>
    <w:rsid w:val="00FA3C8E"/>
    <w:rsid w:val="00FA3EA4"/>
    <w:rsid w:val="00FA40F6"/>
    <w:rsid w:val="00FA470B"/>
    <w:rsid w:val="00FA4E1B"/>
    <w:rsid w:val="00FA5060"/>
    <w:rsid w:val="00FA5188"/>
    <w:rsid w:val="00FA5247"/>
    <w:rsid w:val="00FA54C8"/>
    <w:rsid w:val="00FA58C3"/>
    <w:rsid w:val="00FA59CA"/>
    <w:rsid w:val="00FA5B23"/>
    <w:rsid w:val="00FA5E97"/>
    <w:rsid w:val="00FA611E"/>
    <w:rsid w:val="00FA6227"/>
    <w:rsid w:val="00FA65A9"/>
    <w:rsid w:val="00FA66CE"/>
    <w:rsid w:val="00FA6712"/>
    <w:rsid w:val="00FA6770"/>
    <w:rsid w:val="00FA72D0"/>
    <w:rsid w:val="00FA7316"/>
    <w:rsid w:val="00FA7862"/>
    <w:rsid w:val="00FA7B58"/>
    <w:rsid w:val="00FA7C02"/>
    <w:rsid w:val="00FA7DAC"/>
    <w:rsid w:val="00FB0071"/>
    <w:rsid w:val="00FB045D"/>
    <w:rsid w:val="00FB09A0"/>
    <w:rsid w:val="00FB0ABD"/>
    <w:rsid w:val="00FB0ADD"/>
    <w:rsid w:val="00FB0C05"/>
    <w:rsid w:val="00FB0CDD"/>
    <w:rsid w:val="00FB0DDB"/>
    <w:rsid w:val="00FB0E3C"/>
    <w:rsid w:val="00FB14B0"/>
    <w:rsid w:val="00FB1993"/>
    <w:rsid w:val="00FB1EC6"/>
    <w:rsid w:val="00FB1FED"/>
    <w:rsid w:val="00FB2472"/>
    <w:rsid w:val="00FB247F"/>
    <w:rsid w:val="00FB2948"/>
    <w:rsid w:val="00FB2F2F"/>
    <w:rsid w:val="00FB304B"/>
    <w:rsid w:val="00FB309A"/>
    <w:rsid w:val="00FB328A"/>
    <w:rsid w:val="00FB36DA"/>
    <w:rsid w:val="00FB37C4"/>
    <w:rsid w:val="00FB3E10"/>
    <w:rsid w:val="00FB3E71"/>
    <w:rsid w:val="00FB496B"/>
    <w:rsid w:val="00FB4A69"/>
    <w:rsid w:val="00FB4B7C"/>
    <w:rsid w:val="00FB52F8"/>
    <w:rsid w:val="00FB52FE"/>
    <w:rsid w:val="00FB561B"/>
    <w:rsid w:val="00FB5AB2"/>
    <w:rsid w:val="00FB5AD2"/>
    <w:rsid w:val="00FB5DB6"/>
    <w:rsid w:val="00FB68D9"/>
    <w:rsid w:val="00FB6D99"/>
    <w:rsid w:val="00FB6EA5"/>
    <w:rsid w:val="00FB72ED"/>
    <w:rsid w:val="00FB74E2"/>
    <w:rsid w:val="00FB76C4"/>
    <w:rsid w:val="00FB7888"/>
    <w:rsid w:val="00FB78B4"/>
    <w:rsid w:val="00FB78CB"/>
    <w:rsid w:val="00FB7CEB"/>
    <w:rsid w:val="00FB7E3A"/>
    <w:rsid w:val="00FB7E56"/>
    <w:rsid w:val="00FC0120"/>
    <w:rsid w:val="00FC0A03"/>
    <w:rsid w:val="00FC0BD3"/>
    <w:rsid w:val="00FC0F55"/>
    <w:rsid w:val="00FC160B"/>
    <w:rsid w:val="00FC18DB"/>
    <w:rsid w:val="00FC1B13"/>
    <w:rsid w:val="00FC1E83"/>
    <w:rsid w:val="00FC1F27"/>
    <w:rsid w:val="00FC2065"/>
    <w:rsid w:val="00FC278C"/>
    <w:rsid w:val="00FC27E6"/>
    <w:rsid w:val="00FC2C66"/>
    <w:rsid w:val="00FC2E04"/>
    <w:rsid w:val="00FC307E"/>
    <w:rsid w:val="00FC35AF"/>
    <w:rsid w:val="00FC361D"/>
    <w:rsid w:val="00FC3BE8"/>
    <w:rsid w:val="00FC40C9"/>
    <w:rsid w:val="00FC41D3"/>
    <w:rsid w:val="00FC43EC"/>
    <w:rsid w:val="00FC467E"/>
    <w:rsid w:val="00FC4AA6"/>
    <w:rsid w:val="00FC4F0E"/>
    <w:rsid w:val="00FC5456"/>
    <w:rsid w:val="00FC5702"/>
    <w:rsid w:val="00FC5832"/>
    <w:rsid w:val="00FC5849"/>
    <w:rsid w:val="00FC5A4B"/>
    <w:rsid w:val="00FC5D0E"/>
    <w:rsid w:val="00FC5DDC"/>
    <w:rsid w:val="00FC5E3A"/>
    <w:rsid w:val="00FC5EE1"/>
    <w:rsid w:val="00FC5F01"/>
    <w:rsid w:val="00FC68C9"/>
    <w:rsid w:val="00FC6CD9"/>
    <w:rsid w:val="00FC702A"/>
    <w:rsid w:val="00FC710A"/>
    <w:rsid w:val="00FC71D0"/>
    <w:rsid w:val="00FC7508"/>
    <w:rsid w:val="00FC781C"/>
    <w:rsid w:val="00FC7906"/>
    <w:rsid w:val="00FC795C"/>
    <w:rsid w:val="00FC7C97"/>
    <w:rsid w:val="00FC7DD3"/>
    <w:rsid w:val="00FD0356"/>
    <w:rsid w:val="00FD0369"/>
    <w:rsid w:val="00FD03FD"/>
    <w:rsid w:val="00FD05E0"/>
    <w:rsid w:val="00FD0936"/>
    <w:rsid w:val="00FD09F1"/>
    <w:rsid w:val="00FD0F6D"/>
    <w:rsid w:val="00FD10A3"/>
    <w:rsid w:val="00FD144C"/>
    <w:rsid w:val="00FD156D"/>
    <w:rsid w:val="00FD15D5"/>
    <w:rsid w:val="00FD1A53"/>
    <w:rsid w:val="00FD1AB0"/>
    <w:rsid w:val="00FD1B53"/>
    <w:rsid w:val="00FD2180"/>
    <w:rsid w:val="00FD229B"/>
    <w:rsid w:val="00FD2348"/>
    <w:rsid w:val="00FD25B7"/>
    <w:rsid w:val="00FD29AB"/>
    <w:rsid w:val="00FD2BB2"/>
    <w:rsid w:val="00FD3584"/>
    <w:rsid w:val="00FD35DD"/>
    <w:rsid w:val="00FD360A"/>
    <w:rsid w:val="00FD38AE"/>
    <w:rsid w:val="00FD3CD3"/>
    <w:rsid w:val="00FD3DBB"/>
    <w:rsid w:val="00FD4B82"/>
    <w:rsid w:val="00FD4C9E"/>
    <w:rsid w:val="00FD4F53"/>
    <w:rsid w:val="00FD5043"/>
    <w:rsid w:val="00FD593D"/>
    <w:rsid w:val="00FD5DB6"/>
    <w:rsid w:val="00FD5E70"/>
    <w:rsid w:val="00FD5F48"/>
    <w:rsid w:val="00FD611F"/>
    <w:rsid w:val="00FD61D6"/>
    <w:rsid w:val="00FD63EB"/>
    <w:rsid w:val="00FD6766"/>
    <w:rsid w:val="00FD69F1"/>
    <w:rsid w:val="00FD6C2C"/>
    <w:rsid w:val="00FD7091"/>
    <w:rsid w:val="00FD70D8"/>
    <w:rsid w:val="00FD712D"/>
    <w:rsid w:val="00FD7194"/>
    <w:rsid w:val="00FD72D0"/>
    <w:rsid w:val="00FD747B"/>
    <w:rsid w:val="00FD765B"/>
    <w:rsid w:val="00FD7A02"/>
    <w:rsid w:val="00FD7B5D"/>
    <w:rsid w:val="00FD7E65"/>
    <w:rsid w:val="00FD7ED1"/>
    <w:rsid w:val="00FE03CC"/>
    <w:rsid w:val="00FE08B4"/>
    <w:rsid w:val="00FE097D"/>
    <w:rsid w:val="00FE0B31"/>
    <w:rsid w:val="00FE146F"/>
    <w:rsid w:val="00FE1545"/>
    <w:rsid w:val="00FE1571"/>
    <w:rsid w:val="00FE1705"/>
    <w:rsid w:val="00FE1A42"/>
    <w:rsid w:val="00FE1C60"/>
    <w:rsid w:val="00FE215A"/>
    <w:rsid w:val="00FE2188"/>
    <w:rsid w:val="00FE22BA"/>
    <w:rsid w:val="00FE237B"/>
    <w:rsid w:val="00FE2AC5"/>
    <w:rsid w:val="00FE2E58"/>
    <w:rsid w:val="00FE2F0E"/>
    <w:rsid w:val="00FE2F29"/>
    <w:rsid w:val="00FE2F8F"/>
    <w:rsid w:val="00FE3582"/>
    <w:rsid w:val="00FE36FB"/>
    <w:rsid w:val="00FE3ED8"/>
    <w:rsid w:val="00FE3EF9"/>
    <w:rsid w:val="00FE41A7"/>
    <w:rsid w:val="00FE4396"/>
    <w:rsid w:val="00FE4552"/>
    <w:rsid w:val="00FE4D0A"/>
    <w:rsid w:val="00FE4F23"/>
    <w:rsid w:val="00FE5091"/>
    <w:rsid w:val="00FE53EC"/>
    <w:rsid w:val="00FE554E"/>
    <w:rsid w:val="00FE571E"/>
    <w:rsid w:val="00FE6350"/>
    <w:rsid w:val="00FE6822"/>
    <w:rsid w:val="00FE6A07"/>
    <w:rsid w:val="00FE6CB4"/>
    <w:rsid w:val="00FE6E35"/>
    <w:rsid w:val="00FE71EE"/>
    <w:rsid w:val="00FE7424"/>
    <w:rsid w:val="00FE79BA"/>
    <w:rsid w:val="00FE79E3"/>
    <w:rsid w:val="00FE7E38"/>
    <w:rsid w:val="00FF00BC"/>
    <w:rsid w:val="00FF01B1"/>
    <w:rsid w:val="00FF075C"/>
    <w:rsid w:val="00FF0D7B"/>
    <w:rsid w:val="00FF0F66"/>
    <w:rsid w:val="00FF0FCA"/>
    <w:rsid w:val="00FF139F"/>
    <w:rsid w:val="00FF1B0F"/>
    <w:rsid w:val="00FF1C06"/>
    <w:rsid w:val="00FF2138"/>
    <w:rsid w:val="00FF21FB"/>
    <w:rsid w:val="00FF252A"/>
    <w:rsid w:val="00FF265E"/>
    <w:rsid w:val="00FF27A7"/>
    <w:rsid w:val="00FF2EA0"/>
    <w:rsid w:val="00FF308C"/>
    <w:rsid w:val="00FF325E"/>
    <w:rsid w:val="00FF3611"/>
    <w:rsid w:val="00FF3944"/>
    <w:rsid w:val="00FF3E97"/>
    <w:rsid w:val="00FF3EC0"/>
    <w:rsid w:val="00FF4171"/>
    <w:rsid w:val="00FF41E2"/>
    <w:rsid w:val="00FF425A"/>
    <w:rsid w:val="00FF4601"/>
    <w:rsid w:val="00FF4C9E"/>
    <w:rsid w:val="00FF4CA2"/>
    <w:rsid w:val="00FF4F06"/>
    <w:rsid w:val="00FF51F1"/>
    <w:rsid w:val="00FF5A1A"/>
    <w:rsid w:val="00FF5F08"/>
    <w:rsid w:val="00FF5FF0"/>
    <w:rsid w:val="00FF607B"/>
    <w:rsid w:val="00FF61AB"/>
    <w:rsid w:val="00FF6214"/>
    <w:rsid w:val="00FF63BE"/>
    <w:rsid w:val="00FF652C"/>
    <w:rsid w:val="00FF6783"/>
    <w:rsid w:val="00FF6ACB"/>
    <w:rsid w:val="00FF6B54"/>
    <w:rsid w:val="00FF6FE1"/>
    <w:rsid w:val="00FF7003"/>
    <w:rsid w:val="00FF7193"/>
    <w:rsid w:val="00FF74EB"/>
    <w:rsid w:val="00FF7E26"/>
    <w:rsid w:val="02FC8ED1"/>
    <w:rsid w:val="041D7A80"/>
    <w:rsid w:val="04ED5B6C"/>
    <w:rsid w:val="05F81BF6"/>
    <w:rsid w:val="062B05C6"/>
    <w:rsid w:val="067C4E18"/>
    <w:rsid w:val="06BA73DD"/>
    <w:rsid w:val="08014542"/>
    <w:rsid w:val="08585A60"/>
    <w:rsid w:val="085C8ACD"/>
    <w:rsid w:val="089F046A"/>
    <w:rsid w:val="08A2061C"/>
    <w:rsid w:val="093C679C"/>
    <w:rsid w:val="098E6070"/>
    <w:rsid w:val="0AD2DE4F"/>
    <w:rsid w:val="0AD63052"/>
    <w:rsid w:val="0B1ADD2E"/>
    <w:rsid w:val="0C6E7BDF"/>
    <w:rsid w:val="0DC362F6"/>
    <w:rsid w:val="0E1D83E7"/>
    <w:rsid w:val="0EAC68F8"/>
    <w:rsid w:val="0F484896"/>
    <w:rsid w:val="0FB948B5"/>
    <w:rsid w:val="0FBC1178"/>
    <w:rsid w:val="107A0E89"/>
    <w:rsid w:val="10F6FB4B"/>
    <w:rsid w:val="11DD3A54"/>
    <w:rsid w:val="12BC1C53"/>
    <w:rsid w:val="12F0E977"/>
    <w:rsid w:val="142FD50F"/>
    <w:rsid w:val="14930067"/>
    <w:rsid w:val="149D1441"/>
    <w:rsid w:val="14B8CD1F"/>
    <w:rsid w:val="1526610C"/>
    <w:rsid w:val="15555423"/>
    <w:rsid w:val="1573486E"/>
    <w:rsid w:val="15D69667"/>
    <w:rsid w:val="16729893"/>
    <w:rsid w:val="16E83E06"/>
    <w:rsid w:val="16EB051C"/>
    <w:rsid w:val="17793D88"/>
    <w:rsid w:val="1813272C"/>
    <w:rsid w:val="183611A2"/>
    <w:rsid w:val="184833EE"/>
    <w:rsid w:val="18692DE6"/>
    <w:rsid w:val="18EBA09C"/>
    <w:rsid w:val="1966718A"/>
    <w:rsid w:val="1B612812"/>
    <w:rsid w:val="1D528C3C"/>
    <w:rsid w:val="1E7794F0"/>
    <w:rsid w:val="1EA4B12A"/>
    <w:rsid w:val="1FBC733C"/>
    <w:rsid w:val="1FD04D7D"/>
    <w:rsid w:val="20DD8A24"/>
    <w:rsid w:val="21024086"/>
    <w:rsid w:val="21EB16FE"/>
    <w:rsid w:val="2232DE33"/>
    <w:rsid w:val="230F17E2"/>
    <w:rsid w:val="23DAA506"/>
    <w:rsid w:val="2401B608"/>
    <w:rsid w:val="24570C0C"/>
    <w:rsid w:val="247F8D63"/>
    <w:rsid w:val="24B111B7"/>
    <w:rsid w:val="26DE1597"/>
    <w:rsid w:val="27181B2A"/>
    <w:rsid w:val="2888F75A"/>
    <w:rsid w:val="292E8B48"/>
    <w:rsid w:val="2967933A"/>
    <w:rsid w:val="2985D924"/>
    <w:rsid w:val="2A04C9F2"/>
    <w:rsid w:val="2BA30CDD"/>
    <w:rsid w:val="2BC24ACB"/>
    <w:rsid w:val="2C6B6CA0"/>
    <w:rsid w:val="2CAF349F"/>
    <w:rsid w:val="2D7486E0"/>
    <w:rsid w:val="2E2558FD"/>
    <w:rsid w:val="2E3ECBA0"/>
    <w:rsid w:val="2EF94AE5"/>
    <w:rsid w:val="2FE56CBD"/>
    <w:rsid w:val="2FFAE418"/>
    <w:rsid w:val="30699EDF"/>
    <w:rsid w:val="31CA721D"/>
    <w:rsid w:val="322BF2C7"/>
    <w:rsid w:val="32307678"/>
    <w:rsid w:val="34BA4684"/>
    <w:rsid w:val="3507AE33"/>
    <w:rsid w:val="373568AC"/>
    <w:rsid w:val="374FF940"/>
    <w:rsid w:val="37E39A11"/>
    <w:rsid w:val="37E5ADE6"/>
    <w:rsid w:val="388541E9"/>
    <w:rsid w:val="39212154"/>
    <w:rsid w:val="393A36F9"/>
    <w:rsid w:val="3976C15D"/>
    <w:rsid w:val="3AFEBF38"/>
    <w:rsid w:val="3B324484"/>
    <w:rsid w:val="3B7C8131"/>
    <w:rsid w:val="3B9FECCF"/>
    <w:rsid w:val="3C7BAFFE"/>
    <w:rsid w:val="3EDC7F68"/>
    <w:rsid w:val="3F1BA3DC"/>
    <w:rsid w:val="3FB83415"/>
    <w:rsid w:val="40BF0D4D"/>
    <w:rsid w:val="41540476"/>
    <w:rsid w:val="4178E394"/>
    <w:rsid w:val="41A6D67A"/>
    <w:rsid w:val="425F8A16"/>
    <w:rsid w:val="42B90765"/>
    <w:rsid w:val="4566EB6F"/>
    <w:rsid w:val="45989088"/>
    <w:rsid w:val="45EA9748"/>
    <w:rsid w:val="46A1718F"/>
    <w:rsid w:val="486EF511"/>
    <w:rsid w:val="489EDDA7"/>
    <w:rsid w:val="48B34389"/>
    <w:rsid w:val="4A7B2231"/>
    <w:rsid w:val="4A82C0CD"/>
    <w:rsid w:val="4A979E64"/>
    <w:rsid w:val="4B30A30E"/>
    <w:rsid w:val="4D9DBE25"/>
    <w:rsid w:val="4DA99323"/>
    <w:rsid w:val="4E60F6A9"/>
    <w:rsid w:val="4E868A78"/>
    <w:rsid w:val="51172C46"/>
    <w:rsid w:val="51A2D8EF"/>
    <w:rsid w:val="5243AB62"/>
    <w:rsid w:val="54059D70"/>
    <w:rsid w:val="54191EED"/>
    <w:rsid w:val="54A56AAB"/>
    <w:rsid w:val="55643852"/>
    <w:rsid w:val="56DEAFA7"/>
    <w:rsid w:val="57264506"/>
    <w:rsid w:val="57315C56"/>
    <w:rsid w:val="57BE4801"/>
    <w:rsid w:val="58B86751"/>
    <w:rsid w:val="58BA27E1"/>
    <w:rsid w:val="58EC45CA"/>
    <w:rsid w:val="5979305C"/>
    <w:rsid w:val="598F9C07"/>
    <w:rsid w:val="59F1B2D3"/>
    <w:rsid w:val="5A1711F0"/>
    <w:rsid w:val="5A6EEDCE"/>
    <w:rsid w:val="5B5405A0"/>
    <w:rsid w:val="5BB9DB7F"/>
    <w:rsid w:val="5BCC13A7"/>
    <w:rsid w:val="5C0ABE2F"/>
    <w:rsid w:val="5C580424"/>
    <w:rsid w:val="5C642CD7"/>
    <w:rsid w:val="5CEAE544"/>
    <w:rsid w:val="5CEE0268"/>
    <w:rsid w:val="5D51EDD2"/>
    <w:rsid w:val="5D72B58F"/>
    <w:rsid w:val="5DA68E90"/>
    <w:rsid w:val="5DF2CD59"/>
    <w:rsid w:val="5E5F6B2D"/>
    <w:rsid w:val="602B5E7F"/>
    <w:rsid w:val="60DE2F52"/>
    <w:rsid w:val="61970BEF"/>
    <w:rsid w:val="61B8FCB9"/>
    <w:rsid w:val="63261480"/>
    <w:rsid w:val="64DDBC79"/>
    <w:rsid w:val="65A0986F"/>
    <w:rsid w:val="67980203"/>
    <w:rsid w:val="687279FB"/>
    <w:rsid w:val="6A32C990"/>
    <w:rsid w:val="6A7B2D9B"/>
    <w:rsid w:val="6BE542B8"/>
    <w:rsid w:val="6D428E00"/>
    <w:rsid w:val="6D69A49B"/>
    <w:rsid w:val="6E7C9C4C"/>
    <w:rsid w:val="6E7E5764"/>
    <w:rsid w:val="6ECB05E1"/>
    <w:rsid w:val="6F353112"/>
    <w:rsid w:val="7058C954"/>
    <w:rsid w:val="70C90C39"/>
    <w:rsid w:val="70E1C3FF"/>
    <w:rsid w:val="71810CE2"/>
    <w:rsid w:val="72670521"/>
    <w:rsid w:val="72E8DEDA"/>
    <w:rsid w:val="736AF0E4"/>
    <w:rsid w:val="739A89AF"/>
    <w:rsid w:val="74237CEB"/>
    <w:rsid w:val="74783DB4"/>
    <w:rsid w:val="74F5866E"/>
    <w:rsid w:val="7584DEF9"/>
    <w:rsid w:val="77C9DAB9"/>
    <w:rsid w:val="783E2F36"/>
    <w:rsid w:val="785948D0"/>
    <w:rsid w:val="78958CC5"/>
    <w:rsid w:val="78BBC19F"/>
    <w:rsid w:val="7921E31B"/>
    <w:rsid w:val="79826774"/>
    <w:rsid w:val="79C8F791"/>
    <w:rsid w:val="79CE513F"/>
    <w:rsid w:val="79D341FC"/>
    <w:rsid w:val="7A20D71F"/>
    <w:rsid w:val="7AB311E6"/>
    <w:rsid w:val="7B577EB6"/>
    <w:rsid w:val="7BC48FC2"/>
    <w:rsid w:val="7CC71798"/>
    <w:rsid w:val="7CE24986"/>
    <w:rsid w:val="7D1B8D8E"/>
    <w:rsid w:val="7D540E80"/>
    <w:rsid w:val="7DDC2BE1"/>
    <w:rsid w:val="7E4E3151"/>
    <w:rsid w:val="7F77A4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6BA4E9"/>
  <w15:docId w15:val="{C22791F1-0FC0-4479-ABD8-A6621AD8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882"/>
    <w:pPr>
      <w:spacing w:after="120" w:line="276" w:lineRule="auto"/>
    </w:pPr>
    <w:rPr>
      <w:rFonts w:ascii="Calibri" w:eastAsiaTheme="majorEastAsia" w:hAnsi="Calibri" w:cs="Times New Roman"/>
      <w:color w:val="675E47" w:themeColor="text2"/>
      <w:sz w:val="24"/>
      <w:szCs w:val="24"/>
      <w:lang w:eastAsia="en-GB"/>
    </w:rPr>
  </w:style>
  <w:style w:type="paragraph" w:styleId="Heading1">
    <w:name w:val="heading 1"/>
    <w:basedOn w:val="Normal"/>
    <w:next w:val="Normal"/>
    <w:link w:val="Heading1Char"/>
    <w:uiPriority w:val="9"/>
    <w:qFormat/>
    <w:rsid w:val="004609FA"/>
    <w:pPr>
      <w:keepNext/>
      <w:keepLines/>
      <w:suppressAutoHyphens/>
      <w:spacing w:before="480"/>
      <w:outlineLvl w:val="0"/>
    </w:pPr>
    <w:rPr>
      <w:rFonts w:asciiTheme="minorHAnsi" w:hAnsiTheme="minorHAnsi" w:cstheme="majorBidi"/>
      <w:b/>
      <w:bCs/>
      <w:color w:val="332F23" w:themeColor="text2" w:themeShade="80"/>
      <w:sz w:val="36"/>
      <w:szCs w:val="28"/>
      <w:lang w:eastAsia="en-US"/>
    </w:rPr>
  </w:style>
  <w:style w:type="paragraph" w:styleId="Heading2">
    <w:name w:val="heading 2"/>
    <w:basedOn w:val="Normal"/>
    <w:next w:val="Normal"/>
    <w:link w:val="Heading2Char"/>
    <w:uiPriority w:val="9"/>
    <w:unhideWhenUsed/>
    <w:qFormat/>
    <w:rsid w:val="00FC1E83"/>
    <w:pPr>
      <w:keepNext/>
      <w:keepLines/>
      <w:suppressAutoHyphens/>
      <w:spacing w:before="200"/>
      <w:outlineLvl w:val="1"/>
    </w:pPr>
    <w:rPr>
      <w:rFonts w:asciiTheme="minorHAnsi" w:hAnsiTheme="minorHAnsi" w:cstheme="majorBidi"/>
      <w:b/>
      <w:bCs/>
      <w:color w:val="474131" w:themeColor="text1" w:themeTint="E6"/>
      <w:sz w:val="28"/>
      <w:szCs w:val="26"/>
      <w:lang w:eastAsia="en-US"/>
    </w:rPr>
  </w:style>
  <w:style w:type="paragraph" w:styleId="Heading3">
    <w:name w:val="heading 3"/>
    <w:basedOn w:val="Normal"/>
    <w:next w:val="Normal"/>
    <w:link w:val="Heading3Char"/>
    <w:uiPriority w:val="9"/>
    <w:unhideWhenUsed/>
    <w:qFormat/>
    <w:rsid w:val="00247821"/>
    <w:pPr>
      <w:keepNext/>
      <w:keepLines/>
      <w:suppressAutoHyphens/>
      <w:spacing w:before="200"/>
      <w:outlineLvl w:val="2"/>
    </w:pPr>
    <w:rPr>
      <w:rFonts w:asciiTheme="minorHAnsi" w:hAnsiTheme="minorHAnsi" w:cstheme="majorBidi"/>
      <w:b/>
      <w:bCs/>
      <w:color w:val="474131" w:themeColor="text1" w:themeTint="E6"/>
      <w:szCs w:val="22"/>
      <w:lang w:eastAsia="en-US"/>
    </w:rPr>
  </w:style>
  <w:style w:type="paragraph" w:styleId="Heading4">
    <w:name w:val="heading 4"/>
    <w:basedOn w:val="Normal"/>
    <w:next w:val="Normal"/>
    <w:link w:val="Heading4Char"/>
    <w:uiPriority w:val="9"/>
    <w:unhideWhenUsed/>
    <w:qFormat/>
    <w:rsid w:val="0063016C"/>
    <w:pPr>
      <w:keepNext/>
      <w:keepLines/>
      <w:suppressAutoHyphens/>
      <w:spacing w:before="200"/>
      <w:outlineLvl w:val="3"/>
    </w:pPr>
    <w:rPr>
      <w:rFonts w:asciiTheme="majorHAnsi" w:hAnsiTheme="majorHAnsi" w:cstheme="majorBidi"/>
      <w:b/>
      <w:bCs/>
      <w:iCs/>
      <w:color w:val="A9A57C" w:themeColor="accent1"/>
      <w:sz w:val="22"/>
      <w:szCs w:val="22"/>
      <w:lang w:eastAsia="en-US"/>
    </w:rPr>
  </w:style>
  <w:style w:type="paragraph" w:styleId="Heading5">
    <w:name w:val="heading 5"/>
    <w:basedOn w:val="Normal"/>
    <w:next w:val="Normal"/>
    <w:link w:val="Heading5Char"/>
    <w:uiPriority w:val="9"/>
    <w:unhideWhenUsed/>
    <w:qFormat/>
    <w:rsid w:val="006F466F"/>
    <w:pPr>
      <w:keepNext/>
      <w:keepLines/>
      <w:suppressAutoHyphens/>
      <w:spacing w:before="200"/>
      <w:outlineLvl w:val="4"/>
    </w:pPr>
    <w:rPr>
      <w:rFonts w:asciiTheme="majorHAnsi" w:hAnsiTheme="majorHAnsi" w:cstheme="majorBidi"/>
      <w:color w:val="575539" w:themeColor="accent1" w:themeShade="7F"/>
      <w:sz w:val="22"/>
      <w:szCs w:val="22"/>
      <w:lang w:eastAsia="en-US"/>
    </w:rPr>
  </w:style>
  <w:style w:type="paragraph" w:styleId="Heading6">
    <w:name w:val="heading 6"/>
    <w:basedOn w:val="Normal"/>
    <w:next w:val="Normal"/>
    <w:link w:val="Heading6Char"/>
    <w:uiPriority w:val="9"/>
    <w:unhideWhenUsed/>
    <w:qFormat/>
    <w:rsid w:val="00430CF6"/>
    <w:pPr>
      <w:keepNext/>
      <w:keepLines/>
      <w:suppressAutoHyphens/>
      <w:spacing w:before="200"/>
      <w:outlineLvl w:val="5"/>
    </w:pPr>
    <w:rPr>
      <w:rFonts w:asciiTheme="majorHAnsi" w:hAnsiTheme="majorHAnsi" w:cstheme="majorBidi"/>
      <w:i/>
      <w:iCs/>
      <w:color w:val="575539" w:themeColor="accent1" w:themeShade="7F"/>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link w:val="TableheadingChar"/>
    <w:qFormat/>
    <w:rsid w:val="001B4458"/>
    <w:pPr>
      <w:spacing w:before="60" w:after="60"/>
      <w:jc w:val="center"/>
    </w:pPr>
    <w:rPr>
      <w:b/>
      <w:sz w:val="22"/>
    </w:rPr>
  </w:style>
  <w:style w:type="character" w:customStyle="1" w:styleId="Heading4Char">
    <w:name w:val="Heading 4 Char"/>
    <w:basedOn w:val="DefaultParagraphFont"/>
    <w:link w:val="Heading4"/>
    <w:uiPriority w:val="9"/>
    <w:rsid w:val="0063016C"/>
    <w:rPr>
      <w:rFonts w:asciiTheme="majorHAnsi" w:eastAsiaTheme="majorEastAsia" w:hAnsiTheme="majorHAnsi" w:cstheme="majorBidi"/>
      <w:b/>
      <w:bCs/>
      <w:iCs/>
      <w:color w:val="A9A57C" w:themeColor="accent1"/>
    </w:rPr>
  </w:style>
  <w:style w:type="character" w:styleId="CommentReference">
    <w:name w:val="annotation reference"/>
    <w:basedOn w:val="DefaultParagraphFont"/>
    <w:uiPriority w:val="99"/>
    <w:semiHidden/>
    <w:unhideWhenUsed/>
    <w:rsid w:val="001717DE"/>
    <w:rPr>
      <w:sz w:val="16"/>
      <w:szCs w:val="16"/>
    </w:rPr>
  </w:style>
  <w:style w:type="paragraph" w:styleId="CommentText">
    <w:name w:val="annotation text"/>
    <w:basedOn w:val="Normal"/>
    <w:link w:val="CommentTextChar"/>
    <w:uiPriority w:val="99"/>
    <w:unhideWhenUsed/>
    <w:rsid w:val="001717DE"/>
    <w:pPr>
      <w:suppressAutoHyphens/>
      <w:spacing w:before="40"/>
    </w:pPr>
    <w:rPr>
      <w:rFonts w:asciiTheme="minorHAnsi" w:eastAsiaTheme="minorHAnsi" w:hAnsiTheme="minorHAnsi"/>
      <w:sz w:val="20"/>
      <w:szCs w:val="20"/>
      <w:lang w:val="en-GB"/>
    </w:rPr>
  </w:style>
  <w:style w:type="character" w:customStyle="1" w:styleId="CommentTextChar">
    <w:name w:val="Comment Text Char"/>
    <w:basedOn w:val="DefaultParagraphFont"/>
    <w:link w:val="CommentText"/>
    <w:uiPriority w:val="99"/>
    <w:rsid w:val="001717DE"/>
    <w:rPr>
      <w:sz w:val="20"/>
      <w:szCs w:val="20"/>
    </w:rPr>
  </w:style>
  <w:style w:type="paragraph" w:styleId="CommentSubject">
    <w:name w:val="annotation subject"/>
    <w:basedOn w:val="CommentText"/>
    <w:next w:val="CommentText"/>
    <w:link w:val="CommentSubjectChar"/>
    <w:uiPriority w:val="99"/>
    <w:semiHidden/>
    <w:unhideWhenUsed/>
    <w:rsid w:val="001717DE"/>
    <w:rPr>
      <w:b/>
      <w:bCs/>
    </w:rPr>
  </w:style>
  <w:style w:type="character" w:customStyle="1" w:styleId="CommentSubjectChar">
    <w:name w:val="Comment Subject Char"/>
    <w:basedOn w:val="CommentTextChar"/>
    <w:link w:val="CommentSubject"/>
    <w:uiPriority w:val="99"/>
    <w:semiHidden/>
    <w:rsid w:val="001717DE"/>
    <w:rPr>
      <w:b/>
      <w:bCs/>
      <w:sz w:val="20"/>
      <w:szCs w:val="20"/>
    </w:rPr>
  </w:style>
  <w:style w:type="paragraph" w:styleId="BalloonText">
    <w:name w:val="Balloon Text"/>
    <w:basedOn w:val="Normal"/>
    <w:link w:val="BalloonTextChar"/>
    <w:uiPriority w:val="99"/>
    <w:semiHidden/>
    <w:unhideWhenUsed/>
    <w:rsid w:val="001717DE"/>
    <w:pPr>
      <w:suppressAutoHyphens/>
      <w:spacing w:before="40"/>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1717DE"/>
    <w:rPr>
      <w:rFonts w:ascii="Tahoma" w:hAnsi="Tahoma" w:cs="Tahoma"/>
      <w:sz w:val="16"/>
      <w:szCs w:val="16"/>
    </w:rPr>
  </w:style>
  <w:style w:type="paragraph" w:styleId="EndnoteText">
    <w:name w:val="endnote text"/>
    <w:basedOn w:val="Normal"/>
    <w:link w:val="EndnoteTextChar"/>
    <w:uiPriority w:val="99"/>
    <w:unhideWhenUsed/>
    <w:rsid w:val="00CC43E0"/>
    <w:pPr>
      <w:suppressAutoHyphens/>
      <w:spacing w:before="40"/>
    </w:pPr>
    <w:rPr>
      <w:rFonts w:asciiTheme="minorHAnsi" w:eastAsiaTheme="minorHAnsi" w:hAnsiTheme="minorHAnsi"/>
      <w:sz w:val="20"/>
      <w:szCs w:val="20"/>
      <w:lang w:val="en-GB"/>
    </w:rPr>
  </w:style>
  <w:style w:type="character" w:customStyle="1" w:styleId="EndnoteTextChar">
    <w:name w:val="Endnote Text Char"/>
    <w:basedOn w:val="DefaultParagraphFont"/>
    <w:link w:val="EndnoteText"/>
    <w:uiPriority w:val="99"/>
    <w:rsid w:val="00CC43E0"/>
    <w:rPr>
      <w:sz w:val="20"/>
      <w:szCs w:val="20"/>
    </w:rPr>
  </w:style>
  <w:style w:type="character" w:styleId="EndnoteReference">
    <w:name w:val="endnote reference"/>
    <w:basedOn w:val="DefaultParagraphFont"/>
    <w:uiPriority w:val="99"/>
    <w:unhideWhenUsed/>
    <w:rsid w:val="00CC43E0"/>
    <w:rPr>
      <w:vertAlign w:val="superscript"/>
    </w:rPr>
  </w:style>
  <w:style w:type="paragraph" w:styleId="NormalWeb">
    <w:name w:val="Normal (Web)"/>
    <w:basedOn w:val="Normal"/>
    <w:uiPriority w:val="99"/>
    <w:semiHidden/>
    <w:unhideWhenUsed/>
    <w:rsid w:val="005C1AAC"/>
  </w:style>
  <w:style w:type="paragraph" w:styleId="Footer">
    <w:name w:val="footer"/>
    <w:basedOn w:val="Normal"/>
    <w:link w:val="FooterChar"/>
    <w:uiPriority w:val="99"/>
    <w:unhideWhenUsed/>
    <w:rsid w:val="00814721"/>
    <w:pPr>
      <w:tabs>
        <w:tab w:val="center" w:pos="4513"/>
        <w:tab w:val="right" w:pos="9026"/>
      </w:tabs>
      <w:suppressAutoHyphens/>
      <w:spacing w:before="40"/>
    </w:pPr>
    <w:rPr>
      <w:rFonts w:asciiTheme="minorHAnsi" w:eastAsiaTheme="minorHAnsi" w:hAnsiTheme="minorHAnsi" w:cstheme="minorBidi"/>
      <w:color w:val="808080" w:themeColor="background1" w:themeShade="80"/>
      <w:sz w:val="20"/>
      <w:szCs w:val="22"/>
      <w:lang w:eastAsia="en-US"/>
    </w:rPr>
  </w:style>
  <w:style w:type="character" w:customStyle="1" w:styleId="FooterChar">
    <w:name w:val="Footer Char"/>
    <w:basedOn w:val="DefaultParagraphFont"/>
    <w:link w:val="Footer"/>
    <w:uiPriority w:val="99"/>
    <w:rsid w:val="00814721"/>
    <w:rPr>
      <w:color w:val="808080" w:themeColor="background1" w:themeShade="80"/>
      <w:sz w:val="20"/>
    </w:rPr>
  </w:style>
  <w:style w:type="character" w:customStyle="1" w:styleId="Heading1Char">
    <w:name w:val="Heading 1 Char"/>
    <w:basedOn w:val="DefaultParagraphFont"/>
    <w:link w:val="Heading1"/>
    <w:uiPriority w:val="9"/>
    <w:rsid w:val="004609FA"/>
    <w:rPr>
      <w:rFonts w:eastAsiaTheme="majorEastAsia" w:cstheme="majorBidi"/>
      <w:b/>
      <w:bCs/>
      <w:color w:val="332F23" w:themeColor="text2" w:themeShade="80"/>
      <w:sz w:val="36"/>
      <w:szCs w:val="28"/>
    </w:rPr>
  </w:style>
  <w:style w:type="character" w:customStyle="1" w:styleId="Heading2Char">
    <w:name w:val="Heading 2 Char"/>
    <w:basedOn w:val="DefaultParagraphFont"/>
    <w:link w:val="Heading2"/>
    <w:uiPriority w:val="9"/>
    <w:rsid w:val="00FC1E83"/>
    <w:rPr>
      <w:rFonts w:eastAsiaTheme="majorEastAsia" w:cstheme="majorBidi"/>
      <w:b/>
      <w:bCs/>
      <w:color w:val="474131" w:themeColor="text1" w:themeTint="E6"/>
      <w:sz w:val="28"/>
      <w:szCs w:val="26"/>
    </w:rPr>
  </w:style>
  <w:style w:type="character" w:customStyle="1" w:styleId="Heading3Char">
    <w:name w:val="Heading 3 Char"/>
    <w:basedOn w:val="DefaultParagraphFont"/>
    <w:link w:val="Heading3"/>
    <w:uiPriority w:val="9"/>
    <w:rsid w:val="00247821"/>
    <w:rPr>
      <w:rFonts w:eastAsiaTheme="majorEastAsia" w:cstheme="majorBidi"/>
      <w:b/>
      <w:bCs/>
      <w:color w:val="474131" w:themeColor="text1" w:themeTint="E6"/>
      <w:sz w:val="24"/>
    </w:rPr>
  </w:style>
  <w:style w:type="paragraph" w:styleId="FootnoteText">
    <w:name w:val="footnote text"/>
    <w:basedOn w:val="Normal"/>
    <w:link w:val="FootnoteTextChar"/>
    <w:uiPriority w:val="99"/>
    <w:unhideWhenUsed/>
    <w:rsid w:val="007F476C"/>
    <w:pPr>
      <w:suppressAutoHyphens/>
      <w:spacing w:before="4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7F476C"/>
    <w:rPr>
      <w:sz w:val="20"/>
      <w:szCs w:val="20"/>
    </w:rPr>
  </w:style>
  <w:style w:type="character" w:styleId="FootnoteReference">
    <w:name w:val="footnote reference"/>
    <w:basedOn w:val="DefaultParagraphFont"/>
    <w:uiPriority w:val="99"/>
    <w:semiHidden/>
    <w:unhideWhenUsed/>
    <w:rsid w:val="007F476C"/>
    <w:rPr>
      <w:vertAlign w:val="superscript"/>
    </w:rPr>
  </w:style>
  <w:style w:type="paragraph" w:styleId="Header">
    <w:name w:val="header"/>
    <w:basedOn w:val="Normal"/>
    <w:link w:val="HeaderChar"/>
    <w:uiPriority w:val="99"/>
    <w:unhideWhenUsed/>
    <w:rsid w:val="00FF265E"/>
    <w:pPr>
      <w:tabs>
        <w:tab w:val="center" w:pos="4513"/>
        <w:tab w:val="right" w:pos="9026"/>
      </w:tabs>
      <w:suppressAutoHyphens/>
      <w:spacing w:before="4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F265E"/>
  </w:style>
  <w:style w:type="paragraph" w:styleId="Subtitle">
    <w:name w:val="Subtitle"/>
    <w:basedOn w:val="Title"/>
    <w:next w:val="Normal"/>
    <w:link w:val="SubtitleChar"/>
    <w:uiPriority w:val="11"/>
    <w:qFormat/>
    <w:rsid w:val="005169FE"/>
    <w:pPr>
      <w:numPr>
        <w:ilvl w:val="1"/>
      </w:numPr>
      <w:spacing w:after="8280"/>
      <w:jc w:val="right"/>
    </w:pPr>
    <w:rPr>
      <w:rFonts w:asciiTheme="majorHAnsi" w:eastAsiaTheme="majorEastAsia" w:hAnsiTheme="majorHAnsi" w:cstheme="majorBidi"/>
      <w:iCs/>
      <w:color w:val="A9A57C" w:themeColor="accent1"/>
      <w:spacing w:val="15"/>
      <w:sz w:val="32"/>
      <w:szCs w:val="24"/>
    </w:rPr>
  </w:style>
  <w:style w:type="character" w:customStyle="1" w:styleId="SubtitleChar">
    <w:name w:val="Subtitle Char"/>
    <w:basedOn w:val="DefaultParagraphFont"/>
    <w:link w:val="Subtitle"/>
    <w:uiPriority w:val="11"/>
    <w:rsid w:val="005169FE"/>
    <w:rPr>
      <w:rFonts w:asciiTheme="majorHAnsi" w:eastAsiaTheme="majorEastAsia" w:hAnsiTheme="majorHAnsi" w:cstheme="majorBidi"/>
      <w:b/>
      <w:iCs/>
      <w:color w:val="A9A57C" w:themeColor="accent1"/>
      <w:spacing w:val="15"/>
      <w:sz w:val="32"/>
      <w:szCs w:val="24"/>
    </w:rPr>
  </w:style>
  <w:style w:type="paragraph" w:styleId="Title">
    <w:name w:val="Title"/>
    <w:basedOn w:val="Normal"/>
    <w:next w:val="Normal"/>
    <w:link w:val="TitleChar"/>
    <w:uiPriority w:val="10"/>
    <w:qFormat/>
    <w:rsid w:val="00875B79"/>
    <w:pPr>
      <w:suppressAutoHyphens/>
      <w:spacing w:before="40" w:after="360"/>
    </w:pPr>
    <w:rPr>
      <w:rFonts w:asciiTheme="minorHAnsi" w:eastAsiaTheme="minorHAnsi" w:hAnsiTheme="minorHAnsi" w:cstheme="minorBidi"/>
      <w:b/>
      <w:sz w:val="44"/>
      <w:szCs w:val="22"/>
      <w:lang w:eastAsia="en-US"/>
    </w:rPr>
  </w:style>
  <w:style w:type="character" w:customStyle="1" w:styleId="TitleChar">
    <w:name w:val="Title Char"/>
    <w:basedOn w:val="DefaultParagraphFont"/>
    <w:link w:val="Title"/>
    <w:uiPriority w:val="10"/>
    <w:rsid w:val="00875B79"/>
    <w:rPr>
      <w:b/>
      <w:sz w:val="44"/>
    </w:rPr>
  </w:style>
  <w:style w:type="paragraph" w:styleId="TOCHeading">
    <w:name w:val="TOC Heading"/>
    <w:basedOn w:val="Heading1"/>
    <w:next w:val="Normal"/>
    <w:uiPriority w:val="39"/>
    <w:unhideWhenUsed/>
    <w:qFormat/>
    <w:rsid w:val="00491371"/>
    <w:pPr>
      <w:outlineLvl w:val="9"/>
    </w:pPr>
    <w:rPr>
      <w:lang w:val="en-US" w:eastAsia="ja-JP"/>
    </w:rPr>
  </w:style>
  <w:style w:type="paragraph" w:styleId="TOC1">
    <w:name w:val="toc 1"/>
    <w:basedOn w:val="Normal"/>
    <w:next w:val="Normal"/>
    <w:autoRedefine/>
    <w:uiPriority w:val="39"/>
    <w:unhideWhenUsed/>
    <w:qFormat/>
    <w:rsid w:val="00960A25"/>
    <w:pPr>
      <w:spacing w:before="12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2040C0"/>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qFormat/>
    <w:rsid w:val="00500ADE"/>
    <w:pPr>
      <w:ind w:left="480"/>
    </w:pPr>
    <w:rPr>
      <w:rFonts w:asciiTheme="minorHAnsi" w:hAnsiTheme="minorHAnsi" w:cstheme="minorHAnsi"/>
      <w:i/>
      <w:iCs/>
      <w:sz w:val="20"/>
      <w:szCs w:val="20"/>
    </w:rPr>
  </w:style>
  <w:style w:type="character" w:styleId="Hyperlink">
    <w:name w:val="Hyperlink"/>
    <w:basedOn w:val="DefaultParagraphFont"/>
    <w:uiPriority w:val="99"/>
    <w:unhideWhenUsed/>
    <w:rsid w:val="00500ADE"/>
    <w:rPr>
      <w:color w:val="D25814" w:themeColor="hyperlink"/>
      <w:u w:val="single"/>
    </w:rPr>
  </w:style>
  <w:style w:type="paragraph" w:styleId="Revision">
    <w:name w:val="Revision"/>
    <w:hidden/>
    <w:uiPriority w:val="99"/>
    <w:semiHidden/>
    <w:rsid w:val="00543361"/>
  </w:style>
  <w:style w:type="character" w:styleId="IntenseEmphasis">
    <w:name w:val="Intense Emphasis"/>
    <w:basedOn w:val="DefaultParagraphFont"/>
    <w:uiPriority w:val="21"/>
    <w:qFormat/>
    <w:rsid w:val="003D3BBA"/>
    <w:rPr>
      <w:rFonts w:eastAsiaTheme="majorEastAsia"/>
      <w:b/>
      <w:bCs/>
      <w:i/>
      <w:iCs/>
    </w:rPr>
  </w:style>
  <w:style w:type="character" w:customStyle="1" w:styleId="Heading5Char">
    <w:name w:val="Heading 5 Char"/>
    <w:basedOn w:val="DefaultParagraphFont"/>
    <w:link w:val="Heading5"/>
    <w:uiPriority w:val="9"/>
    <w:rsid w:val="006F466F"/>
    <w:rPr>
      <w:rFonts w:asciiTheme="majorHAnsi" w:eastAsiaTheme="majorEastAsia" w:hAnsiTheme="majorHAnsi" w:cstheme="majorBidi"/>
      <w:color w:val="575539" w:themeColor="accent1" w:themeShade="7F"/>
    </w:rPr>
  </w:style>
  <w:style w:type="character" w:customStyle="1" w:styleId="Heading6Char">
    <w:name w:val="Heading 6 Char"/>
    <w:basedOn w:val="DefaultParagraphFont"/>
    <w:link w:val="Heading6"/>
    <w:uiPriority w:val="9"/>
    <w:rsid w:val="00430CF6"/>
    <w:rPr>
      <w:rFonts w:asciiTheme="majorHAnsi" w:eastAsiaTheme="majorEastAsia" w:hAnsiTheme="majorHAnsi" w:cstheme="majorBidi"/>
      <w:i/>
      <w:iCs/>
      <w:color w:val="575539" w:themeColor="accent1" w:themeShade="7F"/>
    </w:rPr>
  </w:style>
  <w:style w:type="character" w:styleId="Emphasis">
    <w:name w:val="Emphasis"/>
    <w:basedOn w:val="DefaultParagraphFont"/>
    <w:uiPriority w:val="20"/>
    <w:qFormat/>
    <w:rsid w:val="003D3BBA"/>
    <w:rPr>
      <w:i/>
      <w:iCs/>
      <w:color w:val="675E47" w:themeColor="text2"/>
    </w:rPr>
  </w:style>
  <w:style w:type="paragraph" w:styleId="Caption">
    <w:name w:val="caption"/>
    <w:basedOn w:val="Normal"/>
    <w:next w:val="Normal"/>
    <w:uiPriority w:val="35"/>
    <w:unhideWhenUsed/>
    <w:qFormat/>
    <w:rsid w:val="00B41623"/>
    <w:pPr>
      <w:keepNext/>
      <w:suppressAutoHyphens/>
      <w:spacing w:before="480" w:after="60"/>
    </w:pPr>
    <w:rPr>
      <w:rFonts w:asciiTheme="majorHAnsi" w:eastAsiaTheme="minorHAnsi" w:hAnsiTheme="majorHAnsi" w:cstheme="minorBidi"/>
      <w:bCs/>
      <w:sz w:val="22"/>
      <w:szCs w:val="18"/>
      <w:lang w:eastAsia="en-US"/>
    </w:rPr>
  </w:style>
  <w:style w:type="paragraph" w:styleId="NoSpacing">
    <w:name w:val="No Spacing"/>
    <w:uiPriority w:val="1"/>
    <w:qFormat/>
    <w:rsid w:val="00EE6807"/>
  </w:style>
  <w:style w:type="paragraph" w:customStyle="1" w:styleId="Tableheadings">
    <w:name w:val="Table headings"/>
    <w:basedOn w:val="Heading3"/>
    <w:autoRedefine/>
    <w:qFormat/>
    <w:rsid w:val="006043C2"/>
    <w:pPr>
      <w:spacing w:before="0"/>
      <w:outlineLvl w:val="9"/>
    </w:pPr>
    <w:rPr>
      <w:rFonts w:eastAsia="Times New Roman" w:cstheme="minorHAnsi"/>
      <w:b w:val="0"/>
      <w:bCs w:val="0"/>
      <w:color w:val="675E47" w:themeColor="text2"/>
      <w:szCs w:val="24"/>
      <w:lang w:eastAsia="en-AU"/>
    </w:rPr>
  </w:style>
  <w:style w:type="character" w:styleId="FollowedHyperlink">
    <w:name w:val="FollowedHyperlink"/>
    <w:basedOn w:val="DefaultParagraphFont"/>
    <w:uiPriority w:val="99"/>
    <w:semiHidden/>
    <w:unhideWhenUsed/>
    <w:rsid w:val="00265634"/>
    <w:rPr>
      <w:color w:val="849A0A" w:themeColor="followedHyperlink"/>
      <w:u w:val="single"/>
    </w:rPr>
  </w:style>
  <w:style w:type="paragraph" w:customStyle="1" w:styleId="Tabletextemphasis">
    <w:name w:val="Table text (emphasis)"/>
    <w:basedOn w:val="Tabletext"/>
    <w:link w:val="TabletextemphasisChar"/>
    <w:qFormat/>
    <w:rsid w:val="007C3001"/>
    <w:rPr>
      <w:i/>
      <w:iCs/>
    </w:rPr>
  </w:style>
  <w:style w:type="paragraph" w:customStyle="1" w:styleId="Tabletextleft">
    <w:name w:val="Table text (left)"/>
    <w:basedOn w:val="Normal"/>
    <w:link w:val="TabletextleftChar"/>
    <w:qFormat/>
    <w:rsid w:val="00FC1E83"/>
    <w:rPr>
      <w:sz w:val="21"/>
    </w:rPr>
  </w:style>
  <w:style w:type="paragraph" w:styleId="TOC4">
    <w:name w:val="toc 4"/>
    <w:basedOn w:val="Normal"/>
    <w:next w:val="Normal"/>
    <w:autoRedefine/>
    <w:uiPriority w:val="39"/>
    <w:unhideWhenUsed/>
    <w:rsid w:val="00676018"/>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676018"/>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676018"/>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676018"/>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676018"/>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676018"/>
    <w:pPr>
      <w:ind w:left="1920"/>
    </w:pPr>
    <w:rPr>
      <w:rFonts w:asciiTheme="minorHAnsi" w:hAnsiTheme="minorHAnsi" w:cstheme="minorHAnsi"/>
      <w:sz w:val="18"/>
      <w:szCs w:val="18"/>
    </w:rPr>
  </w:style>
  <w:style w:type="character" w:customStyle="1" w:styleId="TableheadingChar">
    <w:name w:val="Table heading Char"/>
    <w:basedOn w:val="DefaultParagraphFont"/>
    <w:link w:val="Tableheading"/>
    <w:rsid w:val="001B4458"/>
    <w:rPr>
      <w:rFonts w:ascii="Calibri" w:eastAsia="Times New Roman" w:hAnsi="Calibri" w:cs="Times New Roman"/>
      <w:b/>
      <w:color w:val="675E47" w:themeColor="text2"/>
      <w:szCs w:val="24"/>
      <w:lang w:eastAsia="en-GB"/>
    </w:rPr>
  </w:style>
  <w:style w:type="character" w:customStyle="1" w:styleId="TabletextleftChar">
    <w:name w:val="Table text (left) Char"/>
    <w:basedOn w:val="DefaultParagraphFont"/>
    <w:link w:val="Tabletextleft"/>
    <w:rsid w:val="00FC1E83"/>
    <w:rPr>
      <w:rFonts w:ascii="Calibri" w:eastAsia="Times New Roman" w:hAnsi="Calibri" w:cs="Times New Roman"/>
      <w:color w:val="675E47" w:themeColor="text2"/>
      <w:sz w:val="21"/>
      <w:szCs w:val="24"/>
      <w:lang w:eastAsia="en-GB"/>
    </w:rPr>
  </w:style>
  <w:style w:type="paragraph" w:customStyle="1" w:styleId="FigureHeadings">
    <w:name w:val="Figure Headings"/>
    <w:basedOn w:val="Heading3"/>
    <w:autoRedefine/>
    <w:qFormat/>
    <w:rsid w:val="00F76882"/>
    <w:pPr>
      <w:spacing w:before="480" w:line="240" w:lineRule="auto"/>
      <w:ind w:left="1191" w:hanging="1191"/>
      <w:contextualSpacing/>
      <w:outlineLvl w:val="9"/>
    </w:pPr>
    <w:rPr>
      <w:rFonts w:cstheme="minorHAnsi"/>
      <w:b w:val="0"/>
      <w:bCs w:val="0"/>
      <w:color w:val="675E47" w:themeColor="text2"/>
      <w:szCs w:val="24"/>
    </w:rPr>
  </w:style>
  <w:style w:type="paragraph" w:styleId="TableofFigures">
    <w:name w:val="table of figures"/>
    <w:basedOn w:val="Normal"/>
    <w:next w:val="Normal"/>
    <w:uiPriority w:val="99"/>
    <w:unhideWhenUsed/>
    <w:rsid w:val="00495326"/>
    <w:pPr>
      <w:suppressAutoHyphens/>
      <w:spacing w:before="40"/>
      <w:ind w:left="1191" w:hanging="1191"/>
    </w:pPr>
    <w:rPr>
      <w:rFonts w:asciiTheme="minorHAnsi" w:eastAsiaTheme="minorHAnsi" w:hAnsiTheme="minorHAnsi"/>
      <w:sz w:val="22"/>
      <w:lang w:val="en-GB"/>
    </w:rPr>
  </w:style>
  <w:style w:type="paragraph" w:customStyle="1" w:styleId="BulletsTrach">
    <w:name w:val="Bullets Trach"/>
    <w:basedOn w:val="Normal"/>
    <w:qFormat/>
    <w:rsid w:val="00972317"/>
    <w:pPr>
      <w:numPr>
        <w:numId w:val="3"/>
      </w:numPr>
      <w:suppressAutoHyphens/>
      <w:ind w:left="714" w:hanging="357"/>
      <w:contextualSpacing/>
    </w:pPr>
    <w:rPr>
      <w:rFonts w:asciiTheme="minorHAnsi" w:eastAsiaTheme="minorHAnsi" w:hAnsiTheme="minorHAnsi"/>
      <w:lang w:val="en-GB"/>
    </w:rPr>
  </w:style>
  <w:style w:type="paragraph" w:customStyle="1" w:styleId="tablefigfootnote">
    <w:name w:val="table_fig footnote"/>
    <w:basedOn w:val="Normal"/>
    <w:qFormat/>
    <w:rsid w:val="001B4458"/>
    <w:pPr>
      <w:tabs>
        <w:tab w:val="center" w:pos="4513"/>
        <w:tab w:val="right" w:pos="9026"/>
      </w:tabs>
      <w:suppressAutoHyphens/>
      <w:spacing w:before="10" w:after="0"/>
    </w:pPr>
    <w:rPr>
      <w:rFonts w:asciiTheme="minorHAnsi" w:eastAsia="Calibri" w:hAnsiTheme="minorHAnsi"/>
      <w:sz w:val="18"/>
      <w:szCs w:val="18"/>
    </w:rPr>
  </w:style>
  <w:style w:type="table" w:styleId="TableGrid">
    <w:name w:val="Table Grid"/>
    <w:basedOn w:val="TableNormal"/>
    <w:uiPriority w:val="59"/>
    <w:rsid w:val="00F25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F57624"/>
  </w:style>
  <w:style w:type="paragraph" w:styleId="ListBullet2">
    <w:name w:val="List Bullet 2"/>
    <w:basedOn w:val="Normal"/>
    <w:uiPriority w:val="99"/>
    <w:unhideWhenUsed/>
    <w:rsid w:val="00A57CA7"/>
    <w:pPr>
      <w:numPr>
        <w:numId w:val="2"/>
      </w:numPr>
      <w:suppressAutoHyphens/>
      <w:spacing w:before="40"/>
      <w:contextualSpacing/>
    </w:pPr>
    <w:rPr>
      <w:rFonts w:asciiTheme="minorHAnsi" w:eastAsiaTheme="minorHAnsi" w:hAnsiTheme="minorHAnsi"/>
      <w:sz w:val="22"/>
      <w:lang w:val="en-GB"/>
    </w:rPr>
  </w:style>
  <w:style w:type="paragraph" w:styleId="ListBullet3">
    <w:name w:val="List Bullet 3"/>
    <w:basedOn w:val="Normal"/>
    <w:uiPriority w:val="99"/>
    <w:unhideWhenUsed/>
    <w:rsid w:val="00A57CA7"/>
    <w:pPr>
      <w:numPr>
        <w:numId w:val="1"/>
      </w:numPr>
      <w:suppressAutoHyphens/>
      <w:spacing w:before="40"/>
      <w:contextualSpacing/>
    </w:pPr>
    <w:rPr>
      <w:rFonts w:asciiTheme="minorHAnsi" w:eastAsiaTheme="minorHAnsi" w:hAnsiTheme="minorHAnsi"/>
      <w:sz w:val="22"/>
      <w:lang w:val="en-GB"/>
    </w:rPr>
  </w:style>
  <w:style w:type="character" w:styleId="PageNumber">
    <w:name w:val="page number"/>
    <w:basedOn w:val="DefaultParagraphFont"/>
    <w:uiPriority w:val="99"/>
    <w:semiHidden/>
    <w:unhideWhenUsed/>
    <w:rsid w:val="00FD5E70"/>
  </w:style>
  <w:style w:type="character" w:customStyle="1" w:styleId="TabletextemphasisChar">
    <w:name w:val="Table text (emphasis) Char"/>
    <w:basedOn w:val="TabletextChar"/>
    <w:link w:val="Tabletextemphasis"/>
    <w:rsid w:val="007C3001"/>
    <w:rPr>
      <w:rFonts w:ascii="Calibri" w:eastAsia="Times New Roman" w:hAnsi="Calibri" w:cs="Times New Roman"/>
      <w:i/>
      <w:iCs/>
      <w:color w:val="675E47" w:themeColor="text2"/>
      <w:sz w:val="21"/>
      <w:szCs w:val="24"/>
      <w:lang w:eastAsia="en-GB"/>
    </w:rPr>
  </w:style>
  <w:style w:type="paragraph" w:customStyle="1" w:styleId="Superscript">
    <w:name w:val="Superscript"/>
    <w:basedOn w:val="FootnoteText"/>
    <w:link w:val="SuperscriptChar"/>
    <w:qFormat/>
    <w:rsid w:val="00495326"/>
    <w:rPr>
      <w:vertAlign w:val="superscript"/>
    </w:rPr>
  </w:style>
  <w:style w:type="character" w:styleId="UnresolvedMention">
    <w:name w:val="Unresolved Mention"/>
    <w:basedOn w:val="DefaultParagraphFont"/>
    <w:uiPriority w:val="99"/>
    <w:semiHidden/>
    <w:unhideWhenUsed/>
    <w:rsid w:val="00096570"/>
    <w:rPr>
      <w:color w:val="605E5C"/>
      <w:shd w:val="clear" w:color="auto" w:fill="E1DFDD"/>
    </w:rPr>
  </w:style>
  <w:style w:type="table" w:customStyle="1" w:styleId="trach">
    <w:name w:val="trach"/>
    <w:basedOn w:val="TableNormal"/>
    <w:uiPriority w:val="99"/>
    <w:rsid w:val="00105E96"/>
    <w:tblPr>
      <w:tblStyleRowBandSize w:val="1"/>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
    <w:tcPr>
      <w:vAlign w:val="center"/>
    </w:tcPr>
    <w:tblStylePr w:type="firstRow">
      <w:pPr>
        <w:wordWrap/>
        <w:spacing w:line="240" w:lineRule="auto"/>
        <w:jc w:val="center"/>
      </w:pPr>
      <w:rPr>
        <w:rFonts w:asciiTheme="majorHAnsi" w:hAnsiTheme="majorHAnsi"/>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BFBFBF" w:themeFill="background1" w:themeFillShade="BF"/>
      </w:tcPr>
    </w:tblStylePr>
    <w:tblStylePr w:type="band2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9D9D9" w:themeFill="background1" w:themeFillShade="D9"/>
      </w:tcPr>
    </w:tblStylePr>
  </w:style>
  <w:style w:type="paragraph" w:styleId="BodyText">
    <w:name w:val="Body Text"/>
    <w:basedOn w:val="Normal"/>
    <w:link w:val="BodyTextChar"/>
    <w:uiPriority w:val="99"/>
    <w:semiHidden/>
    <w:unhideWhenUsed/>
    <w:rsid w:val="0052334A"/>
    <w:pPr>
      <w:suppressAutoHyphens/>
      <w:spacing w:before="40"/>
    </w:pPr>
    <w:rPr>
      <w:rFonts w:asciiTheme="minorHAnsi" w:eastAsiaTheme="minorHAnsi" w:hAnsiTheme="minorHAnsi"/>
      <w:sz w:val="22"/>
      <w:lang w:val="en-GB"/>
    </w:rPr>
  </w:style>
  <w:style w:type="character" w:customStyle="1" w:styleId="BodyTextChar">
    <w:name w:val="Body Text Char"/>
    <w:basedOn w:val="DefaultParagraphFont"/>
    <w:link w:val="BodyText"/>
    <w:uiPriority w:val="99"/>
    <w:semiHidden/>
    <w:rsid w:val="0052334A"/>
    <w:rPr>
      <w:rFonts w:ascii="Times New Roman" w:hAnsi="Times New Roman" w:cs="Times New Roman"/>
      <w:sz w:val="24"/>
      <w:szCs w:val="24"/>
      <w:lang w:val="en-GB" w:eastAsia="en-GB"/>
    </w:rPr>
  </w:style>
  <w:style w:type="table" w:customStyle="1" w:styleId="TableGrid1">
    <w:name w:val="Table Grid1"/>
    <w:basedOn w:val="TableNormal"/>
    <w:next w:val="TableGrid"/>
    <w:uiPriority w:val="59"/>
    <w:rsid w:val="006F3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ch1">
    <w:name w:val="trach1"/>
    <w:basedOn w:val="TableNormal"/>
    <w:uiPriority w:val="99"/>
    <w:rsid w:val="006F32BC"/>
    <w:tblPr>
      <w:tblStyleRowBandSize w:val="1"/>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
    <w:tcPr>
      <w:vAlign w:val="center"/>
    </w:tcPr>
    <w:tblStylePr w:type="firstRow">
      <w:pPr>
        <w:wordWrap/>
        <w:spacing w:line="240" w:lineRule="auto"/>
        <w:jc w:val="center"/>
      </w:pPr>
      <w:rPr>
        <w:rFonts w:asciiTheme="majorHAnsi" w:hAnsiTheme="majorHAnsi"/>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BFBFBF" w:themeFill="background1" w:themeFillShade="BF"/>
      </w:tcPr>
    </w:tblStylePr>
    <w:tblStylePr w:type="band2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9D9D9" w:themeFill="background1" w:themeFillShade="D9"/>
      </w:tcPr>
    </w:tblStylePr>
  </w:style>
  <w:style w:type="table" w:customStyle="1" w:styleId="TableGrid2">
    <w:name w:val="Table Grid2"/>
    <w:basedOn w:val="TableNormal"/>
    <w:next w:val="TableGrid"/>
    <w:uiPriority w:val="59"/>
    <w:rsid w:val="00E3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Char">
    <w:name w:val="Superscript Char"/>
    <w:basedOn w:val="FootnoteTextChar"/>
    <w:link w:val="Superscript"/>
    <w:rsid w:val="00495326"/>
    <w:rPr>
      <w:color w:val="675E47" w:themeColor="text2"/>
      <w:sz w:val="20"/>
      <w:szCs w:val="20"/>
      <w:vertAlign w:val="superscript"/>
    </w:rPr>
  </w:style>
  <w:style w:type="table" w:customStyle="1" w:styleId="trach2">
    <w:name w:val="trach2"/>
    <w:basedOn w:val="TableNormal"/>
    <w:uiPriority w:val="99"/>
    <w:rsid w:val="00E3767F"/>
    <w:tblPr>
      <w:tblStyleRowBandSize w:val="1"/>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
    <w:tcPr>
      <w:vAlign w:val="center"/>
    </w:tcPr>
    <w:tblStylePr w:type="firstRow">
      <w:pPr>
        <w:wordWrap/>
        <w:spacing w:line="240" w:lineRule="auto"/>
        <w:jc w:val="center"/>
      </w:pPr>
      <w:rPr>
        <w:rFonts w:asciiTheme="majorHAnsi" w:hAnsiTheme="majorHAnsi"/>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BFBFBF" w:themeFill="background1" w:themeFillShade="BF"/>
      </w:tcPr>
    </w:tblStylePr>
    <w:tblStylePr w:type="band2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9D9D9" w:themeFill="background1" w:themeFillShade="D9"/>
      </w:tcPr>
    </w:tblStylePr>
  </w:style>
  <w:style w:type="table" w:customStyle="1" w:styleId="TableGrid3">
    <w:name w:val="Table Grid3"/>
    <w:basedOn w:val="TableNormal"/>
    <w:next w:val="TableGrid"/>
    <w:uiPriority w:val="59"/>
    <w:rsid w:val="00C5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ch3">
    <w:name w:val="trach3"/>
    <w:basedOn w:val="TableNormal"/>
    <w:uiPriority w:val="99"/>
    <w:rsid w:val="00C574D9"/>
    <w:tblPr>
      <w:tblStyleRowBandSize w:val="1"/>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
    <w:tcPr>
      <w:vAlign w:val="center"/>
    </w:tcPr>
    <w:tblStylePr w:type="firstRow">
      <w:pPr>
        <w:wordWrap/>
        <w:spacing w:line="240" w:lineRule="auto"/>
        <w:jc w:val="center"/>
      </w:pPr>
      <w:rPr>
        <w:rFonts w:asciiTheme="majorHAnsi" w:hAnsiTheme="majorHAnsi"/>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BFBFBF" w:themeFill="background1" w:themeFillShade="BF"/>
      </w:tcPr>
    </w:tblStylePr>
    <w:tblStylePr w:type="band2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9D9D9" w:themeFill="background1" w:themeFillShade="D9"/>
      </w:tcPr>
    </w:tblStylePr>
  </w:style>
  <w:style w:type="character" w:styleId="Strong">
    <w:name w:val="Strong"/>
    <w:basedOn w:val="DefaultParagraphFont"/>
    <w:uiPriority w:val="22"/>
    <w:qFormat/>
    <w:rsid w:val="00CF6F2A"/>
    <w:rPr>
      <w:b/>
      <w:bCs/>
    </w:rPr>
  </w:style>
  <w:style w:type="table" w:customStyle="1" w:styleId="trach4">
    <w:name w:val="trach4"/>
    <w:basedOn w:val="TableNormal"/>
    <w:uiPriority w:val="99"/>
    <w:rsid w:val="0021168B"/>
    <w:rPr>
      <w:rFonts w:ascii="Calibri" w:eastAsia="Calibri" w:hAnsi="Calibri" w:cs="Times New Roman"/>
    </w:rPr>
    <w:tblPr>
      <w:tblStyleRowBandSize w:val="1"/>
      <w:tblInd w:w="0" w:type="nil"/>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
    <w:tcPr>
      <w:vAlign w:val="center"/>
    </w:tcPr>
    <w:tblStylePr w:type="firstRow">
      <w:pPr>
        <w:wordWrap/>
        <w:spacing w:line="240" w:lineRule="auto"/>
        <w:jc w:val="center"/>
      </w:pPr>
      <w:rPr>
        <w:rFonts w:ascii="Calibri Light" w:hAnsi="Calibri Light" w:cs="Calibri Light" w:hint="default"/>
        <w:b w:val="0"/>
        <w:sz w:val="24"/>
        <w:szCs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BFBFBF" w:themeFill="background1" w:themeFillShade="BF"/>
      </w:tcPr>
    </w:tblStylePr>
    <w:tblStylePr w:type="band2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9D9D9" w:themeFill="background1" w:themeFillShade="D9"/>
      </w:tcPr>
    </w:tblStylePr>
  </w:style>
  <w:style w:type="paragraph" w:styleId="Bibliography">
    <w:name w:val="Bibliography"/>
    <w:basedOn w:val="Normal"/>
    <w:next w:val="Normal"/>
    <w:uiPriority w:val="37"/>
    <w:unhideWhenUsed/>
    <w:rsid w:val="00A20399"/>
  </w:style>
  <w:style w:type="character" w:customStyle="1" w:styleId="Hyperlink1">
    <w:name w:val="Hyperlink1"/>
    <w:basedOn w:val="DefaultParagraphFont"/>
    <w:uiPriority w:val="99"/>
    <w:unhideWhenUsed/>
    <w:rsid w:val="00EC7117"/>
    <w:rPr>
      <w:color w:val="D25814"/>
      <w:u w:val="single"/>
    </w:rPr>
  </w:style>
  <w:style w:type="paragraph" w:styleId="ListNumber">
    <w:name w:val="List Number"/>
    <w:basedOn w:val="Normal"/>
    <w:uiPriority w:val="99"/>
    <w:unhideWhenUsed/>
    <w:rsid w:val="001B4458"/>
    <w:pPr>
      <w:numPr>
        <w:numId w:val="6"/>
      </w:numPr>
      <w:suppressAutoHyphens/>
      <w:autoSpaceDE w:val="0"/>
      <w:autoSpaceDN w:val="0"/>
      <w:adjustRightInd w:val="0"/>
      <w:spacing w:before="120" w:line="240" w:lineRule="auto"/>
    </w:pPr>
    <w:rPr>
      <w:rFonts w:asciiTheme="minorHAnsi" w:hAnsiTheme="minorHAnsi" w:cstheme="minorHAnsi"/>
      <w:szCs w:val="28"/>
    </w:rPr>
  </w:style>
  <w:style w:type="character" w:styleId="Mention">
    <w:name w:val="Mention"/>
    <w:basedOn w:val="DefaultParagraphFont"/>
    <w:uiPriority w:val="99"/>
    <w:unhideWhenUsed/>
    <w:rsid w:val="00BF1B08"/>
    <w:rPr>
      <w:color w:val="2B579A"/>
      <w:shd w:val="clear" w:color="auto" w:fill="E1DFDD"/>
    </w:rPr>
  </w:style>
  <w:style w:type="paragraph" w:customStyle="1" w:styleId="EndNoteBibliographyTitle">
    <w:name w:val="EndNote Bibliography Title"/>
    <w:basedOn w:val="Normal"/>
    <w:link w:val="EndNoteBibliographyTitleChar"/>
    <w:rsid w:val="00DF524D"/>
    <w:pPr>
      <w:jc w:val="center"/>
    </w:pPr>
    <w:rPr>
      <w:rFonts w:ascii="Calibri Light" w:hAnsi="Calibri Light" w:cs="Calibri Light"/>
      <w:noProof/>
      <w:sz w:val="36"/>
      <w:lang w:val="en-GB"/>
    </w:rPr>
  </w:style>
  <w:style w:type="character" w:customStyle="1" w:styleId="EndNoteBibliographyTitleChar">
    <w:name w:val="EndNote Bibliography Title Char"/>
    <w:basedOn w:val="DefaultParagraphFont"/>
    <w:link w:val="EndNoteBibliographyTitle"/>
    <w:rsid w:val="00DF524D"/>
    <w:rPr>
      <w:rFonts w:ascii="Calibri Light" w:eastAsia="Times New Roman" w:hAnsi="Calibri Light" w:cs="Calibri Light"/>
      <w:noProof/>
      <w:color w:val="675E47" w:themeColor="text2"/>
      <w:sz w:val="36"/>
      <w:szCs w:val="24"/>
      <w:lang w:val="en-GB" w:eastAsia="en-GB"/>
    </w:rPr>
  </w:style>
  <w:style w:type="paragraph" w:customStyle="1" w:styleId="EndNoteBibliography">
    <w:name w:val="EndNote Bibliography"/>
    <w:basedOn w:val="Normal"/>
    <w:link w:val="EndNoteBibliographyChar"/>
    <w:rsid w:val="00DF524D"/>
    <w:pPr>
      <w:spacing w:line="240" w:lineRule="auto"/>
    </w:pPr>
    <w:rPr>
      <w:rFonts w:ascii="Calibri Light" w:hAnsi="Calibri Light" w:cs="Calibri Light"/>
      <w:noProof/>
      <w:sz w:val="36"/>
      <w:lang w:val="en-GB"/>
    </w:rPr>
  </w:style>
  <w:style w:type="character" w:customStyle="1" w:styleId="EndNoteBibliographyChar">
    <w:name w:val="EndNote Bibliography Char"/>
    <w:basedOn w:val="DefaultParagraphFont"/>
    <w:link w:val="EndNoteBibliography"/>
    <w:rsid w:val="00DF524D"/>
    <w:rPr>
      <w:rFonts w:ascii="Calibri Light" w:eastAsia="Times New Roman" w:hAnsi="Calibri Light" w:cs="Calibri Light"/>
      <w:noProof/>
      <w:color w:val="675E47" w:themeColor="text2"/>
      <w:sz w:val="36"/>
      <w:szCs w:val="24"/>
      <w:lang w:val="en-GB" w:eastAsia="en-GB"/>
    </w:rPr>
  </w:style>
  <w:style w:type="paragraph" w:customStyle="1" w:styleId="Default">
    <w:name w:val="Default"/>
    <w:rsid w:val="00134BF0"/>
    <w:pPr>
      <w:autoSpaceDE w:val="0"/>
      <w:autoSpaceDN w:val="0"/>
      <w:adjustRightInd w:val="0"/>
    </w:pPr>
    <w:rPr>
      <w:rFonts w:ascii="Calibri" w:hAnsi="Calibri" w:cs="Calibri"/>
      <w:color w:val="000000"/>
      <w:sz w:val="24"/>
      <w:szCs w:val="24"/>
      <w14:ligatures w14:val="standardContextual"/>
    </w:rPr>
  </w:style>
  <w:style w:type="paragraph" w:customStyle="1" w:styleId="StyleTitle">
    <w:name w:val="Style Title"/>
    <w:basedOn w:val="Title"/>
    <w:rsid w:val="00A33DD2"/>
    <w:pPr>
      <w:spacing w:before="120" w:line="240" w:lineRule="auto"/>
    </w:pPr>
    <w:rPr>
      <w:rFonts w:cstheme="minorHAnsi"/>
    </w:rPr>
  </w:style>
  <w:style w:type="paragraph" w:customStyle="1" w:styleId="Tabletext">
    <w:name w:val="Table text"/>
    <w:basedOn w:val="Normal"/>
    <w:link w:val="TabletextChar"/>
    <w:qFormat/>
    <w:rsid w:val="001B4458"/>
    <w:pPr>
      <w:spacing w:before="60" w:after="60"/>
      <w:jc w:val="center"/>
    </w:pPr>
    <w:rPr>
      <w:sz w:val="21"/>
    </w:rPr>
  </w:style>
  <w:style w:type="character" w:customStyle="1" w:styleId="TabletextChar">
    <w:name w:val="Table text Char"/>
    <w:basedOn w:val="DefaultParagraphFont"/>
    <w:link w:val="Tabletext"/>
    <w:rsid w:val="001B4458"/>
    <w:rPr>
      <w:rFonts w:ascii="Calibri" w:eastAsia="Times New Roman" w:hAnsi="Calibri" w:cs="Times New Roman"/>
      <w:color w:val="675E47" w:themeColor="text2"/>
      <w:sz w:val="21"/>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08">
      <w:bodyDiv w:val="1"/>
      <w:marLeft w:val="0"/>
      <w:marRight w:val="0"/>
      <w:marTop w:val="0"/>
      <w:marBottom w:val="0"/>
      <w:divBdr>
        <w:top w:val="none" w:sz="0" w:space="0" w:color="auto"/>
        <w:left w:val="none" w:sz="0" w:space="0" w:color="auto"/>
        <w:bottom w:val="none" w:sz="0" w:space="0" w:color="auto"/>
        <w:right w:val="none" w:sz="0" w:space="0" w:color="auto"/>
      </w:divBdr>
    </w:div>
    <w:div w:id="7294494">
      <w:bodyDiv w:val="1"/>
      <w:marLeft w:val="0"/>
      <w:marRight w:val="0"/>
      <w:marTop w:val="0"/>
      <w:marBottom w:val="0"/>
      <w:divBdr>
        <w:top w:val="none" w:sz="0" w:space="0" w:color="auto"/>
        <w:left w:val="none" w:sz="0" w:space="0" w:color="auto"/>
        <w:bottom w:val="none" w:sz="0" w:space="0" w:color="auto"/>
        <w:right w:val="none" w:sz="0" w:space="0" w:color="auto"/>
      </w:divBdr>
    </w:div>
    <w:div w:id="13197453">
      <w:bodyDiv w:val="1"/>
      <w:marLeft w:val="0"/>
      <w:marRight w:val="0"/>
      <w:marTop w:val="0"/>
      <w:marBottom w:val="0"/>
      <w:divBdr>
        <w:top w:val="none" w:sz="0" w:space="0" w:color="auto"/>
        <w:left w:val="none" w:sz="0" w:space="0" w:color="auto"/>
        <w:bottom w:val="none" w:sz="0" w:space="0" w:color="auto"/>
        <w:right w:val="none" w:sz="0" w:space="0" w:color="auto"/>
      </w:divBdr>
    </w:div>
    <w:div w:id="15934287">
      <w:bodyDiv w:val="1"/>
      <w:marLeft w:val="0"/>
      <w:marRight w:val="0"/>
      <w:marTop w:val="0"/>
      <w:marBottom w:val="0"/>
      <w:divBdr>
        <w:top w:val="none" w:sz="0" w:space="0" w:color="auto"/>
        <w:left w:val="none" w:sz="0" w:space="0" w:color="auto"/>
        <w:bottom w:val="none" w:sz="0" w:space="0" w:color="auto"/>
        <w:right w:val="none" w:sz="0" w:space="0" w:color="auto"/>
      </w:divBdr>
    </w:div>
    <w:div w:id="17900704">
      <w:bodyDiv w:val="1"/>
      <w:marLeft w:val="0"/>
      <w:marRight w:val="0"/>
      <w:marTop w:val="0"/>
      <w:marBottom w:val="0"/>
      <w:divBdr>
        <w:top w:val="none" w:sz="0" w:space="0" w:color="auto"/>
        <w:left w:val="none" w:sz="0" w:space="0" w:color="auto"/>
        <w:bottom w:val="none" w:sz="0" w:space="0" w:color="auto"/>
        <w:right w:val="none" w:sz="0" w:space="0" w:color="auto"/>
      </w:divBdr>
    </w:div>
    <w:div w:id="22246169">
      <w:bodyDiv w:val="1"/>
      <w:marLeft w:val="0"/>
      <w:marRight w:val="0"/>
      <w:marTop w:val="0"/>
      <w:marBottom w:val="0"/>
      <w:divBdr>
        <w:top w:val="none" w:sz="0" w:space="0" w:color="auto"/>
        <w:left w:val="none" w:sz="0" w:space="0" w:color="auto"/>
        <w:bottom w:val="none" w:sz="0" w:space="0" w:color="auto"/>
        <w:right w:val="none" w:sz="0" w:space="0" w:color="auto"/>
      </w:divBdr>
    </w:div>
    <w:div w:id="22946800">
      <w:bodyDiv w:val="1"/>
      <w:marLeft w:val="0"/>
      <w:marRight w:val="0"/>
      <w:marTop w:val="0"/>
      <w:marBottom w:val="0"/>
      <w:divBdr>
        <w:top w:val="none" w:sz="0" w:space="0" w:color="auto"/>
        <w:left w:val="none" w:sz="0" w:space="0" w:color="auto"/>
        <w:bottom w:val="none" w:sz="0" w:space="0" w:color="auto"/>
        <w:right w:val="none" w:sz="0" w:space="0" w:color="auto"/>
      </w:divBdr>
    </w:div>
    <w:div w:id="25447142">
      <w:bodyDiv w:val="1"/>
      <w:marLeft w:val="0"/>
      <w:marRight w:val="0"/>
      <w:marTop w:val="0"/>
      <w:marBottom w:val="0"/>
      <w:divBdr>
        <w:top w:val="none" w:sz="0" w:space="0" w:color="auto"/>
        <w:left w:val="none" w:sz="0" w:space="0" w:color="auto"/>
        <w:bottom w:val="none" w:sz="0" w:space="0" w:color="auto"/>
        <w:right w:val="none" w:sz="0" w:space="0" w:color="auto"/>
      </w:divBdr>
    </w:div>
    <w:div w:id="26759060">
      <w:bodyDiv w:val="1"/>
      <w:marLeft w:val="0"/>
      <w:marRight w:val="0"/>
      <w:marTop w:val="0"/>
      <w:marBottom w:val="0"/>
      <w:divBdr>
        <w:top w:val="none" w:sz="0" w:space="0" w:color="auto"/>
        <w:left w:val="none" w:sz="0" w:space="0" w:color="auto"/>
        <w:bottom w:val="none" w:sz="0" w:space="0" w:color="auto"/>
        <w:right w:val="none" w:sz="0" w:space="0" w:color="auto"/>
      </w:divBdr>
    </w:div>
    <w:div w:id="28074889">
      <w:bodyDiv w:val="1"/>
      <w:marLeft w:val="0"/>
      <w:marRight w:val="0"/>
      <w:marTop w:val="0"/>
      <w:marBottom w:val="0"/>
      <w:divBdr>
        <w:top w:val="none" w:sz="0" w:space="0" w:color="auto"/>
        <w:left w:val="none" w:sz="0" w:space="0" w:color="auto"/>
        <w:bottom w:val="none" w:sz="0" w:space="0" w:color="auto"/>
        <w:right w:val="none" w:sz="0" w:space="0" w:color="auto"/>
      </w:divBdr>
    </w:div>
    <w:div w:id="29191066">
      <w:bodyDiv w:val="1"/>
      <w:marLeft w:val="0"/>
      <w:marRight w:val="0"/>
      <w:marTop w:val="0"/>
      <w:marBottom w:val="0"/>
      <w:divBdr>
        <w:top w:val="none" w:sz="0" w:space="0" w:color="auto"/>
        <w:left w:val="none" w:sz="0" w:space="0" w:color="auto"/>
        <w:bottom w:val="none" w:sz="0" w:space="0" w:color="auto"/>
        <w:right w:val="none" w:sz="0" w:space="0" w:color="auto"/>
      </w:divBdr>
    </w:div>
    <w:div w:id="39519614">
      <w:bodyDiv w:val="1"/>
      <w:marLeft w:val="0"/>
      <w:marRight w:val="0"/>
      <w:marTop w:val="0"/>
      <w:marBottom w:val="0"/>
      <w:divBdr>
        <w:top w:val="none" w:sz="0" w:space="0" w:color="auto"/>
        <w:left w:val="none" w:sz="0" w:space="0" w:color="auto"/>
        <w:bottom w:val="none" w:sz="0" w:space="0" w:color="auto"/>
        <w:right w:val="none" w:sz="0" w:space="0" w:color="auto"/>
      </w:divBdr>
    </w:div>
    <w:div w:id="56828545">
      <w:bodyDiv w:val="1"/>
      <w:marLeft w:val="0"/>
      <w:marRight w:val="0"/>
      <w:marTop w:val="0"/>
      <w:marBottom w:val="0"/>
      <w:divBdr>
        <w:top w:val="none" w:sz="0" w:space="0" w:color="auto"/>
        <w:left w:val="none" w:sz="0" w:space="0" w:color="auto"/>
        <w:bottom w:val="none" w:sz="0" w:space="0" w:color="auto"/>
        <w:right w:val="none" w:sz="0" w:space="0" w:color="auto"/>
      </w:divBdr>
    </w:div>
    <w:div w:id="64382373">
      <w:bodyDiv w:val="1"/>
      <w:marLeft w:val="0"/>
      <w:marRight w:val="0"/>
      <w:marTop w:val="0"/>
      <w:marBottom w:val="0"/>
      <w:divBdr>
        <w:top w:val="none" w:sz="0" w:space="0" w:color="auto"/>
        <w:left w:val="none" w:sz="0" w:space="0" w:color="auto"/>
        <w:bottom w:val="none" w:sz="0" w:space="0" w:color="auto"/>
        <w:right w:val="none" w:sz="0" w:space="0" w:color="auto"/>
      </w:divBdr>
    </w:div>
    <w:div w:id="64961089">
      <w:bodyDiv w:val="1"/>
      <w:marLeft w:val="0"/>
      <w:marRight w:val="0"/>
      <w:marTop w:val="0"/>
      <w:marBottom w:val="0"/>
      <w:divBdr>
        <w:top w:val="none" w:sz="0" w:space="0" w:color="auto"/>
        <w:left w:val="none" w:sz="0" w:space="0" w:color="auto"/>
        <w:bottom w:val="none" w:sz="0" w:space="0" w:color="auto"/>
        <w:right w:val="none" w:sz="0" w:space="0" w:color="auto"/>
      </w:divBdr>
    </w:div>
    <w:div w:id="65617701">
      <w:bodyDiv w:val="1"/>
      <w:marLeft w:val="0"/>
      <w:marRight w:val="0"/>
      <w:marTop w:val="0"/>
      <w:marBottom w:val="0"/>
      <w:divBdr>
        <w:top w:val="none" w:sz="0" w:space="0" w:color="auto"/>
        <w:left w:val="none" w:sz="0" w:space="0" w:color="auto"/>
        <w:bottom w:val="none" w:sz="0" w:space="0" w:color="auto"/>
        <w:right w:val="none" w:sz="0" w:space="0" w:color="auto"/>
      </w:divBdr>
    </w:div>
    <w:div w:id="67114800">
      <w:bodyDiv w:val="1"/>
      <w:marLeft w:val="0"/>
      <w:marRight w:val="0"/>
      <w:marTop w:val="0"/>
      <w:marBottom w:val="0"/>
      <w:divBdr>
        <w:top w:val="none" w:sz="0" w:space="0" w:color="auto"/>
        <w:left w:val="none" w:sz="0" w:space="0" w:color="auto"/>
        <w:bottom w:val="none" w:sz="0" w:space="0" w:color="auto"/>
        <w:right w:val="none" w:sz="0" w:space="0" w:color="auto"/>
      </w:divBdr>
    </w:div>
    <w:div w:id="68231438">
      <w:bodyDiv w:val="1"/>
      <w:marLeft w:val="0"/>
      <w:marRight w:val="0"/>
      <w:marTop w:val="0"/>
      <w:marBottom w:val="0"/>
      <w:divBdr>
        <w:top w:val="none" w:sz="0" w:space="0" w:color="auto"/>
        <w:left w:val="none" w:sz="0" w:space="0" w:color="auto"/>
        <w:bottom w:val="none" w:sz="0" w:space="0" w:color="auto"/>
        <w:right w:val="none" w:sz="0" w:space="0" w:color="auto"/>
      </w:divBdr>
    </w:div>
    <w:div w:id="69542646">
      <w:bodyDiv w:val="1"/>
      <w:marLeft w:val="0"/>
      <w:marRight w:val="0"/>
      <w:marTop w:val="0"/>
      <w:marBottom w:val="0"/>
      <w:divBdr>
        <w:top w:val="none" w:sz="0" w:space="0" w:color="auto"/>
        <w:left w:val="none" w:sz="0" w:space="0" w:color="auto"/>
        <w:bottom w:val="none" w:sz="0" w:space="0" w:color="auto"/>
        <w:right w:val="none" w:sz="0" w:space="0" w:color="auto"/>
      </w:divBdr>
    </w:div>
    <w:div w:id="70587284">
      <w:bodyDiv w:val="1"/>
      <w:marLeft w:val="0"/>
      <w:marRight w:val="0"/>
      <w:marTop w:val="0"/>
      <w:marBottom w:val="0"/>
      <w:divBdr>
        <w:top w:val="none" w:sz="0" w:space="0" w:color="auto"/>
        <w:left w:val="none" w:sz="0" w:space="0" w:color="auto"/>
        <w:bottom w:val="none" w:sz="0" w:space="0" w:color="auto"/>
        <w:right w:val="none" w:sz="0" w:space="0" w:color="auto"/>
      </w:divBdr>
    </w:div>
    <w:div w:id="71901208">
      <w:bodyDiv w:val="1"/>
      <w:marLeft w:val="0"/>
      <w:marRight w:val="0"/>
      <w:marTop w:val="0"/>
      <w:marBottom w:val="0"/>
      <w:divBdr>
        <w:top w:val="none" w:sz="0" w:space="0" w:color="auto"/>
        <w:left w:val="none" w:sz="0" w:space="0" w:color="auto"/>
        <w:bottom w:val="none" w:sz="0" w:space="0" w:color="auto"/>
        <w:right w:val="none" w:sz="0" w:space="0" w:color="auto"/>
      </w:divBdr>
    </w:div>
    <w:div w:id="75056399">
      <w:bodyDiv w:val="1"/>
      <w:marLeft w:val="0"/>
      <w:marRight w:val="0"/>
      <w:marTop w:val="0"/>
      <w:marBottom w:val="0"/>
      <w:divBdr>
        <w:top w:val="none" w:sz="0" w:space="0" w:color="auto"/>
        <w:left w:val="none" w:sz="0" w:space="0" w:color="auto"/>
        <w:bottom w:val="none" w:sz="0" w:space="0" w:color="auto"/>
        <w:right w:val="none" w:sz="0" w:space="0" w:color="auto"/>
      </w:divBdr>
    </w:div>
    <w:div w:id="76295283">
      <w:bodyDiv w:val="1"/>
      <w:marLeft w:val="0"/>
      <w:marRight w:val="0"/>
      <w:marTop w:val="0"/>
      <w:marBottom w:val="0"/>
      <w:divBdr>
        <w:top w:val="none" w:sz="0" w:space="0" w:color="auto"/>
        <w:left w:val="none" w:sz="0" w:space="0" w:color="auto"/>
        <w:bottom w:val="none" w:sz="0" w:space="0" w:color="auto"/>
        <w:right w:val="none" w:sz="0" w:space="0" w:color="auto"/>
      </w:divBdr>
    </w:div>
    <w:div w:id="80950223">
      <w:bodyDiv w:val="1"/>
      <w:marLeft w:val="0"/>
      <w:marRight w:val="0"/>
      <w:marTop w:val="0"/>
      <w:marBottom w:val="0"/>
      <w:divBdr>
        <w:top w:val="none" w:sz="0" w:space="0" w:color="auto"/>
        <w:left w:val="none" w:sz="0" w:space="0" w:color="auto"/>
        <w:bottom w:val="none" w:sz="0" w:space="0" w:color="auto"/>
        <w:right w:val="none" w:sz="0" w:space="0" w:color="auto"/>
      </w:divBdr>
    </w:div>
    <w:div w:id="86392036">
      <w:bodyDiv w:val="1"/>
      <w:marLeft w:val="0"/>
      <w:marRight w:val="0"/>
      <w:marTop w:val="0"/>
      <w:marBottom w:val="0"/>
      <w:divBdr>
        <w:top w:val="none" w:sz="0" w:space="0" w:color="auto"/>
        <w:left w:val="none" w:sz="0" w:space="0" w:color="auto"/>
        <w:bottom w:val="none" w:sz="0" w:space="0" w:color="auto"/>
        <w:right w:val="none" w:sz="0" w:space="0" w:color="auto"/>
      </w:divBdr>
    </w:div>
    <w:div w:id="92748902">
      <w:bodyDiv w:val="1"/>
      <w:marLeft w:val="0"/>
      <w:marRight w:val="0"/>
      <w:marTop w:val="0"/>
      <w:marBottom w:val="0"/>
      <w:divBdr>
        <w:top w:val="none" w:sz="0" w:space="0" w:color="auto"/>
        <w:left w:val="none" w:sz="0" w:space="0" w:color="auto"/>
        <w:bottom w:val="none" w:sz="0" w:space="0" w:color="auto"/>
        <w:right w:val="none" w:sz="0" w:space="0" w:color="auto"/>
      </w:divBdr>
    </w:div>
    <w:div w:id="92895133">
      <w:bodyDiv w:val="1"/>
      <w:marLeft w:val="0"/>
      <w:marRight w:val="0"/>
      <w:marTop w:val="0"/>
      <w:marBottom w:val="0"/>
      <w:divBdr>
        <w:top w:val="none" w:sz="0" w:space="0" w:color="auto"/>
        <w:left w:val="none" w:sz="0" w:space="0" w:color="auto"/>
        <w:bottom w:val="none" w:sz="0" w:space="0" w:color="auto"/>
        <w:right w:val="none" w:sz="0" w:space="0" w:color="auto"/>
      </w:divBdr>
    </w:div>
    <w:div w:id="93672008">
      <w:bodyDiv w:val="1"/>
      <w:marLeft w:val="0"/>
      <w:marRight w:val="0"/>
      <w:marTop w:val="0"/>
      <w:marBottom w:val="0"/>
      <w:divBdr>
        <w:top w:val="none" w:sz="0" w:space="0" w:color="auto"/>
        <w:left w:val="none" w:sz="0" w:space="0" w:color="auto"/>
        <w:bottom w:val="none" w:sz="0" w:space="0" w:color="auto"/>
        <w:right w:val="none" w:sz="0" w:space="0" w:color="auto"/>
      </w:divBdr>
    </w:div>
    <w:div w:id="97410665">
      <w:bodyDiv w:val="1"/>
      <w:marLeft w:val="0"/>
      <w:marRight w:val="0"/>
      <w:marTop w:val="0"/>
      <w:marBottom w:val="0"/>
      <w:divBdr>
        <w:top w:val="none" w:sz="0" w:space="0" w:color="auto"/>
        <w:left w:val="none" w:sz="0" w:space="0" w:color="auto"/>
        <w:bottom w:val="none" w:sz="0" w:space="0" w:color="auto"/>
        <w:right w:val="none" w:sz="0" w:space="0" w:color="auto"/>
      </w:divBdr>
    </w:div>
    <w:div w:id="97681032">
      <w:bodyDiv w:val="1"/>
      <w:marLeft w:val="0"/>
      <w:marRight w:val="0"/>
      <w:marTop w:val="0"/>
      <w:marBottom w:val="0"/>
      <w:divBdr>
        <w:top w:val="none" w:sz="0" w:space="0" w:color="auto"/>
        <w:left w:val="none" w:sz="0" w:space="0" w:color="auto"/>
        <w:bottom w:val="none" w:sz="0" w:space="0" w:color="auto"/>
        <w:right w:val="none" w:sz="0" w:space="0" w:color="auto"/>
      </w:divBdr>
    </w:div>
    <w:div w:id="104472161">
      <w:bodyDiv w:val="1"/>
      <w:marLeft w:val="0"/>
      <w:marRight w:val="0"/>
      <w:marTop w:val="0"/>
      <w:marBottom w:val="0"/>
      <w:divBdr>
        <w:top w:val="none" w:sz="0" w:space="0" w:color="auto"/>
        <w:left w:val="none" w:sz="0" w:space="0" w:color="auto"/>
        <w:bottom w:val="none" w:sz="0" w:space="0" w:color="auto"/>
        <w:right w:val="none" w:sz="0" w:space="0" w:color="auto"/>
      </w:divBdr>
    </w:div>
    <w:div w:id="108664864">
      <w:bodyDiv w:val="1"/>
      <w:marLeft w:val="0"/>
      <w:marRight w:val="0"/>
      <w:marTop w:val="0"/>
      <w:marBottom w:val="0"/>
      <w:divBdr>
        <w:top w:val="none" w:sz="0" w:space="0" w:color="auto"/>
        <w:left w:val="none" w:sz="0" w:space="0" w:color="auto"/>
        <w:bottom w:val="none" w:sz="0" w:space="0" w:color="auto"/>
        <w:right w:val="none" w:sz="0" w:space="0" w:color="auto"/>
      </w:divBdr>
    </w:div>
    <w:div w:id="111023386">
      <w:bodyDiv w:val="1"/>
      <w:marLeft w:val="0"/>
      <w:marRight w:val="0"/>
      <w:marTop w:val="0"/>
      <w:marBottom w:val="0"/>
      <w:divBdr>
        <w:top w:val="none" w:sz="0" w:space="0" w:color="auto"/>
        <w:left w:val="none" w:sz="0" w:space="0" w:color="auto"/>
        <w:bottom w:val="none" w:sz="0" w:space="0" w:color="auto"/>
        <w:right w:val="none" w:sz="0" w:space="0" w:color="auto"/>
      </w:divBdr>
    </w:div>
    <w:div w:id="115300494">
      <w:bodyDiv w:val="1"/>
      <w:marLeft w:val="0"/>
      <w:marRight w:val="0"/>
      <w:marTop w:val="0"/>
      <w:marBottom w:val="0"/>
      <w:divBdr>
        <w:top w:val="none" w:sz="0" w:space="0" w:color="auto"/>
        <w:left w:val="none" w:sz="0" w:space="0" w:color="auto"/>
        <w:bottom w:val="none" w:sz="0" w:space="0" w:color="auto"/>
        <w:right w:val="none" w:sz="0" w:space="0" w:color="auto"/>
      </w:divBdr>
    </w:div>
    <w:div w:id="122845907">
      <w:bodyDiv w:val="1"/>
      <w:marLeft w:val="0"/>
      <w:marRight w:val="0"/>
      <w:marTop w:val="0"/>
      <w:marBottom w:val="0"/>
      <w:divBdr>
        <w:top w:val="none" w:sz="0" w:space="0" w:color="auto"/>
        <w:left w:val="none" w:sz="0" w:space="0" w:color="auto"/>
        <w:bottom w:val="none" w:sz="0" w:space="0" w:color="auto"/>
        <w:right w:val="none" w:sz="0" w:space="0" w:color="auto"/>
      </w:divBdr>
    </w:div>
    <w:div w:id="124393201">
      <w:bodyDiv w:val="1"/>
      <w:marLeft w:val="0"/>
      <w:marRight w:val="0"/>
      <w:marTop w:val="0"/>
      <w:marBottom w:val="0"/>
      <w:divBdr>
        <w:top w:val="none" w:sz="0" w:space="0" w:color="auto"/>
        <w:left w:val="none" w:sz="0" w:space="0" w:color="auto"/>
        <w:bottom w:val="none" w:sz="0" w:space="0" w:color="auto"/>
        <w:right w:val="none" w:sz="0" w:space="0" w:color="auto"/>
      </w:divBdr>
    </w:div>
    <w:div w:id="125319659">
      <w:bodyDiv w:val="1"/>
      <w:marLeft w:val="0"/>
      <w:marRight w:val="0"/>
      <w:marTop w:val="0"/>
      <w:marBottom w:val="0"/>
      <w:divBdr>
        <w:top w:val="none" w:sz="0" w:space="0" w:color="auto"/>
        <w:left w:val="none" w:sz="0" w:space="0" w:color="auto"/>
        <w:bottom w:val="none" w:sz="0" w:space="0" w:color="auto"/>
        <w:right w:val="none" w:sz="0" w:space="0" w:color="auto"/>
      </w:divBdr>
    </w:div>
    <w:div w:id="134877447">
      <w:bodyDiv w:val="1"/>
      <w:marLeft w:val="0"/>
      <w:marRight w:val="0"/>
      <w:marTop w:val="0"/>
      <w:marBottom w:val="0"/>
      <w:divBdr>
        <w:top w:val="none" w:sz="0" w:space="0" w:color="auto"/>
        <w:left w:val="none" w:sz="0" w:space="0" w:color="auto"/>
        <w:bottom w:val="none" w:sz="0" w:space="0" w:color="auto"/>
        <w:right w:val="none" w:sz="0" w:space="0" w:color="auto"/>
      </w:divBdr>
    </w:div>
    <w:div w:id="137890728">
      <w:bodyDiv w:val="1"/>
      <w:marLeft w:val="0"/>
      <w:marRight w:val="0"/>
      <w:marTop w:val="0"/>
      <w:marBottom w:val="0"/>
      <w:divBdr>
        <w:top w:val="none" w:sz="0" w:space="0" w:color="auto"/>
        <w:left w:val="none" w:sz="0" w:space="0" w:color="auto"/>
        <w:bottom w:val="none" w:sz="0" w:space="0" w:color="auto"/>
        <w:right w:val="none" w:sz="0" w:space="0" w:color="auto"/>
      </w:divBdr>
    </w:div>
    <w:div w:id="139812287">
      <w:bodyDiv w:val="1"/>
      <w:marLeft w:val="0"/>
      <w:marRight w:val="0"/>
      <w:marTop w:val="0"/>
      <w:marBottom w:val="0"/>
      <w:divBdr>
        <w:top w:val="none" w:sz="0" w:space="0" w:color="auto"/>
        <w:left w:val="none" w:sz="0" w:space="0" w:color="auto"/>
        <w:bottom w:val="none" w:sz="0" w:space="0" w:color="auto"/>
        <w:right w:val="none" w:sz="0" w:space="0" w:color="auto"/>
      </w:divBdr>
    </w:div>
    <w:div w:id="152374578">
      <w:bodyDiv w:val="1"/>
      <w:marLeft w:val="0"/>
      <w:marRight w:val="0"/>
      <w:marTop w:val="0"/>
      <w:marBottom w:val="0"/>
      <w:divBdr>
        <w:top w:val="none" w:sz="0" w:space="0" w:color="auto"/>
        <w:left w:val="none" w:sz="0" w:space="0" w:color="auto"/>
        <w:bottom w:val="none" w:sz="0" w:space="0" w:color="auto"/>
        <w:right w:val="none" w:sz="0" w:space="0" w:color="auto"/>
      </w:divBdr>
    </w:div>
    <w:div w:id="153028836">
      <w:bodyDiv w:val="1"/>
      <w:marLeft w:val="0"/>
      <w:marRight w:val="0"/>
      <w:marTop w:val="0"/>
      <w:marBottom w:val="0"/>
      <w:divBdr>
        <w:top w:val="none" w:sz="0" w:space="0" w:color="auto"/>
        <w:left w:val="none" w:sz="0" w:space="0" w:color="auto"/>
        <w:bottom w:val="none" w:sz="0" w:space="0" w:color="auto"/>
        <w:right w:val="none" w:sz="0" w:space="0" w:color="auto"/>
      </w:divBdr>
    </w:div>
    <w:div w:id="153424430">
      <w:bodyDiv w:val="1"/>
      <w:marLeft w:val="0"/>
      <w:marRight w:val="0"/>
      <w:marTop w:val="0"/>
      <w:marBottom w:val="0"/>
      <w:divBdr>
        <w:top w:val="none" w:sz="0" w:space="0" w:color="auto"/>
        <w:left w:val="none" w:sz="0" w:space="0" w:color="auto"/>
        <w:bottom w:val="none" w:sz="0" w:space="0" w:color="auto"/>
        <w:right w:val="none" w:sz="0" w:space="0" w:color="auto"/>
      </w:divBdr>
    </w:div>
    <w:div w:id="155079259">
      <w:bodyDiv w:val="1"/>
      <w:marLeft w:val="0"/>
      <w:marRight w:val="0"/>
      <w:marTop w:val="0"/>
      <w:marBottom w:val="0"/>
      <w:divBdr>
        <w:top w:val="none" w:sz="0" w:space="0" w:color="auto"/>
        <w:left w:val="none" w:sz="0" w:space="0" w:color="auto"/>
        <w:bottom w:val="none" w:sz="0" w:space="0" w:color="auto"/>
        <w:right w:val="none" w:sz="0" w:space="0" w:color="auto"/>
      </w:divBdr>
    </w:div>
    <w:div w:id="155802085">
      <w:bodyDiv w:val="1"/>
      <w:marLeft w:val="0"/>
      <w:marRight w:val="0"/>
      <w:marTop w:val="0"/>
      <w:marBottom w:val="0"/>
      <w:divBdr>
        <w:top w:val="none" w:sz="0" w:space="0" w:color="auto"/>
        <w:left w:val="none" w:sz="0" w:space="0" w:color="auto"/>
        <w:bottom w:val="none" w:sz="0" w:space="0" w:color="auto"/>
        <w:right w:val="none" w:sz="0" w:space="0" w:color="auto"/>
      </w:divBdr>
    </w:div>
    <w:div w:id="175198766">
      <w:bodyDiv w:val="1"/>
      <w:marLeft w:val="0"/>
      <w:marRight w:val="0"/>
      <w:marTop w:val="0"/>
      <w:marBottom w:val="0"/>
      <w:divBdr>
        <w:top w:val="none" w:sz="0" w:space="0" w:color="auto"/>
        <w:left w:val="none" w:sz="0" w:space="0" w:color="auto"/>
        <w:bottom w:val="none" w:sz="0" w:space="0" w:color="auto"/>
        <w:right w:val="none" w:sz="0" w:space="0" w:color="auto"/>
      </w:divBdr>
    </w:div>
    <w:div w:id="183062048">
      <w:bodyDiv w:val="1"/>
      <w:marLeft w:val="0"/>
      <w:marRight w:val="0"/>
      <w:marTop w:val="0"/>
      <w:marBottom w:val="0"/>
      <w:divBdr>
        <w:top w:val="none" w:sz="0" w:space="0" w:color="auto"/>
        <w:left w:val="none" w:sz="0" w:space="0" w:color="auto"/>
        <w:bottom w:val="none" w:sz="0" w:space="0" w:color="auto"/>
        <w:right w:val="none" w:sz="0" w:space="0" w:color="auto"/>
      </w:divBdr>
    </w:div>
    <w:div w:id="184444449">
      <w:bodyDiv w:val="1"/>
      <w:marLeft w:val="0"/>
      <w:marRight w:val="0"/>
      <w:marTop w:val="0"/>
      <w:marBottom w:val="0"/>
      <w:divBdr>
        <w:top w:val="none" w:sz="0" w:space="0" w:color="auto"/>
        <w:left w:val="none" w:sz="0" w:space="0" w:color="auto"/>
        <w:bottom w:val="none" w:sz="0" w:space="0" w:color="auto"/>
        <w:right w:val="none" w:sz="0" w:space="0" w:color="auto"/>
      </w:divBdr>
    </w:div>
    <w:div w:id="185025227">
      <w:bodyDiv w:val="1"/>
      <w:marLeft w:val="0"/>
      <w:marRight w:val="0"/>
      <w:marTop w:val="0"/>
      <w:marBottom w:val="0"/>
      <w:divBdr>
        <w:top w:val="none" w:sz="0" w:space="0" w:color="auto"/>
        <w:left w:val="none" w:sz="0" w:space="0" w:color="auto"/>
        <w:bottom w:val="none" w:sz="0" w:space="0" w:color="auto"/>
        <w:right w:val="none" w:sz="0" w:space="0" w:color="auto"/>
      </w:divBdr>
    </w:div>
    <w:div w:id="188103150">
      <w:bodyDiv w:val="1"/>
      <w:marLeft w:val="0"/>
      <w:marRight w:val="0"/>
      <w:marTop w:val="0"/>
      <w:marBottom w:val="0"/>
      <w:divBdr>
        <w:top w:val="none" w:sz="0" w:space="0" w:color="auto"/>
        <w:left w:val="none" w:sz="0" w:space="0" w:color="auto"/>
        <w:bottom w:val="none" w:sz="0" w:space="0" w:color="auto"/>
        <w:right w:val="none" w:sz="0" w:space="0" w:color="auto"/>
      </w:divBdr>
    </w:div>
    <w:div w:id="189147031">
      <w:bodyDiv w:val="1"/>
      <w:marLeft w:val="0"/>
      <w:marRight w:val="0"/>
      <w:marTop w:val="0"/>
      <w:marBottom w:val="0"/>
      <w:divBdr>
        <w:top w:val="none" w:sz="0" w:space="0" w:color="auto"/>
        <w:left w:val="none" w:sz="0" w:space="0" w:color="auto"/>
        <w:bottom w:val="none" w:sz="0" w:space="0" w:color="auto"/>
        <w:right w:val="none" w:sz="0" w:space="0" w:color="auto"/>
      </w:divBdr>
    </w:div>
    <w:div w:id="196090995">
      <w:bodyDiv w:val="1"/>
      <w:marLeft w:val="0"/>
      <w:marRight w:val="0"/>
      <w:marTop w:val="0"/>
      <w:marBottom w:val="0"/>
      <w:divBdr>
        <w:top w:val="none" w:sz="0" w:space="0" w:color="auto"/>
        <w:left w:val="none" w:sz="0" w:space="0" w:color="auto"/>
        <w:bottom w:val="none" w:sz="0" w:space="0" w:color="auto"/>
        <w:right w:val="none" w:sz="0" w:space="0" w:color="auto"/>
      </w:divBdr>
    </w:div>
    <w:div w:id="196429046">
      <w:bodyDiv w:val="1"/>
      <w:marLeft w:val="0"/>
      <w:marRight w:val="0"/>
      <w:marTop w:val="0"/>
      <w:marBottom w:val="0"/>
      <w:divBdr>
        <w:top w:val="none" w:sz="0" w:space="0" w:color="auto"/>
        <w:left w:val="none" w:sz="0" w:space="0" w:color="auto"/>
        <w:bottom w:val="none" w:sz="0" w:space="0" w:color="auto"/>
        <w:right w:val="none" w:sz="0" w:space="0" w:color="auto"/>
      </w:divBdr>
    </w:div>
    <w:div w:id="196546089">
      <w:bodyDiv w:val="1"/>
      <w:marLeft w:val="0"/>
      <w:marRight w:val="0"/>
      <w:marTop w:val="0"/>
      <w:marBottom w:val="0"/>
      <w:divBdr>
        <w:top w:val="none" w:sz="0" w:space="0" w:color="auto"/>
        <w:left w:val="none" w:sz="0" w:space="0" w:color="auto"/>
        <w:bottom w:val="none" w:sz="0" w:space="0" w:color="auto"/>
        <w:right w:val="none" w:sz="0" w:space="0" w:color="auto"/>
      </w:divBdr>
    </w:div>
    <w:div w:id="198469397">
      <w:bodyDiv w:val="1"/>
      <w:marLeft w:val="0"/>
      <w:marRight w:val="0"/>
      <w:marTop w:val="0"/>
      <w:marBottom w:val="0"/>
      <w:divBdr>
        <w:top w:val="none" w:sz="0" w:space="0" w:color="auto"/>
        <w:left w:val="none" w:sz="0" w:space="0" w:color="auto"/>
        <w:bottom w:val="none" w:sz="0" w:space="0" w:color="auto"/>
        <w:right w:val="none" w:sz="0" w:space="0" w:color="auto"/>
      </w:divBdr>
    </w:div>
    <w:div w:id="204217904">
      <w:bodyDiv w:val="1"/>
      <w:marLeft w:val="0"/>
      <w:marRight w:val="0"/>
      <w:marTop w:val="0"/>
      <w:marBottom w:val="0"/>
      <w:divBdr>
        <w:top w:val="none" w:sz="0" w:space="0" w:color="auto"/>
        <w:left w:val="none" w:sz="0" w:space="0" w:color="auto"/>
        <w:bottom w:val="none" w:sz="0" w:space="0" w:color="auto"/>
        <w:right w:val="none" w:sz="0" w:space="0" w:color="auto"/>
      </w:divBdr>
    </w:div>
    <w:div w:id="205068420">
      <w:bodyDiv w:val="1"/>
      <w:marLeft w:val="0"/>
      <w:marRight w:val="0"/>
      <w:marTop w:val="0"/>
      <w:marBottom w:val="0"/>
      <w:divBdr>
        <w:top w:val="none" w:sz="0" w:space="0" w:color="auto"/>
        <w:left w:val="none" w:sz="0" w:space="0" w:color="auto"/>
        <w:bottom w:val="none" w:sz="0" w:space="0" w:color="auto"/>
        <w:right w:val="none" w:sz="0" w:space="0" w:color="auto"/>
      </w:divBdr>
    </w:div>
    <w:div w:id="211116325">
      <w:bodyDiv w:val="1"/>
      <w:marLeft w:val="0"/>
      <w:marRight w:val="0"/>
      <w:marTop w:val="0"/>
      <w:marBottom w:val="0"/>
      <w:divBdr>
        <w:top w:val="none" w:sz="0" w:space="0" w:color="auto"/>
        <w:left w:val="none" w:sz="0" w:space="0" w:color="auto"/>
        <w:bottom w:val="none" w:sz="0" w:space="0" w:color="auto"/>
        <w:right w:val="none" w:sz="0" w:space="0" w:color="auto"/>
      </w:divBdr>
    </w:div>
    <w:div w:id="212810922">
      <w:bodyDiv w:val="1"/>
      <w:marLeft w:val="0"/>
      <w:marRight w:val="0"/>
      <w:marTop w:val="0"/>
      <w:marBottom w:val="0"/>
      <w:divBdr>
        <w:top w:val="none" w:sz="0" w:space="0" w:color="auto"/>
        <w:left w:val="none" w:sz="0" w:space="0" w:color="auto"/>
        <w:bottom w:val="none" w:sz="0" w:space="0" w:color="auto"/>
        <w:right w:val="none" w:sz="0" w:space="0" w:color="auto"/>
      </w:divBdr>
    </w:div>
    <w:div w:id="216859680">
      <w:bodyDiv w:val="1"/>
      <w:marLeft w:val="0"/>
      <w:marRight w:val="0"/>
      <w:marTop w:val="0"/>
      <w:marBottom w:val="0"/>
      <w:divBdr>
        <w:top w:val="none" w:sz="0" w:space="0" w:color="auto"/>
        <w:left w:val="none" w:sz="0" w:space="0" w:color="auto"/>
        <w:bottom w:val="none" w:sz="0" w:space="0" w:color="auto"/>
        <w:right w:val="none" w:sz="0" w:space="0" w:color="auto"/>
      </w:divBdr>
    </w:div>
    <w:div w:id="217712086">
      <w:bodyDiv w:val="1"/>
      <w:marLeft w:val="0"/>
      <w:marRight w:val="0"/>
      <w:marTop w:val="0"/>
      <w:marBottom w:val="0"/>
      <w:divBdr>
        <w:top w:val="none" w:sz="0" w:space="0" w:color="auto"/>
        <w:left w:val="none" w:sz="0" w:space="0" w:color="auto"/>
        <w:bottom w:val="none" w:sz="0" w:space="0" w:color="auto"/>
        <w:right w:val="none" w:sz="0" w:space="0" w:color="auto"/>
      </w:divBdr>
    </w:div>
    <w:div w:id="220360815">
      <w:bodyDiv w:val="1"/>
      <w:marLeft w:val="0"/>
      <w:marRight w:val="0"/>
      <w:marTop w:val="0"/>
      <w:marBottom w:val="0"/>
      <w:divBdr>
        <w:top w:val="none" w:sz="0" w:space="0" w:color="auto"/>
        <w:left w:val="none" w:sz="0" w:space="0" w:color="auto"/>
        <w:bottom w:val="none" w:sz="0" w:space="0" w:color="auto"/>
        <w:right w:val="none" w:sz="0" w:space="0" w:color="auto"/>
      </w:divBdr>
    </w:div>
    <w:div w:id="221059169">
      <w:bodyDiv w:val="1"/>
      <w:marLeft w:val="0"/>
      <w:marRight w:val="0"/>
      <w:marTop w:val="0"/>
      <w:marBottom w:val="0"/>
      <w:divBdr>
        <w:top w:val="none" w:sz="0" w:space="0" w:color="auto"/>
        <w:left w:val="none" w:sz="0" w:space="0" w:color="auto"/>
        <w:bottom w:val="none" w:sz="0" w:space="0" w:color="auto"/>
        <w:right w:val="none" w:sz="0" w:space="0" w:color="auto"/>
      </w:divBdr>
    </w:div>
    <w:div w:id="224336985">
      <w:bodyDiv w:val="1"/>
      <w:marLeft w:val="0"/>
      <w:marRight w:val="0"/>
      <w:marTop w:val="0"/>
      <w:marBottom w:val="0"/>
      <w:divBdr>
        <w:top w:val="none" w:sz="0" w:space="0" w:color="auto"/>
        <w:left w:val="none" w:sz="0" w:space="0" w:color="auto"/>
        <w:bottom w:val="none" w:sz="0" w:space="0" w:color="auto"/>
        <w:right w:val="none" w:sz="0" w:space="0" w:color="auto"/>
      </w:divBdr>
    </w:div>
    <w:div w:id="224730210">
      <w:bodyDiv w:val="1"/>
      <w:marLeft w:val="0"/>
      <w:marRight w:val="0"/>
      <w:marTop w:val="0"/>
      <w:marBottom w:val="0"/>
      <w:divBdr>
        <w:top w:val="none" w:sz="0" w:space="0" w:color="auto"/>
        <w:left w:val="none" w:sz="0" w:space="0" w:color="auto"/>
        <w:bottom w:val="none" w:sz="0" w:space="0" w:color="auto"/>
        <w:right w:val="none" w:sz="0" w:space="0" w:color="auto"/>
      </w:divBdr>
    </w:div>
    <w:div w:id="226035570">
      <w:bodyDiv w:val="1"/>
      <w:marLeft w:val="0"/>
      <w:marRight w:val="0"/>
      <w:marTop w:val="0"/>
      <w:marBottom w:val="0"/>
      <w:divBdr>
        <w:top w:val="none" w:sz="0" w:space="0" w:color="auto"/>
        <w:left w:val="none" w:sz="0" w:space="0" w:color="auto"/>
        <w:bottom w:val="none" w:sz="0" w:space="0" w:color="auto"/>
        <w:right w:val="none" w:sz="0" w:space="0" w:color="auto"/>
      </w:divBdr>
    </w:div>
    <w:div w:id="230583706">
      <w:bodyDiv w:val="1"/>
      <w:marLeft w:val="0"/>
      <w:marRight w:val="0"/>
      <w:marTop w:val="0"/>
      <w:marBottom w:val="0"/>
      <w:divBdr>
        <w:top w:val="none" w:sz="0" w:space="0" w:color="auto"/>
        <w:left w:val="none" w:sz="0" w:space="0" w:color="auto"/>
        <w:bottom w:val="none" w:sz="0" w:space="0" w:color="auto"/>
        <w:right w:val="none" w:sz="0" w:space="0" w:color="auto"/>
      </w:divBdr>
    </w:div>
    <w:div w:id="233661979">
      <w:bodyDiv w:val="1"/>
      <w:marLeft w:val="0"/>
      <w:marRight w:val="0"/>
      <w:marTop w:val="0"/>
      <w:marBottom w:val="0"/>
      <w:divBdr>
        <w:top w:val="none" w:sz="0" w:space="0" w:color="auto"/>
        <w:left w:val="none" w:sz="0" w:space="0" w:color="auto"/>
        <w:bottom w:val="none" w:sz="0" w:space="0" w:color="auto"/>
        <w:right w:val="none" w:sz="0" w:space="0" w:color="auto"/>
      </w:divBdr>
    </w:div>
    <w:div w:id="242181193">
      <w:bodyDiv w:val="1"/>
      <w:marLeft w:val="0"/>
      <w:marRight w:val="0"/>
      <w:marTop w:val="0"/>
      <w:marBottom w:val="0"/>
      <w:divBdr>
        <w:top w:val="none" w:sz="0" w:space="0" w:color="auto"/>
        <w:left w:val="none" w:sz="0" w:space="0" w:color="auto"/>
        <w:bottom w:val="none" w:sz="0" w:space="0" w:color="auto"/>
        <w:right w:val="none" w:sz="0" w:space="0" w:color="auto"/>
      </w:divBdr>
    </w:div>
    <w:div w:id="245457443">
      <w:bodyDiv w:val="1"/>
      <w:marLeft w:val="0"/>
      <w:marRight w:val="0"/>
      <w:marTop w:val="0"/>
      <w:marBottom w:val="0"/>
      <w:divBdr>
        <w:top w:val="none" w:sz="0" w:space="0" w:color="auto"/>
        <w:left w:val="none" w:sz="0" w:space="0" w:color="auto"/>
        <w:bottom w:val="none" w:sz="0" w:space="0" w:color="auto"/>
        <w:right w:val="none" w:sz="0" w:space="0" w:color="auto"/>
      </w:divBdr>
    </w:div>
    <w:div w:id="246769868">
      <w:bodyDiv w:val="1"/>
      <w:marLeft w:val="0"/>
      <w:marRight w:val="0"/>
      <w:marTop w:val="0"/>
      <w:marBottom w:val="0"/>
      <w:divBdr>
        <w:top w:val="none" w:sz="0" w:space="0" w:color="auto"/>
        <w:left w:val="none" w:sz="0" w:space="0" w:color="auto"/>
        <w:bottom w:val="none" w:sz="0" w:space="0" w:color="auto"/>
        <w:right w:val="none" w:sz="0" w:space="0" w:color="auto"/>
      </w:divBdr>
    </w:div>
    <w:div w:id="247661926">
      <w:bodyDiv w:val="1"/>
      <w:marLeft w:val="0"/>
      <w:marRight w:val="0"/>
      <w:marTop w:val="0"/>
      <w:marBottom w:val="0"/>
      <w:divBdr>
        <w:top w:val="none" w:sz="0" w:space="0" w:color="auto"/>
        <w:left w:val="none" w:sz="0" w:space="0" w:color="auto"/>
        <w:bottom w:val="none" w:sz="0" w:space="0" w:color="auto"/>
        <w:right w:val="none" w:sz="0" w:space="0" w:color="auto"/>
      </w:divBdr>
    </w:div>
    <w:div w:id="248079723">
      <w:bodyDiv w:val="1"/>
      <w:marLeft w:val="0"/>
      <w:marRight w:val="0"/>
      <w:marTop w:val="0"/>
      <w:marBottom w:val="0"/>
      <w:divBdr>
        <w:top w:val="none" w:sz="0" w:space="0" w:color="auto"/>
        <w:left w:val="none" w:sz="0" w:space="0" w:color="auto"/>
        <w:bottom w:val="none" w:sz="0" w:space="0" w:color="auto"/>
        <w:right w:val="none" w:sz="0" w:space="0" w:color="auto"/>
      </w:divBdr>
    </w:div>
    <w:div w:id="249240456">
      <w:bodyDiv w:val="1"/>
      <w:marLeft w:val="0"/>
      <w:marRight w:val="0"/>
      <w:marTop w:val="0"/>
      <w:marBottom w:val="0"/>
      <w:divBdr>
        <w:top w:val="none" w:sz="0" w:space="0" w:color="auto"/>
        <w:left w:val="none" w:sz="0" w:space="0" w:color="auto"/>
        <w:bottom w:val="none" w:sz="0" w:space="0" w:color="auto"/>
        <w:right w:val="none" w:sz="0" w:space="0" w:color="auto"/>
      </w:divBdr>
    </w:div>
    <w:div w:id="250699582">
      <w:bodyDiv w:val="1"/>
      <w:marLeft w:val="0"/>
      <w:marRight w:val="0"/>
      <w:marTop w:val="0"/>
      <w:marBottom w:val="0"/>
      <w:divBdr>
        <w:top w:val="none" w:sz="0" w:space="0" w:color="auto"/>
        <w:left w:val="none" w:sz="0" w:space="0" w:color="auto"/>
        <w:bottom w:val="none" w:sz="0" w:space="0" w:color="auto"/>
        <w:right w:val="none" w:sz="0" w:space="0" w:color="auto"/>
      </w:divBdr>
    </w:div>
    <w:div w:id="251473932">
      <w:bodyDiv w:val="1"/>
      <w:marLeft w:val="0"/>
      <w:marRight w:val="0"/>
      <w:marTop w:val="0"/>
      <w:marBottom w:val="0"/>
      <w:divBdr>
        <w:top w:val="none" w:sz="0" w:space="0" w:color="auto"/>
        <w:left w:val="none" w:sz="0" w:space="0" w:color="auto"/>
        <w:bottom w:val="none" w:sz="0" w:space="0" w:color="auto"/>
        <w:right w:val="none" w:sz="0" w:space="0" w:color="auto"/>
      </w:divBdr>
    </w:div>
    <w:div w:id="257518033">
      <w:bodyDiv w:val="1"/>
      <w:marLeft w:val="0"/>
      <w:marRight w:val="0"/>
      <w:marTop w:val="0"/>
      <w:marBottom w:val="0"/>
      <w:divBdr>
        <w:top w:val="none" w:sz="0" w:space="0" w:color="auto"/>
        <w:left w:val="none" w:sz="0" w:space="0" w:color="auto"/>
        <w:bottom w:val="none" w:sz="0" w:space="0" w:color="auto"/>
        <w:right w:val="none" w:sz="0" w:space="0" w:color="auto"/>
      </w:divBdr>
    </w:div>
    <w:div w:id="259030807">
      <w:bodyDiv w:val="1"/>
      <w:marLeft w:val="0"/>
      <w:marRight w:val="0"/>
      <w:marTop w:val="0"/>
      <w:marBottom w:val="0"/>
      <w:divBdr>
        <w:top w:val="none" w:sz="0" w:space="0" w:color="auto"/>
        <w:left w:val="none" w:sz="0" w:space="0" w:color="auto"/>
        <w:bottom w:val="none" w:sz="0" w:space="0" w:color="auto"/>
        <w:right w:val="none" w:sz="0" w:space="0" w:color="auto"/>
      </w:divBdr>
    </w:div>
    <w:div w:id="260455727">
      <w:bodyDiv w:val="1"/>
      <w:marLeft w:val="0"/>
      <w:marRight w:val="0"/>
      <w:marTop w:val="0"/>
      <w:marBottom w:val="0"/>
      <w:divBdr>
        <w:top w:val="none" w:sz="0" w:space="0" w:color="auto"/>
        <w:left w:val="none" w:sz="0" w:space="0" w:color="auto"/>
        <w:bottom w:val="none" w:sz="0" w:space="0" w:color="auto"/>
        <w:right w:val="none" w:sz="0" w:space="0" w:color="auto"/>
      </w:divBdr>
    </w:div>
    <w:div w:id="271860454">
      <w:bodyDiv w:val="1"/>
      <w:marLeft w:val="0"/>
      <w:marRight w:val="0"/>
      <w:marTop w:val="0"/>
      <w:marBottom w:val="0"/>
      <w:divBdr>
        <w:top w:val="none" w:sz="0" w:space="0" w:color="auto"/>
        <w:left w:val="none" w:sz="0" w:space="0" w:color="auto"/>
        <w:bottom w:val="none" w:sz="0" w:space="0" w:color="auto"/>
        <w:right w:val="none" w:sz="0" w:space="0" w:color="auto"/>
      </w:divBdr>
    </w:div>
    <w:div w:id="272592835">
      <w:bodyDiv w:val="1"/>
      <w:marLeft w:val="0"/>
      <w:marRight w:val="0"/>
      <w:marTop w:val="0"/>
      <w:marBottom w:val="0"/>
      <w:divBdr>
        <w:top w:val="none" w:sz="0" w:space="0" w:color="auto"/>
        <w:left w:val="none" w:sz="0" w:space="0" w:color="auto"/>
        <w:bottom w:val="none" w:sz="0" w:space="0" w:color="auto"/>
        <w:right w:val="none" w:sz="0" w:space="0" w:color="auto"/>
      </w:divBdr>
    </w:div>
    <w:div w:id="274680828">
      <w:bodyDiv w:val="1"/>
      <w:marLeft w:val="0"/>
      <w:marRight w:val="0"/>
      <w:marTop w:val="0"/>
      <w:marBottom w:val="0"/>
      <w:divBdr>
        <w:top w:val="none" w:sz="0" w:space="0" w:color="auto"/>
        <w:left w:val="none" w:sz="0" w:space="0" w:color="auto"/>
        <w:bottom w:val="none" w:sz="0" w:space="0" w:color="auto"/>
        <w:right w:val="none" w:sz="0" w:space="0" w:color="auto"/>
      </w:divBdr>
    </w:div>
    <w:div w:id="277376306">
      <w:bodyDiv w:val="1"/>
      <w:marLeft w:val="0"/>
      <w:marRight w:val="0"/>
      <w:marTop w:val="0"/>
      <w:marBottom w:val="0"/>
      <w:divBdr>
        <w:top w:val="none" w:sz="0" w:space="0" w:color="auto"/>
        <w:left w:val="none" w:sz="0" w:space="0" w:color="auto"/>
        <w:bottom w:val="none" w:sz="0" w:space="0" w:color="auto"/>
        <w:right w:val="none" w:sz="0" w:space="0" w:color="auto"/>
      </w:divBdr>
    </w:div>
    <w:div w:id="280845106">
      <w:bodyDiv w:val="1"/>
      <w:marLeft w:val="0"/>
      <w:marRight w:val="0"/>
      <w:marTop w:val="0"/>
      <w:marBottom w:val="0"/>
      <w:divBdr>
        <w:top w:val="none" w:sz="0" w:space="0" w:color="auto"/>
        <w:left w:val="none" w:sz="0" w:space="0" w:color="auto"/>
        <w:bottom w:val="none" w:sz="0" w:space="0" w:color="auto"/>
        <w:right w:val="none" w:sz="0" w:space="0" w:color="auto"/>
      </w:divBdr>
      <w:divsChild>
        <w:div w:id="360015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2520">
              <w:marLeft w:val="0"/>
              <w:marRight w:val="0"/>
              <w:marTop w:val="0"/>
              <w:marBottom w:val="0"/>
              <w:divBdr>
                <w:top w:val="none" w:sz="0" w:space="0" w:color="auto"/>
                <w:left w:val="none" w:sz="0" w:space="0" w:color="auto"/>
                <w:bottom w:val="none" w:sz="0" w:space="0" w:color="auto"/>
                <w:right w:val="none" w:sz="0" w:space="0" w:color="auto"/>
              </w:divBdr>
              <w:divsChild>
                <w:div w:id="374475126">
                  <w:marLeft w:val="0"/>
                  <w:marRight w:val="0"/>
                  <w:marTop w:val="0"/>
                  <w:marBottom w:val="0"/>
                  <w:divBdr>
                    <w:top w:val="none" w:sz="0" w:space="0" w:color="auto"/>
                    <w:left w:val="none" w:sz="0" w:space="0" w:color="auto"/>
                    <w:bottom w:val="none" w:sz="0" w:space="0" w:color="auto"/>
                    <w:right w:val="none" w:sz="0" w:space="0" w:color="auto"/>
                  </w:divBdr>
                  <w:divsChild>
                    <w:div w:id="411587096">
                      <w:marLeft w:val="0"/>
                      <w:marRight w:val="0"/>
                      <w:marTop w:val="0"/>
                      <w:marBottom w:val="0"/>
                      <w:divBdr>
                        <w:top w:val="none" w:sz="0" w:space="0" w:color="auto"/>
                        <w:left w:val="none" w:sz="0" w:space="0" w:color="auto"/>
                        <w:bottom w:val="none" w:sz="0" w:space="0" w:color="auto"/>
                        <w:right w:val="none" w:sz="0" w:space="0" w:color="auto"/>
                      </w:divBdr>
                      <w:divsChild>
                        <w:div w:id="1703283376">
                          <w:marLeft w:val="0"/>
                          <w:marRight w:val="0"/>
                          <w:marTop w:val="0"/>
                          <w:marBottom w:val="0"/>
                          <w:divBdr>
                            <w:top w:val="none" w:sz="0" w:space="0" w:color="auto"/>
                            <w:left w:val="none" w:sz="0" w:space="0" w:color="auto"/>
                            <w:bottom w:val="none" w:sz="0" w:space="0" w:color="auto"/>
                            <w:right w:val="none" w:sz="0" w:space="0" w:color="auto"/>
                          </w:divBdr>
                          <w:divsChild>
                            <w:div w:id="302538671">
                              <w:marLeft w:val="0"/>
                              <w:marRight w:val="0"/>
                              <w:marTop w:val="0"/>
                              <w:marBottom w:val="0"/>
                              <w:divBdr>
                                <w:top w:val="none" w:sz="0" w:space="0" w:color="auto"/>
                                <w:left w:val="none" w:sz="0" w:space="0" w:color="auto"/>
                                <w:bottom w:val="none" w:sz="0" w:space="0" w:color="auto"/>
                                <w:right w:val="none" w:sz="0" w:space="0" w:color="auto"/>
                              </w:divBdr>
                              <w:divsChild>
                                <w:div w:id="1443570187">
                                  <w:marLeft w:val="0"/>
                                  <w:marRight w:val="0"/>
                                  <w:marTop w:val="0"/>
                                  <w:marBottom w:val="0"/>
                                  <w:divBdr>
                                    <w:top w:val="none" w:sz="0" w:space="0" w:color="auto"/>
                                    <w:left w:val="none" w:sz="0" w:space="0" w:color="auto"/>
                                    <w:bottom w:val="none" w:sz="0" w:space="0" w:color="auto"/>
                                    <w:right w:val="none" w:sz="0" w:space="0" w:color="auto"/>
                                  </w:divBdr>
                                </w:div>
                              </w:divsChild>
                            </w:div>
                            <w:div w:id="1300839931">
                              <w:marLeft w:val="0"/>
                              <w:marRight w:val="0"/>
                              <w:marTop w:val="0"/>
                              <w:marBottom w:val="0"/>
                              <w:divBdr>
                                <w:top w:val="none" w:sz="0" w:space="0" w:color="auto"/>
                                <w:left w:val="none" w:sz="0" w:space="0" w:color="auto"/>
                                <w:bottom w:val="none" w:sz="0" w:space="0" w:color="auto"/>
                                <w:right w:val="none" w:sz="0" w:space="0" w:color="auto"/>
                              </w:divBdr>
                              <w:divsChild>
                                <w:div w:id="2110201663">
                                  <w:marLeft w:val="0"/>
                                  <w:marRight w:val="0"/>
                                  <w:marTop w:val="0"/>
                                  <w:marBottom w:val="0"/>
                                  <w:divBdr>
                                    <w:top w:val="none" w:sz="0" w:space="0" w:color="auto"/>
                                    <w:left w:val="none" w:sz="0" w:space="0" w:color="auto"/>
                                    <w:bottom w:val="none" w:sz="0" w:space="0" w:color="auto"/>
                                    <w:right w:val="none" w:sz="0" w:space="0" w:color="auto"/>
                                  </w:divBdr>
                                </w:div>
                              </w:divsChild>
                            </w:div>
                            <w:div w:id="1592853290">
                              <w:marLeft w:val="0"/>
                              <w:marRight w:val="0"/>
                              <w:marTop w:val="0"/>
                              <w:marBottom w:val="0"/>
                              <w:divBdr>
                                <w:top w:val="none" w:sz="0" w:space="0" w:color="auto"/>
                                <w:left w:val="none" w:sz="0" w:space="0" w:color="auto"/>
                                <w:bottom w:val="none" w:sz="0" w:space="0" w:color="auto"/>
                                <w:right w:val="none" w:sz="0" w:space="0" w:color="auto"/>
                              </w:divBdr>
                              <w:divsChild>
                                <w:div w:id="3170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893836">
      <w:bodyDiv w:val="1"/>
      <w:marLeft w:val="0"/>
      <w:marRight w:val="0"/>
      <w:marTop w:val="0"/>
      <w:marBottom w:val="0"/>
      <w:divBdr>
        <w:top w:val="none" w:sz="0" w:space="0" w:color="auto"/>
        <w:left w:val="none" w:sz="0" w:space="0" w:color="auto"/>
        <w:bottom w:val="none" w:sz="0" w:space="0" w:color="auto"/>
        <w:right w:val="none" w:sz="0" w:space="0" w:color="auto"/>
      </w:divBdr>
    </w:div>
    <w:div w:id="291861281">
      <w:bodyDiv w:val="1"/>
      <w:marLeft w:val="0"/>
      <w:marRight w:val="0"/>
      <w:marTop w:val="0"/>
      <w:marBottom w:val="0"/>
      <w:divBdr>
        <w:top w:val="none" w:sz="0" w:space="0" w:color="auto"/>
        <w:left w:val="none" w:sz="0" w:space="0" w:color="auto"/>
        <w:bottom w:val="none" w:sz="0" w:space="0" w:color="auto"/>
        <w:right w:val="none" w:sz="0" w:space="0" w:color="auto"/>
      </w:divBdr>
    </w:div>
    <w:div w:id="292751822">
      <w:bodyDiv w:val="1"/>
      <w:marLeft w:val="0"/>
      <w:marRight w:val="0"/>
      <w:marTop w:val="0"/>
      <w:marBottom w:val="0"/>
      <w:divBdr>
        <w:top w:val="none" w:sz="0" w:space="0" w:color="auto"/>
        <w:left w:val="none" w:sz="0" w:space="0" w:color="auto"/>
        <w:bottom w:val="none" w:sz="0" w:space="0" w:color="auto"/>
        <w:right w:val="none" w:sz="0" w:space="0" w:color="auto"/>
      </w:divBdr>
    </w:div>
    <w:div w:id="295723271">
      <w:bodyDiv w:val="1"/>
      <w:marLeft w:val="0"/>
      <w:marRight w:val="0"/>
      <w:marTop w:val="0"/>
      <w:marBottom w:val="0"/>
      <w:divBdr>
        <w:top w:val="none" w:sz="0" w:space="0" w:color="auto"/>
        <w:left w:val="none" w:sz="0" w:space="0" w:color="auto"/>
        <w:bottom w:val="none" w:sz="0" w:space="0" w:color="auto"/>
        <w:right w:val="none" w:sz="0" w:space="0" w:color="auto"/>
      </w:divBdr>
    </w:div>
    <w:div w:id="298220333">
      <w:bodyDiv w:val="1"/>
      <w:marLeft w:val="0"/>
      <w:marRight w:val="0"/>
      <w:marTop w:val="0"/>
      <w:marBottom w:val="0"/>
      <w:divBdr>
        <w:top w:val="none" w:sz="0" w:space="0" w:color="auto"/>
        <w:left w:val="none" w:sz="0" w:space="0" w:color="auto"/>
        <w:bottom w:val="none" w:sz="0" w:space="0" w:color="auto"/>
        <w:right w:val="none" w:sz="0" w:space="0" w:color="auto"/>
      </w:divBdr>
    </w:div>
    <w:div w:id="302927483">
      <w:bodyDiv w:val="1"/>
      <w:marLeft w:val="0"/>
      <w:marRight w:val="0"/>
      <w:marTop w:val="0"/>
      <w:marBottom w:val="0"/>
      <w:divBdr>
        <w:top w:val="none" w:sz="0" w:space="0" w:color="auto"/>
        <w:left w:val="none" w:sz="0" w:space="0" w:color="auto"/>
        <w:bottom w:val="none" w:sz="0" w:space="0" w:color="auto"/>
        <w:right w:val="none" w:sz="0" w:space="0" w:color="auto"/>
      </w:divBdr>
    </w:div>
    <w:div w:id="306127652">
      <w:bodyDiv w:val="1"/>
      <w:marLeft w:val="0"/>
      <w:marRight w:val="0"/>
      <w:marTop w:val="0"/>
      <w:marBottom w:val="0"/>
      <w:divBdr>
        <w:top w:val="none" w:sz="0" w:space="0" w:color="auto"/>
        <w:left w:val="none" w:sz="0" w:space="0" w:color="auto"/>
        <w:bottom w:val="none" w:sz="0" w:space="0" w:color="auto"/>
        <w:right w:val="none" w:sz="0" w:space="0" w:color="auto"/>
      </w:divBdr>
    </w:div>
    <w:div w:id="306672112">
      <w:bodyDiv w:val="1"/>
      <w:marLeft w:val="0"/>
      <w:marRight w:val="0"/>
      <w:marTop w:val="0"/>
      <w:marBottom w:val="0"/>
      <w:divBdr>
        <w:top w:val="none" w:sz="0" w:space="0" w:color="auto"/>
        <w:left w:val="none" w:sz="0" w:space="0" w:color="auto"/>
        <w:bottom w:val="none" w:sz="0" w:space="0" w:color="auto"/>
        <w:right w:val="none" w:sz="0" w:space="0" w:color="auto"/>
      </w:divBdr>
    </w:div>
    <w:div w:id="312876225">
      <w:bodyDiv w:val="1"/>
      <w:marLeft w:val="0"/>
      <w:marRight w:val="0"/>
      <w:marTop w:val="0"/>
      <w:marBottom w:val="0"/>
      <w:divBdr>
        <w:top w:val="none" w:sz="0" w:space="0" w:color="auto"/>
        <w:left w:val="none" w:sz="0" w:space="0" w:color="auto"/>
        <w:bottom w:val="none" w:sz="0" w:space="0" w:color="auto"/>
        <w:right w:val="none" w:sz="0" w:space="0" w:color="auto"/>
      </w:divBdr>
    </w:div>
    <w:div w:id="320891933">
      <w:bodyDiv w:val="1"/>
      <w:marLeft w:val="0"/>
      <w:marRight w:val="0"/>
      <w:marTop w:val="0"/>
      <w:marBottom w:val="0"/>
      <w:divBdr>
        <w:top w:val="none" w:sz="0" w:space="0" w:color="auto"/>
        <w:left w:val="none" w:sz="0" w:space="0" w:color="auto"/>
        <w:bottom w:val="none" w:sz="0" w:space="0" w:color="auto"/>
        <w:right w:val="none" w:sz="0" w:space="0" w:color="auto"/>
      </w:divBdr>
    </w:div>
    <w:div w:id="328408318">
      <w:bodyDiv w:val="1"/>
      <w:marLeft w:val="0"/>
      <w:marRight w:val="0"/>
      <w:marTop w:val="0"/>
      <w:marBottom w:val="0"/>
      <w:divBdr>
        <w:top w:val="none" w:sz="0" w:space="0" w:color="auto"/>
        <w:left w:val="none" w:sz="0" w:space="0" w:color="auto"/>
        <w:bottom w:val="none" w:sz="0" w:space="0" w:color="auto"/>
        <w:right w:val="none" w:sz="0" w:space="0" w:color="auto"/>
      </w:divBdr>
    </w:div>
    <w:div w:id="332144614">
      <w:bodyDiv w:val="1"/>
      <w:marLeft w:val="0"/>
      <w:marRight w:val="0"/>
      <w:marTop w:val="0"/>
      <w:marBottom w:val="0"/>
      <w:divBdr>
        <w:top w:val="none" w:sz="0" w:space="0" w:color="auto"/>
        <w:left w:val="none" w:sz="0" w:space="0" w:color="auto"/>
        <w:bottom w:val="none" w:sz="0" w:space="0" w:color="auto"/>
        <w:right w:val="none" w:sz="0" w:space="0" w:color="auto"/>
      </w:divBdr>
    </w:div>
    <w:div w:id="338312598">
      <w:bodyDiv w:val="1"/>
      <w:marLeft w:val="0"/>
      <w:marRight w:val="0"/>
      <w:marTop w:val="0"/>
      <w:marBottom w:val="0"/>
      <w:divBdr>
        <w:top w:val="none" w:sz="0" w:space="0" w:color="auto"/>
        <w:left w:val="none" w:sz="0" w:space="0" w:color="auto"/>
        <w:bottom w:val="none" w:sz="0" w:space="0" w:color="auto"/>
        <w:right w:val="none" w:sz="0" w:space="0" w:color="auto"/>
      </w:divBdr>
    </w:div>
    <w:div w:id="338433753">
      <w:bodyDiv w:val="1"/>
      <w:marLeft w:val="0"/>
      <w:marRight w:val="0"/>
      <w:marTop w:val="0"/>
      <w:marBottom w:val="0"/>
      <w:divBdr>
        <w:top w:val="none" w:sz="0" w:space="0" w:color="auto"/>
        <w:left w:val="none" w:sz="0" w:space="0" w:color="auto"/>
        <w:bottom w:val="none" w:sz="0" w:space="0" w:color="auto"/>
        <w:right w:val="none" w:sz="0" w:space="0" w:color="auto"/>
      </w:divBdr>
    </w:div>
    <w:div w:id="348456343">
      <w:bodyDiv w:val="1"/>
      <w:marLeft w:val="0"/>
      <w:marRight w:val="0"/>
      <w:marTop w:val="0"/>
      <w:marBottom w:val="0"/>
      <w:divBdr>
        <w:top w:val="none" w:sz="0" w:space="0" w:color="auto"/>
        <w:left w:val="none" w:sz="0" w:space="0" w:color="auto"/>
        <w:bottom w:val="none" w:sz="0" w:space="0" w:color="auto"/>
        <w:right w:val="none" w:sz="0" w:space="0" w:color="auto"/>
      </w:divBdr>
    </w:div>
    <w:div w:id="352271725">
      <w:bodyDiv w:val="1"/>
      <w:marLeft w:val="0"/>
      <w:marRight w:val="0"/>
      <w:marTop w:val="0"/>
      <w:marBottom w:val="0"/>
      <w:divBdr>
        <w:top w:val="none" w:sz="0" w:space="0" w:color="auto"/>
        <w:left w:val="none" w:sz="0" w:space="0" w:color="auto"/>
        <w:bottom w:val="none" w:sz="0" w:space="0" w:color="auto"/>
        <w:right w:val="none" w:sz="0" w:space="0" w:color="auto"/>
      </w:divBdr>
    </w:div>
    <w:div w:id="368339926">
      <w:bodyDiv w:val="1"/>
      <w:marLeft w:val="0"/>
      <w:marRight w:val="0"/>
      <w:marTop w:val="0"/>
      <w:marBottom w:val="0"/>
      <w:divBdr>
        <w:top w:val="none" w:sz="0" w:space="0" w:color="auto"/>
        <w:left w:val="none" w:sz="0" w:space="0" w:color="auto"/>
        <w:bottom w:val="none" w:sz="0" w:space="0" w:color="auto"/>
        <w:right w:val="none" w:sz="0" w:space="0" w:color="auto"/>
      </w:divBdr>
    </w:div>
    <w:div w:id="371156254">
      <w:bodyDiv w:val="1"/>
      <w:marLeft w:val="0"/>
      <w:marRight w:val="0"/>
      <w:marTop w:val="0"/>
      <w:marBottom w:val="0"/>
      <w:divBdr>
        <w:top w:val="none" w:sz="0" w:space="0" w:color="auto"/>
        <w:left w:val="none" w:sz="0" w:space="0" w:color="auto"/>
        <w:bottom w:val="none" w:sz="0" w:space="0" w:color="auto"/>
        <w:right w:val="none" w:sz="0" w:space="0" w:color="auto"/>
      </w:divBdr>
    </w:div>
    <w:div w:id="380133263">
      <w:bodyDiv w:val="1"/>
      <w:marLeft w:val="0"/>
      <w:marRight w:val="0"/>
      <w:marTop w:val="0"/>
      <w:marBottom w:val="0"/>
      <w:divBdr>
        <w:top w:val="none" w:sz="0" w:space="0" w:color="auto"/>
        <w:left w:val="none" w:sz="0" w:space="0" w:color="auto"/>
        <w:bottom w:val="none" w:sz="0" w:space="0" w:color="auto"/>
        <w:right w:val="none" w:sz="0" w:space="0" w:color="auto"/>
      </w:divBdr>
    </w:div>
    <w:div w:id="382681189">
      <w:bodyDiv w:val="1"/>
      <w:marLeft w:val="0"/>
      <w:marRight w:val="0"/>
      <w:marTop w:val="0"/>
      <w:marBottom w:val="0"/>
      <w:divBdr>
        <w:top w:val="none" w:sz="0" w:space="0" w:color="auto"/>
        <w:left w:val="none" w:sz="0" w:space="0" w:color="auto"/>
        <w:bottom w:val="none" w:sz="0" w:space="0" w:color="auto"/>
        <w:right w:val="none" w:sz="0" w:space="0" w:color="auto"/>
      </w:divBdr>
    </w:div>
    <w:div w:id="386489805">
      <w:bodyDiv w:val="1"/>
      <w:marLeft w:val="0"/>
      <w:marRight w:val="0"/>
      <w:marTop w:val="0"/>
      <w:marBottom w:val="0"/>
      <w:divBdr>
        <w:top w:val="none" w:sz="0" w:space="0" w:color="auto"/>
        <w:left w:val="none" w:sz="0" w:space="0" w:color="auto"/>
        <w:bottom w:val="none" w:sz="0" w:space="0" w:color="auto"/>
        <w:right w:val="none" w:sz="0" w:space="0" w:color="auto"/>
      </w:divBdr>
    </w:div>
    <w:div w:id="386607053">
      <w:bodyDiv w:val="1"/>
      <w:marLeft w:val="0"/>
      <w:marRight w:val="0"/>
      <w:marTop w:val="0"/>
      <w:marBottom w:val="0"/>
      <w:divBdr>
        <w:top w:val="none" w:sz="0" w:space="0" w:color="auto"/>
        <w:left w:val="none" w:sz="0" w:space="0" w:color="auto"/>
        <w:bottom w:val="none" w:sz="0" w:space="0" w:color="auto"/>
        <w:right w:val="none" w:sz="0" w:space="0" w:color="auto"/>
      </w:divBdr>
    </w:div>
    <w:div w:id="399595370">
      <w:bodyDiv w:val="1"/>
      <w:marLeft w:val="0"/>
      <w:marRight w:val="0"/>
      <w:marTop w:val="0"/>
      <w:marBottom w:val="0"/>
      <w:divBdr>
        <w:top w:val="none" w:sz="0" w:space="0" w:color="auto"/>
        <w:left w:val="none" w:sz="0" w:space="0" w:color="auto"/>
        <w:bottom w:val="none" w:sz="0" w:space="0" w:color="auto"/>
        <w:right w:val="none" w:sz="0" w:space="0" w:color="auto"/>
      </w:divBdr>
    </w:div>
    <w:div w:id="400831834">
      <w:bodyDiv w:val="1"/>
      <w:marLeft w:val="0"/>
      <w:marRight w:val="0"/>
      <w:marTop w:val="0"/>
      <w:marBottom w:val="0"/>
      <w:divBdr>
        <w:top w:val="none" w:sz="0" w:space="0" w:color="auto"/>
        <w:left w:val="none" w:sz="0" w:space="0" w:color="auto"/>
        <w:bottom w:val="none" w:sz="0" w:space="0" w:color="auto"/>
        <w:right w:val="none" w:sz="0" w:space="0" w:color="auto"/>
      </w:divBdr>
    </w:div>
    <w:div w:id="402029393">
      <w:bodyDiv w:val="1"/>
      <w:marLeft w:val="0"/>
      <w:marRight w:val="0"/>
      <w:marTop w:val="0"/>
      <w:marBottom w:val="0"/>
      <w:divBdr>
        <w:top w:val="none" w:sz="0" w:space="0" w:color="auto"/>
        <w:left w:val="none" w:sz="0" w:space="0" w:color="auto"/>
        <w:bottom w:val="none" w:sz="0" w:space="0" w:color="auto"/>
        <w:right w:val="none" w:sz="0" w:space="0" w:color="auto"/>
      </w:divBdr>
    </w:div>
    <w:div w:id="402993751">
      <w:bodyDiv w:val="1"/>
      <w:marLeft w:val="0"/>
      <w:marRight w:val="0"/>
      <w:marTop w:val="0"/>
      <w:marBottom w:val="0"/>
      <w:divBdr>
        <w:top w:val="none" w:sz="0" w:space="0" w:color="auto"/>
        <w:left w:val="none" w:sz="0" w:space="0" w:color="auto"/>
        <w:bottom w:val="none" w:sz="0" w:space="0" w:color="auto"/>
        <w:right w:val="none" w:sz="0" w:space="0" w:color="auto"/>
      </w:divBdr>
    </w:div>
    <w:div w:id="410087017">
      <w:bodyDiv w:val="1"/>
      <w:marLeft w:val="0"/>
      <w:marRight w:val="0"/>
      <w:marTop w:val="0"/>
      <w:marBottom w:val="0"/>
      <w:divBdr>
        <w:top w:val="none" w:sz="0" w:space="0" w:color="auto"/>
        <w:left w:val="none" w:sz="0" w:space="0" w:color="auto"/>
        <w:bottom w:val="none" w:sz="0" w:space="0" w:color="auto"/>
        <w:right w:val="none" w:sz="0" w:space="0" w:color="auto"/>
      </w:divBdr>
    </w:div>
    <w:div w:id="410273782">
      <w:bodyDiv w:val="1"/>
      <w:marLeft w:val="0"/>
      <w:marRight w:val="0"/>
      <w:marTop w:val="0"/>
      <w:marBottom w:val="0"/>
      <w:divBdr>
        <w:top w:val="none" w:sz="0" w:space="0" w:color="auto"/>
        <w:left w:val="none" w:sz="0" w:space="0" w:color="auto"/>
        <w:bottom w:val="none" w:sz="0" w:space="0" w:color="auto"/>
        <w:right w:val="none" w:sz="0" w:space="0" w:color="auto"/>
      </w:divBdr>
    </w:div>
    <w:div w:id="410855331">
      <w:bodyDiv w:val="1"/>
      <w:marLeft w:val="0"/>
      <w:marRight w:val="0"/>
      <w:marTop w:val="0"/>
      <w:marBottom w:val="0"/>
      <w:divBdr>
        <w:top w:val="none" w:sz="0" w:space="0" w:color="auto"/>
        <w:left w:val="none" w:sz="0" w:space="0" w:color="auto"/>
        <w:bottom w:val="none" w:sz="0" w:space="0" w:color="auto"/>
        <w:right w:val="none" w:sz="0" w:space="0" w:color="auto"/>
      </w:divBdr>
    </w:div>
    <w:div w:id="415901705">
      <w:bodyDiv w:val="1"/>
      <w:marLeft w:val="0"/>
      <w:marRight w:val="0"/>
      <w:marTop w:val="0"/>
      <w:marBottom w:val="0"/>
      <w:divBdr>
        <w:top w:val="none" w:sz="0" w:space="0" w:color="auto"/>
        <w:left w:val="none" w:sz="0" w:space="0" w:color="auto"/>
        <w:bottom w:val="none" w:sz="0" w:space="0" w:color="auto"/>
        <w:right w:val="none" w:sz="0" w:space="0" w:color="auto"/>
      </w:divBdr>
    </w:div>
    <w:div w:id="417482180">
      <w:bodyDiv w:val="1"/>
      <w:marLeft w:val="0"/>
      <w:marRight w:val="0"/>
      <w:marTop w:val="0"/>
      <w:marBottom w:val="0"/>
      <w:divBdr>
        <w:top w:val="none" w:sz="0" w:space="0" w:color="auto"/>
        <w:left w:val="none" w:sz="0" w:space="0" w:color="auto"/>
        <w:bottom w:val="none" w:sz="0" w:space="0" w:color="auto"/>
        <w:right w:val="none" w:sz="0" w:space="0" w:color="auto"/>
      </w:divBdr>
    </w:div>
    <w:div w:id="417558659">
      <w:bodyDiv w:val="1"/>
      <w:marLeft w:val="0"/>
      <w:marRight w:val="0"/>
      <w:marTop w:val="0"/>
      <w:marBottom w:val="0"/>
      <w:divBdr>
        <w:top w:val="none" w:sz="0" w:space="0" w:color="auto"/>
        <w:left w:val="none" w:sz="0" w:space="0" w:color="auto"/>
        <w:bottom w:val="none" w:sz="0" w:space="0" w:color="auto"/>
        <w:right w:val="none" w:sz="0" w:space="0" w:color="auto"/>
      </w:divBdr>
    </w:div>
    <w:div w:id="419833834">
      <w:bodyDiv w:val="1"/>
      <w:marLeft w:val="0"/>
      <w:marRight w:val="0"/>
      <w:marTop w:val="0"/>
      <w:marBottom w:val="0"/>
      <w:divBdr>
        <w:top w:val="none" w:sz="0" w:space="0" w:color="auto"/>
        <w:left w:val="none" w:sz="0" w:space="0" w:color="auto"/>
        <w:bottom w:val="none" w:sz="0" w:space="0" w:color="auto"/>
        <w:right w:val="none" w:sz="0" w:space="0" w:color="auto"/>
      </w:divBdr>
    </w:div>
    <w:div w:id="422725155">
      <w:bodyDiv w:val="1"/>
      <w:marLeft w:val="0"/>
      <w:marRight w:val="0"/>
      <w:marTop w:val="0"/>
      <w:marBottom w:val="0"/>
      <w:divBdr>
        <w:top w:val="none" w:sz="0" w:space="0" w:color="auto"/>
        <w:left w:val="none" w:sz="0" w:space="0" w:color="auto"/>
        <w:bottom w:val="none" w:sz="0" w:space="0" w:color="auto"/>
        <w:right w:val="none" w:sz="0" w:space="0" w:color="auto"/>
      </w:divBdr>
    </w:div>
    <w:div w:id="427966113">
      <w:bodyDiv w:val="1"/>
      <w:marLeft w:val="0"/>
      <w:marRight w:val="0"/>
      <w:marTop w:val="0"/>
      <w:marBottom w:val="0"/>
      <w:divBdr>
        <w:top w:val="none" w:sz="0" w:space="0" w:color="auto"/>
        <w:left w:val="none" w:sz="0" w:space="0" w:color="auto"/>
        <w:bottom w:val="none" w:sz="0" w:space="0" w:color="auto"/>
        <w:right w:val="none" w:sz="0" w:space="0" w:color="auto"/>
      </w:divBdr>
    </w:div>
    <w:div w:id="443623804">
      <w:bodyDiv w:val="1"/>
      <w:marLeft w:val="0"/>
      <w:marRight w:val="0"/>
      <w:marTop w:val="0"/>
      <w:marBottom w:val="0"/>
      <w:divBdr>
        <w:top w:val="none" w:sz="0" w:space="0" w:color="auto"/>
        <w:left w:val="none" w:sz="0" w:space="0" w:color="auto"/>
        <w:bottom w:val="none" w:sz="0" w:space="0" w:color="auto"/>
        <w:right w:val="none" w:sz="0" w:space="0" w:color="auto"/>
      </w:divBdr>
    </w:div>
    <w:div w:id="448009305">
      <w:bodyDiv w:val="1"/>
      <w:marLeft w:val="0"/>
      <w:marRight w:val="0"/>
      <w:marTop w:val="0"/>
      <w:marBottom w:val="0"/>
      <w:divBdr>
        <w:top w:val="none" w:sz="0" w:space="0" w:color="auto"/>
        <w:left w:val="none" w:sz="0" w:space="0" w:color="auto"/>
        <w:bottom w:val="none" w:sz="0" w:space="0" w:color="auto"/>
        <w:right w:val="none" w:sz="0" w:space="0" w:color="auto"/>
      </w:divBdr>
    </w:div>
    <w:div w:id="449478105">
      <w:bodyDiv w:val="1"/>
      <w:marLeft w:val="0"/>
      <w:marRight w:val="0"/>
      <w:marTop w:val="0"/>
      <w:marBottom w:val="0"/>
      <w:divBdr>
        <w:top w:val="none" w:sz="0" w:space="0" w:color="auto"/>
        <w:left w:val="none" w:sz="0" w:space="0" w:color="auto"/>
        <w:bottom w:val="none" w:sz="0" w:space="0" w:color="auto"/>
        <w:right w:val="none" w:sz="0" w:space="0" w:color="auto"/>
      </w:divBdr>
    </w:div>
    <w:div w:id="450052101">
      <w:bodyDiv w:val="1"/>
      <w:marLeft w:val="0"/>
      <w:marRight w:val="0"/>
      <w:marTop w:val="0"/>
      <w:marBottom w:val="0"/>
      <w:divBdr>
        <w:top w:val="none" w:sz="0" w:space="0" w:color="auto"/>
        <w:left w:val="none" w:sz="0" w:space="0" w:color="auto"/>
        <w:bottom w:val="none" w:sz="0" w:space="0" w:color="auto"/>
        <w:right w:val="none" w:sz="0" w:space="0" w:color="auto"/>
      </w:divBdr>
    </w:div>
    <w:div w:id="453408146">
      <w:bodyDiv w:val="1"/>
      <w:marLeft w:val="0"/>
      <w:marRight w:val="0"/>
      <w:marTop w:val="0"/>
      <w:marBottom w:val="0"/>
      <w:divBdr>
        <w:top w:val="none" w:sz="0" w:space="0" w:color="auto"/>
        <w:left w:val="none" w:sz="0" w:space="0" w:color="auto"/>
        <w:bottom w:val="none" w:sz="0" w:space="0" w:color="auto"/>
        <w:right w:val="none" w:sz="0" w:space="0" w:color="auto"/>
      </w:divBdr>
    </w:div>
    <w:div w:id="465851852">
      <w:bodyDiv w:val="1"/>
      <w:marLeft w:val="0"/>
      <w:marRight w:val="0"/>
      <w:marTop w:val="0"/>
      <w:marBottom w:val="0"/>
      <w:divBdr>
        <w:top w:val="none" w:sz="0" w:space="0" w:color="auto"/>
        <w:left w:val="none" w:sz="0" w:space="0" w:color="auto"/>
        <w:bottom w:val="none" w:sz="0" w:space="0" w:color="auto"/>
        <w:right w:val="none" w:sz="0" w:space="0" w:color="auto"/>
      </w:divBdr>
    </w:div>
    <w:div w:id="466625998">
      <w:bodyDiv w:val="1"/>
      <w:marLeft w:val="0"/>
      <w:marRight w:val="0"/>
      <w:marTop w:val="0"/>
      <w:marBottom w:val="0"/>
      <w:divBdr>
        <w:top w:val="none" w:sz="0" w:space="0" w:color="auto"/>
        <w:left w:val="none" w:sz="0" w:space="0" w:color="auto"/>
        <w:bottom w:val="none" w:sz="0" w:space="0" w:color="auto"/>
        <w:right w:val="none" w:sz="0" w:space="0" w:color="auto"/>
      </w:divBdr>
    </w:div>
    <w:div w:id="469132130">
      <w:bodyDiv w:val="1"/>
      <w:marLeft w:val="0"/>
      <w:marRight w:val="0"/>
      <w:marTop w:val="0"/>
      <w:marBottom w:val="0"/>
      <w:divBdr>
        <w:top w:val="none" w:sz="0" w:space="0" w:color="auto"/>
        <w:left w:val="none" w:sz="0" w:space="0" w:color="auto"/>
        <w:bottom w:val="none" w:sz="0" w:space="0" w:color="auto"/>
        <w:right w:val="none" w:sz="0" w:space="0" w:color="auto"/>
      </w:divBdr>
    </w:div>
    <w:div w:id="471211666">
      <w:bodyDiv w:val="1"/>
      <w:marLeft w:val="0"/>
      <w:marRight w:val="0"/>
      <w:marTop w:val="0"/>
      <w:marBottom w:val="0"/>
      <w:divBdr>
        <w:top w:val="none" w:sz="0" w:space="0" w:color="auto"/>
        <w:left w:val="none" w:sz="0" w:space="0" w:color="auto"/>
        <w:bottom w:val="none" w:sz="0" w:space="0" w:color="auto"/>
        <w:right w:val="none" w:sz="0" w:space="0" w:color="auto"/>
      </w:divBdr>
    </w:div>
    <w:div w:id="471486979">
      <w:bodyDiv w:val="1"/>
      <w:marLeft w:val="0"/>
      <w:marRight w:val="0"/>
      <w:marTop w:val="0"/>
      <w:marBottom w:val="0"/>
      <w:divBdr>
        <w:top w:val="none" w:sz="0" w:space="0" w:color="auto"/>
        <w:left w:val="none" w:sz="0" w:space="0" w:color="auto"/>
        <w:bottom w:val="none" w:sz="0" w:space="0" w:color="auto"/>
        <w:right w:val="none" w:sz="0" w:space="0" w:color="auto"/>
      </w:divBdr>
    </w:div>
    <w:div w:id="480581099">
      <w:bodyDiv w:val="1"/>
      <w:marLeft w:val="0"/>
      <w:marRight w:val="0"/>
      <w:marTop w:val="0"/>
      <w:marBottom w:val="0"/>
      <w:divBdr>
        <w:top w:val="none" w:sz="0" w:space="0" w:color="auto"/>
        <w:left w:val="none" w:sz="0" w:space="0" w:color="auto"/>
        <w:bottom w:val="none" w:sz="0" w:space="0" w:color="auto"/>
        <w:right w:val="none" w:sz="0" w:space="0" w:color="auto"/>
      </w:divBdr>
    </w:div>
    <w:div w:id="487090376">
      <w:bodyDiv w:val="1"/>
      <w:marLeft w:val="0"/>
      <w:marRight w:val="0"/>
      <w:marTop w:val="0"/>
      <w:marBottom w:val="0"/>
      <w:divBdr>
        <w:top w:val="none" w:sz="0" w:space="0" w:color="auto"/>
        <w:left w:val="none" w:sz="0" w:space="0" w:color="auto"/>
        <w:bottom w:val="none" w:sz="0" w:space="0" w:color="auto"/>
        <w:right w:val="none" w:sz="0" w:space="0" w:color="auto"/>
      </w:divBdr>
    </w:div>
    <w:div w:id="495653617">
      <w:bodyDiv w:val="1"/>
      <w:marLeft w:val="0"/>
      <w:marRight w:val="0"/>
      <w:marTop w:val="0"/>
      <w:marBottom w:val="0"/>
      <w:divBdr>
        <w:top w:val="none" w:sz="0" w:space="0" w:color="auto"/>
        <w:left w:val="none" w:sz="0" w:space="0" w:color="auto"/>
        <w:bottom w:val="none" w:sz="0" w:space="0" w:color="auto"/>
        <w:right w:val="none" w:sz="0" w:space="0" w:color="auto"/>
      </w:divBdr>
    </w:div>
    <w:div w:id="500242526">
      <w:bodyDiv w:val="1"/>
      <w:marLeft w:val="0"/>
      <w:marRight w:val="0"/>
      <w:marTop w:val="0"/>
      <w:marBottom w:val="0"/>
      <w:divBdr>
        <w:top w:val="none" w:sz="0" w:space="0" w:color="auto"/>
        <w:left w:val="none" w:sz="0" w:space="0" w:color="auto"/>
        <w:bottom w:val="none" w:sz="0" w:space="0" w:color="auto"/>
        <w:right w:val="none" w:sz="0" w:space="0" w:color="auto"/>
      </w:divBdr>
    </w:div>
    <w:div w:id="507212628">
      <w:bodyDiv w:val="1"/>
      <w:marLeft w:val="0"/>
      <w:marRight w:val="0"/>
      <w:marTop w:val="0"/>
      <w:marBottom w:val="0"/>
      <w:divBdr>
        <w:top w:val="none" w:sz="0" w:space="0" w:color="auto"/>
        <w:left w:val="none" w:sz="0" w:space="0" w:color="auto"/>
        <w:bottom w:val="none" w:sz="0" w:space="0" w:color="auto"/>
        <w:right w:val="none" w:sz="0" w:space="0" w:color="auto"/>
      </w:divBdr>
    </w:div>
    <w:div w:id="516501882">
      <w:bodyDiv w:val="1"/>
      <w:marLeft w:val="0"/>
      <w:marRight w:val="0"/>
      <w:marTop w:val="0"/>
      <w:marBottom w:val="0"/>
      <w:divBdr>
        <w:top w:val="none" w:sz="0" w:space="0" w:color="auto"/>
        <w:left w:val="none" w:sz="0" w:space="0" w:color="auto"/>
        <w:bottom w:val="none" w:sz="0" w:space="0" w:color="auto"/>
        <w:right w:val="none" w:sz="0" w:space="0" w:color="auto"/>
      </w:divBdr>
    </w:div>
    <w:div w:id="522406254">
      <w:bodyDiv w:val="1"/>
      <w:marLeft w:val="0"/>
      <w:marRight w:val="0"/>
      <w:marTop w:val="0"/>
      <w:marBottom w:val="0"/>
      <w:divBdr>
        <w:top w:val="none" w:sz="0" w:space="0" w:color="auto"/>
        <w:left w:val="none" w:sz="0" w:space="0" w:color="auto"/>
        <w:bottom w:val="none" w:sz="0" w:space="0" w:color="auto"/>
        <w:right w:val="none" w:sz="0" w:space="0" w:color="auto"/>
      </w:divBdr>
    </w:div>
    <w:div w:id="523328926">
      <w:bodyDiv w:val="1"/>
      <w:marLeft w:val="0"/>
      <w:marRight w:val="0"/>
      <w:marTop w:val="0"/>
      <w:marBottom w:val="0"/>
      <w:divBdr>
        <w:top w:val="none" w:sz="0" w:space="0" w:color="auto"/>
        <w:left w:val="none" w:sz="0" w:space="0" w:color="auto"/>
        <w:bottom w:val="none" w:sz="0" w:space="0" w:color="auto"/>
        <w:right w:val="none" w:sz="0" w:space="0" w:color="auto"/>
      </w:divBdr>
    </w:div>
    <w:div w:id="524753234">
      <w:bodyDiv w:val="1"/>
      <w:marLeft w:val="0"/>
      <w:marRight w:val="0"/>
      <w:marTop w:val="0"/>
      <w:marBottom w:val="0"/>
      <w:divBdr>
        <w:top w:val="none" w:sz="0" w:space="0" w:color="auto"/>
        <w:left w:val="none" w:sz="0" w:space="0" w:color="auto"/>
        <w:bottom w:val="none" w:sz="0" w:space="0" w:color="auto"/>
        <w:right w:val="none" w:sz="0" w:space="0" w:color="auto"/>
      </w:divBdr>
    </w:div>
    <w:div w:id="525601098">
      <w:bodyDiv w:val="1"/>
      <w:marLeft w:val="0"/>
      <w:marRight w:val="0"/>
      <w:marTop w:val="0"/>
      <w:marBottom w:val="0"/>
      <w:divBdr>
        <w:top w:val="none" w:sz="0" w:space="0" w:color="auto"/>
        <w:left w:val="none" w:sz="0" w:space="0" w:color="auto"/>
        <w:bottom w:val="none" w:sz="0" w:space="0" w:color="auto"/>
        <w:right w:val="none" w:sz="0" w:space="0" w:color="auto"/>
      </w:divBdr>
    </w:div>
    <w:div w:id="525869411">
      <w:bodyDiv w:val="1"/>
      <w:marLeft w:val="0"/>
      <w:marRight w:val="0"/>
      <w:marTop w:val="0"/>
      <w:marBottom w:val="0"/>
      <w:divBdr>
        <w:top w:val="none" w:sz="0" w:space="0" w:color="auto"/>
        <w:left w:val="none" w:sz="0" w:space="0" w:color="auto"/>
        <w:bottom w:val="none" w:sz="0" w:space="0" w:color="auto"/>
        <w:right w:val="none" w:sz="0" w:space="0" w:color="auto"/>
      </w:divBdr>
    </w:div>
    <w:div w:id="528758983">
      <w:bodyDiv w:val="1"/>
      <w:marLeft w:val="0"/>
      <w:marRight w:val="0"/>
      <w:marTop w:val="0"/>
      <w:marBottom w:val="0"/>
      <w:divBdr>
        <w:top w:val="none" w:sz="0" w:space="0" w:color="auto"/>
        <w:left w:val="none" w:sz="0" w:space="0" w:color="auto"/>
        <w:bottom w:val="none" w:sz="0" w:space="0" w:color="auto"/>
        <w:right w:val="none" w:sz="0" w:space="0" w:color="auto"/>
      </w:divBdr>
    </w:div>
    <w:div w:id="529727542">
      <w:bodyDiv w:val="1"/>
      <w:marLeft w:val="0"/>
      <w:marRight w:val="0"/>
      <w:marTop w:val="0"/>
      <w:marBottom w:val="0"/>
      <w:divBdr>
        <w:top w:val="none" w:sz="0" w:space="0" w:color="auto"/>
        <w:left w:val="none" w:sz="0" w:space="0" w:color="auto"/>
        <w:bottom w:val="none" w:sz="0" w:space="0" w:color="auto"/>
        <w:right w:val="none" w:sz="0" w:space="0" w:color="auto"/>
      </w:divBdr>
    </w:div>
    <w:div w:id="533159060">
      <w:bodyDiv w:val="1"/>
      <w:marLeft w:val="0"/>
      <w:marRight w:val="0"/>
      <w:marTop w:val="0"/>
      <w:marBottom w:val="0"/>
      <w:divBdr>
        <w:top w:val="none" w:sz="0" w:space="0" w:color="auto"/>
        <w:left w:val="none" w:sz="0" w:space="0" w:color="auto"/>
        <w:bottom w:val="none" w:sz="0" w:space="0" w:color="auto"/>
        <w:right w:val="none" w:sz="0" w:space="0" w:color="auto"/>
      </w:divBdr>
    </w:div>
    <w:div w:id="534075179">
      <w:bodyDiv w:val="1"/>
      <w:marLeft w:val="0"/>
      <w:marRight w:val="0"/>
      <w:marTop w:val="0"/>
      <w:marBottom w:val="0"/>
      <w:divBdr>
        <w:top w:val="none" w:sz="0" w:space="0" w:color="auto"/>
        <w:left w:val="none" w:sz="0" w:space="0" w:color="auto"/>
        <w:bottom w:val="none" w:sz="0" w:space="0" w:color="auto"/>
        <w:right w:val="none" w:sz="0" w:space="0" w:color="auto"/>
      </w:divBdr>
    </w:div>
    <w:div w:id="541402266">
      <w:bodyDiv w:val="1"/>
      <w:marLeft w:val="0"/>
      <w:marRight w:val="0"/>
      <w:marTop w:val="0"/>
      <w:marBottom w:val="0"/>
      <w:divBdr>
        <w:top w:val="none" w:sz="0" w:space="0" w:color="auto"/>
        <w:left w:val="none" w:sz="0" w:space="0" w:color="auto"/>
        <w:bottom w:val="none" w:sz="0" w:space="0" w:color="auto"/>
        <w:right w:val="none" w:sz="0" w:space="0" w:color="auto"/>
      </w:divBdr>
    </w:div>
    <w:div w:id="544489089">
      <w:bodyDiv w:val="1"/>
      <w:marLeft w:val="0"/>
      <w:marRight w:val="0"/>
      <w:marTop w:val="0"/>
      <w:marBottom w:val="0"/>
      <w:divBdr>
        <w:top w:val="none" w:sz="0" w:space="0" w:color="auto"/>
        <w:left w:val="none" w:sz="0" w:space="0" w:color="auto"/>
        <w:bottom w:val="none" w:sz="0" w:space="0" w:color="auto"/>
        <w:right w:val="none" w:sz="0" w:space="0" w:color="auto"/>
      </w:divBdr>
    </w:div>
    <w:div w:id="548804203">
      <w:bodyDiv w:val="1"/>
      <w:marLeft w:val="0"/>
      <w:marRight w:val="0"/>
      <w:marTop w:val="0"/>
      <w:marBottom w:val="0"/>
      <w:divBdr>
        <w:top w:val="none" w:sz="0" w:space="0" w:color="auto"/>
        <w:left w:val="none" w:sz="0" w:space="0" w:color="auto"/>
        <w:bottom w:val="none" w:sz="0" w:space="0" w:color="auto"/>
        <w:right w:val="none" w:sz="0" w:space="0" w:color="auto"/>
      </w:divBdr>
    </w:div>
    <w:div w:id="551693944">
      <w:bodyDiv w:val="1"/>
      <w:marLeft w:val="0"/>
      <w:marRight w:val="0"/>
      <w:marTop w:val="0"/>
      <w:marBottom w:val="0"/>
      <w:divBdr>
        <w:top w:val="none" w:sz="0" w:space="0" w:color="auto"/>
        <w:left w:val="none" w:sz="0" w:space="0" w:color="auto"/>
        <w:bottom w:val="none" w:sz="0" w:space="0" w:color="auto"/>
        <w:right w:val="none" w:sz="0" w:space="0" w:color="auto"/>
      </w:divBdr>
    </w:div>
    <w:div w:id="552038167">
      <w:bodyDiv w:val="1"/>
      <w:marLeft w:val="0"/>
      <w:marRight w:val="0"/>
      <w:marTop w:val="0"/>
      <w:marBottom w:val="0"/>
      <w:divBdr>
        <w:top w:val="none" w:sz="0" w:space="0" w:color="auto"/>
        <w:left w:val="none" w:sz="0" w:space="0" w:color="auto"/>
        <w:bottom w:val="none" w:sz="0" w:space="0" w:color="auto"/>
        <w:right w:val="none" w:sz="0" w:space="0" w:color="auto"/>
      </w:divBdr>
    </w:div>
    <w:div w:id="554238665">
      <w:bodyDiv w:val="1"/>
      <w:marLeft w:val="0"/>
      <w:marRight w:val="0"/>
      <w:marTop w:val="0"/>
      <w:marBottom w:val="0"/>
      <w:divBdr>
        <w:top w:val="none" w:sz="0" w:space="0" w:color="auto"/>
        <w:left w:val="none" w:sz="0" w:space="0" w:color="auto"/>
        <w:bottom w:val="none" w:sz="0" w:space="0" w:color="auto"/>
        <w:right w:val="none" w:sz="0" w:space="0" w:color="auto"/>
      </w:divBdr>
    </w:div>
    <w:div w:id="558246750">
      <w:bodyDiv w:val="1"/>
      <w:marLeft w:val="0"/>
      <w:marRight w:val="0"/>
      <w:marTop w:val="0"/>
      <w:marBottom w:val="0"/>
      <w:divBdr>
        <w:top w:val="none" w:sz="0" w:space="0" w:color="auto"/>
        <w:left w:val="none" w:sz="0" w:space="0" w:color="auto"/>
        <w:bottom w:val="none" w:sz="0" w:space="0" w:color="auto"/>
        <w:right w:val="none" w:sz="0" w:space="0" w:color="auto"/>
      </w:divBdr>
    </w:div>
    <w:div w:id="558828096">
      <w:bodyDiv w:val="1"/>
      <w:marLeft w:val="0"/>
      <w:marRight w:val="0"/>
      <w:marTop w:val="0"/>
      <w:marBottom w:val="0"/>
      <w:divBdr>
        <w:top w:val="none" w:sz="0" w:space="0" w:color="auto"/>
        <w:left w:val="none" w:sz="0" w:space="0" w:color="auto"/>
        <w:bottom w:val="none" w:sz="0" w:space="0" w:color="auto"/>
        <w:right w:val="none" w:sz="0" w:space="0" w:color="auto"/>
      </w:divBdr>
    </w:div>
    <w:div w:id="566845868">
      <w:bodyDiv w:val="1"/>
      <w:marLeft w:val="0"/>
      <w:marRight w:val="0"/>
      <w:marTop w:val="0"/>
      <w:marBottom w:val="0"/>
      <w:divBdr>
        <w:top w:val="none" w:sz="0" w:space="0" w:color="auto"/>
        <w:left w:val="none" w:sz="0" w:space="0" w:color="auto"/>
        <w:bottom w:val="none" w:sz="0" w:space="0" w:color="auto"/>
        <w:right w:val="none" w:sz="0" w:space="0" w:color="auto"/>
      </w:divBdr>
    </w:div>
    <w:div w:id="567225178">
      <w:bodyDiv w:val="1"/>
      <w:marLeft w:val="0"/>
      <w:marRight w:val="0"/>
      <w:marTop w:val="0"/>
      <w:marBottom w:val="0"/>
      <w:divBdr>
        <w:top w:val="none" w:sz="0" w:space="0" w:color="auto"/>
        <w:left w:val="none" w:sz="0" w:space="0" w:color="auto"/>
        <w:bottom w:val="none" w:sz="0" w:space="0" w:color="auto"/>
        <w:right w:val="none" w:sz="0" w:space="0" w:color="auto"/>
      </w:divBdr>
    </w:div>
    <w:div w:id="574628314">
      <w:bodyDiv w:val="1"/>
      <w:marLeft w:val="0"/>
      <w:marRight w:val="0"/>
      <w:marTop w:val="0"/>
      <w:marBottom w:val="0"/>
      <w:divBdr>
        <w:top w:val="none" w:sz="0" w:space="0" w:color="auto"/>
        <w:left w:val="none" w:sz="0" w:space="0" w:color="auto"/>
        <w:bottom w:val="none" w:sz="0" w:space="0" w:color="auto"/>
        <w:right w:val="none" w:sz="0" w:space="0" w:color="auto"/>
      </w:divBdr>
    </w:div>
    <w:div w:id="580454497">
      <w:bodyDiv w:val="1"/>
      <w:marLeft w:val="0"/>
      <w:marRight w:val="0"/>
      <w:marTop w:val="0"/>
      <w:marBottom w:val="0"/>
      <w:divBdr>
        <w:top w:val="none" w:sz="0" w:space="0" w:color="auto"/>
        <w:left w:val="none" w:sz="0" w:space="0" w:color="auto"/>
        <w:bottom w:val="none" w:sz="0" w:space="0" w:color="auto"/>
        <w:right w:val="none" w:sz="0" w:space="0" w:color="auto"/>
      </w:divBdr>
    </w:div>
    <w:div w:id="583606805">
      <w:bodyDiv w:val="1"/>
      <w:marLeft w:val="0"/>
      <w:marRight w:val="0"/>
      <w:marTop w:val="0"/>
      <w:marBottom w:val="0"/>
      <w:divBdr>
        <w:top w:val="none" w:sz="0" w:space="0" w:color="auto"/>
        <w:left w:val="none" w:sz="0" w:space="0" w:color="auto"/>
        <w:bottom w:val="none" w:sz="0" w:space="0" w:color="auto"/>
        <w:right w:val="none" w:sz="0" w:space="0" w:color="auto"/>
      </w:divBdr>
    </w:div>
    <w:div w:id="585647899">
      <w:bodyDiv w:val="1"/>
      <w:marLeft w:val="0"/>
      <w:marRight w:val="0"/>
      <w:marTop w:val="0"/>
      <w:marBottom w:val="0"/>
      <w:divBdr>
        <w:top w:val="none" w:sz="0" w:space="0" w:color="auto"/>
        <w:left w:val="none" w:sz="0" w:space="0" w:color="auto"/>
        <w:bottom w:val="none" w:sz="0" w:space="0" w:color="auto"/>
        <w:right w:val="none" w:sz="0" w:space="0" w:color="auto"/>
      </w:divBdr>
    </w:div>
    <w:div w:id="586230873">
      <w:bodyDiv w:val="1"/>
      <w:marLeft w:val="0"/>
      <w:marRight w:val="0"/>
      <w:marTop w:val="0"/>
      <w:marBottom w:val="0"/>
      <w:divBdr>
        <w:top w:val="none" w:sz="0" w:space="0" w:color="auto"/>
        <w:left w:val="none" w:sz="0" w:space="0" w:color="auto"/>
        <w:bottom w:val="none" w:sz="0" w:space="0" w:color="auto"/>
        <w:right w:val="none" w:sz="0" w:space="0" w:color="auto"/>
      </w:divBdr>
    </w:div>
    <w:div w:id="595286498">
      <w:bodyDiv w:val="1"/>
      <w:marLeft w:val="0"/>
      <w:marRight w:val="0"/>
      <w:marTop w:val="0"/>
      <w:marBottom w:val="0"/>
      <w:divBdr>
        <w:top w:val="none" w:sz="0" w:space="0" w:color="auto"/>
        <w:left w:val="none" w:sz="0" w:space="0" w:color="auto"/>
        <w:bottom w:val="none" w:sz="0" w:space="0" w:color="auto"/>
        <w:right w:val="none" w:sz="0" w:space="0" w:color="auto"/>
      </w:divBdr>
    </w:div>
    <w:div w:id="598870416">
      <w:bodyDiv w:val="1"/>
      <w:marLeft w:val="0"/>
      <w:marRight w:val="0"/>
      <w:marTop w:val="0"/>
      <w:marBottom w:val="0"/>
      <w:divBdr>
        <w:top w:val="none" w:sz="0" w:space="0" w:color="auto"/>
        <w:left w:val="none" w:sz="0" w:space="0" w:color="auto"/>
        <w:bottom w:val="none" w:sz="0" w:space="0" w:color="auto"/>
        <w:right w:val="none" w:sz="0" w:space="0" w:color="auto"/>
      </w:divBdr>
    </w:div>
    <w:div w:id="603615643">
      <w:bodyDiv w:val="1"/>
      <w:marLeft w:val="0"/>
      <w:marRight w:val="0"/>
      <w:marTop w:val="0"/>
      <w:marBottom w:val="0"/>
      <w:divBdr>
        <w:top w:val="none" w:sz="0" w:space="0" w:color="auto"/>
        <w:left w:val="none" w:sz="0" w:space="0" w:color="auto"/>
        <w:bottom w:val="none" w:sz="0" w:space="0" w:color="auto"/>
        <w:right w:val="none" w:sz="0" w:space="0" w:color="auto"/>
      </w:divBdr>
    </w:div>
    <w:div w:id="604506117">
      <w:bodyDiv w:val="1"/>
      <w:marLeft w:val="0"/>
      <w:marRight w:val="0"/>
      <w:marTop w:val="0"/>
      <w:marBottom w:val="0"/>
      <w:divBdr>
        <w:top w:val="none" w:sz="0" w:space="0" w:color="auto"/>
        <w:left w:val="none" w:sz="0" w:space="0" w:color="auto"/>
        <w:bottom w:val="none" w:sz="0" w:space="0" w:color="auto"/>
        <w:right w:val="none" w:sz="0" w:space="0" w:color="auto"/>
      </w:divBdr>
    </w:div>
    <w:div w:id="604732578">
      <w:bodyDiv w:val="1"/>
      <w:marLeft w:val="0"/>
      <w:marRight w:val="0"/>
      <w:marTop w:val="0"/>
      <w:marBottom w:val="0"/>
      <w:divBdr>
        <w:top w:val="none" w:sz="0" w:space="0" w:color="auto"/>
        <w:left w:val="none" w:sz="0" w:space="0" w:color="auto"/>
        <w:bottom w:val="none" w:sz="0" w:space="0" w:color="auto"/>
        <w:right w:val="none" w:sz="0" w:space="0" w:color="auto"/>
      </w:divBdr>
    </w:div>
    <w:div w:id="606087757">
      <w:bodyDiv w:val="1"/>
      <w:marLeft w:val="0"/>
      <w:marRight w:val="0"/>
      <w:marTop w:val="0"/>
      <w:marBottom w:val="0"/>
      <w:divBdr>
        <w:top w:val="none" w:sz="0" w:space="0" w:color="auto"/>
        <w:left w:val="none" w:sz="0" w:space="0" w:color="auto"/>
        <w:bottom w:val="none" w:sz="0" w:space="0" w:color="auto"/>
        <w:right w:val="none" w:sz="0" w:space="0" w:color="auto"/>
      </w:divBdr>
    </w:div>
    <w:div w:id="610163449">
      <w:bodyDiv w:val="1"/>
      <w:marLeft w:val="0"/>
      <w:marRight w:val="0"/>
      <w:marTop w:val="0"/>
      <w:marBottom w:val="0"/>
      <w:divBdr>
        <w:top w:val="none" w:sz="0" w:space="0" w:color="auto"/>
        <w:left w:val="none" w:sz="0" w:space="0" w:color="auto"/>
        <w:bottom w:val="none" w:sz="0" w:space="0" w:color="auto"/>
        <w:right w:val="none" w:sz="0" w:space="0" w:color="auto"/>
      </w:divBdr>
    </w:div>
    <w:div w:id="618997974">
      <w:bodyDiv w:val="1"/>
      <w:marLeft w:val="0"/>
      <w:marRight w:val="0"/>
      <w:marTop w:val="0"/>
      <w:marBottom w:val="0"/>
      <w:divBdr>
        <w:top w:val="none" w:sz="0" w:space="0" w:color="auto"/>
        <w:left w:val="none" w:sz="0" w:space="0" w:color="auto"/>
        <w:bottom w:val="none" w:sz="0" w:space="0" w:color="auto"/>
        <w:right w:val="none" w:sz="0" w:space="0" w:color="auto"/>
      </w:divBdr>
    </w:div>
    <w:div w:id="624894201">
      <w:bodyDiv w:val="1"/>
      <w:marLeft w:val="0"/>
      <w:marRight w:val="0"/>
      <w:marTop w:val="0"/>
      <w:marBottom w:val="0"/>
      <w:divBdr>
        <w:top w:val="none" w:sz="0" w:space="0" w:color="auto"/>
        <w:left w:val="none" w:sz="0" w:space="0" w:color="auto"/>
        <w:bottom w:val="none" w:sz="0" w:space="0" w:color="auto"/>
        <w:right w:val="none" w:sz="0" w:space="0" w:color="auto"/>
      </w:divBdr>
    </w:div>
    <w:div w:id="630986205">
      <w:bodyDiv w:val="1"/>
      <w:marLeft w:val="0"/>
      <w:marRight w:val="0"/>
      <w:marTop w:val="0"/>
      <w:marBottom w:val="0"/>
      <w:divBdr>
        <w:top w:val="none" w:sz="0" w:space="0" w:color="auto"/>
        <w:left w:val="none" w:sz="0" w:space="0" w:color="auto"/>
        <w:bottom w:val="none" w:sz="0" w:space="0" w:color="auto"/>
        <w:right w:val="none" w:sz="0" w:space="0" w:color="auto"/>
      </w:divBdr>
    </w:div>
    <w:div w:id="642924987">
      <w:bodyDiv w:val="1"/>
      <w:marLeft w:val="0"/>
      <w:marRight w:val="0"/>
      <w:marTop w:val="0"/>
      <w:marBottom w:val="0"/>
      <w:divBdr>
        <w:top w:val="none" w:sz="0" w:space="0" w:color="auto"/>
        <w:left w:val="none" w:sz="0" w:space="0" w:color="auto"/>
        <w:bottom w:val="none" w:sz="0" w:space="0" w:color="auto"/>
        <w:right w:val="none" w:sz="0" w:space="0" w:color="auto"/>
      </w:divBdr>
    </w:div>
    <w:div w:id="646740817">
      <w:bodyDiv w:val="1"/>
      <w:marLeft w:val="0"/>
      <w:marRight w:val="0"/>
      <w:marTop w:val="0"/>
      <w:marBottom w:val="0"/>
      <w:divBdr>
        <w:top w:val="none" w:sz="0" w:space="0" w:color="auto"/>
        <w:left w:val="none" w:sz="0" w:space="0" w:color="auto"/>
        <w:bottom w:val="none" w:sz="0" w:space="0" w:color="auto"/>
        <w:right w:val="none" w:sz="0" w:space="0" w:color="auto"/>
      </w:divBdr>
    </w:div>
    <w:div w:id="649796180">
      <w:bodyDiv w:val="1"/>
      <w:marLeft w:val="0"/>
      <w:marRight w:val="0"/>
      <w:marTop w:val="0"/>
      <w:marBottom w:val="0"/>
      <w:divBdr>
        <w:top w:val="none" w:sz="0" w:space="0" w:color="auto"/>
        <w:left w:val="none" w:sz="0" w:space="0" w:color="auto"/>
        <w:bottom w:val="none" w:sz="0" w:space="0" w:color="auto"/>
        <w:right w:val="none" w:sz="0" w:space="0" w:color="auto"/>
      </w:divBdr>
    </w:div>
    <w:div w:id="649870338">
      <w:bodyDiv w:val="1"/>
      <w:marLeft w:val="0"/>
      <w:marRight w:val="0"/>
      <w:marTop w:val="0"/>
      <w:marBottom w:val="0"/>
      <w:divBdr>
        <w:top w:val="none" w:sz="0" w:space="0" w:color="auto"/>
        <w:left w:val="none" w:sz="0" w:space="0" w:color="auto"/>
        <w:bottom w:val="none" w:sz="0" w:space="0" w:color="auto"/>
        <w:right w:val="none" w:sz="0" w:space="0" w:color="auto"/>
      </w:divBdr>
    </w:div>
    <w:div w:id="653024483">
      <w:bodyDiv w:val="1"/>
      <w:marLeft w:val="0"/>
      <w:marRight w:val="0"/>
      <w:marTop w:val="0"/>
      <w:marBottom w:val="0"/>
      <w:divBdr>
        <w:top w:val="none" w:sz="0" w:space="0" w:color="auto"/>
        <w:left w:val="none" w:sz="0" w:space="0" w:color="auto"/>
        <w:bottom w:val="none" w:sz="0" w:space="0" w:color="auto"/>
        <w:right w:val="none" w:sz="0" w:space="0" w:color="auto"/>
      </w:divBdr>
    </w:div>
    <w:div w:id="654837606">
      <w:bodyDiv w:val="1"/>
      <w:marLeft w:val="0"/>
      <w:marRight w:val="0"/>
      <w:marTop w:val="0"/>
      <w:marBottom w:val="0"/>
      <w:divBdr>
        <w:top w:val="none" w:sz="0" w:space="0" w:color="auto"/>
        <w:left w:val="none" w:sz="0" w:space="0" w:color="auto"/>
        <w:bottom w:val="none" w:sz="0" w:space="0" w:color="auto"/>
        <w:right w:val="none" w:sz="0" w:space="0" w:color="auto"/>
      </w:divBdr>
    </w:div>
    <w:div w:id="657198475">
      <w:bodyDiv w:val="1"/>
      <w:marLeft w:val="0"/>
      <w:marRight w:val="0"/>
      <w:marTop w:val="0"/>
      <w:marBottom w:val="0"/>
      <w:divBdr>
        <w:top w:val="none" w:sz="0" w:space="0" w:color="auto"/>
        <w:left w:val="none" w:sz="0" w:space="0" w:color="auto"/>
        <w:bottom w:val="none" w:sz="0" w:space="0" w:color="auto"/>
        <w:right w:val="none" w:sz="0" w:space="0" w:color="auto"/>
      </w:divBdr>
    </w:div>
    <w:div w:id="660082028">
      <w:bodyDiv w:val="1"/>
      <w:marLeft w:val="0"/>
      <w:marRight w:val="0"/>
      <w:marTop w:val="0"/>
      <w:marBottom w:val="0"/>
      <w:divBdr>
        <w:top w:val="none" w:sz="0" w:space="0" w:color="auto"/>
        <w:left w:val="none" w:sz="0" w:space="0" w:color="auto"/>
        <w:bottom w:val="none" w:sz="0" w:space="0" w:color="auto"/>
        <w:right w:val="none" w:sz="0" w:space="0" w:color="auto"/>
      </w:divBdr>
    </w:div>
    <w:div w:id="665010005">
      <w:bodyDiv w:val="1"/>
      <w:marLeft w:val="0"/>
      <w:marRight w:val="0"/>
      <w:marTop w:val="0"/>
      <w:marBottom w:val="0"/>
      <w:divBdr>
        <w:top w:val="none" w:sz="0" w:space="0" w:color="auto"/>
        <w:left w:val="none" w:sz="0" w:space="0" w:color="auto"/>
        <w:bottom w:val="none" w:sz="0" w:space="0" w:color="auto"/>
        <w:right w:val="none" w:sz="0" w:space="0" w:color="auto"/>
      </w:divBdr>
    </w:div>
    <w:div w:id="665522066">
      <w:bodyDiv w:val="1"/>
      <w:marLeft w:val="0"/>
      <w:marRight w:val="0"/>
      <w:marTop w:val="0"/>
      <w:marBottom w:val="0"/>
      <w:divBdr>
        <w:top w:val="none" w:sz="0" w:space="0" w:color="auto"/>
        <w:left w:val="none" w:sz="0" w:space="0" w:color="auto"/>
        <w:bottom w:val="none" w:sz="0" w:space="0" w:color="auto"/>
        <w:right w:val="none" w:sz="0" w:space="0" w:color="auto"/>
      </w:divBdr>
    </w:div>
    <w:div w:id="670064017">
      <w:bodyDiv w:val="1"/>
      <w:marLeft w:val="0"/>
      <w:marRight w:val="0"/>
      <w:marTop w:val="0"/>
      <w:marBottom w:val="0"/>
      <w:divBdr>
        <w:top w:val="none" w:sz="0" w:space="0" w:color="auto"/>
        <w:left w:val="none" w:sz="0" w:space="0" w:color="auto"/>
        <w:bottom w:val="none" w:sz="0" w:space="0" w:color="auto"/>
        <w:right w:val="none" w:sz="0" w:space="0" w:color="auto"/>
      </w:divBdr>
    </w:div>
    <w:div w:id="671031893">
      <w:bodyDiv w:val="1"/>
      <w:marLeft w:val="0"/>
      <w:marRight w:val="0"/>
      <w:marTop w:val="0"/>
      <w:marBottom w:val="0"/>
      <w:divBdr>
        <w:top w:val="none" w:sz="0" w:space="0" w:color="auto"/>
        <w:left w:val="none" w:sz="0" w:space="0" w:color="auto"/>
        <w:bottom w:val="none" w:sz="0" w:space="0" w:color="auto"/>
        <w:right w:val="none" w:sz="0" w:space="0" w:color="auto"/>
      </w:divBdr>
    </w:div>
    <w:div w:id="671107042">
      <w:bodyDiv w:val="1"/>
      <w:marLeft w:val="0"/>
      <w:marRight w:val="0"/>
      <w:marTop w:val="0"/>
      <w:marBottom w:val="0"/>
      <w:divBdr>
        <w:top w:val="none" w:sz="0" w:space="0" w:color="auto"/>
        <w:left w:val="none" w:sz="0" w:space="0" w:color="auto"/>
        <w:bottom w:val="none" w:sz="0" w:space="0" w:color="auto"/>
        <w:right w:val="none" w:sz="0" w:space="0" w:color="auto"/>
      </w:divBdr>
    </w:div>
    <w:div w:id="673536855">
      <w:bodyDiv w:val="1"/>
      <w:marLeft w:val="0"/>
      <w:marRight w:val="0"/>
      <w:marTop w:val="0"/>
      <w:marBottom w:val="0"/>
      <w:divBdr>
        <w:top w:val="none" w:sz="0" w:space="0" w:color="auto"/>
        <w:left w:val="none" w:sz="0" w:space="0" w:color="auto"/>
        <w:bottom w:val="none" w:sz="0" w:space="0" w:color="auto"/>
        <w:right w:val="none" w:sz="0" w:space="0" w:color="auto"/>
      </w:divBdr>
    </w:div>
    <w:div w:id="674497109">
      <w:bodyDiv w:val="1"/>
      <w:marLeft w:val="0"/>
      <w:marRight w:val="0"/>
      <w:marTop w:val="0"/>
      <w:marBottom w:val="0"/>
      <w:divBdr>
        <w:top w:val="none" w:sz="0" w:space="0" w:color="auto"/>
        <w:left w:val="none" w:sz="0" w:space="0" w:color="auto"/>
        <w:bottom w:val="none" w:sz="0" w:space="0" w:color="auto"/>
        <w:right w:val="none" w:sz="0" w:space="0" w:color="auto"/>
      </w:divBdr>
    </w:div>
    <w:div w:id="677004471">
      <w:bodyDiv w:val="1"/>
      <w:marLeft w:val="0"/>
      <w:marRight w:val="0"/>
      <w:marTop w:val="0"/>
      <w:marBottom w:val="0"/>
      <w:divBdr>
        <w:top w:val="none" w:sz="0" w:space="0" w:color="auto"/>
        <w:left w:val="none" w:sz="0" w:space="0" w:color="auto"/>
        <w:bottom w:val="none" w:sz="0" w:space="0" w:color="auto"/>
        <w:right w:val="none" w:sz="0" w:space="0" w:color="auto"/>
      </w:divBdr>
    </w:div>
    <w:div w:id="682976462">
      <w:bodyDiv w:val="1"/>
      <w:marLeft w:val="0"/>
      <w:marRight w:val="0"/>
      <w:marTop w:val="0"/>
      <w:marBottom w:val="0"/>
      <w:divBdr>
        <w:top w:val="none" w:sz="0" w:space="0" w:color="auto"/>
        <w:left w:val="none" w:sz="0" w:space="0" w:color="auto"/>
        <w:bottom w:val="none" w:sz="0" w:space="0" w:color="auto"/>
        <w:right w:val="none" w:sz="0" w:space="0" w:color="auto"/>
      </w:divBdr>
    </w:div>
    <w:div w:id="686909680">
      <w:bodyDiv w:val="1"/>
      <w:marLeft w:val="0"/>
      <w:marRight w:val="0"/>
      <w:marTop w:val="0"/>
      <w:marBottom w:val="0"/>
      <w:divBdr>
        <w:top w:val="none" w:sz="0" w:space="0" w:color="auto"/>
        <w:left w:val="none" w:sz="0" w:space="0" w:color="auto"/>
        <w:bottom w:val="none" w:sz="0" w:space="0" w:color="auto"/>
        <w:right w:val="none" w:sz="0" w:space="0" w:color="auto"/>
      </w:divBdr>
    </w:div>
    <w:div w:id="691879647">
      <w:bodyDiv w:val="1"/>
      <w:marLeft w:val="0"/>
      <w:marRight w:val="0"/>
      <w:marTop w:val="0"/>
      <w:marBottom w:val="0"/>
      <w:divBdr>
        <w:top w:val="none" w:sz="0" w:space="0" w:color="auto"/>
        <w:left w:val="none" w:sz="0" w:space="0" w:color="auto"/>
        <w:bottom w:val="none" w:sz="0" w:space="0" w:color="auto"/>
        <w:right w:val="none" w:sz="0" w:space="0" w:color="auto"/>
      </w:divBdr>
    </w:div>
    <w:div w:id="692613545">
      <w:bodyDiv w:val="1"/>
      <w:marLeft w:val="0"/>
      <w:marRight w:val="0"/>
      <w:marTop w:val="0"/>
      <w:marBottom w:val="0"/>
      <w:divBdr>
        <w:top w:val="none" w:sz="0" w:space="0" w:color="auto"/>
        <w:left w:val="none" w:sz="0" w:space="0" w:color="auto"/>
        <w:bottom w:val="none" w:sz="0" w:space="0" w:color="auto"/>
        <w:right w:val="none" w:sz="0" w:space="0" w:color="auto"/>
      </w:divBdr>
    </w:div>
    <w:div w:id="693656067">
      <w:bodyDiv w:val="1"/>
      <w:marLeft w:val="0"/>
      <w:marRight w:val="0"/>
      <w:marTop w:val="0"/>
      <w:marBottom w:val="0"/>
      <w:divBdr>
        <w:top w:val="none" w:sz="0" w:space="0" w:color="auto"/>
        <w:left w:val="none" w:sz="0" w:space="0" w:color="auto"/>
        <w:bottom w:val="none" w:sz="0" w:space="0" w:color="auto"/>
        <w:right w:val="none" w:sz="0" w:space="0" w:color="auto"/>
      </w:divBdr>
    </w:div>
    <w:div w:id="698161711">
      <w:bodyDiv w:val="1"/>
      <w:marLeft w:val="0"/>
      <w:marRight w:val="0"/>
      <w:marTop w:val="0"/>
      <w:marBottom w:val="0"/>
      <w:divBdr>
        <w:top w:val="none" w:sz="0" w:space="0" w:color="auto"/>
        <w:left w:val="none" w:sz="0" w:space="0" w:color="auto"/>
        <w:bottom w:val="none" w:sz="0" w:space="0" w:color="auto"/>
        <w:right w:val="none" w:sz="0" w:space="0" w:color="auto"/>
      </w:divBdr>
    </w:div>
    <w:div w:id="699404129">
      <w:bodyDiv w:val="1"/>
      <w:marLeft w:val="0"/>
      <w:marRight w:val="0"/>
      <w:marTop w:val="0"/>
      <w:marBottom w:val="0"/>
      <w:divBdr>
        <w:top w:val="none" w:sz="0" w:space="0" w:color="auto"/>
        <w:left w:val="none" w:sz="0" w:space="0" w:color="auto"/>
        <w:bottom w:val="none" w:sz="0" w:space="0" w:color="auto"/>
        <w:right w:val="none" w:sz="0" w:space="0" w:color="auto"/>
      </w:divBdr>
    </w:div>
    <w:div w:id="700133220">
      <w:bodyDiv w:val="1"/>
      <w:marLeft w:val="0"/>
      <w:marRight w:val="0"/>
      <w:marTop w:val="0"/>
      <w:marBottom w:val="0"/>
      <w:divBdr>
        <w:top w:val="none" w:sz="0" w:space="0" w:color="auto"/>
        <w:left w:val="none" w:sz="0" w:space="0" w:color="auto"/>
        <w:bottom w:val="none" w:sz="0" w:space="0" w:color="auto"/>
        <w:right w:val="none" w:sz="0" w:space="0" w:color="auto"/>
      </w:divBdr>
    </w:div>
    <w:div w:id="706681503">
      <w:bodyDiv w:val="1"/>
      <w:marLeft w:val="0"/>
      <w:marRight w:val="0"/>
      <w:marTop w:val="0"/>
      <w:marBottom w:val="0"/>
      <w:divBdr>
        <w:top w:val="none" w:sz="0" w:space="0" w:color="auto"/>
        <w:left w:val="none" w:sz="0" w:space="0" w:color="auto"/>
        <w:bottom w:val="none" w:sz="0" w:space="0" w:color="auto"/>
        <w:right w:val="none" w:sz="0" w:space="0" w:color="auto"/>
      </w:divBdr>
    </w:div>
    <w:div w:id="713233772">
      <w:bodyDiv w:val="1"/>
      <w:marLeft w:val="0"/>
      <w:marRight w:val="0"/>
      <w:marTop w:val="0"/>
      <w:marBottom w:val="0"/>
      <w:divBdr>
        <w:top w:val="none" w:sz="0" w:space="0" w:color="auto"/>
        <w:left w:val="none" w:sz="0" w:space="0" w:color="auto"/>
        <w:bottom w:val="none" w:sz="0" w:space="0" w:color="auto"/>
        <w:right w:val="none" w:sz="0" w:space="0" w:color="auto"/>
      </w:divBdr>
    </w:div>
    <w:div w:id="723678314">
      <w:bodyDiv w:val="1"/>
      <w:marLeft w:val="0"/>
      <w:marRight w:val="0"/>
      <w:marTop w:val="0"/>
      <w:marBottom w:val="0"/>
      <w:divBdr>
        <w:top w:val="none" w:sz="0" w:space="0" w:color="auto"/>
        <w:left w:val="none" w:sz="0" w:space="0" w:color="auto"/>
        <w:bottom w:val="none" w:sz="0" w:space="0" w:color="auto"/>
        <w:right w:val="none" w:sz="0" w:space="0" w:color="auto"/>
      </w:divBdr>
    </w:div>
    <w:div w:id="726295009">
      <w:bodyDiv w:val="1"/>
      <w:marLeft w:val="0"/>
      <w:marRight w:val="0"/>
      <w:marTop w:val="0"/>
      <w:marBottom w:val="0"/>
      <w:divBdr>
        <w:top w:val="none" w:sz="0" w:space="0" w:color="auto"/>
        <w:left w:val="none" w:sz="0" w:space="0" w:color="auto"/>
        <w:bottom w:val="none" w:sz="0" w:space="0" w:color="auto"/>
        <w:right w:val="none" w:sz="0" w:space="0" w:color="auto"/>
      </w:divBdr>
    </w:div>
    <w:div w:id="737364009">
      <w:bodyDiv w:val="1"/>
      <w:marLeft w:val="0"/>
      <w:marRight w:val="0"/>
      <w:marTop w:val="0"/>
      <w:marBottom w:val="0"/>
      <w:divBdr>
        <w:top w:val="none" w:sz="0" w:space="0" w:color="auto"/>
        <w:left w:val="none" w:sz="0" w:space="0" w:color="auto"/>
        <w:bottom w:val="none" w:sz="0" w:space="0" w:color="auto"/>
        <w:right w:val="none" w:sz="0" w:space="0" w:color="auto"/>
      </w:divBdr>
    </w:div>
    <w:div w:id="746683026">
      <w:bodyDiv w:val="1"/>
      <w:marLeft w:val="0"/>
      <w:marRight w:val="0"/>
      <w:marTop w:val="0"/>
      <w:marBottom w:val="0"/>
      <w:divBdr>
        <w:top w:val="none" w:sz="0" w:space="0" w:color="auto"/>
        <w:left w:val="none" w:sz="0" w:space="0" w:color="auto"/>
        <w:bottom w:val="none" w:sz="0" w:space="0" w:color="auto"/>
        <w:right w:val="none" w:sz="0" w:space="0" w:color="auto"/>
      </w:divBdr>
    </w:div>
    <w:div w:id="749889147">
      <w:bodyDiv w:val="1"/>
      <w:marLeft w:val="0"/>
      <w:marRight w:val="0"/>
      <w:marTop w:val="0"/>
      <w:marBottom w:val="0"/>
      <w:divBdr>
        <w:top w:val="none" w:sz="0" w:space="0" w:color="auto"/>
        <w:left w:val="none" w:sz="0" w:space="0" w:color="auto"/>
        <w:bottom w:val="none" w:sz="0" w:space="0" w:color="auto"/>
        <w:right w:val="none" w:sz="0" w:space="0" w:color="auto"/>
      </w:divBdr>
    </w:div>
    <w:div w:id="751700892">
      <w:bodyDiv w:val="1"/>
      <w:marLeft w:val="0"/>
      <w:marRight w:val="0"/>
      <w:marTop w:val="0"/>
      <w:marBottom w:val="0"/>
      <w:divBdr>
        <w:top w:val="none" w:sz="0" w:space="0" w:color="auto"/>
        <w:left w:val="none" w:sz="0" w:space="0" w:color="auto"/>
        <w:bottom w:val="none" w:sz="0" w:space="0" w:color="auto"/>
        <w:right w:val="none" w:sz="0" w:space="0" w:color="auto"/>
      </w:divBdr>
    </w:div>
    <w:div w:id="757599911">
      <w:bodyDiv w:val="1"/>
      <w:marLeft w:val="0"/>
      <w:marRight w:val="0"/>
      <w:marTop w:val="0"/>
      <w:marBottom w:val="0"/>
      <w:divBdr>
        <w:top w:val="none" w:sz="0" w:space="0" w:color="auto"/>
        <w:left w:val="none" w:sz="0" w:space="0" w:color="auto"/>
        <w:bottom w:val="none" w:sz="0" w:space="0" w:color="auto"/>
        <w:right w:val="none" w:sz="0" w:space="0" w:color="auto"/>
      </w:divBdr>
    </w:div>
    <w:div w:id="761025586">
      <w:bodyDiv w:val="1"/>
      <w:marLeft w:val="0"/>
      <w:marRight w:val="0"/>
      <w:marTop w:val="0"/>
      <w:marBottom w:val="0"/>
      <w:divBdr>
        <w:top w:val="none" w:sz="0" w:space="0" w:color="auto"/>
        <w:left w:val="none" w:sz="0" w:space="0" w:color="auto"/>
        <w:bottom w:val="none" w:sz="0" w:space="0" w:color="auto"/>
        <w:right w:val="none" w:sz="0" w:space="0" w:color="auto"/>
      </w:divBdr>
    </w:div>
    <w:div w:id="767384704">
      <w:bodyDiv w:val="1"/>
      <w:marLeft w:val="0"/>
      <w:marRight w:val="0"/>
      <w:marTop w:val="0"/>
      <w:marBottom w:val="0"/>
      <w:divBdr>
        <w:top w:val="none" w:sz="0" w:space="0" w:color="auto"/>
        <w:left w:val="none" w:sz="0" w:space="0" w:color="auto"/>
        <w:bottom w:val="none" w:sz="0" w:space="0" w:color="auto"/>
        <w:right w:val="none" w:sz="0" w:space="0" w:color="auto"/>
      </w:divBdr>
    </w:div>
    <w:div w:id="768623937">
      <w:bodyDiv w:val="1"/>
      <w:marLeft w:val="0"/>
      <w:marRight w:val="0"/>
      <w:marTop w:val="0"/>
      <w:marBottom w:val="0"/>
      <w:divBdr>
        <w:top w:val="none" w:sz="0" w:space="0" w:color="auto"/>
        <w:left w:val="none" w:sz="0" w:space="0" w:color="auto"/>
        <w:bottom w:val="none" w:sz="0" w:space="0" w:color="auto"/>
        <w:right w:val="none" w:sz="0" w:space="0" w:color="auto"/>
      </w:divBdr>
    </w:div>
    <w:div w:id="770516288">
      <w:bodyDiv w:val="1"/>
      <w:marLeft w:val="0"/>
      <w:marRight w:val="0"/>
      <w:marTop w:val="0"/>
      <w:marBottom w:val="0"/>
      <w:divBdr>
        <w:top w:val="none" w:sz="0" w:space="0" w:color="auto"/>
        <w:left w:val="none" w:sz="0" w:space="0" w:color="auto"/>
        <w:bottom w:val="none" w:sz="0" w:space="0" w:color="auto"/>
        <w:right w:val="none" w:sz="0" w:space="0" w:color="auto"/>
      </w:divBdr>
    </w:div>
    <w:div w:id="774132187">
      <w:bodyDiv w:val="1"/>
      <w:marLeft w:val="0"/>
      <w:marRight w:val="0"/>
      <w:marTop w:val="0"/>
      <w:marBottom w:val="0"/>
      <w:divBdr>
        <w:top w:val="none" w:sz="0" w:space="0" w:color="auto"/>
        <w:left w:val="none" w:sz="0" w:space="0" w:color="auto"/>
        <w:bottom w:val="none" w:sz="0" w:space="0" w:color="auto"/>
        <w:right w:val="none" w:sz="0" w:space="0" w:color="auto"/>
      </w:divBdr>
    </w:div>
    <w:div w:id="776490293">
      <w:bodyDiv w:val="1"/>
      <w:marLeft w:val="0"/>
      <w:marRight w:val="0"/>
      <w:marTop w:val="0"/>
      <w:marBottom w:val="0"/>
      <w:divBdr>
        <w:top w:val="none" w:sz="0" w:space="0" w:color="auto"/>
        <w:left w:val="none" w:sz="0" w:space="0" w:color="auto"/>
        <w:bottom w:val="none" w:sz="0" w:space="0" w:color="auto"/>
        <w:right w:val="none" w:sz="0" w:space="0" w:color="auto"/>
      </w:divBdr>
    </w:div>
    <w:div w:id="781537378">
      <w:bodyDiv w:val="1"/>
      <w:marLeft w:val="0"/>
      <w:marRight w:val="0"/>
      <w:marTop w:val="0"/>
      <w:marBottom w:val="0"/>
      <w:divBdr>
        <w:top w:val="none" w:sz="0" w:space="0" w:color="auto"/>
        <w:left w:val="none" w:sz="0" w:space="0" w:color="auto"/>
        <w:bottom w:val="none" w:sz="0" w:space="0" w:color="auto"/>
        <w:right w:val="none" w:sz="0" w:space="0" w:color="auto"/>
      </w:divBdr>
      <w:divsChild>
        <w:div w:id="768501084">
          <w:marLeft w:val="0"/>
          <w:marRight w:val="0"/>
          <w:marTop w:val="0"/>
          <w:marBottom w:val="0"/>
          <w:divBdr>
            <w:top w:val="none" w:sz="0" w:space="0" w:color="auto"/>
            <w:left w:val="none" w:sz="0" w:space="0" w:color="auto"/>
            <w:bottom w:val="none" w:sz="0" w:space="0" w:color="auto"/>
            <w:right w:val="none" w:sz="0" w:space="0" w:color="auto"/>
          </w:divBdr>
          <w:divsChild>
            <w:div w:id="1590308818">
              <w:marLeft w:val="0"/>
              <w:marRight w:val="0"/>
              <w:marTop w:val="0"/>
              <w:marBottom w:val="0"/>
              <w:divBdr>
                <w:top w:val="none" w:sz="0" w:space="0" w:color="auto"/>
                <w:left w:val="none" w:sz="0" w:space="0" w:color="auto"/>
                <w:bottom w:val="none" w:sz="0" w:space="0" w:color="auto"/>
                <w:right w:val="none" w:sz="0" w:space="0" w:color="auto"/>
              </w:divBdr>
              <w:divsChild>
                <w:div w:id="20888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90651">
      <w:bodyDiv w:val="1"/>
      <w:marLeft w:val="0"/>
      <w:marRight w:val="0"/>
      <w:marTop w:val="0"/>
      <w:marBottom w:val="0"/>
      <w:divBdr>
        <w:top w:val="none" w:sz="0" w:space="0" w:color="auto"/>
        <w:left w:val="none" w:sz="0" w:space="0" w:color="auto"/>
        <w:bottom w:val="none" w:sz="0" w:space="0" w:color="auto"/>
        <w:right w:val="none" w:sz="0" w:space="0" w:color="auto"/>
      </w:divBdr>
    </w:div>
    <w:div w:id="788747173">
      <w:bodyDiv w:val="1"/>
      <w:marLeft w:val="0"/>
      <w:marRight w:val="0"/>
      <w:marTop w:val="0"/>
      <w:marBottom w:val="0"/>
      <w:divBdr>
        <w:top w:val="none" w:sz="0" w:space="0" w:color="auto"/>
        <w:left w:val="none" w:sz="0" w:space="0" w:color="auto"/>
        <w:bottom w:val="none" w:sz="0" w:space="0" w:color="auto"/>
        <w:right w:val="none" w:sz="0" w:space="0" w:color="auto"/>
      </w:divBdr>
    </w:div>
    <w:div w:id="788861737">
      <w:bodyDiv w:val="1"/>
      <w:marLeft w:val="0"/>
      <w:marRight w:val="0"/>
      <w:marTop w:val="0"/>
      <w:marBottom w:val="0"/>
      <w:divBdr>
        <w:top w:val="none" w:sz="0" w:space="0" w:color="auto"/>
        <w:left w:val="none" w:sz="0" w:space="0" w:color="auto"/>
        <w:bottom w:val="none" w:sz="0" w:space="0" w:color="auto"/>
        <w:right w:val="none" w:sz="0" w:space="0" w:color="auto"/>
      </w:divBdr>
    </w:div>
    <w:div w:id="791555139">
      <w:bodyDiv w:val="1"/>
      <w:marLeft w:val="0"/>
      <w:marRight w:val="0"/>
      <w:marTop w:val="0"/>
      <w:marBottom w:val="0"/>
      <w:divBdr>
        <w:top w:val="none" w:sz="0" w:space="0" w:color="auto"/>
        <w:left w:val="none" w:sz="0" w:space="0" w:color="auto"/>
        <w:bottom w:val="none" w:sz="0" w:space="0" w:color="auto"/>
        <w:right w:val="none" w:sz="0" w:space="0" w:color="auto"/>
      </w:divBdr>
    </w:div>
    <w:div w:id="793715888">
      <w:bodyDiv w:val="1"/>
      <w:marLeft w:val="0"/>
      <w:marRight w:val="0"/>
      <w:marTop w:val="0"/>
      <w:marBottom w:val="0"/>
      <w:divBdr>
        <w:top w:val="none" w:sz="0" w:space="0" w:color="auto"/>
        <w:left w:val="none" w:sz="0" w:space="0" w:color="auto"/>
        <w:bottom w:val="none" w:sz="0" w:space="0" w:color="auto"/>
        <w:right w:val="none" w:sz="0" w:space="0" w:color="auto"/>
      </w:divBdr>
    </w:div>
    <w:div w:id="794105980">
      <w:bodyDiv w:val="1"/>
      <w:marLeft w:val="0"/>
      <w:marRight w:val="0"/>
      <w:marTop w:val="0"/>
      <w:marBottom w:val="0"/>
      <w:divBdr>
        <w:top w:val="none" w:sz="0" w:space="0" w:color="auto"/>
        <w:left w:val="none" w:sz="0" w:space="0" w:color="auto"/>
        <w:bottom w:val="none" w:sz="0" w:space="0" w:color="auto"/>
        <w:right w:val="none" w:sz="0" w:space="0" w:color="auto"/>
      </w:divBdr>
    </w:div>
    <w:div w:id="794182687">
      <w:bodyDiv w:val="1"/>
      <w:marLeft w:val="0"/>
      <w:marRight w:val="0"/>
      <w:marTop w:val="0"/>
      <w:marBottom w:val="0"/>
      <w:divBdr>
        <w:top w:val="none" w:sz="0" w:space="0" w:color="auto"/>
        <w:left w:val="none" w:sz="0" w:space="0" w:color="auto"/>
        <w:bottom w:val="none" w:sz="0" w:space="0" w:color="auto"/>
        <w:right w:val="none" w:sz="0" w:space="0" w:color="auto"/>
      </w:divBdr>
    </w:div>
    <w:div w:id="798114247">
      <w:bodyDiv w:val="1"/>
      <w:marLeft w:val="0"/>
      <w:marRight w:val="0"/>
      <w:marTop w:val="0"/>
      <w:marBottom w:val="0"/>
      <w:divBdr>
        <w:top w:val="none" w:sz="0" w:space="0" w:color="auto"/>
        <w:left w:val="none" w:sz="0" w:space="0" w:color="auto"/>
        <w:bottom w:val="none" w:sz="0" w:space="0" w:color="auto"/>
        <w:right w:val="none" w:sz="0" w:space="0" w:color="auto"/>
      </w:divBdr>
    </w:div>
    <w:div w:id="798257390">
      <w:bodyDiv w:val="1"/>
      <w:marLeft w:val="0"/>
      <w:marRight w:val="0"/>
      <w:marTop w:val="0"/>
      <w:marBottom w:val="0"/>
      <w:divBdr>
        <w:top w:val="none" w:sz="0" w:space="0" w:color="auto"/>
        <w:left w:val="none" w:sz="0" w:space="0" w:color="auto"/>
        <w:bottom w:val="none" w:sz="0" w:space="0" w:color="auto"/>
        <w:right w:val="none" w:sz="0" w:space="0" w:color="auto"/>
      </w:divBdr>
    </w:div>
    <w:div w:id="803934691">
      <w:bodyDiv w:val="1"/>
      <w:marLeft w:val="0"/>
      <w:marRight w:val="0"/>
      <w:marTop w:val="0"/>
      <w:marBottom w:val="0"/>
      <w:divBdr>
        <w:top w:val="none" w:sz="0" w:space="0" w:color="auto"/>
        <w:left w:val="none" w:sz="0" w:space="0" w:color="auto"/>
        <w:bottom w:val="none" w:sz="0" w:space="0" w:color="auto"/>
        <w:right w:val="none" w:sz="0" w:space="0" w:color="auto"/>
      </w:divBdr>
    </w:div>
    <w:div w:id="812598895">
      <w:bodyDiv w:val="1"/>
      <w:marLeft w:val="0"/>
      <w:marRight w:val="0"/>
      <w:marTop w:val="0"/>
      <w:marBottom w:val="0"/>
      <w:divBdr>
        <w:top w:val="none" w:sz="0" w:space="0" w:color="auto"/>
        <w:left w:val="none" w:sz="0" w:space="0" w:color="auto"/>
        <w:bottom w:val="none" w:sz="0" w:space="0" w:color="auto"/>
        <w:right w:val="none" w:sz="0" w:space="0" w:color="auto"/>
      </w:divBdr>
    </w:div>
    <w:div w:id="819419472">
      <w:bodyDiv w:val="1"/>
      <w:marLeft w:val="0"/>
      <w:marRight w:val="0"/>
      <w:marTop w:val="0"/>
      <w:marBottom w:val="0"/>
      <w:divBdr>
        <w:top w:val="none" w:sz="0" w:space="0" w:color="auto"/>
        <w:left w:val="none" w:sz="0" w:space="0" w:color="auto"/>
        <w:bottom w:val="none" w:sz="0" w:space="0" w:color="auto"/>
        <w:right w:val="none" w:sz="0" w:space="0" w:color="auto"/>
      </w:divBdr>
    </w:div>
    <w:div w:id="823425631">
      <w:bodyDiv w:val="1"/>
      <w:marLeft w:val="0"/>
      <w:marRight w:val="0"/>
      <w:marTop w:val="0"/>
      <w:marBottom w:val="0"/>
      <w:divBdr>
        <w:top w:val="none" w:sz="0" w:space="0" w:color="auto"/>
        <w:left w:val="none" w:sz="0" w:space="0" w:color="auto"/>
        <w:bottom w:val="none" w:sz="0" w:space="0" w:color="auto"/>
        <w:right w:val="none" w:sz="0" w:space="0" w:color="auto"/>
      </w:divBdr>
    </w:div>
    <w:div w:id="824662480">
      <w:bodyDiv w:val="1"/>
      <w:marLeft w:val="0"/>
      <w:marRight w:val="0"/>
      <w:marTop w:val="0"/>
      <w:marBottom w:val="0"/>
      <w:divBdr>
        <w:top w:val="none" w:sz="0" w:space="0" w:color="auto"/>
        <w:left w:val="none" w:sz="0" w:space="0" w:color="auto"/>
        <w:bottom w:val="none" w:sz="0" w:space="0" w:color="auto"/>
        <w:right w:val="none" w:sz="0" w:space="0" w:color="auto"/>
      </w:divBdr>
    </w:div>
    <w:div w:id="829098946">
      <w:bodyDiv w:val="1"/>
      <w:marLeft w:val="0"/>
      <w:marRight w:val="0"/>
      <w:marTop w:val="0"/>
      <w:marBottom w:val="0"/>
      <w:divBdr>
        <w:top w:val="none" w:sz="0" w:space="0" w:color="auto"/>
        <w:left w:val="none" w:sz="0" w:space="0" w:color="auto"/>
        <w:bottom w:val="none" w:sz="0" w:space="0" w:color="auto"/>
        <w:right w:val="none" w:sz="0" w:space="0" w:color="auto"/>
      </w:divBdr>
    </w:div>
    <w:div w:id="832332285">
      <w:bodyDiv w:val="1"/>
      <w:marLeft w:val="0"/>
      <w:marRight w:val="0"/>
      <w:marTop w:val="0"/>
      <w:marBottom w:val="0"/>
      <w:divBdr>
        <w:top w:val="none" w:sz="0" w:space="0" w:color="auto"/>
        <w:left w:val="none" w:sz="0" w:space="0" w:color="auto"/>
        <w:bottom w:val="none" w:sz="0" w:space="0" w:color="auto"/>
        <w:right w:val="none" w:sz="0" w:space="0" w:color="auto"/>
      </w:divBdr>
    </w:div>
    <w:div w:id="833453894">
      <w:bodyDiv w:val="1"/>
      <w:marLeft w:val="0"/>
      <w:marRight w:val="0"/>
      <w:marTop w:val="0"/>
      <w:marBottom w:val="0"/>
      <w:divBdr>
        <w:top w:val="none" w:sz="0" w:space="0" w:color="auto"/>
        <w:left w:val="none" w:sz="0" w:space="0" w:color="auto"/>
        <w:bottom w:val="none" w:sz="0" w:space="0" w:color="auto"/>
        <w:right w:val="none" w:sz="0" w:space="0" w:color="auto"/>
      </w:divBdr>
    </w:div>
    <w:div w:id="837772452">
      <w:bodyDiv w:val="1"/>
      <w:marLeft w:val="0"/>
      <w:marRight w:val="0"/>
      <w:marTop w:val="0"/>
      <w:marBottom w:val="0"/>
      <w:divBdr>
        <w:top w:val="none" w:sz="0" w:space="0" w:color="auto"/>
        <w:left w:val="none" w:sz="0" w:space="0" w:color="auto"/>
        <w:bottom w:val="none" w:sz="0" w:space="0" w:color="auto"/>
        <w:right w:val="none" w:sz="0" w:space="0" w:color="auto"/>
      </w:divBdr>
    </w:div>
    <w:div w:id="839739823">
      <w:bodyDiv w:val="1"/>
      <w:marLeft w:val="0"/>
      <w:marRight w:val="0"/>
      <w:marTop w:val="0"/>
      <w:marBottom w:val="0"/>
      <w:divBdr>
        <w:top w:val="none" w:sz="0" w:space="0" w:color="auto"/>
        <w:left w:val="none" w:sz="0" w:space="0" w:color="auto"/>
        <w:bottom w:val="none" w:sz="0" w:space="0" w:color="auto"/>
        <w:right w:val="none" w:sz="0" w:space="0" w:color="auto"/>
      </w:divBdr>
    </w:div>
    <w:div w:id="841434564">
      <w:bodyDiv w:val="1"/>
      <w:marLeft w:val="0"/>
      <w:marRight w:val="0"/>
      <w:marTop w:val="0"/>
      <w:marBottom w:val="0"/>
      <w:divBdr>
        <w:top w:val="none" w:sz="0" w:space="0" w:color="auto"/>
        <w:left w:val="none" w:sz="0" w:space="0" w:color="auto"/>
        <w:bottom w:val="none" w:sz="0" w:space="0" w:color="auto"/>
        <w:right w:val="none" w:sz="0" w:space="0" w:color="auto"/>
      </w:divBdr>
    </w:div>
    <w:div w:id="842282903">
      <w:bodyDiv w:val="1"/>
      <w:marLeft w:val="0"/>
      <w:marRight w:val="0"/>
      <w:marTop w:val="0"/>
      <w:marBottom w:val="0"/>
      <w:divBdr>
        <w:top w:val="none" w:sz="0" w:space="0" w:color="auto"/>
        <w:left w:val="none" w:sz="0" w:space="0" w:color="auto"/>
        <w:bottom w:val="none" w:sz="0" w:space="0" w:color="auto"/>
        <w:right w:val="none" w:sz="0" w:space="0" w:color="auto"/>
      </w:divBdr>
      <w:divsChild>
        <w:div w:id="866334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167927">
              <w:marLeft w:val="0"/>
              <w:marRight w:val="0"/>
              <w:marTop w:val="0"/>
              <w:marBottom w:val="0"/>
              <w:divBdr>
                <w:top w:val="none" w:sz="0" w:space="0" w:color="auto"/>
                <w:left w:val="none" w:sz="0" w:space="0" w:color="auto"/>
                <w:bottom w:val="none" w:sz="0" w:space="0" w:color="auto"/>
                <w:right w:val="none" w:sz="0" w:space="0" w:color="auto"/>
              </w:divBdr>
              <w:divsChild>
                <w:div w:id="1721589458">
                  <w:marLeft w:val="0"/>
                  <w:marRight w:val="0"/>
                  <w:marTop w:val="0"/>
                  <w:marBottom w:val="0"/>
                  <w:divBdr>
                    <w:top w:val="none" w:sz="0" w:space="0" w:color="auto"/>
                    <w:left w:val="none" w:sz="0" w:space="0" w:color="auto"/>
                    <w:bottom w:val="none" w:sz="0" w:space="0" w:color="auto"/>
                    <w:right w:val="none" w:sz="0" w:space="0" w:color="auto"/>
                  </w:divBdr>
                  <w:divsChild>
                    <w:div w:id="1609122636">
                      <w:marLeft w:val="0"/>
                      <w:marRight w:val="0"/>
                      <w:marTop w:val="0"/>
                      <w:marBottom w:val="0"/>
                      <w:divBdr>
                        <w:top w:val="none" w:sz="0" w:space="0" w:color="auto"/>
                        <w:left w:val="none" w:sz="0" w:space="0" w:color="auto"/>
                        <w:bottom w:val="none" w:sz="0" w:space="0" w:color="auto"/>
                        <w:right w:val="none" w:sz="0" w:space="0" w:color="auto"/>
                      </w:divBdr>
                      <w:divsChild>
                        <w:div w:id="1672179889">
                          <w:marLeft w:val="0"/>
                          <w:marRight w:val="0"/>
                          <w:marTop w:val="0"/>
                          <w:marBottom w:val="0"/>
                          <w:divBdr>
                            <w:top w:val="none" w:sz="0" w:space="0" w:color="auto"/>
                            <w:left w:val="none" w:sz="0" w:space="0" w:color="auto"/>
                            <w:bottom w:val="none" w:sz="0" w:space="0" w:color="auto"/>
                            <w:right w:val="none" w:sz="0" w:space="0" w:color="auto"/>
                          </w:divBdr>
                          <w:divsChild>
                            <w:div w:id="1429278976">
                              <w:marLeft w:val="0"/>
                              <w:marRight w:val="0"/>
                              <w:marTop w:val="0"/>
                              <w:marBottom w:val="0"/>
                              <w:divBdr>
                                <w:top w:val="none" w:sz="0" w:space="0" w:color="auto"/>
                                <w:left w:val="none" w:sz="0" w:space="0" w:color="auto"/>
                                <w:bottom w:val="none" w:sz="0" w:space="0" w:color="auto"/>
                                <w:right w:val="none" w:sz="0" w:space="0" w:color="auto"/>
                              </w:divBdr>
                              <w:divsChild>
                                <w:div w:id="884635532">
                                  <w:marLeft w:val="0"/>
                                  <w:marRight w:val="0"/>
                                  <w:marTop w:val="0"/>
                                  <w:marBottom w:val="0"/>
                                  <w:divBdr>
                                    <w:top w:val="none" w:sz="0" w:space="0" w:color="auto"/>
                                    <w:left w:val="none" w:sz="0" w:space="0" w:color="auto"/>
                                    <w:bottom w:val="none" w:sz="0" w:space="0" w:color="auto"/>
                                    <w:right w:val="none" w:sz="0" w:space="0" w:color="auto"/>
                                  </w:divBdr>
                                </w:div>
                              </w:divsChild>
                            </w:div>
                            <w:div w:id="1501307567">
                              <w:marLeft w:val="0"/>
                              <w:marRight w:val="0"/>
                              <w:marTop w:val="0"/>
                              <w:marBottom w:val="0"/>
                              <w:divBdr>
                                <w:top w:val="none" w:sz="0" w:space="0" w:color="auto"/>
                                <w:left w:val="none" w:sz="0" w:space="0" w:color="auto"/>
                                <w:bottom w:val="none" w:sz="0" w:space="0" w:color="auto"/>
                                <w:right w:val="none" w:sz="0" w:space="0" w:color="auto"/>
                              </w:divBdr>
                              <w:divsChild>
                                <w:div w:id="160316733">
                                  <w:marLeft w:val="0"/>
                                  <w:marRight w:val="0"/>
                                  <w:marTop w:val="0"/>
                                  <w:marBottom w:val="0"/>
                                  <w:divBdr>
                                    <w:top w:val="none" w:sz="0" w:space="0" w:color="auto"/>
                                    <w:left w:val="none" w:sz="0" w:space="0" w:color="auto"/>
                                    <w:bottom w:val="none" w:sz="0" w:space="0" w:color="auto"/>
                                    <w:right w:val="none" w:sz="0" w:space="0" w:color="auto"/>
                                  </w:divBdr>
                                </w:div>
                              </w:divsChild>
                            </w:div>
                            <w:div w:id="1826824290">
                              <w:marLeft w:val="0"/>
                              <w:marRight w:val="0"/>
                              <w:marTop w:val="0"/>
                              <w:marBottom w:val="0"/>
                              <w:divBdr>
                                <w:top w:val="none" w:sz="0" w:space="0" w:color="auto"/>
                                <w:left w:val="none" w:sz="0" w:space="0" w:color="auto"/>
                                <w:bottom w:val="none" w:sz="0" w:space="0" w:color="auto"/>
                                <w:right w:val="none" w:sz="0" w:space="0" w:color="auto"/>
                              </w:divBdr>
                              <w:divsChild>
                                <w:div w:id="9165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521361">
      <w:bodyDiv w:val="1"/>
      <w:marLeft w:val="0"/>
      <w:marRight w:val="0"/>
      <w:marTop w:val="0"/>
      <w:marBottom w:val="0"/>
      <w:divBdr>
        <w:top w:val="none" w:sz="0" w:space="0" w:color="auto"/>
        <w:left w:val="none" w:sz="0" w:space="0" w:color="auto"/>
        <w:bottom w:val="none" w:sz="0" w:space="0" w:color="auto"/>
        <w:right w:val="none" w:sz="0" w:space="0" w:color="auto"/>
      </w:divBdr>
    </w:div>
    <w:div w:id="846477034">
      <w:bodyDiv w:val="1"/>
      <w:marLeft w:val="0"/>
      <w:marRight w:val="0"/>
      <w:marTop w:val="0"/>
      <w:marBottom w:val="0"/>
      <w:divBdr>
        <w:top w:val="none" w:sz="0" w:space="0" w:color="auto"/>
        <w:left w:val="none" w:sz="0" w:space="0" w:color="auto"/>
        <w:bottom w:val="none" w:sz="0" w:space="0" w:color="auto"/>
        <w:right w:val="none" w:sz="0" w:space="0" w:color="auto"/>
      </w:divBdr>
    </w:div>
    <w:div w:id="849830089">
      <w:bodyDiv w:val="1"/>
      <w:marLeft w:val="0"/>
      <w:marRight w:val="0"/>
      <w:marTop w:val="0"/>
      <w:marBottom w:val="0"/>
      <w:divBdr>
        <w:top w:val="none" w:sz="0" w:space="0" w:color="auto"/>
        <w:left w:val="none" w:sz="0" w:space="0" w:color="auto"/>
        <w:bottom w:val="none" w:sz="0" w:space="0" w:color="auto"/>
        <w:right w:val="none" w:sz="0" w:space="0" w:color="auto"/>
      </w:divBdr>
    </w:div>
    <w:div w:id="855652999">
      <w:bodyDiv w:val="1"/>
      <w:marLeft w:val="0"/>
      <w:marRight w:val="0"/>
      <w:marTop w:val="0"/>
      <w:marBottom w:val="0"/>
      <w:divBdr>
        <w:top w:val="none" w:sz="0" w:space="0" w:color="auto"/>
        <w:left w:val="none" w:sz="0" w:space="0" w:color="auto"/>
        <w:bottom w:val="none" w:sz="0" w:space="0" w:color="auto"/>
        <w:right w:val="none" w:sz="0" w:space="0" w:color="auto"/>
      </w:divBdr>
    </w:div>
    <w:div w:id="858005678">
      <w:bodyDiv w:val="1"/>
      <w:marLeft w:val="0"/>
      <w:marRight w:val="0"/>
      <w:marTop w:val="0"/>
      <w:marBottom w:val="0"/>
      <w:divBdr>
        <w:top w:val="none" w:sz="0" w:space="0" w:color="auto"/>
        <w:left w:val="none" w:sz="0" w:space="0" w:color="auto"/>
        <w:bottom w:val="none" w:sz="0" w:space="0" w:color="auto"/>
        <w:right w:val="none" w:sz="0" w:space="0" w:color="auto"/>
      </w:divBdr>
    </w:div>
    <w:div w:id="865869264">
      <w:bodyDiv w:val="1"/>
      <w:marLeft w:val="0"/>
      <w:marRight w:val="0"/>
      <w:marTop w:val="0"/>
      <w:marBottom w:val="0"/>
      <w:divBdr>
        <w:top w:val="none" w:sz="0" w:space="0" w:color="auto"/>
        <w:left w:val="none" w:sz="0" w:space="0" w:color="auto"/>
        <w:bottom w:val="none" w:sz="0" w:space="0" w:color="auto"/>
        <w:right w:val="none" w:sz="0" w:space="0" w:color="auto"/>
      </w:divBdr>
    </w:div>
    <w:div w:id="866258829">
      <w:bodyDiv w:val="1"/>
      <w:marLeft w:val="0"/>
      <w:marRight w:val="0"/>
      <w:marTop w:val="0"/>
      <w:marBottom w:val="0"/>
      <w:divBdr>
        <w:top w:val="none" w:sz="0" w:space="0" w:color="auto"/>
        <w:left w:val="none" w:sz="0" w:space="0" w:color="auto"/>
        <w:bottom w:val="none" w:sz="0" w:space="0" w:color="auto"/>
        <w:right w:val="none" w:sz="0" w:space="0" w:color="auto"/>
      </w:divBdr>
    </w:div>
    <w:div w:id="868759873">
      <w:bodyDiv w:val="1"/>
      <w:marLeft w:val="0"/>
      <w:marRight w:val="0"/>
      <w:marTop w:val="0"/>
      <w:marBottom w:val="0"/>
      <w:divBdr>
        <w:top w:val="none" w:sz="0" w:space="0" w:color="auto"/>
        <w:left w:val="none" w:sz="0" w:space="0" w:color="auto"/>
        <w:bottom w:val="none" w:sz="0" w:space="0" w:color="auto"/>
        <w:right w:val="none" w:sz="0" w:space="0" w:color="auto"/>
      </w:divBdr>
    </w:div>
    <w:div w:id="873225014">
      <w:bodyDiv w:val="1"/>
      <w:marLeft w:val="0"/>
      <w:marRight w:val="0"/>
      <w:marTop w:val="0"/>
      <w:marBottom w:val="0"/>
      <w:divBdr>
        <w:top w:val="none" w:sz="0" w:space="0" w:color="auto"/>
        <w:left w:val="none" w:sz="0" w:space="0" w:color="auto"/>
        <w:bottom w:val="none" w:sz="0" w:space="0" w:color="auto"/>
        <w:right w:val="none" w:sz="0" w:space="0" w:color="auto"/>
      </w:divBdr>
    </w:div>
    <w:div w:id="882328154">
      <w:bodyDiv w:val="1"/>
      <w:marLeft w:val="0"/>
      <w:marRight w:val="0"/>
      <w:marTop w:val="0"/>
      <w:marBottom w:val="0"/>
      <w:divBdr>
        <w:top w:val="none" w:sz="0" w:space="0" w:color="auto"/>
        <w:left w:val="none" w:sz="0" w:space="0" w:color="auto"/>
        <w:bottom w:val="none" w:sz="0" w:space="0" w:color="auto"/>
        <w:right w:val="none" w:sz="0" w:space="0" w:color="auto"/>
      </w:divBdr>
    </w:div>
    <w:div w:id="883057839">
      <w:bodyDiv w:val="1"/>
      <w:marLeft w:val="0"/>
      <w:marRight w:val="0"/>
      <w:marTop w:val="0"/>
      <w:marBottom w:val="0"/>
      <w:divBdr>
        <w:top w:val="none" w:sz="0" w:space="0" w:color="auto"/>
        <w:left w:val="none" w:sz="0" w:space="0" w:color="auto"/>
        <w:bottom w:val="none" w:sz="0" w:space="0" w:color="auto"/>
        <w:right w:val="none" w:sz="0" w:space="0" w:color="auto"/>
      </w:divBdr>
    </w:div>
    <w:div w:id="885916509">
      <w:bodyDiv w:val="1"/>
      <w:marLeft w:val="0"/>
      <w:marRight w:val="0"/>
      <w:marTop w:val="0"/>
      <w:marBottom w:val="0"/>
      <w:divBdr>
        <w:top w:val="none" w:sz="0" w:space="0" w:color="auto"/>
        <w:left w:val="none" w:sz="0" w:space="0" w:color="auto"/>
        <w:bottom w:val="none" w:sz="0" w:space="0" w:color="auto"/>
        <w:right w:val="none" w:sz="0" w:space="0" w:color="auto"/>
      </w:divBdr>
    </w:div>
    <w:div w:id="887303412">
      <w:bodyDiv w:val="1"/>
      <w:marLeft w:val="0"/>
      <w:marRight w:val="0"/>
      <w:marTop w:val="0"/>
      <w:marBottom w:val="0"/>
      <w:divBdr>
        <w:top w:val="none" w:sz="0" w:space="0" w:color="auto"/>
        <w:left w:val="none" w:sz="0" w:space="0" w:color="auto"/>
        <w:bottom w:val="none" w:sz="0" w:space="0" w:color="auto"/>
        <w:right w:val="none" w:sz="0" w:space="0" w:color="auto"/>
      </w:divBdr>
    </w:div>
    <w:div w:id="888954035">
      <w:bodyDiv w:val="1"/>
      <w:marLeft w:val="0"/>
      <w:marRight w:val="0"/>
      <w:marTop w:val="0"/>
      <w:marBottom w:val="0"/>
      <w:divBdr>
        <w:top w:val="none" w:sz="0" w:space="0" w:color="auto"/>
        <w:left w:val="none" w:sz="0" w:space="0" w:color="auto"/>
        <w:bottom w:val="none" w:sz="0" w:space="0" w:color="auto"/>
        <w:right w:val="none" w:sz="0" w:space="0" w:color="auto"/>
      </w:divBdr>
    </w:div>
    <w:div w:id="895315287">
      <w:bodyDiv w:val="1"/>
      <w:marLeft w:val="0"/>
      <w:marRight w:val="0"/>
      <w:marTop w:val="0"/>
      <w:marBottom w:val="0"/>
      <w:divBdr>
        <w:top w:val="none" w:sz="0" w:space="0" w:color="auto"/>
        <w:left w:val="none" w:sz="0" w:space="0" w:color="auto"/>
        <w:bottom w:val="none" w:sz="0" w:space="0" w:color="auto"/>
        <w:right w:val="none" w:sz="0" w:space="0" w:color="auto"/>
      </w:divBdr>
      <w:divsChild>
        <w:div w:id="1487016302">
          <w:marLeft w:val="792"/>
          <w:marRight w:val="0"/>
          <w:marTop w:val="339"/>
          <w:marBottom w:val="0"/>
          <w:divBdr>
            <w:top w:val="none" w:sz="0" w:space="0" w:color="auto"/>
            <w:left w:val="none" w:sz="0" w:space="0" w:color="auto"/>
            <w:bottom w:val="none" w:sz="0" w:space="0" w:color="auto"/>
            <w:right w:val="none" w:sz="0" w:space="0" w:color="auto"/>
          </w:divBdr>
        </w:div>
      </w:divsChild>
    </w:div>
    <w:div w:id="896206274">
      <w:bodyDiv w:val="1"/>
      <w:marLeft w:val="0"/>
      <w:marRight w:val="0"/>
      <w:marTop w:val="0"/>
      <w:marBottom w:val="0"/>
      <w:divBdr>
        <w:top w:val="none" w:sz="0" w:space="0" w:color="auto"/>
        <w:left w:val="none" w:sz="0" w:space="0" w:color="auto"/>
        <w:bottom w:val="none" w:sz="0" w:space="0" w:color="auto"/>
        <w:right w:val="none" w:sz="0" w:space="0" w:color="auto"/>
      </w:divBdr>
    </w:div>
    <w:div w:id="900409317">
      <w:bodyDiv w:val="1"/>
      <w:marLeft w:val="0"/>
      <w:marRight w:val="0"/>
      <w:marTop w:val="0"/>
      <w:marBottom w:val="0"/>
      <w:divBdr>
        <w:top w:val="none" w:sz="0" w:space="0" w:color="auto"/>
        <w:left w:val="none" w:sz="0" w:space="0" w:color="auto"/>
        <w:bottom w:val="none" w:sz="0" w:space="0" w:color="auto"/>
        <w:right w:val="none" w:sz="0" w:space="0" w:color="auto"/>
      </w:divBdr>
    </w:div>
    <w:div w:id="900750350">
      <w:bodyDiv w:val="1"/>
      <w:marLeft w:val="0"/>
      <w:marRight w:val="0"/>
      <w:marTop w:val="0"/>
      <w:marBottom w:val="0"/>
      <w:divBdr>
        <w:top w:val="none" w:sz="0" w:space="0" w:color="auto"/>
        <w:left w:val="none" w:sz="0" w:space="0" w:color="auto"/>
        <w:bottom w:val="none" w:sz="0" w:space="0" w:color="auto"/>
        <w:right w:val="none" w:sz="0" w:space="0" w:color="auto"/>
      </w:divBdr>
    </w:div>
    <w:div w:id="903443725">
      <w:bodyDiv w:val="1"/>
      <w:marLeft w:val="0"/>
      <w:marRight w:val="0"/>
      <w:marTop w:val="0"/>
      <w:marBottom w:val="0"/>
      <w:divBdr>
        <w:top w:val="none" w:sz="0" w:space="0" w:color="auto"/>
        <w:left w:val="none" w:sz="0" w:space="0" w:color="auto"/>
        <w:bottom w:val="none" w:sz="0" w:space="0" w:color="auto"/>
        <w:right w:val="none" w:sz="0" w:space="0" w:color="auto"/>
      </w:divBdr>
    </w:div>
    <w:div w:id="907037281">
      <w:bodyDiv w:val="1"/>
      <w:marLeft w:val="0"/>
      <w:marRight w:val="0"/>
      <w:marTop w:val="0"/>
      <w:marBottom w:val="0"/>
      <w:divBdr>
        <w:top w:val="none" w:sz="0" w:space="0" w:color="auto"/>
        <w:left w:val="none" w:sz="0" w:space="0" w:color="auto"/>
        <w:bottom w:val="none" w:sz="0" w:space="0" w:color="auto"/>
        <w:right w:val="none" w:sz="0" w:space="0" w:color="auto"/>
      </w:divBdr>
    </w:div>
    <w:div w:id="908004637">
      <w:bodyDiv w:val="1"/>
      <w:marLeft w:val="0"/>
      <w:marRight w:val="0"/>
      <w:marTop w:val="0"/>
      <w:marBottom w:val="0"/>
      <w:divBdr>
        <w:top w:val="none" w:sz="0" w:space="0" w:color="auto"/>
        <w:left w:val="none" w:sz="0" w:space="0" w:color="auto"/>
        <w:bottom w:val="none" w:sz="0" w:space="0" w:color="auto"/>
        <w:right w:val="none" w:sz="0" w:space="0" w:color="auto"/>
      </w:divBdr>
    </w:div>
    <w:div w:id="910820176">
      <w:bodyDiv w:val="1"/>
      <w:marLeft w:val="0"/>
      <w:marRight w:val="0"/>
      <w:marTop w:val="0"/>
      <w:marBottom w:val="0"/>
      <w:divBdr>
        <w:top w:val="none" w:sz="0" w:space="0" w:color="auto"/>
        <w:left w:val="none" w:sz="0" w:space="0" w:color="auto"/>
        <w:bottom w:val="none" w:sz="0" w:space="0" w:color="auto"/>
        <w:right w:val="none" w:sz="0" w:space="0" w:color="auto"/>
      </w:divBdr>
    </w:div>
    <w:div w:id="919632915">
      <w:bodyDiv w:val="1"/>
      <w:marLeft w:val="0"/>
      <w:marRight w:val="0"/>
      <w:marTop w:val="0"/>
      <w:marBottom w:val="0"/>
      <w:divBdr>
        <w:top w:val="none" w:sz="0" w:space="0" w:color="auto"/>
        <w:left w:val="none" w:sz="0" w:space="0" w:color="auto"/>
        <w:bottom w:val="none" w:sz="0" w:space="0" w:color="auto"/>
        <w:right w:val="none" w:sz="0" w:space="0" w:color="auto"/>
      </w:divBdr>
    </w:div>
    <w:div w:id="919751311">
      <w:bodyDiv w:val="1"/>
      <w:marLeft w:val="0"/>
      <w:marRight w:val="0"/>
      <w:marTop w:val="0"/>
      <w:marBottom w:val="0"/>
      <w:divBdr>
        <w:top w:val="none" w:sz="0" w:space="0" w:color="auto"/>
        <w:left w:val="none" w:sz="0" w:space="0" w:color="auto"/>
        <w:bottom w:val="none" w:sz="0" w:space="0" w:color="auto"/>
        <w:right w:val="none" w:sz="0" w:space="0" w:color="auto"/>
      </w:divBdr>
    </w:div>
    <w:div w:id="927037789">
      <w:bodyDiv w:val="1"/>
      <w:marLeft w:val="0"/>
      <w:marRight w:val="0"/>
      <w:marTop w:val="0"/>
      <w:marBottom w:val="0"/>
      <w:divBdr>
        <w:top w:val="none" w:sz="0" w:space="0" w:color="auto"/>
        <w:left w:val="none" w:sz="0" w:space="0" w:color="auto"/>
        <w:bottom w:val="none" w:sz="0" w:space="0" w:color="auto"/>
        <w:right w:val="none" w:sz="0" w:space="0" w:color="auto"/>
      </w:divBdr>
    </w:div>
    <w:div w:id="932858251">
      <w:bodyDiv w:val="1"/>
      <w:marLeft w:val="0"/>
      <w:marRight w:val="0"/>
      <w:marTop w:val="0"/>
      <w:marBottom w:val="0"/>
      <w:divBdr>
        <w:top w:val="none" w:sz="0" w:space="0" w:color="auto"/>
        <w:left w:val="none" w:sz="0" w:space="0" w:color="auto"/>
        <w:bottom w:val="none" w:sz="0" w:space="0" w:color="auto"/>
        <w:right w:val="none" w:sz="0" w:space="0" w:color="auto"/>
      </w:divBdr>
    </w:div>
    <w:div w:id="935016605">
      <w:bodyDiv w:val="1"/>
      <w:marLeft w:val="0"/>
      <w:marRight w:val="0"/>
      <w:marTop w:val="0"/>
      <w:marBottom w:val="0"/>
      <w:divBdr>
        <w:top w:val="none" w:sz="0" w:space="0" w:color="auto"/>
        <w:left w:val="none" w:sz="0" w:space="0" w:color="auto"/>
        <w:bottom w:val="none" w:sz="0" w:space="0" w:color="auto"/>
        <w:right w:val="none" w:sz="0" w:space="0" w:color="auto"/>
      </w:divBdr>
    </w:div>
    <w:div w:id="948779406">
      <w:bodyDiv w:val="1"/>
      <w:marLeft w:val="0"/>
      <w:marRight w:val="0"/>
      <w:marTop w:val="0"/>
      <w:marBottom w:val="0"/>
      <w:divBdr>
        <w:top w:val="none" w:sz="0" w:space="0" w:color="auto"/>
        <w:left w:val="none" w:sz="0" w:space="0" w:color="auto"/>
        <w:bottom w:val="none" w:sz="0" w:space="0" w:color="auto"/>
        <w:right w:val="none" w:sz="0" w:space="0" w:color="auto"/>
      </w:divBdr>
    </w:div>
    <w:div w:id="955873706">
      <w:bodyDiv w:val="1"/>
      <w:marLeft w:val="0"/>
      <w:marRight w:val="0"/>
      <w:marTop w:val="0"/>
      <w:marBottom w:val="0"/>
      <w:divBdr>
        <w:top w:val="none" w:sz="0" w:space="0" w:color="auto"/>
        <w:left w:val="none" w:sz="0" w:space="0" w:color="auto"/>
        <w:bottom w:val="none" w:sz="0" w:space="0" w:color="auto"/>
        <w:right w:val="none" w:sz="0" w:space="0" w:color="auto"/>
      </w:divBdr>
    </w:div>
    <w:div w:id="956061240">
      <w:bodyDiv w:val="1"/>
      <w:marLeft w:val="0"/>
      <w:marRight w:val="0"/>
      <w:marTop w:val="0"/>
      <w:marBottom w:val="0"/>
      <w:divBdr>
        <w:top w:val="none" w:sz="0" w:space="0" w:color="auto"/>
        <w:left w:val="none" w:sz="0" w:space="0" w:color="auto"/>
        <w:bottom w:val="none" w:sz="0" w:space="0" w:color="auto"/>
        <w:right w:val="none" w:sz="0" w:space="0" w:color="auto"/>
      </w:divBdr>
    </w:div>
    <w:div w:id="964310778">
      <w:bodyDiv w:val="1"/>
      <w:marLeft w:val="0"/>
      <w:marRight w:val="0"/>
      <w:marTop w:val="0"/>
      <w:marBottom w:val="0"/>
      <w:divBdr>
        <w:top w:val="none" w:sz="0" w:space="0" w:color="auto"/>
        <w:left w:val="none" w:sz="0" w:space="0" w:color="auto"/>
        <w:bottom w:val="none" w:sz="0" w:space="0" w:color="auto"/>
        <w:right w:val="none" w:sz="0" w:space="0" w:color="auto"/>
      </w:divBdr>
    </w:div>
    <w:div w:id="969825118">
      <w:bodyDiv w:val="1"/>
      <w:marLeft w:val="0"/>
      <w:marRight w:val="0"/>
      <w:marTop w:val="0"/>
      <w:marBottom w:val="0"/>
      <w:divBdr>
        <w:top w:val="none" w:sz="0" w:space="0" w:color="auto"/>
        <w:left w:val="none" w:sz="0" w:space="0" w:color="auto"/>
        <w:bottom w:val="none" w:sz="0" w:space="0" w:color="auto"/>
        <w:right w:val="none" w:sz="0" w:space="0" w:color="auto"/>
      </w:divBdr>
    </w:div>
    <w:div w:id="972171132">
      <w:bodyDiv w:val="1"/>
      <w:marLeft w:val="0"/>
      <w:marRight w:val="0"/>
      <w:marTop w:val="0"/>
      <w:marBottom w:val="0"/>
      <w:divBdr>
        <w:top w:val="none" w:sz="0" w:space="0" w:color="auto"/>
        <w:left w:val="none" w:sz="0" w:space="0" w:color="auto"/>
        <w:bottom w:val="none" w:sz="0" w:space="0" w:color="auto"/>
        <w:right w:val="none" w:sz="0" w:space="0" w:color="auto"/>
      </w:divBdr>
    </w:div>
    <w:div w:id="976644732">
      <w:bodyDiv w:val="1"/>
      <w:marLeft w:val="0"/>
      <w:marRight w:val="0"/>
      <w:marTop w:val="0"/>
      <w:marBottom w:val="0"/>
      <w:divBdr>
        <w:top w:val="none" w:sz="0" w:space="0" w:color="auto"/>
        <w:left w:val="none" w:sz="0" w:space="0" w:color="auto"/>
        <w:bottom w:val="none" w:sz="0" w:space="0" w:color="auto"/>
        <w:right w:val="none" w:sz="0" w:space="0" w:color="auto"/>
      </w:divBdr>
    </w:div>
    <w:div w:id="984164696">
      <w:bodyDiv w:val="1"/>
      <w:marLeft w:val="0"/>
      <w:marRight w:val="0"/>
      <w:marTop w:val="0"/>
      <w:marBottom w:val="0"/>
      <w:divBdr>
        <w:top w:val="none" w:sz="0" w:space="0" w:color="auto"/>
        <w:left w:val="none" w:sz="0" w:space="0" w:color="auto"/>
        <w:bottom w:val="none" w:sz="0" w:space="0" w:color="auto"/>
        <w:right w:val="none" w:sz="0" w:space="0" w:color="auto"/>
      </w:divBdr>
    </w:div>
    <w:div w:id="986974089">
      <w:bodyDiv w:val="1"/>
      <w:marLeft w:val="0"/>
      <w:marRight w:val="0"/>
      <w:marTop w:val="0"/>
      <w:marBottom w:val="0"/>
      <w:divBdr>
        <w:top w:val="none" w:sz="0" w:space="0" w:color="auto"/>
        <w:left w:val="none" w:sz="0" w:space="0" w:color="auto"/>
        <w:bottom w:val="none" w:sz="0" w:space="0" w:color="auto"/>
        <w:right w:val="none" w:sz="0" w:space="0" w:color="auto"/>
      </w:divBdr>
    </w:div>
    <w:div w:id="993920495">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9963997">
      <w:bodyDiv w:val="1"/>
      <w:marLeft w:val="0"/>
      <w:marRight w:val="0"/>
      <w:marTop w:val="0"/>
      <w:marBottom w:val="0"/>
      <w:divBdr>
        <w:top w:val="none" w:sz="0" w:space="0" w:color="auto"/>
        <w:left w:val="none" w:sz="0" w:space="0" w:color="auto"/>
        <w:bottom w:val="none" w:sz="0" w:space="0" w:color="auto"/>
        <w:right w:val="none" w:sz="0" w:space="0" w:color="auto"/>
      </w:divBdr>
    </w:div>
    <w:div w:id="1001011263">
      <w:bodyDiv w:val="1"/>
      <w:marLeft w:val="0"/>
      <w:marRight w:val="0"/>
      <w:marTop w:val="0"/>
      <w:marBottom w:val="0"/>
      <w:divBdr>
        <w:top w:val="none" w:sz="0" w:space="0" w:color="auto"/>
        <w:left w:val="none" w:sz="0" w:space="0" w:color="auto"/>
        <w:bottom w:val="none" w:sz="0" w:space="0" w:color="auto"/>
        <w:right w:val="none" w:sz="0" w:space="0" w:color="auto"/>
      </w:divBdr>
    </w:div>
    <w:div w:id="1005858854">
      <w:bodyDiv w:val="1"/>
      <w:marLeft w:val="0"/>
      <w:marRight w:val="0"/>
      <w:marTop w:val="0"/>
      <w:marBottom w:val="0"/>
      <w:divBdr>
        <w:top w:val="none" w:sz="0" w:space="0" w:color="auto"/>
        <w:left w:val="none" w:sz="0" w:space="0" w:color="auto"/>
        <w:bottom w:val="none" w:sz="0" w:space="0" w:color="auto"/>
        <w:right w:val="none" w:sz="0" w:space="0" w:color="auto"/>
      </w:divBdr>
    </w:div>
    <w:div w:id="1012030451">
      <w:bodyDiv w:val="1"/>
      <w:marLeft w:val="0"/>
      <w:marRight w:val="0"/>
      <w:marTop w:val="0"/>
      <w:marBottom w:val="0"/>
      <w:divBdr>
        <w:top w:val="none" w:sz="0" w:space="0" w:color="auto"/>
        <w:left w:val="none" w:sz="0" w:space="0" w:color="auto"/>
        <w:bottom w:val="none" w:sz="0" w:space="0" w:color="auto"/>
        <w:right w:val="none" w:sz="0" w:space="0" w:color="auto"/>
      </w:divBdr>
    </w:div>
    <w:div w:id="1013991068">
      <w:bodyDiv w:val="1"/>
      <w:marLeft w:val="0"/>
      <w:marRight w:val="0"/>
      <w:marTop w:val="0"/>
      <w:marBottom w:val="0"/>
      <w:divBdr>
        <w:top w:val="none" w:sz="0" w:space="0" w:color="auto"/>
        <w:left w:val="none" w:sz="0" w:space="0" w:color="auto"/>
        <w:bottom w:val="none" w:sz="0" w:space="0" w:color="auto"/>
        <w:right w:val="none" w:sz="0" w:space="0" w:color="auto"/>
      </w:divBdr>
    </w:div>
    <w:div w:id="1013992318">
      <w:bodyDiv w:val="1"/>
      <w:marLeft w:val="0"/>
      <w:marRight w:val="0"/>
      <w:marTop w:val="0"/>
      <w:marBottom w:val="0"/>
      <w:divBdr>
        <w:top w:val="none" w:sz="0" w:space="0" w:color="auto"/>
        <w:left w:val="none" w:sz="0" w:space="0" w:color="auto"/>
        <w:bottom w:val="none" w:sz="0" w:space="0" w:color="auto"/>
        <w:right w:val="none" w:sz="0" w:space="0" w:color="auto"/>
      </w:divBdr>
    </w:div>
    <w:div w:id="1014070741">
      <w:bodyDiv w:val="1"/>
      <w:marLeft w:val="0"/>
      <w:marRight w:val="0"/>
      <w:marTop w:val="0"/>
      <w:marBottom w:val="0"/>
      <w:divBdr>
        <w:top w:val="none" w:sz="0" w:space="0" w:color="auto"/>
        <w:left w:val="none" w:sz="0" w:space="0" w:color="auto"/>
        <w:bottom w:val="none" w:sz="0" w:space="0" w:color="auto"/>
        <w:right w:val="none" w:sz="0" w:space="0" w:color="auto"/>
      </w:divBdr>
    </w:div>
    <w:div w:id="1021515823">
      <w:bodyDiv w:val="1"/>
      <w:marLeft w:val="0"/>
      <w:marRight w:val="0"/>
      <w:marTop w:val="0"/>
      <w:marBottom w:val="0"/>
      <w:divBdr>
        <w:top w:val="none" w:sz="0" w:space="0" w:color="auto"/>
        <w:left w:val="none" w:sz="0" w:space="0" w:color="auto"/>
        <w:bottom w:val="none" w:sz="0" w:space="0" w:color="auto"/>
        <w:right w:val="none" w:sz="0" w:space="0" w:color="auto"/>
      </w:divBdr>
    </w:div>
    <w:div w:id="1024017266">
      <w:bodyDiv w:val="1"/>
      <w:marLeft w:val="0"/>
      <w:marRight w:val="0"/>
      <w:marTop w:val="0"/>
      <w:marBottom w:val="0"/>
      <w:divBdr>
        <w:top w:val="none" w:sz="0" w:space="0" w:color="auto"/>
        <w:left w:val="none" w:sz="0" w:space="0" w:color="auto"/>
        <w:bottom w:val="none" w:sz="0" w:space="0" w:color="auto"/>
        <w:right w:val="none" w:sz="0" w:space="0" w:color="auto"/>
      </w:divBdr>
    </w:div>
    <w:div w:id="1029913874">
      <w:bodyDiv w:val="1"/>
      <w:marLeft w:val="0"/>
      <w:marRight w:val="0"/>
      <w:marTop w:val="0"/>
      <w:marBottom w:val="0"/>
      <w:divBdr>
        <w:top w:val="none" w:sz="0" w:space="0" w:color="auto"/>
        <w:left w:val="none" w:sz="0" w:space="0" w:color="auto"/>
        <w:bottom w:val="none" w:sz="0" w:space="0" w:color="auto"/>
        <w:right w:val="none" w:sz="0" w:space="0" w:color="auto"/>
      </w:divBdr>
    </w:div>
    <w:div w:id="1033965324">
      <w:bodyDiv w:val="1"/>
      <w:marLeft w:val="0"/>
      <w:marRight w:val="0"/>
      <w:marTop w:val="0"/>
      <w:marBottom w:val="0"/>
      <w:divBdr>
        <w:top w:val="none" w:sz="0" w:space="0" w:color="auto"/>
        <w:left w:val="none" w:sz="0" w:space="0" w:color="auto"/>
        <w:bottom w:val="none" w:sz="0" w:space="0" w:color="auto"/>
        <w:right w:val="none" w:sz="0" w:space="0" w:color="auto"/>
      </w:divBdr>
    </w:div>
    <w:div w:id="1035542712">
      <w:bodyDiv w:val="1"/>
      <w:marLeft w:val="0"/>
      <w:marRight w:val="0"/>
      <w:marTop w:val="0"/>
      <w:marBottom w:val="0"/>
      <w:divBdr>
        <w:top w:val="none" w:sz="0" w:space="0" w:color="auto"/>
        <w:left w:val="none" w:sz="0" w:space="0" w:color="auto"/>
        <w:bottom w:val="none" w:sz="0" w:space="0" w:color="auto"/>
        <w:right w:val="none" w:sz="0" w:space="0" w:color="auto"/>
      </w:divBdr>
    </w:div>
    <w:div w:id="1037974034">
      <w:bodyDiv w:val="1"/>
      <w:marLeft w:val="0"/>
      <w:marRight w:val="0"/>
      <w:marTop w:val="0"/>
      <w:marBottom w:val="0"/>
      <w:divBdr>
        <w:top w:val="none" w:sz="0" w:space="0" w:color="auto"/>
        <w:left w:val="none" w:sz="0" w:space="0" w:color="auto"/>
        <w:bottom w:val="none" w:sz="0" w:space="0" w:color="auto"/>
        <w:right w:val="none" w:sz="0" w:space="0" w:color="auto"/>
      </w:divBdr>
    </w:div>
    <w:div w:id="1039665161">
      <w:bodyDiv w:val="1"/>
      <w:marLeft w:val="0"/>
      <w:marRight w:val="0"/>
      <w:marTop w:val="0"/>
      <w:marBottom w:val="0"/>
      <w:divBdr>
        <w:top w:val="none" w:sz="0" w:space="0" w:color="auto"/>
        <w:left w:val="none" w:sz="0" w:space="0" w:color="auto"/>
        <w:bottom w:val="none" w:sz="0" w:space="0" w:color="auto"/>
        <w:right w:val="none" w:sz="0" w:space="0" w:color="auto"/>
      </w:divBdr>
    </w:div>
    <w:div w:id="1050567353">
      <w:bodyDiv w:val="1"/>
      <w:marLeft w:val="0"/>
      <w:marRight w:val="0"/>
      <w:marTop w:val="0"/>
      <w:marBottom w:val="0"/>
      <w:divBdr>
        <w:top w:val="none" w:sz="0" w:space="0" w:color="auto"/>
        <w:left w:val="none" w:sz="0" w:space="0" w:color="auto"/>
        <w:bottom w:val="none" w:sz="0" w:space="0" w:color="auto"/>
        <w:right w:val="none" w:sz="0" w:space="0" w:color="auto"/>
      </w:divBdr>
    </w:div>
    <w:div w:id="1051152440">
      <w:bodyDiv w:val="1"/>
      <w:marLeft w:val="0"/>
      <w:marRight w:val="0"/>
      <w:marTop w:val="0"/>
      <w:marBottom w:val="0"/>
      <w:divBdr>
        <w:top w:val="none" w:sz="0" w:space="0" w:color="auto"/>
        <w:left w:val="none" w:sz="0" w:space="0" w:color="auto"/>
        <w:bottom w:val="none" w:sz="0" w:space="0" w:color="auto"/>
        <w:right w:val="none" w:sz="0" w:space="0" w:color="auto"/>
      </w:divBdr>
    </w:div>
    <w:div w:id="1051346361">
      <w:bodyDiv w:val="1"/>
      <w:marLeft w:val="0"/>
      <w:marRight w:val="0"/>
      <w:marTop w:val="0"/>
      <w:marBottom w:val="0"/>
      <w:divBdr>
        <w:top w:val="none" w:sz="0" w:space="0" w:color="auto"/>
        <w:left w:val="none" w:sz="0" w:space="0" w:color="auto"/>
        <w:bottom w:val="none" w:sz="0" w:space="0" w:color="auto"/>
        <w:right w:val="none" w:sz="0" w:space="0" w:color="auto"/>
      </w:divBdr>
    </w:div>
    <w:div w:id="1061825881">
      <w:bodyDiv w:val="1"/>
      <w:marLeft w:val="0"/>
      <w:marRight w:val="0"/>
      <w:marTop w:val="0"/>
      <w:marBottom w:val="0"/>
      <w:divBdr>
        <w:top w:val="none" w:sz="0" w:space="0" w:color="auto"/>
        <w:left w:val="none" w:sz="0" w:space="0" w:color="auto"/>
        <w:bottom w:val="none" w:sz="0" w:space="0" w:color="auto"/>
        <w:right w:val="none" w:sz="0" w:space="0" w:color="auto"/>
      </w:divBdr>
      <w:divsChild>
        <w:div w:id="1601139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345">
              <w:marLeft w:val="0"/>
              <w:marRight w:val="0"/>
              <w:marTop w:val="0"/>
              <w:marBottom w:val="0"/>
              <w:divBdr>
                <w:top w:val="none" w:sz="0" w:space="0" w:color="auto"/>
                <w:left w:val="none" w:sz="0" w:space="0" w:color="auto"/>
                <w:bottom w:val="none" w:sz="0" w:space="0" w:color="auto"/>
                <w:right w:val="none" w:sz="0" w:space="0" w:color="auto"/>
              </w:divBdr>
              <w:divsChild>
                <w:div w:id="1568416665">
                  <w:marLeft w:val="0"/>
                  <w:marRight w:val="0"/>
                  <w:marTop w:val="0"/>
                  <w:marBottom w:val="0"/>
                  <w:divBdr>
                    <w:top w:val="none" w:sz="0" w:space="0" w:color="auto"/>
                    <w:left w:val="none" w:sz="0" w:space="0" w:color="auto"/>
                    <w:bottom w:val="none" w:sz="0" w:space="0" w:color="auto"/>
                    <w:right w:val="none" w:sz="0" w:space="0" w:color="auto"/>
                  </w:divBdr>
                  <w:divsChild>
                    <w:div w:id="904489543">
                      <w:marLeft w:val="0"/>
                      <w:marRight w:val="0"/>
                      <w:marTop w:val="0"/>
                      <w:marBottom w:val="0"/>
                      <w:divBdr>
                        <w:top w:val="none" w:sz="0" w:space="0" w:color="auto"/>
                        <w:left w:val="none" w:sz="0" w:space="0" w:color="auto"/>
                        <w:bottom w:val="none" w:sz="0" w:space="0" w:color="auto"/>
                        <w:right w:val="none" w:sz="0" w:space="0" w:color="auto"/>
                      </w:divBdr>
                      <w:divsChild>
                        <w:div w:id="1031491457">
                          <w:marLeft w:val="0"/>
                          <w:marRight w:val="0"/>
                          <w:marTop w:val="0"/>
                          <w:marBottom w:val="0"/>
                          <w:divBdr>
                            <w:top w:val="none" w:sz="0" w:space="0" w:color="auto"/>
                            <w:left w:val="none" w:sz="0" w:space="0" w:color="auto"/>
                            <w:bottom w:val="none" w:sz="0" w:space="0" w:color="auto"/>
                            <w:right w:val="none" w:sz="0" w:space="0" w:color="auto"/>
                          </w:divBdr>
                          <w:divsChild>
                            <w:div w:id="349455626">
                              <w:marLeft w:val="0"/>
                              <w:marRight w:val="0"/>
                              <w:marTop w:val="0"/>
                              <w:marBottom w:val="0"/>
                              <w:divBdr>
                                <w:top w:val="none" w:sz="0" w:space="0" w:color="auto"/>
                                <w:left w:val="none" w:sz="0" w:space="0" w:color="auto"/>
                                <w:bottom w:val="none" w:sz="0" w:space="0" w:color="auto"/>
                                <w:right w:val="none" w:sz="0" w:space="0" w:color="auto"/>
                              </w:divBdr>
                              <w:divsChild>
                                <w:div w:id="665942806">
                                  <w:marLeft w:val="0"/>
                                  <w:marRight w:val="0"/>
                                  <w:marTop w:val="0"/>
                                  <w:marBottom w:val="0"/>
                                  <w:divBdr>
                                    <w:top w:val="none" w:sz="0" w:space="0" w:color="auto"/>
                                    <w:left w:val="none" w:sz="0" w:space="0" w:color="auto"/>
                                    <w:bottom w:val="none" w:sz="0" w:space="0" w:color="auto"/>
                                    <w:right w:val="none" w:sz="0" w:space="0" w:color="auto"/>
                                  </w:divBdr>
                                </w:div>
                              </w:divsChild>
                            </w:div>
                            <w:div w:id="1081831096">
                              <w:marLeft w:val="0"/>
                              <w:marRight w:val="0"/>
                              <w:marTop w:val="0"/>
                              <w:marBottom w:val="0"/>
                              <w:divBdr>
                                <w:top w:val="none" w:sz="0" w:space="0" w:color="auto"/>
                                <w:left w:val="none" w:sz="0" w:space="0" w:color="auto"/>
                                <w:bottom w:val="none" w:sz="0" w:space="0" w:color="auto"/>
                                <w:right w:val="none" w:sz="0" w:space="0" w:color="auto"/>
                              </w:divBdr>
                              <w:divsChild>
                                <w:div w:id="74673628">
                                  <w:marLeft w:val="0"/>
                                  <w:marRight w:val="0"/>
                                  <w:marTop w:val="0"/>
                                  <w:marBottom w:val="0"/>
                                  <w:divBdr>
                                    <w:top w:val="none" w:sz="0" w:space="0" w:color="auto"/>
                                    <w:left w:val="none" w:sz="0" w:space="0" w:color="auto"/>
                                    <w:bottom w:val="none" w:sz="0" w:space="0" w:color="auto"/>
                                    <w:right w:val="none" w:sz="0" w:space="0" w:color="auto"/>
                                  </w:divBdr>
                                </w:div>
                              </w:divsChild>
                            </w:div>
                            <w:div w:id="1864509588">
                              <w:marLeft w:val="0"/>
                              <w:marRight w:val="0"/>
                              <w:marTop w:val="0"/>
                              <w:marBottom w:val="0"/>
                              <w:divBdr>
                                <w:top w:val="none" w:sz="0" w:space="0" w:color="auto"/>
                                <w:left w:val="none" w:sz="0" w:space="0" w:color="auto"/>
                                <w:bottom w:val="none" w:sz="0" w:space="0" w:color="auto"/>
                                <w:right w:val="none" w:sz="0" w:space="0" w:color="auto"/>
                              </w:divBdr>
                              <w:divsChild>
                                <w:div w:id="4365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410462">
      <w:bodyDiv w:val="1"/>
      <w:marLeft w:val="0"/>
      <w:marRight w:val="0"/>
      <w:marTop w:val="0"/>
      <w:marBottom w:val="0"/>
      <w:divBdr>
        <w:top w:val="none" w:sz="0" w:space="0" w:color="auto"/>
        <w:left w:val="none" w:sz="0" w:space="0" w:color="auto"/>
        <w:bottom w:val="none" w:sz="0" w:space="0" w:color="auto"/>
        <w:right w:val="none" w:sz="0" w:space="0" w:color="auto"/>
      </w:divBdr>
    </w:div>
    <w:div w:id="1063483007">
      <w:bodyDiv w:val="1"/>
      <w:marLeft w:val="0"/>
      <w:marRight w:val="0"/>
      <w:marTop w:val="0"/>
      <w:marBottom w:val="0"/>
      <w:divBdr>
        <w:top w:val="none" w:sz="0" w:space="0" w:color="auto"/>
        <w:left w:val="none" w:sz="0" w:space="0" w:color="auto"/>
        <w:bottom w:val="none" w:sz="0" w:space="0" w:color="auto"/>
        <w:right w:val="none" w:sz="0" w:space="0" w:color="auto"/>
      </w:divBdr>
    </w:div>
    <w:div w:id="1074746166">
      <w:bodyDiv w:val="1"/>
      <w:marLeft w:val="0"/>
      <w:marRight w:val="0"/>
      <w:marTop w:val="0"/>
      <w:marBottom w:val="0"/>
      <w:divBdr>
        <w:top w:val="none" w:sz="0" w:space="0" w:color="auto"/>
        <w:left w:val="none" w:sz="0" w:space="0" w:color="auto"/>
        <w:bottom w:val="none" w:sz="0" w:space="0" w:color="auto"/>
        <w:right w:val="none" w:sz="0" w:space="0" w:color="auto"/>
      </w:divBdr>
    </w:div>
    <w:div w:id="1074821122">
      <w:bodyDiv w:val="1"/>
      <w:marLeft w:val="0"/>
      <w:marRight w:val="0"/>
      <w:marTop w:val="0"/>
      <w:marBottom w:val="0"/>
      <w:divBdr>
        <w:top w:val="none" w:sz="0" w:space="0" w:color="auto"/>
        <w:left w:val="none" w:sz="0" w:space="0" w:color="auto"/>
        <w:bottom w:val="none" w:sz="0" w:space="0" w:color="auto"/>
        <w:right w:val="none" w:sz="0" w:space="0" w:color="auto"/>
      </w:divBdr>
    </w:div>
    <w:div w:id="1078021240">
      <w:bodyDiv w:val="1"/>
      <w:marLeft w:val="0"/>
      <w:marRight w:val="0"/>
      <w:marTop w:val="0"/>
      <w:marBottom w:val="0"/>
      <w:divBdr>
        <w:top w:val="none" w:sz="0" w:space="0" w:color="auto"/>
        <w:left w:val="none" w:sz="0" w:space="0" w:color="auto"/>
        <w:bottom w:val="none" w:sz="0" w:space="0" w:color="auto"/>
        <w:right w:val="none" w:sz="0" w:space="0" w:color="auto"/>
      </w:divBdr>
    </w:div>
    <w:div w:id="1081416881">
      <w:bodyDiv w:val="1"/>
      <w:marLeft w:val="0"/>
      <w:marRight w:val="0"/>
      <w:marTop w:val="0"/>
      <w:marBottom w:val="0"/>
      <w:divBdr>
        <w:top w:val="none" w:sz="0" w:space="0" w:color="auto"/>
        <w:left w:val="none" w:sz="0" w:space="0" w:color="auto"/>
        <w:bottom w:val="none" w:sz="0" w:space="0" w:color="auto"/>
        <w:right w:val="none" w:sz="0" w:space="0" w:color="auto"/>
      </w:divBdr>
    </w:div>
    <w:div w:id="1082482374">
      <w:bodyDiv w:val="1"/>
      <w:marLeft w:val="0"/>
      <w:marRight w:val="0"/>
      <w:marTop w:val="0"/>
      <w:marBottom w:val="0"/>
      <w:divBdr>
        <w:top w:val="none" w:sz="0" w:space="0" w:color="auto"/>
        <w:left w:val="none" w:sz="0" w:space="0" w:color="auto"/>
        <w:bottom w:val="none" w:sz="0" w:space="0" w:color="auto"/>
        <w:right w:val="none" w:sz="0" w:space="0" w:color="auto"/>
      </w:divBdr>
    </w:div>
    <w:div w:id="1087459427">
      <w:bodyDiv w:val="1"/>
      <w:marLeft w:val="0"/>
      <w:marRight w:val="0"/>
      <w:marTop w:val="0"/>
      <w:marBottom w:val="0"/>
      <w:divBdr>
        <w:top w:val="none" w:sz="0" w:space="0" w:color="auto"/>
        <w:left w:val="none" w:sz="0" w:space="0" w:color="auto"/>
        <w:bottom w:val="none" w:sz="0" w:space="0" w:color="auto"/>
        <w:right w:val="none" w:sz="0" w:space="0" w:color="auto"/>
      </w:divBdr>
    </w:div>
    <w:div w:id="1087573856">
      <w:bodyDiv w:val="1"/>
      <w:marLeft w:val="0"/>
      <w:marRight w:val="0"/>
      <w:marTop w:val="0"/>
      <w:marBottom w:val="0"/>
      <w:divBdr>
        <w:top w:val="none" w:sz="0" w:space="0" w:color="auto"/>
        <w:left w:val="none" w:sz="0" w:space="0" w:color="auto"/>
        <w:bottom w:val="none" w:sz="0" w:space="0" w:color="auto"/>
        <w:right w:val="none" w:sz="0" w:space="0" w:color="auto"/>
      </w:divBdr>
    </w:div>
    <w:div w:id="1088505385">
      <w:bodyDiv w:val="1"/>
      <w:marLeft w:val="0"/>
      <w:marRight w:val="0"/>
      <w:marTop w:val="0"/>
      <w:marBottom w:val="0"/>
      <w:divBdr>
        <w:top w:val="none" w:sz="0" w:space="0" w:color="auto"/>
        <w:left w:val="none" w:sz="0" w:space="0" w:color="auto"/>
        <w:bottom w:val="none" w:sz="0" w:space="0" w:color="auto"/>
        <w:right w:val="none" w:sz="0" w:space="0" w:color="auto"/>
      </w:divBdr>
    </w:div>
    <w:div w:id="1090544132">
      <w:bodyDiv w:val="1"/>
      <w:marLeft w:val="0"/>
      <w:marRight w:val="0"/>
      <w:marTop w:val="0"/>
      <w:marBottom w:val="0"/>
      <w:divBdr>
        <w:top w:val="none" w:sz="0" w:space="0" w:color="auto"/>
        <w:left w:val="none" w:sz="0" w:space="0" w:color="auto"/>
        <w:bottom w:val="none" w:sz="0" w:space="0" w:color="auto"/>
        <w:right w:val="none" w:sz="0" w:space="0" w:color="auto"/>
      </w:divBdr>
    </w:div>
    <w:div w:id="1091387793">
      <w:bodyDiv w:val="1"/>
      <w:marLeft w:val="0"/>
      <w:marRight w:val="0"/>
      <w:marTop w:val="0"/>
      <w:marBottom w:val="0"/>
      <w:divBdr>
        <w:top w:val="none" w:sz="0" w:space="0" w:color="auto"/>
        <w:left w:val="none" w:sz="0" w:space="0" w:color="auto"/>
        <w:bottom w:val="none" w:sz="0" w:space="0" w:color="auto"/>
        <w:right w:val="none" w:sz="0" w:space="0" w:color="auto"/>
      </w:divBdr>
    </w:div>
    <w:div w:id="1092815478">
      <w:bodyDiv w:val="1"/>
      <w:marLeft w:val="0"/>
      <w:marRight w:val="0"/>
      <w:marTop w:val="0"/>
      <w:marBottom w:val="0"/>
      <w:divBdr>
        <w:top w:val="none" w:sz="0" w:space="0" w:color="auto"/>
        <w:left w:val="none" w:sz="0" w:space="0" w:color="auto"/>
        <w:bottom w:val="none" w:sz="0" w:space="0" w:color="auto"/>
        <w:right w:val="none" w:sz="0" w:space="0" w:color="auto"/>
      </w:divBdr>
    </w:div>
    <w:div w:id="1100875363">
      <w:bodyDiv w:val="1"/>
      <w:marLeft w:val="0"/>
      <w:marRight w:val="0"/>
      <w:marTop w:val="0"/>
      <w:marBottom w:val="0"/>
      <w:divBdr>
        <w:top w:val="none" w:sz="0" w:space="0" w:color="auto"/>
        <w:left w:val="none" w:sz="0" w:space="0" w:color="auto"/>
        <w:bottom w:val="none" w:sz="0" w:space="0" w:color="auto"/>
        <w:right w:val="none" w:sz="0" w:space="0" w:color="auto"/>
      </w:divBdr>
    </w:div>
    <w:div w:id="1105425842">
      <w:bodyDiv w:val="1"/>
      <w:marLeft w:val="0"/>
      <w:marRight w:val="0"/>
      <w:marTop w:val="0"/>
      <w:marBottom w:val="0"/>
      <w:divBdr>
        <w:top w:val="none" w:sz="0" w:space="0" w:color="auto"/>
        <w:left w:val="none" w:sz="0" w:space="0" w:color="auto"/>
        <w:bottom w:val="none" w:sz="0" w:space="0" w:color="auto"/>
        <w:right w:val="none" w:sz="0" w:space="0" w:color="auto"/>
      </w:divBdr>
    </w:div>
    <w:div w:id="1109474491">
      <w:bodyDiv w:val="1"/>
      <w:marLeft w:val="0"/>
      <w:marRight w:val="0"/>
      <w:marTop w:val="0"/>
      <w:marBottom w:val="0"/>
      <w:divBdr>
        <w:top w:val="none" w:sz="0" w:space="0" w:color="auto"/>
        <w:left w:val="none" w:sz="0" w:space="0" w:color="auto"/>
        <w:bottom w:val="none" w:sz="0" w:space="0" w:color="auto"/>
        <w:right w:val="none" w:sz="0" w:space="0" w:color="auto"/>
      </w:divBdr>
    </w:div>
    <w:div w:id="1110397016">
      <w:bodyDiv w:val="1"/>
      <w:marLeft w:val="0"/>
      <w:marRight w:val="0"/>
      <w:marTop w:val="0"/>
      <w:marBottom w:val="0"/>
      <w:divBdr>
        <w:top w:val="none" w:sz="0" w:space="0" w:color="auto"/>
        <w:left w:val="none" w:sz="0" w:space="0" w:color="auto"/>
        <w:bottom w:val="none" w:sz="0" w:space="0" w:color="auto"/>
        <w:right w:val="none" w:sz="0" w:space="0" w:color="auto"/>
      </w:divBdr>
    </w:div>
    <w:div w:id="1110470507">
      <w:bodyDiv w:val="1"/>
      <w:marLeft w:val="0"/>
      <w:marRight w:val="0"/>
      <w:marTop w:val="0"/>
      <w:marBottom w:val="0"/>
      <w:divBdr>
        <w:top w:val="none" w:sz="0" w:space="0" w:color="auto"/>
        <w:left w:val="none" w:sz="0" w:space="0" w:color="auto"/>
        <w:bottom w:val="none" w:sz="0" w:space="0" w:color="auto"/>
        <w:right w:val="none" w:sz="0" w:space="0" w:color="auto"/>
      </w:divBdr>
    </w:div>
    <w:div w:id="1117331061">
      <w:bodyDiv w:val="1"/>
      <w:marLeft w:val="0"/>
      <w:marRight w:val="0"/>
      <w:marTop w:val="0"/>
      <w:marBottom w:val="0"/>
      <w:divBdr>
        <w:top w:val="none" w:sz="0" w:space="0" w:color="auto"/>
        <w:left w:val="none" w:sz="0" w:space="0" w:color="auto"/>
        <w:bottom w:val="none" w:sz="0" w:space="0" w:color="auto"/>
        <w:right w:val="none" w:sz="0" w:space="0" w:color="auto"/>
      </w:divBdr>
    </w:div>
    <w:div w:id="1140416242">
      <w:bodyDiv w:val="1"/>
      <w:marLeft w:val="0"/>
      <w:marRight w:val="0"/>
      <w:marTop w:val="0"/>
      <w:marBottom w:val="0"/>
      <w:divBdr>
        <w:top w:val="none" w:sz="0" w:space="0" w:color="auto"/>
        <w:left w:val="none" w:sz="0" w:space="0" w:color="auto"/>
        <w:bottom w:val="none" w:sz="0" w:space="0" w:color="auto"/>
        <w:right w:val="none" w:sz="0" w:space="0" w:color="auto"/>
      </w:divBdr>
    </w:div>
    <w:div w:id="1145581733">
      <w:bodyDiv w:val="1"/>
      <w:marLeft w:val="0"/>
      <w:marRight w:val="0"/>
      <w:marTop w:val="0"/>
      <w:marBottom w:val="0"/>
      <w:divBdr>
        <w:top w:val="none" w:sz="0" w:space="0" w:color="auto"/>
        <w:left w:val="none" w:sz="0" w:space="0" w:color="auto"/>
        <w:bottom w:val="none" w:sz="0" w:space="0" w:color="auto"/>
        <w:right w:val="none" w:sz="0" w:space="0" w:color="auto"/>
      </w:divBdr>
    </w:div>
    <w:div w:id="1150752292">
      <w:bodyDiv w:val="1"/>
      <w:marLeft w:val="0"/>
      <w:marRight w:val="0"/>
      <w:marTop w:val="0"/>
      <w:marBottom w:val="0"/>
      <w:divBdr>
        <w:top w:val="none" w:sz="0" w:space="0" w:color="auto"/>
        <w:left w:val="none" w:sz="0" w:space="0" w:color="auto"/>
        <w:bottom w:val="none" w:sz="0" w:space="0" w:color="auto"/>
        <w:right w:val="none" w:sz="0" w:space="0" w:color="auto"/>
      </w:divBdr>
    </w:div>
    <w:div w:id="1151484575">
      <w:bodyDiv w:val="1"/>
      <w:marLeft w:val="0"/>
      <w:marRight w:val="0"/>
      <w:marTop w:val="0"/>
      <w:marBottom w:val="0"/>
      <w:divBdr>
        <w:top w:val="none" w:sz="0" w:space="0" w:color="auto"/>
        <w:left w:val="none" w:sz="0" w:space="0" w:color="auto"/>
        <w:bottom w:val="none" w:sz="0" w:space="0" w:color="auto"/>
        <w:right w:val="none" w:sz="0" w:space="0" w:color="auto"/>
      </w:divBdr>
    </w:div>
    <w:div w:id="1152260456">
      <w:bodyDiv w:val="1"/>
      <w:marLeft w:val="0"/>
      <w:marRight w:val="0"/>
      <w:marTop w:val="0"/>
      <w:marBottom w:val="0"/>
      <w:divBdr>
        <w:top w:val="none" w:sz="0" w:space="0" w:color="auto"/>
        <w:left w:val="none" w:sz="0" w:space="0" w:color="auto"/>
        <w:bottom w:val="none" w:sz="0" w:space="0" w:color="auto"/>
        <w:right w:val="none" w:sz="0" w:space="0" w:color="auto"/>
      </w:divBdr>
    </w:div>
    <w:div w:id="1153107948">
      <w:bodyDiv w:val="1"/>
      <w:marLeft w:val="0"/>
      <w:marRight w:val="0"/>
      <w:marTop w:val="0"/>
      <w:marBottom w:val="0"/>
      <w:divBdr>
        <w:top w:val="none" w:sz="0" w:space="0" w:color="auto"/>
        <w:left w:val="none" w:sz="0" w:space="0" w:color="auto"/>
        <w:bottom w:val="none" w:sz="0" w:space="0" w:color="auto"/>
        <w:right w:val="none" w:sz="0" w:space="0" w:color="auto"/>
      </w:divBdr>
    </w:div>
    <w:div w:id="1154491930">
      <w:bodyDiv w:val="1"/>
      <w:marLeft w:val="0"/>
      <w:marRight w:val="0"/>
      <w:marTop w:val="0"/>
      <w:marBottom w:val="0"/>
      <w:divBdr>
        <w:top w:val="none" w:sz="0" w:space="0" w:color="auto"/>
        <w:left w:val="none" w:sz="0" w:space="0" w:color="auto"/>
        <w:bottom w:val="none" w:sz="0" w:space="0" w:color="auto"/>
        <w:right w:val="none" w:sz="0" w:space="0" w:color="auto"/>
      </w:divBdr>
    </w:div>
    <w:div w:id="1169717760">
      <w:bodyDiv w:val="1"/>
      <w:marLeft w:val="0"/>
      <w:marRight w:val="0"/>
      <w:marTop w:val="0"/>
      <w:marBottom w:val="0"/>
      <w:divBdr>
        <w:top w:val="none" w:sz="0" w:space="0" w:color="auto"/>
        <w:left w:val="none" w:sz="0" w:space="0" w:color="auto"/>
        <w:bottom w:val="none" w:sz="0" w:space="0" w:color="auto"/>
        <w:right w:val="none" w:sz="0" w:space="0" w:color="auto"/>
      </w:divBdr>
    </w:div>
    <w:div w:id="1173951536">
      <w:bodyDiv w:val="1"/>
      <w:marLeft w:val="0"/>
      <w:marRight w:val="0"/>
      <w:marTop w:val="0"/>
      <w:marBottom w:val="0"/>
      <w:divBdr>
        <w:top w:val="none" w:sz="0" w:space="0" w:color="auto"/>
        <w:left w:val="none" w:sz="0" w:space="0" w:color="auto"/>
        <w:bottom w:val="none" w:sz="0" w:space="0" w:color="auto"/>
        <w:right w:val="none" w:sz="0" w:space="0" w:color="auto"/>
      </w:divBdr>
    </w:div>
    <w:div w:id="1175924251">
      <w:bodyDiv w:val="1"/>
      <w:marLeft w:val="0"/>
      <w:marRight w:val="0"/>
      <w:marTop w:val="0"/>
      <w:marBottom w:val="0"/>
      <w:divBdr>
        <w:top w:val="none" w:sz="0" w:space="0" w:color="auto"/>
        <w:left w:val="none" w:sz="0" w:space="0" w:color="auto"/>
        <w:bottom w:val="none" w:sz="0" w:space="0" w:color="auto"/>
        <w:right w:val="none" w:sz="0" w:space="0" w:color="auto"/>
      </w:divBdr>
    </w:div>
    <w:div w:id="1178616195">
      <w:bodyDiv w:val="1"/>
      <w:marLeft w:val="0"/>
      <w:marRight w:val="0"/>
      <w:marTop w:val="0"/>
      <w:marBottom w:val="0"/>
      <w:divBdr>
        <w:top w:val="none" w:sz="0" w:space="0" w:color="auto"/>
        <w:left w:val="none" w:sz="0" w:space="0" w:color="auto"/>
        <w:bottom w:val="none" w:sz="0" w:space="0" w:color="auto"/>
        <w:right w:val="none" w:sz="0" w:space="0" w:color="auto"/>
      </w:divBdr>
      <w:divsChild>
        <w:div w:id="375206600">
          <w:marLeft w:val="0"/>
          <w:marRight w:val="0"/>
          <w:marTop w:val="0"/>
          <w:marBottom w:val="0"/>
          <w:divBdr>
            <w:top w:val="none" w:sz="0" w:space="0" w:color="auto"/>
            <w:left w:val="none" w:sz="0" w:space="0" w:color="auto"/>
            <w:bottom w:val="none" w:sz="0" w:space="0" w:color="auto"/>
            <w:right w:val="none" w:sz="0" w:space="0" w:color="auto"/>
          </w:divBdr>
        </w:div>
      </w:divsChild>
    </w:div>
    <w:div w:id="1180050368">
      <w:bodyDiv w:val="1"/>
      <w:marLeft w:val="0"/>
      <w:marRight w:val="0"/>
      <w:marTop w:val="0"/>
      <w:marBottom w:val="0"/>
      <w:divBdr>
        <w:top w:val="none" w:sz="0" w:space="0" w:color="auto"/>
        <w:left w:val="none" w:sz="0" w:space="0" w:color="auto"/>
        <w:bottom w:val="none" w:sz="0" w:space="0" w:color="auto"/>
        <w:right w:val="none" w:sz="0" w:space="0" w:color="auto"/>
      </w:divBdr>
    </w:div>
    <w:div w:id="1187406519">
      <w:bodyDiv w:val="1"/>
      <w:marLeft w:val="0"/>
      <w:marRight w:val="0"/>
      <w:marTop w:val="0"/>
      <w:marBottom w:val="0"/>
      <w:divBdr>
        <w:top w:val="none" w:sz="0" w:space="0" w:color="auto"/>
        <w:left w:val="none" w:sz="0" w:space="0" w:color="auto"/>
        <w:bottom w:val="none" w:sz="0" w:space="0" w:color="auto"/>
        <w:right w:val="none" w:sz="0" w:space="0" w:color="auto"/>
      </w:divBdr>
    </w:div>
    <w:div w:id="1191645303">
      <w:bodyDiv w:val="1"/>
      <w:marLeft w:val="0"/>
      <w:marRight w:val="0"/>
      <w:marTop w:val="0"/>
      <w:marBottom w:val="0"/>
      <w:divBdr>
        <w:top w:val="none" w:sz="0" w:space="0" w:color="auto"/>
        <w:left w:val="none" w:sz="0" w:space="0" w:color="auto"/>
        <w:bottom w:val="none" w:sz="0" w:space="0" w:color="auto"/>
        <w:right w:val="none" w:sz="0" w:space="0" w:color="auto"/>
      </w:divBdr>
    </w:div>
    <w:div w:id="1192646013">
      <w:bodyDiv w:val="1"/>
      <w:marLeft w:val="0"/>
      <w:marRight w:val="0"/>
      <w:marTop w:val="0"/>
      <w:marBottom w:val="0"/>
      <w:divBdr>
        <w:top w:val="none" w:sz="0" w:space="0" w:color="auto"/>
        <w:left w:val="none" w:sz="0" w:space="0" w:color="auto"/>
        <w:bottom w:val="none" w:sz="0" w:space="0" w:color="auto"/>
        <w:right w:val="none" w:sz="0" w:space="0" w:color="auto"/>
      </w:divBdr>
    </w:div>
    <w:div w:id="1192961258">
      <w:bodyDiv w:val="1"/>
      <w:marLeft w:val="0"/>
      <w:marRight w:val="0"/>
      <w:marTop w:val="0"/>
      <w:marBottom w:val="0"/>
      <w:divBdr>
        <w:top w:val="none" w:sz="0" w:space="0" w:color="auto"/>
        <w:left w:val="none" w:sz="0" w:space="0" w:color="auto"/>
        <w:bottom w:val="none" w:sz="0" w:space="0" w:color="auto"/>
        <w:right w:val="none" w:sz="0" w:space="0" w:color="auto"/>
      </w:divBdr>
    </w:div>
    <w:div w:id="1195388021">
      <w:bodyDiv w:val="1"/>
      <w:marLeft w:val="0"/>
      <w:marRight w:val="0"/>
      <w:marTop w:val="0"/>
      <w:marBottom w:val="0"/>
      <w:divBdr>
        <w:top w:val="none" w:sz="0" w:space="0" w:color="auto"/>
        <w:left w:val="none" w:sz="0" w:space="0" w:color="auto"/>
        <w:bottom w:val="none" w:sz="0" w:space="0" w:color="auto"/>
        <w:right w:val="none" w:sz="0" w:space="0" w:color="auto"/>
      </w:divBdr>
    </w:div>
    <w:div w:id="1196849175">
      <w:bodyDiv w:val="1"/>
      <w:marLeft w:val="0"/>
      <w:marRight w:val="0"/>
      <w:marTop w:val="0"/>
      <w:marBottom w:val="0"/>
      <w:divBdr>
        <w:top w:val="none" w:sz="0" w:space="0" w:color="auto"/>
        <w:left w:val="none" w:sz="0" w:space="0" w:color="auto"/>
        <w:bottom w:val="none" w:sz="0" w:space="0" w:color="auto"/>
        <w:right w:val="none" w:sz="0" w:space="0" w:color="auto"/>
      </w:divBdr>
    </w:div>
    <w:div w:id="1198733268">
      <w:bodyDiv w:val="1"/>
      <w:marLeft w:val="0"/>
      <w:marRight w:val="0"/>
      <w:marTop w:val="0"/>
      <w:marBottom w:val="0"/>
      <w:divBdr>
        <w:top w:val="none" w:sz="0" w:space="0" w:color="auto"/>
        <w:left w:val="none" w:sz="0" w:space="0" w:color="auto"/>
        <w:bottom w:val="none" w:sz="0" w:space="0" w:color="auto"/>
        <w:right w:val="none" w:sz="0" w:space="0" w:color="auto"/>
      </w:divBdr>
    </w:div>
    <w:div w:id="1199203833">
      <w:bodyDiv w:val="1"/>
      <w:marLeft w:val="0"/>
      <w:marRight w:val="0"/>
      <w:marTop w:val="0"/>
      <w:marBottom w:val="0"/>
      <w:divBdr>
        <w:top w:val="none" w:sz="0" w:space="0" w:color="auto"/>
        <w:left w:val="none" w:sz="0" w:space="0" w:color="auto"/>
        <w:bottom w:val="none" w:sz="0" w:space="0" w:color="auto"/>
        <w:right w:val="none" w:sz="0" w:space="0" w:color="auto"/>
      </w:divBdr>
    </w:div>
    <w:div w:id="1200241920">
      <w:bodyDiv w:val="1"/>
      <w:marLeft w:val="0"/>
      <w:marRight w:val="0"/>
      <w:marTop w:val="0"/>
      <w:marBottom w:val="0"/>
      <w:divBdr>
        <w:top w:val="none" w:sz="0" w:space="0" w:color="auto"/>
        <w:left w:val="none" w:sz="0" w:space="0" w:color="auto"/>
        <w:bottom w:val="none" w:sz="0" w:space="0" w:color="auto"/>
        <w:right w:val="none" w:sz="0" w:space="0" w:color="auto"/>
      </w:divBdr>
    </w:div>
    <w:div w:id="1203204242">
      <w:bodyDiv w:val="1"/>
      <w:marLeft w:val="0"/>
      <w:marRight w:val="0"/>
      <w:marTop w:val="0"/>
      <w:marBottom w:val="0"/>
      <w:divBdr>
        <w:top w:val="none" w:sz="0" w:space="0" w:color="auto"/>
        <w:left w:val="none" w:sz="0" w:space="0" w:color="auto"/>
        <w:bottom w:val="none" w:sz="0" w:space="0" w:color="auto"/>
        <w:right w:val="none" w:sz="0" w:space="0" w:color="auto"/>
      </w:divBdr>
    </w:div>
    <w:div w:id="1206332712">
      <w:bodyDiv w:val="1"/>
      <w:marLeft w:val="0"/>
      <w:marRight w:val="0"/>
      <w:marTop w:val="0"/>
      <w:marBottom w:val="0"/>
      <w:divBdr>
        <w:top w:val="none" w:sz="0" w:space="0" w:color="auto"/>
        <w:left w:val="none" w:sz="0" w:space="0" w:color="auto"/>
        <w:bottom w:val="none" w:sz="0" w:space="0" w:color="auto"/>
        <w:right w:val="none" w:sz="0" w:space="0" w:color="auto"/>
      </w:divBdr>
    </w:div>
    <w:div w:id="1209341393">
      <w:bodyDiv w:val="1"/>
      <w:marLeft w:val="0"/>
      <w:marRight w:val="0"/>
      <w:marTop w:val="0"/>
      <w:marBottom w:val="0"/>
      <w:divBdr>
        <w:top w:val="none" w:sz="0" w:space="0" w:color="auto"/>
        <w:left w:val="none" w:sz="0" w:space="0" w:color="auto"/>
        <w:bottom w:val="none" w:sz="0" w:space="0" w:color="auto"/>
        <w:right w:val="none" w:sz="0" w:space="0" w:color="auto"/>
      </w:divBdr>
    </w:div>
    <w:div w:id="1211768606">
      <w:bodyDiv w:val="1"/>
      <w:marLeft w:val="0"/>
      <w:marRight w:val="0"/>
      <w:marTop w:val="0"/>
      <w:marBottom w:val="0"/>
      <w:divBdr>
        <w:top w:val="none" w:sz="0" w:space="0" w:color="auto"/>
        <w:left w:val="none" w:sz="0" w:space="0" w:color="auto"/>
        <w:bottom w:val="none" w:sz="0" w:space="0" w:color="auto"/>
        <w:right w:val="none" w:sz="0" w:space="0" w:color="auto"/>
      </w:divBdr>
    </w:div>
    <w:div w:id="1213155920">
      <w:bodyDiv w:val="1"/>
      <w:marLeft w:val="0"/>
      <w:marRight w:val="0"/>
      <w:marTop w:val="0"/>
      <w:marBottom w:val="0"/>
      <w:divBdr>
        <w:top w:val="none" w:sz="0" w:space="0" w:color="auto"/>
        <w:left w:val="none" w:sz="0" w:space="0" w:color="auto"/>
        <w:bottom w:val="none" w:sz="0" w:space="0" w:color="auto"/>
        <w:right w:val="none" w:sz="0" w:space="0" w:color="auto"/>
      </w:divBdr>
    </w:div>
    <w:div w:id="1213729418">
      <w:bodyDiv w:val="1"/>
      <w:marLeft w:val="0"/>
      <w:marRight w:val="0"/>
      <w:marTop w:val="0"/>
      <w:marBottom w:val="0"/>
      <w:divBdr>
        <w:top w:val="none" w:sz="0" w:space="0" w:color="auto"/>
        <w:left w:val="none" w:sz="0" w:space="0" w:color="auto"/>
        <w:bottom w:val="none" w:sz="0" w:space="0" w:color="auto"/>
        <w:right w:val="none" w:sz="0" w:space="0" w:color="auto"/>
      </w:divBdr>
    </w:div>
    <w:div w:id="1216314085">
      <w:bodyDiv w:val="1"/>
      <w:marLeft w:val="0"/>
      <w:marRight w:val="0"/>
      <w:marTop w:val="0"/>
      <w:marBottom w:val="0"/>
      <w:divBdr>
        <w:top w:val="none" w:sz="0" w:space="0" w:color="auto"/>
        <w:left w:val="none" w:sz="0" w:space="0" w:color="auto"/>
        <w:bottom w:val="none" w:sz="0" w:space="0" w:color="auto"/>
        <w:right w:val="none" w:sz="0" w:space="0" w:color="auto"/>
      </w:divBdr>
    </w:div>
    <w:div w:id="1219786770">
      <w:bodyDiv w:val="1"/>
      <w:marLeft w:val="0"/>
      <w:marRight w:val="0"/>
      <w:marTop w:val="0"/>
      <w:marBottom w:val="0"/>
      <w:divBdr>
        <w:top w:val="none" w:sz="0" w:space="0" w:color="auto"/>
        <w:left w:val="none" w:sz="0" w:space="0" w:color="auto"/>
        <w:bottom w:val="none" w:sz="0" w:space="0" w:color="auto"/>
        <w:right w:val="none" w:sz="0" w:space="0" w:color="auto"/>
      </w:divBdr>
    </w:div>
    <w:div w:id="1222135765">
      <w:bodyDiv w:val="1"/>
      <w:marLeft w:val="0"/>
      <w:marRight w:val="0"/>
      <w:marTop w:val="0"/>
      <w:marBottom w:val="0"/>
      <w:divBdr>
        <w:top w:val="none" w:sz="0" w:space="0" w:color="auto"/>
        <w:left w:val="none" w:sz="0" w:space="0" w:color="auto"/>
        <w:bottom w:val="none" w:sz="0" w:space="0" w:color="auto"/>
        <w:right w:val="none" w:sz="0" w:space="0" w:color="auto"/>
      </w:divBdr>
    </w:div>
    <w:div w:id="1225800996">
      <w:bodyDiv w:val="1"/>
      <w:marLeft w:val="0"/>
      <w:marRight w:val="0"/>
      <w:marTop w:val="0"/>
      <w:marBottom w:val="0"/>
      <w:divBdr>
        <w:top w:val="none" w:sz="0" w:space="0" w:color="auto"/>
        <w:left w:val="none" w:sz="0" w:space="0" w:color="auto"/>
        <w:bottom w:val="none" w:sz="0" w:space="0" w:color="auto"/>
        <w:right w:val="none" w:sz="0" w:space="0" w:color="auto"/>
      </w:divBdr>
    </w:div>
    <w:div w:id="1231498694">
      <w:bodyDiv w:val="1"/>
      <w:marLeft w:val="0"/>
      <w:marRight w:val="0"/>
      <w:marTop w:val="0"/>
      <w:marBottom w:val="0"/>
      <w:divBdr>
        <w:top w:val="none" w:sz="0" w:space="0" w:color="auto"/>
        <w:left w:val="none" w:sz="0" w:space="0" w:color="auto"/>
        <w:bottom w:val="none" w:sz="0" w:space="0" w:color="auto"/>
        <w:right w:val="none" w:sz="0" w:space="0" w:color="auto"/>
      </w:divBdr>
    </w:div>
    <w:div w:id="1231766507">
      <w:bodyDiv w:val="1"/>
      <w:marLeft w:val="0"/>
      <w:marRight w:val="0"/>
      <w:marTop w:val="0"/>
      <w:marBottom w:val="0"/>
      <w:divBdr>
        <w:top w:val="none" w:sz="0" w:space="0" w:color="auto"/>
        <w:left w:val="none" w:sz="0" w:space="0" w:color="auto"/>
        <w:bottom w:val="none" w:sz="0" w:space="0" w:color="auto"/>
        <w:right w:val="none" w:sz="0" w:space="0" w:color="auto"/>
      </w:divBdr>
    </w:div>
    <w:div w:id="1234508193">
      <w:bodyDiv w:val="1"/>
      <w:marLeft w:val="0"/>
      <w:marRight w:val="0"/>
      <w:marTop w:val="0"/>
      <w:marBottom w:val="0"/>
      <w:divBdr>
        <w:top w:val="none" w:sz="0" w:space="0" w:color="auto"/>
        <w:left w:val="none" w:sz="0" w:space="0" w:color="auto"/>
        <w:bottom w:val="none" w:sz="0" w:space="0" w:color="auto"/>
        <w:right w:val="none" w:sz="0" w:space="0" w:color="auto"/>
      </w:divBdr>
    </w:div>
    <w:div w:id="1235316338">
      <w:bodyDiv w:val="1"/>
      <w:marLeft w:val="0"/>
      <w:marRight w:val="0"/>
      <w:marTop w:val="0"/>
      <w:marBottom w:val="0"/>
      <w:divBdr>
        <w:top w:val="none" w:sz="0" w:space="0" w:color="auto"/>
        <w:left w:val="none" w:sz="0" w:space="0" w:color="auto"/>
        <w:bottom w:val="none" w:sz="0" w:space="0" w:color="auto"/>
        <w:right w:val="none" w:sz="0" w:space="0" w:color="auto"/>
      </w:divBdr>
    </w:div>
    <w:div w:id="1235508723">
      <w:bodyDiv w:val="1"/>
      <w:marLeft w:val="0"/>
      <w:marRight w:val="0"/>
      <w:marTop w:val="0"/>
      <w:marBottom w:val="0"/>
      <w:divBdr>
        <w:top w:val="none" w:sz="0" w:space="0" w:color="auto"/>
        <w:left w:val="none" w:sz="0" w:space="0" w:color="auto"/>
        <w:bottom w:val="none" w:sz="0" w:space="0" w:color="auto"/>
        <w:right w:val="none" w:sz="0" w:space="0" w:color="auto"/>
      </w:divBdr>
    </w:div>
    <w:div w:id="1244027245">
      <w:bodyDiv w:val="1"/>
      <w:marLeft w:val="0"/>
      <w:marRight w:val="0"/>
      <w:marTop w:val="0"/>
      <w:marBottom w:val="0"/>
      <w:divBdr>
        <w:top w:val="none" w:sz="0" w:space="0" w:color="auto"/>
        <w:left w:val="none" w:sz="0" w:space="0" w:color="auto"/>
        <w:bottom w:val="none" w:sz="0" w:space="0" w:color="auto"/>
        <w:right w:val="none" w:sz="0" w:space="0" w:color="auto"/>
      </w:divBdr>
    </w:div>
    <w:div w:id="1246113787">
      <w:bodyDiv w:val="1"/>
      <w:marLeft w:val="0"/>
      <w:marRight w:val="0"/>
      <w:marTop w:val="0"/>
      <w:marBottom w:val="0"/>
      <w:divBdr>
        <w:top w:val="none" w:sz="0" w:space="0" w:color="auto"/>
        <w:left w:val="none" w:sz="0" w:space="0" w:color="auto"/>
        <w:bottom w:val="none" w:sz="0" w:space="0" w:color="auto"/>
        <w:right w:val="none" w:sz="0" w:space="0" w:color="auto"/>
      </w:divBdr>
    </w:div>
    <w:div w:id="1253389716">
      <w:bodyDiv w:val="1"/>
      <w:marLeft w:val="0"/>
      <w:marRight w:val="0"/>
      <w:marTop w:val="0"/>
      <w:marBottom w:val="0"/>
      <w:divBdr>
        <w:top w:val="none" w:sz="0" w:space="0" w:color="auto"/>
        <w:left w:val="none" w:sz="0" w:space="0" w:color="auto"/>
        <w:bottom w:val="none" w:sz="0" w:space="0" w:color="auto"/>
        <w:right w:val="none" w:sz="0" w:space="0" w:color="auto"/>
      </w:divBdr>
    </w:div>
    <w:div w:id="1257130973">
      <w:bodyDiv w:val="1"/>
      <w:marLeft w:val="0"/>
      <w:marRight w:val="0"/>
      <w:marTop w:val="0"/>
      <w:marBottom w:val="0"/>
      <w:divBdr>
        <w:top w:val="none" w:sz="0" w:space="0" w:color="auto"/>
        <w:left w:val="none" w:sz="0" w:space="0" w:color="auto"/>
        <w:bottom w:val="none" w:sz="0" w:space="0" w:color="auto"/>
        <w:right w:val="none" w:sz="0" w:space="0" w:color="auto"/>
      </w:divBdr>
    </w:div>
    <w:div w:id="1259752654">
      <w:bodyDiv w:val="1"/>
      <w:marLeft w:val="0"/>
      <w:marRight w:val="0"/>
      <w:marTop w:val="0"/>
      <w:marBottom w:val="0"/>
      <w:divBdr>
        <w:top w:val="none" w:sz="0" w:space="0" w:color="auto"/>
        <w:left w:val="none" w:sz="0" w:space="0" w:color="auto"/>
        <w:bottom w:val="none" w:sz="0" w:space="0" w:color="auto"/>
        <w:right w:val="none" w:sz="0" w:space="0" w:color="auto"/>
      </w:divBdr>
    </w:div>
    <w:div w:id="1261914571">
      <w:bodyDiv w:val="1"/>
      <w:marLeft w:val="0"/>
      <w:marRight w:val="0"/>
      <w:marTop w:val="0"/>
      <w:marBottom w:val="0"/>
      <w:divBdr>
        <w:top w:val="none" w:sz="0" w:space="0" w:color="auto"/>
        <w:left w:val="none" w:sz="0" w:space="0" w:color="auto"/>
        <w:bottom w:val="none" w:sz="0" w:space="0" w:color="auto"/>
        <w:right w:val="none" w:sz="0" w:space="0" w:color="auto"/>
      </w:divBdr>
    </w:div>
    <w:div w:id="1262182177">
      <w:bodyDiv w:val="1"/>
      <w:marLeft w:val="0"/>
      <w:marRight w:val="0"/>
      <w:marTop w:val="0"/>
      <w:marBottom w:val="0"/>
      <w:divBdr>
        <w:top w:val="none" w:sz="0" w:space="0" w:color="auto"/>
        <w:left w:val="none" w:sz="0" w:space="0" w:color="auto"/>
        <w:bottom w:val="none" w:sz="0" w:space="0" w:color="auto"/>
        <w:right w:val="none" w:sz="0" w:space="0" w:color="auto"/>
      </w:divBdr>
    </w:div>
    <w:div w:id="1262255596">
      <w:bodyDiv w:val="1"/>
      <w:marLeft w:val="0"/>
      <w:marRight w:val="0"/>
      <w:marTop w:val="0"/>
      <w:marBottom w:val="0"/>
      <w:divBdr>
        <w:top w:val="none" w:sz="0" w:space="0" w:color="auto"/>
        <w:left w:val="none" w:sz="0" w:space="0" w:color="auto"/>
        <w:bottom w:val="none" w:sz="0" w:space="0" w:color="auto"/>
        <w:right w:val="none" w:sz="0" w:space="0" w:color="auto"/>
      </w:divBdr>
    </w:div>
    <w:div w:id="1271936559">
      <w:bodyDiv w:val="1"/>
      <w:marLeft w:val="0"/>
      <w:marRight w:val="0"/>
      <w:marTop w:val="0"/>
      <w:marBottom w:val="0"/>
      <w:divBdr>
        <w:top w:val="none" w:sz="0" w:space="0" w:color="auto"/>
        <w:left w:val="none" w:sz="0" w:space="0" w:color="auto"/>
        <w:bottom w:val="none" w:sz="0" w:space="0" w:color="auto"/>
        <w:right w:val="none" w:sz="0" w:space="0" w:color="auto"/>
      </w:divBdr>
      <w:divsChild>
        <w:div w:id="647903151">
          <w:marLeft w:val="0"/>
          <w:marRight w:val="0"/>
          <w:marTop w:val="0"/>
          <w:marBottom w:val="0"/>
          <w:divBdr>
            <w:top w:val="none" w:sz="0" w:space="0" w:color="auto"/>
            <w:left w:val="none" w:sz="0" w:space="0" w:color="auto"/>
            <w:bottom w:val="none" w:sz="0" w:space="0" w:color="auto"/>
            <w:right w:val="none" w:sz="0" w:space="0" w:color="auto"/>
          </w:divBdr>
        </w:div>
      </w:divsChild>
    </w:div>
    <w:div w:id="1281184762">
      <w:bodyDiv w:val="1"/>
      <w:marLeft w:val="0"/>
      <w:marRight w:val="0"/>
      <w:marTop w:val="0"/>
      <w:marBottom w:val="0"/>
      <w:divBdr>
        <w:top w:val="none" w:sz="0" w:space="0" w:color="auto"/>
        <w:left w:val="none" w:sz="0" w:space="0" w:color="auto"/>
        <w:bottom w:val="none" w:sz="0" w:space="0" w:color="auto"/>
        <w:right w:val="none" w:sz="0" w:space="0" w:color="auto"/>
      </w:divBdr>
    </w:div>
    <w:div w:id="1287659514">
      <w:bodyDiv w:val="1"/>
      <w:marLeft w:val="0"/>
      <w:marRight w:val="0"/>
      <w:marTop w:val="0"/>
      <w:marBottom w:val="0"/>
      <w:divBdr>
        <w:top w:val="none" w:sz="0" w:space="0" w:color="auto"/>
        <w:left w:val="none" w:sz="0" w:space="0" w:color="auto"/>
        <w:bottom w:val="none" w:sz="0" w:space="0" w:color="auto"/>
        <w:right w:val="none" w:sz="0" w:space="0" w:color="auto"/>
      </w:divBdr>
    </w:div>
    <w:div w:id="1292134174">
      <w:bodyDiv w:val="1"/>
      <w:marLeft w:val="0"/>
      <w:marRight w:val="0"/>
      <w:marTop w:val="0"/>
      <w:marBottom w:val="0"/>
      <w:divBdr>
        <w:top w:val="none" w:sz="0" w:space="0" w:color="auto"/>
        <w:left w:val="none" w:sz="0" w:space="0" w:color="auto"/>
        <w:bottom w:val="none" w:sz="0" w:space="0" w:color="auto"/>
        <w:right w:val="none" w:sz="0" w:space="0" w:color="auto"/>
      </w:divBdr>
    </w:div>
    <w:div w:id="1296908445">
      <w:bodyDiv w:val="1"/>
      <w:marLeft w:val="0"/>
      <w:marRight w:val="0"/>
      <w:marTop w:val="0"/>
      <w:marBottom w:val="0"/>
      <w:divBdr>
        <w:top w:val="none" w:sz="0" w:space="0" w:color="auto"/>
        <w:left w:val="none" w:sz="0" w:space="0" w:color="auto"/>
        <w:bottom w:val="none" w:sz="0" w:space="0" w:color="auto"/>
        <w:right w:val="none" w:sz="0" w:space="0" w:color="auto"/>
      </w:divBdr>
    </w:div>
    <w:div w:id="1297643526">
      <w:bodyDiv w:val="1"/>
      <w:marLeft w:val="0"/>
      <w:marRight w:val="0"/>
      <w:marTop w:val="0"/>
      <w:marBottom w:val="0"/>
      <w:divBdr>
        <w:top w:val="none" w:sz="0" w:space="0" w:color="auto"/>
        <w:left w:val="none" w:sz="0" w:space="0" w:color="auto"/>
        <w:bottom w:val="none" w:sz="0" w:space="0" w:color="auto"/>
        <w:right w:val="none" w:sz="0" w:space="0" w:color="auto"/>
      </w:divBdr>
    </w:div>
    <w:div w:id="1299451945">
      <w:bodyDiv w:val="1"/>
      <w:marLeft w:val="0"/>
      <w:marRight w:val="0"/>
      <w:marTop w:val="0"/>
      <w:marBottom w:val="0"/>
      <w:divBdr>
        <w:top w:val="none" w:sz="0" w:space="0" w:color="auto"/>
        <w:left w:val="none" w:sz="0" w:space="0" w:color="auto"/>
        <w:bottom w:val="none" w:sz="0" w:space="0" w:color="auto"/>
        <w:right w:val="none" w:sz="0" w:space="0" w:color="auto"/>
      </w:divBdr>
    </w:div>
    <w:div w:id="1300837419">
      <w:bodyDiv w:val="1"/>
      <w:marLeft w:val="0"/>
      <w:marRight w:val="0"/>
      <w:marTop w:val="0"/>
      <w:marBottom w:val="0"/>
      <w:divBdr>
        <w:top w:val="none" w:sz="0" w:space="0" w:color="auto"/>
        <w:left w:val="none" w:sz="0" w:space="0" w:color="auto"/>
        <w:bottom w:val="none" w:sz="0" w:space="0" w:color="auto"/>
        <w:right w:val="none" w:sz="0" w:space="0" w:color="auto"/>
      </w:divBdr>
    </w:div>
    <w:div w:id="1303197447">
      <w:bodyDiv w:val="1"/>
      <w:marLeft w:val="0"/>
      <w:marRight w:val="0"/>
      <w:marTop w:val="0"/>
      <w:marBottom w:val="0"/>
      <w:divBdr>
        <w:top w:val="none" w:sz="0" w:space="0" w:color="auto"/>
        <w:left w:val="none" w:sz="0" w:space="0" w:color="auto"/>
        <w:bottom w:val="none" w:sz="0" w:space="0" w:color="auto"/>
        <w:right w:val="none" w:sz="0" w:space="0" w:color="auto"/>
      </w:divBdr>
    </w:div>
    <w:div w:id="1307390892">
      <w:bodyDiv w:val="1"/>
      <w:marLeft w:val="0"/>
      <w:marRight w:val="0"/>
      <w:marTop w:val="0"/>
      <w:marBottom w:val="0"/>
      <w:divBdr>
        <w:top w:val="none" w:sz="0" w:space="0" w:color="auto"/>
        <w:left w:val="none" w:sz="0" w:space="0" w:color="auto"/>
        <w:bottom w:val="none" w:sz="0" w:space="0" w:color="auto"/>
        <w:right w:val="none" w:sz="0" w:space="0" w:color="auto"/>
      </w:divBdr>
    </w:div>
    <w:div w:id="1317296919">
      <w:bodyDiv w:val="1"/>
      <w:marLeft w:val="0"/>
      <w:marRight w:val="0"/>
      <w:marTop w:val="0"/>
      <w:marBottom w:val="0"/>
      <w:divBdr>
        <w:top w:val="none" w:sz="0" w:space="0" w:color="auto"/>
        <w:left w:val="none" w:sz="0" w:space="0" w:color="auto"/>
        <w:bottom w:val="none" w:sz="0" w:space="0" w:color="auto"/>
        <w:right w:val="none" w:sz="0" w:space="0" w:color="auto"/>
      </w:divBdr>
    </w:div>
    <w:div w:id="1322008370">
      <w:bodyDiv w:val="1"/>
      <w:marLeft w:val="0"/>
      <w:marRight w:val="0"/>
      <w:marTop w:val="0"/>
      <w:marBottom w:val="0"/>
      <w:divBdr>
        <w:top w:val="none" w:sz="0" w:space="0" w:color="auto"/>
        <w:left w:val="none" w:sz="0" w:space="0" w:color="auto"/>
        <w:bottom w:val="none" w:sz="0" w:space="0" w:color="auto"/>
        <w:right w:val="none" w:sz="0" w:space="0" w:color="auto"/>
      </w:divBdr>
    </w:div>
    <w:div w:id="1323199986">
      <w:bodyDiv w:val="1"/>
      <w:marLeft w:val="0"/>
      <w:marRight w:val="0"/>
      <w:marTop w:val="0"/>
      <w:marBottom w:val="0"/>
      <w:divBdr>
        <w:top w:val="none" w:sz="0" w:space="0" w:color="auto"/>
        <w:left w:val="none" w:sz="0" w:space="0" w:color="auto"/>
        <w:bottom w:val="none" w:sz="0" w:space="0" w:color="auto"/>
        <w:right w:val="none" w:sz="0" w:space="0" w:color="auto"/>
      </w:divBdr>
    </w:div>
    <w:div w:id="1323892862">
      <w:bodyDiv w:val="1"/>
      <w:marLeft w:val="0"/>
      <w:marRight w:val="0"/>
      <w:marTop w:val="0"/>
      <w:marBottom w:val="0"/>
      <w:divBdr>
        <w:top w:val="none" w:sz="0" w:space="0" w:color="auto"/>
        <w:left w:val="none" w:sz="0" w:space="0" w:color="auto"/>
        <w:bottom w:val="none" w:sz="0" w:space="0" w:color="auto"/>
        <w:right w:val="none" w:sz="0" w:space="0" w:color="auto"/>
      </w:divBdr>
    </w:div>
    <w:div w:id="1327978578">
      <w:bodyDiv w:val="1"/>
      <w:marLeft w:val="0"/>
      <w:marRight w:val="0"/>
      <w:marTop w:val="0"/>
      <w:marBottom w:val="0"/>
      <w:divBdr>
        <w:top w:val="none" w:sz="0" w:space="0" w:color="auto"/>
        <w:left w:val="none" w:sz="0" w:space="0" w:color="auto"/>
        <w:bottom w:val="none" w:sz="0" w:space="0" w:color="auto"/>
        <w:right w:val="none" w:sz="0" w:space="0" w:color="auto"/>
      </w:divBdr>
    </w:div>
    <w:div w:id="1331566985">
      <w:bodyDiv w:val="1"/>
      <w:marLeft w:val="0"/>
      <w:marRight w:val="0"/>
      <w:marTop w:val="0"/>
      <w:marBottom w:val="0"/>
      <w:divBdr>
        <w:top w:val="none" w:sz="0" w:space="0" w:color="auto"/>
        <w:left w:val="none" w:sz="0" w:space="0" w:color="auto"/>
        <w:bottom w:val="none" w:sz="0" w:space="0" w:color="auto"/>
        <w:right w:val="none" w:sz="0" w:space="0" w:color="auto"/>
      </w:divBdr>
    </w:div>
    <w:div w:id="1332370305">
      <w:bodyDiv w:val="1"/>
      <w:marLeft w:val="0"/>
      <w:marRight w:val="0"/>
      <w:marTop w:val="0"/>
      <w:marBottom w:val="0"/>
      <w:divBdr>
        <w:top w:val="none" w:sz="0" w:space="0" w:color="auto"/>
        <w:left w:val="none" w:sz="0" w:space="0" w:color="auto"/>
        <w:bottom w:val="none" w:sz="0" w:space="0" w:color="auto"/>
        <w:right w:val="none" w:sz="0" w:space="0" w:color="auto"/>
      </w:divBdr>
    </w:div>
    <w:div w:id="1339194964">
      <w:bodyDiv w:val="1"/>
      <w:marLeft w:val="0"/>
      <w:marRight w:val="0"/>
      <w:marTop w:val="0"/>
      <w:marBottom w:val="0"/>
      <w:divBdr>
        <w:top w:val="none" w:sz="0" w:space="0" w:color="auto"/>
        <w:left w:val="none" w:sz="0" w:space="0" w:color="auto"/>
        <w:bottom w:val="none" w:sz="0" w:space="0" w:color="auto"/>
        <w:right w:val="none" w:sz="0" w:space="0" w:color="auto"/>
      </w:divBdr>
    </w:div>
    <w:div w:id="1347249262">
      <w:bodyDiv w:val="1"/>
      <w:marLeft w:val="0"/>
      <w:marRight w:val="0"/>
      <w:marTop w:val="0"/>
      <w:marBottom w:val="0"/>
      <w:divBdr>
        <w:top w:val="none" w:sz="0" w:space="0" w:color="auto"/>
        <w:left w:val="none" w:sz="0" w:space="0" w:color="auto"/>
        <w:bottom w:val="none" w:sz="0" w:space="0" w:color="auto"/>
        <w:right w:val="none" w:sz="0" w:space="0" w:color="auto"/>
      </w:divBdr>
    </w:div>
    <w:div w:id="1349256661">
      <w:bodyDiv w:val="1"/>
      <w:marLeft w:val="0"/>
      <w:marRight w:val="0"/>
      <w:marTop w:val="0"/>
      <w:marBottom w:val="0"/>
      <w:divBdr>
        <w:top w:val="none" w:sz="0" w:space="0" w:color="auto"/>
        <w:left w:val="none" w:sz="0" w:space="0" w:color="auto"/>
        <w:bottom w:val="none" w:sz="0" w:space="0" w:color="auto"/>
        <w:right w:val="none" w:sz="0" w:space="0" w:color="auto"/>
      </w:divBdr>
    </w:div>
    <w:div w:id="1350646403">
      <w:bodyDiv w:val="1"/>
      <w:marLeft w:val="0"/>
      <w:marRight w:val="0"/>
      <w:marTop w:val="0"/>
      <w:marBottom w:val="0"/>
      <w:divBdr>
        <w:top w:val="none" w:sz="0" w:space="0" w:color="auto"/>
        <w:left w:val="none" w:sz="0" w:space="0" w:color="auto"/>
        <w:bottom w:val="none" w:sz="0" w:space="0" w:color="auto"/>
        <w:right w:val="none" w:sz="0" w:space="0" w:color="auto"/>
      </w:divBdr>
    </w:div>
    <w:div w:id="1351295121">
      <w:bodyDiv w:val="1"/>
      <w:marLeft w:val="0"/>
      <w:marRight w:val="0"/>
      <w:marTop w:val="0"/>
      <w:marBottom w:val="0"/>
      <w:divBdr>
        <w:top w:val="none" w:sz="0" w:space="0" w:color="auto"/>
        <w:left w:val="none" w:sz="0" w:space="0" w:color="auto"/>
        <w:bottom w:val="none" w:sz="0" w:space="0" w:color="auto"/>
        <w:right w:val="none" w:sz="0" w:space="0" w:color="auto"/>
      </w:divBdr>
    </w:div>
    <w:div w:id="1351838949">
      <w:bodyDiv w:val="1"/>
      <w:marLeft w:val="0"/>
      <w:marRight w:val="0"/>
      <w:marTop w:val="0"/>
      <w:marBottom w:val="0"/>
      <w:divBdr>
        <w:top w:val="none" w:sz="0" w:space="0" w:color="auto"/>
        <w:left w:val="none" w:sz="0" w:space="0" w:color="auto"/>
        <w:bottom w:val="none" w:sz="0" w:space="0" w:color="auto"/>
        <w:right w:val="none" w:sz="0" w:space="0" w:color="auto"/>
      </w:divBdr>
    </w:div>
    <w:div w:id="1352419317">
      <w:bodyDiv w:val="1"/>
      <w:marLeft w:val="0"/>
      <w:marRight w:val="0"/>
      <w:marTop w:val="0"/>
      <w:marBottom w:val="0"/>
      <w:divBdr>
        <w:top w:val="none" w:sz="0" w:space="0" w:color="auto"/>
        <w:left w:val="none" w:sz="0" w:space="0" w:color="auto"/>
        <w:bottom w:val="none" w:sz="0" w:space="0" w:color="auto"/>
        <w:right w:val="none" w:sz="0" w:space="0" w:color="auto"/>
      </w:divBdr>
    </w:div>
    <w:div w:id="1354843501">
      <w:bodyDiv w:val="1"/>
      <w:marLeft w:val="0"/>
      <w:marRight w:val="0"/>
      <w:marTop w:val="0"/>
      <w:marBottom w:val="0"/>
      <w:divBdr>
        <w:top w:val="none" w:sz="0" w:space="0" w:color="auto"/>
        <w:left w:val="none" w:sz="0" w:space="0" w:color="auto"/>
        <w:bottom w:val="none" w:sz="0" w:space="0" w:color="auto"/>
        <w:right w:val="none" w:sz="0" w:space="0" w:color="auto"/>
      </w:divBdr>
    </w:div>
    <w:div w:id="1355032597">
      <w:bodyDiv w:val="1"/>
      <w:marLeft w:val="0"/>
      <w:marRight w:val="0"/>
      <w:marTop w:val="0"/>
      <w:marBottom w:val="0"/>
      <w:divBdr>
        <w:top w:val="none" w:sz="0" w:space="0" w:color="auto"/>
        <w:left w:val="none" w:sz="0" w:space="0" w:color="auto"/>
        <w:bottom w:val="none" w:sz="0" w:space="0" w:color="auto"/>
        <w:right w:val="none" w:sz="0" w:space="0" w:color="auto"/>
      </w:divBdr>
    </w:div>
    <w:div w:id="1356999246">
      <w:bodyDiv w:val="1"/>
      <w:marLeft w:val="0"/>
      <w:marRight w:val="0"/>
      <w:marTop w:val="0"/>
      <w:marBottom w:val="0"/>
      <w:divBdr>
        <w:top w:val="none" w:sz="0" w:space="0" w:color="auto"/>
        <w:left w:val="none" w:sz="0" w:space="0" w:color="auto"/>
        <w:bottom w:val="none" w:sz="0" w:space="0" w:color="auto"/>
        <w:right w:val="none" w:sz="0" w:space="0" w:color="auto"/>
      </w:divBdr>
    </w:div>
    <w:div w:id="1359235954">
      <w:bodyDiv w:val="1"/>
      <w:marLeft w:val="0"/>
      <w:marRight w:val="0"/>
      <w:marTop w:val="0"/>
      <w:marBottom w:val="0"/>
      <w:divBdr>
        <w:top w:val="none" w:sz="0" w:space="0" w:color="auto"/>
        <w:left w:val="none" w:sz="0" w:space="0" w:color="auto"/>
        <w:bottom w:val="none" w:sz="0" w:space="0" w:color="auto"/>
        <w:right w:val="none" w:sz="0" w:space="0" w:color="auto"/>
      </w:divBdr>
    </w:div>
    <w:div w:id="1366252661">
      <w:bodyDiv w:val="1"/>
      <w:marLeft w:val="0"/>
      <w:marRight w:val="0"/>
      <w:marTop w:val="0"/>
      <w:marBottom w:val="0"/>
      <w:divBdr>
        <w:top w:val="none" w:sz="0" w:space="0" w:color="auto"/>
        <w:left w:val="none" w:sz="0" w:space="0" w:color="auto"/>
        <w:bottom w:val="none" w:sz="0" w:space="0" w:color="auto"/>
        <w:right w:val="none" w:sz="0" w:space="0" w:color="auto"/>
      </w:divBdr>
    </w:div>
    <w:div w:id="1370566924">
      <w:bodyDiv w:val="1"/>
      <w:marLeft w:val="0"/>
      <w:marRight w:val="0"/>
      <w:marTop w:val="0"/>
      <w:marBottom w:val="0"/>
      <w:divBdr>
        <w:top w:val="none" w:sz="0" w:space="0" w:color="auto"/>
        <w:left w:val="none" w:sz="0" w:space="0" w:color="auto"/>
        <w:bottom w:val="none" w:sz="0" w:space="0" w:color="auto"/>
        <w:right w:val="none" w:sz="0" w:space="0" w:color="auto"/>
      </w:divBdr>
    </w:div>
    <w:div w:id="1371295084">
      <w:bodyDiv w:val="1"/>
      <w:marLeft w:val="0"/>
      <w:marRight w:val="0"/>
      <w:marTop w:val="0"/>
      <w:marBottom w:val="0"/>
      <w:divBdr>
        <w:top w:val="none" w:sz="0" w:space="0" w:color="auto"/>
        <w:left w:val="none" w:sz="0" w:space="0" w:color="auto"/>
        <w:bottom w:val="none" w:sz="0" w:space="0" w:color="auto"/>
        <w:right w:val="none" w:sz="0" w:space="0" w:color="auto"/>
      </w:divBdr>
    </w:div>
    <w:div w:id="1377466279">
      <w:bodyDiv w:val="1"/>
      <w:marLeft w:val="0"/>
      <w:marRight w:val="0"/>
      <w:marTop w:val="0"/>
      <w:marBottom w:val="0"/>
      <w:divBdr>
        <w:top w:val="none" w:sz="0" w:space="0" w:color="auto"/>
        <w:left w:val="none" w:sz="0" w:space="0" w:color="auto"/>
        <w:bottom w:val="none" w:sz="0" w:space="0" w:color="auto"/>
        <w:right w:val="none" w:sz="0" w:space="0" w:color="auto"/>
      </w:divBdr>
    </w:div>
    <w:div w:id="1378239903">
      <w:bodyDiv w:val="1"/>
      <w:marLeft w:val="0"/>
      <w:marRight w:val="0"/>
      <w:marTop w:val="0"/>
      <w:marBottom w:val="0"/>
      <w:divBdr>
        <w:top w:val="none" w:sz="0" w:space="0" w:color="auto"/>
        <w:left w:val="none" w:sz="0" w:space="0" w:color="auto"/>
        <w:bottom w:val="none" w:sz="0" w:space="0" w:color="auto"/>
        <w:right w:val="none" w:sz="0" w:space="0" w:color="auto"/>
      </w:divBdr>
    </w:div>
    <w:div w:id="1380014800">
      <w:bodyDiv w:val="1"/>
      <w:marLeft w:val="0"/>
      <w:marRight w:val="0"/>
      <w:marTop w:val="0"/>
      <w:marBottom w:val="0"/>
      <w:divBdr>
        <w:top w:val="none" w:sz="0" w:space="0" w:color="auto"/>
        <w:left w:val="none" w:sz="0" w:space="0" w:color="auto"/>
        <w:bottom w:val="none" w:sz="0" w:space="0" w:color="auto"/>
        <w:right w:val="none" w:sz="0" w:space="0" w:color="auto"/>
      </w:divBdr>
    </w:div>
    <w:div w:id="1380279150">
      <w:bodyDiv w:val="1"/>
      <w:marLeft w:val="0"/>
      <w:marRight w:val="0"/>
      <w:marTop w:val="0"/>
      <w:marBottom w:val="0"/>
      <w:divBdr>
        <w:top w:val="none" w:sz="0" w:space="0" w:color="auto"/>
        <w:left w:val="none" w:sz="0" w:space="0" w:color="auto"/>
        <w:bottom w:val="none" w:sz="0" w:space="0" w:color="auto"/>
        <w:right w:val="none" w:sz="0" w:space="0" w:color="auto"/>
      </w:divBdr>
    </w:div>
    <w:div w:id="1380473285">
      <w:bodyDiv w:val="1"/>
      <w:marLeft w:val="0"/>
      <w:marRight w:val="0"/>
      <w:marTop w:val="0"/>
      <w:marBottom w:val="0"/>
      <w:divBdr>
        <w:top w:val="none" w:sz="0" w:space="0" w:color="auto"/>
        <w:left w:val="none" w:sz="0" w:space="0" w:color="auto"/>
        <w:bottom w:val="none" w:sz="0" w:space="0" w:color="auto"/>
        <w:right w:val="none" w:sz="0" w:space="0" w:color="auto"/>
      </w:divBdr>
    </w:div>
    <w:div w:id="1386027813">
      <w:bodyDiv w:val="1"/>
      <w:marLeft w:val="0"/>
      <w:marRight w:val="0"/>
      <w:marTop w:val="0"/>
      <w:marBottom w:val="0"/>
      <w:divBdr>
        <w:top w:val="none" w:sz="0" w:space="0" w:color="auto"/>
        <w:left w:val="none" w:sz="0" w:space="0" w:color="auto"/>
        <w:bottom w:val="none" w:sz="0" w:space="0" w:color="auto"/>
        <w:right w:val="none" w:sz="0" w:space="0" w:color="auto"/>
      </w:divBdr>
    </w:div>
    <w:div w:id="1386104177">
      <w:bodyDiv w:val="1"/>
      <w:marLeft w:val="0"/>
      <w:marRight w:val="0"/>
      <w:marTop w:val="0"/>
      <w:marBottom w:val="0"/>
      <w:divBdr>
        <w:top w:val="none" w:sz="0" w:space="0" w:color="auto"/>
        <w:left w:val="none" w:sz="0" w:space="0" w:color="auto"/>
        <w:bottom w:val="none" w:sz="0" w:space="0" w:color="auto"/>
        <w:right w:val="none" w:sz="0" w:space="0" w:color="auto"/>
      </w:divBdr>
    </w:div>
    <w:div w:id="1390615395">
      <w:bodyDiv w:val="1"/>
      <w:marLeft w:val="0"/>
      <w:marRight w:val="0"/>
      <w:marTop w:val="0"/>
      <w:marBottom w:val="0"/>
      <w:divBdr>
        <w:top w:val="none" w:sz="0" w:space="0" w:color="auto"/>
        <w:left w:val="none" w:sz="0" w:space="0" w:color="auto"/>
        <w:bottom w:val="none" w:sz="0" w:space="0" w:color="auto"/>
        <w:right w:val="none" w:sz="0" w:space="0" w:color="auto"/>
      </w:divBdr>
      <w:divsChild>
        <w:div w:id="700128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008237">
              <w:marLeft w:val="0"/>
              <w:marRight w:val="0"/>
              <w:marTop w:val="0"/>
              <w:marBottom w:val="0"/>
              <w:divBdr>
                <w:top w:val="none" w:sz="0" w:space="0" w:color="auto"/>
                <w:left w:val="none" w:sz="0" w:space="0" w:color="auto"/>
                <w:bottom w:val="none" w:sz="0" w:space="0" w:color="auto"/>
                <w:right w:val="none" w:sz="0" w:space="0" w:color="auto"/>
              </w:divBdr>
              <w:divsChild>
                <w:div w:id="1420441475">
                  <w:marLeft w:val="0"/>
                  <w:marRight w:val="0"/>
                  <w:marTop w:val="0"/>
                  <w:marBottom w:val="0"/>
                  <w:divBdr>
                    <w:top w:val="none" w:sz="0" w:space="0" w:color="auto"/>
                    <w:left w:val="none" w:sz="0" w:space="0" w:color="auto"/>
                    <w:bottom w:val="none" w:sz="0" w:space="0" w:color="auto"/>
                    <w:right w:val="none" w:sz="0" w:space="0" w:color="auto"/>
                  </w:divBdr>
                  <w:divsChild>
                    <w:div w:id="570193954">
                      <w:marLeft w:val="0"/>
                      <w:marRight w:val="0"/>
                      <w:marTop w:val="0"/>
                      <w:marBottom w:val="0"/>
                      <w:divBdr>
                        <w:top w:val="none" w:sz="0" w:space="0" w:color="auto"/>
                        <w:left w:val="none" w:sz="0" w:space="0" w:color="auto"/>
                        <w:bottom w:val="none" w:sz="0" w:space="0" w:color="auto"/>
                        <w:right w:val="none" w:sz="0" w:space="0" w:color="auto"/>
                      </w:divBdr>
                      <w:divsChild>
                        <w:div w:id="124812748">
                          <w:marLeft w:val="0"/>
                          <w:marRight w:val="0"/>
                          <w:marTop w:val="0"/>
                          <w:marBottom w:val="0"/>
                          <w:divBdr>
                            <w:top w:val="none" w:sz="0" w:space="0" w:color="auto"/>
                            <w:left w:val="none" w:sz="0" w:space="0" w:color="auto"/>
                            <w:bottom w:val="none" w:sz="0" w:space="0" w:color="auto"/>
                            <w:right w:val="none" w:sz="0" w:space="0" w:color="auto"/>
                          </w:divBdr>
                          <w:divsChild>
                            <w:div w:id="372776183">
                              <w:marLeft w:val="0"/>
                              <w:marRight w:val="0"/>
                              <w:marTop w:val="0"/>
                              <w:marBottom w:val="0"/>
                              <w:divBdr>
                                <w:top w:val="none" w:sz="0" w:space="0" w:color="auto"/>
                                <w:left w:val="none" w:sz="0" w:space="0" w:color="auto"/>
                                <w:bottom w:val="none" w:sz="0" w:space="0" w:color="auto"/>
                                <w:right w:val="none" w:sz="0" w:space="0" w:color="auto"/>
                              </w:divBdr>
                              <w:divsChild>
                                <w:div w:id="1943410413">
                                  <w:marLeft w:val="0"/>
                                  <w:marRight w:val="0"/>
                                  <w:marTop w:val="0"/>
                                  <w:marBottom w:val="0"/>
                                  <w:divBdr>
                                    <w:top w:val="none" w:sz="0" w:space="0" w:color="auto"/>
                                    <w:left w:val="none" w:sz="0" w:space="0" w:color="auto"/>
                                    <w:bottom w:val="none" w:sz="0" w:space="0" w:color="auto"/>
                                    <w:right w:val="none" w:sz="0" w:space="0" w:color="auto"/>
                                  </w:divBdr>
                                </w:div>
                              </w:divsChild>
                            </w:div>
                            <w:div w:id="442119689">
                              <w:marLeft w:val="0"/>
                              <w:marRight w:val="0"/>
                              <w:marTop w:val="0"/>
                              <w:marBottom w:val="0"/>
                              <w:divBdr>
                                <w:top w:val="none" w:sz="0" w:space="0" w:color="auto"/>
                                <w:left w:val="none" w:sz="0" w:space="0" w:color="auto"/>
                                <w:bottom w:val="none" w:sz="0" w:space="0" w:color="auto"/>
                                <w:right w:val="none" w:sz="0" w:space="0" w:color="auto"/>
                              </w:divBdr>
                              <w:divsChild>
                                <w:div w:id="951014877">
                                  <w:marLeft w:val="0"/>
                                  <w:marRight w:val="0"/>
                                  <w:marTop w:val="0"/>
                                  <w:marBottom w:val="0"/>
                                  <w:divBdr>
                                    <w:top w:val="none" w:sz="0" w:space="0" w:color="auto"/>
                                    <w:left w:val="none" w:sz="0" w:space="0" w:color="auto"/>
                                    <w:bottom w:val="none" w:sz="0" w:space="0" w:color="auto"/>
                                    <w:right w:val="none" w:sz="0" w:space="0" w:color="auto"/>
                                  </w:divBdr>
                                </w:div>
                              </w:divsChild>
                            </w:div>
                            <w:div w:id="1374382619">
                              <w:marLeft w:val="0"/>
                              <w:marRight w:val="0"/>
                              <w:marTop w:val="0"/>
                              <w:marBottom w:val="0"/>
                              <w:divBdr>
                                <w:top w:val="none" w:sz="0" w:space="0" w:color="auto"/>
                                <w:left w:val="none" w:sz="0" w:space="0" w:color="auto"/>
                                <w:bottom w:val="none" w:sz="0" w:space="0" w:color="auto"/>
                                <w:right w:val="none" w:sz="0" w:space="0" w:color="auto"/>
                              </w:divBdr>
                              <w:divsChild>
                                <w:div w:id="13241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576259">
      <w:bodyDiv w:val="1"/>
      <w:marLeft w:val="0"/>
      <w:marRight w:val="0"/>
      <w:marTop w:val="0"/>
      <w:marBottom w:val="0"/>
      <w:divBdr>
        <w:top w:val="none" w:sz="0" w:space="0" w:color="auto"/>
        <w:left w:val="none" w:sz="0" w:space="0" w:color="auto"/>
        <w:bottom w:val="none" w:sz="0" w:space="0" w:color="auto"/>
        <w:right w:val="none" w:sz="0" w:space="0" w:color="auto"/>
      </w:divBdr>
    </w:div>
    <w:div w:id="1395851375">
      <w:bodyDiv w:val="1"/>
      <w:marLeft w:val="0"/>
      <w:marRight w:val="0"/>
      <w:marTop w:val="0"/>
      <w:marBottom w:val="0"/>
      <w:divBdr>
        <w:top w:val="none" w:sz="0" w:space="0" w:color="auto"/>
        <w:left w:val="none" w:sz="0" w:space="0" w:color="auto"/>
        <w:bottom w:val="none" w:sz="0" w:space="0" w:color="auto"/>
        <w:right w:val="none" w:sz="0" w:space="0" w:color="auto"/>
      </w:divBdr>
    </w:div>
    <w:div w:id="1401900106">
      <w:bodyDiv w:val="1"/>
      <w:marLeft w:val="0"/>
      <w:marRight w:val="0"/>
      <w:marTop w:val="0"/>
      <w:marBottom w:val="0"/>
      <w:divBdr>
        <w:top w:val="none" w:sz="0" w:space="0" w:color="auto"/>
        <w:left w:val="none" w:sz="0" w:space="0" w:color="auto"/>
        <w:bottom w:val="none" w:sz="0" w:space="0" w:color="auto"/>
        <w:right w:val="none" w:sz="0" w:space="0" w:color="auto"/>
      </w:divBdr>
    </w:div>
    <w:div w:id="1402211566">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11197583">
      <w:bodyDiv w:val="1"/>
      <w:marLeft w:val="0"/>
      <w:marRight w:val="0"/>
      <w:marTop w:val="0"/>
      <w:marBottom w:val="0"/>
      <w:divBdr>
        <w:top w:val="none" w:sz="0" w:space="0" w:color="auto"/>
        <w:left w:val="none" w:sz="0" w:space="0" w:color="auto"/>
        <w:bottom w:val="none" w:sz="0" w:space="0" w:color="auto"/>
        <w:right w:val="none" w:sz="0" w:space="0" w:color="auto"/>
      </w:divBdr>
    </w:div>
    <w:div w:id="1412963985">
      <w:bodyDiv w:val="1"/>
      <w:marLeft w:val="0"/>
      <w:marRight w:val="0"/>
      <w:marTop w:val="0"/>
      <w:marBottom w:val="0"/>
      <w:divBdr>
        <w:top w:val="none" w:sz="0" w:space="0" w:color="auto"/>
        <w:left w:val="none" w:sz="0" w:space="0" w:color="auto"/>
        <w:bottom w:val="none" w:sz="0" w:space="0" w:color="auto"/>
        <w:right w:val="none" w:sz="0" w:space="0" w:color="auto"/>
      </w:divBdr>
    </w:div>
    <w:div w:id="1418595577">
      <w:bodyDiv w:val="1"/>
      <w:marLeft w:val="0"/>
      <w:marRight w:val="0"/>
      <w:marTop w:val="0"/>
      <w:marBottom w:val="0"/>
      <w:divBdr>
        <w:top w:val="none" w:sz="0" w:space="0" w:color="auto"/>
        <w:left w:val="none" w:sz="0" w:space="0" w:color="auto"/>
        <w:bottom w:val="none" w:sz="0" w:space="0" w:color="auto"/>
        <w:right w:val="none" w:sz="0" w:space="0" w:color="auto"/>
      </w:divBdr>
    </w:div>
    <w:div w:id="1419402052">
      <w:bodyDiv w:val="1"/>
      <w:marLeft w:val="0"/>
      <w:marRight w:val="0"/>
      <w:marTop w:val="0"/>
      <w:marBottom w:val="0"/>
      <w:divBdr>
        <w:top w:val="none" w:sz="0" w:space="0" w:color="auto"/>
        <w:left w:val="none" w:sz="0" w:space="0" w:color="auto"/>
        <w:bottom w:val="none" w:sz="0" w:space="0" w:color="auto"/>
        <w:right w:val="none" w:sz="0" w:space="0" w:color="auto"/>
      </w:divBdr>
      <w:divsChild>
        <w:div w:id="1365250058">
          <w:marLeft w:val="0"/>
          <w:marRight w:val="0"/>
          <w:marTop w:val="0"/>
          <w:marBottom w:val="0"/>
          <w:divBdr>
            <w:top w:val="none" w:sz="0" w:space="0" w:color="auto"/>
            <w:left w:val="none" w:sz="0" w:space="0" w:color="auto"/>
            <w:bottom w:val="none" w:sz="0" w:space="0" w:color="auto"/>
            <w:right w:val="none" w:sz="0" w:space="0" w:color="auto"/>
          </w:divBdr>
          <w:divsChild>
            <w:div w:id="440295299">
              <w:marLeft w:val="0"/>
              <w:marRight w:val="0"/>
              <w:marTop w:val="0"/>
              <w:marBottom w:val="0"/>
              <w:divBdr>
                <w:top w:val="none" w:sz="0" w:space="0" w:color="auto"/>
                <w:left w:val="none" w:sz="0" w:space="0" w:color="auto"/>
                <w:bottom w:val="none" w:sz="0" w:space="0" w:color="auto"/>
                <w:right w:val="none" w:sz="0" w:space="0" w:color="auto"/>
              </w:divBdr>
              <w:divsChild>
                <w:div w:id="1457403958">
                  <w:marLeft w:val="225"/>
                  <w:marRight w:val="225"/>
                  <w:marTop w:val="0"/>
                  <w:marBottom w:val="0"/>
                  <w:divBdr>
                    <w:top w:val="none" w:sz="0" w:space="0" w:color="auto"/>
                    <w:left w:val="none" w:sz="0" w:space="0" w:color="auto"/>
                    <w:bottom w:val="none" w:sz="0" w:space="0" w:color="auto"/>
                    <w:right w:val="none" w:sz="0" w:space="0" w:color="auto"/>
                  </w:divBdr>
                  <w:divsChild>
                    <w:div w:id="1854879116">
                      <w:marLeft w:val="0"/>
                      <w:marRight w:val="0"/>
                      <w:marTop w:val="0"/>
                      <w:marBottom w:val="0"/>
                      <w:divBdr>
                        <w:top w:val="none" w:sz="0" w:space="0" w:color="auto"/>
                        <w:left w:val="none" w:sz="0" w:space="0" w:color="auto"/>
                        <w:bottom w:val="none" w:sz="0" w:space="0" w:color="auto"/>
                        <w:right w:val="none" w:sz="0" w:space="0" w:color="auto"/>
                      </w:divBdr>
                      <w:divsChild>
                        <w:div w:id="1914779304">
                          <w:marLeft w:val="0"/>
                          <w:marRight w:val="0"/>
                          <w:marTop w:val="0"/>
                          <w:marBottom w:val="0"/>
                          <w:divBdr>
                            <w:top w:val="none" w:sz="0" w:space="0" w:color="auto"/>
                            <w:left w:val="none" w:sz="0" w:space="0" w:color="auto"/>
                            <w:bottom w:val="none" w:sz="0" w:space="0" w:color="auto"/>
                            <w:right w:val="none" w:sz="0" w:space="0" w:color="auto"/>
                          </w:divBdr>
                          <w:divsChild>
                            <w:div w:id="109588343">
                              <w:marLeft w:val="0"/>
                              <w:marRight w:val="0"/>
                              <w:marTop w:val="0"/>
                              <w:marBottom w:val="0"/>
                              <w:divBdr>
                                <w:top w:val="none" w:sz="0" w:space="0" w:color="auto"/>
                                <w:left w:val="none" w:sz="0" w:space="0" w:color="auto"/>
                                <w:bottom w:val="none" w:sz="0" w:space="0" w:color="auto"/>
                                <w:right w:val="none" w:sz="0" w:space="0" w:color="auto"/>
                              </w:divBdr>
                              <w:divsChild>
                                <w:div w:id="251665447">
                                  <w:marLeft w:val="0"/>
                                  <w:marRight w:val="0"/>
                                  <w:marTop w:val="0"/>
                                  <w:marBottom w:val="0"/>
                                  <w:divBdr>
                                    <w:top w:val="none" w:sz="0" w:space="0" w:color="auto"/>
                                    <w:left w:val="none" w:sz="0" w:space="0" w:color="auto"/>
                                    <w:bottom w:val="none" w:sz="0" w:space="0" w:color="auto"/>
                                    <w:right w:val="none" w:sz="0" w:space="0" w:color="auto"/>
                                  </w:divBdr>
                                  <w:divsChild>
                                    <w:div w:id="1879931656">
                                      <w:marLeft w:val="0"/>
                                      <w:marRight w:val="0"/>
                                      <w:marTop w:val="0"/>
                                      <w:marBottom w:val="0"/>
                                      <w:divBdr>
                                        <w:top w:val="none" w:sz="0" w:space="0" w:color="auto"/>
                                        <w:left w:val="none" w:sz="0" w:space="0" w:color="auto"/>
                                        <w:bottom w:val="none" w:sz="0" w:space="0" w:color="auto"/>
                                        <w:right w:val="none" w:sz="0" w:space="0" w:color="auto"/>
                                      </w:divBdr>
                                      <w:divsChild>
                                        <w:div w:id="2092583814">
                                          <w:marLeft w:val="135"/>
                                          <w:marRight w:val="0"/>
                                          <w:marTop w:val="0"/>
                                          <w:marBottom w:val="0"/>
                                          <w:divBdr>
                                            <w:top w:val="none" w:sz="0" w:space="0" w:color="auto"/>
                                            <w:left w:val="none" w:sz="0" w:space="0" w:color="auto"/>
                                            <w:bottom w:val="none" w:sz="0" w:space="0" w:color="auto"/>
                                            <w:right w:val="none" w:sz="0" w:space="0" w:color="auto"/>
                                          </w:divBdr>
                                          <w:divsChild>
                                            <w:div w:id="1419449332">
                                              <w:marLeft w:val="0"/>
                                              <w:marRight w:val="0"/>
                                              <w:marTop w:val="0"/>
                                              <w:marBottom w:val="0"/>
                                              <w:divBdr>
                                                <w:top w:val="none" w:sz="0" w:space="0" w:color="auto"/>
                                                <w:left w:val="none" w:sz="0" w:space="0" w:color="auto"/>
                                                <w:bottom w:val="none" w:sz="0" w:space="0" w:color="auto"/>
                                                <w:right w:val="none" w:sz="0" w:space="0" w:color="auto"/>
                                              </w:divBdr>
                                              <w:divsChild>
                                                <w:div w:id="254100453">
                                                  <w:marLeft w:val="0"/>
                                                  <w:marRight w:val="0"/>
                                                  <w:marTop w:val="0"/>
                                                  <w:marBottom w:val="0"/>
                                                  <w:divBdr>
                                                    <w:top w:val="none" w:sz="0" w:space="0" w:color="auto"/>
                                                    <w:left w:val="none" w:sz="0" w:space="0" w:color="auto"/>
                                                    <w:bottom w:val="none" w:sz="0" w:space="0" w:color="auto"/>
                                                    <w:right w:val="none" w:sz="0" w:space="0" w:color="auto"/>
                                                  </w:divBdr>
                                                  <w:divsChild>
                                                    <w:div w:id="2099977685">
                                                      <w:marLeft w:val="0"/>
                                                      <w:marRight w:val="0"/>
                                                      <w:marTop w:val="0"/>
                                                      <w:marBottom w:val="0"/>
                                                      <w:divBdr>
                                                        <w:top w:val="none" w:sz="0" w:space="0" w:color="auto"/>
                                                        <w:left w:val="none" w:sz="0" w:space="0" w:color="auto"/>
                                                        <w:bottom w:val="none" w:sz="0" w:space="0" w:color="auto"/>
                                                        <w:right w:val="none" w:sz="0" w:space="0" w:color="auto"/>
                                                      </w:divBdr>
                                                      <w:divsChild>
                                                        <w:div w:id="608899006">
                                                          <w:marLeft w:val="0"/>
                                                          <w:marRight w:val="0"/>
                                                          <w:marTop w:val="0"/>
                                                          <w:marBottom w:val="0"/>
                                                          <w:divBdr>
                                                            <w:top w:val="none" w:sz="0" w:space="0" w:color="auto"/>
                                                            <w:left w:val="none" w:sz="0" w:space="0" w:color="auto"/>
                                                            <w:bottom w:val="none" w:sz="0" w:space="0" w:color="auto"/>
                                                            <w:right w:val="none" w:sz="0" w:space="0" w:color="auto"/>
                                                          </w:divBdr>
                                                          <w:divsChild>
                                                            <w:div w:id="141682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1060672">
          <w:marLeft w:val="0"/>
          <w:marRight w:val="0"/>
          <w:marTop w:val="0"/>
          <w:marBottom w:val="0"/>
          <w:divBdr>
            <w:top w:val="none" w:sz="0" w:space="0" w:color="auto"/>
            <w:left w:val="none" w:sz="0" w:space="0" w:color="auto"/>
            <w:bottom w:val="none" w:sz="0" w:space="0" w:color="auto"/>
            <w:right w:val="none" w:sz="0" w:space="0" w:color="auto"/>
          </w:divBdr>
          <w:divsChild>
            <w:div w:id="199973087">
              <w:marLeft w:val="0"/>
              <w:marRight w:val="0"/>
              <w:marTop w:val="0"/>
              <w:marBottom w:val="0"/>
              <w:divBdr>
                <w:top w:val="none" w:sz="0" w:space="0" w:color="auto"/>
                <w:left w:val="single" w:sz="6" w:space="0" w:color="CCCCCC"/>
                <w:bottom w:val="none" w:sz="0" w:space="0" w:color="auto"/>
                <w:right w:val="none" w:sz="0" w:space="0" w:color="auto"/>
              </w:divBdr>
              <w:divsChild>
                <w:div w:id="1743985786">
                  <w:marLeft w:val="0"/>
                  <w:marRight w:val="0"/>
                  <w:marTop w:val="0"/>
                  <w:marBottom w:val="0"/>
                  <w:divBdr>
                    <w:top w:val="none" w:sz="0" w:space="0" w:color="auto"/>
                    <w:left w:val="none" w:sz="0" w:space="0" w:color="auto"/>
                    <w:bottom w:val="none" w:sz="0" w:space="0" w:color="auto"/>
                    <w:right w:val="none" w:sz="0" w:space="0" w:color="auto"/>
                  </w:divBdr>
                  <w:divsChild>
                    <w:div w:id="474956714">
                      <w:marLeft w:val="0"/>
                      <w:marRight w:val="0"/>
                      <w:marTop w:val="0"/>
                      <w:marBottom w:val="0"/>
                      <w:divBdr>
                        <w:top w:val="none" w:sz="0" w:space="0" w:color="auto"/>
                        <w:left w:val="none" w:sz="0" w:space="0" w:color="auto"/>
                        <w:bottom w:val="none" w:sz="0" w:space="0" w:color="auto"/>
                        <w:right w:val="none" w:sz="0" w:space="0" w:color="auto"/>
                      </w:divBdr>
                      <w:divsChild>
                        <w:div w:id="858541566">
                          <w:marLeft w:val="0"/>
                          <w:marRight w:val="0"/>
                          <w:marTop w:val="0"/>
                          <w:marBottom w:val="0"/>
                          <w:divBdr>
                            <w:top w:val="none" w:sz="0" w:space="0" w:color="auto"/>
                            <w:left w:val="none" w:sz="0" w:space="0" w:color="auto"/>
                            <w:bottom w:val="none" w:sz="0" w:space="0" w:color="auto"/>
                            <w:right w:val="none" w:sz="0" w:space="0" w:color="auto"/>
                          </w:divBdr>
                          <w:divsChild>
                            <w:div w:id="394670248">
                              <w:marLeft w:val="0"/>
                              <w:marRight w:val="0"/>
                              <w:marTop w:val="0"/>
                              <w:marBottom w:val="0"/>
                              <w:divBdr>
                                <w:top w:val="none" w:sz="0" w:space="0" w:color="auto"/>
                                <w:left w:val="none" w:sz="0" w:space="0" w:color="auto"/>
                                <w:bottom w:val="none" w:sz="0" w:space="0" w:color="auto"/>
                                <w:right w:val="none" w:sz="0" w:space="0" w:color="auto"/>
                              </w:divBdr>
                              <w:divsChild>
                                <w:div w:id="8322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702">
                      <w:marLeft w:val="0"/>
                      <w:marRight w:val="0"/>
                      <w:marTop w:val="0"/>
                      <w:marBottom w:val="0"/>
                      <w:divBdr>
                        <w:top w:val="none" w:sz="0" w:space="0" w:color="auto"/>
                        <w:left w:val="none" w:sz="0" w:space="0" w:color="auto"/>
                        <w:bottom w:val="none" w:sz="0" w:space="0" w:color="auto"/>
                        <w:right w:val="none" w:sz="0" w:space="0" w:color="auto"/>
                      </w:divBdr>
                      <w:divsChild>
                        <w:div w:id="1909420725">
                          <w:marLeft w:val="0"/>
                          <w:marRight w:val="0"/>
                          <w:marTop w:val="0"/>
                          <w:marBottom w:val="0"/>
                          <w:divBdr>
                            <w:top w:val="none" w:sz="0" w:space="0" w:color="auto"/>
                            <w:left w:val="none" w:sz="0" w:space="0" w:color="auto"/>
                            <w:bottom w:val="none" w:sz="0" w:space="0" w:color="auto"/>
                            <w:right w:val="none" w:sz="0" w:space="0" w:color="auto"/>
                          </w:divBdr>
                          <w:divsChild>
                            <w:div w:id="46807998">
                              <w:marLeft w:val="0"/>
                              <w:marRight w:val="0"/>
                              <w:marTop w:val="0"/>
                              <w:marBottom w:val="0"/>
                              <w:divBdr>
                                <w:top w:val="none" w:sz="0" w:space="0" w:color="auto"/>
                                <w:left w:val="none" w:sz="0" w:space="0" w:color="auto"/>
                                <w:bottom w:val="none" w:sz="0" w:space="0" w:color="auto"/>
                                <w:right w:val="none" w:sz="0" w:space="0" w:color="auto"/>
                              </w:divBdr>
                              <w:divsChild>
                                <w:div w:id="533008732">
                                  <w:marLeft w:val="0"/>
                                  <w:marRight w:val="0"/>
                                  <w:marTop w:val="0"/>
                                  <w:marBottom w:val="0"/>
                                  <w:divBdr>
                                    <w:top w:val="none" w:sz="0" w:space="0" w:color="auto"/>
                                    <w:left w:val="none" w:sz="0" w:space="0" w:color="auto"/>
                                    <w:bottom w:val="none" w:sz="0" w:space="0" w:color="auto"/>
                                    <w:right w:val="none" w:sz="0" w:space="0" w:color="auto"/>
                                  </w:divBdr>
                                  <w:divsChild>
                                    <w:div w:id="1045179388">
                                      <w:marLeft w:val="0"/>
                                      <w:marRight w:val="0"/>
                                      <w:marTop w:val="0"/>
                                      <w:marBottom w:val="0"/>
                                      <w:divBdr>
                                        <w:top w:val="none" w:sz="0" w:space="0" w:color="auto"/>
                                        <w:left w:val="none" w:sz="0" w:space="0" w:color="auto"/>
                                        <w:bottom w:val="none" w:sz="0" w:space="0" w:color="auto"/>
                                        <w:right w:val="none" w:sz="0" w:space="0" w:color="auto"/>
                                      </w:divBdr>
                                      <w:divsChild>
                                        <w:div w:id="345594134">
                                          <w:marLeft w:val="0"/>
                                          <w:marRight w:val="0"/>
                                          <w:marTop w:val="0"/>
                                          <w:marBottom w:val="0"/>
                                          <w:divBdr>
                                            <w:top w:val="none" w:sz="0" w:space="0" w:color="auto"/>
                                            <w:left w:val="none" w:sz="0" w:space="0" w:color="auto"/>
                                            <w:bottom w:val="none" w:sz="0" w:space="0" w:color="auto"/>
                                            <w:right w:val="none" w:sz="0" w:space="0" w:color="auto"/>
                                          </w:divBdr>
                                        </w:div>
                                        <w:div w:id="1049840387">
                                          <w:marLeft w:val="0"/>
                                          <w:marRight w:val="0"/>
                                          <w:marTop w:val="0"/>
                                          <w:marBottom w:val="0"/>
                                          <w:divBdr>
                                            <w:top w:val="none" w:sz="0" w:space="0" w:color="auto"/>
                                            <w:left w:val="none" w:sz="0" w:space="0" w:color="auto"/>
                                            <w:bottom w:val="none" w:sz="0" w:space="0" w:color="auto"/>
                                            <w:right w:val="none" w:sz="0" w:space="0" w:color="auto"/>
                                          </w:divBdr>
                                        </w:div>
                                      </w:divsChild>
                                    </w:div>
                                    <w:div w:id="1310750472">
                                      <w:marLeft w:val="0"/>
                                      <w:marRight w:val="0"/>
                                      <w:marTop w:val="0"/>
                                      <w:marBottom w:val="0"/>
                                      <w:divBdr>
                                        <w:top w:val="none" w:sz="0" w:space="0" w:color="auto"/>
                                        <w:left w:val="none" w:sz="0" w:space="0" w:color="auto"/>
                                        <w:bottom w:val="none" w:sz="0" w:space="0" w:color="auto"/>
                                        <w:right w:val="none" w:sz="0" w:space="0" w:color="auto"/>
                                      </w:divBdr>
                                      <w:divsChild>
                                        <w:div w:id="986010291">
                                          <w:marLeft w:val="0"/>
                                          <w:marRight w:val="0"/>
                                          <w:marTop w:val="0"/>
                                          <w:marBottom w:val="0"/>
                                          <w:divBdr>
                                            <w:top w:val="none" w:sz="0" w:space="0" w:color="auto"/>
                                            <w:left w:val="none" w:sz="0" w:space="0" w:color="auto"/>
                                            <w:bottom w:val="none" w:sz="0" w:space="0" w:color="auto"/>
                                            <w:right w:val="none" w:sz="0" w:space="0" w:color="auto"/>
                                          </w:divBdr>
                                          <w:divsChild>
                                            <w:div w:id="685862714">
                                              <w:marLeft w:val="0"/>
                                              <w:marRight w:val="0"/>
                                              <w:marTop w:val="0"/>
                                              <w:marBottom w:val="0"/>
                                              <w:divBdr>
                                                <w:top w:val="none" w:sz="0" w:space="0" w:color="auto"/>
                                                <w:left w:val="none" w:sz="0" w:space="0" w:color="auto"/>
                                                <w:bottom w:val="none" w:sz="0" w:space="0" w:color="auto"/>
                                                <w:right w:val="none" w:sz="0" w:space="0" w:color="auto"/>
                                              </w:divBdr>
                                              <w:divsChild>
                                                <w:div w:id="532116187">
                                                  <w:marLeft w:val="0"/>
                                                  <w:marRight w:val="0"/>
                                                  <w:marTop w:val="0"/>
                                                  <w:marBottom w:val="0"/>
                                                  <w:divBdr>
                                                    <w:top w:val="none" w:sz="0" w:space="0" w:color="auto"/>
                                                    <w:left w:val="none" w:sz="0" w:space="0" w:color="auto"/>
                                                    <w:bottom w:val="none" w:sz="0" w:space="0" w:color="auto"/>
                                                    <w:right w:val="none" w:sz="0" w:space="0" w:color="auto"/>
                                                  </w:divBdr>
                                                  <w:divsChild>
                                                    <w:div w:id="886718382">
                                                      <w:marLeft w:val="0"/>
                                                      <w:marRight w:val="0"/>
                                                      <w:marTop w:val="0"/>
                                                      <w:marBottom w:val="0"/>
                                                      <w:divBdr>
                                                        <w:top w:val="none" w:sz="0" w:space="0" w:color="auto"/>
                                                        <w:left w:val="none" w:sz="0" w:space="0" w:color="auto"/>
                                                        <w:bottom w:val="none" w:sz="0" w:space="0" w:color="auto"/>
                                                        <w:right w:val="none" w:sz="0" w:space="0" w:color="auto"/>
                                                      </w:divBdr>
                                                      <w:divsChild>
                                                        <w:div w:id="104085432">
                                                          <w:marLeft w:val="0"/>
                                                          <w:marRight w:val="0"/>
                                                          <w:marTop w:val="0"/>
                                                          <w:marBottom w:val="0"/>
                                                          <w:divBdr>
                                                            <w:top w:val="none" w:sz="0" w:space="0" w:color="auto"/>
                                                            <w:left w:val="none" w:sz="0" w:space="0" w:color="auto"/>
                                                            <w:bottom w:val="none" w:sz="0" w:space="0" w:color="auto"/>
                                                            <w:right w:val="none" w:sz="0" w:space="0" w:color="auto"/>
                                                          </w:divBdr>
                                                          <w:divsChild>
                                                            <w:div w:id="1875658330">
                                                              <w:marLeft w:val="0"/>
                                                              <w:marRight w:val="0"/>
                                                              <w:marTop w:val="0"/>
                                                              <w:marBottom w:val="0"/>
                                                              <w:divBdr>
                                                                <w:top w:val="none" w:sz="0" w:space="0" w:color="auto"/>
                                                                <w:left w:val="none" w:sz="0" w:space="0" w:color="auto"/>
                                                                <w:bottom w:val="none" w:sz="0" w:space="0" w:color="auto"/>
                                                                <w:right w:val="none" w:sz="0" w:space="0" w:color="auto"/>
                                                              </w:divBdr>
                                                              <w:divsChild>
                                                                <w:div w:id="1019353656">
                                                                  <w:marLeft w:val="0"/>
                                                                  <w:marRight w:val="0"/>
                                                                  <w:marTop w:val="0"/>
                                                                  <w:marBottom w:val="0"/>
                                                                  <w:divBdr>
                                                                    <w:top w:val="none" w:sz="0" w:space="0" w:color="auto"/>
                                                                    <w:left w:val="none" w:sz="0" w:space="0" w:color="auto"/>
                                                                    <w:bottom w:val="none" w:sz="0" w:space="0" w:color="auto"/>
                                                                    <w:right w:val="none" w:sz="0" w:space="0" w:color="auto"/>
                                                                  </w:divBdr>
                                                                  <w:divsChild>
                                                                    <w:div w:id="10499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87385">
                                                  <w:marLeft w:val="0"/>
                                                  <w:marRight w:val="0"/>
                                                  <w:marTop w:val="0"/>
                                                  <w:marBottom w:val="0"/>
                                                  <w:divBdr>
                                                    <w:top w:val="none" w:sz="0" w:space="0" w:color="auto"/>
                                                    <w:left w:val="none" w:sz="0" w:space="0" w:color="auto"/>
                                                    <w:bottom w:val="none" w:sz="0" w:space="0" w:color="auto"/>
                                                    <w:right w:val="none" w:sz="0" w:space="0" w:color="auto"/>
                                                  </w:divBdr>
                                                  <w:divsChild>
                                                    <w:div w:id="1090009333">
                                                      <w:marLeft w:val="0"/>
                                                      <w:marRight w:val="0"/>
                                                      <w:marTop w:val="0"/>
                                                      <w:marBottom w:val="0"/>
                                                      <w:divBdr>
                                                        <w:top w:val="none" w:sz="0" w:space="0" w:color="auto"/>
                                                        <w:left w:val="none" w:sz="0" w:space="0" w:color="auto"/>
                                                        <w:bottom w:val="none" w:sz="0" w:space="0" w:color="auto"/>
                                                        <w:right w:val="none" w:sz="0" w:space="0" w:color="auto"/>
                                                      </w:divBdr>
                                                      <w:divsChild>
                                                        <w:div w:id="1188569686">
                                                          <w:marLeft w:val="0"/>
                                                          <w:marRight w:val="0"/>
                                                          <w:marTop w:val="0"/>
                                                          <w:marBottom w:val="0"/>
                                                          <w:divBdr>
                                                            <w:top w:val="none" w:sz="0" w:space="0" w:color="auto"/>
                                                            <w:left w:val="none" w:sz="0" w:space="0" w:color="auto"/>
                                                            <w:bottom w:val="none" w:sz="0" w:space="0" w:color="auto"/>
                                                            <w:right w:val="none" w:sz="0" w:space="0" w:color="auto"/>
                                                          </w:divBdr>
                                                          <w:divsChild>
                                                            <w:div w:id="121123378">
                                                              <w:marLeft w:val="0"/>
                                                              <w:marRight w:val="0"/>
                                                              <w:marTop w:val="0"/>
                                                              <w:marBottom w:val="0"/>
                                                              <w:divBdr>
                                                                <w:top w:val="none" w:sz="0" w:space="0" w:color="auto"/>
                                                                <w:left w:val="none" w:sz="0" w:space="0" w:color="auto"/>
                                                                <w:bottom w:val="none" w:sz="0" w:space="0" w:color="auto"/>
                                                                <w:right w:val="none" w:sz="0" w:space="0" w:color="auto"/>
                                                              </w:divBdr>
                                                              <w:divsChild>
                                                                <w:div w:id="1190803397">
                                                                  <w:marLeft w:val="0"/>
                                                                  <w:marRight w:val="0"/>
                                                                  <w:marTop w:val="0"/>
                                                                  <w:marBottom w:val="0"/>
                                                                  <w:divBdr>
                                                                    <w:top w:val="none" w:sz="0" w:space="0" w:color="auto"/>
                                                                    <w:left w:val="none" w:sz="0" w:space="0" w:color="auto"/>
                                                                    <w:bottom w:val="none" w:sz="0" w:space="0" w:color="auto"/>
                                                                    <w:right w:val="none" w:sz="0" w:space="0" w:color="auto"/>
                                                                  </w:divBdr>
                                                                  <w:divsChild>
                                                                    <w:div w:id="13070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1841082">
                              <w:marLeft w:val="0"/>
                              <w:marRight w:val="0"/>
                              <w:marTop w:val="0"/>
                              <w:marBottom w:val="0"/>
                              <w:divBdr>
                                <w:top w:val="none" w:sz="0" w:space="0" w:color="auto"/>
                                <w:left w:val="none" w:sz="0" w:space="0" w:color="auto"/>
                                <w:bottom w:val="none" w:sz="0" w:space="0" w:color="auto"/>
                                <w:right w:val="none" w:sz="0" w:space="0" w:color="auto"/>
                              </w:divBdr>
                              <w:divsChild>
                                <w:div w:id="761217679">
                                  <w:marLeft w:val="0"/>
                                  <w:marRight w:val="0"/>
                                  <w:marTop w:val="0"/>
                                  <w:marBottom w:val="0"/>
                                  <w:divBdr>
                                    <w:top w:val="none" w:sz="0" w:space="0" w:color="auto"/>
                                    <w:left w:val="none" w:sz="0" w:space="0" w:color="auto"/>
                                    <w:bottom w:val="none" w:sz="0" w:space="0" w:color="auto"/>
                                    <w:right w:val="none" w:sz="0" w:space="0" w:color="auto"/>
                                  </w:divBdr>
                                  <w:divsChild>
                                    <w:div w:id="568539189">
                                      <w:marLeft w:val="0"/>
                                      <w:marRight w:val="0"/>
                                      <w:marTop w:val="0"/>
                                      <w:marBottom w:val="0"/>
                                      <w:divBdr>
                                        <w:top w:val="none" w:sz="0" w:space="0" w:color="auto"/>
                                        <w:left w:val="none" w:sz="0" w:space="0" w:color="auto"/>
                                        <w:bottom w:val="none" w:sz="0" w:space="0" w:color="auto"/>
                                        <w:right w:val="none" w:sz="0" w:space="0" w:color="auto"/>
                                      </w:divBdr>
                                      <w:divsChild>
                                        <w:div w:id="640692105">
                                          <w:marLeft w:val="0"/>
                                          <w:marRight w:val="0"/>
                                          <w:marTop w:val="0"/>
                                          <w:marBottom w:val="0"/>
                                          <w:divBdr>
                                            <w:top w:val="none" w:sz="0" w:space="0" w:color="auto"/>
                                            <w:left w:val="none" w:sz="0" w:space="0" w:color="auto"/>
                                            <w:bottom w:val="none" w:sz="0" w:space="0" w:color="auto"/>
                                            <w:right w:val="none" w:sz="0" w:space="0" w:color="auto"/>
                                          </w:divBdr>
                                        </w:div>
                                        <w:div w:id="2041778682">
                                          <w:marLeft w:val="0"/>
                                          <w:marRight w:val="0"/>
                                          <w:marTop w:val="0"/>
                                          <w:marBottom w:val="0"/>
                                          <w:divBdr>
                                            <w:top w:val="none" w:sz="0" w:space="0" w:color="auto"/>
                                            <w:left w:val="none" w:sz="0" w:space="0" w:color="auto"/>
                                            <w:bottom w:val="none" w:sz="0" w:space="0" w:color="auto"/>
                                            <w:right w:val="none" w:sz="0" w:space="0" w:color="auto"/>
                                          </w:divBdr>
                                        </w:div>
                                      </w:divsChild>
                                    </w:div>
                                    <w:div w:id="794255758">
                                      <w:marLeft w:val="0"/>
                                      <w:marRight w:val="0"/>
                                      <w:marTop w:val="0"/>
                                      <w:marBottom w:val="0"/>
                                      <w:divBdr>
                                        <w:top w:val="none" w:sz="0" w:space="0" w:color="auto"/>
                                        <w:left w:val="none" w:sz="0" w:space="0" w:color="auto"/>
                                        <w:bottom w:val="none" w:sz="0" w:space="0" w:color="auto"/>
                                        <w:right w:val="none" w:sz="0" w:space="0" w:color="auto"/>
                                      </w:divBdr>
                                      <w:divsChild>
                                        <w:div w:id="190579979">
                                          <w:marLeft w:val="0"/>
                                          <w:marRight w:val="0"/>
                                          <w:marTop w:val="0"/>
                                          <w:marBottom w:val="0"/>
                                          <w:divBdr>
                                            <w:top w:val="none" w:sz="0" w:space="0" w:color="auto"/>
                                            <w:left w:val="none" w:sz="0" w:space="0" w:color="auto"/>
                                            <w:bottom w:val="none" w:sz="0" w:space="0" w:color="auto"/>
                                            <w:right w:val="none" w:sz="0" w:space="0" w:color="auto"/>
                                          </w:divBdr>
                                          <w:divsChild>
                                            <w:div w:id="64302243">
                                              <w:marLeft w:val="0"/>
                                              <w:marRight w:val="0"/>
                                              <w:marTop w:val="0"/>
                                              <w:marBottom w:val="0"/>
                                              <w:divBdr>
                                                <w:top w:val="none" w:sz="0" w:space="0" w:color="auto"/>
                                                <w:left w:val="none" w:sz="0" w:space="0" w:color="auto"/>
                                                <w:bottom w:val="none" w:sz="0" w:space="0" w:color="auto"/>
                                                <w:right w:val="none" w:sz="0" w:space="0" w:color="auto"/>
                                              </w:divBdr>
                                              <w:divsChild>
                                                <w:div w:id="4090225">
                                                  <w:marLeft w:val="0"/>
                                                  <w:marRight w:val="0"/>
                                                  <w:marTop w:val="0"/>
                                                  <w:marBottom w:val="0"/>
                                                  <w:divBdr>
                                                    <w:top w:val="none" w:sz="0" w:space="0" w:color="auto"/>
                                                    <w:left w:val="none" w:sz="0" w:space="0" w:color="auto"/>
                                                    <w:bottom w:val="none" w:sz="0" w:space="0" w:color="auto"/>
                                                    <w:right w:val="none" w:sz="0" w:space="0" w:color="auto"/>
                                                  </w:divBdr>
                                                  <w:divsChild>
                                                    <w:div w:id="1212495562">
                                                      <w:marLeft w:val="0"/>
                                                      <w:marRight w:val="0"/>
                                                      <w:marTop w:val="0"/>
                                                      <w:marBottom w:val="0"/>
                                                      <w:divBdr>
                                                        <w:top w:val="none" w:sz="0" w:space="0" w:color="auto"/>
                                                        <w:left w:val="none" w:sz="0" w:space="0" w:color="auto"/>
                                                        <w:bottom w:val="none" w:sz="0" w:space="0" w:color="auto"/>
                                                        <w:right w:val="none" w:sz="0" w:space="0" w:color="auto"/>
                                                      </w:divBdr>
                                                      <w:divsChild>
                                                        <w:div w:id="544412495">
                                                          <w:marLeft w:val="0"/>
                                                          <w:marRight w:val="0"/>
                                                          <w:marTop w:val="0"/>
                                                          <w:marBottom w:val="0"/>
                                                          <w:divBdr>
                                                            <w:top w:val="none" w:sz="0" w:space="0" w:color="auto"/>
                                                            <w:left w:val="none" w:sz="0" w:space="0" w:color="auto"/>
                                                            <w:bottom w:val="none" w:sz="0" w:space="0" w:color="auto"/>
                                                            <w:right w:val="none" w:sz="0" w:space="0" w:color="auto"/>
                                                          </w:divBdr>
                                                          <w:divsChild>
                                                            <w:div w:id="103345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829">
                                                  <w:marLeft w:val="0"/>
                                                  <w:marRight w:val="0"/>
                                                  <w:marTop w:val="0"/>
                                                  <w:marBottom w:val="0"/>
                                                  <w:divBdr>
                                                    <w:top w:val="none" w:sz="0" w:space="0" w:color="auto"/>
                                                    <w:left w:val="none" w:sz="0" w:space="0" w:color="auto"/>
                                                    <w:bottom w:val="none" w:sz="0" w:space="0" w:color="auto"/>
                                                    <w:right w:val="none" w:sz="0" w:space="0" w:color="auto"/>
                                                  </w:divBdr>
                                                  <w:divsChild>
                                                    <w:div w:id="181364317">
                                                      <w:marLeft w:val="0"/>
                                                      <w:marRight w:val="0"/>
                                                      <w:marTop w:val="0"/>
                                                      <w:marBottom w:val="0"/>
                                                      <w:divBdr>
                                                        <w:top w:val="none" w:sz="0" w:space="0" w:color="auto"/>
                                                        <w:left w:val="none" w:sz="0" w:space="0" w:color="auto"/>
                                                        <w:bottom w:val="none" w:sz="0" w:space="0" w:color="auto"/>
                                                        <w:right w:val="none" w:sz="0" w:space="0" w:color="auto"/>
                                                      </w:divBdr>
                                                      <w:divsChild>
                                                        <w:div w:id="1939177251">
                                                          <w:marLeft w:val="0"/>
                                                          <w:marRight w:val="0"/>
                                                          <w:marTop w:val="0"/>
                                                          <w:marBottom w:val="0"/>
                                                          <w:divBdr>
                                                            <w:top w:val="none" w:sz="0" w:space="0" w:color="auto"/>
                                                            <w:left w:val="none" w:sz="0" w:space="0" w:color="auto"/>
                                                            <w:bottom w:val="none" w:sz="0" w:space="0" w:color="auto"/>
                                                            <w:right w:val="none" w:sz="0" w:space="0" w:color="auto"/>
                                                          </w:divBdr>
                                                          <w:divsChild>
                                                            <w:div w:id="196596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237603">
                                                  <w:marLeft w:val="0"/>
                                                  <w:marRight w:val="0"/>
                                                  <w:marTop w:val="0"/>
                                                  <w:marBottom w:val="0"/>
                                                  <w:divBdr>
                                                    <w:top w:val="none" w:sz="0" w:space="0" w:color="auto"/>
                                                    <w:left w:val="none" w:sz="0" w:space="0" w:color="auto"/>
                                                    <w:bottom w:val="none" w:sz="0" w:space="0" w:color="auto"/>
                                                    <w:right w:val="none" w:sz="0" w:space="0" w:color="auto"/>
                                                  </w:divBdr>
                                                  <w:divsChild>
                                                    <w:div w:id="1979260095">
                                                      <w:marLeft w:val="0"/>
                                                      <w:marRight w:val="0"/>
                                                      <w:marTop w:val="0"/>
                                                      <w:marBottom w:val="0"/>
                                                      <w:divBdr>
                                                        <w:top w:val="none" w:sz="0" w:space="0" w:color="auto"/>
                                                        <w:left w:val="none" w:sz="0" w:space="0" w:color="auto"/>
                                                        <w:bottom w:val="none" w:sz="0" w:space="0" w:color="auto"/>
                                                        <w:right w:val="none" w:sz="0" w:space="0" w:color="auto"/>
                                                      </w:divBdr>
                                                      <w:divsChild>
                                                        <w:div w:id="1338847302">
                                                          <w:marLeft w:val="0"/>
                                                          <w:marRight w:val="0"/>
                                                          <w:marTop w:val="0"/>
                                                          <w:marBottom w:val="0"/>
                                                          <w:divBdr>
                                                            <w:top w:val="none" w:sz="0" w:space="0" w:color="auto"/>
                                                            <w:left w:val="none" w:sz="0" w:space="0" w:color="auto"/>
                                                            <w:bottom w:val="none" w:sz="0" w:space="0" w:color="auto"/>
                                                            <w:right w:val="none" w:sz="0" w:space="0" w:color="auto"/>
                                                          </w:divBdr>
                                                          <w:divsChild>
                                                            <w:div w:id="6847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367536">
                                              <w:marLeft w:val="0"/>
                                              <w:marRight w:val="0"/>
                                              <w:marTop w:val="0"/>
                                              <w:marBottom w:val="0"/>
                                              <w:divBdr>
                                                <w:top w:val="none" w:sz="0" w:space="0" w:color="auto"/>
                                                <w:left w:val="none" w:sz="0" w:space="0" w:color="auto"/>
                                                <w:bottom w:val="none" w:sz="0" w:space="0" w:color="auto"/>
                                                <w:right w:val="none" w:sz="0" w:space="0" w:color="auto"/>
                                              </w:divBdr>
                                              <w:divsChild>
                                                <w:div w:id="282154875">
                                                  <w:marLeft w:val="0"/>
                                                  <w:marRight w:val="0"/>
                                                  <w:marTop w:val="0"/>
                                                  <w:marBottom w:val="0"/>
                                                  <w:divBdr>
                                                    <w:top w:val="none" w:sz="0" w:space="0" w:color="auto"/>
                                                    <w:left w:val="none" w:sz="0" w:space="0" w:color="auto"/>
                                                    <w:bottom w:val="none" w:sz="0" w:space="0" w:color="auto"/>
                                                    <w:right w:val="none" w:sz="0" w:space="0" w:color="auto"/>
                                                  </w:divBdr>
                                                  <w:divsChild>
                                                    <w:div w:id="1109468066">
                                                      <w:marLeft w:val="0"/>
                                                      <w:marRight w:val="0"/>
                                                      <w:marTop w:val="0"/>
                                                      <w:marBottom w:val="0"/>
                                                      <w:divBdr>
                                                        <w:top w:val="none" w:sz="0" w:space="0" w:color="auto"/>
                                                        <w:left w:val="none" w:sz="0" w:space="0" w:color="auto"/>
                                                        <w:bottom w:val="none" w:sz="0" w:space="0" w:color="auto"/>
                                                        <w:right w:val="none" w:sz="0" w:space="0" w:color="auto"/>
                                                      </w:divBdr>
                                                      <w:divsChild>
                                                        <w:div w:id="363755864">
                                                          <w:marLeft w:val="0"/>
                                                          <w:marRight w:val="0"/>
                                                          <w:marTop w:val="0"/>
                                                          <w:marBottom w:val="0"/>
                                                          <w:divBdr>
                                                            <w:top w:val="none" w:sz="0" w:space="0" w:color="auto"/>
                                                            <w:left w:val="none" w:sz="0" w:space="0" w:color="auto"/>
                                                            <w:bottom w:val="none" w:sz="0" w:space="0" w:color="auto"/>
                                                            <w:right w:val="none" w:sz="0" w:space="0" w:color="auto"/>
                                                          </w:divBdr>
                                                          <w:divsChild>
                                                            <w:div w:id="12880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99804">
                                                  <w:marLeft w:val="0"/>
                                                  <w:marRight w:val="0"/>
                                                  <w:marTop w:val="0"/>
                                                  <w:marBottom w:val="0"/>
                                                  <w:divBdr>
                                                    <w:top w:val="none" w:sz="0" w:space="0" w:color="auto"/>
                                                    <w:left w:val="none" w:sz="0" w:space="0" w:color="auto"/>
                                                    <w:bottom w:val="none" w:sz="0" w:space="0" w:color="auto"/>
                                                    <w:right w:val="none" w:sz="0" w:space="0" w:color="auto"/>
                                                  </w:divBdr>
                                                  <w:divsChild>
                                                    <w:div w:id="536816174">
                                                      <w:marLeft w:val="0"/>
                                                      <w:marRight w:val="0"/>
                                                      <w:marTop w:val="0"/>
                                                      <w:marBottom w:val="0"/>
                                                      <w:divBdr>
                                                        <w:top w:val="none" w:sz="0" w:space="0" w:color="auto"/>
                                                        <w:left w:val="none" w:sz="0" w:space="0" w:color="auto"/>
                                                        <w:bottom w:val="none" w:sz="0" w:space="0" w:color="auto"/>
                                                        <w:right w:val="none" w:sz="0" w:space="0" w:color="auto"/>
                                                      </w:divBdr>
                                                      <w:divsChild>
                                                        <w:div w:id="1289356276">
                                                          <w:marLeft w:val="0"/>
                                                          <w:marRight w:val="0"/>
                                                          <w:marTop w:val="0"/>
                                                          <w:marBottom w:val="0"/>
                                                          <w:divBdr>
                                                            <w:top w:val="none" w:sz="0" w:space="0" w:color="auto"/>
                                                            <w:left w:val="none" w:sz="0" w:space="0" w:color="auto"/>
                                                            <w:bottom w:val="none" w:sz="0" w:space="0" w:color="auto"/>
                                                            <w:right w:val="none" w:sz="0" w:space="0" w:color="auto"/>
                                                          </w:divBdr>
                                                          <w:divsChild>
                                                            <w:div w:id="6279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00830">
                                                  <w:marLeft w:val="0"/>
                                                  <w:marRight w:val="0"/>
                                                  <w:marTop w:val="0"/>
                                                  <w:marBottom w:val="0"/>
                                                  <w:divBdr>
                                                    <w:top w:val="none" w:sz="0" w:space="0" w:color="auto"/>
                                                    <w:left w:val="none" w:sz="0" w:space="0" w:color="auto"/>
                                                    <w:bottom w:val="none" w:sz="0" w:space="0" w:color="auto"/>
                                                    <w:right w:val="none" w:sz="0" w:space="0" w:color="auto"/>
                                                  </w:divBdr>
                                                  <w:divsChild>
                                                    <w:div w:id="650716165">
                                                      <w:marLeft w:val="0"/>
                                                      <w:marRight w:val="0"/>
                                                      <w:marTop w:val="0"/>
                                                      <w:marBottom w:val="0"/>
                                                      <w:divBdr>
                                                        <w:top w:val="none" w:sz="0" w:space="0" w:color="auto"/>
                                                        <w:left w:val="none" w:sz="0" w:space="0" w:color="auto"/>
                                                        <w:bottom w:val="none" w:sz="0" w:space="0" w:color="auto"/>
                                                        <w:right w:val="none" w:sz="0" w:space="0" w:color="auto"/>
                                                      </w:divBdr>
                                                      <w:divsChild>
                                                        <w:div w:id="443815048">
                                                          <w:marLeft w:val="0"/>
                                                          <w:marRight w:val="0"/>
                                                          <w:marTop w:val="0"/>
                                                          <w:marBottom w:val="0"/>
                                                          <w:divBdr>
                                                            <w:top w:val="none" w:sz="0" w:space="0" w:color="auto"/>
                                                            <w:left w:val="none" w:sz="0" w:space="0" w:color="auto"/>
                                                            <w:bottom w:val="none" w:sz="0" w:space="0" w:color="auto"/>
                                                            <w:right w:val="none" w:sz="0" w:space="0" w:color="auto"/>
                                                          </w:divBdr>
                                                          <w:divsChild>
                                                            <w:div w:id="17002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09598">
                                              <w:marLeft w:val="0"/>
                                              <w:marRight w:val="0"/>
                                              <w:marTop w:val="0"/>
                                              <w:marBottom w:val="0"/>
                                              <w:divBdr>
                                                <w:top w:val="none" w:sz="0" w:space="0" w:color="auto"/>
                                                <w:left w:val="none" w:sz="0" w:space="0" w:color="auto"/>
                                                <w:bottom w:val="none" w:sz="0" w:space="0" w:color="auto"/>
                                                <w:right w:val="none" w:sz="0" w:space="0" w:color="auto"/>
                                              </w:divBdr>
                                              <w:divsChild>
                                                <w:div w:id="838425480">
                                                  <w:marLeft w:val="0"/>
                                                  <w:marRight w:val="0"/>
                                                  <w:marTop w:val="0"/>
                                                  <w:marBottom w:val="0"/>
                                                  <w:divBdr>
                                                    <w:top w:val="none" w:sz="0" w:space="0" w:color="auto"/>
                                                    <w:left w:val="none" w:sz="0" w:space="0" w:color="auto"/>
                                                    <w:bottom w:val="none" w:sz="0" w:space="0" w:color="auto"/>
                                                    <w:right w:val="none" w:sz="0" w:space="0" w:color="auto"/>
                                                  </w:divBdr>
                                                  <w:divsChild>
                                                    <w:div w:id="787814796">
                                                      <w:marLeft w:val="0"/>
                                                      <w:marRight w:val="0"/>
                                                      <w:marTop w:val="0"/>
                                                      <w:marBottom w:val="0"/>
                                                      <w:divBdr>
                                                        <w:top w:val="none" w:sz="0" w:space="0" w:color="auto"/>
                                                        <w:left w:val="none" w:sz="0" w:space="0" w:color="auto"/>
                                                        <w:bottom w:val="none" w:sz="0" w:space="0" w:color="auto"/>
                                                        <w:right w:val="none" w:sz="0" w:space="0" w:color="auto"/>
                                                      </w:divBdr>
                                                      <w:divsChild>
                                                        <w:div w:id="754477678">
                                                          <w:marLeft w:val="0"/>
                                                          <w:marRight w:val="0"/>
                                                          <w:marTop w:val="0"/>
                                                          <w:marBottom w:val="0"/>
                                                          <w:divBdr>
                                                            <w:top w:val="none" w:sz="0" w:space="0" w:color="auto"/>
                                                            <w:left w:val="none" w:sz="0" w:space="0" w:color="auto"/>
                                                            <w:bottom w:val="none" w:sz="0" w:space="0" w:color="auto"/>
                                                            <w:right w:val="none" w:sz="0" w:space="0" w:color="auto"/>
                                                          </w:divBdr>
                                                          <w:divsChild>
                                                            <w:div w:id="18842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40591">
                                                  <w:marLeft w:val="0"/>
                                                  <w:marRight w:val="0"/>
                                                  <w:marTop w:val="0"/>
                                                  <w:marBottom w:val="0"/>
                                                  <w:divBdr>
                                                    <w:top w:val="none" w:sz="0" w:space="0" w:color="auto"/>
                                                    <w:left w:val="none" w:sz="0" w:space="0" w:color="auto"/>
                                                    <w:bottom w:val="none" w:sz="0" w:space="0" w:color="auto"/>
                                                    <w:right w:val="none" w:sz="0" w:space="0" w:color="auto"/>
                                                  </w:divBdr>
                                                  <w:divsChild>
                                                    <w:div w:id="868877852">
                                                      <w:marLeft w:val="0"/>
                                                      <w:marRight w:val="0"/>
                                                      <w:marTop w:val="0"/>
                                                      <w:marBottom w:val="0"/>
                                                      <w:divBdr>
                                                        <w:top w:val="none" w:sz="0" w:space="0" w:color="auto"/>
                                                        <w:left w:val="none" w:sz="0" w:space="0" w:color="auto"/>
                                                        <w:bottom w:val="none" w:sz="0" w:space="0" w:color="auto"/>
                                                        <w:right w:val="none" w:sz="0" w:space="0" w:color="auto"/>
                                                      </w:divBdr>
                                                      <w:divsChild>
                                                        <w:div w:id="407271664">
                                                          <w:marLeft w:val="0"/>
                                                          <w:marRight w:val="0"/>
                                                          <w:marTop w:val="0"/>
                                                          <w:marBottom w:val="0"/>
                                                          <w:divBdr>
                                                            <w:top w:val="none" w:sz="0" w:space="0" w:color="auto"/>
                                                            <w:left w:val="none" w:sz="0" w:space="0" w:color="auto"/>
                                                            <w:bottom w:val="none" w:sz="0" w:space="0" w:color="auto"/>
                                                            <w:right w:val="none" w:sz="0" w:space="0" w:color="auto"/>
                                                          </w:divBdr>
                                                          <w:divsChild>
                                                            <w:div w:id="7302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296">
                                                  <w:marLeft w:val="0"/>
                                                  <w:marRight w:val="0"/>
                                                  <w:marTop w:val="0"/>
                                                  <w:marBottom w:val="0"/>
                                                  <w:divBdr>
                                                    <w:top w:val="none" w:sz="0" w:space="0" w:color="auto"/>
                                                    <w:left w:val="none" w:sz="0" w:space="0" w:color="auto"/>
                                                    <w:bottom w:val="none" w:sz="0" w:space="0" w:color="auto"/>
                                                    <w:right w:val="none" w:sz="0" w:space="0" w:color="auto"/>
                                                  </w:divBdr>
                                                  <w:divsChild>
                                                    <w:div w:id="1538738451">
                                                      <w:marLeft w:val="0"/>
                                                      <w:marRight w:val="0"/>
                                                      <w:marTop w:val="0"/>
                                                      <w:marBottom w:val="0"/>
                                                      <w:divBdr>
                                                        <w:top w:val="none" w:sz="0" w:space="0" w:color="auto"/>
                                                        <w:left w:val="none" w:sz="0" w:space="0" w:color="auto"/>
                                                        <w:bottom w:val="none" w:sz="0" w:space="0" w:color="auto"/>
                                                        <w:right w:val="none" w:sz="0" w:space="0" w:color="auto"/>
                                                      </w:divBdr>
                                                      <w:divsChild>
                                                        <w:div w:id="630209966">
                                                          <w:marLeft w:val="0"/>
                                                          <w:marRight w:val="0"/>
                                                          <w:marTop w:val="0"/>
                                                          <w:marBottom w:val="0"/>
                                                          <w:divBdr>
                                                            <w:top w:val="none" w:sz="0" w:space="0" w:color="auto"/>
                                                            <w:left w:val="none" w:sz="0" w:space="0" w:color="auto"/>
                                                            <w:bottom w:val="none" w:sz="0" w:space="0" w:color="auto"/>
                                                            <w:right w:val="none" w:sz="0" w:space="0" w:color="auto"/>
                                                          </w:divBdr>
                                                          <w:divsChild>
                                                            <w:div w:id="9725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6546">
                                              <w:marLeft w:val="0"/>
                                              <w:marRight w:val="0"/>
                                              <w:marTop w:val="0"/>
                                              <w:marBottom w:val="0"/>
                                              <w:divBdr>
                                                <w:top w:val="none" w:sz="0" w:space="0" w:color="auto"/>
                                                <w:left w:val="none" w:sz="0" w:space="0" w:color="auto"/>
                                                <w:bottom w:val="none" w:sz="0" w:space="0" w:color="auto"/>
                                                <w:right w:val="none" w:sz="0" w:space="0" w:color="auto"/>
                                              </w:divBdr>
                                              <w:divsChild>
                                                <w:div w:id="147135566">
                                                  <w:marLeft w:val="0"/>
                                                  <w:marRight w:val="0"/>
                                                  <w:marTop w:val="0"/>
                                                  <w:marBottom w:val="0"/>
                                                  <w:divBdr>
                                                    <w:top w:val="none" w:sz="0" w:space="0" w:color="auto"/>
                                                    <w:left w:val="none" w:sz="0" w:space="0" w:color="auto"/>
                                                    <w:bottom w:val="none" w:sz="0" w:space="0" w:color="auto"/>
                                                    <w:right w:val="none" w:sz="0" w:space="0" w:color="auto"/>
                                                  </w:divBdr>
                                                  <w:divsChild>
                                                    <w:div w:id="288324473">
                                                      <w:marLeft w:val="0"/>
                                                      <w:marRight w:val="0"/>
                                                      <w:marTop w:val="0"/>
                                                      <w:marBottom w:val="0"/>
                                                      <w:divBdr>
                                                        <w:top w:val="none" w:sz="0" w:space="0" w:color="auto"/>
                                                        <w:left w:val="none" w:sz="0" w:space="0" w:color="auto"/>
                                                        <w:bottom w:val="none" w:sz="0" w:space="0" w:color="auto"/>
                                                        <w:right w:val="none" w:sz="0" w:space="0" w:color="auto"/>
                                                      </w:divBdr>
                                                      <w:divsChild>
                                                        <w:div w:id="1616862688">
                                                          <w:marLeft w:val="0"/>
                                                          <w:marRight w:val="0"/>
                                                          <w:marTop w:val="0"/>
                                                          <w:marBottom w:val="0"/>
                                                          <w:divBdr>
                                                            <w:top w:val="none" w:sz="0" w:space="0" w:color="auto"/>
                                                            <w:left w:val="none" w:sz="0" w:space="0" w:color="auto"/>
                                                            <w:bottom w:val="none" w:sz="0" w:space="0" w:color="auto"/>
                                                            <w:right w:val="none" w:sz="0" w:space="0" w:color="auto"/>
                                                          </w:divBdr>
                                                          <w:divsChild>
                                                            <w:div w:id="17185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60392">
                                                  <w:marLeft w:val="0"/>
                                                  <w:marRight w:val="0"/>
                                                  <w:marTop w:val="0"/>
                                                  <w:marBottom w:val="0"/>
                                                  <w:divBdr>
                                                    <w:top w:val="none" w:sz="0" w:space="0" w:color="auto"/>
                                                    <w:left w:val="none" w:sz="0" w:space="0" w:color="auto"/>
                                                    <w:bottom w:val="none" w:sz="0" w:space="0" w:color="auto"/>
                                                    <w:right w:val="none" w:sz="0" w:space="0" w:color="auto"/>
                                                  </w:divBdr>
                                                  <w:divsChild>
                                                    <w:div w:id="427508038">
                                                      <w:marLeft w:val="0"/>
                                                      <w:marRight w:val="0"/>
                                                      <w:marTop w:val="0"/>
                                                      <w:marBottom w:val="0"/>
                                                      <w:divBdr>
                                                        <w:top w:val="none" w:sz="0" w:space="0" w:color="auto"/>
                                                        <w:left w:val="none" w:sz="0" w:space="0" w:color="auto"/>
                                                        <w:bottom w:val="none" w:sz="0" w:space="0" w:color="auto"/>
                                                        <w:right w:val="none" w:sz="0" w:space="0" w:color="auto"/>
                                                      </w:divBdr>
                                                      <w:divsChild>
                                                        <w:div w:id="1997416762">
                                                          <w:marLeft w:val="0"/>
                                                          <w:marRight w:val="0"/>
                                                          <w:marTop w:val="0"/>
                                                          <w:marBottom w:val="0"/>
                                                          <w:divBdr>
                                                            <w:top w:val="none" w:sz="0" w:space="0" w:color="auto"/>
                                                            <w:left w:val="none" w:sz="0" w:space="0" w:color="auto"/>
                                                            <w:bottom w:val="none" w:sz="0" w:space="0" w:color="auto"/>
                                                            <w:right w:val="none" w:sz="0" w:space="0" w:color="auto"/>
                                                          </w:divBdr>
                                                          <w:divsChild>
                                                            <w:div w:id="3859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09864">
                                                  <w:marLeft w:val="0"/>
                                                  <w:marRight w:val="0"/>
                                                  <w:marTop w:val="0"/>
                                                  <w:marBottom w:val="0"/>
                                                  <w:divBdr>
                                                    <w:top w:val="none" w:sz="0" w:space="0" w:color="auto"/>
                                                    <w:left w:val="none" w:sz="0" w:space="0" w:color="auto"/>
                                                    <w:bottom w:val="none" w:sz="0" w:space="0" w:color="auto"/>
                                                    <w:right w:val="none" w:sz="0" w:space="0" w:color="auto"/>
                                                  </w:divBdr>
                                                  <w:divsChild>
                                                    <w:div w:id="396100387">
                                                      <w:marLeft w:val="0"/>
                                                      <w:marRight w:val="0"/>
                                                      <w:marTop w:val="0"/>
                                                      <w:marBottom w:val="0"/>
                                                      <w:divBdr>
                                                        <w:top w:val="none" w:sz="0" w:space="0" w:color="auto"/>
                                                        <w:left w:val="none" w:sz="0" w:space="0" w:color="auto"/>
                                                        <w:bottom w:val="none" w:sz="0" w:space="0" w:color="auto"/>
                                                        <w:right w:val="none" w:sz="0" w:space="0" w:color="auto"/>
                                                      </w:divBdr>
                                                      <w:divsChild>
                                                        <w:div w:id="1914503959">
                                                          <w:marLeft w:val="0"/>
                                                          <w:marRight w:val="0"/>
                                                          <w:marTop w:val="0"/>
                                                          <w:marBottom w:val="0"/>
                                                          <w:divBdr>
                                                            <w:top w:val="none" w:sz="0" w:space="0" w:color="auto"/>
                                                            <w:left w:val="none" w:sz="0" w:space="0" w:color="auto"/>
                                                            <w:bottom w:val="none" w:sz="0" w:space="0" w:color="auto"/>
                                                            <w:right w:val="none" w:sz="0" w:space="0" w:color="auto"/>
                                                          </w:divBdr>
                                                          <w:divsChild>
                                                            <w:div w:id="9561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29665">
                                              <w:marLeft w:val="0"/>
                                              <w:marRight w:val="0"/>
                                              <w:marTop w:val="0"/>
                                              <w:marBottom w:val="0"/>
                                              <w:divBdr>
                                                <w:top w:val="none" w:sz="0" w:space="0" w:color="auto"/>
                                                <w:left w:val="none" w:sz="0" w:space="0" w:color="auto"/>
                                                <w:bottom w:val="none" w:sz="0" w:space="0" w:color="auto"/>
                                                <w:right w:val="none" w:sz="0" w:space="0" w:color="auto"/>
                                              </w:divBdr>
                                              <w:divsChild>
                                                <w:div w:id="225189917">
                                                  <w:marLeft w:val="0"/>
                                                  <w:marRight w:val="0"/>
                                                  <w:marTop w:val="0"/>
                                                  <w:marBottom w:val="0"/>
                                                  <w:divBdr>
                                                    <w:top w:val="none" w:sz="0" w:space="0" w:color="auto"/>
                                                    <w:left w:val="none" w:sz="0" w:space="0" w:color="auto"/>
                                                    <w:bottom w:val="none" w:sz="0" w:space="0" w:color="auto"/>
                                                    <w:right w:val="none" w:sz="0" w:space="0" w:color="auto"/>
                                                  </w:divBdr>
                                                  <w:divsChild>
                                                    <w:div w:id="1948657837">
                                                      <w:marLeft w:val="0"/>
                                                      <w:marRight w:val="0"/>
                                                      <w:marTop w:val="0"/>
                                                      <w:marBottom w:val="0"/>
                                                      <w:divBdr>
                                                        <w:top w:val="none" w:sz="0" w:space="0" w:color="auto"/>
                                                        <w:left w:val="none" w:sz="0" w:space="0" w:color="auto"/>
                                                        <w:bottom w:val="none" w:sz="0" w:space="0" w:color="auto"/>
                                                        <w:right w:val="none" w:sz="0" w:space="0" w:color="auto"/>
                                                      </w:divBdr>
                                                      <w:divsChild>
                                                        <w:div w:id="293103446">
                                                          <w:marLeft w:val="0"/>
                                                          <w:marRight w:val="0"/>
                                                          <w:marTop w:val="0"/>
                                                          <w:marBottom w:val="0"/>
                                                          <w:divBdr>
                                                            <w:top w:val="none" w:sz="0" w:space="0" w:color="auto"/>
                                                            <w:left w:val="none" w:sz="0" w:space="0" w:color="auto"/>
                                                            <w:bottom w:val="none" w:sz="0" w:space="0" w:color="auto"/>
                                                            <w:right w:val="none" w:sz="0" w:space="0" w:color="auto"/>
                                                          </w:divBdr>
                                                          <w:divsChild>
                                                            <w:div w:id="15104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02106">
                                                  <w:marLeft w:val="0"/>
                                                  <w:marRight w:val="0"/>
                                                  <w:marTop w:val="0"/>
                                                  <w:marBottom w:val="0"/>
                                                  <w:divBdr>
                                                    <w:top w:val="none" w:sz="0" w:space="0" w:color="auto"/>
                                                    <w:left w:val="none" w:sz="0" w:space="0" w:color="auto"/>
                                                    <w:bottom w:val="none" w:sz="0" w:space="0" w:color="auto"/>
                                                    <w:right w:val="none" w:sz="0" w:space="0" w:color="auto"/>
                                                  </w:divBdr>
                                                  <w:divsChild>
                                                    <w:div w:id="684861522">
                                                      <w:marLeft w:val="0"/>
                                                      <w:marRight w:val="0"/>
                                                      <w:marTop w:val="0"/>
                                                      <w:marBottom w:val="0"/>
                                                      <w:divBdr>
                                                        <w:top w:val="none" w:sz="0" w:space="0" w:color="auto"/>
                                                        <w:left w:val="none" w:sz="0" w:space="0" w:color="auto"/>
                                                        <w:bottom w:val="none" w:sz="0" w:space="0" w:color="auto"/>
                                                        <w:right w:val="none" w:sz="0" w:space="0" w:color="auto"/>
                                                      </w:divBdr>
                                                      <w:divsChild>
                                                        <w:div w:id="493030138">
                                                          <w:marLeft w:val="0"/>
                                                          <w:marRight w:val="0"/>
                                                          <w:marTop w:val="0"/>
                                                          <w:marBottom w:val="0"/>
                                                          <w:divBdr>
                                                            <w:top w:val="none" w:sz="0" w:space="0" w:color="auto"/>
                                                            <w:left w:val="none" w:sz="0" w:space="0" w:color="auto"/>
                                                            <w:bottom w:val="none" w:sz="0" w:space="0" w:color="auto"/>
                                                            <w:right w:val="none" w:sz="0" w:space="0" w:color="auto"/>
                                                          </w:divBdr>
                                                          <w:divsChild>
                                                            <w:div w:id="34833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6162">
                                                  <w:marLeft w:val="0"/>
                                                  <w:marRight w:val="0"/>
                                                  <w:marTop w:val="0"/>
                                                  <w:marBottom w:val="0"/>
                                                  <w:divBdr>
                                                    <w:top w:val="none" w:sz="0" w:space="0" w:color="auto"/>
                                                    <w:left w:val="none" w:sz="0" w:space="0" w:color="auto"/>
                                                    <w:bottom w:val="none" w:sz="0" w:space="0" w:color="auto"/>
                                                    <w:right w:val="none" w:sz="0" w:space="0" w:color="auto"/>
                                                  </w:divBdr>
                                                  <w:divsChild>
                                                    <w:div w:id="1076706919">
                                                      <w:marLeft w:val="0"/>
                                                      <w:marRight w:val="0"/>
                                                      <w:marTop w:val="0"/>
                                                      <w:marBottom w:val="0"/>
                                                      <w:divBdr>
                                                        <w:top w:val="none" w:sz="0" w:space="0" w:color="auto"/>
                                                        <w:left w:val="none" w:sz="0" w:space="0" w:color="auto"/>
                                                        <w:bottom w:val="none" w:sz="0" w:space="0" w:color="auto"/>
                                                        <w:right w:val="none" w:sz="0" w:space="0" w:color="auto"/>
                                                      </w:divBdr>
                                                      <w:divsChild>
                                                        <w:div w:id="548345859">
                                                          <w:marLeft w:val="0"/>
                                                          <w:marRight w:val="0"/>
                                                          <w:marTop w:val="0"/>
                                                          <w:marBottom w:val="0"/>
                                                          <w:divBdr>
                                                            <w:top w:val="none" w:sz="0" w:space="0" w:color="auto"/>
                                                            <w:left w:val="none" w:sz="0" w:space="0" w:color="auto"/>
                                                            <w:bottom w:val="none" w:sz="0" w:space="0" w:color="auto"/>
                                                            <w:right w:val="none" w:sz="0" w:space="0" w:color="auto"/>
                                                          </w:divBdr>
                                                          <w:divsChild>
                                                            <w:div w:id="13193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17984">
                                              <w:marLeft w:val="0"/>
                                              <w:marRight w:val="0"/>
                                              <w:marTop w:val="0"/>
                                              <w:marBottom w:val="0"/>
                                              <w:divBdr>
                                                <w:top w:val="none" w:sz="0" w:space="0" w:color="auto"/>
                                                <w:left w:val="none" w:sz="0" w:space="0" w:color="auto"/>
                                                <w:bottom w:val="none" w:sz="0" w:space="0" w:color="auto"/>
                                                <w:right w:val="none" w:sz="0" w:space="0" w:color="auto"/>
                                              </w:divBdr>
                                              <w:divsChild>
                                                <w:div w:id="936207967">
                                                  <w:marLeft w:val="0"/>
                                                  <w:marRight w:val="0"/>
                                                  <w:marTop w:val="0"/>
                                                  <w:marBottom w:val="0"/>
                                                  <w:divBdr>
                                                    <w:top w:val="none" w:sz="0" w:space="0" w:color="auto"/>
                                                    <w:left w:val="none" w:sz="0" w:space="0" w:color="auto"/>
                                                    <w:bottom w:val="none" w:sz="0" w:space="0" w:color="auto"/>
                                                    <w:right w:val="none" w:sz="0" w:space="0" w:color="auto"/>
                                                  </w:divBdr>
                                                  <w:divsChild>
                                                    <w:div w:id="1963222895">
                                                      <w:marLeft w:val="0"/>
                                                      <w:marRight w:val="0"/>
                                                      <w:marTop w:val="0"/>
                                                      <w:marBottom w:val="0"/>
                                                      <w:divBdr>
                                                        <w:top w:val="none" w:sz="0" w:space="0" w:color="auto"/>
                                                        <w:left w:val="none" w:sz="0" w:space="0" w:color="auto"/>
                                                        <w:bottom w:val="none" w:sz="0" w:space="0" w:color="auto"/>
                                                        <w:right w:val="none" w:sz="0" w:space="0" w:color="auto"/>
                                                      </w:divBdr>
                                                      <w:divsChild>
                                                        <w:div w:id="601961011">
                                                          <w:marLeft w:val="0"/>
                                                          <w:marRight w:val="0"/>
                                                          <w:marTop w:val="0"/>
                                                          <w:marBottom w:val="0"/>
                                                          <w:divBdr>
                                                            <w:top w:val="none" w:sz="0" w:space="0" w:color="auto"/>
                                                            <w:left w:val="none" w:sz="0" w:space="0" w:color="auto"/>
                                                            <w:bottom w:val="none" w:sz="0" w:space="0" w:color="auto"/>
                                                            <w:right w:val="none" w:sz="0" w:space="0" w:color="auto"/>
                                                          </w:divBdr>
                                                          <w:divsChild>
                                                            <w:div w:id="12219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73558">
                                                  <w:marLeft w:val="0"/>
                                                  <w:marRight w:val="0"/>
                                                  <w:marTop w:val="0"/>
                                                  <w:marBottom w:val="0"/>
                                                  <w:divBdr>
                                                    <w:top w:val="none" w:sz="0" w:space="0" w:color="auto"/>
                                                    <w:left w:val="none" w:sz="0" w:space="0" w:color="auto"/>
                                                    <w:bottom w:val="none" w:sz="0" w:space="0" w:color="auto"/>
                                                    <w:right w:val="none" w:sz="0" w:space="0" w:color="auto"/>
                                                  </w:divBdr>
                                                  <w:divsChild>
                                                    <w:div w:id="1190072019">
                                                      <w:marLeft w:val="0"/>
                                                      <w:marRight w:val="0"/>
                                                      <w:marTop w:val="0"/>
                                                      <w:marBottom w:val="0"/>
                                                      <w:divBdr>
                                                        <w:top w:val="none" w:sz="0" w:space="0" w:color="auto"/>
                                                        <w:left w:val="none" w:sz="0" w:space="0" w:color="auto"/>
                                                        <w:bottom w:val="none" w:sz="0" w:space="0" w:color="auto"/>
                                                        <w:right w:val="none" w:sz="0" w:space="0" w:color="auto"/>
                                                      </w:divBdr>
                                                      <w:divsChild>
                                                        <w:div w:id="1115755026">
                                                          <w:marLeft w:val="0"/>
                                                          <w:marRight w:val="0"/>
                                                          <w:marTop w:val="0"/>
                                                          <w:marBottom w:val="0"/>
                                                          <w:divBdr>
                                                            <w:top w:val="none" w:sz="0" w:space="0" w:color="auto"/>
                                                            <w:left w:val="none" w:sz="0" w:space="0" w:color="auto"/>
                                                            <w:bottom w:val="none" w:sz="0" w:space="0" w:color="auto"/>
                                                            <w:right w:val="none" w:sz="0" w:space="0" w:color="auto"/>
                                                          </w:divBdr>
                                                          <w:divsChild>
                                                            <w:div w:id="1950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89377">
                                                  <w:marLeft w:val="0"/>
                                                  <w:marRight w:val="0"/>
                                                  <w:marTop w:val="0"/>
                                                  <w:marBottom w:val="0"/>
                                                  <w:divBdr>
                                                    <w:top w:val="none" w:sz="0" w:space="0" w:color="auto"/>
                                                    <w:left w:val="none" w:sz="0" w:space="0" w:color="auto"/>
                                                    <w:bottom w:val="none" w:sz="0" w:space="0" w:color="auto"/>
                                                    <w:right w:val="none" w:sz="0" w:space="0" w:color="auto"/>
                                                  </w:divBdr>
                                                  <w:divsChild>
                                                    <w:div w:id="200628840">
                                                      <w:marLeft w:val="0"/>
                                                      <w:marRight w:val="0"/>
                                                      <w:marTop w:val="0"/>
                                                      <w:marBottom w:val="0"/>
                                                      <w:divBdr>
                                                        <w:top w:val="none" w:sz="0" w:space="0" w:color="auto"/>
                                                        <w:left w:val="none" w:sz="0" w:space="0" w:color="auto"/>
                                                        <w:bottom w:val="none" w:sz="0" w:space="0" w:color="auto"/>
                                                        <w:right w:val="none" w:sz="0" w:space="0" w:color="auto"/>
                                                      </w:divBdr>
                                                      <w:divsChild>
                                                        <w:div w:id="1083717032">
                                                          <w:marLeft w:val="0"/>
                                                          <w:marRight w:val="0"/>
                                                          <w:marTop w:val="0"/>
                                                          <w:marBottom w:val="0"/>
                                                          <w:divBdr>
                                                            <w:top w:val="none" w:sz="0" w:space="0" w:color="auto"/>
                                                            <w:left w:val="none" w:sz="0" w:space="0" w:color="auto"/>
                                                            <w:bottom w:val="none" w:sz="0" w:space="0" w:color="auto"/>
                                                            <w:right w:val="none" w:sz="0" w:space="0" w:color="auto"/>
                                                          </w:divBdr>
                                                          <w:divsChild>
                                                            <w:div w:id="18028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055199">
                      <w:marLeft w:val="0"/>
                      <w:marRight w:val="0"/>
                      <w:marTop w:val="0"/>
                      <w:marBottom w:val="0"/>
                      <w:divBdr>
                        <w:top w:val="none" w:sz="0" w:space="0" w:color="auto"/>
                        <w:left w:val="none" w:sz="0" w:space="0" w:color="auto"/>
                        <w:bottom w:val="none" w:sz="0" w:space="0" w:color="auto"/>
                        <w:right w:val="none" w:sz="0" w:space="0" w:color="auto"/>
                      </w:divBdr>
                      <w:divsChild>
                        <w:div w:id="801071539">
                          <w:marLeft w:val="0"/>
                          <w:marRight w:val="0"/>
                          <w:marTop w:val="0"/>
                          <w:marBottom w:val="0"/>
                          <w:divBdr>
                            <w:top w:val="none" w:sz="0" w:space="0" w:color="auto"/>
                            <w:left w:val="none" w:sz="0" w:space="0" w:color="auto"/>
                            <w:bottom w:val="none" w:sz="0" w:space="0" w:color="auto"/>
                            <w:right w:val="none" w:sz="0" w:space="0" w:color="auto"/>
                          </w:divBdr>
                          <w:divsChild>
                            <w:div w:id="1675692978">
                              <w:marLeft w:val="0"/>
                              <w:marRight w:val="0"/>
                              <w:marTop w:val="0"/>
                              <w:marBottom w:val="0"/>
                              <w:divBdr>
                                <w:top w:val="none" w:sz="0" w:space="0" w:color="auto"/>
                                <w:left w:val="none" w:sz="0" w:space="0" w:color="auto"/>
                                <w:bottom w:val="none" w:sz="0" w:space="0" w:color="auto"/>
                                <w:right w:val="none" w:sz="0" w:space="0" w:color="auto"/>
                              </w:divBdr>
                              <w:divsChild>
                                <w:div w:id="1193495593">
                                  <w:marLeft w:val="0"/>
                                  <w:marRight w:val="-450"/>
                                  <w:marTop w:val="0"/>
                                  <w:marBottom w:val="0"/>
                                  <w:divBdr>
                                    <w:top w:val="none" w:sz="0" w:space="0" w:color="auto"/>
                                    <w:left w:val="none" w:sz="0" w:space="0" w:color="auto"/>
                                    <w:bottom w:val="none" w:sz="0" w:space="0" w:color="auto"/>
                                    <w:right w:val="none" w:sz="0" w:space="0" w:color="auto"/>
                                  </w:divBdr>
                                  <w:divsChild>
                                    <w:div w:id="197738095">
                                      <w:marLeft w:val="0"/>
                                      <w:marRight w:val="0"/>
                                      <w:marTop w:val="0"/>
                                      <w:marBottom w:val="0"/>
                                      <w:divBdr>
                                        <w:top w:val="none" w:sz="0" w:space="0" w:color="auto"/>
                                        <w:left w:val="none" w:sz="0" w:space="0" w:color="auto"/>
                                        <w:bottom w:val="none" w:sz="0" w:space="0" w:color="auto"/>
                                        <w:right w:val="none" w:sz="0" w:space="0" w:color="auto"/>
                                      </w:divBdr>
                                      <w:divsChild>
                                        <w:div w:id="218782149">
                                          <w:marLeft w:val="0"/>
                                          <w:marRight w:val="0"/>
                                          <w:marTop w:val="0"/>
                                          <w:marBottom w:val="0"/>
                                          <w:divBdr>
                                            <w:top w:val="none" w:sz="0" w:space="0" w:color="auto"/>
                                            <w:left w:val="none" w:sz="0" w:space="0" w:color="auto"/>
                                            <w:bottom w:val="none" w:sz="0" w:space="0" w:color="auto"/>
                                            <w:right w:val="none" w:sz="0" w:space="0" w:color="auto"/>
                                          </w:divBdr>
                                          <w:divsChild>
                                            <w:div w:id="70271575">
                                              <w:marLeft w:val="0"/>
                                              <w:marRight w:val="0"/>
                                              <w:marTop w:val="0"/>
                                              <w:marBottom w:val="0"/>
                                              <w:divBdr>
                                                <w:top w:val="none" w:sz="0" w:space="0" w:color="auto"/>
                                                <w:left w:val="none" w:sz="0" w:space="0" w:color="auto"/>
                                                <w:bottom w:val="none" w:sz="0" w:space="0" w:color="auto"/>
                                                <w:right w:val="none" w:sz="0" w:space="0" w:color="auto"/>
                                              </w:divBdr>
                                              <w:divsChild>
                                                <w:div w:id="1465998242">
                                                  <w:marLeft w:val="0"/>
                                                  <w:marRight w:val="0"/>
                                                  <w:marTop w:val="0"/>
                                                  <w:marBottom w:val="0"/>
                                                  <w:divBdr>
                                                    <w:top w:val="none" w:sz="0" w:space="0" w:color="auto"/>
                                                    <w:left w:val="none" w:sz="0" w:space="0" w:color="auto"/>
                                                    <w:bottom w:val="none" w:sz="0" w:space="0" w:color="auto"/>
                                                    <w:right w:val="none" w:sz="0" w:space="0" w:color="auto"/>
                                                  </w:divBdr>
                                                  <w:divsChild>
                                                    <w:div w:id="215750289">
                                                      <w:marLeft w:val="0"/>
                                                      <w:marRight w:val="120"/>
                                                      <w:marTop w:val="0"/>
                                                      <w:marBottom w:val="0"/>
                                                      <w:divBdr>
                                                        <w:top w:val="none" w:sz="0" w:space="0" w:color="auto"/>
                                                        <w:left w:val="none" w:sz="0" w:space="0" w:color="auto"/>
                                                        <w:bottom w:val="none" w:sz="0" w:space="0" w:color="auto"/>
                                                        <w:right w:val="none" w:sz="0" w:space="0" w:color="auto"/>
                                                      </w:divBdr>
                                                      <w:divsChild>
                                                        <w:div w:id="417603853">
                                                          <w:marLeft w:val="0"/>
                                                          <w:marRight w:val="0"/>
                                                          <w:marTop w:val="0"/>
                                                          <w:marBottom w:val="0"/>
                                                          <w:divBdr>
                                                            <w:top w:val="single" w:sz="6" w:space="5" w:color="D6D7DA"/>
                                                            <w:left w:val="none" w:sz="0" w:space="0" w:color="auto"/>
                                                            <w:bottom w:val="none" w:sz="0" w:space="0" w:color="auto"/>
                                                            <w:right w:val="none" w:sz="0" w:space="0" w:color="auto"/>
                                                          </w:divBdr>
                                                          <w:divsChild>
                                                            <w:div w:id="2137678709">
                                                              <w:marLeft w:val="0"/>
                                                              <w:marRight w:val="0"/>
                                                              <w:marTop w:val="0"/>
                                                              <w:marBottom w:val="0"/>
                                                              <w:divBdr>
                                                                <w:top w:val="none" w:sz="0" w:space="0" w:color="auto"/>
                                                                <w:left w:val="none" w:sz="0" w:space="0" w:color="auto"/>
                                                                <w:bottom w:val="none" w:sz="0" w:space="0" w:color="auto"/>
                                                                <w:right w:val="none" w:sz="0" w:space="0" w:color="auto"/>
                                                              </w:divBdr>
                                                              <w:divsChild>
                                                                <w:div w:id="1660766558">
                                                                  <w:marLeft w:val="0"/>
                                                                  <w:marRight w:val="0"/>
                                                                  <w:marTop w:val="0"/>
                                                                  <w:marBottom w:val="0"/>
                                                                  <w:divBdr>
                                                                    <w:top w:val="none" w:sz="0" w:space="0" w:color="auto"/>
                                                                    <w:left w:val="none" w:sz="0" w:space="0" w:color="auto"/>
                                                                    <w:bottom w:val="none" w:sz="0" w:space="0" w:color="auto"/>
                                                                    <w:right w:val="none" w:sz="0" w:space="0" w:color="auto"/>
                                                                  </w:divBdr>
                                                                </w:div>
                                                                <w:div w:id="1793669321">
                                                                  <w:marLeft w:val="0"/>
                                                                  <w:marRight w:val="0"/>
                                                                  <w:marTop w:val="0"/>
                                                                  <w:marBottom w:val="0"/>
                                                                  <w:divBdr>
                                                                    <w:top w:val="none" w:sz="0" w:space="0" w:color="auto"/>
                                                                    <w:left w:val="none" w:sz="0" w:space="0" w:color="auto"/>
                                                                    <w:bottom w:val="none" w:sz="0" w:space="0" w:color="auto"/>
                                                                    <w:right w:val="none" w:sz="0" w:space="0" w:color="auto"/>
                                                                  </w:divBdr>
                                                                  <w:divsChild>
                                                                    <w:div w:id="5985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5189">
                                                      <w:marLeft w:val="0"/>
                                                      <w:marRight w:val="120"/>
                                                      <w:marTop w:val="0"/>
                                                      <w:marBottom w:val="0"/>
                                                      <w:divBdr>
                                                        <w:top w:val="none" w:sz="0" w:space="0" w:color="auto"/>
                                                        <w:left w:val="none" w:sz="0" w:space="0" w:color="auto"/>
                                                        <w:bottom w:val="none" w:sz="0" w:space="0" w:color="auto"/>
                                                        <w:right w:val="none" w:sz="0" w:space="0" w:color="auto"/>
                                                      </w:divBdr>
                                                      <w:divsChild>
                                                        <w:div w:id="1408766731">
                                                          <w:marLeft w:val="0"/>
                                                          <w:marRight w:val="0"/>
                                                          <w:marTop w:val="0"/>
                                                          <w:marBottom w:val="0"/>
                                                          <w:divBdr>
                                                            <w:top w:val="single" w:sz="6" w:space="5" w:color="D6D7DA"/>
                                                            <w:left w:val="none" w:sz="0" w:space="0" w:color="auto"/>
                                                            <w:bottom w:val="none" w:sz="0" w:space="0" w:color="auto"/>
                                                            <w:right w:val="none" w:sz="0" w:space="0" w:color="auto"/>
                                                          </w:divBdr>
                                                          <w:divsChild>
                                                            <w:div w:id="357973225">
                                                              <w:marLeft w:val="0"/>
                                                              <w:marRight w:val="0"/>
                                                              <w:marTop w:val="0"/>
                                                              <w:marBottom w:val="0"/>
                                                              <w:divBdr>
                                                                <w:top w:val="none" w:sz="0" w:space="0" w:color="auto"/>
                                                                <w:left w:val="none" w:sz="0" w:space="0" w:color="auto"/>
                                                                <w:bottom w:val="none" w:sz="0" w:space="0" w:color="auto"/>
                                                                <w:right w:val="none" w:sz="0" w:space="0" w:color="auto"/>
                                                              </w:divBdr>
                                                              <w:divsChild>
                                                                <w:div w:id="1277906186">
                                                                  <w:marLeft w:val="0"/>
                                                                  <w:marRight w:val="0"/>
                                                                  <w:marTop w:val="0"/>
                                                                  <w:marBottom w:val="0"/>
                                                                  <w:divBdr>
                                                                    <w:top w:val="none" w:sz="0" w:space="0" w:color="auto"/>
                                                                    <w:left w:val="none" w:sz="0" w:space="0" w:color="auto"/>
                                                                    <w:bottom w:val="none" w:sz="0" w:space="0" w:color="auto"/>
                                                                    <w:right w:val="none" w:sz="0" w:space="0" w:color="auto"/>
                                                                  </w:divBdr>
                                                                  <w:divsChild>
                                                                    <w:div w:id="1547448762">
                                                                      <w:marLeft w:val="0"/>
                                                                      <w:marRight w:val="0"/>
                                                                      <w:marTop w:val="0"/>
                                                                      <w:marBottom w:val="0"/>
                                                                      <w:divBdr>
                                                                        <w:top w:val="none" w:sz="0" w:space="0" w:color="auto"/>
                                                                        <w:left w:val="none" w:sz="0" w:space="0" w:color="auto"/>
                                                                        <w:bottom w:val="none" w:sz="0" w:space="0" w:color="auto"/>
                                                                        <w:right w:val="none" w:sz="0" w:space="0" w:color="auto"/>
                                                                      </w:divBdr>
                                                                    </w:div>
                                                                  </w:divsChild>
                                                                </w:div>
                                                                <w:div w:id="16494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2765">
                                                      <w:marLeft w:val="0"/>
                                                      <w:marRight w:val="120"/>
                                                      <w:marTop w:val="0"/>
                                                      <w:marBottom w:val="0"/>
                                                      <w:divBdr>
                                                        <w:top w:val="none" w:sz="0" w:space="0" w:color="auto"/>
                                                        <w:left w:val="none" w:sz="0" w:space="0" w:color="auto"/>
                                                        <w:bottom w:val="none" w:sz="0" w:space="0" w:color="auto"/>
                                                        <w:right w:val="none" w:sz="0" w:space="0" w:color="auto"/>
                                                      </w:divBdr>
                                                      <w:divsChild>
                                                        <w:div w:id="574432460">
                                                          <w:marLeft w:val="0"/>
                                                          <w:marRight w:val="0"/>
                                                          <w:marTop w:val="0"/>
                                                          <w:marBottom w:val="0"/>
                                                          <w:divBdr>
                                                            <w:top w:val="single" w:sz="6" w:space="5" w:color="D6D7DA"/>
                                                            <w:left w:val="none" w:sz="0" w:space="0" w:color="auto"/>
                                                            <w:bottom w:val="none" w:sz="0" w:space="0" w:color="auto"/>
                                                            <w:right w:val="none" w:sz="0" w:space="0" w:color="auto"/>
                                                          </w:divBdr>
                                                          <w:divsChild>
                                                            <w:div w:id="2128234632">
                                                              <w:marLeft w:val="0"/>
                                                              <w:marRight w:val="0"/>
                                                              <w:marTop w:val="0"/>
                                                              <w:marBottom w:val="0"/>
                                                              <w:divBdr>
                                                                <w:top w:val="none" w:sz="0" w:space="0" w:color="auto"/>
                                                                <w:left w:val="none" w:sz="0" w:space="0" w:color="auto"/>
                                                                <w:bottom w:val="none" w:sz="0" w:space="0" w:color="auto"/>
                                                                <w:right w:val="none" w:sz="0" w:space="0" w:color="auto"/>
                                                              </w:divBdr>
                                                              <w:divsChild>
                                                                <w:div w:id="1170607290">
                                                                  <w:marLeft w:val="0"/>
                                                                  <w:marRight w:val="0"/>
                                                                  <w:marTop w:val="0"/>
                                                                  <w:marBottom w:val="0"/>
                                                                  <w:divBdr>
                                                                    <w:top w:val="none" w:sz="0" w:space="0" w:color="auto"/>
                                                                    <w:left w:val="none" w:sz="0" w:space="0" w:color="auto"/>
                                                                    <w:bottom w:val="none" w:sz="0" w:space="0" w:color="auto"/>
                                                                    <w:right w:val="none" w:sz="0" w:space="0" w:color="auto"/>
                                                                  </w:divBdr>
                                                                </w:div>
                                                                <w:div w:id="2062903090">
                                                                  <w:marLeft w:val="0"/>
                                                                  <w:marRight w:val="0"/>
                                                                  <w:marTop w:val="0"/>
                                                                  <w:marBottom w:val="0"/>
                                                                  <w:divBdr>
                                                                    <w:top w:val="none" w:sz="0" w:space="0" w:color="auto"/>
                                                                    <w:left w:val="none" w:sz="0" w:space="0" w:color="auto"/>
                                                                    <w:bottom w:val="none" w:sz="0" w:space="0" w:color="auto"/>
                                                                    <w:right w:val="none" w:sz="0" w:space="0" w:color="auto"/>
                                                                  </w:divBdr>
                                                                  <w:divsChild>
                                                                    <w:div w:id="15293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3394">
                                                      <w:marLeft w:val="0"/>
                                                      <w:marRight w:val="120"/>
                                                      <w:marTop w:val="0"/>
                                                      <w:marBottom w:val="0"/>
                                                      <w:divBdr>
                                                        <w:top w:val="none" w:sz="0" w:space="0" w:color="auto"/>
                                                        <w:left w:val="none" w:sz="0" w:space="0" w:color="auto"/>
                                                        <w:bottom w:val="none" w:sz="0" w:space="0" w:color="auto"/>
                                                        <w:right w:val="none" w:sz="0" w:space="0" w:color="auto"/>
                                                      </w:divBdr>
                                                      <w:divsChild>
                                                        <w:div w:id="1920405003">
                                                          <w:marLeft w:val="0"/>
                                                          <w:marRight w:val="0"/>
                                                          <w:marTop w:val="0"/>
                                                          <w:marBottom w:val="0"/>
                                                          <w:divBdr>
                                                            <w:top w:val="none" w:sz="0" w:space="0" w:color="auto"/>
                                                            <w:left w:val="none" w:sz="0" w:space="0" w:color="auto"/>
                                                            <w:bottom w:val="none" w:sz="0" w:space="0" w:color="auto"/>
                                                            <w:right w:val="none" w:sz="0" w:space="0" w:color="auto"/>
                                                          </w:divBdr>
                                                          <w:divsChild>
                                                            <w:div w:id="1143084156">
                                                              <w:marLeft w:val="0"/>
                                                              <w:marRight w:val="0"/>
                                                              <w:marTop w:val="0"/>
                                                              <w:marBottom w:val="0"/>
                                                              <w:divBdr>
                                                                <w:top w:val="none" w:sz="0" w:space="0" w:color="auto"/>
                                                                <w:left w:val="none" w:sz="0" w:space="0" w:color="auto"/>
                                                                <w:bottom w:val="none" w:sz="0" w:space="0" w:color="auto"/>
                                                                <w:right w:val="none" w:sz="0" w:space="0" w:color="auto"/>
                                                              </w:divBdr>
                                                              <w:divsChild>
                                                                <w:div w:id="1773083710">
                                                                  <w:marLeft w:val="0"/>
                                                                  <w:marRight w:val="0"/>
                                                                  <w:marTop w:val="0"/>
                                                                  <w:marBottom w:val="0"/>
                                                                  <w:divBdr>
                                                                    <w:top w:val="none" w:sz="0" w:space="0" w:color="auto"/>
                                                                    <w:left w:val="none" w:sz="0" w:space="0" w:color="auto"/>
                                                                    <w:bottom w:val="none" w:sz="0" w:space="0" w:color="auto"/>
                                                                    <w:right w:val="none" w:sz="0" w:space="0" w:color="auto"/>
                                                                  </w:divBdr>
                                                                </w:div>
                                                                <w:div w:id="1998261414">
                                                                  <w:marLeft w:val="0"/>
                                                                  <w:marRight w:val="0"/>
                                                                  <w:marTop w:val="0"/>
                                                                  <w:marBottom w:val="0"/>
                                                                  <w:divBdr>
                                                                    <w:top w:val="none" w:sz="0" w:space="0" w:color="auto"/>
                                                                    <w:left w:val="none" w:sz="0" w:space="0" w:color="auto"/>
                                                                    <w:bottom w:val="none" w:sz="0" w:space="0" w:color="auto"/>
                                                                    <w:right w:val="none" w:sz="0" w:space="0" w:color="auto"/>
                                                                  </w:divBdr>
                                                                  <w:divsChild>
                                                                    <w:div w:id="77313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615905">
                                                      <w:marLeft w:val="0"/>
                                                      <w:marRight w:val="120"/>
                                                      <w:marTop w:val="0"/>
                                                      <w:marBottom w:val="0"/>
                                                      <w:divBdr>
                                                        <w:top w:val="none" w:sz="0" w:space="0" w:color="auto"/>
                                                        <w:left w:val="none" w:sz="0" w:space="0" w:color="auto"/>
                                                        <w:bottom w:val="none" w:sz="0" w:space="0" w:color="auto"/>
                                                        <w:right w:val="none" w:sz="0" w:space="0" w:color="auto"/>
                                                      </w:divBdr>
                                                      <w:divsChild>
                                                        <w:div w:id="1506435718">
                                                          <w:marLeft w:val="0"/>
                                                          <w:marRight w:val="0"/>
                                                          <w:marTop w:val="0"/>
                                                          <w:marBottom w:val="0"/>
                                                          <w:divBdr>
                                                            <w:top w:val="single" w:sz="6" w:space="5" w:color="D6D7DA"/>
                                                            <w:left w:val="none" w:sz="0" w:space="0" w:color="auto"/>
                                                            <w:bottom w:val="none" w:sz="0" w:space="0" w:color="auto"/>
                                                            <w:right w:val="none" w:sz="0" w:space="0" w:color="auto"/>
                                                          </w:divBdr>
                                                          <w:divsChild>
                                                            <w:div w:id="551501497">
                                                              <w:marLeft w:val="0"/>
                                                              <w:marRight w:val="0"/>
                                                              <w:marTop w:val="0"/>
                                                              <w:marBottom w:val="0"/>
                                                              <w:divBdr>
                                                                <w:top w:val="none" w:sz="0" w:space="0" w:color="auto"/>
                                                                <w:left w:val="none" w:sz="0" w:space="0" w:color="auto"/>
                                                                <w:bottom w:val="none" w:sz="0" w:space="0" w:color="auto"/>
                                                                <w:right w:val="none" w:sz="0" w:space="0" w:color="auto"/>
                                                              </w:divBdr>
                                                              <w:divsChild>
                                                                <w:div w:id="1083917093">
                                                                  <w:marLeft w:val="0"/>
                                                                  <w:marRight w:val="0"/>
                                                                  <w:marTop w:val="0"/>
                                                                  <w:marBottom w:val="0"/>
                                                                  <w:divBdr>
                                                                    <w:top w:val="none" w:sz="0" w:space="0" w:color="auto"/>
                                                                    <w:left w:val="none" w:sz="0" w:space="0" w:color="auto"/>
                                                                    <w:bottom w:val="none" w:sz="0" w:space="0" w:color="auto"/>
                                                                    <w:right w:val="none" w:sz="0" w:space="0" w:color="auto"/>
                                                                  </w:divBdr>
                                                                </w:div>
                                                                <w:div w:id="1788767120">
                                                                  <w:marLeft w:val="0"/>
                                                                  <w:marRight w:val="0"/>
                                                                  <w:marTop w:val="0"/>
                                                                  <w:marBottom w:val="0"/>
                                                                  <w:divBdr>
                                                                    <w:top w:val="none" w:sz="0" w:space="0" w:color="auto"/>
                                                                    <w:left w:val="none" w:sz="0" w:space="0" w:color="auto"/>
                                                                    <w:bottom w:val="none" w:sz="0" w:space="0" w:color="auto"/>
                                                                    <w:right w:val="none" w:sz="0" w:space="0" w:color="auto"/>
                                                                  </w:divBdr>
                                                                  <w:divsChild>
                                                                    <w:div w:id="16214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45111">
                                                      <w:marLeft w:val="0"/>
                                                      <w:marRight w:val="120"/>
                                                      <w:marTop w:val="0"/>
                                                      <w:marBottom w:val="0"/>
                                                      <w:divBdr>
                                                        <w:top w:val="none" w:sz="0" w:space="0" w:color="auto"/>
                                                        <w:left w:val="none" w:sz="0" w:space="0" w:color="auto"/>
                                                        <w:bottom w:val="none" w:sz="0" w:space="0" w:color="auto"/>
                                                        <w:right w:val="none" w:sz="0" w:space="0" w:color="auto"/>
                                                      </w:divBdr>
                                                      <w:divsChild>
                                                        <w:div w:id="774860813">
                                                          <w:marLeft w:val="0"/>
                                                          <w:marRight w:val="0"/>
                                                          <w:marTop w:val="0"/>
                                                          <w:marBottom w:val="0"/>
                                                          <w:divBdr>
                                                            <w:top w:val="single" w:sz="6" w:space="5" w:color="D6D7DA"/>
                                                            <w:left w:val="none" w:sz="0" w:space="0" w:color="auto"/>
                                                            <w:bottom w:val="none" w:sz="0" w:space="0" w:color="auto"/>
                                                            <w:right w:val="none" w:sz="0" w:space="0" w:color="auto"/>
                                                          </w:divBdr>
                                                          <w:divsChild>
                                                            <w:div w:id="1574125600">
                                                              <w:marLeft w:val="0"/>
                                                              <w:marRight w:val="0"/>
                                                              <w:marTop w:val="0"/>
                                                              <w:marBottom w:val="0"/>
                                                              <w:divBdr>
                                                                <w:top w:val="none" w:sz="0" w:space="0" w:color="auto"/>
                                                                <w:left w:val="none" w:sz="0" w:space="0" w:color="auto"/>
                                                                <w:bottom w:val="none" w:sz="0" w:space="0" w:color="auto"/>
                                                                <w:right w:val="none" w:sz="0" w:space="0" w:color="auto"/>
                                                              </w:divBdr>
                                                              <w:divsChild>
                                                                <w:div w:id="1564868820">
                                                                  <w:marLeft w:val="0"/>
                                                                  <w:marRight w:val="0"/>
                                                                  <w:marTop w:val="0"/>
                                                                  <w:marBottom w:val="0"/>
                                                                  <w:divBdr>
                                                                    <w:top w:val="none" w:sz="0" w:space="0" w:color="auto"/>
                                                                    <w:left w:val="none" w:sz="0" w:space="0" w:color="auto"/>
                                                                    <w:bottom w:val="none" w:sz="0" w:space="0" w:color="auto"/>
                                                                    <w:right w:val="none" w:sz="0" w:space="0" w:color="auto"/>
                                                                  </w:divBdr>
                                                                  <w:divsChild>
                                                                    <w:div w:id="453866843">
                                                                      <w:marLeft w:val="0"/>
                                                                      <w:marRight w:val="0"/>
                                                                      <w:marTop w:val="0"/>
                                                                      <w:marBottom w:val="0"/>
                                                                      <w:divBdr>
                                                                        <w:top w:val="none" w:sz="0" w:space="0" w:color="auto"/>
                                                                        <w:left w:val="none" w:sz="0" w:space="0" w:color="auto"/>
                                                                        <w:bottom w:val="none" w:sz="0" w:space="0" w:color="auto"/>
                                                                        <w:right w:val="none" w:sz="0" w:space="0" w:color="auto"/>
                                                                      </w:divBdr>
                                                                    </w:div>
                                                                  </w:divsChild>
                                                                </w:div>
                                                                <w:div w:id="21163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4857651">
                      <w:marLeft w:val="0"/>
                      <w:marRight w:val="0"/>
                      <w:marTop w:val="0"/>
                      <w:marBottom w:val="0"/>
                      <w:divBdr>
                        <w:top w:val="none" w:sz="0" w:space="0" w:color="auto"/>
                        <w:left w:val="none" w:sz="0" w:space="0" w:color="auto"/>
                        <w:bottom w:val="none" w:sz="0" w:space="0" w:color="auto"/>
                        <w:right w:val="none" w:sz="0" w:space="0" w:color="auto"/>
                      </w:divBdr>
                      <w:divsChild>
                        <w:div w:id="347103648">
                          <w:marLeft w:val="0"/>
                          <w:marRight w:val="0"/>
                          <w:marTop w:val="0"/>
                          <w:marBottom w:val="0"/>
                          <w:divBdr>
                            <w:top w:val="none" w:sz="0" w:space="0" w:color="auto"/>
                            <w:left w:val="none" w:sz="0" w:space="0" w:color="auto"/>
                            <w:bottom w:val="none" w:sz="0" w:space="0" w:color="auto"/>
                            <w:right w:val="none" w:sz="0" w:space="0" w:color="auto"/>
                          </w:divBdr>
                          <w:divsChild>
                            <w:div w:id="1446071896">
                              <w:marLeft w:val="0"/>
                              <w:marRight w:val="-450"/>
                              <w:marTop w:val="0"/>
                              <w:marBottom w:val="0"/>
                              <w:divBdr>
                                <w:top w:val="none" w:sz="0" w:space="0" w:color="auto"/>
                                <w:left w:val="none" w:sz="0" w:space="0" w:color="auto"/>
                                <w:bottom w:val="none" w:sz="0" w:space="0" w:color="auto"/>
                                <w:right w:val="none" w:sz="0" w:space="0" w:color="auto"/>
                              </w:divBdr>
                              <w:divsChild>
                                <w:div w:id="157886592">
                                  <w:marLeft w:val="0"/>
                                  <w:marRight w:val="0"/>
                                  <w:marTop w:val="0"/>
                                  <w:marBottom w:val="0"/>
                                  <w:divBdr>
                                    <w:top w:val="none" w:sz="0" w:space="0" w:color="auto"/>
                                    <w:left w:val="none" w:sz="0" w:space="0" w:color="auto"/>
                                    <w:bottom w:val="none" w:sz="0" w:space="0" w:color="auto"/>
                                    <w:right w:val="none" w:sz="0" w:space="0" w:color="auto"/>
                                  </w:divBdr>
                                  <w:divsChild>
                                    <w:div w:id="1111902310">
                                      <w:marLeft w:val="0"/>
                                      <w:marRight w:val="0"/>
                                      <w:marTop w:val="0"/>
                                      <w:marBottom w:val="0"/>
                                      <w:divBdr>
                                        <w:top w:val="none" w:sz="0" w:space="0" w:color="auto"/>
                                        <w:left w:val="none" w:sz="0" w:space="0" w:color="auto"/>
                                        <w:bottom w:val="none" w:sz="0" w:space="0" w:color="auto"/>
                                        <w:right w:val="none" w:sz="0" w:space="0" w:color="auto"/>
                                      </w:divBdr>
                                      <w:divsChild>
                                        <w:div w:id="1471901459">
                                          <w:marLeft w:val="0"/>
                                          <w:marRight w:val="0"/>
                                          <w:marTop w:val="0"/>
                                          <w:marBottom w:val="0"/>
                                          <w:divBdr>
                                            <w:top w:val="none" w:sz="0" w:space="0" w:color="auto"/>
                                            <w:left w:val="none" w:sz="0" w:space="0" w:color="auto"/>
                                            <w:bottom w:val="none" w:sz="0" w:space="0" w:color="auto"/>
                                            <w:right w:val="none" w:sz="0" w:space="0" w:color="auto"/>
                                          </w:divBdr>
                                          <w:divsChild>
                                            <w:div w:id="1438403311">
                                              <w:marLeft w:val="0"/>
                                              <w:marRight w:val="0"/>
                                              <w:marTop w:val="0"/>
                                              <w:marBottom w:val="0"/>
                                              <w:divBdr>
                                                <w:top w:val="none" w:sz="0" w:space="0" w:color="auto"/>
                                                <w:left w:val="none" w:sz="0" w:space="0" w:color="auto"/>
                                                <w:bottom w:val="none" w:sz="0" w:space="0" w:color="auto"/>
                                                <w:right w:val="none" w:sz="0" w:space="0" w:color="auto"/>
                                              </w:divBdr>
                                              <w:divsChild>
                                                <w:div w:id="1592011514">
                                                  <w:marLeft w:val="0"/>
                                                  <w:marRight w:val="0"/>
                                                  <w:marTop w:val="0"/>
                                                  <w:marBottom w:val="0"/>
                                                  <w:divBdr>
                                                    <w:top w:val="none" w:sz="0" w:space="0" w:color="auto"/>
                                                    <w:left w:val="none" w:sz="0" w:space="0" w:color="auto"/>
                                                    <w:bottom w:val="none" w:sz="0" w:space="0" w:color="auto"/>
                                                    <w:right w:val="none" w:sz="0" w:space="0" w:color="auto"/>
                                                  </w:divBdr>
                                                  <w:divsChild>
                                                    <w:div w:id="166210525">
                                                      <w:marLeft w:val="0"/>
                                                      <w:marRight w:val="0"/>
                                                      <w:marTop w:val="0"/>
                                                      <w:marBottom w:val="0"/>
                                                      <w:divBdr>
                                                        <w:top w:val="none" w:sz="0" w:space="0" w:color="auto"/>
                                                        <w:left w:val="none" w:sz="0" w:space="0" w:color="auto"/>
                                                        <w:bottom w:val="none" w:sz="0" w:space="0" w:color="auto"/>
                                                        <w:right w:val="none" w:sz="0" w:space="0" w:color="auto"/>
                                                      </w:divBdr>
                                                      <w:divsChild>
                                                        <w:div w:id="1088118880">
                                                          <w:marLeft w:val="0"/>
                                                          <w:marRight w:val="0"/>
                                                          <w:marTop w:val="0"/>
                                                          <w:marBottom w:val="0"/>
                                                          <w:divBdr>
                                                            <w:top w:val="none" w:sz="0" w:space="0" w:color="auto"/>
                                                            <w:left w:val="none" w:sz="0" w:space="0" w:color="auto"/>
                                                            <w:bottom w:val="none" w:sz="0" w:space="0" w:color="auto"/>
                                                            <w:right w:val="none" w:sz="0" w:space="0" w:color="auto"/>
                                                          </w:divBdr>
                                                          <w:divsChild>
                                                            <w:div w:id="2147239699">
                                                              <w:marLeft w:val="0"/>
                                                              <w:marRight w:val="0"/>
                                                              <w:marTop w:val="0"/>
                                                              <w:marBottom w:val="0"/>
                                                              <w:divBdr>
                                                                <w:top w:val="none" w:sz="0" w:space="0" w:color="auto"/>
                                                                <w:left w:val="none" w:sz="0" w:space="0" w:color="auto"/>
                                                                <w:bottom w:val="none" w:sz="0" w:space="0" w:color="auto"/>
                                                                <w:right w:val="none" w:sz="0" w:space="0" w:color="auto"/>
                                                              </w:divBdr>
                                                            </w:div>
                                                          </w:divsChild>
                                                        </w:div>
                                                        <w:div w:id="1332370619">
                                                          <w:marLeft w:val="0"/>
                                                          <w:marRight w:val="0"/>
                                                          <w:marTop w:val="0"/>
                                                          <w:marBottom w:val="0"/>
                                                          <w:divBdr>
                                                            <w:top w:val="none" w:sz="0" w:space="0" w:color="auto"/>
                                                            <w:left w:val="none" w:sz="0" w:space="0" w:color="auto"/>
                                                            <w:bottom w:val="none" w:sz="0" w:space="0" w:color="auto"/>
                                                            <w:right w:val="none" w:sz="0" w:space="0" w:color="auto"/>
                                                          </w:divBdr>
                                                        </w:div>
                                                      </w:divsChild>
                                                    </w:div>
                                                    <w:div w:id="234363470">
                                                      <w:marLeft w:val="0"/>
                                                      <w:marRight w:val="0"/>
                                                      <w:marTop w:val="0"/>
                                                      <w:marBottom w:val="0"/>
                                                      <w:divBdr>
                                                        <w:top w:val="none" w:sz="0" w:space="0" w:color="auto"/>
                                                        <w:left w:val="none" w:sz="0" w:space="0" w:color="auto"/>
                                                        <w:bottom w:val="none" w:sz="0" w:space="0" w:color="auto"/>
                                                        <w:right w:val="none" w:sz="0" w:space="0" w:color="auto"/>
                                                      </w:divBdr>
                                                      <w:divsChild>
                                                        <w:div w:id="1605727420">
                                                          <w:marLeft w:val="0"/>
                                                          <w:marRight w:val="0"/>
                                                          <w:marTop w:val="0"/>
                                                          <w:marBottom w:val="0"/>
                                                          <w:divBdr>
                                                            <w:top w:val="none" w:sz="0" w:space="0" w:color="auto"/>
                                                            <w:left w:val="none" w:sz="0" w:space="0" w:color="auto"/>
                                                            <w:bottom w:val="none" w:sz="0" w:space="0" w:color="auto"/>
                                                            <w:right w:val="none" w:sz="0" w:space="0" w:color="auto"/>
                                                          </w:divBdr>
                                                        </w:div>
                                                        <w:div w:id="1631672151">
                                                          <w:marLeft w:val="0"/>
                                                          <w:marRight w:val="0"/>
                                                          <w:marTop w:val="0"/>
                                                          <w:marBottom w:val="0"/>
                                                          <w:divBdr>
                                                            <w:top w:val="none" w:sz="0" w:space="0" w:color="auto"/>
                                                            <w:left w:val="none" w:sz="0" w:space="0" w:color="auto"/>
                                                            <w:bottom w:val="none" w:sz="0" w:space="0" w:color="auto"/>
                                                            <w:right w:val="none" w:sz="0" w:space="0" w:color="auto"/>
                                                          </w:divBdr>
                                                          <w:divsChild>
                                                            <w:div w:id="3951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5538">
                                                      <w:marLeft w:val="0"/>
                                                      <w:marRight w:val="0"/>
                                                      <w:marTop w:val="0"/>
                                                      <w:marBottom w:val="0"/>
                                                      <w:divBdr>
                                                        <w:top w:val="none" w:sz="0" w:space="0" w:color="auto"/>
                                                        <w:left w:val="none" w:sz="0" w:space="0" w:color="auto"/>
                                                        <w:bottom w:val="none" w:sz="0" w:space="0" w:color="auto"/>
                                                        <w:right w:val="none" w:sz="0" w:space="0" w:color="auto"/>
                                                      </w:divBdr>
                                                      <w:divsChild>
                                                        <w:div w:id="82190562">
                                                          <w:marLeft w:val="0"/>
                                                          <w:marRight w:val="0"/>
                                                          <w:marTop w:val="0"/>
                                                          <w:marBottom w:val="0"/>
                                                          <w:divBdr>
                                                            <w:top w:val="none" w:sz="0" w:space="0" w:color="auto"/>
                                                            <w:left w:val="none" w:sz="0" w:space="0" w:color="auto"/>
                                                            <w:bottom w:val="none" w:sz="0" w:space="0" w:color="auto"/>
                                                            <w:right w:val="none" w:sz="0" w:space="0" w:color="auto"/>
                                                          </w:divBdr>
                                                        </w:div>
                                                        <w:div w:id="1730811039">
                                                          <w:marLeft w:val="0"/>
                                                          <w:marRight w:val="0"/>
                                                          <w:marTop w:val="0"/>
                                                          <w:marBottom w:val="0"/>
                                                          <w:divBdr>
                                                            <w:top w:val="none" w:sz="0" w:space="0" w:color="auto"/>
                                                            <w:left w:val="none" w:sz="0" w:space="0" w:color="auto"/>
                                                            <w:bottom w:val="none" w:sz="0" w:space="0" w:color="auto"/>
                                                            <w:right w:val="none" w:sz="0" w:space="0" w:color="auto"/>
                                                          </w:divBdr>
                                                          <w:divsChild>
                                                            <w:div w:id="14759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7977">
                                                      <w:marLeft w:val="0"/>
                                                      <w:marRight w:val="0"/>
                                                      <w:marTop w:val="0"/>
                                                      <w:marBottom w:val="0"/>
                                                      <w:divBdr>
                                                        <w:top w:val="none" w:sz="0" w:space="0" w:color="auto"/>
                                                        <w:left w:val="none" w:sz="0" w:space="0" w:color="auto"/>
                                                        <w:bottom w:val="none" w:sz="0" w:space="0" w:color="auto"/>
                                                        <w:right w:val="none" w:sz="0" w:space="0" w:color="auto"/>
                                                      </w:divBdr>
                                                      <w:divsChild>
                                                        <w:div w:id="1307080219">
                                                          <w:marLeft w:val="0"/>
                                                          <w:marRight w:val="0"/>
                                                          <w:marTop w:val="0"/>
                                                          <w:marBottom w:val="0"/>
                                                          <w:divBdr>
                                                            <w:top w:val="none" w:sz="0" w:space="0" w:color="auto"/>
                                                            <w:left w:val="none" w:sz="0" w:space="0" w:color="auto"/>
                                                            <w:bottom w:val="none" w:sz="0" w:space="0" w:color="auto"/>
                                                            <w:right w:val="none" w:sz="0" w:space="0" w:color="auto"/>
                                                          </w:divBdr>
                                                          <w:divsChild>
                                                            <w:div w:id="517961581">
                                                              <w:marLeft w:val="0"/>
                                                              <w:marRight w:val="0"/>
                                                              <w:marTop w:val="0"/>
                                                              <w:marBottom w:val="0"/>
                                                              <w:divBdr>
                                                                <w:top w:val="none" w:sz="0" w:space="0" w:color="auto"/>
                                                                <w:left w:val="none" w:sz="0" w:space="0" w:color="auto"/>
                                                                <w:bottom w:val="none" w:sz="0" w:space="0" w:color="auto"/>
                                                                <w:right w:val="none" w:sz="0" w:space="0" w:color="auto"/>
                                                              </w:divBdr>
                                                            </w:div>
                                                          </w:divsChild>
                                                        </w:div>
                                                        <w:div w:id="1510218271">
                                                          <w:marLeft w:val="0"/>
                                                          <w:marRight w:val="0"/>
                                                          <w:marTop w:val="0"/>
                                                          <w:marBottom w:val="0"/>
                                                          <w:divBdr>
                                                            <w:top w:val="none" w:sz="0" w:space="0" w:color="auto"/>
                                                            <w:left w:val="none" w:sz="0" w:space="0" w:color="auto"/>
                                                            <w:bottom w:val="none" w:sz="0" w:space="0" w:color="auto"/>
                                                            <w:right w:val="none" w:sz="0" w:space="0" w:color="auto"/>
                                                          </w:divBdr>
                                                        </w:div>
                                                      </w:divsChild>
                                                    </w:div>
                                                    <w:div w:id="996958560">
                                                      <w:marLeft w:val="0"/>
                                                      <w:marRight w:val="0"/>
                                                      <w:marTop w:val="0"/>
                                                      <w:marBottom w:val="0"/>
                                                      <w:divBdr>
                                                        <w:top w:val="none" w:sz="0" w:space="0" w:color="auto"/>
                                                        <w:left w:val="none" w:sz="0" w:space="0" w:color="auto"/>
                                                        <w:bottom w:val="none" w:sz="0" w:space="0" w:color="auto"/>
                                                        <w:right w:val="none" w:sz="0" w:space="0" w:color="auto"/>
                                                      </w:divBdr>
                                                      <w:divsChild>
                                                        <w:div w:id="252206406">
                                                          <w:marLeft w:val="60"/>
                                                          <w:marRight w:val="15"/>
                                                          <w:marTop w:val="0"/>
                                                          <w:marBottom w:val="0"/>
                                                          <w:divBdr>
                                                            <w:top w:val="none" w:sz="0" w:space="0" w:color="auto"/>
                                                            <w:left w:val="none" w:sz="0" w:space="0" w:color="auto"/>
                                                            <w:bottom w:val="none" w:sz="0" w:space="0" w:color="auto"/>
                                                            <w:right w:val="none" w:sz="0" w:space="0" w:color="auto"/>
                                                          </w:divBdr>
                                                          <w:divsChild>
                                                            <w:div w:id="475027603">
                                                              <w:marLeft w:val="0"/>
                                                              <w:marRight w:val="0"/>
                                                              <w:marTop w:val="0"/>
                                                              <w:marBottom w:val="0"/>
                                                              <w:divBdr>
                                                                <w:top w:val="none" w:sz="0" w:space="0" w:color="auto"/>
                                                                <w:left w:val="none" w:sz="0" w:space="0" w:color="auto"/>
                                                                <w:bottom w:val="none" w:sz="0" w:space="0" w:color="auto"/>
                                                                <w:right w:val="none" w:sz="0" w:space="0" w:color="auto"/>
                                                              </w:divBdr>
                                                              <w:divsChild>
                                                                <w:div w:id="19244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01498">
                                                          <w:marLeft w:val="0"/>
                                                          <w:marRight w:val="0"/>
                                                          <w:marTop w:val="0"/>
                                                          <w:marBottom w:val="0"/>
                                                          <w:divBdr>
                                                            <w:top w:val="none" w:sz="0" w:space="0" w:color="auto"/>
                                                            <w:left w:val="none" w:sz="0" w:space="0" w:color="auto"/>
                                                            <w:bottom w:val="none" w:sz="0" w:space="0" w:color="auto"/>
                                                            <w:right w:val="none" w:sz="0" w:space="0" w:color="auto"/>
                                                          </w:divBdr>
                                                        </w:div>
                                                        <w:div w:id="413475314">
                                                          <w:marLeft w:val="0"/>
                                                          <w:marRight w:val="0"/>
                                                          <w:marTop w:val="0"/>
                                                          <w:marBottom w:val="0"/>
                                                          <w:divBdr>
                                                            <w:top w:val="none" w:sz="0" w:space="0" w:color="auto"/>
                                                            <w:left w:val="none" w:sz="0" w:space="0" w:color="auto"/>
                                                            <w:bottom w:val="none" w:sz="0" w:space="0" w:color="auto"/>
                                                            <w:right w:val="none" w:sz="0" w:space="0" w:color="auto"/>
                                                          </w:divBdr>
                                                          <w:divsChild>
                                                            <w:div w:id="772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23455">
                                                      <w:marLeft w:val="0"/>
                                                      <w:marRight w:val="0"/>
                                                      <w:marTop w:val="0"/>
                                                      <w:marBottom w:val="0"/>
                                                      <w:divBdr>
                                                        <w:top w:val="none" w:sz="0" w:space="0" w:color="auto"/>
                                                        <w:left w:val="none" w:sz="0" w:space="0" w:color="auto"/>
                                                        <w:bottom w:val="none" w:sz="0" w:space="0" w:color="auto"/>
                                                        <w:right w:val="none" w:sz="0" w:space="0" w:color="auto"/>
                                                      </w:divBdr>
                                                      <w:divsChild>
                                                        <w:div w:id="986976372">
                                                          <w:marLeft w:val="0"/>
                                                          <w:marRight w:val="0"/>
                                                          <w:marTop w:val="0"/>
                                                          <w:marBottom w:val="0"/>
                                                          <w:divBdr>
                                                            <w:top w:val="none" w:sz="0" w:space="0" w:color="auto"/>
                                                            <w:left w:val="none" w:sz="0" w:space="0" w:color="auto"/>
                                                            <w:bottom w:val="none" w:sz="0" w:space="0" w:color="auto"/>
                                                            <w:right w:val="none" w:sz="0" w:space="0" w:color="auto"/>
                                                          </w:divBdr>
                                                        </w:div>
                                                        <w:div w:id="1716395060">
                                                          <w:marLeft w:val="0"/>
                                                          <w:marRight w:val="0"/>
                                                          <w:marTop w:val="0"/>
                                                          <w:marBottom w:val="0"/>
                                                          <w:divBdr>
                                                            <w:top w:val="none" w:sz="0" w:space="0" w:color="auto"/>
                                                            <w:left w:val="none" w:sz="0" w:space="0" w:color="auto"/>
                                                            <w:bottom w:val="none" w:sz="0" w:space="0" w:color="auto"/>
                                                            <w:right w:val="none" w:sz="0" w:space="0" w:color="auto"/>
                                                          </w:divBdr>
                                                          <w:divsChild>
                                                            <w:div w:id="9230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241348">
                                                      <w:marLeft w:val="0"/>
                                                      <w:marRight w:val="0"/>
                                                      <w:marTop w:val="0"/>
                                                      <w:marBottom w:val="0"/>
                                                      <w:divBdr>
                                                        <w:top w:val="none" w:sz="0" w:space="0" w:color="auto"/>
                                                        <w:left w:val="none" w:sz="0" w:space="0" w:color="auto"/>
                                                        <w:bottom w:val="none" w:sz="0" w:space="0" w:color="auto"/>
                                                        <w:right w:val="none" w:sz="0" w:space="0" w:color="auto"/>
                                                      </w:divBdr>
                                                      <w:divsChild>
                                                        <w:div w:id="808789370">
                                                          <w:marLeft w:val="0"/>
                                                          <w:marRight w:val="0"/>
                                                          <w:marTop w:val="0"/>
                                                          <w:marBottom w:val="0"/>
                                                          <w:divBdr>
                                                            <w:top w:val="none" w:sz="0" w:space="0" w:color="auto"/>
                                                            <w:left w:val="none" w:sz="0" w:space="0" w:color="auto"/>
                                                            <w:bottom w:val="none" w:sz="0" w:space="0" w:color="auto"/>
                                                            <w:right w:val="none" w:sz="0" w:space="0" w:color="auto"/>
                                                          </w:divBdr>
                                                        </w:div>
                                                      </w:divsChild>
                                                    </w:div>
                                                    <w:div w:id="1324354602">
                                                      <w:marLeft w:val="0"/>
                                                      <w:marRight w:val="0"/>
                                                      <w:marTop w:val="0"/>
                                                      <w:marBottom w:val="0"/>
                                                      <w:divBdr>
                                                        <w:top w:val="none" w:sz="0" w:space="0" w:color="auto"/>
                                                        <w:left w:val="none" w:sz="0" w:space="0" w:color="auto"/>
                                                        <w:bottom w:val="none" w:sz="0" w:space="0" w:color="auto"/>
                                                        <w:right w:val="none" w:sz="0" w:space="0" w:color="auto"/>
                                                      </w:divBdr>
                                                      <w:divsChild>
                                                        <w:div w:id="455173182">
                                                          <w:marLeft w:val="0"/>
                                                          <w:marRight w:val="0"/>
                                                          <w:marTop w:val="0"/>
                                                          <w:marBottom w:val="0"/>
                                                          <w:divBdr>
                                                            <w:top w:val="none" w:sz="0" w:space="0" w:color="auto"/>
                                                            <w:left w:val="none" w:sz="0" w:space="0" w:color="auto"/>
                                                            <w:bottom w:val="none" w:sz="0" w:space="0" w:color="auto"/>
                                                            <w:right w:val="none" w:sz="0" w:space="0" w:color="auto"/>
                                                          </w:divBdr>
                                                          <w:divsChild>
                                                            <w:div w:id="874584315">
                                                              <w:marLeft w:val="0"/>
                                                              <w:marRight w:val="0"/>
                                                              <w:marTop w:val="0"/>
                                                              <w:marBottom w:val="0"/>
                                                              <w:divBdr>
                                                                <w:top w:val="none" w:sz="0" w:space="0" w:color="auto"/>
                                                                <w:left w:val="none" w:sz="0" w:space="0" w:color="auto"/>
                                                                <w:bottom w:val="none" w:sz="0" w:space="0" w:color="auto"/>
                                                                <w:right w:val="none" w:sz="0" w:space="0" w:color="auto"/>
                                                              </w:divBdr>
                                                              <w:divsChild>
                                                                <w:div w:id="958418927">
                                                                  <w:marLeft w:val="0"/>
                                                                  <w:marRight w:val="0"/>
                                                                  <w:marTop w:val="0"/>
                                                                  <w:marBottom w:val="0"/>
                                                                  <w:divBdr>
                                                                    <w:top w:val="none" w:sz="0" w:space="0" w:color="auto"/>
                                                                    <w:left w:val="none" w:sz="0" w:space="0" w:color="auto"/>
                                                                    <w:bottom w:val="none" w:sz="0" w:space="0" w:color="auto"/>
                                                                    <w:right w:val="none" w:sz="0" w:space="0" w:color="auto"/>
                                                                  </w:divBdr>
                                                                  <w:divsChild>
                                                                    <w:div w:id="1668093024">
                                                                      <w:marLeft w:val="0"/>
                                                                      <w:marRight w:val="0"/>
                                                                      <w:marTop w:val="0"/>
                                                                      <w:marBottom w:val="0"/>
                                                                      <w:divBdr>
                                                                        <w:top w:val="none" w:sz="0" w:space="0" w:color="auto"/>
                                                                        <w:left w:val="none" w:sz="0" w:space="0" w:color="auto"/>
                                                                        <w:bottom w:val="none" w:sz="0" w:space="0" w:color="auto"/>
                                                                        <w:right w:val="none" w:sz="0" w:space="0" w:color="auto"/>
                                                                      </w:divBdr>
                                                                      <w:divsChild>
                                                                        <w:div w:id="241452426">
                                                                          <w:marLeft w:val="0"/>
                                                                          <w:marRight w:val="0"/>
                                                                          <w:marTop w:val="0"/>
                                                                          <w:marBottom w:val="0"/>
                                                                          <w:divBdr>
                                                                            <w:top w:val="none" w:sz="0" w:space="0" w:color="auto"/>
                                                                            <w:left w:val="none" w:sz="0" w:space="0" w:color="auto"/>
                                                                            <w:bottom w:val="none" w:sz="0" w:space="0" w:color="auto"/>
                                                                            <w:right w:val="none" w:sz="0" w:space="0" w:color="auto"/>
                                                                          </w:divBdr>
                                                                        </w:div>
                                                                        <w:div w:id="1677263388">
                                                                          <w:marLeft w:val="0"/>
                                                                          <w:marRight w:val="0"/>
                                                                          <w:marTop w:val="0"/>
                                                                          <w:marBottom w:val="0"/>
                                                                          <w:divBdr>
                                                                            <w:top w:val="none" w:sz="0" w:space="0" w:color="auto"/>
                                                                            <w:left w:val="none" w:sz="0" w:space="0" w:color="auto"/>
                                                                            <w:bottom w:val="none" w:sz="0" w:space="0" w:color="auto"/>
                                                                            <w:right w:val="none" w:sz="0" w:space="0" w:color="auto"/>
                                                                          </w:divBdr>
                                                                        </w:div>
                                                                        <w:div w:id="19153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70539">
                                                      <w:marLeft w:val="0"/>
                                                      <w:marRight w:val="0"/>
                                                      <w:marTop w:val="0"/>
                                                      <w:marBottom w:val="0"/>
                                                      <w:divBdr>
                                                        <w:top w:val="none" w:sz="0" w:space="0" w:color="auto"/>
                                                        <w:left w:val="none" w:sz="0" w:space="0" w:color="auto"/>
                                                        <w:bottom w:val="none" w:sz="0" w:space="0" w:color="auto"/>
                                                        <w:right w:val="none" w:sz="0" w:space="0" w:color="auto"/>
                                                      </w:divBdr>
                                                      <w:divsChild>
                                                        <w:div w:id="241913828">
                                                          <w:marLeft w:val="0"/>
                                                          <w:marRight w:val="0"/>
                                                          <w:marTop w:val="0"/>
                                                          <w:marBottom w:val="0"/>
                                                          <w:divBdr>
                                                            <w:top w:val="none" w:sz="0" w:space="0" w:color="auto"/>
                                                            <w:left w:val="none" w:sz="0" w:space="0" w:color="auto"/>
                                                            <w:bottom w:val="none" w:sz="0" w:space="0" w:color="auto"/>
                                                            <w:right w:val="none" w:sz="0" w:space="0" w:color="auto"/>
                                                          </w:divBdr>
                                                          <w:divsChild>
                                                            <w:div w:id="287780531">
                                                              <w:marLeft w:val="0"/>
                                                              <w:marRight w:val="0"/>
                                                              <w:marTop w:val="0"/>
                                                              <w:marBottom w:val="0"/>
                                                              <w:divBdr>
                                                                <w:top w:val="none" w:sz="0" w:space="0" w:color="auto"/>
                                                                <w:left w:val="none" w:sz="0" w:space="0" w:color="auto"/>
                                                                <w:bottom w:val="none" w:sz="0" w:space="0" w:color="auto"/>
                                                                <w:right w:val="none" w:sz="0" w:space="0" w:color="auto"/>
                                                              </w:divBdr>
                                                            </w:div>
                                                          </w:divsChild>
                                                        </w:div>
                                                        <w:div w:id="365251065">
                                                          <w:marLeft w:val="60"/>
                                                          <w:marRight w:val="15"/>
                                                          <w:marTop w:val="0"/>
                                                          <w:marBottom w:val="0"/>
                                                          <w:divBdr>
                                                            <w:top w:val="none" w:sz="0" w:space="0" w:color="auto"/>
                                                            <w:left w:val="none" w:sz="0" w:space="0" w:color="auto"/>
                                                            <w:bottom w:val="none" w:sz="0" w:space="0" w:color="auto"/>
                                                            <w:right w:val="none" w:sz="0" w:space="0" w:color="auto"/>
                                                          </w:divBdr>
                                                          <w:divsChild>
                                                            <w:div w:id="1354649329">
                                                              <w:marLeft w:val="0"/>
                                                              <w:marRight w:val="0"/>
                                                              <w:marTop w:val="0"/>
                                                              <w:marBottom w:val="0"/>
                                                              <w:divBdr>
                                                                <w:top w:val="none" w:sz="0" w:space="0" w:color="auto"/>
                                                                <w:left w:val="none" w:sz="0" w:space="0" w:color="auto"/>
                                                                <w:bottom w:val="none" w:sz="0" w:space="0" w:color="auto"/>
                                                                <w:right w:val="none" w:sz="0" w:space="0" w:color="auto"/>
                                                              </w:divBdr>
                                                              <w:divsChild>
                                                                <w:div w:id="5159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16184">
                                                          <w:marLeft w:val="0"/>
                                                          <w:marRight w:val="0"/>
                                                          <w:marTop w:val="0"/>
                                                          <w:marBottom w:val="0"/>
                                                          <w:divBdr>
                                                            <w:top w:val="none" w:sz="0" w:space="0" w:color="auto"/>
                                                            <w:left w:val="none" w:sz="0" w:space="0" w:color="auto"/>
                                                            <w:bottom w:val="none" w:sz="0" w:space="0" w:color="auto"/>
                                                            <w:right w:val="none" w:sz="0" w:space="0" w:color="auto"/>
                                                          </w:divBdr>
                                                        </w:div>
                                                      </w:divsChild>
                                                    </w:div>
                                                    <w:div w:id="1837649598">
                                                      <w:marLeft w:val="0"/>
                                                      <w:marRight w:val="0"/>
                                                      <w:marTop w:val="0"/>
                                                      <w:marBottom w:val="0"/>
                                                      <w:divBdr>
                                                        <w:top w:val="none" w:sz="0" w:space="0" w:color="auto"/>
                                                        <w:left w:val="none" w:sz="0" w:space="0" w:color="auto"/>
                                                        <w:bottom w:val="none" w:sz="0" w:space="0" w:color="auto"/>
                                                        <w:right w:val="none" w:sz="0" w:space="0" w:color="auto"/>
                                                      </w:divBdr>
                                                      <w:divsChild>
                                                        <w:div w:id="179709334">
                                                          <w:marLeft w:val="0"/>
                                                          <w:marRight w:val="0"/>
                                                          <w:marTop w:val="0"/>
                                                          <w:marBottom w:val="0"/>
                                                          <w:divBdr>
                                                            <w:top w:val="none" w:sz="0" w:space="0" w:color="auto"/>
                                                            <w:left w:val="none" w:sz="0" w:space="0" w:color="auto"/>
                                                            <w:bottom w:val="none" w:sz="0" w:space="0" w:color="auto"/>
                                                            <w:right w:val="none" w:sz="0" w:space="0" w:color="auto"/>
                                                          </w:divBdr>
                                                        </w:div>
                                                        <w:div w:id="299775508">
                                                          <w:marLeft w:val="0"/>
                                                          <w:marRight w:val="0"/>
                                                          <w:marTop w:val="0"/>
                                                          <w:marBottom w:val="0"/>
                                                          <w:divBdr>
                                                            <w:top w:val="none" w:sz="0" w:space="0" w:color="auto"/>
                                                            <w:left w:val="none" w:sz="0" w:space="0" w:color="auto"/>
                                                            <w:bottom w:val="none" w:sz="0" w:space="0" w:color="auto"/>
                                                            <w:right w:val="none" w:sz="0" w:space="0" w:color="auto"/>
                                                          </w:divBdr>
                                                          <w:divsChild>
                                                            <w:div w:id="3136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7402">
                                                      <w:marLeft w:val="0"/>
                                                      <w:marRight w:val="0"/>
                                                      <w:marTop w:val="0"/>
                                                      <w:marBottom w:val="0"/>
                                                      <w:divBdr>
                                                        <w:top w:val="none" w:sz="0" w:space="0" w:color="auto"/>
                                                        <w:left w:val="none" w:sz="0" w:space="0" w:color="auto"/>
                                                        <w:bottom w:val="none" w:sz="0" w:space="0" w:color="auto"/>
                                                        <w:right w:val="none" w:sz="0" w:space="0" w:color="auto"/>
                                                      </w:divBdr>
                                                      <w:divsChild>
                                                        <w:div w:id="89357360">
                                                          <w:marLeft w:val="0"/>
                                                          <w:marRight w:val="0"/>
                                                          <w:marTop w:val="0"/>
                                                          <w:marBottom w:val="0"/>
                                                          <w:divBdr>
                                                            <w:top w:val="none" w:sz="0" w:space="0" w:color="auto"/>
                                                            <w:left w:val="none" w:sz="0" w:space="0" w:color="auto"/>
                                                            <w:bottom w:val="none" w:sz="0" w:space="0" w:color="auto"/>
                                                            <w:right w:val="none" w:sz="0" w:space="0" w:color="auto"/>
                                                          </w:divBdr>
                                                        </w:div>
                                                        <w:div w:id="1921527249">
                                                          <w:marLeft w:val="0"/>
                                                          <w:marRight w:val="0"/>
                                                          <w:marTop w:val="0"/>
                                                          <w:marBottom w:val="0"/>
                                                          <w:divBdr>
                                                            <w:top w:val="none" w:sz="0" w:space="0" w:color="auto"/>
                                                            <w:left w:val="none" w:sz="0" w:space="0" w:color="auto"/>
                                                            <w:bottom w:val="none" w:sz="0" w:space="0" w:color="auto"/>
                                                            <w:right w:val="none" w:sz="0" w:space="0" w:color="auto"/>
                                                          </w:divBdr>
                                                          <w:divsChild>
                                                            <w:div w:id="9832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38499">
                                                      <w:marLeft w:val="0"/>
                                                      <w:marRight w:val="0"/>
                                                      <w:marTop w:val="0"/>
                                                      <w:marBottom w:val="0"/>
                                                      <w:divBdr>
                                                        <w:top w:val="none" w:sz="0" w:space="0" w:color="auto"/>
                                                        <w:left w:val="none" w:sz="0" w:space="0" w:color="auto"/>
                                                        <w:bottom w:val="none" w:sz="0" w:space="0" w:color="auto"/>
                                                        <w:right w:val="none" w:sz="0" w:space="0" w:color="auto"/>
                                                      </w:divBdr>
                                                      <w:divsChild>
                                                        <w:div w:id="430055410">
                                                          <w:marLeft w:val="0"/>
                                                          <w:marRight w:val="0"/>
                                                          <w:marTop w:val="0"/>
                                                          <w:marBottom w:val="0"/>
                                                          <w:divBdr>
                                                            <w:top w:val="none" w:sz="0" w:space="0" w:color="auto"/>
                                                            <w:left w:val="none" w:sz="0" w:space="0" w:color="auto"/>
                                                            <w:bottom w:val="none" w:sz="0" w:space="0" w:color="auto"/>
                                                            <w:right w:val="none" w:sz="0" w:space="0" w:color="auto"/>
                                                          </w:divBdr>
                                                          <w:divsChild>
                                                            <w:div w:id="761922537">
                                                              <w:marLeft w:val="0"/>
                                                              <w:marRight w:val="0"/>
                                                              <w:marTop w:val="0"/>
                                                              <w:marBottom w:val="0"/>
                                                              <w:divBdr>
                                                                <w:top w:val="none" w:sz="0" w:space="0" w:color="auto"/>
                                                                <w:left w:val="none" w:sz="0" w:space="0" w:color="auto"/>
                                                                <w:bottom w:val="none" w:sz="0" w:space="0" w:color="auto"/>
                                                                <w:right w:val="none" w:sz="0" w:space="0" w:color="auto"/>
                                                              </w:divBdr>
                                                            </w:div>
                                                          </w:divsChild>
                                                        </w:div>
                                                        <w:div w:id="2142649942">
                                                          <w:marLeft w:val="0"/>
                                                          <w:marRight w:val="0"/>
                                                          <w:marTop w:val="0"/>
                                                          <w:marBottom w:val="0"/>
                                                          <w:divBdr>
                                                            <w:top w:val="none" w:sz="0" w:space="0" w:color="auto"/>
                                                            <w:left w:val="none" w:sz="0" w:space="0" w:color="auto"/>
                                                            <w:bottom w:val="none" w:sz="0" w:space="0" w:color="auto"/>
                                                            <w:right w:val="none" w:sz="0" w:space="0" w:color="auto"/>
                                                          </w:divBdr>
                                                        </w:div>
                                                      </w:divsChild>
                                                    </w:div>
                                                    <w:div w:id="2018728890">
                                                      <w:marLeft w:val="0"/>
                                                      <w:marRight w:val="0"/>
                                                      <w:marTop w:val="0"/>
                                                      <w:marBottom w:val="0"/>
                                                      <w:divBdr>
                                                        <w:top w:val="none" w:sz="0" w:space="0" w:color="auto"/>
                                                        <w:left w:val="none" w:sz="0" w:space="0" w:color="auto"/>
                                                        <w:bottom w:val="none" w:sz="0" w:space="0" w:color="auto"/>
                                                        <w:right w:val="none" w:sz="0" w:space="0" w:color="auto"/>
                                                      </w:divBdr>
                                                      <w:divsChild>
                                                        <w:div w:id="49812117">
                                                          <w:marLeft w:val="0"/>
                                                          <w:marRight w:val="0"/>
                                                          <w:marTop w:val="0"/>
                                                          <w:marBottom w:val="0"/>
                                                          <w:divBdr>
                                                            <w:top w:val="none" w:sz="0" w:space="0" w:color="auto"/>
                                                            <w:left w:val="none" w:sz="0" w:space="0" w:color="auto"/>
                                                            <w:bottom w:val="none" w:sz="0" w:space="0" w:color="auto"/>
                                                            <w:right w:val="none" w:sz="0" w:space="0" w:color="auto"/>
                                                          </w:divBdr>
                                                        </w:div>
                                                      </w:divsChild>
                                                    </w:div>
                                                    <w:div w:id="2147235892">
                                                      <w:marLeft w:val="0"/>
                                                      <w:marRight w:val="0"/>
                                                      <w:marTop w:val="0"/>
                                                      <w:marBottom w:val="0"/>
                                                      <w:divBdr>
                                                        <w:top w:val="none" w:sz="0" w:space="0" w:color="auto"/>
                                                        <w:left w:val="none" w:sz="0" w:space="0" w:color="auto"/>
                                                        <w:bottom w:val="none" w:sz="0" w:space="0" w:color="auto"/>
                                                        <w:right w:val="none" w:sz="0" w:space="0" w:color="auto"/>
                                                      </w:divBdr>
                                                      <w:divsChild>
                                                        <w:div w:id="56982033">
                                                          <w:marLeft w:val="0"/>
                                                          <w:marRight w:val="0"/>
                                                          <w:marTop w:val="0"/>
                                                          <w:marBottom w:val="0"/>
                                                          <w:divBdr>
                                                            <w:top w:val="none" w:sz="0" w:space="0" w:color="auto"/>
                                                            <w:left w:val="none" w:sz="0" w:space="0" w:color="auto"/>
                                                            <w:bottom w:val="none" w:sz="0" w:space="0" w:color="auto"/>
                                                            <w:right w:val="none" w:sz="0" w:space="0" w:color="auto"/>
                                                          </w:divBdr>
                                                        </w:div>
                                                        <w:div w:id="656688012">
                                                          <w:marLeft w:val="0"/>
                                                          <w:marRight w:val="0"/>
                                                          <w:marTop w:val="0"/>
                                                          <w:marBottom w:val="0"/>
                                                          <w:divBdr>
                                                            <w:top w:val="none" w:sz="0" w:space="0" w:color="auto"/>
                                                            <w:left w:val="none" w:sz="0" w:space="0" w:color="auto"/>
                                                            <w:bottom w:val="none" w:sz="0" w:space="0" w:color="auto"/>
                                                            <w:right w:val="none" w:sz="0" w:space="0" w:color="auto"/>
                                                          </w:divBdr>
                                                          <w:divsChild>
                                                            <w:div w:id="17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0559130">
      <w:bodyDiv w:val="1"/>
      <w:marLeft w:val="0"/>
      <w:marRight w:val="0"/>
      <w:marTop w:val="0"/>
      <w:marBottom w:val="0"/>
      <w:divBdr>
        <w:top w:val="none" w:sz="0" w:space="0" w:color="auto"/>
        <w:left w:val="none" w:sz="0" w:space="0" w:color="auto"/>
        <w:bottom w:val="none" w:sz="0" w:space="0" w:color="auto"/>
        <w:right w:val="none" w:sz="0" w:space="0" w:color="auto"/>
      </w:divBdr>
    </w:div>
    <w:div w:id="1421295386">
      <w:bodyDiv w:val="1"/>
      <w:marLeft w:val="0"/>
      <w:marRight w:val="0"/>
      <w:marTop w:val="0"/>
      <w:marBottom w:val="0"/>
      <w:divBdr>
        <w:top w:val="none" w:sz="0" w:space="0" w:color="auto"/>
        <w:left w:val="none" w:sz="0" w:space="0" w:color="auto"/>
        <w:bottom w:val="none" w:sz="0" w:space="0" w:color="auto"/>
        <w:right w:val="none" w:sz="0" w:space="0" w:color="auto"/>
      </w:divBdr>
    </w:div>
    <w:div w:id="1423259874">
      <w:bodyDiv w:val="1"/>
      <w:marLeft w:val="0"/>
      <w:marRight w:val="0"/>
      <w:marTop w:val="0"/>
      <w:marBottom w:val="0"/>
      <w:divBdr>
        <w:top w:val="none" w:sz="0" w:space="0" w:color="auto"/>
        <w:left w:val="none" w:sz="0" w:space="0" w:color="auto"/>
        <w:bottom w:val="none" w:sz="0" w:space="0" w:color="auto"/>
        <w:right w:val="none" w:sz="0" w:space="0" w:color="auto"/>
      </w:divBdr>
    </w:div>
    <w:div w:id="1426919575">
      <w:bodyDiv w:val="1"/>
      <w:marLeft w:val="0"/>
      <w:marRight w:val="0"/>
      <w:marTop w:val="0"/>
      <w:marBottom w:val="0"/>
      <w:divBdr>
        <w:top w:val="none" w:sz="0" w:space="0" w:color="auto"/>
        <w:left w:val="none" w:sz="0" w:space="0" w:color="auto"/>
        <w:bottom w:val="none" w:sz="0" w:space="0" w:color="auto"/>
        <w:right w:val="none" w:sz="0" w:space="0" w:color="auto"/>
      </w:divBdr>
    </w:div>
    <w:div w:id="1434788119">
      <w:bodyDiv w:val="1"/>
      <w:marLeft w:val="0"/>
      <w:marRight w:val="0"/>
      <w:marTop w:val="0"/>
      <w:marBottom w:val="0"/>
      <w:divBdr>
        <w:top w:val="none" w:sz="0" w:space="0" w:color="auto"/>
        <w:left w:val="none" w:sz="0" w:space="0" w:color="auto"/>
        <w:bottom w:val="none" w:sz="0" w:space="0" w:color="auto"/>
        <w:right w:val="none" w:sz="0" w:space="0" w:color="auto"/>
      </w:divBdr>
    </w:div>
    <w:div w:id="1437092061">
      <w:bodyDiv w:val="1"/>
      <w:marLeft w:val="0"/>
      <w:marRight w:val="0"/>
      <w:marTop w:val="0"/>
      <w:marBottom w:val="0"/>
      <w:divBdr>
        <w:top w:val="none" w:sz="0" w:space="0" w:color="auto"/>
        <w:left w:val="none" w:sz="0" w:space="0" w:color="auto"/>
        <w:bottom w:val="none" w:sz="0" w:space="0" w:color="auto"/>
        <w:right w:val="none" w:sz="0" w:space="0" w:color="auto"/>
      </w:divBdr>
    </w:div>
    <w:div w:id="1438134185">
      <w:bodyDiv w:val="1"/>
      <w:marLeft w:val="0"/>
      <w:marRight w:val="0"/>
      <w:marTop w:val="0"/>
      <w:marBottom w:val="0"/>
      <w:divBdr>
        <w:top w:val="none" w:sz="0" w:space="0" w:color="auto"/>
        <w:left w:val="none" w:sz="0" w:space="0" w:color="auto"/>
        <w:bottom w:val="none" w:sz="0" w:space="0" w:color="auto"/>
        <w:right w:val="none" w:sz="0" w:space="0" w:color="auto"/>
      </w:divBdr>
    </w:div>
    <w:div w:id="1438868143">
      <w:bodyDiv w:val="1"/>
      <w:marLeft w:val="0"/>
      <w:marRight w:val="0"/>
      <w:marTop w:val="0"/>
      <w:marBottom w:val="0"/>
      <w:divBdr>
        <w:top w:val="none" w:sz="0" w:space="0" w:color="auto"/>
        <w:left w:val="none" w:sz="0" w:space="0" w:color="auto"/>
        <w:bottom w:val="none" w:sz="0" w:space="0" w:color="auto"/>
        <w:right w:val="none" w:sz="0" w:space="0" w:color="auto"/>
      </w:divBdr>
    </w:div>
    <w:div w:id="1439716987">
      <w:bodyDiv w:val="1"/>
      <w:marLeft w:val="0"/>
      <w:marRight w:val="0"/>
      <w:marTop w:val="0"/>
      <w:marBottom w:val="0"/>
      <w:divBdr>
        <w:top w:val="none" w:sz="0" w:space="0" w:color="auto"/>
        <w:left w:val="none" w:sz="0" w:space="0" w:color="auto"/>
        <w:bottom w:val="none" w:sz="0" w:space="0" w:color="auto"/>
        <w:right w:val="none" w:sz="0" w:space="0" w:color="auto"/>
      </w:divBdr>
    </w:div>
    <w:div w:id="1448550420">
      <w:bodyDiv w:val="1"/>
      <w:marLeft w:val="0"/>
      <w:marRight w:val="0"/>
      <w:marTop w:val="0"/>
      <w:marBottom w:val="0"/>
      <w:divBdr>
        <w:top w:val="none" w:sz="0" w:space="0" w:color="auto"/>
        <w:left w:val="none" w:sz="0" w:space="0" w:color="auto"/>
        <w:bottom w:val="none" w:sz="0" w:space="0" w:color="auto"/>
        <w:right w:val="none" w:sz="0" w:space="0" w:color="auto"/>
      </w:divBdr>
    </w:div>
    <w:div w:id="1456752920">
      <w:bodyDiv w:val="1"/>
      <w:marLeft w:val="0"/>
      <w:marRight w:val="0"/>
      <w:marTop w:val="0"/>
      <w:marBottom w:val="0"/>
      <w:divBdr>
        <w:top w:val="none" w:sz="0" w:space="0" w:color="auto"/>
        <w:left w:val="none" w:sz="0" w:space="0" w:color="auto"/>
        <w:bottom w:val="none" w:sz="0" w:space="0" w:color="auto"/>
        <w:right w:val="none" w:sz="0" w:space="0" w:color="auto"/>
      </w:divBdr>
    </w:div>
    <w:div w:id="1457143186">
      <w:bodyDiv w:val="1"/>
      <w:marLeft w:val="0"/>
      <w:marRight w:val="0"/>
      <w:marTop w:val="0"/>
      <w:marBottom w:val="0"/>
      <w:divBdr>
        <w:top w:val="none" w:sz="0" w:space="0" w:color="auto"/>
        <w:left w:val="none" w:sz="0" w:space="0" w:color="auto"/>
        <w:bottom w:val="none" w:sz="0" w:space="0" w:color="auto"/>
        <w:right w:val="none" w:sz="0" w:space="0" w:color="auto"/>
      </w:divBdr>
    </w:div>
    <w:div w:id="1459684740">
      <w:bodyDiv w:val="1"/>
      <w:marLeft w:val="0"/>
      <w:marRight w:val="0"/>
      <w:marTop w:val="0"/>
      <w:marBottom w:val="0"/>
      <w:divBdr>
        <w:top w:val="none" w:sz="0" w:space="0" w:color="auto"/>
        <w:left w:val="none" w:sz="0" w:space="0" w:color="auto"/>
        <w:bottom w:val="none" w:sz="0" w:space="0" w:color="auto"/>
        <w:right w:val="none" w:sz="0" w:space="0" w:color="auto"/>
      </w:divBdr>
    </w:div>
    <w:div w:id="1460369358">
      <w:bodyDiv w:val="1"/>
      <w:marLeft w:val="0"/>
      <w:marRight w:val="0"/>
      <w:marTop w:val="0"/>
      <w:marBottom w:val="0"/>
      <w:divBdr>
        <w:top w:val="none" w:sz="0" w:space="0" w:color="auto"/>
        <w:left w:val="none" w:sz="0" w:space="0" w:color="auto"/>
        <w:bottom w:val="none" w:sz="0" w:space="0" w:color="auto"/>
        <w:right w:val="none" w:sz="0" w:space="0" w:color="auto"/>
      </w:divBdr>
    </w:div>
    <w:div w:id="1460609518">
      <w:bodyDiv w:val="1"/>
      <w:marLeft w:val="0"/>
      <w:marRight w:val="0"/>
      <w:marTop w:val="0"/>
      <w:marBottom w:val="0"/>
      <w:divBdr>
        <w:top w:val="none" w:sz="0" w:space="0" w:color="auto"/>
        <w:left w:val="none" w:sz="0" w:space="0" w:color="auto"/>
        <w:bottom w:val="none" w:sz="0" w:space="0" w:color="auto"/>
        <w:right w:val="none" w:sz="0" w:space="0" w:color="auto"/>
      </w:divBdr>
    </w:div>
    <w:div w:id="1460880186">
      <w:bodyDiv w:val="1"/>
      <w:marLeft w:val="0"/>
      <w:marRight w:val="0"/>
      <w:marTop w:val="0"/>
      <w:marBottom w:val="0"/>
      <w:divBdr>
        <w:top w:val="none" w:sz="0" w:space="0" w:color="auto"/>
        <w:left w:val="none" w:sz="0" w:space="0" w:color="auto"/>
        <w:bottom w:val="none" w:sz="0" w:space="0" w:color="auto"/>
        <w:right w:val="none" w:sz="0" w:space="0" w:color="auto"/>
      </w:divBdr>
    </w:div>
    <w:div w:id="1461071642">
      <w:bodyDiv w:val="1"/>
      <w:marLeft w:val="0"/>
      <w:marRight w:val="0"/>
      <w:marTop w:val="0"/>
      <w:marBottom w:val="0"/>
      <w:divBdr>
        <w:top w:val="none" w:sz="0" w:space="0" w:color="auto"/>
        <w:left w:val="none" w:sz="0" w:space="0" w:color="auto"/>
        <w:bottom w:val="none" w:sz="0" w:space="0" w:color="auto"/>
        <w:right w:val="none" w:sz="0" w:space="0" w:color="auto"/>
      </w:divBdr>
    </w:div>
    <w:div w:id="1484078507">
      <w:bodyDiv w:val="1"/>
      <w:marLeft w:val="0"/>
      <w:marRight w:val="0"/>
      <w:marTop w:val="0"/>
      <w:marBottom w:val="0"/>
      <w:divBdr>
        <w:top w:val="none" w:sz="0" w:space="0" w:color="auto"/>
        <w:left w:val="none" w:sz="0" w:space="0" w:color="auto"/>
        <w:bottom w:val="none" w:sz="0" w:space="0" w:color="auto"/>
        <w:right w:val="none" w:sz="0" w:space="0" w:color="auto"/>
      </w:divBdr>
    </w:div>
    <w:div w:id="1484812822">
      <w:bodyDiv w:val="1"/>
      <w:marLeft w:val="0"/>
      <w:marRight w:val="0"/>
      <w:marTop w:val="0"/>
      <w:marBottom w:val="0"/>
      <w:divBdr>
        <w:top w:val="none" w:sz="0" w:space="0" w:color="auto"/>
        <w:left w:val="none" w:sz="0" w:space="0" w:color="auto"/>
        <w:bottom w:val="none" w:sz="0" w:space="0" w:color="auto"/>
        <w:right w:val="none" w:sz="0" w:space="0" w:color="auto"/>
      </w:divBdr>
    </w:div>
    <w:div w:id="1486780433">
      <w:bodyDiv w:val="1"/>
      <w:marLeft w:val="0"/>
      <w:marRight w:val="0"/>
      <w:marTop w:val="0"/>
      <w:marBottom w:val="0"/>
      <w:divBdr>
        <w:top w:val="none" w:sz="0" w:space="0" w:color="auto"/>
        <w:left w:val="none" w:sz="0" w:space="0" w:color="auto"/>
        <w:bottom w:val="none" w:sz="0" w:space="0" w:color="auto"/>
        <w:right w:val="none" w:sz="0" w:space="0" w:color="auto"/>
      </w:divBdr>
    </w:div>
    <w:div w:id="1487241185">
      <w:bodyDiv w:val="1"/>
      <w:marLeft w:val="0"/>
      <w:marRight w:val="0"/>
      <w:marTop w:val="0"/>
      <w:marBottom w:val="0"/>
      <w:divBdr>
        <w:top w:val="none" w:sz="0" w:space="0" w:color="auto"/>
        <w:left w:val="none" w:sz="0" w:space="0" w:color="auto"/>
        <w:bottom w:val="none" w:sz="0" w:space="0" w:color="auto"/>
        <w:right w:val="none" w:sz="0" w:space="0" w:color="auto"/>
      </w:divBdr>
    </w:div>
    <w:div w:id="1488011582">
      <w:bodyDiv w:val="1"/>
      <w:marLeft w:val="0"/>
      <w:marRight w:val="0"/>
      <w:marTop w:val="0"/>
      <w:marBottom w:val="0"/>
      <w:divBdr>
        <w:top w:val="none" w:sz="0" w:space="0" w:color="auto"/>
        <w:left w:val="none" w:sz="0" w:space="0" w:color="auto"/>
        <w:bottom w:val="none" w:sz="0" w:space="0" w:color="auto"/>
        <w:right w:val="none" w:sz="0" w:space="0" w:color="auto"/>
      </w:divBdr>
    </w:div>
    <w:div w:id="1488092265">
      <w:bodyDiv w:val="1"/>
      <w:marLeft w:val="0"/>
      <w:marRight w:val="0"/>
      <w:marTop w:val="0"/>
      <w:marBottom w:val="0"/>
      <w:divBdr>
        <w:top w:val="none" w:sz="0" w:space="0" w:color="auto"/>
        <w:left w:val="none" w:sz="0" w:space="0" w:color="auto"/>
        <w:bottom w:val="none" w:sz="0" w:space="0" w:color="auto"/>
        <w:right w:val="none" w:sz="0" w:space="0" w:color="auto"/>
      </w:divBdr>
    </w:div>
    <w:div w:id="1497574950">
      <w:bodyDiv w:val="1"/>
      <w:marLeft w:val="0"/>
      <w:marRight w:val="0"/>
      <w:marTop w:val="0"/>
      <w:marBottom w:val="0"/>
      <w:divBdr>
        <w:top w:val="none" w:sz="0" w:space="0" w:color="auto"/>
        <w:left w:val="none" w:sz="0" w:space="0" w:color="auto"/>
        <w:bottom w:val="none" w:sz="0" w:space="0" w:color="auto"/>
        <w:right w:val="none" w:sz="0" w:space="0" w:color="auto"/>
      </w:divBdr>
    </w:div>
    <w:div w:id="1500927814">
      <w:bodyDiv w:val="1"/>
      <w:marLeft w:val="0"/>
      <w:marRight w:val="0"/>
      <w:marTop w:val="0"/>
      <w:marBottom w:val="0"/>
      <w:divBdr>
        <w:top w:val="none" w:sz="0" w:space="0" w:color="auto"/>
        <w:left w:val="none" w:sz="0" w:space="0" w:color="auto"/>
        <w:bottom w:val="none" w:sz="0" w:space="0" w:color="auto"/>
        <w:right w:val="none" w:sz="0" w:space="0" w:color="auto"/>
      </w:divBdr>
    </w:div>
    <w:div w:id="1504316144">
      <w:bodyDiv w:val="1"/>
      <w:marLeft w:val="0"/>
      <w:marRight w:val="0"/>
      <w:marTop w:val="0"/>
      <w:marBottom w:val="0"/>
      <w:divBdr>
        <w:top w:val="none" w:sz="0" w:space="0" w:color="auto"/>
        <w:left w:val="none" w:sz="0" w:space="0" w:color="auto"/>
        <w:bottom w:val="none" w:sz="0" w:space="0" w:color="auto"/>
        <w:right w:val="none" w:sz="0" w:space="0" w:color="auto"/>
      </w:divBdr>
    </w:div>
    <w:div w:id="1511799741">
      <w:bodyDiv w:val="1"/>
      <w:marLeft w:val="0"/>
      <w:marRight w:val="0"/>
      <w:marTop w:val="0"/>
      <w:marBottom w:val="0"/>
      <w:divBdr>
        <w:top w:val="none" w:sz="0" w:space="0" w:color="auto"/>
        <w:left w:val="none" w:sz="0" w:space="0" w:color="auto"/>
        <w:bottom w:val="none" w:sz="0" w:space="0" w:color="auto"/>
        <w:right w:val="none" w:sz="0" w:space="0" w:color="auto"/>
      </w:divBdr>
    </w:div>
    <w:div w:id="1515877726">
      <w:bodyDiv w:val="1"/>
      <w:marLeft w:val="0"/>
      <w:marRight w:val="0"/>
      <w:marTop w:val="0"/>
      <w:marBottom w:val="0"/>
      <w:divBdr>
        <w:top w:val="none" w:sz="0" w:space="0" w:color="auto"/>
        <w:left w:val="none" w:sz="0" w:space="0" w:color="auto"/>
        <w:bottom w:val="none" w:sz="0" w:space="0" w:color="auto"/>
        <w:right w:val="none" w:sz="0" w:space="0" w:color="auto"/>
      </w:divBdr>
    </w:div>
    <w:div w:id="1518305126">
      <w:bodyDiv w:val="1"/>
      <w:marLeft w:val="0"/>
      <w:marRight w:val="0"/>
      <w:marTop w:val="0"/>
      <w:marBottom w:val="0"/>
      <w:divBdr>
        <w:top w:val="none" w:sz="0" w:space="0" w:color="auto"/>
        <w:left w:val="none" w:sz="0" w:space="0" w:color="auto"/>
        <w:bottom w:val="none" w:sz="0" w:space="0" w:color="auto"/>
        <w:right w:val="none" w:sz="0" w:space="0" w:color="auto"/>
      </w:divBdr>
    </w:div>
    <w:div w:id="1520198426">
      <w:bodyDiv w:val="1"/>
      <w:marLeft w:val="0"/>
      <w:marRight w:val="0"/>
      <w:marTop w:val="0"/>
      <w:marBottom w:val="0"/>
      <w:divBdr>
        <w:top w:val="none" w:sz="0" w:space="0" w:color="auto"/>
        <w:left w:val="none" w:sz="0" w:space="0" w:color="auto"/>
        <w:bottom w:val="none" w:sz="0" w:space="0" w:color="auto"/>
        <w:right w:val="none" w:sz="0" w:space="0" w:color="auto"/>
      </w:divBdr>
    </w:div>
    <w:div w:id="1520581295">
      <w:bodyDiv w:val="1"/>
      <w:marLeft w:val="0"/>
      <w:marRight w:val="0"/>
      <w:marTop w:val="0"/>
      <w:marBottom w:val="0"/>
      <w:divBdr>
        <w:top w:val="none" w:sz="0" w:space="0" w:color="auto"/>
        <w:left w:val="none" w:sz="0" w:space="0" w:color="auto"/>
        <w:bottom w:val="none" w:sz="0" w:space="0" w:color="auto"/>
        <w:right w:val="none" w:sz="0" w:space="0" w:color="auto"/>
      </w:divBdr>
    </w:div>
    <w:div w:id="1532569149">
      <w:bodyDiv w:val="1"/>
      <w:marLeft w:val="0"/>
      <w:marRight w:val="0"/>
      <w:marTop w:val="0"/>
      <w:marBottom w:val="0"/>
      <w:divBdr>
        <w:top w:val="none" w:sz="0" w:space="0" w:color="auto"/>
        <w:left w:val="none" w:sz="0" w:space="0" w:color="auto"/>
        <w:bottom w:val="none" w:sz="0" w:space="0" w:color="auto"/>
        <w:right w:val="none" w:sz="0" w:space="0" w:color="auto"/>
      </w:divBdr>
    </w:div>
    <w:div w:id="1544558002">
      <w:bodyDiv w:val="1"/>
      <w:marLeft w:val="0"/>
      <w:marRight w:val="0"/>
      <w:marTop w:val="0"/>
      <w:marBottom w:val="0"/>
      <w:divBdr>
        <w:top w:val="none" w:sz="0" w:space="0" w:color="auto"/>
        <w:left w:val="none" w:sz="0" w:space="0" w:color="auto"/>
        <w:bottom w:val="none" w:sz="0" w:space="0" w:color="auto"/>
        <w:right w:val="none" w:sz="0" w:space="0" w:color="auto"/>
      </w:divBdr>
    </w:div>
    <w:div w:id="1554080617">
      <w:bodyDiv w:val="1"/>
      <w:marLeft w:val="0"/>
      <w:marRight w:val="0"/>
      <w:marTop w:val="0"/>
      <w:marBottom w:val="0"/>
      <w:divBdr>
        <w:top w:val="none" w:sz="0" w:space="0" w:color="auto"/>
        <w:left w:val="none" w:sz="0" w:space="0" w:color="auto"/>
        <w:bottom w:val="none" w:sz="0" w:space="0" w:color="auto"/>
        <w:right w:val="none" w:sz="0" w:space="0" w:color="auto"/>
      </w:divBdr>
    </w:div>
    <w:div w:id="1555893960">
      <w:bodyDiv w:val="1"/>
      <w:marLeft w:val="0"/>
      <w:marRight w:val="0"/>
      <w:marTop w:val="0"/>
      <w:marBottom w:val="0"/>
      <w:divBdr>
        <w:top w:val="none" w:sz="0" w:space="0" w:color="auto"/>
        <w:left w:val="none" w:sz="0" w:space="0" w:color="auto"/>
        <w:bottom w:val="none" w:sz="0" w:space="0" w:color="auto"/>
        <w:right w:val="none" w:sz="0" w:space="0" w:color="auto"/>
      </w:divBdr>
    </w:div>
    <w:div w:id="1557207752">
      <w:bodyDiv w:val="1"/>
      <w:marLeft w:val="0"/>
      <w:marRight w:val="0"/>
      <w:marTop w:val="0"/>
      <w:marBottom w:val="0"/>
      <w:divBdr>
        <w:top w:val="none" w:sz="0" w:space="0" w:color="auto"/>
        <w:left w:val="none" w:sz="0" w:space="0" w:color="auto"/>
        <w:bottom w:val="none" w:sz="0" w:space="0" w:color="auto"/>
        <w:right w:val="none" w:sz="0" w:space="0" w:color="auto"/>
      </w:divBdr>
    </w:div>
    <w:div w:id="1559126913">
      <w:bodyDiv w:val="1"/>
      <w:marLeft w:val="0"/>
      <w:marRight w:val="0"/>
      <w:marTop w:val="0"/>
      <w:marBottom w:val="0"/>
      <w:divBdr>
        <w:top w:val="none" w:sz="0" w:space="0" w:color="auto"/>
        <w:left w:val="none" w:sz="0" w:space="0" w:color="auto"/>
        <w:bottom w:val="none" w:sz="0" w:space="0" w:color="auto"/>
        <w:right w:val="none" w:sz="0" w:space="0" w:color="auto"/>
      </w:divBdr>
    </w:div>
    <w:div w:id="1560556781">
      <w:bodyDiv w:val="1"/>
      <w:marLeft w:val="0"/>
      <w:marRight w:val="0"/>
      <w:marTop w:val="0"/>
      <w:marBottom w:val="0"/>
      <w:divBdr>
        <w:top w:val="none" w:sz="0" w:space="0" w:color="auto"/>
        <w:left w:val="none" w:sz="0" w:space="0" w:color="auto"/>
        <w:bottom w:val="none" w:sz="0" w:space="0" w:color="auto"/>
        <w:right w:val="none" w:sz="0" w:space="0" w:color="auto"/>
      </w:divBdr>
    </w:div>
    <w:div w:id="1563254388">
      <w:bodyDiv w:val="1"/>
      <w:marLeft w:val="0"/>
      <w:marRight w:val="0"/>
      <w:marTop w:val="0"/>
      <w:marBottom w:val="0"/>
      <w:divBdr>
        <w:top w:val="none" w:sz="0" w:space="0" w:color="auto"/>
        <w:left w:val="none" w:sz="0" w:space="0" w:color="auto"/>
        <w:bottom w:val="none" w:sz="0" w:space="0" w:color="auto"/>
        <w:right w:val="none" w:sz="0" w:space="0" w:color="auto"/>
      </w:divBdr>
    </w:div>
    <w:div w:id="1567522348">
      <w:bodyDiv w:val="1"/>
      <w:marLeft w:val="0"/>
      <w:marRight w:val="0"/>
      <w:marTop w:val="0"/>
      <w:marBottom w:val="0"/>
      <w:divBdr>
        <w:top w:val="none" w:sz="0" w:space="0" w:color="auto"/>
        <w:left w:val="none" w:sz="0" w:space="0" w:color="auto"/>
        <w:bottom w:val="none" w:sz="0" w:space="0" w:color="auto"/>
        <w:right w:val="none" w:sz="0" w:space="0" w:color="auto"/>
      </w:divBdr>
    </w:div>
    <w:div w:id="1571038948">
      <w:bodyDiv w:val="1"/>
      <w:marLeft w:val="0"/>
      <w:marRight w:val="0"/>
      <w:marTop w:val="0"/>
      <w:marBottom w:val="0"/>
      <w:divBdr>
        <w:top w:val="none" w:sz="0" w:space="0" w:color="auto"/>
        <w:left w:val="none" w:sz="0" w:space="0" w:color="auto"/>
        <w:bottom w:val="none" w:sz="0" w:space="0" w:color="auto"/>
        <w:right w:val="none" w:sz="0" w:space="0" w:color="auto"/>
      </w:divBdr>
    </w:div>
    <w:div w:id="1571765941">
      <w:bodyDiv w:val="1"/>
      <w:marLeft w:val="0"/>
      <w:marRight w:val="0"/>
      <w:marTop w:val="0"/>
      <w:marBottom w:val="0"/>
      <w:divBdr>
        <w:top w:val="none" w:sz="0" w:space="0" w:color="auto"/>
        <w:left w:val="none" w:sz="0" w:space="0" w:color="auto"/>
        <w:bottom w:val="none" w:sz="0" w:space="0" w:color="auto"/>
        <w:right w:val="none" w:sz="0" w:space="0" w:color="auto"/>
      </w:divBdr>
    </w:div>
    <w:div w:id="1574972376">
      <w:bodyDiv w:val="1"/>
      <w:marLeft w:val="0"/>
      <w:marRight w:val="0"/>
      <w:marTop w:val="0"/>
      <w:marBottom w:val="0"/>
      <w:divBdr>
        <w:top w:val="none" w:sz="0" w:space="0" w:color="auto"/>
        <w:left w:val="none" w:sz="0" w:space="0" w:color="auto"/>
        <w:bottom w:val="none" w:sz="0" w:space="0" w:color="auto"/>
        <w:right w:val="none" w:sz="0" w:space="0" w:color="auto"/>
      </w:divBdr>
    </w:div>
    <w:div w:id="1589732518">
      <w:bodyDiv w:val="1"/>
      <w:marLeft w:val="0"/>
      <w:marRight w:val="0"/>
      <w:marTop w:val="0"/>
      <w:marBottom w:val="0"/>
      <w:divBdr>
        <w:top w:val="none" w:sz="0" w:space="0" w:color="auto"/>
        <w:left w:val="none" w:sz="0" w:space="0" w:color="auto"/>
        <w:bottom w:val="none" w:sz="0" w:space="0" w:color="auto"/>
        <w:right w:val="none" w:sz="0" w:space="0" w:color="auto"/>
      </w:divBdr>
    </w:div>
    <w:div w:id="1592469331">
      <w:bodyDiv w:val="1"/>
      <w:marLeft w:val="0"/>
      <w:marRight w:val="0"/>
      <w:marTop w:val="0"/>
      <w:marBottom w:val="0"/>
      <w:divBdr>
        <w:top w:val="none" w:sz="0" w:space="0" w:color="auto"/>
        <w:left w:val="none" w:sz="0" w:space="0" w:color="auto"/>
        <w:bottom w:val="none" w:sz="0" w:space="0" w:color="auto"/>
        <w:right w:val="none" w:sz="0" w:space="0" w:color="auto"/>
      </w:divBdr>
    </w:div>
    <w:div w:id="1594901309">
      <w:bodyDiv w:val="1"/>
      <w:marLeft w:val="0"/>
      <w:marRight w:val="0"/>
      <w:marTop w:val="0"/>
      <w:marBottom w:val="0"/>
      <w:divBdr>
        <w:top w:val="none" w:sz="0" w:space="0" w:color="auto"/>
        <w:left w:val="none" w:sz="0" w:space="0" w:color="auto"/>
        <w:bottom w:val="none" w:sz="0" w:space="0" w:color="auto"/>
        <w:right w:val="none" w:sz="0" w:space="0" w:color="auto"/>
      </w:divBdr>
    </w:div>
    <w:div w:id="1595436408">
      <w:bodyDiv w:val="1"/>
      <w:marLeft w:val="0"/>
      <w:marRight w:val="0"/>
      <w:marTop w:val="0"/>
      <w:marBottom w:val="0"/>
      <w:divBdr>
        <w:top w:val="none" w:sz="0" w:space="0" w:color="auto"/>
        <w:left w:val="none" w:sz="0" w:space="0" w:color="auto"/>
        <w:bottom w:val="none" w:sz="0" w:space="0" w:color="auto"/>
        <w:right w:val="none" w:sz="0" w:space="0" w:color="auto"/>
      </w:divBdr>
    </w:div>
    <w:div w:id="1596091404">
      <w:bodyDiv w:val="1"/>
      <w:marLeft w:val="0"/>
      <w:marRight w:val="0"/>
      <w:marTop w:val="0"/>
      <w:marBottom w:val="0"/>
      <w:divBdr>
        <w:top w:val="none" w:sz="0" w:space="0" w:color="auto"/>
        <w:left w:val="none" w:sz="0" w:space="0" w:color="auto"/>
        <w:bottom w:val="none" w:sz="0" w:space="0" w:color="auto"/>
        <w:right w:val="none" w:sz="0" w:space="0" w:color="auto"/>
      </w:divBdr>
    </w:div>
    <w:div w:id="1603033794">
      <w:bodyDiv w:val="1"/>
      <w:marLeft w:val="0"/>
      <w:marRight w:val="0"/>
      <w:marTop w:val="0"/>
      <w:marBottom w:val="0"/>
      <w:divBdr>
        <w:top w:val="none" w:sz="0" w:space="0" w:color="auto"/>
        <w:left w:val="none" w:sz="0" w:space="0" w:color="auto"/>
        <w:bottom w:val="none" w:sz="0" w:space="0" w:color="auto"/>
        <w:right w:val="none" w:sz="0" w:space="0" w:color="auto"/>
      </w:divBdr>
    </w:div>
    <w:div w:id="1604067653">
      <w:bodyDiv w:val="1"/>
      <w:marLeft w:val="0"/>
      <w:marRight w:val="0"/>
      <w:marTop w:val="0"/>
      <w:marBottom w:val="0"/>
      <w:divBdr>
        <w:top w:val="none" w:sz="0" w:space="0" w:color="auto"/>
        <w:left w:val="none" w:sz="0" w:space="0" w:color="auto"/>
        <w:bottom w:val="none" w:sz="0" w:space="0" w:color="auto"/>
        <w:right w:val="none" w:sz="0" w:space="0" w:color="auto"/>
      </w:divBdr>
    </w:div>
    <w:div w:id="1608390007">
      <w:bodyDiv w:val="1"/>
      <w:marLeft w:val="0"/>
      <w:marRight w:val="0"/>
      <w:marTop w:val="0"/>
      <w:marBottom w:val="0"/>
      <w:divBdr>
        <w:top w:val="none" w:sz="0" w:space="0" w:color="auto"/>
        <w:left w:val="none" w:sz="0" w:space="0" w:color="auto"/>
        <w:bottom w:val="none" w:sz="0" w:space="0" w:color="auto"/>
        <w:right w:val="none" w:sz="0" w:space="0" w:color="auto"/>
      </w:divBdr>
    </w:div>
    <w:div w:id="1609046335">
      <w:bodyDiv w:val="1"/>
      <w:marLeft w:val="0"/>
      <w:marRight w:val="0"/>
      <w:marTop w:val="0"/>
      <w:marBottom w:val="0"/>
      <w:divBdr>
        <w:top w:val="none" w:sz="0" w:space="0" w:color="auto"/>
        <w:left w:val="none" w:sz="0" w:space="0" w:color="auto"/>
        <w:bottom w:val="none" w:sz="0" w:space="0" w:color="auto"/>
        <w:right w:val="none" w:sz="0" w:space="0" w:color="auto"/>
      </w:divBdr>
    </w:div>
    <w:div w:id="1612200140">
      <w:bodyDiv w:val="1"/>
      <w:marLeft w:val="0"/>
      <w:marRight w:val="0"/>
      <w:marTop w:val="0"/>
      <w:marBottom w:val="0"/>
      <w:divBdr>
        <w:top w:val="none" w:sz="0" w:space="0" w:color="auto"/>
        <w:left w:val="none" w:sz="0" w:space="0" w:color="auto"/>
        <w:bottom w:val="none" w:sz="0" w:space="0" w:color="auto"/>
        <w:right w:val="none" w:sz="0" w:space="0" w:color="auto"/>
      </w:divBdr>
    </w:div>
    <w:div w:id="1612669281">
      <w:bodyDiv w:val="1"/>
      <w:marLeft w:val="0"/>
      <w:marRight w:val="0"/>
      <w:marTop w:val="0"/>
      <w:marBottom w:val="0"/>
      <w:divBdr>
        <w:top w:val="none" w:sz="0" w:space="0" w:color="auto"/>
        <w:left w:val="none" w:sz="0" w:space="0" w:color="auto"/>
        <w:bottom w:val="none" w:sz="0" w:space="0" w:color="auto"/>
        <w:right w:val="none" w:sz="0" w:space="0" w:color="auto"/>
      </w:divBdr>
    </w:div>
    <w:div w:id="1613174041">
      <w:bodyDiv w:val="1"/>
      <w:marLeft w:val="0"/>
      <w:marRight w:val="0"/>
      <w:marTop w:val="0"/>
      <w:marBottom w:val="0"/>
      <w:divBdr>
        <w:top w:val="none" w:sz="0" w:space="0" w:color="auto"/>
        <w:left w:val="none" w:sz="0" w:space="0" w:color="auto"/>
        <w:bottom w:val="none" w:sz="0" w:space="0" w:color="auto"/>
        <w:right w:val="none" w:sz="0" w:space="0" w:color="auto"/>
      </w:divBdr>
    </w:div>
    <w:div w:id="1616326300">
      <w:bodyDiv w:val="1"/>
      <w:marLeft w:val="0"/>
      <w:marRight w:val="0"/>
      <w:marTop w:val="0"/>
      <w:marBottom w:val="0"/>
      <w:divBdr>
        <w:top w:val="none" w:sz="0" w:space="0" w:color="auto"/>
        <w:left w:val="none" w:sz="0" w:space="0" w:color="auto"/>
        <w:bottom w:val="none" w:sz="0" w:space="0" w:color="auto"/>
        <w:right w:val="none" w:sz="0" w:space="0" w:color="auto"/>
      </w:divBdr>
    </w:div>
    <w:div w:id="1623223193">
      <w:bodyDiv w:val="1"/>
      <w:marLeft w:val="0"/>
      <w:marRight w:val="0"/>
      <w:marTop w:val="0"/>
      <w:marBottom w:val="0"/>
      <w:divBdr>
        <w:top w:val="none" w:sz="0" w:space="0" w:color="auto"/>
        <w:left w:val="none" w:sz="0" w:space="0" w:color="auto"/>
        <w:bottom w:val="none" w:sz="0" w:space="0" w:color="auto"/>
        <w:right w:val="none" w:sz="0" w:space="0" w:color="auto"/>
      </w:divBdr>
    </w:div>
    <w:div w:id="1624385752">
      <w:bodyDiv w:val="1"/>
      <w:marLeft w:val="0"/>
      <w:marRight w:val="0"/>
      <w:marTop w:val="0"/>
      <w:marBottom w:val="0"/>
      <w:divBdr>
        <w:top w:val="none" w:sz="0" w:space="0" w:color="auto"/>
        <w:left w:val="none" w:sz="0" w:space="0" w:color="auto"/>
        <w:bottom w:val="none" w:sz="0" w:space="0" w:color="auto"/>
        <w:right w:val="none" w:sz="0" w:space="0" w:color="auto"/>
      </w:divBdr>
    </w:div>
    <w:div w:id="1627539130">
      <w:bodyDiv w:val="1"/>
      <w:marLeft w:val="0"/>
      <w:marRight w:val="0"/>
      <w:marTop w:val="0"/>
      <w:marBottom w:val="0"/>
      <w:divBdr>
        <w:top w:val="none" w:sz="0" w:space="0" w:color="auto"/>
        <w:left w:val="none" w:sz="0" w:space="0" w:color="auto"/>
        <w:bottom w:val="none" w:sz="0" w:space="0" w:color="auto"/>
        <w:right w:val="none" w:sz="0" w:space="0" w:color="auto"/>
      </w:divBdr>
    </w:div>
    <w:div w:id="1629781366">
      <w:bodyDiv w:val="1"/>
      <w:marLeft w:val="0"/>
      <w:marRight w:val="0"/>
      <w:marTop w:val="0"/>
      <w:marBottom w:val="0"/>
      <w:divBdr>
        <w:top w:val="none" w:sz="0" w:space="0" w:color="auto"/>
        <w:left w:val="none" w:sz="0" w:space="0" w:color="auto"/>
        <w:bottom w:val="none" w:sz="0" w:space="0" w:color="auto"/>
        <w:right w:val="none" w:sz="0" w:space="0" w:color="auto"/>
      </w:divBdr>
    </w:div>
    <w:div w:id="1634021972">
      <w:bodyDiv w:val="1"/>
      <w:marLeft w:val="0"/>
      <w:marRight w:val="0"/>
      <w:marTop w:val="0"/>
      <w:marBottom w:val="0"/>
      <w:divBdr>
        <w:top w:val="none" w:sz="0" w:space="0" w:color="auto"/>
        <w:left w:val="none" w:sz="0" w:space="0" w:color="auto"/>
        <w:bottom w:val="none" w:sz="0" w:space="0" w:color="auto"/>
        <w:right w:val="none" w:sz="0" w:space="0" w:color="auto"/>
      </w:divBdr>
    </w:div>
    <w:div w:id="1660378343">
      <w:bodyDiv w:val="1"/>
      <w:marLeft w:val="0"/>
      <w:marRight w:val="0"/>
      <w:marTop w:val="0"/>
      <w:marBottom w:val="0"/>
      <w:divBdr>
        <w:top w:val="none" w:sz="0" w:space="0" w:color="auto"/>
        <w:left w:val="none" w:sz="0" w:space="0" w:color="auto"/>
        <w:bottom w:val="none" w:sz="0" w:space="0" w:color="auto"/>
        <w:right w:val="none" w:sz="0" w:space="0" w:color="auto"/>
      </w:divBdr>
    </w:div>
    <w:div w:id="1662847763">
      <w:bodyDiv w:val="1"/>
      <w:marLeft w:val="0"/>
      <w:marRight w:val="0"/>
      <w:marTop w:val="0"/>
      <w:marBottom w:val="0"/>
      <w:divBdr>
        <w:top w:val="none" w:sz="0" w:space="0" w:color="auto"/>
        <w:left w:val="none" w:sz="0" w:space="0" w:color="auto"/>
        <w:bottom w:val="none" w:sz="0" w:space="0" w:color="auto"/>
        <w:right w:val="none" w:sz="0" w:space="0" w:color="auto"/>
      </w:divBdr>
    </w:div>
    <w:div w:id="1671328724">
      <w:bodyDiv w:val="1"/>
      <w:marLeft w:val="0"/>
      <w:marRight w:val="0"/>
      <w:marTop w:val="0"/>
      <w:marBottom w:val="0"/>
      <w:divBdr>
        <w:top w:val="none" w:sz="0" w:space="0" w:color="auto"/>
        <w:left w:val="none" w:sz="0" w:space="0" w:color="auto"/>
        <w:bottom w:val="none" w:sz="0" w:space="0" w:color="auto"/>
        <w:right w:val="none" w:sz="0" w:space="0" w:color="auto"/>
      </w:divBdr>
    </w:div>
    <w:div w:id="1675187083">
      <w:bodyDiv w:val="1"/>
      <w:marLeft w:val="0"/>
      <w:marRight w:val="0"/>
      <w:marTop w:val="0"/>
      <w:marBottom w:val="0"/>
      <w:divBdr>
        <w:top w:val="none" w:sz="0" w:space="0" w:color="auto"/>
        <w:left w:val="none" w:sz="0" w:space="0" w:color="auto"/>
        <w:bottom w:val="none" w:sz="0" w:space="0" w:color="auto"/>
        <w:right w:val="none" w:sz="0" w:space="0" w:color="auto"/>
      </w:divBdr>
    </w:div>
    <w:div w:id="1681079424">
      <w:bodyDiv w:val="1"/>
      <w:marLeft w:val="0"/>
      <w:marRight w:val="0"/>
      <w:marTop w:val="0"/>
      <w:marBottom w:val="0"/>
      <w:divBdr>
        <w:top w:val="none" w:sz="0" w:space="0" w:color="auto"/>
        <w:left w:val="none" w:sz="0" w:space="0" w:color="auto"/>
        <w:bottom w:val="none" w:sz="0" w:space="0" w:color="auto"/>
        <w:right w:val="none" w:sz="0" w:space="0" w:color="auto"/>
      </w:divBdr>
    </w:div>
    <w:div w:id="1703047109">
      <w:bodyDiv w:val="1"/>
      <w:marLeft w:val="0"/>
      <w:marRight w:val="0"/>
      <w:marTop w:val="0"/>
      <w:marBottom w:val="0"/>
      <w:divBdr>
        <w:top w:val="none" w:sz="0" w:space="0" w:color="auto"/>
        <w:left w:val="none" w:sz="0" w:space="0" w:color="auto"/>
        <w:bottom w:val="none" w:sz="0" w:space="0" w:color="auto"/>
        <w:right w:val="none" w:sz="0" w:space="0" w:color="auto"/>
      </w:divBdr>
    </w:div>
    <w:div w:id="1703087699">
      <w:bodyDiv w:val="1"/>
      <w:marLeft w:val="0"/>
      <w:marRight w:val="0"/>
      <w:marTop w:val="0"/>
      <w:marBottom w:val="0"/>
      <w:divBdr>
        <w:top w:val="none" w:sz="0" w:space="0" w:color="auto"/>
        <w:left w:val="none" w:sz="0" w:space="0" w:color="auto"/>
        <w:bottom w:val="none" w:sz="0" w:space="0" w:color="auto"/>
        <w:right w:val="none" w:sz="0" w:space="0" w:color="auto"/>
      </w:divBdr>
    </w:div>
    <w:div w:id="1704095553">
      <w:bodyDiv w:val="1"/>
      <w:marLeft w:val="0"/>
      <w:marRight w:val="0"/>
      <w:marTop w:val="0"/>
      <w:marBottom w:val="0"/>
      <w:divBdr>
        <w:top w:val="none" w:sz="0" w:space="0" w:color="auto"/>
        <w:left w:val="none" w:sz="0" w:space="0" w:color="auto"/>
        <w:bottom w:val="none" w:sz="0" w:space="0" w:color="auto"/>
        <w:right w:val="none" w:sz="0" w:space="0" w:color="auto"/>
      </w:divBdr>
    </w:div>
    <w:div w:id="1717655306">
      <w:bodyDiv w:val="1"/>
      <w:marLeft w:val="0"/>
      <w:marRight w:val="0"/>
      <w:marTop w:val="0"/>
      <w:marBottom w:val="0"/>
      <w:divBdr>
        <w:top w:val="none" w:sz="0" w:space="0" w:color="auto"/>
        <w:left w:val="none" w:sz="0" w:space="0" w:color="auto"/>
        <w:bottom w:val="none" w:sz="0" w:space="0" w:color="auto"/>
        <w:right w:val="none" w:sz="0" w:space="0" w:color="auto"/>
      </w:divBdr>
    </w:div>
    <w:div w:id="1718427877">
      <w:bodyDiv w:val="1"/>
      <w:marLeft w:val="0"/>
      <w:marRight w:val="0"/>
      <w:marTop w:val="0"/>
      <w:marBottom w:val="0"/>
      <w:divBdr>
        <w:top w:val="none" w:sz="0" w:space="0" w:color="auto"/>
        <w:left w:val="none" w:sz="0" w:space="0" w:color="auto"/>
        <w:bottom w:val="none" w:sz="0" w:space="0" w:color="auto"/>
        <w:right w:val="none" w:sz="0" w:space="0" w:color="auto"/>
      </w:divBdr>
    </w:div>
    <w:div w:id="1721243436">
      <w:bodyDiv w:val="1"/>
      <w:marLeft w:val="0"/>
      <w:marRight w:val="0"/>
      <w:marTop w:val="0"/>
      <w:marBottom w:val="0"/>
      <w:divBdr>
        <w:top w:val="none" w:sz="0" w:space="0" w:color="auto"/>
        <w:left w:val="none" w:sz="0" w:space="0" w:color="auto"/>
        <w:bottom w:val="none" w:sz="0" w:space="0" w:color="auto"/>
        <w:right w:val="none" w:sz="0" w:space="0" w:color="auto"/>
      </w:divBdr>
    </w:div>
    <w:div w:id="1724284201">
      <w:bodyDiv w:val="1"/>
      <w:marLeft w:val="0"/>
      <w:marRight w:val="0"/>
      <w:marTop w:val="0"/>
      <w:marBottom w:val="0"/>
      <w:divBdr>
        <w:top w:val="none" w:sz="0" w:space="0" w:color="auto"/>
        <w:left w:val="none" w:sz="0" w:space="0" w:color="auto"/>
        <w:bottom w:val="none" w:sz="0" w:space="0" w:color="auto"/>
        <w:right w:val="none" w:sz="0" w:space="0" w:color="auto"/>
      </w:divBdr>
    </w:div>
    <w:div w:id="1725525040">
      <w:bodyDiv w:val="1"/>
      <w:marLeft w:val="0"/>
      <w:marRight w:val="0"/>
      <w:marTop w:val="0"/>
      <w:marBottom w:val="0"/>
      <w:divBdr>
        <w:top w:val="none" w:sz="0" w:space="0" w:color="auto"/>
        <w:left w:val="none" w:sz="0" w:space="0" w:color="auto"/>
        <w:bottom w:val="none" w:sz="0" w:space="0" w:color="auto"/>
        <w:right w:val="none" w:sz="0" w:space="0" w:color="auto"/>
      </w:divBdr>
    </w:div>
    <w:div w:id="1730834693">
      <w:bodyDiv w:val="1"/>
      <w:marLeft w:val="0"/>
      <w:marRight w:val="0"/>
      <w:marTop w:val="0"/>
      <w:marBottom w:val="0"/>
      <w:divBdr>
        <w:top w:val="none" w:sz="0" w:space="0" w:color="auto"/>
        <w:left w:val="none" w:sz="0" w:space="0" w:color="auto"/>
        <w:bottom w:val="none" w:sz="0" w:space="0" w:color="auto"/>
        <w:right w:val="none" w:sz="0" w:space="0" w:color="auto"/>
      </w:divBdr>
    </w:div>
    <w:div w:id="1736388576">
      <w:bodyDiv w:val="1"/>
      <w:marLeft w:val="0"/>
      <w:marRight w:val="0"/>
      <w:marTop w:val="0"/>
      <w:marBottom w:val="0"/>
      <w:divBdr>
        <w:top w:val="none" w:sz="0" w:space="0" w:color="auto"/>
        <w:left w:val="none" w:sz="0" w:space="0" w:color="auto"/>
        <w:bottom w:val="none" w:sz="0" w:space="0" w:color="auto"/>
        <w:right w:val="none" w:sz="0" w:space="0" w:color="auto"/>
      </w:divBdr>
    </w:div>
    <w:div w:id="1738479756">
      <w:bodyDiv w:val="1"/>
      <w:marLeft w:val="0"/>
      <w:marRight w:val="0"/>
      <w:marTop w:val="0"/>
      <w:marBottom w:val="0"/>
      <w:divBdr>
        <w:top w:val="none" w:sz="0" w:space="0" w:color="auto"/>
        <w:left w:val="none" w:sz="0" w:space="0" w:color="auto"/>
        <w:bottom w:val="none" w:sz="0" w:space="0" w:color="auto"/>
        <w:right w:val="none" w:sz="0" w:space="0" w:color="auto"/>
      </w:divBdr>
    </w:div>
    <w:div w:id="1738629693">
      <w:bodyDiv w:val="1"/>
      <w:marLeft w:val="0"/>
      <w:marRight w:val="0"/>
      <w:marTop w:val="0"/>
      <w:marBottom w:val="0"/>
      <w:divBdr>
        <w:top w:val="none" w:sz="0" w:space="0" w:color="auto"/>
        <w:left w:val="none" w:sz="0" w:space="0" w:color="auto"/>
        <w:bottom w:val="none" w:sz="0" w:space="0" w:color="auto"/>
        <w:right w:val="none" w:sz="0" w:space="0" w:color="auto"/>
      </w:divBdr>
    </w:div>
    <w:div w:id="1746993675">
      <w:bodyDiv w:val="1"/>
      <w:marLeft w:val="0"/>
      <w:marRight w:val="0"/>
      <w:marTop w:val="0"/>
      <w:marBottom w:val="0"/>
      <w:divBdr>
        <w:top w:val="none" w:sz="0" w:space="0" w:color="auto"/>
        <w:left w:val="none" w:sz="0" w:space="0" w:color="auto"/>
        <w:bottom w:val="none" w:sz="0" w:space="0" w:color="auto"/>
        <w:right w:val="none" w:sz="0" w:space="0" w:color="auto"/>
      </w:divBdr>
    </w:div>
    <w:div w:id="1750810438">
      <w:bodyDiv w:val="1"/>
      <w:marLeft w:val="0"/>
      <w:marRight w:val="0"/>
      <w:marTop w:val="0"/>
      <w:marBottom w:val="0"/>
      <w:divBdr>
        <w:top w:val="none" w:sz="0" w:space="0" w:color="auto"/>
        <w:left w:val="none" w:sz="0" w:space="0" w:color="auto"/>
        <w:bottom w:val="none" w:sz="0" w:space="0" w:color="auto"/>
        <w:right w:val="none" w:sz="0" w:space="0" w:color="auto"/>
      </w:divBdr>
    </w:div>
    <w:div w:id="1752039917">
      <w:bodyDiv w:val="1"/>
      <w:marLeft w:val="0"/>
      <w:marRight w:val="0"/>
      <w:marTop w:val="0"/>
      <w:marBottom w:val="0"/>
      <w:divBdr>
        <w:top w:val="none" w:sz="0" w:space="0" w:color="auto"/>
        <w:left w:val="none" w:sz="0" w:space="0" w:color="auto"/>
        <w:bottom w:val="none" w:sz="0" w:space="0" w:color="auto"/>
        <w:right w:val="none" w:sz="0" w:space="0" w:color="auto"/>
      </w:divBdr>
    </w:div>
    <w:div w:id="1755861717">
      <w:bodyDiv w:val="1"/>
      <w:marLeft w:val="0"/>
      <w:marRight w:val="0"/>
      <w:marTop w:val="0"/>
      <w:marBottom w:val="0"/>
      <w:divBdr>
        <w:top w:val="none" w:sz="0" w:space="0" w:color="auto"/>
        <w:left w:val="none" w:sz="0" w:space="0" w:color="auto"/>
        <w:bottom w:val="none" w:sz="0" w:space="0" w:color="auto"/>
        <w:right w:val="none" w:sz="0" w:space="0" w:color="auto"/>
      </w:divBdr>
    </w:div>
    <w:div w:id="1761100440">
      <w:bodyDiv w:val="1"/>
      <w:marLeft w:val="0"/>
      <w:marRight w:val="0"/>
      <w:marTop w:val="0"/>
      <w:marBottom w:val="0"/>
      <w:divBdr>
        <w:top w:val="none" w:sz="0" w:space="0" w:color="auto"/>
        <w:left w:val="none" w:sz="0" w:space="0" w:color="auto"/>
        <w:bottom w:val="none" w:sz="0" w:space="0" w:color="auto"/>
        <w:right w:val="none" w:sz="0" w:space="0" w:color="auto"/>
      </w:divBdr>
    </w:div>
    <w:div w:id="1764717783">
      <w:bodyDiv w:val="1"/>
      <w:marLeft w:val="0"/>
      <w:marRight w:val="0"/>
      <w:marTop w:val="0"/>
      <w:marBottom w:val="0"/>
      <w:divBdr>
        <w:top w:val="none" w:sz="0" w:space="0" w:color="auto"/>
        <w:left w:val="none" w:sz="0" w:space="0" w:color="auto"/>
        <w:bottom w:val="none" w:sz="0" w:space="0" w:color="auto"/>
        <w:right w:val="none" w:sz="0" w:space="0" w:color="auto"/>
      </w:divBdr>
    </w:div>
    <w:div w:id="1766196008">
      <w:bodyDiv w:val="1"/>
      <w:marLeft w:val="0"/>
      <w:marRight w:val="0"/>
      <w:marTop w:val="0"/>
      <w:marBottom w:val="0"/>
      <w:divBdr>
        <w:top w:val="none" w:sz="0" w:space="0" w:color="auto"/>
        <w:left w:val="none" w:sz="0" w:space="0" w:color="auto"/>
        <w:bottom w:val="none" w:sz="0" w:space="0" w:color="auto"/>
        <w:right w:val="none" w:sz="0" w:space="0" w:color="auto"/>
      </w:divBdr>
    </w:div>
    <w:div w:id="1770422086">
      <w:bodyDiv w:val="1"/>
      <w:marLeft w:val="0"/>
      <w:marRight w:val="0"/>
      <w:marTop w:val="0"/>
      <w:marBottom w:val="0"/>
      <w:divBdr>
        <w:top w:val="none" w:sz="0" w:space="0" w:color="auto"/>
        <w:left w:val="none" w:sz="0" w:space="0" w:color="auto"/>
        <w:bottom w:val="none" w:sz="0" w:space="0" w:color="auto"/>
        <w:right w:val="none" w:sz="0" w:space="0" w:color="auto"/>
      </w:divBdr>
    </w:div>
    <w:div w:id="1771243264">
      <w:bodyDiv w:val="1"/>
      <w:marLeft w:val="0"/>
      <w:marRight w:val="0"/>
      <w:marTop w:val="0"/>
      <w:marBottom w:val="0"/>
      <w:divBdr>
        <w:top w:val="none" w:sz="0" w:space="0" w:color="auto"/>
        <w:left w:val="none" w:sz="0" w:space="0" w:color="auto"/>
        <w:bottom w:val="none" w:sz="0" w:space="0" w:color="auto"/>
        <w:right w:val="none" w:sz="0" w:space="0" w:color="auto"/>
      </w:divBdr>
    </w:div>
    <w:div w:id="1771393835">
      <w:bodyDiv w:val="1"/>
      <w:marLeft w:val="0"/>
      <w:marRight w:val="0"/>
      <w:marTop w:val="0"/>
      <w:marBottom w:val="0"/>
      <w:divBdr>
        <w:top w:val="none" w:sz="0" w:space="0" w:color="auto"/>
        <w:left w:val="none" w:sz="0" w:space="0" w:color="auto"/>
        <w:bottom w:val="none" w:sz="0" w:space="0" w:color="auto"/>
        <w:right w:val="none" w:sz="0" w:space="0" w:color="auto"/>
      </w:divBdr>
    </w:div>
    <w:div w:id="1771852270">
      <w:bodyDiv w:val="1"/>
      <w:marLeft w:val="0"/>
      <w:marRight w:val="0"/>
      <w:marTop w:val="0"/>
      <w:marBottom w:val="0"/>
      <w:divBdr>
        <w:top w:val="none" w:sz="0" w:space="0" w:color="auto"/>
        <w:left w:val="none" w:sz="0" w:space="0" w:color="auto"/>
        <w:bottom w:val="none" w:sz="0" w:space="0" w:color="auto"/>
        <w:right w:val="none" w:sz="0" w:space="0" w:color="auto"/>
      </w:divBdr>
    </w:div>
    <w:div w:id="1784690934">
      <w:bodyDiv w:val="1"/>
      <w:marLeft w:val="0"/>
      <w:marRight w:val="0"/>
      <w:marTop w:val="0"/>
      <w:marBottom w:val="0"/>
      <w:divBdr>
        <w:top w:val="none" w:sz="0" w:space="0" w:color="auto"/>
        <w:left w:val="none" w:sz="0" w:space="0" w:color="auto"/>
        <w:bottom w:val="none" w:sz="0" w:space="0" w:color="auto"/>
        <w:right w:val="none" w:sz="0" w:space="0" w:color="auto"/>
      </w:divBdr>
    </w:div>
    <w:div w:id="1787773037">
      <w:bodyDiv w:val="1"/>
      <w:marLeft w:val="0"/>
      <w:marRight w:val="0"/>
      <w:marTop w:val="0"/>
      <w:marBottom w:val="0"/>
      <w:divBdr>
        <w:top w:val="none" w:sz="0" w:space="0" w:color="auto"/>
        <w:left w:val="none" w:sz="0" w:space="0" w:color="auto"/>
        <w:bottom w:val="none" w:sz="0" w:space="0" w:color="auto"/>
        <w:right w:val="none" w:sz="0" w:space="0" w:color="auto"/>
      </w:divBdr>
    </w:div>
    <w:div w:id="1790198849">
      <w:bodyDiv w:val="1"/>
      <w:marLeft w:val="0"/>
      <w:marRight w:val="0"/>
      <w:marTop w:val="0"/>
      <w:marBottom w:val="0"/>
      <w:divBdr>
        <w:top w:val="none" w:sz="0" w:space="0" w:color="auto"/>
        <w:left w:val="none" w:sz="0" w:space="0" w:color="auto"/>
        <w:bottom w:val="none" w:sz="0" w:space="0" w:color="auto"/>
        <w:right w:val="none" w:sz="0" w:space="0" w:color="auto"/>
      </w:divBdr>
    </w:div>
    <w:div w:id="1794402837">
      <w:bodyDiv w:val="1"/>
      <w:marLeft w:val="0"/>
      <w:marRight w:val="0"/>
      <w:marTop w:val="0"/>
      <w:marBottom w:val="0"/>
      <w:divBdr>
        <w:top w:val="none" w:sz="0" w:space="0" w:color="auto"/>
        <w:left w:val="none" w:sz="0" w:space="0" w:color="auto"/>
        <w:bottom w:val="none" w:sz="0" w:space="0" w:color="auto"/>
        <w:right w:val="none" w:sz="0" w:space="0" w:color="auto"/>
      </w:divBdr>
    </w:div>
    <w:div w:id="1795253260">
      <w:bodyDiv w:val="1"/>
      <w:marLeft w:val="0"/>
      <w:marRight w:val="0"/>
      <w:marTop w:val="0"/>
      <w:marBottom w:val="0"/>
      <w:divBdr>
        <w:top w:val="none" w:sz="0" w:space="0" w:color="auto"/>
        <w:left w:val="none" w:sz="0" w:space="0" w:color="auto"/>
        <w:bottom w:val="none" w:sz="0" w:space="0" w:color="auto"/>
        <w:right w:val="none" w:sz="0" w:space="0" w:color="auto"/>
      </w:divBdr>
      <w:divsChild>
        <w:div w:id="408503181">
          <w:marLeft w:val="634"/>
          <w:marRight w:val="0"/>
          <w:marTop w:val="170"/>
          <w:marBottom w:val="0"/>
          <w:divBdr>
            <w:top w:val="none" w:sz="0" w:space="0" w:color="auto"/>
            <w:left w:val="none" w:sz="0" w:space="0" w:color="auto"/>
            <w:bottom w:val="none" w:sz="0" w:space="0" w:color="auto"/>
            <w:right w:val="none" w:sz="0" w:space="0" w:color="auto"/>
          </w:divBdr>
        </w:div>
        <w:div w:id="1830710008">
          <w:marLeft w:val="634"/>
          <w:marRight w:val="0"/>
          <w:marTop w:val="170"/>
          <w:marBottom w:val="0"/>
          <w:divBdr>
            <w:top w:val="none" w:sz="0" w:space="0" w:color="auto"/>
            <w:left w:val="none" w:sz="0" w:space="0" w:color="auto"/>
            <w:bottom w:val="none" w:sz="0" w:space="0" w:color="auto"/>
            <w:right w:val="none" w:sz="0" w:space="0" w:color="auto"/>
          </w:divBdr>
        </w:div>
        <w:div w:id="725957724">
          <w:marLeft w:val="634"/>
          <w:marRight w:val="0"/>
          <w:marTop w:val="170"/>
          <w:marBottom w:val="0"/>
          <w:divBdr>
            <w:top w:val="none" w:sz="0" w:space="0" w:color="auto"/>
            <w:left w:val="none" w:sz="0" w:space="0" w:color="auto"/>
            <w:bottom w:val="none" w:sz="0" w:space="0" w:color="auto"/>
            <w:right w:val="none" w:sz="0" w:space="0" w:color="auto"/>
          </w:divBdr>
        </w:div>
        <w:div w:id="961348178">
          <w:marLeft w:val="634"/>
          <w:marRight w:val="0"/>
          <w:marTop w:val="170"/>
          <w:marBottom w:val="0"/>
          <w:divBdr>
            <w:top w:val="none" w:sz="0" w:space="0" w:color="auto"/>
            <w:left w:val="none" w:sz="0" w:space="0" w:color="auto"/>
            <w:bottom w:val="none" w:sz="0" w:space="0" w:color="auto"/>
            <w:right w:val="none" w:sz="0" w:space="0" w:color="auto"/>
          </w:divBdr>
        </w:div>
        <w:div w:id="1079711461">
          <w:marLeft w:val="634"/>
          <w:marRight w:val="0"/>
          <w:marTop w:val="170"/>
          <w:marBottom w:val="0"/>
          <w:divBdr>
            <w:top w:val="none" w:sz="0" w:space="0" w:color="auto"/>
            <w:left w:val="none" w:sz="0" w:space="0" w:color="auto"/>
            <w:bottom w:val="none" w:sz="0" w:space="0" w:color="auto"/>
            <w:right w:val="none" w:sz="0" w:space="0" w:color="auto"/>
          </w:divBdr>
        </w:div>
      </w:divsChild>
    </w:div>
    <w:div w:id="1795825436">
      <w:bodyDiv w:val="1"/>
      <w:marLeft w:val="0"/>
      <w:marRight w:val="0"/>
      <w:marTop w:val="0"/>
      <w:marBottom w:val="0"/>
      <w:divBdr>
        <w:top w:val="none" w:sz="0" w:space="0" w:color="auto"/>
        <w:left w:val="none" w:sz="0" w:space="0" w:color="auto"/>
        <w:bottom w:val="none" w:sz="0" w:space="0" w:color="auto"/>
        <w:right w:val="none" w:sz="0" w:space="0" w:color="auto"/>
      </w:divBdr>
    </w:div>
    <w:div w:id="1798987433">
      <w:bodyDiv w:val="1"/>
      <w:marLeft w:val="0"/>
      <w:marRight w:val="0"/>
      <w:marTop w:val="0"/>
      <w:marBottom w:val="0"/>
      <w:divBdr>
        <w:top w:val="none" w:sz="0" w:space="0" w:color="auto"/>
        <w:left w:val="none" w:sz="0" w:space="0" w:color="auto"/>
        <w:bottom w:val="none" w:sz="0" w:space="0" w:color="auto"/>
        <w:right w:val="none" w:sz="0" w:space="0" w:color="auto"/>
      </w:divBdr>
    </w:div>
    <w:div w:id="1800762998">
      <w:bodyDiv w:val="1"/>
      <w:marLeft w:val="0"/>
      <w:marRight w:val="0"/>
      <w:marTop w:val="0"/>
      <w:marBottom w:val="0"/>
      <w:divBdr>
        <w:top w:val="none" w:sz="0" w:space="0" w:color="auto"/>
        <w:left w:val="none" w:sz="0" w:space="0" w:color="auto"/>
        <w:bottom w:val="none" w:sz="0" w:space="0" w:color="auto"/>
        <w:right w:val="none" w:sz="0" w:space="0" w:color="auto"/>
      </w:divBdr>
    </w:div>
    <w:div w:id="1801920103">
      <w:bodyDiv w:val="1"/>
      <w:marLeft w:val="0"/>
      <w:marRight w:val="0"/>
      <w:marTop w:val="0"/>
      <w:marBottom w:val="0"/>
      <w:divBdr>
        <w:top w:val="none" w:sz="0" w:space="0" w:color="auto"/>
        <w:left w:val="none" w:sz="0" w:space="0" w:color="auto"/>
        <w:bottom w:val="none" w:sz="0" w:space="0" w:color="auto"/>
        <w:right w:val="none" w:sz="0" w:space="0" w:color="auto"/>
      </w:divBdr>
    </w:div>
    <w:div w:id="1802796154">
      <w:bodyDiv w:val="1"/>
      <w:marLeft w:val="0"/>
      <w:marRight w:val="0"/>
      <w:marTop w:val="0"/>
      <w:marBottom w:val="0"/>
      <w:divBdr>
        <w:top w:val="none" w:sz="0" w:space="0" w:color="auto"/>
        <w:left w:val="none" w:sz="0" w:space="0" w:color="auto"/>
        <w:bottom w:val="none" w:sz="0" w:space="0" w:color="auto"/>
        <w:right w:val="none" w:sz="0" w:space="0" w:color="auto"/>
      </w:divBdr>
    </w:div>
    <w:div w:id="1809711187">
      <w:bodyDiv w:val="1"/>
      <w:marLeft w:val="0"/>
      <w:marRight w:val="0"/>
      <w:marTop w:val="0"/>
      <w:marBottom w:val="0"/>
      <w:divBdr>
        <w:top w:val="none" w:sz="0" w:space="0" w:color="auto"/>
        <w:left w:val="none" w:sz="0" w:space="0" w:color="auto"/>
        <w:bottom w:val="none" w:sz="0" w:space="0" w:color="auto"/>
        <w:right w:val="none" w:sz="0" w:space="0" w:color="auto"/>
      </w:divBdr>
    </w:div>
    <w:div w:id="1810971731">
      <w:bodyDiv w:val="1"/>
      <w:marLeft w:val="0"/>
      <w:marRight w:val="0"/>
      <w:marTop w:val="0"/>
      <w:marBottom w:val="0"/>
      <w:divBdr>
        <w:top w:val="none" w:sz="0" w:space="0" w:color="auto"/>
        <w:left w:val="none" w:sz="0" w:space="0" w:color="auto"/>
        <w:bottom w:val="none" w:sz="0" w:space="0" w:color="auto"/>
        <w:right w:val="none" w:sz="0" w:space="0" w:color="auto"/>
      </w:divBdr>
    </w:div>
    <w:div w:id="1815486569">
      <w:bodyDiv w:val="1"/>
      <w:marLeft w:val="0"/>
      <w:marRight w:val="0"/>
      <w:marTop w:val="0"/>
      <w:marBottom w:val="0"/>
      <w:divBdr>
        <w:top w:val="none" w:sz="0" w:space="0" w:color="auto"/>
        <w:left w:val="none" w:sz="0" w:space="0" w:color="auto"/>
        <w:bottom w:val="none" w:sz="0" w:space="0" w:color="auto"/>
        <w:right w:val="none" w:sz="0" w:space="0" w:color="auto"/>
      </w:divBdr>
    </w:div>
    <w:div w:id="1820221880">
      <w:bodyDiv w:val="1"/>
      <w:marLeft w:val="0"/>
      <w:marRight w:val="0"/>
      <w:marTop w:val="0"/>
      <w:marBottom w:val="0"/>
      <w:divBdr>
        <w:top w:val="none" w:sz="0" w:space="0" w:color="auto"/>
        <w:left w:val="none" w:sz="0" w:space="0" w:color="auto"/>
        <w:bottom w:val="none" w:sz="0" w:space="0" w:color="auto"/>
        <w:right w:val="none" w:sz="0" w:space="0" w:color="auto"/>
      </w:divBdr>
    </w:div>
    <w:div w:id="1822690865">
      <w:bodyDiv w:val="1"/>
      <w:marLeft w:val="0"/>
      <w:marRight w:val="0"/>
      <w:marTop w:val="0"/>
      <w:marBottom w:val="0"/>
      <w:divBdr>
        <w:top w:val="none" w:sz="0" w:space="0" w:color="auto"/>
        <w:left w:val="none" w:sz="0" w:space="0" w:color="auto"/>
        <w:bottom w:val="none" w:sz="0" w:space="0" w:color="auto"/>
        <w:right w:val="none" w:sz="0" w:space="0" w:color="auto"/>
      </w:divBdr>
    </w:div>
    <w:div w:id="1829322298">
      <w:bodyDiv w:val="1"/>
      <w:marLeft w:val="0"/>
      <w:marRight w:val="0"/>
      <w:marTop w:val="0"/>
      <w:marBottom w:val="0"/>
      <w:divBdr>
        <w:top w:val="none" w:sz="0" w:space="0" w:color="auto"/>
        <w:left w:val="none" w:sz="0" w:space="0" w:color="auto"/>
        <w:bottom w:val="none" w:sz="0" w:space="0" w:color="auto"/>
        <w:right w:val="none" w:sz="0" w:space="0" w:color="auto"/>
      </w:divBdr>
    </w:div>
    <w:div w:id="1832939931">
      <w:bodyDiv w:val="1"/>
      <w:marLeft w:val="0"/>
      <w:marRight w:val="0"/>
      <w:marTop w:val="0"/>
      <w:marBottom w:val="0"/>
      <w:divBdr>
        <w:top w:val="none" w:sz="0" w:space="0" w:color="auto"/>
        <w:left w:val="none" w:sz="0" w:space="0" w:color="auto"/>
        <w:bottom w:val="none" w:sz="0" w:space="0" w:color="auto"/>
        <w:right w:val="none" w:sz="0" w:space="0" w:color="auto"/>
      </w:divBdr>
    </w:div>
    <w:div w:id="1841192978">
      <w:bodyDiv w:val="1"/>
      <w:marLeft w:val="0"/>
      <w:marRight w:val="0"/>
      <w:marTop w:val="0"/>
      <w:marBottom w:val="0"/>
      <w:divBdr>
        <w:top w:val="none" w:sz="0" w:space="0" w:color="auto"/>
        <w:left w:val="none" w:sz="0" w:space="0" w:color="auto"/>
        <w:bottom w:val="none" w:sz="0" w:space="0" w:color="auto"/>
        <w:right w:val="none" w:sz="0" w:space="0" w:color="auto"/>
      </w:divBdr>
    </w:div>
    <w:div w:id="1843081738">
      <w:bodyDiv w:val="1"/>
      <w:marLeft w:val="0"/>
      <w:marRight w:val="0"/>
      <w:marTop w:val="0"/>
      <w:marBottom w:val="0"/>
      <w:divBdr>
        <w:top w:val="none" w:sz="0" w:space="0" w:color="auto"/>
        <w:left w:val="none" w:sz="0" w:space="0" w:color="auto"/>
        <w:bottom w:val="none" w:sz="0" w:space="0" w:color="auto"/>
        <w:right w:val="none" w:sz="0" w:space="0" w:color="auto"/>
      </w:divBdr>
    </w:div>
    <w:div w:id="1843858157">
      <w:bodyDiv w:val="1"/>
      <w:marLeft w:val="0"/>
      <w:marRight w:val="0"/>
      <w:marTop w:val="0"/>
      <w:marBottom w:val="0"/>
      <w:divBdr>
        <w:top w:val="none" w:sz="0" w:space="0" w:color="auto"/>
        <w:left w:val="none" w:sz="0" w:space="0" w:color="auto"/>
        <w:bottom w:val="none" w:sz="0" w:space="0" w:color="auto"/>
        <w:right w:val="none" w:sz="0" w:space="0" w:color="auto"/>
      </w:divBdr>
    </w:div>
    <w:div w:id="1844006464">
      <w:bodyDiv w:val="1"/>
      <w:marLeft w:val="0"/>
      <w:marRight w:val="0"/>
      <w:marTop w:val="0"/>
      <w:marBottom w:val="0"/>
      <w:divBdr>
        <w:top w:val="none" w:sz="0" w:space="0" w:color="auto"/>
        <w:left w:val="none" w:sz="0" w:space="0" w:color="auto"/>
        <w:bottom w:val="none" w:sz="0" w:space="0" w:color="auto"/>
        <w:right w:val="none" w:sz="0" w:space="0" w:color="auto"/>
      </w:divBdr>
    </w:div>
    <w:div w:id="1845516366">
      <w:bodyDiv w:val="1"/>
      <w:marLeft w:val="0"/>
      <w:marRight w:val="0"/>
      <w:marTop w:val="0"/>
      <w:marBottom w:val="0"/>
      <w:divBdr>
        <w:top w:val="none" w:sz="0" w:space="0" w:color="auto"/>
        <w:left w:val="none" w:sz="0" w:space="0" w:color="auto"/>
        <w:bottom w:val="none" w:sz="0" w:space="0" w:color="auto"/>
        <w:right w:val="none" w:sz="0" w:space="0" w:color="auto"/>
      </w:divBdr>
    </w:div>
    <w:div w:id="1845584194">
      <w:bodyDiv w:val="1"/>
      <w:marLeft w:val="0"/>
      <w:marRight w:val="0"/>
      <w:marTop w:val="0"/>
      <w:marBottom w:val="0"/>
      <w:divBdr>
        <w:top w:val="none" w:sz="0" w:space="0" w:color="auto"/>
        <w:left w:val="none" w:sz="0" w:space="0" w:color="auto"/>
        <w:bottom w:val="none" w:sz="0" w:space="0" w:color="auto"/>
        <w:right w:val="none" w:sz="0" w:space="0" w:color="auto"/>
      </w:divBdr>
    </w:div>
    <w:div w:id="1856533003">
      <w:bodyDiv w:val="1"/>
      <w:marLeft w:val="0"/>
      <w:marRight w:val="0"/>
      <w:marTop w:val="0"/>
      <w:marBottom w:val="0"/>
      <w:divBdr>
        <w:top w:val="none" w:sz="0" w:space="0" w:color="auto"/>
        <w:left w:val="none" w:sz="0" w:space="0" w:color="auto"/>
        <w:bottom w:val="none" w:sz="0" w:space="0" w:color="auto"/>
        <w:right w:val="none" w:sz="0" w:space="0" w:color="auto"/>
      </w:divBdr>
    </w:div>
    <w:div w:id="1859654330">
      <w:bodyDiv w:val="1"/>
      <w:marLeft w:val="0"/>
      <w:marRight w:val="0"/>
      <w:marTop w:val="0"/>
      <w:marBottom w:val="0"/>
      <w:divBdr>
        <w:top w:val="none" w:sz="0" w:space="0" w:color="auto"/>
        <w:left w:val="none" w:sz="0" w:space="0" w:color="auto"/>
        <w:bottom w:val="none" w:sz="0" w:space="0" w:color="auto"/>
        <w:right w:val="none" w:sz="0" w:space="0" w:color="auto"/>
      </w:divBdr>
    </w:div>
    <w:div w:id="1867060551">
      <w:bodyDiv w:val="1"/>
      <w:marLeft w:val="0"/>
      <w:marRight w:val="0"/>
      <w:marTop w:val="0"/>
      <w:marBottom w:val="0"/>
      <w:divBdr>
        <w:top w:val="none" w:sz="0" w:space="0" w:color="auto"/>
        <w:left w:val="none" w:sz="0" w:space="0" w:color="auto"/>
        <w:bottom w:val="none" w:sz="0" w:space="0" w:color="auto"/>
        <w:right w:val="none" w:sz="0" w:space="0" w:color="auto"/>
      </w:divBdr>
    </w:div>
    <w:div w:id="1867474483">
      <w:bodyDiv w:val="1"/>
      <w:marLeft w:val="0"/>
      <w:marRight w:val="0"/>
      <w:marTop w:val="0"/>
      <w:marBottom w:val="0"/>
      <w:divBdr>
        <w:top w:val="none" w:sz="0" w:space="0" w:color="auto"/>
        <w:left w:val="none" w:sz="0" w:space="0" w:color="auto"/>
        <w:bottom w:val="none" w:sz="0" w:space="0" w:color="auto"/>
        <w:right w:val="none" w:sz="0" w:space="0" w:color="auto"/>
      </w:divBdr>
    </w:div>
    <w:div w:id="1878271320">
      <w:bodyDiv w:val="1"/>
      <w:marLeft w:val="0"/>
      <w:marRight w:val="0"/>
      <w:marTop w:val="0"/>
      <w:marBottom w:val="0"/>
      <w:divBdr>
        <w:top w:val="none" w:sz="0" w:space="0" w:color="auto"/>
        <w:left w:val="none" w:sz="0" w:space="0" w:color="auto"/>
        <w:bottom w:val="none" w:sz="0" w:space="0" w:color="auto"/>
        <w:right w:val="none" w:sz="0" w:space="0" w:color="auto"/>
      </w:divBdr>
    </w:div>
    <w:div w:id="1878353412">
      <w:bodyDiv w:val="1"/>
      <w:marLeft w:val="0"/>
      <w:marRight w:val="0"/>
      <w:marTop w:val="0"/>
      <w:marBottom w:val="0"/>
      <w:divBdr>
        <w:top w:val="none" w:sz="0" w:space="0" w:color="auto"/>
        <w:left w:val="none" w:sz="0" w:space="0" w:color="auto"/>
        <w:bottom w:val="none" w:sz="0" w:space="0" w:color="auto"/>
        <w:right w:val="none" w:sz="0" w:space="0" w:color="auto"/>
      </w:divBdr>
    </w:div>
    <w:div w:id="1886209239">
      <w:bodyDiv w:val="1"/>
      <w:marLeft w:val="0"/>
      <w:marRight w:val="0"/>
      <w:marTop w:val="0"/>
      <w:marBottom w:val="0"/>
      <w:divBdr>
        <w:top w:val="none" w:sz="0" w:space="0" w:color="auto"/>
        <w:left w:val="none" w:sz="0" w:space="0" w:color="auto"/>
        <w:bottom w:val="none" w:sz="0" w:space="0" w:color="auto"/>
        <w:right w:val="none" w:sz="0" w:space="0" w:color="auto"/>
      </w:divBdr>
    </w:div>
    <w:div w:id="1887061312">
      <w:bodyDiv w:val="1"/>
      <w:marLeft w:val="0"/>
      <w:marRight w:val="0"/>
      <w:marTop w:val="0"/>
      <w:marBottom w:val="0"/>
      <w:divBdr>
        <w:top w:val="none" w:sz="0" w:space="0" w:color="auto"/>
        <w:left w:val="none" w:sz="0" w:space="0" w:color="auto"/>
        <w:bottom w:val="none" w:sz="0" w:space="0" w:color="auto"/>
        <w:right w:val="none" w:sz="0" w:space="0" w:color="auto"/>
      </w:divBdr>
    </w:div>
    <w:div w:id="1887600100">
      <w:bodyDiv w:val="1"/>
      <w:marLeft w:val="0"/>
      <w:marRight w:val="0"/>
      <w:marTop w:val="0"/>
      <w:marBottom w:val="0"/>
      <w:divBdr>
        <w:top w:val="none" w:sz="0" w:space="0" w:color="auto"/>
        <w:left w:val="none" w:sz="0" w:space="0" w:color="auto"/>
        <w:bottom w:val="none" w:sz="0" w:space="0" w:color="auto"/>
        <w:right w:val="none" w:sz="0" w:space="0" w:color="auto"/>
      </w:divBdr>
    </w:div>
    <w:div w:id="1888712937">
      <w:bodyDiv w:val="1"/>
      <w:marLeft w:val="0"/>
      <w:marRight w:val="0"/>
      <w:marTop w:val="0"/>
      <w:marBottom w:val="0"/>
      <w:divBdr>
        <w:top w:val="none" w:sz="0" w:space="0" w:color="auto"/>
        <w:left w:val="none" w:sz="0" w:space="0" w:color="auto"/>
        <w:bottom w:val="none" w:sz="0" w:space="0" w:color="auto"/>
        <w:right w:val="none" w:sz="0" w:space="0" w:color="auto"/>
      </w:divBdr>
    </w:div>
    <w:div w:id="1893079349">
      <w:bodyDiv w:val="1"/>
      <w:marLeft w:val="0"/>
      <w:marRight w:val="0"/>
      <w:marTop w:val="0"/>
      <w:marBottom w:val="0"/>
      <w:divBdr>
        <w:top w:val="none" w:sz="0" w:space="0" w:color="auto"/>
        <w:left w:val="none" w:sz="0" w:space="0" w:color="auto"/>
        <w:bottom w:val="none" w:sz="0" w:space="0" w:color="auto"/>
        <w:right w:val="none" w:sz="0" w:space="0" w:color="auto"/>
      </w:divBdr>
    </w:div>
    <w:div w:id="1896157730">
      <w:bodyDiv w:val="1"/>
      <w:marLeft w:val="0"/>
      <w:marRight w:val="0"/>
      <w:marTop w:val="0"/>
      <w:marBottom w:val="0"/>
      <w:divBdr>
        <w:top w:val="none" w:sz="0" w:space="0" w:color="auto"/>
        <w:left w:val="none" w:sz="0" w:space="0" w:color="auto"/>
        <w:bottom w:val="none" w:sz="0" w:space="0" w:color="auto"/>
        <w:right w:val="none" w:sz="0" w:space="0" w:color="auto"/>
      </w:divBdr>
    </w:div>
    <w:div w:id="1897232966">
      <w:bodyDiv w:val="1"/>
      <w:marLeft w:val="0"/>
      <w:marRight w:val="0"/>
      <w:marTop w:val="0"/>
      <w:marBottom w:val="0"/>
      <w:divBdr>
        <w:top w:val="none" w:sz="0" w:space="0" w:color="auto"/>
        <w:left w:val="none" w:sz="0" w:space="0" w:color="auto"/>
        <w:bottom w:val="none" w:sz="0" w:space="0" w:color="auto"/>
        <w:right w:val="none" w:sz="0" w:space="0" w:color="auto"/>
      </w:divBdr>
    </w:div>
    <w:div w:id="1897931759">
      <w:bodyDiv w:val="1"/>
      <w:marLeft w:val="0"/>
      <w:marRight w:val="0"/>
      <w:marTop w:val="0"/>
      <w:marBottom w:val="0"/>
      <w:divBdr>
        <w:top w:val="none" w:sz="0" w:space="0" w:color="auto"/>
        <w:left w:val="none" w:sz="0" w:space="0" w:color="auto"/>
        <w:bottom w:val="none" w:sz="0" w:space="0" w:color="auto"/>
        <w:right w:val="none" w:sz="0" w:space="0" w:color="auto"/>
      </w:divBdr>
    </w:div>
    <w:div w:id="1910916147">
      <w:bodyDiv w:val="1"/>
      <w:marLeft w:val="0"/>
      <w:marRight w:val="0"/>
      <w:marTop w:val="0"/>
      <w:marBottom w:val="0"/>
      <w:divBdr>
        <w:top w:val="none" w:sz="0" w:space="0" w:color="auto"/>
        <w:left w:val="none" w:sz="0" w:space="0" w:color="auto"/>
        <w:bottom w:val="none" w:sz="0" w:space="0" w:color="auto"/>
        <w:right w:val="none" w:sz="0" w:space="0" w:color="auto"/>
      </w:divBdr>
    </w:div>
    <w:div w:id="1911496630">
      <w:bodyDiv w:val="1"/>
      <w:marLeft w:val="0"/>
      <w:marRight w:val="0"/>
      <w:marTop w:val="0"/>
      <w:marBottom w:val="0"/>
      <w:divBdr>
        <w:top w:val="none" w:sz="0" w:space="0" w:color="auto"/>
        <w:left w:val="none" w:sz="0" w:space="0" w:color="auto"/>
        <w:bottom w:val="none" w:sz="0" w:space="0" w:color="auto"/>
        <w:right w:val="none" w:sz="0" w:space="0" w:color="auto"/>
      </w:divBdr>
    </w:div>
    <w:div w:id="1921790508">
      <w:bodyDiv w:val="1"/>
      <w:marLeft w:val="0"/>
      <w:marRight w:val="0"/>
      <w:marTop w:val="0"/>
      <w:marBottom w:val="0"/>
      <w:divBdr>
        <w:top w:val="none" w:sz="0" w:space="0" w:color="auto"/>
        <w:left w:val="none" w:sz="0" w:space="0" w:color="auto"/>
        <w:bottom w:val="none" w:sz="0" w:space="0" w:color="auto"/>
        <w:right w:val="none" w:sz="0" w:space="0" w:color="auto"/>
      </w:divBdr>
    </w:div>
    <w:div w:id="1925608331">
      <w:bodyDiv w:val="1"/>
      <w:marLeft w:val="0"/>
      <w:marRight w:val="0"/>
      <w:marTop w:val="0"/>
      <w:marBottom w:val="0"/>
      <w:divBdr>
        <w:top w:val="none" w:sz="0" w:space="0" w:color="auto"/>
        <w:left w:val="none" w:sz="0" w:space="0" w:color="auto"/>
        <w:bottom w:val="none" w:sz="0" w:space="0" w:color="auto"/>
        <w:right w:val="none" w:sz="0" w:space="0" w:color="auto"/>
      </w:divBdr>
    </w:div>
    <w:div w:id="1932470679">
      <w:bodyDiv w:val="1"/>
      <w:marLeft w:val="0"/>
      <w:marRight w:val="0"/>
      <w:marTop w:val="0"/>
      <w:marBottom w:val="0"/>
      <w:divBdr>
        <w:top w:val="none" w:sz="0" w:space="0" w:color="auto"/>
        <w:left w:val="none" w:sz="0" w:space="0" w:color="auto"/>
        <w:bottom w:val="none" w:sz="0" w:space="0" w:color="auto"/>
        <w:right w:val="none" w:sz="0" w:space="0" w:color="auto"/>
      </w:divBdr>
    </w:div>
    <w:div w:id="1935551256">
      <w:bodyDiv w:val="1"/>
      <w:marLeft w:val="0"/>
      <w:marRight w:val="0"/>
      <w:marTop w:val="0"/>
      <w:marBottom w:val="0"/>
      <w:divBdr>
        <w:top w:val="none" w:sz="0" w:space="0" w:color="auto"/>
        <w:left w:val="none" w:sz="0" w:space="0" w:color="auto"/>
        <w:bottom w:val="none" w:sz="0" w:space="0" w:color="auto"/>
        <w:right w:val="none" w:sz="0" w:space="0" w:color="auto"/>
      </w:divBdr>
    </w:div>
    <w:div w:id="1937901950">
      <w:bodyDiv w:val="1"/>
      <w:marLeft w:val="0"/>
      <w:marRight w:val="0"/>
      <w:marTop w:val="0"/>
      <w:marBottom w:val="0"/>
      <w:divBdr>
        <w:top w:val="none" w:sz="0" w:space="0" w:color="auto"/>
        <w:left w:val="none" w:sz="0" w:space="0" w:color="auto"/>
        <w:bottom w:val="none" w:sz="0" w:space="0" w:color="auto"/>
        <w:right w:val="none" w:sz="0" w:space="0" w:color="auto"/>
      </w:divBdr>
    </w:div>
    <w:div w:id="1939563729">
      <w:bodyDiv w:val="1"/>
      <w:marLeft w:val="0"/>
      <w:marRight w:val="0"/>
      <w:marTop w:val="0"/>
      <w:marBottom w:val="0"/>
      <w:divBdr>
        <w:top w:val="none" w:sz="0" w:space="0" w:color="auto"/>
        <w:left w:val="none" w:sz="0" w:space="0" w:color="auto"/>
        <w:bottom w:val="none" w:sz="0" w:space="0" w:color="auto"/>
        <w:right w:val="none" w:sz="0" w:space="0" w:color="auto"/>
      </w:divBdr>
    </w:div>
    <w:div w:id="1940672512">
      <w:bodyDiv w:val="1"/>
      <w:marLeft w:val="0"/>
      <w:marRight w:val="0"/>
      <w:marTop w:val="0"/>
      <w:marBottom w:val="0"/>
      <w:divBdr>
        <w:top w:val="none" w:sz="0" w:space="0" w:color="auto"/>
        <w:left w:val="none" w:sz="0" w:space="0" w:color="auto"/>
        <w:bottom w:val="none" w:sz="0" w:space="0" w:color="auto"/>
        <w:right w:val="none" w:sz="0" w:space="0" w:color="auto"/>
      </w:divBdr>
    </w:div>
    <w:div w:id="1944456705">
      <w:bodyDiv w:val="1"/>
      <w:marLeft w:val="0"/>
      <w:marRight w:val="0"/>
      <w:marTop w:val="0"/>
      <w:marBottom w:val="0"/>
      <w:divBdr>
        <w:top w:val="none" w:sz="0" w:space="0" w:color="auto"/>
        <w:left w:val="none" w:sz="0" w:space="0" w:color="auto"/>
        <w:bottom w:val="none" w:sz="0" w:space="0" w:color="auto"/>
        <w:right w:val="none" w:sz="0" w:space="0" w:color="auto"/>
      </w:divBdr>
    </w:div>
    <w:div w:id="1944608367">
      <w:bodyDiv w:val="1"/>
      <w:marLeft w:val="0"/>
      <w:marRight w:val="0"/>
      <w:marTop w:val="0"/>
      <w:marBottom w:val="0"/>
      <w:divBdr>
        <w:top w:val="none" w:sz="0" w:space="0" w:color="auto"/>
        <w:left w:val="none" w:sz="0" w:space="0" w:color="auto"/>
        <w:bottom w:val="none" w:sz="0" w:space="0" w:color="auto"/>
        <w:right w:val="none" w:sz="0" w:space="0" w:color="auto"/>
      </w:divBdr>
    </w:div>
    <w:div w:id="1945764994">
      <w:bodyDiv w:val="1"/>
      <w:marLeft w:val="0"/>
      <w:marRight w:val="0"/>
      <w:marTop w:val="0"/>
      <w:marBottom w:val="0"/>
      <w:divBdr>
        <w:top w:val="none" w:sz="0" w:space="0" w:color="auto"/>
        <w:left w:val="none" w:sz="0" w:space="0" w:color="auto"/>
        <w:bottom w:val="none" w:sz="0" w:space="0" w:color="auto"/>
        <w:right w:val="none" w:sz="0" w:space="0" w:color="auto"/>
      </w:divBdr>
    </w:div>
    <w:div w:id="1952318977">
      <w:bodyDiv w:val="1"/>
      <w:marLeft w:val="0"/>
      <w:marRight w:val="0"/>
      <w:marTop w:val="0"/>
      <w:marBottom w:val="0"/>
      <w:divBdr>
        <w:top w:val="none" w:sz="0" w:space="0" w:color="auto"/>
        <w:left w:val="none" w:sz="0" w:space="0" w:color="auto"/>
        <w:bottom w:val="none" w:sz="0" w:space="0" w:color="auto"/>
        <w:right w:val="none" w:sz="0" w:space="0" w:color="auto"/>
      </w:divBdr>
    </w:div>
    <w:div w:id="1954290019">
      <w:bodyDiv w:val="1"/>
      <w:marLeft w:val="0"/>
      <w:marRight w:val="0"/>
      <w:marTop w:val="0"/>
      <w:marBottom w:val="0"/>
      <w:divBdr>
        <w:top w:val="none" w:sz="0" w:space="0" w:color="auto"/>
        <w:left w:val="none" w:sz="0" w:space="0" w:color="auto"/>
        <w:bottom w:val="none" w:sz="0" w:space="0" w:color="auto"/>
        <w:right w:val="none" w:sz="0" w:space="0" w:color="auto"/>
      </w:divBdr>
    </w:div>
    <w:div w:id="1973057656">
      <w:bodyDiv w:val="1"/>
      <w:marLeft w:val="0"/>
      <w:marRight w:val="0"/>
      <w:marTop w:val="0"/>
      <w:marBottom w:val="0"/>
      <w:divBdr>
        <w:top w:val="none" w:sz="0" w:space="0" w:color="auto"/>
        <w:left w:val="none" w:sz="0" w:space="0" w:color="auto"/>
        <w:bottom w:val="none" w:sz="0" w:space="0" w:color="auto"/>
        <w:right w:val="none" w:sz="0" w:space="0" w:color="auto"/>
      </w:divBdr>
    </w:div>
    <w:div w:id="1974864889">
      <w:bodyDiv w:val="1"/>
      <w:marLeft w:val="0"/>
      <w:marRight w:val="0"/>
      <w:marTop w:val="0"/>
      <w:marBottom w:val="0"/>
      <w:divBdr>
        <w:top w:val="none" w:sz="0" w:space="0" w:color="auto"/>
        <w:left w:val="none" w:sz="0" w:space="0" w:color="auto"/>
        <w:bottom w:val="none" w:sz="0" w:space="0" w:color="auto"/>
        <w:right w:val="none" w:sz="0" w:space="0" w:color="auto"/>
      </w:divBdr>
    </w:div>
    <w:div w:id="1978030008">
      <w:bodyDiv w:val="1"/>
      <w:marLeft w:val="0"/>
      <w:marRight w:val="0"/>
      <w:marTop w:val="0"/>
      <w:marBottom w:val="0"/>
      <w:divBdr>
        <w:top w:val="none" w:sz="0" w:space="0" w:color="auto"/>
        <w:left w:val="none" w:sz="0" w:space="0" w:color="auto"/>
        <w:bottom w:val="none" w:sz="0" w:space="0" w:color="auto"/>
        <w:right w:val="none" w:sz="0" w:space="0" w:color="auto"/>
      </w:divBdr>
    </w:div>
    <w:div w:id="1983190060">
      <w:bodyDiv w:val="1"/>
      <w:marLeft w:val="0"/>
      <w:marRight w:val="0"/>
      <w:marTop w:val="0"/>
      <w:marBottom w:val="0"/>
      <w:divBdr>
        <w:top w:val="none" w:sz="0" w:space="0" w:color="auto"/>
        <w:left w:val="none" w:sz="0" w:space="0" w:color="auto"/>
        <w:bottom w:val="none" w:sz="0" w:space="0" w:color="auto"/>
        <w:right w:val="none" w:sz="0" w:space="0" w:color="auto"/>
      </w:divBdr>
    </w:div>
    <w:div w:id="1983581494">
      <w:bodyDiv w:val="1"/>
      <w:marLeft w:val="0"/>
      <w:marRight w:val="0"/>
      <w:marTop w:val="0"/>
      <w:marBottom w:val="0"/>
      <w:divBdr>
        <w:top w:val="none" w:sz="0" w:space="0" w:color="auto"/>
        <w:left w:val="none" w:sz="0" w:space="0" w:color="auto"/>
        <w:bottom w:val="none" w:sz="0" w:space="0" w:color="auto"/>
        <w:right w:val="none" w:sz="0" w:space="0" w:color="auto"/>
      </w:divBdr>
    </w:div>
    <w:div w:id="1984697741">
      <w:bodyDiv w:val="1"/>
      <w:marLeft w:val="0"/>
      <w:marRight w:val="0"/>
      <w:marTop w:val="0"/>
      <w:marBottom w:val="0"/>
      <w:divBdr>
        <w:top w:val="none" w:sz="0" w:space="0" w:color="auto"/>
        <w:left w:val="none" w:sz="0" w:space="0" w:color="auto"/>
        <w:bottom w:val="none" w:sz="0" w:space="0" w:color="auto"/>
        <w:right w:val="none" w:sz="0" w:space="0" w:color="auto"/>
      </w:divBdr>
    </w:div>
    <w:div w:id="1986621379">
      <w:bodyDiv w:val="1"/>
      <w:marLeft w:val="0"/>
      <w:marRight w:val="0"/>
      <w:marTop w:val="0"/>
      <w:marBottom w:val="0"/>
      <w:divBdr>
        <w:top w:val="none" w:sz="0" w:space="0" w:color="auto"/>
        <w:left w:val="none" w:sz="0" w:space="0" w:color="auto"/>
        <w:bottom w:val="none" w:sz="0" w:space="0" w:color="auto"/>
        <w:right w:val="none" w:sz="0" w:space="0" w:color="auto"/>
      </w:divBdr>
    </w:div>
    <w:div w:id="1990287422">
      <w:bodyDiv w:val="1"/>
      <w:marLeft w:val="0"/>
      <w:marRight w:val="0"/>
      <w:marTop w:val="0"/>
      <w:marBottom w:val="0"/>
      <w:divBdr>
        <w:top w:val="none" w:sz="0" w:space="0" w:color="auto"/>
        <w:left w:val="none" w:sz="0" w:space="0" w:color="auto"/>
        <w:bottom w:val="none" w:sz="0" w:space="0" w:color="auto"/>
        <w:right w:val="none" w:sz="0" w:space="0" w:color="auto"/>
      </w:divBdr>
    </w:div>
    <w:div w:id="1991322642">
      <w:bodyDiv w:val="1"/>
      <w:marLeft w:val="0"/>
      <w:marRight w:val="0"/>
      <w:marTop w:val="0"/>
      <w:marBottom w:val="0"/>
      <w:divBdr>
        <w:top w:val="none" w:sz="0" w:space="0" w:color="auto"/>
        <w:left w:val="none" w:sz="0" w:space="0" w:color="auto"/>
        <w:bottom w:val="none" w:sz="0" w:space="0" w:color="auto"/>
        <w:right w:val="none" w:sz="0" w:space="0" w:color="auto"/>
      </w:divBdr>
    </w:div>
    <w:div w:id="1997684597">
      <w:bodyDiv w:val="1"/>
      <w:marLeft w:val="0"/>
      <w:marRight w:val="0"/>
      <w:marTop w:val="0"/>
      <w:marBottom w:val="0"/>
      <w:divBdr>
        <w:top w:val="none" w:sz="0" w:space="0" w:color="auto"/>
        <w:left w:val="none" w:sz="0" w:space="0" w:color="auto"/>
        <w:bottom w:val="none" w:sz="0" w:space="0" w:color="auto"/>
        <w:right w:val="none" w:sz="0" w:space="0" w:color="auto"/>
      </w:divBdr>
      <w:divsChild>
        <w:div w:id="1577282564">
          <w:marLeft w:val="0"/>
          <w:marRight w:val="0"/>
          <w:marTop w:val="0"/>
          <w:marBottom w:val="0"/>
          <w:divBdr>
            <w:top w:val="none" w:sz="0" w:space="0" w:color="auto"/>
            <w:left w:val="none" w:sz="0" w:space="0" w:color="auto"/>
            <w:bottom w:val="none" w:sz="0" w:space="0" w:color="auto"/>
            <w:right w:val="none" w:sz="0" w:space="0" w:color="auto"/>
          </w:divBdr>
          <w:divsChild>
            <w:div w:id="153377621">
              <w:marLeft w:val="0"/>
              <w:marRight w:val="0"/>
              <w:marTop w:val="0"/>
              <w:marBottom w:val="0"/>
              <w:divBdr>
                <w:top w:val="none" w:sz="0" w:space="0" w:color="auto"/>
                <w:left w:val="none" w:sz="0" w:space="0" w:color="auto"/>
                <w:bottom w:val="none" w:sz="0" w:space="0" w:color="auto"/>
                <w:right w:val="none" w:sz="0" w:space="0" w:color="auto"/>
              </w:divBdr>
              <w:divsChild>
                <w:div w:id="294679914">
                  <w:marLeft w:val="0"/>
                  <w:marRight w:val="0"/>
                  <w:marTop w:val="0"/>
                  <w:marBottom w:val="0"/>
                  <w:divBdr>
                    <w:top w:val="none" w:sz="0" w:space="0" w:color="auto"/>
                    <w:left w:val="none" w:sz="0" w:space="0" w:color="auto"/>
                    <w:bottom w:val="none" w:sz="0" w:space="0" w:color="auto"/>
                    <w:right w:val="none" w:sz="0" w:space="0" w:color="auto"/>
                  </w:divBdr>
                  <w:divsChild>
                    <w:div w:id="13612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4193">
      <w:bodyDiv w:val="1"/>
      <w:marLeft w:val="0"/>
      <w:marRight w:val="0"/>
      <w:marTop w:val="0"/>
      <w:marBottom w:val="0"/>
      <w:divBdr>
        <w:top w:val="none" w:sz="0" w:space="0" w:color="auto"/>
        <w:left w:val="none" w:sz="0" w:space="0" w:color="auto"/>
        <w:bottom w:val="none" w:sz="0" w:space="0" w:color="auto"/>
        <w:right w:val="none" w:sz="0" w:space="0" w:color="auto"/>
      </w:divBdr>
    </w:div>
    <w:div w:id="2000772271">
      <w:bodyDiv w:val="1"/>
      <w:marLeft w:val="0"/>
      <w:marRight w:val="0"/>
      <w:marTop w:val="0"/>
      <w:marBottom w:val="0"/>
      <w:divBdr>
        <w:top w:val="none" w:sz="0" w:space="0" w:color="auto"/>
        <w:left w:val="none" w:sz="0" w:space="0" w:color="auto"/>
        <w:bottom w:val="none" w:sz="0" w:space="0" w:color="auto"/>
        <w:right w:val="none" w:sz="0" w:space="0" w:color="auto"/>
      </w:divBdr>
    </w:div>
    <w:div w:id="2000845598">
      <w:bodyDiv w:val="1"/>
      <w:marLeft w:val="0"/>
      <w:marRight w:val="0"/>
      <w:marTop w:val="0"/>
      <w:marBottom w:val="0"/>
      <w:divBdr>
        <w:top w:val="none" w:sz="0" w:space="0" w:color="auto"/>
        <w:left w:val="none" w:sz="0" w:space="0" w:color="auto"/>
        <w:bottom w:val="none" w:sz="0" w:space="0" w:color="auto"/>
        <w:right w:val="none" w:sz="0" w:space="0" w:color="auto"/>
      </w:divBdr>
    </w:div>
    <w:div w:id="2002654664">
      <w:bodyDiv w:val="1"/>
      <w:marLeft w:val="0"/>
      <w:marRight w:val="0"/>
      <w:marTop w:val="0"/>
      <w:marBottom w:val="0"/>
      <w:divBdr>
        <w:top w:val="none" w:sz="0" w:space="0" w:color="auto"/>
        <w:left w:val="none" w:sz="0" w:space="0" w:color="auto"/>
        <w:bottom w:val="none" w:sz="0" w:space="0" w:color="auto"/>
        <w:right w:val="none" w:sz="0" w:space="0" w:color="auto"/>
      </w:divBdr>
    </w:div>
    <w:div w:id="2003850147">
      <w:bodyDiv w:val="1"/>
      <w:marLeft w:val="0"/>
      <w:marRight w:val="0"/>
      <w:marTop w:val="0"/>
      <w:marBottom w:val="0"/>
      <w:divBdr>
        <w:top w:val="none" w:sz="0" w:space="0" w:color="auto"/>
        <w:left w:val="none" w:sz="0" w:space="0" w:color="auto"/>
        <w:bottom w:val="none" w:sz="0" w:space="0" w:color="auto"/>
        <w:right w:val="none" w:sz="0" w:space="0" w:color="auto"/>
      </w:divBdr>
    </w:div>
    <w:div w:id="2004118051">
      <w:bodyDiv w:val="1"/>
      <w:marLeft w:val="0"/>
      <w:marRight w:val="0"/>
      <w:marTop w:val="0"/>
      <w:marBottom w:val="0"/>
      <w:divBdr>
        <w:top w:val="none" w:sz="0" w:space="0" w:color="auto"/>
        <w:left w:val="none" w:sz="0" w:space="0" w:color="auto"/>
        <w:bottom w:val="none" w:sz="0" w:space="0" w:color="auto"/>
        <w:right w:val="none" w:sz="0" w:space="0" w:color="auto"/>
      </w:divBdr>
    </w:div>
    <w:div w:id="2014261773">
      <w:bodyDiv w:val="1"/>
      <w:marLeft w:val="0"/>
      <w:marRight w:val="0"/>
      <w:marTop w:val="0"/>
      <w:marBottom w:val="0"/>
      <w:divBdr>
        <w:top w:val="none" w:sz="0" w:space="0" w:color="auto"/>
        <w:left w:val="none" w:sz="0" w:space="0" w:color="auto"/>
        <w:bottom w:val="none" w:sz="0" w:space="0" w:color="auto"/>
        <w:right w:val="none" w:sz="0" w:space="0" w:color="auto"/>
      </w:divBdr>
    </w:div>
    <w:div w:id="2017491994">
      <w:bodyDiv w:val="1"/>
      <w:marLeft w:val="0"/>
      <w:marRight w:val="0"/>
      <w:marTop w:val="0"/>
      <w:marBottom w:val="0"/>
      <w:divBdr>
        <w:top w:val="none" w:sz="0" w:space="0" w:color="auto"/>
        <w:left w:val="none" w:sz="0" w:space="0" w:color="auto"/>
        <w:bottom w:val="none" w:sz="0" w:space="0" w:color="auto"/>
        <w:right w:val="none" w:sz="0" w:space="0" w:color="auto"/>
      </w:divBdr>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2050666">
      <w:bodyDiv w:val="1"/>
      <w:marLeft w:val="0"/>
      <w:marRight w:val="0"/>
      <w:marTop w:val="0"/>
      <w:marBottom w:val="0"/>
      <w:divBdr>
        <w:top w:val="none" w:sz="0" w:space="0" w:color="auto"/>
        <w:left w:val="none" w:sz="0" w:space="0" w:color="auto"/>
        <w:bottom w:val="none" w:sz="0" w:space="0" w:color="auto"/>
        <w:right w:val="none" w:sz="0" w:space="0" w:color="auto"/>
      </w:divBdr>
    </w:div>
    <w:div w:id="2024625287">
      <w:bodyDiv w:val="1"/>
      <w:marLeft w:val="0"/>
      <w:marRight w:val="0"/>
      <w:marTop w:val="0"/>
      <w:marBottom w:val="0"/>
      <w:divBdr>
        <w:top w:val="none" w:sz="0" w:space="0" w:color="auto"/>
        <w:left w:val="none" w:sz="0" w:space="0" w:color="auto"/>
        <w:bottom w:val="none" w:sz="0" w:space="0" w:color="auto"/>
        <w:right w:val="none" w:sz="0" w:space="0" w:color="auto"/>
      </w:divBdr>
    </w:div>
    <w:div w:id="2025521514">
      <w:bodyDiv w:val="1"/>
      <w:marLeft w:val="0"/>
      <w:marRight w:val="0"/>
      <w:marTop w:val="0"/>
      <w:marBottom w:val="0"/>
      <w:divBdr>
        <w:top w:val="none" w:sz="0" w:space="0" w:color="auto"/>
        <w:left w:val="none" w:sz="0" w:space="0" w:color="auto"/>
        <w:bottom w:val="none" w:sz="0" w:space="0" w:color="auto"/>
        <w:right w:val="none" w:sz="0" w:space="0" w:color="auto"/>
      </w:divBdr>
    </w:div>
    <w:div w:id="2029208484">
      <w:bodyDiv w:val="1"/>
      <w:marLeft w:val="0"/>
      <w:marRight w:val="0"/>
      <w:marTop w:val="0"/>
      <w:marBottom w:val="0"/>
      <w:divBdr>
        <w:top w:val="none" w:sz="0" w:space="0" w:color="auto"/>
        <w:left w:val="none" w:sz="0" w:space="0" w:color="auto"/>
        <w:bottom w:val="none" w:sz="0" w:space="0" w:color="auto"/>
        <w:right w:val="none" w:sz="0" w:space="0" w:color="auto"/>
      </w:divBdr>
    </w:div>
    <w:div w:id="2030641162">
      <w:bodyDiv w:val="1"/>
      <w:marLeft w:val="0"/>
      <w:marRight w:val="0"/>
      <w:marTop w:val="0"/>
      <w:marBottom w:val="0"/>
      <w:divBdr>
        <w:top w:val="none" w:sz="0" w:space="0" w:color="auto"/>
        <w:left w:val="none" w:sz="0" w:space="0" w:color="auto"/>
        <w:bottom w:val="none" w:sz="0" w:space="0" w:color="auto"/>
        <w:right w:val="none" w:sz="0" w:space="0" w:color="auto"/>
      </w:divBdr>
    </w:div>
    <w:div w:id="2032102036">
      <w:bodyDiv w:val="1"/>
      <w:marLeft w:val="0"/>
      <w:marRight w:val="0"/>
      <w:marTop w:val="0"/>
      <w:marBottom w:val="0"/>
      <w:divBdr>
        <w:top w:val="none" w:sz="0" w:space="0" w:color="auto"/>
        <w:left w:val="none" w:sz="0" w:space="0" w:color="auto"/>
        <w:bottom w:val="none" w:sz="0" w:space="0" w:color="auto"/>
        <w:right w:val="none" w:sz="0" w:space="0" w:color="auto"/>
      </w:divBdr>
    </w:div>
    <w:div w:id="2034844850">
      <w:bodyDiv w:val="1"/>
      <w:marLeft w:val="0"/>
      <w:marRight w:val="0"/>
      <w:marTop w:val="0"/>
      <w:marBottom w:val="0"/>
      <w:divBdr>
        <w:top w:val="none" w:sz="0" w:space="0" w:color="auto"/>
        <w:left w:val="none" w:sz="0" w:space="0" w:color="auto"/>
        <w:bottom w:val="none" w:sz="0" w:space="0" w:color="auto"/>
        <w:right w:val="none" w:sz="0" w:space="0" w:color="auto"/>
      </w:divBdr>
    </w:div>
    <w:div w:id="2039772512">
      <w:bodyDiv w:val="1"/>
      <w:marLeft w:val="0"/>
      <w:marRight w:val="0"/>
      <w:marTop w:val="0"/>
      <w:marBottom w:val="0"/>
      <w:divBdr>
        <w:top w:val="none" w:sz="0" w:space="0" w:color="auto"/>
        <w:left w:val="none" w:sz="0" w:space="0" w:color="auto"/>
        <w:bottom w:val="none" w:sz="0" w:space="0" w:color="auto"/>
        <w:right w:val="none" w:sz="0" w:space="0" w:color="auto"/>
      </w:divBdr>
    </w:div>
    <w:div w:id="2039814471">
      <w:bodyDiv w:val="1"/>
      <w:marLeft w:val="0"/>
      <w:marRight w:val="0"/>
      <w:marTop w:val="0"/>
      <w:marBottom w:val="0"/>
      <w:divBdr>
        <w:top w:val="none" w:sz="0" w:space="0" w:color="auto"/>
        <w:left w:val="none" w:sz="0" w:space="0" w:color="auto"/>
        <w:bottom w:val="none" w:sz="0" w:space="0" w:color="auto"/>
        <w:right w:val="none" w:sz="0" w:space="0" w:color="auto"/>
      </w:divBdr>
    </w:div>
    <w:div w:id="2040664124">
      <w:bodyDiv w:val="1"/>
      <w:marLeft w:val="0"/>
      <w:marRight w:val="0"/>
      <w:marTop w:val="0"/>
      <w:marBottom w:val="0"/>
      <w:divBdr>
        <w:top w:val="none" w:sz="0" w:space="0" w:color="auto"/>
        <w:left w:val="none" w:sz="0" w:space="0" w:color="auto"/>
        <w:bottom w:val="none" w:sz="0" w:space="0" w:color="auto"/>
        <w:right w:val="none" w:sz="0" w:space="0" w:color="auto"/>
      </w:divBdr>
    </w:div>
    <w:div w:id="2043246346">
      <w:bodyDiv w:val="1"/>
      <w:marLeft w:val="0"/>
      <w:marRight w:val="0"/>
      <w:marTop w:val="0"/>
      <w:marBottom w:val="0"/>
      <w:divBdr>
        <w:top w:val="none" w:sz="0" w:space="0" w:color="auto"/>
        <w:left w:val="none" w:sz="0" w:space="0" w:color="auto"/>
        <w:bottom w:val="none" w:sz="0" w:space="0" w:color="auto"/>
        <w:right w:val="none" w:sz="0" w:space="0" w:color="auto"/>
      </w:divBdr>
    </w:div>
    <w:div w:id="2046636909">
      <w:bodyDiv w:val="1"/>
      <w:marLeft w:val="0"/>
      <w:marRight w:val="0"/>
      <w:marTop w:val="0"/>
      <w:marBottom w:val="0"/>
      <w:divBdr>
        <w:top w:val="none" w:sz="0" w:space="0" w:color="auto"/>
        <w:left w:val="none" w:sz="0" w:space="0" w:color="auto"/>
        <w:bottom w:val="none" w:sz="0" w:space="0" w:color="auto"/>
        <w:right w:val="none" w:sz="0" w:space="0" w:color="auto"/>
      </w:divBdr>
    </w:div>
    <w:div w:id="2051028847">
      <w:bodyDiv w:val="1"/>
      <w:marLeft w:val="0"/>
      <w:marRight w:val="0"/>
      <w:marTop w:val="0"/>
      <w:marBottom w:val="0"/>
      <w:divBdr>
        <w:top w:val="none" w:sz="0" w:space="0" w:color="auto"/>
        <w:left w:val="none" w:sz="0" w:space="0" w:color="auto"/>
        <w:bottom w:val="none" w:sz="0" w:space="0" w:color="auto"/>
        <w:right w:val="none" w:sz="0" w:space="0" w:color="auto"/>
      </w:divBdr>
    </w:div>
    <w:div w:id="2055423627">
      <w:bodyDiv w:val="1"/>
      <w:marLeft w:val="0"/>
      <w:marRight w:val="0"/>
      <w:marTop w:val="0"/>
      <w:marBottom w:val="0"/>
      <w:divBdr>
        <w:top w:val="none" w:sz="0" w:space="0" w:color="auto"/>
        <w:left w:val="none" w:sz="0" w:space="0" w:color="auto"/>
        <w:bottom w:val="none" w:sz="0" w:space="0" w:color="auto"/>
        <w:right w:val="none" w:sz="0" w:space="0" w:color="auto"/>
      </w:divBdr>
    </w:div>
    <w:div w:id="2063794216">
      <w:bodyDiv w:val="1"/>
      <w:marLeft w:val="0"/>
      <w:marRight w:val="0"/>
      <w:marTop w:val="0"/>
      <w:marBottom w:val="0"/>
      <w:divBdr>
        <w:top w:val="none" w:sz="0" w:space="0" w:color="auto"/>
        <w:left w:val="none" w:sz="0" w:space="0" w:color="auto"/>
        <w:bottom w:val="none" w:sz="0" w:space="0" w:color="auto"/>
        <w:right w:val="none" w:sz="0" w:space="0" w:color="auto"/>
      </w:divBdr>
    </w:div>
    <w:div w:id="2069457557">
      <w:bodyDiv w:val="1"/>
      <w:marLeft w:val="0"/>
      <w:marRight w:val="0"/>
      <w:marTop w:val="0"/>
      <w:marBottom w:val="0"/>
      <w:divBdr>
        <w:top w:val="none" w:sz="0" w:space="0" w:color="auto"/>
        <w:left w:val="none" w:sz="0" w:space="0" w:color="auto"/>
        <w:bottom w:val="none" w:sz="0" w:space="0" w:color="auto"/>
        <w:right w:val="none" w:sz="0" w:space="0" w:color="auto"/>
      </w:divBdr>
    </w:div>
    <w:div w:id="2069497642">
      <w:bodyDiv w:val="1"/>
      <w:marLeft w:val="0"/>
      <w:marRight w:val="0"/>
      <w:marTop w:val="0"/>
      <w:marBottom w:val="0"/>
      <w:divBdr>
        <w:top w:val="none" w:sz="0" w:space="0" w:color="auto"/>
        <w:left w:val="none" w:sz="0" w:space="0" w:color="auto"/>
        <w:bottom w:val="none" w:sz="0" w:space="0" w:color="auto"/>
        <w:right w:val="none" w:sz="0" w:space="0" w:color="auto"/>
      </w:divBdr>
    </w:div>
    <w:div w:id="2071031141">
      <w:bodyDiv w:val="1"/>
      <w:marLeft w:val="0"/>
      <w:marRight w:val="0"/>
      <w:marTop w:val="0"/>
      <w:marBottom w:val="0"/>
      <w:divBdr>
        <w:top w:val="none" w:sz="0" w:space="0" w:color="auto"/>
        <w:left w:val="none" w:sz="0" w:space="0" w:color="auto"/>
        <w:bottom w:val="none" w:sz="0" w:space="0" w:color="auto"/>
        <w:right w:val="none" w:sz="0" w:space="0" w:color="auto"/>
      </w:divBdr>
    </w:div>
    <w:div w:id="2078241686">
      <w:bodyDiv w:val="1"/>
      <w:marLeft w:val="0"/>
      <w:marRight w:val="0"/>
      <w:marTop w:val="0"/>
      <w:marBottom w:val="0"/>
      <w:divBdr>
        <w:top w:val="none" w:sz="0" w:space="0" w:color="auto"/>
        <w:left w:val="none" w:sz="0" w:space="0" w:color="auto"/>
        <w:bottom w:val="none" w:sz="0" w:space="0" w:color="auto"/>
        <w:right w:val="none" w:sz="0" w:space="0" w:color="auto"/>
      </w:divBdr>
    </w:div>
    <w:div w:id="2078897410">
      <w:bodyDiv w:val="1"/>
      <w:marLeft w:val="0"/>
      <w:marRight w:val="0"/>
      <w:marTop w:val="0"/>
      <w:marBottom w:val="0"/>
      <w:divBdr>
        <w:top w:val="none" w:sz="0" w:space="0" w:color="auto"/>
        <w:left w:val="none" w:sz="0" w:space="0" w:color="auto"/>
        <w:bottom w:val="none" w:sz="0" w:space="0" w:color="auto"/>
        <w:right w:val="none" w:sz="0" w:space="0" w:color="auto"/>
      </w:divBdr>
    </w:div>
    <w:div w:id="2083142445">
      <w:bodyDiv w:val="1"/>
      <w:marLeft w:val="0"/>
      <w:marRight w:val="0"/>
      <w:marTop w:val="0"/>
      <w:marBottom w:val="0"/>
      <w:divBdr>
        <w:top w:val="none" w:sz="0" w:space="0" w:color="auto"/>
        <w:left w:val="none" w:sz="0" w:space="0" w:color="auto"/>
        <w:bottom w:val="none" w:sz="0" w:space="0" w:color="auto"/>
        <w:right w:val="none" w:sz="0" w:space="0" w:color="auto"/>
      </w:divBdr>
    </w:div>
    <w:div w:id="2088189730">
      <w:bodyDiv w:val="1"/>
      <w:marLeft w:val="0"/>
      <w:marRight w:val="0"/>
      <w:marTop w:val="0"/>
      <w:marBottom w:val="0"/>
      <w:divBdr>
        <w:top w:val="none" w:sz="0" w:space="0" w:color="auto"/>
        <w:left w:val="none" w:sz="0" w:space="0" w:color="auto"/>
        <w:bottom w:val="none" w:sz="0" w:space="0" w:color="auto"/>
        <w:right w:val="none" w:sz="0" w:space="0" w:color="auto"/>
      </w:divBdr>
    </w:div>
    <w:div w:id="2088259076">
      <w:bodyDiv w:val="1"/>
      <w:marLeft w:val="0"/>
      <w:marRight w:val="0"/>
      <w:marTop w:val="0"/>
      <w:marBottom w:val="0"/>
      <w:divBdr>
        <w:top w:val="none" w:sz="0" w:space="0" w:color="auto"/>
        <w:left w:val="none" w:sz="0" w:space="0" w:color="auto"/>
        <w:bottom w:val="none" w:sz="0" w:space="0" w:color="auto"/>
        <w:right w:val="none" w:sz="0" w:space="0" w:color="auto"/>
      </w:divBdr>
    </w:div>
    <w:div w:id="2089688534">
      <w:bodyDiv w:val="1"/>
      <w:marLeft w:val="0"/>
      <w:marRight w:val="0"/>
      <w:marTop w:val="0"/>
      <w:marBottom w:val="0"/>
      <w:divBdr>
        <w:top w:val="none" w:sz="0" w:space="0" w:color="auto"/>
        <w:left w:val="none" w:sz="0" w:space="0" w:color="auto"/>
        <w:bottom w:val="none" w:sz="0" w:space="0" w:color="auto"/>
        <w:right w:val="none" w:sz="0" w:space="0" w:color="auto"/>
      </w:divBdr>
    </w:div>
    <w:div w:id="2091191253">
      <w:bodyDiv w:val="1"/>
      <w:marLeft w:val="0"/>
      <w:marRight w:val="0"/>
      <w:marTop w:val="0"/>
      <w:marBottom w:val="0"/>
      <w:divBdr>
        <w:top w:val="none" w:sz="0" w:space="0" w:color="auto"/>
        <w:left w:val="none" w:sz="0" w:space="0" w:color="auto"/>
        <w:bottom w:val="none" w:sz="0" w:space="0" w:color="auto"/>
        <w:right w:val="none" w:sz="0" w:space="0" w:color="auto"/>
      </w:divBdr>
    </w:div>
    <w:div w:id="2091928178">
      <w:bodyDiv w:val="1"/>
      <w:marLeft w:val="0"/>
      <w:marRight w:val="0"/>
      <w:marTop w:val="0"/>
      <w:marBottom w:val="0"/>
      <w:divBdr>
        <w:top w:val="none" w:sz="0" w:space="0" w:color="auto"/>
        <w:left w:val="none" w:sz="0" w:space="0" w:color="auto"/>
        <w:bottom w:val="none" w:sz="0" w:space="0" w:color="auto"/>
        <w:right w:val="none" w:sz="0" w:space="0" w:color="auto"/>
      </w:divBdr>
    </w:div>
    <w:div w:id="2095473144">
      <w:bodyDiv w:val="1"/>
      <w:marLeft w:val="0"/>
      <w:marRight w:val="0"/>
      <w:marTop w:val="0"/>
      <w:marBottom w:val="0"/>
      <w:divBdr>
        <w:top w:val="none" w:sz="0" w:space="0" w:color="auto"/>
        <w:left w:val="none" w:sz="0" w:space="0" w:color="auto"/>
        <w:bottom w:val="none" w:sz="0" w:space="0" w:color="auto"/>
        <w:right w:val="none" w:sz="0" w:space="0" w:color="auto"/>
      </w:divBdr>
    </w:div>
    <w:div w:id="2095662870">
      <w:bodyDiv w:val="1"/>
      <w:marLeft w:val="0"/>
      <w:marRight w:val="0"/>
      <w:marTop w:val="0"/>
      <w:marBottom w:val="0"/>
      <w:divBdr>
        <w:top w:val="none" w:sz="0" w:space="0" w:color="auto"/>
        <w:left w:val="none" w:sz="0" w:space="0" w:color="auto"/>
        <w:bottom w:val="none" w:sz="0" w:space="0" w:color="auto"/>
        <w:right w:val="none" w:sz="0" w:space="0" w:color="auto"/>
      </w:divBdr>
    </w:div>
    <w:div w:id="2095934793">
      <w:bodyDiv w:val="1"/>
      <w:marLeft w:val="0"/>
      <w:marRight w:val="0"/>
      <w:marTop w:val="0"/>
      <w:marBottom w:val="0"/>
      <w:divBdr>
        <w:top w:val="none" w:sz="0" w:space="0" w:color="auto"/>
        <w:left w:val="none" w:sz="0" w:space="0" w:color="auto"/>
        <w:bottom w:val="none" w:sz="0" w:space="0" w:color="auto"/>
        <w:right w:val="none" w:sz="0" w:space="0" w:color="auto"/>
      </w:divBdr>
    </w:div>
    <w:div w:id="2105761106">
      <w:bodyDiv w:val="1"/>
      <w:marLeft w:val="0"/>
      <w:marRight w:val="0"/>
      <w:marTop w:val="0"/>
      <w:marBottom w:val="0"/>
      <w:divBdr>
        <w:top w:val="none" w:sz="0" w:space="0" w:color="auto"/>
        <w:left w:val="none" w:sz="0" w:space="0" w:color="auto"/>
        <w:bottom w:val="none" w:sz="0" w:space="0" w:color="auto"/>
        <w:right w:val="none" w:sz="0" w:space="0" w:color="auto"/>
      </w:divBdr>
    </w:div>
    <w:div w:id="2108454848">
      <w:bodyDiv w:val="1"/>
      <w:marLeft w:val="0"/>
      <w:marRight w:val="0"/>
      <w:marTop w:val="0"/>
      <w:marBottom w:val="0"/>
      <w:divBdr>
        <w:top w:val="none" w:sz="0" w:space="0" w:color="auto"/>
        <w:left w:val="none" w:sz="0" w:space="0" w:color="auto"/>
        <w:bottom w:val="none" w:sz="0" w:space="0" w:color="auto"/>
        <w:right w:val="none" w:sz="0" w:space="0" w:color="auto"/>
      </w:divBdr>
    </w:div>
    <w:div w:id="2110392890">
      <w:bodyDiv w:val="1"/>
      <w:marLeft w:val="0"/>
      <w:marRight w:val="0"/>
      <w:marTop w:val="0"/>
      <w:marBottom w:val="0"/>
      <w:divBdr>
        <w:top w:val="none" w:sz="0" w:space="0" w:color="auto"/>
        <w:left w:val="none" w:sz="0" w:space="0" w:color="auto"/>
        <w:bottom w:val="none" w:sz="0" w:space="0" w:color="auto"/>
        <w:right w:val="none" w:sz="0" w:space="0" w:color="auto"/>
      </w:divBdr>
    </w:div>
    <w:div w:id="2112357980">
      <w:bodyDiv w:val="1"/>
      <w:marLeft w:val="0"/>
      <w:marRight w:val="0"/>
      <w:marTop w:val="0"/>
      <w:marBottom w:val="0"/>
      <w:divBdr>
        <w:top w:val="none" w:sz="0" w:space="0" w:color="auto"/>
        <w:left w:val="none" w:sz="0" w:space="0" w:color="auto"/>
        <w:bottom w:val="none" w:sz="0" w:space="0" w:color="auto"/>
        <w:right w:val="none" w:sz="0" w:space="0" w:color="auto"/>
      </w:divBdr>
    </w:div>
    <w:div w:id="2112897844">
      <w:bodyDiv w:val="1"/>
      <w:marLeft w:val="0"/>
      <w:marRight w:val="0"/>
      <w:marTop w:val="0"/>
      <w:marBottom w:val="0"/>
      <w:divBdr>
        <w:top w:val="none" w:sz="0" w:space="0" w:color="auto"/>
        <w:left w:val="none" w:sz="0" w:space="0" w:color="auto"/>
        <w:bottom w:val="none" w:sz="0" w:space="0" w:color="auto"/>
        <w:right w:val="none" w:sz="0" w:space="0" w:color="auto"/>
      </w:divBdr>
    </w:div>
    <w:div w:id="2116093697">
      <w:bodyDiv w:val="1"/>
      <w:marLeft w:val="0"/>
      <w:marRight w:val="0"/>
      <w:marTop w:val="0"/>
      <w:marBottom w:val="0"/>
      <w:divBdr>
        <w:top w:val="none" w:sz="0" w:space="0" w:color="auto"/>
        <w:left w:val="none" w:sz="0" w:space="0" w:color="auto"/>
        <w:bottom w:val="none" w:sz="0" w:space="0" w:color="auto"/>
        <w:right w:val="none" w:sz="0" w:space="0" w:color="auto"/>
      </w:divBdr>
    </w:div>
    <w:div w:id="2123180192">
      <w:bodyDiv w:val="1"/>
      <w:marLeft w:val="0"/>
      <w:marRight w:val="0"/>
      <w:marTop w:val="0"/>
      <w:marBottom w:val="0"/>
      <w:divBdr>
        <w:top w:val="none" w:sz="0" w:space="0" w:color="auto"/>
        <w:left w:val="none" w:sz="0" w:space="0" w:color="auto"/>
        <w:bottom w:val="none" w:sz="0" w:space="0" w:color="auto"/>
        <w:right w:val="none" w:sz="0" w:space="0" w:color="auto"/>
      </w:divBdr>
    </w:div>
    <w:div w:id="2125685496">
      <w:bodyDiv w:val="1"/>
      <w:marLeft w:val="0"/>
      <w:marRight w:val="0"/>
      <w:marTop w:val="0"/>
      <w:marBottom w:val="0"/>
      <w:divBdr>
        <w:top w:val="none" w:sz="0" w:space="0" w:color="auto"/>
        <w:left w:val="none" w:sz="0" w:space="0" w:color="auto"/>
        <w:bottom w:val="none" w:sz="0" w:space="0" w:color="auto"/>
        <w:right w:val="none" w:sz="0" w:space="0" w:color="auto"/>
      </w:divBdr>
    </w:div>
    <w:div w:id="2133936603">
      <w:bodyDiv w:val="1"/>
      <w:marLeft w:val="0"/>
      <w:marRight w:val="0"/>
      <w:marTop w:val="0"/>
      <w:marBottom w:val="0"/>
      <w:divBdr>
        <w:top w:val="none" w:sz="0" w:space="0" w:color="auto"/>
        <w:left w:val="none" w:sz="0" w:space="0" w:color="auto"/>
        <w:bottom w:val="none" w:sz="0" w:space="0" w:color="auto"/>
        <w:right w:val="none" w:sz="0" w:space="0" w:color="auto"/>
      </w:divBdr>
    </w:div>
    <w:div w:id="2137411265">
      <w:bodyDiv w:val="1"/>
      <w:marLeft w:val="0"/>
      <w:marRight w:val="0"/>
      <w:marTop w:val="0"/>
      <w:marBottom w:val="0"/>
      <w:divBdr>
        <w:top w:val="none" w:sz="0" w:space="0" w:color="auto"/>
        <w:left w:val="none" w:sz="0" w:space="0" w:color="auto"/>
        <w:bottom w:val="none" w:sz="0" w:space="0" w:color="auto"/>
        <w:right w:val="none" w:sz="0" w:space="0" w:color="auto"/>
      </w:divBdr>
    </w:div>
    <w:div w:id="2138335422">
      <w:bodyDiv w:val="1"/>
      <w:marLeft w:val="0"/>
      <w:marRight w:val="0"/>
      <w:marTop w:val="0"/>
      <w:marBottom w:val="0"/>
      <w:divBdr>
        <w:top w:val="none" w:sz="0" w:space="0" w:color="auto"/>
        <w:left w:val="none" w:sz="0" w:space="0" w:color="auto"/>
        <w:bottom w:val="none" w:sz="0" w:space="0" w:color="auto"/>
        <w:right w:val="none" w:sz="0" w:space="0" w:color="auto"/>
      </w:divBdr>
    </w:div>
    <w:div w:id="2144500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chart" Target="charts/chart9.xml"/><Relationship Id="rId42" Type="http://schemas.openxmlformats.org/officeDocument/2006/relationships/chart" Target="charts/chart19.xml"/><Relationship Id="rId47" Type="http://schemas.openxmlformats.org/officeDocument/2006/relationships/chart" Target="charts/chart24.xml"/><Relationship Id="rId63" Type="http://schemas.openxmlformats.org/officeDocument/2006/relationships/header" Target="header9.xml"/><Relationship Id="rId68" Type="http://schemas.openxmlformats.org/officeDocument/2006/relationships/header" Target="header13.xml"/><Relationship Id="rId84" Type="http://schemas.openxmlformats.org/officeDocument/2006/relationships/hyperlink" Target="https://doi.org/10.1080/09286586.2023.2249546" TargetMode="External"/><Relationship Id="rId89" Type="http://schemas.openxmlformats.org/officeDocument/2006/relationships/hyperlink" Target="https://doi.org/10.1371/journal.pntd.0005080" TargetMode="External"/><Relationship Id="rId16" Type="http://schemas.openxmlformats.org/officeDocument/2006/relationships/chart" Target="charts/chart4.xml"/><Relationship Id="rId11" Type="http://schemas.openxmlformats.org/officeDocument/2006/relationships/hyperlink" Target="https://kirby.unsw.edu.au/report-type/australian-trachoma-surveillance-reports" TargetMode="External"/><Relationship Id="rId32" Type="http://schemas.openxmlformats.org/officeDocument/2006/relationships/chart" Target="charts/chart14.xml"/><Relationship Id="rId37" Type="http://schemas.openxmlformats.org/officeDocument/2006/relationships/header" Target="header3.xml"/><Relationship Id="rId53" Type="http://schemas.openxmlformats.org/officeDocument/2006/relationships/header" Target="header8.xml"/><Relationship Id="rId58" Type="http://schemas.openxmlformats.org/officeDocument/2006/relationships/chart" Target="charts/chart30.xml"/><Relationship Id="rId74" Type="http://schemas.openxmlformats.org/officeDocument/2006/relationships/hyperlink" Target="https://doi.org/10.1038/nrmicro.2016.30" TargetMode="External"/><Relationship Id="rId79" Type="http://schemas.openxmlformats.org/officeDocument/2006/relationships/hyperlink" Target="https://doi.org/10.7861/clinmedicine.19-2-157"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chart" Target="charts/chart2.xml"/><Relationship Id="rId22" Type="http://schemas.openxmlformats.org/officeDocument/2006/relationships/header" Target="header1.xml"/><Relationship Id="rId27" Type="http://schemas.openxmlformats.org/officeDocument/2006/relationships/chart" Target="charts/chart10.xml"/><Relationship Id="rId30" Type="http://schemas.openxmlformats.org/officeDocument/2006/relationships/chart" Target="charts/chart12.xml"/><Relationship Id="rId35" Type="http://schemas.openxmlformats.org/officeDocument/2006/relationships/chart" Target="charts/chart17.xml"/><Relationship Id="rId43" Type="http://schemas.openxmlformats.org/officeDocument/2006/relationships/chart" Target="charts/chart20.xml"/><Relationship Id="rId48" Type="http://schemas.openxmlformats.org/officeDocument/2006/relationships/chart" Target="charts/chart25.xml"/><Relationship Id="rId56" Type="http://schemas.openxmlformats.org/officeDocument/2006/relationships/chart" Target="charts/chart28.xml"/><Relationship Id="rId64" Type="http://schemas.openxmlformats.org/officeDocument/2006/relationships/header" Target="header10.xml"/><Relationship Id="rId69" Type="http://schemas.openxmlformats.org/officeDocument/2006/relationships/footer" Target="footer7.xml"/><Relationship Id="rId77" Type="http://schemas.openxmlformats.org/officeDocument/2006/relationships/hyperlink" Target="https://doi.org/10.1136/bjo.2003.038661" TargetMode="External"/><Relationship Id="rId8" Type="http://schemas.openxmlformats.org/officeDocument/2006/relationships/webSettings" Target="webSettings.xml"/><Relationship Id="rId51" Type="http://schemas.openxmlformats.org/officeDocument/2006/relationships/header" Target="header7.xml"/><Relationship Id="rId72" Type="http://schemas.openxmlformats.org/officeDocument/2006/relationships/hyperlink" Target="https://doi.org/10.2471/blt.19.248708" TargetMode="External"/><Relationship Id="rId80" Type="http://schemas.openxmlformats.org/officeDocument/2006/relationships/hyperlink" Target="https://doi.org/10.33321/cdi.2007.31.38" TargetMode="External"/><Relationship Id="rId85" Type="http://schemas.openxmlformats.org/officeDocument/2006/relationships/hyperlink" Target="https://doi.org/10.1080/09286586.2022.2136389"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header" Target="header2.xml"/><Relationship Id="rId33" Type="http://schemas.openxmlformats.org/officeDocument/2006/relationships/chart" Target="charts/chart15.xml"/><Relationship Id="rId38" Type="http://schemas.openxmlformats.org/officeDocument/2006/relationships/header" Target="header4.xml"/><Relationship Id="rId46" Type="http://schemas.openxmlformats.org/officeDocument/2006/relationships/chart" Target="charts/chart23.xml"/><Relationship Id="rId59" Type="http://schemas.openxmlformats.org/officeDocument/2006/relationships/chart" Target="charts/chart31.xml"/><Relationship Id="rId67" Type="http://schemas.openxmlformats.org/officeDocument/2006/relationships/header" Target="header12.xml"/><Relationship Id="rId20" Type="http://schemas.openxmlformats.org/officeDocument/2006/relationships/chart" Target="charts/chart8.xml"/><Relationship Id="rId41" Type="http://schemas.openxmlformats.org/officeDocument/2006/relationships/image" Target="media/image3.png"/><Relationship Id="rId54" Type="http://schemas.openxmlformats.org/officeDocument/2006/relationships/image" Target="media/image4.png"/><Relationship Id="rId62" Type="http://schemas.openxmlformats.org/officeDocument/2006/relationships/chart" Target="charts/chart34.xml"/><Relationship Id="rId70" Type="http://schemas.openxmlformats.org/officeDocument/2006/relationships/header" Target="header14.xml"/><Relationship Id="rId75" Type="http://schemas.openxmlformats.org/officeDocument/2006/relationships/hyperlink" Target="https://doi.org/10.1371/journal.pntd.0012034" TargetMode="External"/><Relationship Id="rId83" Type="http://schemas.openxmlformats.org/officeDocument/2006/relationships/hyperlink" Target="https://doi.org/10.33321/cdi.2010.34.39" TargetMode="External"/><Relationship Id="rId88" Type="http://schemas.openxmlformats.org/officeDocument/2006/relationships/hyperlink" Target="https://doi.org/10.3109/09286586.2015.1037401"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3.xml"/><Relationship Id="rId23" Type="http://schemas.openxmlformats.org/officeDocument/2006/relationships/footer" Target="footer1.xml"/><Relationship Id="rId28" Type="http://schemas.openxmlformats.org/officeDocument/2006/relationships/image" Target="media/image2.png"/><Relationship Id="rId36" Type="http://schemas.openxmlformats.org/officeDocument/2006/relationships/chart" Target="charts/chart18.xml"/><Relationship Id="rId49" Type="http://schemas.openxmlformats.org/officeDocument/2006/relationships/chart" Target="charts/chart26.xml"/><Relationship Id="rId57" Type="http://schemas.openxmlformats.org/officeDocument/2006/relationships/chart" Target="charts/chart29.xml"/><Relationship Id="rId10" Type="http://schemas.openxmlformats.org/officeDocument/2006/relationships/endnotes" Target="endnotes.xml"/><Relationship Id="rId31" Type="http://schemas.openxmlformats.org/officeDocument/2006/relationships/chart" Target="charts/chart13.xml"/><Relationship Id="rId44" Type="http://schemas.openxmlformats.org/officeDocument/2006/relationships/chart" Target="charts/chart21.xml"/><Relationship Id="rId52" Type="http://schemas.openxmlformats.org/officeDocument/2006/relationships/footer" Target="footer5.xml"/><Relationship Id="rId60" Type="http://schemas.openxmlformats.org/officeDocument/2006/relationships/chart" Target="charts/chart32.xml"/><Relationship Id="rId65" Type="http://schemas.openxmlformats.org/officeDocument/2006/relationships/footer" Target="footer6.xml"/><Relationship Id="rId73" Type="http://schemas.openxmlformats.org/officeDocument/2006/relationships/hyperlink" Target="https://doi.org/10.1016/j.ophtha.2008.09.011" TargetMode="External"/><Relationship Id="rId78" Type="http://schemas.openxmlformats.org/officeDocument/2006/relationships/hyperlink" Target="https://doi.org/10.1016/s0140-6736(03)13909-8" TargetMode="External"/><Relationship Id="rId81" Type="http://schemas.openxmlformats.org/officeDocument/2006/relationships/hyperlink" Target="https://doi.org/10.33321/cdi.2008.32.38" TargetMode="External"/><Relationship Id="rId86" Type="http://schemas.openxmlformats.org/officeDocument/2006/relationships/hyperlink" Target="https://doi.org/10.1111/1753-6405.1317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footer" Target="footer4.xml"/><Relationship Id="rId34" Type="http://schemas.openxmlformats.org/officeDocument/2006/relationships/chart" Target="charts/chart16.xml"/><Relationship Id="rId50" Type="http://schemas.openxmlformats.org/officeDocument/2006/relationships/header" Target="header6.xml"/><Relationship Id="rId55" Type="http://schemas.openxmlformats.org/officeDocument/2006/relationships/chart" Target="charts/chart27.xml"/><Relationship Id="rId76" Type="http://schemas.openxmlformats.org/officeDocument/2006/relationships/hyperlink" Target="https://doi.org/10.1371/journal.pntd.0008449" TargetMode="External"/><Relationship Id="rId7" Type="http://schemas.openxmlformats.org/officeDocument/2006/relationships/settings" Target="settings.xml"/><Relationship Id="rId71" Type="http://schemas.openxmlformats.org/officeDocument/2006/relationships/hyperlink" Target="https://doi.org/10.1038/s41572-022-00359-5" TargetMode="External"/><Relationship Id="rId92" Type="http://schemas.microsoft.com/office/2020/10/relationships/intelligence" Target="intelligence2.xml"/><Relationship Id="rId2" Type="http://schemas.openxmlformats.org/officeDocument/2006/relationships/customXml" Target="../customXml/item2.xml"/><Relationship Id="rId29" Type="http://schemas.openxmlformats.org/officeDocument/2006/relationships/chart" Target="charts/chart11.xml"/><Relationship Id="rId24" Type="http://schemas.openxmlformats.org/officeDocument/2006/relationships/footer" Target="footer2.xml"/><Relationship Id="rId40" Type="http://schemas.openxmlformats.org/officeDocument/2006/relationships/header" Target="header5.xml"/><Relationship Id="rId45" Type="http://schemas.openxmlformats.org/officeDocument/2006/relationships/chart" Target="charts/chart22.xml"/><Relationship Id="rId66" Type="http://schemas.openxmlformats.org/officeDocument/2006/relationships/header" Target="header11.xml"/><Relationship Id="rId87" Type="http://schemas.openxmlformats.org/officeDocument/2006/relationships/hyperlink" Target="https://doi.org/10.1016/s1473-3099(03)00659-5" TargetMode="External"/><Relationship Id="rId61" Type="http://schemas.openxmlformats.org/officeDocument/2006/relationships/chart" Target="charts/chart33.xml"/><Relationship Id="rId82" Type="http://schemas.openxmlformats.org/officeDocument/2006/relationships/hyperlink" Target="https://doi.org/10.33321/cdi.2009.33.30" TargetMode="External"/><Relationship Id="rId19"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https://unsw-my.sharepoint.com/personal/z3059262_ad_unsw_edu_au/Documents/Trachoma/ATSR/ATSR%202024/Results.xlsx" TargetMode="External"/><Relationship Id="rId2" Type="http://schemas.microsoft.com/office/2011/relationships/chartColorStyle" Target="colors3.xml"/><Relationship Id="rId1" Type="http://schemas.microsoft.com/office/2011/relationships/chartStyle" Target="style3.xml"/></Relationships>
</file>

<file path=word/charts/_rels/chart13.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15.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https://unsw-my.sharepoint.com/personal/z3059262_ad_unsw_edu_au/Documents/Trachoma/ATSR/ATSR%202024/Results_clean_v04.09.25.xlsx" TargetMode="External"/><Relationship Id="rId2" Type="http://schemas.microsoft.com/office/2011/relationships/chartColorStyle" Target="colors5.xml"/><Relationship Id="rId1" Type="http://schemas.microsoft.com/office/2011/relationships/chartStyle" Target="style5.xml"/></Relationships>
</file>

<file path=word/charts/_rels/chart18.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unsw-my.sharepoint.com/personal/z3059262_ad_unsw_edu_au/Documents/Trachoma/ATSR/ATSR%202024/Results.xlsx" TargetMode="External"/><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3" Type="http://schemas.openxmlformats.org/officeDocument/2006/relationships/oleObject" Target="https://unsw-my.sharepoint.com/personal/z3059262_ad_unsw_edu_au/Documents/Trachoma/ATSR/ATSR%202024/Results.xlsx" TargetMode="External"/><Relationship Id="rId2" Type="http://schemas.microsoft.com/office/2011/relationships/chartColorStyle" Target="colors6.xml"/><Relationship Id="rId1" Type="http://schemas.microsoft.com/office/2011/relationships/chartStyle" Target="style6.xml"/></Relationships>
</file>

<file path=word/charts/_rels/chart21.xml.rels><?xml version="1.0" encoding="UTF-8" standalone="yes"?>
<Relationships xmlns="http://schemas.openxmlformats.org/package/2006/relationships"><Relationship Id="rId3" Type="http://schemas.openxmlformats.org/officeDocument/2006/relationships/oleObject" Target="https://unsw-my.sharepoint.com/personal/z3059262_ad_unsw_edu_au/Documents/Trachoma/ATSR/ATSR%202024/Results.xlsx" TargetMode="External"/><Relationship Id="rId2" Type="http://schemas.microsoft.com/office/2011/relationships/chartColorStyle" Target="colors7.xml"/><Relationship Id="rId1" Type="http://schemas.microsoft.com/office/2011/relationships/chartStyle" Target="style7.xml"/></Relationships>
</file>

<file path=word/charts/_rels/chart22.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25.xml.rels><?xml version="1.0" encoding="UTF-8" standalone="yes"?>
<Relationships xmlns="http://schemas.openxmlformats.org/package/2006/relationships"><Relationship Id="rId3" Type="http://schemas.openxmlformats.org/officeDocument/2006/relationships/oleObject" Target="https://unsw-my.sharepoint.com/personal/z3059262_ad_unsw_edu_au/Documents/Trachoma/ATSR/ATSR%202024/Results_clean.xlsx" TargetMode="External"/><Relationship Id="rId2" Type="http://schemas.microsoft.com/office/2011/relationships/chartColorStyle" Target="colors8.xml"/><Relationship Id="rId1" Type="http://schemas.microsoft.com/office/2011/relationships/chartStyle" Target="style8.xml"/></Relationships>
</file>

<file path=word/charts/_rels/chart26.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28.xml.rels><?xml version="1.0" encoding="UTF-8" standalone="yes"?>
<Relationships xmlns="http://schemas.openxmlformats.org/package/2006/relationships"><Relationship Id="rId3" Type="http://schemas.openxmlformats.org/officeDocument/2006/relationships/oleObject" Target="https://unsw-my.sharepoint.com/personal/z3059262_ad_unsw_edu_au/Documents/Trachoma/ATSR/ATSR%202024/Results.xlsx" TargetMode="External"/><Relationship Id="rId2" Type="http://schemas.microsoft.com/office/2011/relationships/chartColorStyle" Target="colors9.xml"/><Relationship Id="rId1" Type="http://schemas.microsoft.com/office/2011/relationships/chartStyle" Target="style9.xml"/></Relationships>
</file>

<file path=word/charts/_rels/chart29.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https://unsw-my.sharepoint.com/personal/z3059262_ad_unsw_edu_au/Documents/Trachoma/ATSR/ATSR%202024/Results_clean.xlsx" TargetMode="External"/><Relationship Id="rId2" Type="http://schemas.microsoft.com/office/2011/relationships/chartColorStyle" Target="colors10.xml"/><Relationship Id="rId1" Type="http://schemas.microsoft.com/office/2011/relationships/chartStyle" Target="style10.xml"/></Relationships>
</file>

<file path=word/charts/_rels/chart34.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https://unsw-my.sharepoint.com/personal/z3059262_ad_unsw_edu_au/Documents/Trachoma/ATSR/ATSR%202024/Results_clean_v04.09.25.xlsx" TargetMode="External"/><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unsw-my.sharepoint.com/personal/z3059262_ad_unsw_edu_au/Documents/Trachoma/ATSR/ATSR%202024/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1.2'!$A$3</c:f>
              <c:strCache>
                <c:ptCount val="1"/>
                <c:pt idx="0">
                  <c:v>New South Wales</c:v>
                </c:pt>
              </c:strCache>
            </c:strRef>
          </c:tx>
          <c:cat>
            <c:numRef>
              <c:f>'Figure 1.2'!$B$2:$S$2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1.2'!$B$3:$S$3</c:f>
              <c:numCache>
                <c:formatCode>General</c:formatCode>
                <c:ptCount val="18"/>
                <c:pt idx="6">
                  <c:v>10</c:v>
                </c:pt>
                <c:pt idx="7">
                  <c:v>10</c:v>
                </c:pt>
                <c:pt idx="8">
                  <c:v>1</c:v>
                </c:pt>
                <c:pt idx="9">
                  <c:v>0</c:v>
                </c:pt>
                <c:pt idx="10">
                  <c:v>0</c:v>
                </c:pt>
                <c:pt idx="11" formatCode="0">
                  <c:v>0</c:v>
                </c:pt>
                <c:pt idx="12">
                  <c:v>0</c:v>
                </c:pt>
                <c:pt idx="13">
                  <c:v>0</c:v>
                </c:pt>
                <c:pt idx="14">
                  <c:v>0</c:v>
                </c:pt>
                <c:pt idx="15">
                  <c:v>0</c:v>
                </c:pt>
                <c:pt idx="16">
                  <c:v>0</c:v>
                </c:pt>
                <c:pt idx="17" formatCode="0">
                  <c:v>0</c:v>
                </c:pt>
              </c:numCache>
            </c:numRef>
          </c:val>
          <c:smooth val="0"/>
          <c:extLst>
            <c:ext xmlns:c16="http://schemas.microsoft.com/office/drawing/2014/chart" uri="{C3380CC4-5D6E-409C-BE32-E72D297353CC}">
              <c16:uniqueId val="{00000000-80E7-4C5F-A8DC-C62B936BAD61}"/>
            </c:ext>
          </c:extLst>
        </c:ser>
        <c:ser>
          <c:idx val="1"/>
          <c:order val="1"/>
          <c:tx>
            <c:strRef>
              <c:f>'Figure 1.2'!$A$4</c:f>
              <c:strCache>
                <c:ptCount val="1"/>
                <c:pt idx="0">
                  <c:v>Northern Territory</c:v>
                </c:pt>
              </c:strCache>
            </c:strRef>
          </c:tx>
          <c:cat>
            <c:numRef>
              <c:f>'Figure 1.2'!$B$2:$S$2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1.2'!$B$4:$S$4</c:f>
              <c:numCache>
                <c:formatCode>General</c:formatCode>
                <c:ptCount val="18"/>
                <c:pt idx="0">
                  <c:v>85</c:v>
                </c:pt>
                <c:pt idx="1">
                  <c:v>81</c:v>
                </c:pt>
                <c:pt idx="2">
                  <c:v>84</c:v>
                </c:pt>
                <c:pt idx="3">
                  <c:v>84</c:v>
                </c:pt>
                <c:pt idx="4">
                  <c:v>84</c:v>
                </c:pt>
                <c:pt idx="5">
                  <c:v>80</c:v>
                </c:pt>
                <c:pt idx="6">
                  <c:v>80</c:v>
                </c:pt>
                <c:pt idx="7">
                  <c:v>78</c:v>
                </c:pt>
                <c:pt idx="8">
                  <c:v>78</c:v>
                </c:pt>
                <c:pt idx="9">
                  <c:v>77</c:v>
                </c:pt>
                <c:pt idx="10">
                  <c:v>68</c:v>
                </c:pt>
                <c:pt idx="11" formatCode="0">
                  <c:v>61</c:v>
                </c:pt>
                <c:pt idx="12">
                  <c:v>57</c:v>
                </c:pt>
                <c:pt idx="13">
                  <c:v>45</c:v>
                </c:pt>
                <c:pt idx="14">
                  <c:v>44</c:v>
                </c:pt>
                <c:pt idx="15">
                  <c:v>45</c:v>
                </c:pt>
                <c:pt idx="16">
                  <c:v>43</c:v>
                </c:pt>
                <c:pt idx="17" formatCode="0">
                  <c:v>48</c:v>
                </c:pt>
              </c:numCache>
            </c:numRef>
          </c:val>
          <c:smooth val="0"/>
          <c:extLst>
            <c:ext xmlns:c16="http://schemas.microsoft.com/office/drawing/2014/chart" uri="{C3380CC4-5D6E-409C-BE32-E72D297353CC}">
              <c16:uniqueId val="{00000001-80E7-4C5F-A8DC-C62B936BAD61}"/>
            </c:ext>
          </c:extLst>
        </c:ser>
        <c:ser>
          <c:idx val="2"/>
          <c:order val="2"/>
          <c:tx>
            <c:strRef>
              <c:f>'Figure 1.2'!$A$5</c:f>
              <c:strCache>
                <c:ptCount val="1"/>
                <c:pt idx="0">
                  <c:v>Queensland</c:v>
                </c:pt>
              </c:strCache>
            </c:strRef>
          </c:tx>
          <c:cat>
            <c:numRef>
              <c:f>'Figure 1.2'!$B$2:$S$2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1.2'!$B$5:$S$5</c:f>
              <c:numCache>
                <c:formatCode>General</c:formatCode>
                <c:ptCount val="18"/>
                <c:pt idx="5">
                  <c:v>6</c:v>
                </c:pt>
                <c:pt idx="9">
                  <c:v>7</c:v>
                </c:pt>
                <c:pt idx="10">
                  <c:v>7</c:v>
                </c:pt>
                <c:pt idx="11" formatCode="0">
                  <c:v>11</c:v>
                </c:pt>
                <c:pt idx="12">
                  <c:v>11</c:v>
                </c:pt>
                <c:pt idx="13">
                  <c:v>4</c:v>
                </c:pt>
                <c:pt idx="14">
                  <c:v>4</c:v>
                </c:pt>
                <c:pt idx="15">
                  <c:v>0</c:v>
                </c:pt>
                <c:pt idx="16" formatCode="0">
                  <c:v>0</c:v>
                </c:pt>
                <c:pt idx="17" formatCode="0">
                  <c:v>0</c:v>
                </c:pt>
              </c:numCache>
            </c:numRef>
          </c:val>
          <c:smooth val="0"/>
          <c:extLst>
            <c:ext xmlns:c16="http://schemas.microsoft.com/office/drawing/2014/chart" uri="{C3380CC4-5D6E-409C-BE32-E72D297353CC}">
              <c16:uniqueId val="{00000002-80E7-4C5F-A8DC-C62B936BAD61}"/>
            </c:ext>
          </c:extLst>
        </c:ser>
        <c:ser>
          <c:idx val="3"/>
          <c:order val="3"/>
          <c:tx>
            <c:strRef>
              <c:f>'Figure 1.2'!$A$6</c:f>
              <c:strCache>
                <c:ptCount val="1"/>
                <c:pt idx="0">
                  <c:v>South Australia</c:v>
                </c:pt>
              </c:strCache>
            </c:strRef>
          </c:tx>
          <c:cat>
            <c:numRef>
              <c:f>'Figure 1.2'!$B$2:$S$2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1.2'!$B$6:$S$6</c:f>
              <c:numCache>
                <c:formatCode>General</c:formatCode>
                <c:ptCount val="18"/>
                <c:pt idx="0">
                  <c:v>68</c:v>
                </c:pt>
                <c:pt idx="1">
                  <c:v>72</c:v>
                </c:pt>
                <c:pt idx="2">
                  <c:v>72</c:v>
                </c:pt>
                <c:pt idx="3">
                  <c:v>72</c:v>
                </c:pt>
                <c:pt idx="4">
                  <c:v>72</c:v>
                </c:pt>
                <c:pt idx="5">
                  <c:v>38</c:v>
                </c:pt>
                <c:pt idx="6">
                  <c:v>22</c:v>
                </c:pt>
                <c:pt idx="7">
                  <c:v>21</c:v>
                </c:pt>
                <c:pt idx="8">
                  <c:v>19</c:v>
                </c:pt>
                <c:pt idx="9">
                  <c:v>19</c:v>
                </c:pt>
                <c:pt idx="10">
                  <c:v>18</c:v>
                </c:pt>
                <c:pt idx="11" formatCode="0">
                  <c:v>15</c:v>
                </c:pt>
                <c:pt idx="12">
                  <c:v>15</c:v>
                </c:pt>
                <c:pt idx="13">
                  <c:v>15</c:v>
                </c:pt>
                <c:pt idx="14">
                  <c:v>15</c:v>
                </c:pt>
                <c:pt idx="15">
                  <c:v>11</c:v>
                </c:pt>
                <c:pt idx="16" formatCode="0">
                  <c:v>11</c:v>
                </c:pt>
                <c:pt idx="17" formatCode="0">
                  <c:v>16</c:v>
                </c:pt>
              </c:numCache>
            </c:numRef>
          </c:val>
          <c:smooth val="0"/>
          <c:extLst>
            <c:ext xmlns:c16="http://schemas.microsoft.com/office/drawing/2014/chart" uri="{C3380CC4-5D6E-409C-BE32-E72D297353CC}">
              <c16:uniqueId val="{00000003-80E7-4C5F-A8DC-C62B936BAD61}"/>
            </c:ext>
          </c:extLst>
        </c:ser>
        <c:ser>
          <c:idx val="4"/>
          <c:order val="4"/>
          <c:tx>
            <c:strRef>
              <c:f>'Figure 1.2'!$A$7</c:f>
              <c:strCache>
                <c:ptCount val="1"/>
                <c:pt idx="0">
                  <c:v>Western Australia</c:v>
                </c:pt>
              </c:strCache>
            </c:strRef>
          </c:tx>
          <c:cat>
            <c:numRef>
              <c:f>'Figure 1.2'!$B$2:$S$2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1.2'!$B$7:$S$7</c:f>
              <c:numCache>
                <c:formatCode>General</c:formatCode>
                <c:ptCount val="18"/>
                <c:pt idx="0">
                  <c:v>72</c:v>
                </c:pt>
                <c:pt idx="1">
                  <c:v>74</c:v>
                </c:pt>
                <c:pt idx="2">
                  <c:v>74</c:v>
                </c:pt>
                <c:pt idx="3">
                  <c:v>86</c:v>
                </c:pt>
                <c:pt idx="4">
                  <c:v>75</c:v>
                </c:pt>
                <c:pt idx="5">
                  <c:v>78</c:v>
                </c:pt>
                <c:pt idx="6">
                  <c:v>71</c:v>
                </c:pt>
                <c:pt idx="7">
                  <c:v>66</c:v>
                </c:pt>
                <c:pt idx="8">
                  <c:v>58</c:v>
                </c:pt>
                <c:pt idx="9">
                  <c:v>51</c:v>
                </c:pt>
                <c:pt idx="10">
                  <c:v>41</c:v>
                </c:pt>
                <c:pt idx="11" formatCode="0">
                  <c:v>41</c:v>
                </c:pt>
                <c:pt idx="12">
                  <c:v>38</c:v>
                </c:pt>
                <c:pt idx="13">
                  <c:v>36</c:v>
                </c:pt>
                <c:pt idx="14">
                  <c:v>34</c:v>
                </c:pt>
                <c:pt idx="15">
                  <c:v>31</c:v>
                </c:pt>
                <c:pt idx="16" formatCode="0">
                  <c:v>34</c:v>
                </c:pt>
                <c:pt idx="17" formatCode="0">
                  <c:v>33</c:v>
                </c:pt>
              </c:numCache>
            </c:numRef>
          </c:val>
          <c:smooth val="0"/>
          <c:extLst>
            <c:ext xmlns:c16="http://schemas.microsoft.com/office/drawing/2014/chart" uri="{C3380CC4-5D6E-409C-BE32-E72D297353CC}">
              <c16:uniqueId val="{00000004-80E7-4C5F-A8DC-C62B936BAD61}"/>
            </c:ext>
          </c:extLst>
        </c:ser>
        <c:ser>
          <c:idx val="5"/>
          <c:order val="5"/>
          <c:tx>
            <c:strRef>
              <c:f>'Figure 1.2'!$A$8</c:f>
              <c:strCache>
                <c:ptCount val="1"/>
                <c:pt idx="0">
                  <c:v>National</c:v>
                </c:pt>
              </c:strCache>
            </c:strRef>
          </c:tx>
          <c:cat>
            <c:numRef>
              <c:f>'Figure 1.2'!$B$2:$S$2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1.2'!$B$8:$S$8</c:f>
              <c:numCache>
                <c:formatCode>General</c:formatCode>
                <c:ptCount val="18"/>
                <c:pt idx="0">
                  <c:v>225</c:v>
                </c:pt>
                <c:pt idx="1">
                  <c:v>227</c:v>
                </c:pt>
                <c:pt idx="2">
                  <c:v>230</c:v>
                </c:pt>
                <c:pt idx="3">
                  <c:v>242</c:v>
                </c:pt>
                <c:pt idx="4">
                  <c:v>231</c:v>
                </c:pt>
                <c:pt idx="5">
                  <c:v>202</c:v>
                </c:pt>
                <c:pt idx="6">
                  <c:v>183</c:v>
                </c:pt>
                <c:pt idx="7">
                  <c:v>175</c:v>
                </c:pt>
                <c:pt idx="8">
                  <c:v>156</c:v>
                </c:pt>
                <c:pt idx="9">
                  <c:v>154</c:v>
                </c:pt>
                <c:pt idx="10">
                  <c:v>134</c:v>
                </c:pt>
                <c:pt idx="11">
                  <c:v>128</c:v>
                </c:pt>
                <c:pt idx="12">
                  <c:v>121</c:v>
                </c:pt>
                <c:pt idx="13">
                  <c:v>100</c:v>
                </c:pt>
                <c:pt idx="14">
                  <c:v>97</c:v>
                </c:pt>
                <c:pt idx="15">
                  <c:v>87</c:v>
                </c:pt>
                <c:pt idx="16">
                  <c:v>88</c:v>
                </c:pt>
                <c:pt idx="17">
                  <c:v>97</c:v>
                </c:pt>
              </c:numCache>
            </c:numRef>
          </c:val>
          <c:smooth val="0"/>
          <c:extLst>
            <c:ext xmlns:c16="http://schemas.microsoft.com/office/drawing/2014/chart" uri="{C3380CC4-5D6E-409C-BE32-E72D297353CC}">
              <c16:uniqueId val="{00000005-80E7-4C5F-A8DC-C62B936BAD61}"/>
            </c:ext>
          </c:extLst>
        </c:ser>
        <c:dLbls>
          <c:showLegendKey val="0"/>
          <c:showVal val="0"/>
          <c:showCatName val="0"/>
          <c:showSerName val="0"/>
          <c:showPercent val="0"/>
          <c:showBubbleSize val="0"/>
        </c:dLbls>
        <c:marker val="1"/>
        <c:smooth val="0"/>
        <c:axId val="131750912"/>
        <c:axId val="131777280"/>
      </c:lineChart>
      <c:catAx>
        <c:axId val="131750912"/>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31777280"/>
        <c:crosses val="autoZero"/>
        <c:auto val="1"/>
        <c:lblAlgn val="ctr"/>
        <c:lblOffset val="100"/>
        <c:noMultiLvlLbl val="0"/>
      </c:catAx>
      <c:valAx>
        <c:axId val="131777280"/>
        <c:scaling>
          <c:orientation val="minMax"/>
        </c:scaling>
        <c:delete val="0"/>
        <c:axPos val="l"/>
        <c:majorGridlines>
          <c:spPr>
            <a:ln>
              <a:noFill/>
            </a:ln>
          </c:spPr>
        </c:majorGridlines>
        <c:title>
          <c:tx>
            <c:rich>
              <a:bodyPr/>
              <a:lstStyle/>
              <a:p>
                <a:pPr>
                  <a:defRPr/>
                </a:pPr>
                <a:r>
                  <a:rPr lang="en-US"/>
                  <a:t>Number of communities</a:t>
                </a:r>
              </a:p>
            </c:rich>
          </c:tx>
          <c:overlay val="0"/>
        </c:title>
        <c:numFmt formatCode="#,##0" sourceLinked="0"/>
        <c:majorTickMark val="out"/>
        <c:minorTickMark val="none"/>
        <c:tickLblPos val="nextTo"/>
        <c:crossAx val="131750912"/>
        <c:crosses val="autoZero"/>
        <c:crossBetween val="between"/>
      </c:valAx>
    </c:plotArea>
    <c:legend>
      <c:legendPos val="b"/>
      <c:layout>
        <c:manualLayout>
          <c:xMode val="edge"/>
          <c:yMode val="edge"/>
          <c:x val="7.6279482306091037E-2"/>
          <c:y val="0.83958253738992683"/>
          <c:w val="0.88493857142857146"/>
          <c:h val="0.12738888888888888"/>
        </c:manualLayout>
      </c:layout>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1.9'!$A$3</c:f>
              <c:strCache>
                <c:ptCount val="1"/>
                <c:pt idx="0">
                  <c:v>New South Wales</c:v>
                </c:pt>
              </c:strCache>
            </c:strRef>
          </c:tx>
          <c:cat>
            <c:numRef>
              <c:f>'Figure 1.9'!$B$2:$S$2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1.9'!$B$3:$S$3</c:f>
              <c:numCache>
                <c:formatCode>General</c:formatCode>
                <c:ptCount val="18"/>
                <c:pt idx="6">
                  <c:v>25</c:v>
                </c:pt>
                <c:pt idx="7">
                  <c:v>0</c:v>
                </c:pt>
                <c:pt idx="8">
                  <c:v>0</c:v>
                </c:pt>
              </c:numCache>
            </c:numRef>
          </c:val>
          <c:smooth val="0"/>
          <c:extLst>
            <c:ext xmlns:c16="http://schemas.microsoft.com/office/drawing/2014/chart" uri="{C3380CC4-5D6E-409C-BE32-E72D297353CC}">
              <c16:uniqueId val="{00000000-1CAA-4FD0-8AB1-6168D6CD7CB1}"/>
            </c:ext>
          </c:extLst>
        </c:ser>
        <c:ser>
          <c:idx val="1"/>
          <c:order val="1"/>
          <c:tx>
            <c:strRef>
              <c:f>'Figure 1.9'!$A$4</c:f>
              <c:strCache>
                <c:ptCount val="1"/>
                <c:pt idx="0">
                  <c:v>Northern Territory</c:v>
                </c:pt>
              </c:strCache>
            </c:strRef>
          </c:tx>
          <c:cat>
            <c:numRef>
              <c:f>'Figure 1.9'!$B$2:$S$2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1.9'!$B$4:$S$4</c:f>
              <c:numCache>
                <c:formatCode>General</c:formatCode>
                <c:ptCount val="18"/>
                <c:pt idx="0">
                  <c:v>317</c:v>
                </c:pt>
                <c:pt idx="1">
                  <c:v>3940</c:v>
                </c:pt>
                <c:pt idx="2">
                  <c:v>3270</c:v>
                </c:pt>
                <c:pt idx="3">
                  <c:v>4344</c:v>
                </c:pt>
                <c:pt idx="4">
                  <c:v>5915</c:v>
                </c:pt>
                <c:pt idx="5">
                  <c:v>7403</c:v>
                </c:pt>
                <c:pt idx="6">
                  <c:v>9232</c:v>
                </c:pt>
                <c:pt idx="7">
                  <c:v>7800</c:v>
                </c:pt>
                <c:pt idx="8">
                  <c:v>6674</c:v>
                </c:pt>
                <c:pt idx="9">
                  <c:v>8604</c:v>
                </c:pt>
                <c:pt idx="10">
                  <c:v>6644</c:v>
                </c:pt>
                <c:pt idx="11">
                  <c:v>5561</c:v>
                </c:pt>
                <c:pt idx="12" formatCode="0">
                  <c:v>3667</c:v>
                </c:pt>
                <c:pt idx="13">
                  <c:v>3174</c:v>
                </c:pt>
                <c:pt idx="14">
                  <c:v>1083</c:v>
                </c:pt>
                <c:pt idx="15">
                  <c:v>524</c:v>
                </c:pt>
                <c:pt idx="16" formatCode="0">
                  <c:v>1568</c:v>
                </c:pt>
                <c:pt idx="17">
                  <c:v>1582</c:v>
                </c:pt>
              </c:numCache>
            </c:numRef>
          </c:val>
          <c:smooth val="0"/>
          <c:extLst>
            <c:ext xmlns:c16="http://schemas.microsoft.com/office/drawing/2014/chart" uri="{C3380CC4-5D6E-409C-BE32-E72D297353CC}">
              <c16:uniqueId val="{00000001-1CAA-4FD0-8AB1-6168D6CD7CB1}"/>
            </c:ext>
          </c:extLst>
        </c:ser>
        <c:ser>
          <c:idx val="2"/>
          <c:order val="2"/>
          <c:tx>
            <c:strRef>
              <c:f>'Figure 1.9'!$A$5</c:f>
              <c:strCache>
                <c:ptCount val="1"/>
                <c:pt idx="0">
                  <c:v>Queensland</c:v>
                </c:pt>
              </c:strCache>
            </c:strRef>
          </c:tx>
          <c:cat>
            <c:numRef>
              <c:f>'Figure 1.9'!$B$2:$S$2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1.9'!$B$5:$S$5</c:f>
              <c:numCache>
                <c:formatCode>General</c:formatCode>
                <c:ptCount val="18"/>
                <c:pt idx="9">
                  <c:v>91</c:v>
                </c:pt>
                <c:pt idx="11">
                  <c:v>56</c:v>
                </c:pt>
                <c:pt idx="12" formatCode="0">
                  <c:v>29</c:v>
                </c:pt>
                <c:pt idx="13">
                  <c:v>0</c:v>
                </c:pt>
                <c:pt idx="14">
                  <c:v>0</c:v>
                </c:pt>
              </c:numCache>
            </c:numRef>
          </c:val>
          <c:smooth val="0"/>
          <c:extLst>
            <c:ext xmlns:c16="http://schemas.microsoft.com/office/drawing/2014/chart" uri="{C3380CC4-5D6E-409C-BE32-E72D297353CC}">
              <c16:uniqueId val="{00000002-1CAA-4FD0-8AB1-6168D6CD7CB1}"/>
            </c:ext>
          </c:extLst>
        </c:ser>
        <c:ser>
          <c:idx val="3"/>
          <c:order val="3"/>
          <c:tx>
            <c:strRef>
              <c:f>'Figure 1.9'!$A$6</c:f>
              <c:strCache>
                <c:ptCount val="1"/>
                <c:pt idx="0">
                  <c:v>South Australia</c:v>
                </c:pt>
              </c:strCache>
            </c:strRef>
          </c:tx>
          <c:cat>
            <c:numRef>
              <c:f>'Figure 1.9'!$B$2:$S$2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1.9'!$B$6:$S$6</c:f>
              <c:numCache>
                <c:formatCode>General</c:formatCode>
                <c:ptCount val="18"/>
                <c:pt idx="0">
                  <c:v>20</c:v>
                </c:pt>
                <c:pt idx="1">
                  <c:v>7</c:v>
                </c:pt>
                <c:pt idx="2">
                  <c:v>19</c:v>
                </c:pt>
                <c:pt idx="3">
                  <c:v>#N/A</c:v>
                </c:pt>
                <c:pt idx="4">
                  <c:v>468</c:v>
                </c:pt>
                <c:pt idx="5">
                  <c:v>112</c:v>
                </c:pt>
                <c:pt idx="6">
                  <c:v>203</c:v>
                </c:pt>
                <c:pt idx="7">
                  <c:v>200</c:v>
                </c:pt>
                <c:pt idx="8">
                  <c:v>463</c:v>
                </c:pt>
                <c:pt idx="9">
                  <c:v>425</c:v>
                </c:pt>
                <c:pt idx="10">
                  <c:v>186</c:v>
                </c:pt>
                <c:pt idx="11">
                  <c:v>93</c:v>
                </c:pt>
                <c:pt idx="12" formatCode="0">
                  <c:v>39</c:v>
                </c:pt>
                <c:pt idx="13">
                  <c:v>28</c:v>
                </c:pt>
                <c:pt idx="14">
                  <c:v>50</c:v>
                </c:pt>
                <c:pt idx="15">
                  <c:v>0</c:v>
                </c:pt>
                <c:pt idx="16">
                  <c:v>0</c:v>
                </c:pt>
                <c:pt idx="17">
                  <c:v>0</c:v>
                </c:pt>
              </c:numCache>
            </c:numRef>
          </c:val>
          <c:smooth val="0"/>
          <c:extLst>
            <c:ext xmlns:c16="http://schemas.microsoft.com/office/drawing/2014/chart" uri="{C3380CC4-5D6E-409C-BE32-E72D297353CC}">
              <c16:uniqueId val="{00000003-1CAA-4FD0-8AB1-6168D6CD7CB1}"/>
            </c:ext>
          </c:extLst>
        </c:ser>
        <c:ser>
          <c:idx val="4"/>
          <c:order val="4"/>
          <c:tx>
            <c:strRef>
              <c:f>'Figure 1.9'!$A$7</c:f>
              <c:strCache>
                <c:ptCount val="1"/>
                <c:pt idx="0">
                  <c:v>Western Australia</c:v>
                </c:pt>
              </c:strCache>
            </c:strRef>
          </c:tx>
          <c:cat>
            <c:numRef>
              <c:f>'Figure 1.9'!$B$2:$S$2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1.9'!$B$7:$S$7</c:f>
              <c:numCache>
                <c:formatCode>General</c:formatCode>
                <c:ptCount val="18"/>
                <c:pt idx="0">
                  <c:v>1401</c:v>
                </c:pt>
                <c:pt idx="1">
                  <c:v>2917</c:v>
                </c:pt>
                <c:pt idx="2">
                  <c:v>1459</c:v>
                </c:pt>
                <c:pt idx="3">
                  <c:v>1181</c:v>
                </c:pt>
                <c:pt idx="4">
                  <c:v>1264</c:v>
                </c:pt>
                <c:pt idx="5">
                  <c:v>700</c:v>
                </c:pt>
                <c:pt idx="6">
                  <c:v>759</c:v>
                </c:pt>
                <c:pt idx="7">
                  <c:v>1798</c:v>
                </c:pt>
                <c:pt idx="8">
                  <c:v>1744</c:v>
                </c:pt>
                <c:pt idx="9">
                  <c:v>2489</c:v>
                </c:pt>
                <c:pt idx="10">
                  <c:v>2467</c:v>
                </c:pt>
                <c:pt idx="11">
                  <c:v>872</c:v>
                </c:pt>
                <c:pt idx="12" formatCode="0">
                  <c:v>979</c:v>
                </c:pt>
                <c:pt idx="13">
                  <c:v>550</c:v>
                </c:pt>
                <c:pt idx="14">
                  <c:v>684</c:v>
                </c:pt>
                <c:pt idx="15">
                  <c:v>304</c:v>
                </c:pt>
                <c:pt idx="16">
                  <c:v>109</c:v>
                </c:pt>
                <c:pt idx="17">
                  <c:v>92</c:v>
                </c:pt>
              </c:numCache>
            </c:numRef>
          </c:val>
          <c:smooth val="0"/>
          <c:extLst>
            <c:ext xmlns:c16="http://schemas.microsoft.com/office/drawing/2014/chart" uri="{C3380CC4-5D6E-409C-BE32-E72D297353CC}">
              <c16:uniqueId val="{00000004-1CAA-4FD0-8AB1-6168D6CD7CB1}"/>
            </c:ext>
          </c:extLst>
        </c:ser>
        <c:dLbls>
          <c:showLegendKey val="0"/>
          <c:showVal val="0"/>
          <c:showCatName val="0"/>
          <c:showSerName val="0"/>
          <c:showPercent val="0"/>
          <c:showBubbleSize val="0"/>
        </c:dLbls>
        <c:marker val="1"/>
        <c:smooth val="0"/>
        <c:axId val="133614976"/>
        <c:axId val="133620864"/>
      </c:lineChart>
      <c:catAx>
        <c:axId val="133614976"/>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33620864"/>
        <c:crosses val="autoZero"/>
        <c:auto val="1"/>
        <c:lblAlgn val="ctr"/>
        <c:lblOffset val="100"/>
        <c:noMultiLvlLbl val="0"/>
      </c:catAx>
      <c:valAx>
        <c:axId val="133620864"/>
        <c:scaling>
          <c:orientation val="minMax"/>
        </c:scaling>
        <c:delete val="0"/>
        <c:axPos val="l"/>
        <c:majorGridlines>
          <c:spPr>
            <a:ln>
              <a:noFill/>
            </a:ln>
          </c:spPr>
        </c:majorGridlines>
        <c:title>
          <c:tx>
            <c:rich>
              <a:bodyPr/>
              <a:lstStyle/>
              <a:p>
                <a:pPr>
                  <a:defRPr/>
                </a:pPr>
                <a:r>
                  <a:rPr lang="en-US"/>
                  <a:t>Number of doses</a:t>
                </a:r>
              </a:p>
            </c:rich>
          </c:tx>
          <c:overlay val="0"/>
        </c:title>
        <c:numFmt formatCode="General" sourceLinked="1"/>
        <c:majorTickMark val="out"/>
        <c:minorTickMark val="none"/>
        <c:tickLblPos val="nextTo"/>
        <c:crossAx val="133614976"/>
        <c:crosses val="autoZero"/>
        <c:crossBetween val="between"/>
      </c:valAx>
    </c:plotArea>
    <c:legend>
      <c:legendPos val="b"/>
      <c:layout>
        <c:manualLayout>
          <c:xMode val="edge"/>
          <c:yMode val="edge"/>
          <c:x val="8.9540682414698147E-2"/>
          <c:y val="0.84052616952292725"/>
          <c:w val="0.86916244631803852"/>
          <c:h val="0.12784506393525322"/>
        </c:manualLayout>
      </c:layout>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2.2_new'!$A$3</c:f>
              <c:strCache>
                <c:ptCount val="1"/>
                <c:pt idx="0">
                  <c:v>Alice Springs Remote</c:v>
                </c:pt>
              </c:strCache>
            </c:strRef>
          </c:tx>
          <c:cat>
            <c:numRef>
              <c:f>'Figure 2.2_new'!$B$2:$S$2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2.2_new'!$B$3:$S$3</c:f>
              <c:numCache>
                <c:formatCode>General</c:formatCode>
                <c:ptCount val="18"/>
                <c:pt idx="0">
                  <c:v>31</c:v>
                </c:pt>
                <c:pt idx="1">
                  <c:v>30</c:v>
                </c:pt>
                <c:pt idx="2">
                  <c:v>30</c:v>
                </c:pt>
                <c:pt idx="3">
                  <c:v>30</c:v>
                </c:pt>
                <c:pt idx="4">
                  <c:v>30</c:v>
                </c:pt>
                <c:pt idx="5">
                  <c:v>30</c:v>
                </c:pt>
                <c:pt idx="6">
                  <c:v>27</c:v>
                </c:pt>
                <c:pt idx="7">
                  <c:v>26</c:v>
                </c:pt>
                <c:pt idx="8">
                  <c:v>27</c:v>
                </c:pt>
                <c:pt idx="9">
                  <c:v>27</c:v>
                </c:pt>
                <c:pt idx="10">
                  <c:v>24</c:v>
                </c:pt>
                <c:pt idx="11">
                  <c:v>25</c:v>
                </c:pt>
                <c:pt idx="12">
                  <c:v>25</c:v>
                </c:pt>
                <c:pt idx="13">
                  <c:v>24</c:v>
                </c:pt>
                <c:pt idx="14">
                  <c:v>26</c:v>
                </c:pt>
                <c:pt idx="15">
                  <c:v>25</c:v>
                </c:pt>
                <c:pt idx="16">
                  <c:v>25</c:v>
                </c:pt>
                <c:pt idx="17">
                  <c:v>27</c:v>
                </c:pt>
              </c:numCache>
            </c:numRef>
          </c:val>
          <c:smooth val="0"/>
          <c:extLst>
            <c:ext xmlns:c16="http://schemas.microsoft.com/office/drawing/2014/chart" uri="{C3380CC4-5D6E-409C-BE32-E72D297353CC}">
              <c16:uniqueId val="{00000000-2101-4D02-959B-AE3937C3F8FA}"/>
            </c:ext>
          </c:extLst>
        </c:ser>
        <c:ser>
          <c:idx val="1"/>
          <c:order val="1"/>
          <c:tx>
            <c:strRef>
              <c:f>'Figure 2.2_new'!$A$4</c:f>
              <c:strCache>
                <c:ptCount val="1"/>
                <c:pt idx="0">
                  <c:v>Barkly</c:v>
                </c:pt>
              </c:strCache>
            </c:strRef>
          </c:tx>
          <c:cat>
            <c:numRef>
              <c:f>'Figure 2.2_new'!$B$2:$S$2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2.2_new'!$B$4:$S$4</c:f>
              <c:numCache>
                <c:formatCode>General</c:formatCode>
                <c:ptCount val="18"/>
                <c:pt idx="0">
                  <c:v>8</c:v>
                </c:pt>
                <c:pt idx="1">
                  <c:v>8</c:v>
                </c:pt>
                <c:pt idx="2">
                  <c:v>8</c:v>
                </c:pt>
                <c:pt idx="3">
                  <c:v>9</c:v>
                </c:pt>
                <c:pt idx="4">
                  <c:v>10</c:v>
                </c:pt>
                <c:pt idx="5">
                  <c:v>6</c:v>
                </c:pt>
                <c:pt idx="6">
                  <c:v>12</c:v>
                </c:pt>
                <c:pt idx="7">
                  <c:v>12</c:v>
                </c:pt>
                <c:pt idx="8">
                  <c:v>11</c:v>
                </c:pt>
                <c:pt idx="9">
                  <c:v>11</c:v>
                </c:pt>
                <c:pt idx="10">
                  <c:v>13</c:v>
                </c:pt>
                <c:pt idx="11">
                  <c:v>12</c:v>
                </c:pt>
                <c:pt idx="12">
                  <c:v>10</c:v>
                </c:pt>
                <c:pt idx="13">
                  <c:v>10</c:v>
                </c:pt>
                <c:pt idx="14">
                  <c:v>10</c:v>
                </c:pt>
                <c:pt idx="15">
                  <c:v>10</c:v>
                </c:pt>
                <c:pt idx="16">
                  <c:v>10</c:v>
                </c:pt>
                <c:pt idx="17">
                  <c:v>10</c:v>
                </c:pt>
              </c:numCache>
            </c:numRef>
          </c:val>
          <c:smooth val="0"/>
          <c:extLst>
            <c:ext xmlns:c16="http://schemas.microsoft.com/office/drawing/2014/chart" uri="{C3380CC4-5D6E-409C-BE32-E72D297353CC}">
              <c16:uniqueId val="{00000001-2101-4D02-959B-AE3937C3F8FA}"/>
            </c:ext>
          </c:extLst>
        </c:ser>
        <c:ser>
          <c:idx val="2"/>
          <c:order val="2"/>
          <c:tx>
            <c:strRef>
              <c:f>'Figure 2.2_new'!$A$5</c:f>
              <c:strCache>
                <c:ptCount val="1"/>
                <c:pt idx="0">
                  <c:v>Darwin Rural </c:v>
                </c:pt>
              </c:strCache>
            </c:strRef>
          </c:tx>
          <c:cat>
            <c:numRef>
              <c:f>'Figure 2.2_new'!$B$2:$S$2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2.2_new'!$B$5:$S$5</c:f>
              <c:numCache>
                <c:formatCode>General</c:formatCode>
                <c:ptCount val="18"/>
                <c:pt idx="0">
                  <c:v>12</c:v>
                </c:pt>
                <c:pt idx="1">
                  <c:v>11</c:v>
                </c:pt>
                <c:pt idx="2">
                  <c:v>14</c:v>
                </c:pt>
                <c:pt idx="3">
                  <c:v>15</c:v>
                </c:pt>
                <c:pt idx="4">
                  <c:v>15</c:v>
                </c:pt>
                <c:pt idx="5">
                  <c:v>15</c:v>
                </c:pt>
                <c:pt idx="6">
                  <c:v>12</c:v>
                </c:pt>
                <c:pt idx="7">
                  <c:v>12</c:v>
                </c:pt>
                <c:pt idx="8">
                  <c:v>12</c:v>
                </c:pt>
                <c:pt idx="9">
                  <c:v>11</c:v>
                </c:pt>
                <c:pt idx="10">
                  <c:v>7</c:v>
                </c:pt>
                <c:pt idx="11">
                  <c:v>4</c:v>
                </c:pt>
                <c:pt idx="12">
                  <c:v>3</c:v>
                </c:pt>
                <c:pt idx="13">
                  <c:v>2</c:v>
                </c:pt>
                <c:pt idx="14">
                  <c:v>1</c:v>
                </c:pt>
                <c:pt idx="15">
                  <c:v>1</c:v>
                </c:pt>
                <c:pt idx="16">
                  <c:v>0</c:v>
                </c:pt>
                <c:pt idx="17">
                  <c:v>2</c:v>
                </c:pt>
              </c:numCache>
            </c:numRef>
          </c:val>
          <c:smooth val="0"/>
          <c:extLst>
            <c:ext xmlns:c16="http://schemas.microsoft.com/office/drawing/2014/chart" uri="{C3380CC4-5D6E-409C-BE32-E72D297353CC}">
              <c16:uniqueId val="{00000002-2101-4D02-959B-AE3937C3F8FA}"/>
            </c:ext>
          </c:extLst>
        </c:ser>
        <c:ser>
          <c:idx val="3"/>
          <c:order val="3"/>
          <c:tx>
            <c:strRef>
              <c:f>'Figure 2.2_new'!$A$6</c:f>
              <c:strCache>
                <c:ptCount val="1"/>
                <c:pt idx="0">
                  <c:v>East Arnhem</c:v>
                </c:pt>
              </c:strCache>
            </c:strRef>
          </c:tx>
          <c:cat>
            <c:numRef>
              <c:f>'Figure 2.2_new'!$B$2:$S$2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2.2_new'!$B$6:$S$6</c:f>
              <c:numCache>
                <c:formatCode>General</c:formatCode>
                <c:ptCount val="18"/>
                <c:pt idx="0">
                  <c:v>12</c:v>
                </c:pt>
                <c:pt idx="1">
                  <c:v>12</c:v>
                </c:pt>
                <c:pt idx="2">
                  <c:v>12</c:v>
                </c:pt>
                <c:pt idx="3">
                  <c:v>12</c:v>
                </c:pt>
                <c:pt idx="4">
                  <c:v>12</c:v>
                </c:pt>
                <c:pt idx="5">
                  <c:v>10</c:v>
                </c:pt>
                <c:pt idx="6">
                  <c:v>10</c:v>
                </c:pt>
                <c:pt idx="7">
                  <c:v>9</c:v>
                </c:pt>
                <c:pt idx="8">
                  <c:v>9</c:v>
                </c:pt>
                <c:pt idx="9">
                  <c:v>9</c:v>
                </c:pt>
                <c:pt idx="10">
                  <c:v>7</c:v>
                </c:pt>
                <c:pt idx="11">
                  <c:v>4</c:v>
                </c:pt>
                <c:pt idx="12">
                  <c:v>3</c:v>
                </c:pt>
                <c:pt idx="13">
                  <c:v>1</c:v>
                </c:pt>
                <c:pt idx="14">
                  <c:v>0</c:v>
                </c:pt>
                <c:pt idx="15">
                  <c:v>0</c:v>
                </c:pt>
                <c:pt idx="16">
                  <c:v>0</c:v>
                </c:pt>
                <c:pt idx="17">
                  <c:v>0</c:v>
                </c:pt>
              </c:numCache>
            </c:numRef>
          </c:val>
          <c:smooth val="0"/>
          <c:extLst>
            <c:ext xmlns:c16="http://schemas.microsoft.com/office/drawing/2014/chart" uri="{C3380CC4-5D6E-409C-BE32-E72D297353CC}">
              <c16:uniqueId val="{00000003-2101-4D02-959B-AE3937C3F8FA}"/>
            </c:ext>
          </c:extLst>
        </c:ser>
        <c:ser>
          <c:idx val="4"/>
          <c:order val="4"/>
          <c:tx>
            <c:strRef>
              <c:f>'Figure 2.2_new'!$A$7</c:f>
              <c:strCache>
                <c:ptCount val="1"/>
                <c:pt idx="0">
                  <c:v>Katherine </c:v>
                </c:pt>
              </c:strCache>
            </c:strRef>
          </c:tx>
          <c:cat>
            <c:numRef>
              <c:f>'Figure 2.2_new'!$B$2:$S$2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2.2_new'!$B$7:$S$7</c:f>
              <c:numCache>
                <c:formatCode>General</c:formatCode>
                <c:ptCount val="18"/>
                <c:pt idx="0">
                  <c:v>22</c:v>
                </c:pt>
                <c:pt idx="1">
                  <c:v>20</c:v>
                </c:pt>
                <c:pt idx="2">
                  <c:v>20</c:v>
                </c:pt>
                <c:pt idx="3">
                  <c:v>18</c:v>
                </c:pt>
                <c:pt idx="4">
                  <c:v>17</c:v>
                </c:pt>
                <c:pt idx="5">
                  <c:v>19</c:v>
                </c:pt>
                <c:pt idx="6">
                  <c:v>19</c:v>
                </c:pt>
                <c:pt idx="7">
                  <c:v>19</c:v>
                </c:pt>
                <c:pt idx="8">
                  <c:v>19</c:v>
                </c:pt>
                <c:pt idx="9">
                  <c:v>19</c:v>
                </c:pt>
                <c:pt idx="10">
                  <c:v>17</c:v>
                </c:pt>
                <c:pt idx="11">
                  <c:v>16</c:v>
                </c:pt>
                <c:pt idx="12">
                  <c:v>16</c:v>
                </c:pt>
                <c:pt idx="13">
                  <c:v>8</c:v>
                </c:pt>
                <c:pt idx="14">
                  <c:v>7</c:v>
                </c:pt>
                <c:pt idx="15">
                  <c:v>9</c:v>
                </c:pt>
                <c:pt idx="16">
                  <c:v>8</c:v>
                </c:pt>
                <c:pt idx="17">
                  <c:v>9</c:v>
                </c:pt>
              </c:numCache>
            </c:numRef>
          </c:val>
          <c:smooth val="0"/>
          <c:extLst>
            <c:ext xmlns:c16="http://schemas.microsoft.com/office/drawing/2014/chart" uri="{C3380CC4-5D6E-409C-BE32-E72D297353CC}">
              <c16:uniqueId val="{00000004-2101-4D02-959B-AE3937C3F8FA}"/>
            </c:ext>
          </c:extLst>
        </c:ser>
        <c:dLbls>
          <c:showLegendKey val="0"/>
          <c:showVal val="0"/>
          <c:showCatName val="0"/>
          <c:showSerName val="0"/>
          <c:showPercent val="0"/>
          <c:showBubbleSize val="0"/>
        </c:dLbls>
        <c:marker val="1"/>
        <c:smooth val="0"/>
        <c:axId val="140653312"/>
        <c:axId val="140654848"/>
      </c:lineChart>
      <c:catAx>
        <c:axId val="140653312"/>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40654848"/>
        <c:crosses val="autoZero"/>
        <c:auto val="1"/>
        <c:lblAlgn val="ctr"/>
        <c:lblOffset val="100"/>
        <c:noMultiLvlLbl val="0"/>
      </c:catAx>
      <c:valAx>
        <c:axId val="140654848"/>
        <c:scaling>
          <c:orientation val="minMax"/>
        </c:scaling>
        <c:delete val="0"/>
        <c:axPos val="l"/>
        <c:majorGridlines>
          <c:spPr>
            <a:ln>
              <a:noFill/>
            </a:ln>
          </c:spPr>
        </c:majorGridlines>
        <c:title>
          <c:tx>
            <c:rich>
              <a:bodyPr/>
              <a:lstStyle/>
              <a:p>
                <a:pPr>
                  <a:defRPr/>
                </a:pPr>
                <a:r>
                  <a:rPr lang="en-US"/>
                  <a:t>Number of communities</a:t>
                </a:r>
              </a:p>
            </c:rich>
          </c:tx>
          <c:overlay val="0"/>
        </c:title>
        <c:numFmt formatCode="General" sourceLinked="1"/>
        <c:majorTickMark val="out"/>
        <c:minorTickMark val="none"/>
        <c:tickLblPos val="nextTo"/>
        <c:crossAx val="140653312"/>
        <c:crosses val="autoZero"/>
        <c:crossBetween val="between"/>
      </c:valAx>
    </c:plotArea>
    <c:legend>
      <c:legendPos val="b"/>
      <c:layout>
        <c:manualLayout>
          <c:xMode val="edge"/>
          <c:yMode val="edge"/>
          <c:x val="0.14699238124471609"/>
          <c:y val="0.87914805241375193"/>
          <c:w val="0.83924088696833687"/>
          <c:h val="0.12085185185185185"/>
        </c:manualLayout>
      </c:layout>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2.3'!$B$2</c:f>
              <c:strCache>
                <c:ptCount val="1"/>
                <c:pt idx="0">
                  <c:v>Not screened or treated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2.3'!$A$3:$A$6</c:f>
              <c:strCache>
                <c:ptCount val="4"/>
                <c:pt idx="0">
                  <c:v>Alice Springs Remote</c:v>
                </c:pt>
                <c:pt idx="1">
                  <c:v>Barkly</c:v>
                </c:pt>
                <c:pt idx="2">
                  <c:v>Darwin Rural</c:v>
                </c:pt>
                <c:pt idx="3">
                  <c:v>Katherine</c:v>
                </c:pt>
              </c:strCache>
            </c:strRef>
          </c:cat>
          <c:val>
            <c:numRef>
              <c:f>'Figure 2.3'!$B$3:$B$6</c:f>
              <c:numCache>
                <c:formatCode>General</c:formatCode>
                <c:ptCount val="4"/>
                <c:pt idx="0">
                  <c:v>1</c:v>
                </c:pt>
                <c:pt idx="1">
                  <c:v>2</c:v>
                </c:pt>
              </c:numCache>
            </c:numRef>
          </c:val>
          <c:extLst>
            <c:ext xmlns:c16="http://schemas.microsoft.com/office/drawing/2014/chart" uri="{C3380CC4-5D6E-409C-BE32-E72D297353CC}">
              <c16:uniqueId val="{00000000-D36B-49D7-A9B1-F1A23B6BD165}"/>
            </c:ext>
          </c:extLst>
        </c:ser>
        <c:ser>
          <c:idx val="1"/>
          <c:order val="1"/>
          <c:tx>
            <c:strRef>
              <c:f>'Figure 2.3'!$C$2</c:f>
              <c:strCache>
                <c:ptCount val="1"/>
                <c:pt idx="0">
                  <c:v>Not requiring screening or treatment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2.3'!$A$3:$A$6</c:f>
              <c:strCache>
                <c:ptCount val="4"/>
                <c:pt idx="0">
                  <c:v>Alice Springs Remote</c:v>
                </c:pt>
                <c:pt idx="1">
                  <c:v>Barkly</c:v>
                </c:pt>
                <c:pt idx="2">
                  <c:v>Darwin Rural</c:v>
                </c:pt>
                <c:pt idx="3">
                  <c:v>Katherine</c:v>
                </c:pt>
              </c:strCache>
            </c:strRef>
          </c:cat>
          <c:val>
            <c:numRef>
              <c:f>'Figure 2.3'!$C$3:$C$6</c:f>
              <c:numCache>
                <c:formatCode>General</c:formatCode>
                <c:ptCount val="4"/>
              </c:numCache>
            </c:numRef>
          </c:val>
          <c:extLst>
            <c:ext xmlns:c16="http://schemas.microsoft.com/office/drawing/2014/chart" uri="{C3380CC4-5D6E-409C-BE32-E72D297353CC}">
              <c16:uniqueId val="{00000001-D36B-49D7-A9B1-F1A23B6BD165}"/>
            </c:ext>
          </c:extLst>
        </c:ser>
        <c:ser>
          <c:idx val="2"/>
          <c:order val="2"/>
          <c:tx>
            <c:strRef>
              <c:f>'Figure 2.3'!$D$2</c:f>
              <c:strCache>
                <c:ptCount val="1"/>
                <c:pt idx="0">
                  <c:v>Screened and no treatment required</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2.3'!$A$3:$A$6</c:f>
              <c:strCache>
                <c:ptCount val="4"/>
                <c:pt idx="0">
                  <c:v>Alice Springs Remote</c:v>
                </c:pt>
                <c:pt idx="1">
                  <c:v>Barkly</c:v>
                </c:pt>
                <c:pt idx="2">
                  <c:v>Darwin Rural</c:v>
                </c:pt>
                <c:pt idx="3">
                  <c:v>Katherine</c:v>
                </c:pt>
              </c:strCache>
            </c:strRef>
          </c:cat>
          <c:val>
            <c:numRef>
              <c:f>'Figure 2.3'!$D$3:$D$6</c:f>
              <c:numCache>
                <c:formatCode>General</c:formatCode>
                <c:ptCount val="4"/>
                <c:pt idx="0">
                  <c:v>15</c:v>
                </c:pt>
                <c:pt idx="1">
                  <c:v>7</c:v>
                </c:pt>
                <c:pt idx="2">
                  <c:v>1</c:v>
                </c:pt>
                <c:pt idx="3">
                  <c:v>4</c:v>
                </c:pt>
              </c:numCache>
            </c:numRef>
          </c:val>
          <c:extLst>
            <c:ext xmlns:c16="http://schemas.microsoft.com/office/drawing/2014/chart" uri="{C3380CC4-5D6E-409C-BE32-E72D297353CC}">
              <c16:uniqueId val="{00000002-D36B-49D7-A9B1-F1A23B6BD165}"/>
            </c:ext>
          </c:extLst>
        </c:ser>
        <c:ser>
          <c:idx val="3"/>
          <c:order val="3"/>
          <c:tx>
            <c:strRef>
              <c:f>'Figure 2.3'!$E$2</c:f>
              <c:strCache>
                <c:ptCount val="1"/>
                <c:pt idx="0">
                  <c:v>Screened and treated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2.3'!$A$3:$A$6</c:f>
              <c:strCache>
                <c:ptCount val="4"/>
                <c:pt idx="0">
                  <c:v>Alice Springs Remote</c:v>
                </c:pt>
                <c:pt idx="1">
                  <c:v>Barkly</c:v>
                </c:pt>
                <c:pt idx="2">
                  <c:v>Darwin Rural</c:v>
                </c:pt>
                <c:pt idx="3">
                  <c:v>Katherine</c:v>
                </c:pt>
              </c:strCache>
            </c:strRef>
          </c:cat>
          <c:val>
            <c:numRef>
              <c:f>'Figure 2.3'!$E$3:$E$6</c:f>
              <c:numCache>
                <c:formatCode>General</c:formatCode>
                <c:ptCount val="4"/>
                <c:pt idx="0">
                  <c:v>11</c:v>
                </c:pt>
                <c:pt idx="1">
                  <c:v>1</c:v>
                </c:pt>
                <c:pt idx="2">
                  <c:v>1</c:v>
                </c:pt>
                <c:pt idx="3">
                  <c:v>5</c:v>
                </c:pt>
              </c:numCache>
            </c:numRef>
          </c:val>
          <c:extLst>
            <c:ext xmlns:c16="http://schemas.microsoft.com/office/drawing/2014/chart" uri="{C3380CC4-5D6E-409C-BE32-E72D297353CC}">
              <c16:uniqueId val="{00000003-D36B-49D7-A9B1-F1A23B6BD165}"/>
            </c:ext>
          </c:extLst>
        </c:ser>
        <c:ser>
          <c:idx val="4"/>
          <c:order val="4"/>
          <c:tx>
            <c:strRef>
              <c:f>'Figure 2.3'!$F$2</c:f>
              <c:strCache>
                <c:ptCount val="1"/>
                <c:pt idx="0">
                  <c:v>Treatment only</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2.3'!$A$3:$A$6</c:f>
              <c:strCache>
                <c:ptCount val="4"/>
                <c:pt idx="0">
                  <c:v>Alice Springs Remote</c:v>
                </c:pt>
                <c:pt idx="1">
                  <c:v>Barkly</c:v>
                </c:pt>
                <c:pt idx="2">
                  <c:v>Darwin Rural</c:v>
                </c:pt>
                <c:pt idx="3">
                  <c:v>Katherine</c:v>
                </c:pt>
              </c:strCache>
            </c:strRef>
          </c:cat>
          <c:val>
            <c:numRef>
              <c:f>'Figure 2.3'!$F$3:$F$6</c:f>
              <c:numCache>
                <c:formatCode>General</c:formatCode>
                <c:ptCount val="4"/>
              </c:numCache>
            </c:numRef>
          </c:val>
          <c:extLst>
            <c:ext xmlns:c16="http://schemas.microsoft.com/office/drawing/2014/chart" uri="{C3380CC4-5D6E-409C-BE32-E72D297353CC}">
              <c16:uniqueId val="{00000004-D36B-49D7-A9B1-F1A23B6BD165}"/>
            </c:ext>
          </c:extLst>
        </c:ser>
        <c:dLbls>
          <c:dLblPos val="ctr"/>
          <c:showLegendKey val="0"/>
          <c:showVal val="1"/>
          <c:showCatName val="0"/>
          <c:showSerName val="0"/>
          <c:showPercent val="0"/>
          <c:showBubbleSize val="0"/>
        </c:dLbls>
        <c:gapWidth val="150"/>
        <c:overlap val="100"/>
        <c:axId val="551096432"/>
        <c:axId val="308655984"/>
      </c:barChart>
      <c:catAx>
        <c:axId val="5510964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Region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898989"/>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08655984"/>
        <c:crosses val="autoZero"/>
        <c:auto val="1"/>
        <c:lblAlgn val="ctr"/>
        <c:lblOffset val="100"/>
        <c:noMultiLvlLbl val="0"/>
      </c:catAx>
      <c:valAx>
        <c:axId val="3086559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Number of communities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rgbClr val="898989"/>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1096432"/>
        <c:crosses val="autoZero"/>
        <c:crossBetween val="between"/>
      </c:valAx>
      <c:spPr>
        <a:noFill/>
        <a:ln>
          <a:noFill/>
        </a:ln>
        <a:effectLst/>
      </c:spPr>
    </c:plotArea>
    <c:legend>
      <c:legendPos val="b"/>
      <c:layout>
        <c:manualLayout>
          <c:xMode val="edge"/>
          <c:yMode val="edge"/>
          <c:x val="0.18854260691165478"/>
          <c:y val="0.82880324742015943"/>
          <c:w val="0.72576458261980159"/>
          <c:h val="0.152563212207169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2.4'!$A$3</c:f>
              <c:strCache>
                <c:ptCount val="1"/>
                <c:pt idx="0">
                  <c:v>Alice Springs Remote</c:v>
                </c:pt>
              </c:strCache>
            </c:strRef>
          </c:tx>
          <c:cat>
            <c:numRef>
              <c:f>'Figure 2.4'!$B$2:$S$2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2.4'!$B$3:$S$3</c:f>
              <c:numCache>
                <c:formatCode>0%</c:formatCode>
                <c:ptCount val="18"/>
                <c:pt idx="0">
                  <c:v>0.56000000000000005</c:v>
                </c:pt>
                <c:pt idx="1">
                  <c:v>0.49</c:v>
                </c:pt>
                <c:pt idx="2">
                  <c:v>0.62</c:v>
                </c:pt>
                <c:pt idx="3">
                  <c:v>0.59</c:v>
                </c:pt>
                <c:pt idx="4">
                  <c:v>0.5</c:v>
                </c:pt>
                <c:pt idx="5">
                  <c:v>0.47</c:v>
                </c:pt>
                <c:pt idx="6">
                  <c:v>0.4</c:v>
                </c:pt>
                <c:pt idx="7">
                  <c:v>0.7</c:v>
                </c:pt>
                <c:pt idx="8">
                  <c:v>0.68</c:v>
                </c:pt>
                <c:pt idx="9">
                  <c:v>0.61</c:v>
                </c:pt>
                <c:pt idx="10">
                  <c:v>0.56999999999999995</c:v>
                </c:pt>
                <c:pt idx="11">
                  <c:v>0.67</c:v>
                </c:pt>
                <c:pt idx="12">
                  <c:v>0.62</c:v>
                </c:pt>
                <c:pt idx="13">
                  <c:v>0.75</c:v>
                </c:pt>
                <c:pt idx="14">
                  <c:v>0.83</c:v>
                </c:pt>
                <c:pt idx="15">
                  <c:v>0.88</c:v>
                </c:pt>
                <c:pt idx="16">
                  <c:v>0.796875</c:v>
                </c:pt>
                <c:pt idx="17">
                  <c:v>0.71451103687286377</c:v>
                </c:pt>
              </c:numCache>
            </c:numRef>
          </c:val>
          <c:smooth val="0"/>
          <c:extLst>
            <c:ext xmlns:c16="http://schemas.microsoft.com/office/drawing/2014/chart" uri="{C3380CC4-5D6E-409C-BE32-E72D297353CC}">
              <c16:uniqueId val="{00000000-3E96-44E5-9E60-7A7E8A5DBD05}"/>
            </c:ext>
          </c:extLst>
        </c:ser>
        <c:ser>
          <c:idx val="1"/>
          <c:order val="1"/>
          <c:tx>
            <c:strRef>
              <c:f>'Figure 2.4'!$A$4</c:f>
              <c:strCache>
                <c:ptCount val="1"/>
                <c:pt idx="0">
                  <c:v>Barkly</c:v>
                </c:pt>
              </c:strCache>
            </c:strRef>
          </c:tx>
          <c:cat>
            <c:numRef>
              <c:f>'Figure 2.4'!$B$2:$S$2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2.4'!$B$4:$S$4</c:f>
              <c:numCache>
                <c:formatCode>0%</c:formatCode>
                <c:ptCount val="18"/>
                <c:pt idx="0">
                  <c:v>1</c:v>
                </c:pt>
                <c:pt idx="1">
                  <c:v>0.56999999999999995</c:v>
                </c:pt>
                <c:pt idx="2">
                  <c:v>0.69</c:v>
                </c:pt>
                <c:pt idx="3">
                  <c:v>0.8</c:v>
                </c:pt>
                <c:pt idx="4">
                  <c:v>0.88</c:v>
                </c:pt>
                <c:pt idx="5">
                  <c:v>0.86</c:v>
                </c:pt>
                <c:pt idx="6">
                  <c:v>0.79298245614035101</c:v>
                </c:pt>
                <c:pt idx="7">
                  <c:v>0.78</c:v>
                </c:pt>
                <c:pt idx="8">
                  <c:v>0.89</c:v>
                </c:pt>
                <c:pt idx="9">
                  <c:v>0.67</c:v>
                </c:pt>
                <c:pt idx="10">
                  <c:v>0.67</c:v>
                </c:pt>
                <c:pt idx="11">
                  <c:v>0.62</c:v>
                </c:pt>
                <c:pt idx="12">
                  <c:v>0.73</c:v>
                </c:pt>
                <c:pt idx="13">
                  <c:v>0.83</c:v>
                </c:pt>
                <c:pt idx="14">
                  <c:v>0.86</c:v>
                </c:pt>
                <c:pt idx="15">
                  <c:v>0.79</c:v>
                </c:pt>
                <c:pt idx="16">
                  <c:v>0.83743840456008911</c:v>
                </c:pt>
                <c:pt idx="17">
                  <c:v>0.71803277730941772</c:v>
                </c:pt>
              </c:numCache>
            </c:numRef>
          </c:val>
          <c:smooth val="0"/>
          <c:extLst>
            <c:ext xmlns:c16="http://schemas.microsoft.com/office/drawing/2014/chart" uri="{C3380CC4-5D6E-409C-BE32-E72D297353CC}">
              <c16:uniqueId val="{00000001-3E96-44E5-9E60-7A7E8A5DBD05}"/>
            </c:ext>
          </c:extLst>
        </c:ser>
        <c:ser>
          <c:idx val="2"/>
          <c:order val="2"/>
          <c:tx>
            <c:strRef>
              <c:f>'Figure 2.4'!$A$5</c:f>
              <c:strCache>
                <c:ptCount val="1"/>
                <c:pt idx="0">
                  <c:v>Darwin Rural</c:v>
                </c:pt>
              </c:strCache>
            </c:strRef>
          </c:tx>
          <c:cat>
            <c:numRef>
              <c:f>'Figure 2.4'!$B$2:$S$2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2.4'!$B$5:$S$5</c:f>
              <c:numCache>
                <c:formatCode>0%</c:formatCode>
                <c:ptCount val="18"/>
                <c:pt idx="0">
                  <c:v>0.96</c:v>
                </c:pt>
                <c:pt idx="1">
                  <c:v>0.81</c:v>
                </c:pt>
                <c:pt idx="2">
                  <c:v>0.8</c:v>
                </c:pt>
                <c:pt idx="3">
                  <c:v>0.82</c:v>
                </c:pt>
                <c:pt idx="4">
                  <c:v>0.74</c:v>
                </c:pt>
                <c:pt idx="5">
                  <c:v>0.9</c:v>
                </c:pt>
                <c:pt idx="6">
                  <c:v>0.80952380952380998</c:v>
                </c:pt>
                <c:pt idx="7">
                  <c:v>0.77</c:v>
                </c:pt>
                <c:pt idx="8">
                  <c:v>0.89</c:v>
                </c:pt>
                <c:pt idx="9">
                  <c:v>0.88</c:v>
                </c:pt>
                <c:pt idx="10">
                  <c:v>0.8</c:v>
                </c:pt>
                <c:pt idx="11">
                  <c:v>0.94</c:v>
                </c:pt>
                <c:pt idx="12">
                  <c:v>0.87</c:v>
                </c:pt>
                <c:pt idx="13">
                  <c:v>0.99</c:v>
                </c:pt>
                <c:pt idx="14">
                  <c:v>0.88</c:v>
                </c:pt>
                <c:pt idx="15">
                  <c:v>1</c:v>
                </c:pt>
                <c:pt idx="17">
                  <c:v>0.94736844301223755</c:v>
                </c:pt>
              </c:numCache>
            </c:numRef>
          </c:val>
          <c:smooth val="0"/>
          <c:extLst>
            <c:ext xmlns:c16="http://schemas.microsoft.com/office/drawing/2014/chart" uri="{C3380CC4-5D6E-409C-BE32-E72D297353CC}">
              <c16:uniqueId val="{00000002-3E96-44E5-9E60-7A7E8A5DBD05}"/>
            </c:ext>
          </c:extLst>
        </c:ser>
        <c:ser>
          <c:idx val="3"/>
          <c:order val="3"/>
          <c:tx>
            <c:strRef>
              <c:f>'Figure 2.4'!$A$6</c:f>
              <c:strCache>
                <c:ptCount val="1"/>
                <c:pt idx="0">
                  <c:v>East Arnhem</c:v>
                </c:pt>
              </c:strCache>
            </c:strRef>
          </c:tx>
          <c:cat>
            <c:numRef>
              <c:f>'Figure 2.4'!$B$2:$S$2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2.4'!$B$6:$S$6</c:f>
              <c:numCache>
                <c:formatCode>0%</c:formatCode>
                <c:ptCount val="18"/>
                <c:pt idx="0">
                  <c:v>0.96</c:v>
                </c:pt>
                <c:pt idx="1">
                  <c:v>0.86</c:v>
                </c:pt>
                <c:pt idx="2">
                  <c:v>0.91</c:v>
                </c:pt>
                <c:pt idx="3">
                  <c:v>0.84</c:v>
                </c:pt>
                <c:pt idx="4">
                  <c:v>0.99</c:v>
                </c:pt>
                <c:pt idx="5">
                  <c:v>0.79</c:v>
                </c:pt>
                <c:pt idx="6">
                  <c:v>0.82506527415143605</c:v>
                </c:pt>
                <c:pt idx="7">
                  <c:v>0.93</c:v>
                </c:pt>
                <c:pt idx="8">
                  <c:v>0.98</c:v>
                </c:pt>
                <c:pt idx="9">
                  <c:v>0.8</c:v>
                </c:pt>
                <c:pt idx="10">
                  <c:v>0.92</c:v>
                </c:pt>
                <c:pt idx="11">
                  <c:v>0.91</c:v>
                </c:pt>
                <c:pt idx="12">
                  <c:v>0.9</c:v>
                </c:pt>
                <c:pt idx="13">
                  <c:v>1</c:v>
                </c:pt>
              </c:numCache>
            </c:numRef>
          </c:val>
          <c:smooth val="0"/>
          <c:extLst>
            <c:ext xmlns:c16="http://schemas.microsoft.com/office/drawing/2014/chart" uri="{C3380CC4-5D6E-409C-BE32-E72D297353CC}">
              <c16:uniqueId val="{00000003-3E96-44E5-9E60-7A7E8A5DBD05}"/>
            </c:ext>
          </c:extLst>
        </c:ser>
        <c:ser>
          <c:idx val="4"/>
          <c:order val="4"/>
          <c:tx>
            <c:strRef>
              <c:f>'Figure 2.4'!$A$7</c:f>
              <c:strCache>
                <c:ptCount val="1"/>
                <c:pt idx="0">
                  <c:v>Katherine</c:v>
                </c:pt>
              </c:strCache>
            </c:strRef>
          </c:tx>
          <c:cat>
            <c:numRef>
              <c:f>'Figure 2.4'!$B$2:$S$2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2.4'!$B$7:$S$7</c:f>
              <c:numCache>
                <c:formatCode>0%</c:formatCode>
                <c:ptCount val="18"/>
                <c:pt idx="0">
                  <c:v>1</c:v>
                </c:pt>
                <c:pt idx="1">
                  <c:v>0.92</c:v>
                </c:pt>
                <c:pt idx="2">
                  <c:v>0.84</c:v>
                </c:pt>
                <c:pt idx="3">
                  <c:v>0.7</c:v>
                </c:pt>
                <c:pt idx="4">
                  <c:v>0.84</c:v>
                </c:pt>
                <c:pt idx="5">
                  <c:v>0.86</c:v>
                </c:pt>
                <c:pt idx="6">
                  <c:v>0.822033898305085</c:v>
                </c:pt>
                <c:pt idx="7">
                  <c:v>0.96</c:v>
                </c:pt>
                <c:pt idx="8">
                  <c:v>0.93</c:v>
                </c:pt>
                <c:pt idx="9">
                  <c:v>0.74</c:v>
                </c:pt>
                <c:pt idx="10">
                  <c:v>0.94</c:v>
                </c:pt>
                <c:pt idx="11">
                  <c:v>0.94</c:v>
                </c:pt>
                <c:pt idx="12">
                  <c:v>0.78</c:v>
                </c:pt>
                <c:pt idx="13">
                  <c:v>0.68</c:v>
                </c:pt>
                <c:pt idx="14" formatCode="General">
                  <c:v>#N/A</c:v>
                </c:pt>
                <c:pt idx="15">
                  <c:v>0.88</c:v>
                </c:pt>
                <c:pt idx="16">
                  <c:v>0.37903225421905518</c:v>
                </c:pt>
                <c:pt idx="17">
                  <c:v>0.87272727489471436</c:v>
                </c:pt>
              </c:numCache>
            </c:numRef>
          </c:val>
          <c:smooth val="0"/>
          <c:extLst>
            <c:ext xmlns:c16="http://schemas.microsoft.com/office/drawing/2014/chart" uri="{C3380CC4-5D6E-409C-BE32-E72D297353CC}">
              <c16:uniqueId val="{00000004-3E96-44E5-9E60-7A7E8A5DBD05}"/>
            </c:ext>
          </c:extLst>
        </c:ser>
        <c:dLbls>
          <c:showLegendKey val="0"/>
          <c:showVal val="0"/>
          <c:showCatName val="0"/>
          <c:showSerName val="0"/>
          <c:showPercent val="0"/>
          <c:showBubbleSize val="0"/>
        </c:dLbls>
        <c:marker val="1"/>
        <c:smooth val="0"/>
        <c:axId val="140897280"/>
        <c:axId val="140919552"/>
      </c:lineChart>
      <c:catAx>
        <c:axId val="140897280"/>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spPr>
          <a:ln>
            <a:solidFill>
              <a:srgbClr val="898989"/>
            </a:solidFill>
          </a:ln>
        </c:spPr>
        <c:crossAx val="140919552"/>
        <c:crosses val="autoZero"/>
        <c:auto val="1"/>
        <c:lblAlgn val="ctr"/>
        <c:lblOffset val="100"/>
        <c:noMultiLvlLbl val="0"/>
      </c:catAx>
      <c:valAx>
        <c:axId val="140919552"/>
        <c:scaling>
          <c:orientation val="minMax"/>
          <c:max val="1"/>
        </c:scaling>
        <c:delete val="0"/>
        <c:axPos val="l"/>
        <c:majorGridlines>
          <c:spPr>
            <a:ln>
              <a:noFill/>
            </a:ln>
          </c:spPr>
        </c:majorGridlines>
        <c:title>
          <c:tx>
            <c:rich>
              <a:bodyPr/>
              <a:lstStyle/>
              <a:p>
                <a:pPr>
                  <a:defRPr/>
                </a:pPr>
                <a:r>
                  <a:rPr lang="en-US"/>
                  <a:t>Proportion</a:t>
                </a:r>
              </a:p>
            </c:rich>
          </c:tx>
          <c:overlay val="0"/>
        </c:title>
        <c:numFmt formatCode="0%" sourceLinked="1"/>
        <c:majorTickMark val="out"/>
        <c:minorTickMark val="none"/>
        <c:tickLblPos val="nextTo"/>
        <c:crossAx val="14089728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Alice Springs Remote</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Sheet1!$A$2:$A$19</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Sheet1!$B$2:$B$19</c:f>
              <c:numCache>
                <c:formatCode>0%</c:formatCode>
                <c:ptCount val="18"/>
                <c:pt idx="0">
                  <c:v>0.22</c:v>
                </c:pt>
                <c:pt idx="1">
                  <c:v>0.33</c:v>
                </c:pt>
                <c:pt idx="2">
                  <c:v>0.33</c:v>
                </c:pt>
                <c:pt idx="3">
                  <c:v>0.33</c:v>
                </c:pt>
                <c:pt idx="4">
                  <c:v>0.14000000000000001</c:v>
                </c:pt>
                <c:pt idx="5">
                  <c:v>0.09</c:v>
                </c:pt>
                <c:pt idx="6" formatCode="0.0%">
                  <c:v>7.6190476190476197E-2</c:v>
                </c:pt>
                <c:pt idx="7" formatCode="0.0%">
                  <c:v>0.21899999999999997</c:v>
                </c:pt>
                <c:pt idx="8" formatCode="0.0%">
                  <c:v>6.6000000000000003E-2</c:v>
                </c:pt>
                <c:pt idx="9" formatCode="0.0%">
                  <c:v>0.13700000000000001</c:v>
                </c:pt>
                <c:pt idx="10" formatCode="0.0%">
                  <c:v>0.12</c:v>
                </c:pt>
                <c:pt idx="11" formatCode="0.0%">
                  <c:v>0.14099999999999999</c:v>
                </c:pt>
                <c:pt idx="12" formatCode="0.0%">
                  <c:v>0.185</c:v>
                </c:pt>
                <c:pt idx="13" formatCode="0.0%">
                  <c:v>0.11599999999999999</c:v>
                </c:pt>
                <c:pt idx="14" formatCode="0.0%">
                  <c:v>5.5999999999999994E-2</c:v>
                </c:pt>
                <c:pt idx="15" formatCode="0.0%">
                  <c:v>3.5999999999999997E-2</c:v>
                </c:pt>
                <c:pt idx="16" formatCode="0.0%">
                  <c:v>0.10555555671453476</c:v>
                </c:pt>
                <c:pt idx="17" formatCode="0.0%">
                  <c:v>4.7787610441446304E-2</c:v>
                </c:pt>
              </c:numCache>
            </c:numRef>
          </c:val>
          <c:smooth val="0"/>
          <c:extLst>
            <c:ext xmlns:c16="http://schemas.microsoft.com/office/drawing/2014/chart" uri="{C3380CC4-5D6E-409C-BE32-E72D297353CC}">
              <c16:uniqueId val="{00000000-D0EF-9448-80ED-914E7599D9D8}"/>
            </c:ext>
          </c:extLst>
        </c:ser>
        <c:ser>
          <c:idx val="1"/>
          <c:order val="1"/>
          <c:tx>
            <c:strRef>
              <c:f>Sheet1!$C$1</c:f>
              <c:strCache>
                <c:ptCount val="1"/>
                <c:pt idx="0">
                  <c:v>Barkly</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Sheet1!$A$2:$A$19</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Sheet1!$C$2:$C$19</c:f>
              <c:numCache>
                <c:formatCode>0%</c:formatCode>
                <c:ptCount val="18"/>
                <c:pt idx="0">
                  <c:v>0.3</c:v>
                </c:pt>
                <c:pt idx="1">
                  <c:v>0.61</c:v>
                </c:pt>
                <c:pt idx="2">
                  <c:v>0.45</c:v>
                </c:pt>
                <c:pt idx="3">
                  <c:v>0.2</c:v>
                </c:pt>
                <c:pt idx="4">
                  <c:v>0.08</c:v>
                </c:pt>
                <c:pt idx="5">
                  <c:v>0.05</c:v>
                </c:pt>
                <c:pt idx="6" formatCode="0.0%">
                  <c:v>4.2105263157894701E-2</c:v>
                </c:pt>
                <c:pt idx="7" formatCode="0.0%">
                  <c:v>0.28699999999999998</c:v>
                </c:pt>
                <c:pt idx="8" formatCode="0.0%">
                  <c:v>4.1000000000000002E-2</c:v>
                </c:pt>
                <c:pt idx="9" formatCode="0.0%">
                  <c:v>0</c:v>
                </c:pt>
                <c:pt idx="10" formatCode="0.0%">
                  <c:v>3.7000000000000005E-2</c:v>
                </c:pt>
                <c:pt idx="11" formatCode="0.0%">
                  <c:v>5.8999999999999997E-2</c:v>
                </c:pt>
                <c:pt idx="12" formatCode="0.0%">
                  <c:v>8.3000000000000004E-2</c:v>
                </c:pt>
                <c:pt idx="13" formatCode="0.0%">
                  <c:v>9.6999999999999989E-2</c:v>
                </c:pt>
                <c:pt idx="14" formatCode="0.0%">
                  <c:v>7.4999999999999997E-2</c:v>
                </c:pt>
                <c:pt idx="15" formatCode="0.0%">
                  <c:v>5.4054054054054099E-2</c:v>
                </c:pt>
                <c:pt idx="16" formatCode="0.0%">
                  <c:v>1.5151515603065491E-2</c:v>
                </c:pt>
                <c:pt idx="17" formatCode="0.0%">
                  <c:v>3.5335689317435026E-3</c:v>
                </c:pt>
              </c:numCache>
            </c:numRef>
          </c:val>
          <c:smooth val="0"/>
          <c:extLst>
            <c:ext xmlns:c16="http://schemas.microsoft.com/office/drawing/2014/chart" uri="{C3380CC4-5D6E-409C-BE32-E72D297353CC}">
              <c16:uniqueId val="{00000001-D0EF-9448-80ED-914E7599D9D8}"/>
            </c:ext>
          </c:extLst>
        </c:ser>
        <c:ser>
          <c:idx val="2"/>
          <c:order val="2"/>
          <c:tx>
            <c:strRef>
              <c:f>Sheet1!$D$1</c:f>
              <c:strCache>
                <c:ptCount val="1"/>
                <c:pt idx="0">
                  <c:v>Darwin Rural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Sheet1!$A$2:$A$19</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Sheet1!$D$2:$D$19</c:f>
              <c:numCache>
                <c:formatCode>0%</c:formatCode>
                <c:ptCount val="18"/>
                <c:pt idx="0">
                  <c:v>7.0000000000000007E-2</c:v>
                </c:pt>
                <c:pt idx="1">
                  <c:v>0.21</c:v>
                </c:pt>
                <c:pt idx="2">
                  <c:v>0.02</c:v>
                </c:pt>
                <c:pt idx="3">
                  <c:v>0.04</c:v>
                </c:pt>
                <c:pt idx="4">
                  <c:v>0.04</c:v>
                </c:pt>
                <c:pt idx="5">
                  <c:v>0.01</c:v>
                </c:pt>
                <c:pt idx="6" formatCode="0.0%">
                  <c:v>8.6393088552915807E-3</c:v>
                </c:pt>
                <c:pt idx="7" formatCode="0.0%">
                  <c:v>1.3000000000000001E-2</c:v>
                </c:pt>
                <c:pt idx="8" formatCode="0.0%">
                  <c:v>1.2E-2</c:v>
                </c:pt>
                <c:pt idx="9" formatCode="0.0%">
                  <c:v>1.6E-2</c:v>
                </c:pt>
                <c:pt idx="10" formatCode="0.0%">
                  <c:v>5.0000000000000001E-3</c:v>
                </c:pt>
                <c:pt idx="11" formatCode="0.0%">
                  <c:v>0</c:v>
                </c:pt>
                <c:pt idx="12" formatCode="0.0%">
                  <c:v>0</c:v>
                </c:pt>
                <c:pt idx="13" formatCode="0.0%">
                  <c:v>0</c:v>
                </c:pt>
                <c:pt idx="14" formatCode="0.0%">
                  <c:v>7.0999999999999994E-2</c:v>
                </c:pt>
                <c:pt idx="15" formatCode="0.0%">
                  <c:v>0</c:v>
                </c:pt>
                <c:pt idx="17" formatCode="0.0%">
                  <c:v>2.777777798473835E-2</c:v>
                </c:pt>
              </c:numCache>
            </c:numRef>
          </c:val>
          <c:smooth val="0"/>
          <c:extLst>
            <c:ext xmlns:c16="http://schemas.microsoft.com/office/drawing/2014/chart" uri="{C3380CC4-5D6E-409C-BE32-E72D297353CC}">
              <c16:uniqueId val="{00000002-D0EF-9448-80ED-914E7599D9D8}"/>
            </c:ext>
          </c:extLst>
        </c:ser>
        <c:ser>
          <c:idx val="3"/>
          <c:order val="3"/>
          <c:tx>
            <c:strRef>
              <c:f>Sheet1!$E$1</c:f>
              <c:strCache>
                <c:ptCount val="1"/>
                <c:pt idx="0">
                  <c:v>East Arnhem</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Sheet1!$A$2:$A$19</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Sheet1!$E$2:$E$19</c:f>
              <c:numCache>
                <c:formatCode>0%</c:formatCode>
                <c:ptCount val="18"/>
                <c:pt idx="0">
                  <c:v>0.06</c:v>
                </c:pt>
                <c:pt idx="1">
                  <c:v>0.04</c:v>
                </c:pt>
                <c:pt idx="2">
                  <c:v>0.01</c:v>
                </c:pt>
                <c:pt idx="3">
                  <c:v>0.01</c:v>
                </c:pt>
                <c:pt idx="4">
                  <c:v>0.04</c:v>
                </c:pt>
                <c:pt idx="5">
                  <c:v>0.01</c:v>
                </c:pt>
                <c:pt idx="6" formatCode="0.0%">
                  <c:v>1.5384615384615399E-2</c:v>
                </c:pt>
                <c:pt idx="7" formatCode="0.0%">
                  <c:v>1.1000000000000001E-2</c:v>
                </c:pt>
                <c:pt idx="8" formatCode="0.0%">
                  <c:v>0</c:v>
                </c:pt>
                <c:pt idx="9" formatCode="0.0%">
                  <c:v>2.4E-2</c:v>
                </c:pt>
                <c:pt idx="10" formatCode="0.0%">
                  <c:v>0</c:v>
                </c:pt>
                <c:pt idx="11" formatCode="0.0%">
                  <c:v>0</c:v>
                </c:pt>
                <c:pt idx="12" formatCode="0.0%">
                  <c:v>0</c:v>
                </c:pt>
                <c:pt idx="13" formatCode="0.0%">
                  <c:v>0</c:v>
                </c:pt>
              </c:numCache>
            </c:numRef>
          </c:val>
          <c:smooth val="0"/>
          <c:extLst>
            <c:ext xmlns:c16="http://schemas.microsoft.com/office/drawing/2014/chart" uri="{C3380CC4-5D6E-409C-BE32-E72D297353CC}">
              <c16:uniqueId val="{00000003-D0EF-9448-80ED-914E7599D9D8}"/>
            </c:ext>
          </c:extLst>
        </c:ser>
        <c:ser>
          <c:idx val="4"/>
          <c:order val="4"/>
          <c:tx>
            <c:strRef>
              <c:f>Sheet1!$F$1</c:f>
              <c:strCache>
                <c:ptCount val="1"/>
                <c:pt idx="0">
                  <c:v>Katherine</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Sheet1!$A$2:$A$19</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Sheet1!$F$2:$F$19</c:f>
              <c:numCache>
                <c:formatCode>0%</c:formatCode>
                <c:ptCount val="18"/>
                <c:pt idx="0">
                  <c:v>0.2</c:v>
                </c:pt>
                <c:pt idx="1">
                  <c:v>0.43</c:v>
                </c:pt>
                <c:pt idx="2">
                  <c:v>0.15</c:v>
                </c:pt>
                <c:pt idx="3">
                  <c:v>0.18</c:v>
                </c:pt>
                <c:pt idx="4">
                  <c:v>0.04</c:v>
                </c:pt>
                <c:pt idx="5">
                  <c:v>0.05</c:v>
                </c:pt>
                <c:pt idx="6" formatCode="0.0%">
                  <c:v>2.5210084033613401E-2</c:v>
                </c:pt>
                <c:pt idx="7" formatCode="0.0%">
                  <c:v>6.0000000000000001E-3</c:v>
                </c:pt>
                <c:pt idx="8" formatCode="0.0%">
                  <c:v>1.7999999999999999E-2</c:v>
                </c:pt>
                <c:pt idx="9" formatCode="0.0%">
                  <c:v>7.0000000000000007E-2</c:v>
                </c:pt>
                <c:pt idx="10" formatCode="0.0%">
                  <c:v>0</c:v>
                </c:pt>
                <c:pt idx="11" formatCode="0.0%">
                  <c:v>0</c:v>
                </c:pt>
                <c:pt idx="12" formatCode="0.0%">
                  <c:v>3.9E-2</c:v>
                </c:pt>
                <c:pt idx="13" formatCode="0.0%">
                  <c:v>0.16699999999999998</c:v>
                </c:pt>
                <c:pt idx="15" formatCode="0.0%">
                  <c:v>9.9137931034482804E-2</c:v>
                </c:pt>
                <c:pt idx="16" formatCode="0.0%">
                  <c:v>0.1269841343164444</c:v>
                </c:pt>
                <c:pt idx="17" formatCode="0.0%">
                  <c:v>0.10384615510702133</c:v>
                </c:pt>
              </c:numCache>
            </c:numRef>
          </c:val>
          <c:smooth val="0"/>
          <c:extLst>
            <c:ext xmlns:c16="http://schemas.microsoft.com/office/drawing/2014/chart" uri="{C3380CC4-5D6E-409C-BE32-E72D297353CC}">
              <c16:uniqueId val="{00000004-D0EF-9448-80ED-914E7599D9D8}"/>
            </c:ext>
          </c:extLst>
        </c:ser>
        <c:dLbls>
          <c:showLegendKey val="0"/>
          <c:showVal val="0"/>
          <c:showCatName val="0"/>
          <c:showSerName val="0"/>
          <c:showPercent val="0"/>
          <c:showBubbleSize val="0"/>
        </c:dLbls>
        <c:marker val="1"/>
        <c:smooth val="0"/>
        <c:axId val="518657424"/>
        <c:axId val="695914543"/>
      </c:lineChart>
      <c:catAx>
        <c:axId val="518657424"/>
        <c:scaling>
          <c:orientation val="minMax"/>
        </c:scaling>
        <c:delete val="0"/>
        <c:axPos val="b"/>
        <c:title>
          <c:tx>
            <c:rich>
              <a:bodyPr rot="0" spcFirstLastPara="1" vertOverflow="ellipsis" vert="horz" wrap="square" anchor="ctr" anchorCtr="1"/>
              <a:lstStyle/>
              <a:p>
                <a:pPr>
                  <a:defRPr sz="1000" b="0" i="0" u="none" strike="noStrike" kern="1200" cap="none" baseline="0">
                    <a:solidFill>
                      <a:schemeClr val="tx1"/>
                    </a:solidFill>
                    <a:latin typeface="+mn-lt"/>
                    <a:ea typeface="+mn-ea"/>
                    <a:cs typeface="+mn-cs"/>
                  </a:defRPr>
                </a:pPr>
                <a:r>
                  <a:rPr lang="en-GB" sz="1000" cap="none">
                    <a:solidFill>
                      <a:schemeClr val="tx1"/>
                    </a:solidFill>
                  </a:rPr>
                  <a:t>Year</a:t>
                </a:r>
              </a:p>
            </c:rich>
          </c:tx>
          <c:overlay val="0"/>
          <c:spPr>
            <a:noFill/>
            <a:ln>
              <a:noFill/>
            </a:ln>
            <a:effectLst/>
          </c:spPr>
          <c:txPr>
            <a:bodyPr rot="0" spcFirstLastPara="1" vertOverflow="ellipsis" vert="horz" wrap="square" anchor="ctr" anchorCtr="1"/>
            <a:lstStyle/>
            <a:p>
              <a:pPr>
                <a:defRPr sz="1000" b="0" i="0" u="none" strike="noStrike" kern="1200" cap="none"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000" b="0" i="0" u="none" strike="noStrike" kern="1200" cap="all" spc="0" normalizeH="0" baseline="0">
                <a:solidFill>
                  <a:schemeClr val="tx1"/>
                </a:solidFill>
                <a:latin typeface="+mn-lt"/>
                <a:ea typeface="+mn-ea"/>
                <a:cs typeface="+mn-cs"/>
              </a:defRPr>
            </a:pPr>
            <a:endParaRPr lang="en-US"/>
          </a:p>
        </c:txPr>
        <c:crossAx val="695914543"/>
        <c:crosses val="autoZero"/>
        <c:auto val="1"/>
        <c:lblAlgn val="ctr"/>
        <c:lblOffset val="100"/>
        <c:noMultiLvlLbl val="0"/>
      </c:catAx>
      <c:valAx>
        <c:axId val="695914543"/>
        <c:scaling>
          <c:orientation val="minMax"/>
        </c:scaling>
        <c:delete val="0"/>
        <c:axPos val="l"/>
        <c:title>
          <c:tx>
            <c:rich>
              <a:bodyPr rot="-5400000" spcFirstLastPara="1" vertOverflow="ellipsis" vert="horz" wrap="square" anchor="ctr" anchorCtr="1"/>
              <a:lstStyle/>
              <a:p>
                <a:pPr>
                  <a:defRPr sz="1000" b="1" i="0" u="none" strike="noStrike" kern="1200" cap="none" baseline="0">
                    <a:solidFill>
                      <a:schemeClr val="tx1"/>
                    </a:solidFill>
                    <a:latin typeface="+mn-lt"/>
                    <a:ea typeface="+mn-ea"/>
                    <a:cs typeface="+mn-cs"/>
                  </a:defRPr>
                </a:pPr>
                <a:r>
                  <a:rPr lang="en-GB" sz="1000" b="1" cap="none">
                    <a:solidFill>
                      <a:schemeClr val="tx1"/>
                    </a:solidFill>
                  </a:rPr>
                  <a:t>Proportion</a:t>
                </a: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chemeClr val="tx1"/>
                  </a:solidFill>
                  <a:latin typeface="+mn-lt"/>
                  <a:ea typeface="+mn-ea"/>
                  <a:cs typeface="+mn-cs"/>
                </a:defRPr>
              </a:pPr>
              <a:endParaRPr lang="en-US"/>
            </a:p>
          </c:txPr>
        </c:title>
        <c:numFmt formatCode="0%" sourceLinked="1"/>
        <c:majorTickMark val="out"/>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18657424"/>
        <c:crosses val="autoZero"/>
        <c:crossBetween val="between"/>
      </c:valAx>
      <c:spPr>
        <a:noFill/>
        <a:ln>
          <a:noFill/>
        </a:ln>
        <a:effectLst/>
      </c:spPr>
    </c:plotArea>
    <c:legend>
      <c:legendPos val="b"/>
      <c:legendEntry>
        <c:idx val="2"/>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2.5b'!$A$3</c:f>
              <c:strCache>
                <c:ptCount val="1"/>
                <c:pt idx="0">
                  <c:v>Alice Springs Remote</c:v>
                </c:pt>
              </c:strCache>
            </c:strRef>
          </c:tx>
          <c:cat>
            <c:numRef>
              <c:f>'Figure 2.5b'!$B$2:$S$2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2.5b'!$B$3:$S$3</c:f>
              <c:numCache>
                <c:formatCode>0%</c:formatCode>
                <c:ptCount val="18"/>
                <c:pt idx="0">
                  <c:v>0.22</c:v>
                </c:pt>
                <c:pt idx="1">
                  <c:v>0.33</c:v>
                </c:pt>
                <c:pt idx="2">
                  <c:v>0.33</c:v>
                </c:pt>
                <c:pt idx="3">
                  <c:v>0.33</c:v>
                </c:pt>
                <c:pt idx="4">
                  <c:v>0.14000000000000001</c:v>
                </c:pt>
                <c:pt idx="5">
                  <c:v>0.09</c:v>
                </c:pt>
                <c:pt idx="6">
                  <c:v>0.10232558139534884</c:v>
                </c:pt>
                <c:pt idx="7" formatCode="0.0%">
                  <c:v>0.16</c:v>
                </c:pt>
                <c:pt idx="8" formatCode="0.0%">
                  <c:v>0.127</c:v>
                </c:pt>
                <c:pt idx="9" formatCode="0.0%">
                  <c:v>0.157</c:v>
                </c:pt>
                <c:pt idx="10" formatCode="0.00%">
                  <c:v>0.13700000000000001</c:v>
                </c:pt>
                <c:pt idx="11" formatCode="0.0%">
                  <c:v>0.13600000000000001</c:v>
                </c:pt>
                <c:pt idx="12" formatCode="0.0%">
                  <c:v>0.185</c:v>
                </c:pt>
                <c:pt idx="13" formatCode="0.0%">
                  <c:v>0.13</c:v>
                </c:pt>
                <c:pt idx="14" formatCode="0.0%">
                  <c:v>7.0000000000000007E-2</c:v>
                </c:pt>
                <c:pt idx="15" formatCode="0.0%">
                  <c:v>3.6000000000000004E-2</c:v>
                </c:pt>
                <c:pt idx="16" formatCode="0.0%">
                  <c:v>7.1038253605365753E-2</c:v>
                </c:pt>
                <c:pt idx="17" formatCode="0.0%">
                  <c:v>5.0420168787240982E-2</c:v>
                </c:pt>
              </c:numCache>
            </c:numRef>
          </c:val>
          <c:smooth val="0"/>
          <c:extLst>
            <c:ext xmlns:c16="http://schemas.microsoft.com/office/drawing/2014/chart" uri="{C3380CC4-5D6E-409C-BE32-E72D297353CC}">
              <c16:uniqueId val="{00000000-6493-4CEB-A554-2CA15D26D4BC}"/>
            </c:ext>
          </c:extLst>
        </c:ser>
        <c:ser>
          <c:idx val="1"/>
          <c:order val="1"/>
          <c:tx>
            <c:strRef>
              <c:f>'Figure 2.5b'!$A$4</c:f>
              <c:strCache>
                <c:ptCount val="1"/>
                <c:pt idx="0">
                  <c:v>Barkly</c:v>
                </c:pt>
              </c:strCache>
            </c:strRef>
          </c:tx>
          <c:cat>
            <c:numRef>
              <c:f>'Figure 2.5b'!$B$2:$S$2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2.5b'!$B$4:$S$4</c:f>
              <c:numCache>
                <c:formatCode>0%</c:formatCode>
                <c:ptCount val="18"/>
                <c:pt idx="0">
                  <c:v>0.3</c:v>
                </c:pt>
                <c:pt idx="1">
                  <c:v>0.61</c:v>
                </c:pt>
                <c:pt idx="2">
                  <c:v>0.45</c:v>
                </c:pt>
                <c:pt idx="3">
                  <c:v>0.2</c:v>
                </c:pt>
                <c:pt idx="4">
                  <c:v>0.08</c:v>
                </c:pt>
                <c:pt idx="5">
                  <c:v>0.05</c:v>
                </c:pt>
                <c:pt idx="6" formatCode="0.0%">
                  <c:v>4.2105263157894701E-2</c:v>
                </c:pt>
                <c:pt idx="7" formatCode="0.0%">
                  <c:v>0.24299999999999999</c:v>
                </c:pt>
                <c:pt idx="8" formatCode="0.0%">
                  <c:v>9.1999999999999998E-2</c:v>
                </c:pt>
                <c:pt idx="9" formatCode="0.0%">
                  <c:v>9.3000000000000013E-2</c:v>
                </c:pt>
                <c:pt idx="10" formatCode="0.0%">
                  <c:v>3.7000000000000005E-2</c:v>
                </c:pt>
                <c:pt idx="11" formatCode="0.0%">
                  <c:v>6.2E-2</c:v>
                </c:pt>
                <c:pt idx="12" formatCode="0.0%">
                  <c:v>8.3000000000000004E-2</c:v>
                </c:pt>
                <c:pt idx="13" formatCode="0.0%">
                  <c:v>9.4E-2</c:v>
                </c:pt>
                <c:pt idx="14" formatCode="0.0%">
                  <c:v>8.5999999999999993E-2</c:v>
                </c:pt>
                <c:pt idx="15" formatCode="0.0%">
                  <c:v>4.4999999999999998E-2</c:v>
                </c:pt>
                <c:pt idx="16" formatCode="0.0%">
                  <c:v>1.5151515603065491E-2</c:v>
                </c:pt>
                <c:pt idx="17" formatCode="0.0%">
                  <c:v>3.4843205939978361E-3</c:v>
                </c:pt>
              </c:numCache>
            </c:numRef>
          </c:val>
          <c:smooth val="0"/>
          <c:extLst>
            <c:ext xmlns:c16="http://schemas.microsoft.com/office/drawing/2014/chart" uri="{C3380CC4-5D6E-409C-BE32-E72D297353CC}">
              <c16:uniqueId val="{00000001-6493-4CEB-A554-2CA15D26D4BC}"/>
            </c:ext>
          </c:extLst>
        </c:ser>
        <c:ser>
          <c:idx val="2"/>
          <c:order val="2"/>
          <c:tx>
            <c:strRef>
              <c:f>'Figure 2.5b'!$A$5</c:f>
              <c:strCache>
                <c:ptCount val="1"/>
                <c:pt idx="0">
                  <c:v>Darwin Rural</c:v>
                </c:pt>
              </c:strCache>
            </c:strRef>
          </c:tx>
          <c:cat>
            <c:numRef>
              <c:f>'Figure 2.5b'!$B$2:$S$2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2.5b'!$B$5:$S$5</c:f>
              <c:numCache>
                <c:formatCode>0%</c:formatCode>
                <c:ptCount val="18"/>
                <c:pt idx="0">
                  <c:v>7.0000000000000007E-2</c:v>
                </c:pt>
                <c:pt idx="1">
                  <c:v>0.21</c:v>
                </c:pt>
                <c:pt idx="2">
                  <c:v>0.02</c:v>
                </c:pt>
                <c:pt idx="3">
                  <c:v>0.04</c:v>
                </c:pt>
                <c:pt idx="4">
                  <c:v>0.04</c:v>
                </c:pt>
                <c:pt idx="5">
                  <c:v>0.02</c:v>
                </c:pt>
                <c:pt idx="6" formatCode="0.0%">
                  <c:v>2.1223470661672909E-2</c:v>
                </c:pt>
                <c:pt idx="7" formatCode="0.0%">
                  <c:v>1.1000000000000001E-2</c:v>
                </c:pt>
                <c:pt idx="8" formatCode="0.0%">
                  <c:v>0.01</c:v>
                </c:pt>
                <c:pt idx="9" formatCode="0.0%">
                  <c:v>1.2999999999999999E-2</c:v>
                </c:pt>
                <c:pt idx="10" formatCode="0.0%">
                  <c:v>7.0000000000000001E-3</c:v>
                </c:pt>
                <c:pt idx="11" formatCode="0.0%">
                  <c:v>5.0000000000000001E-3</c:v>
                </c:pt>
                <c:pt idx="12" formatCode="0.0%">
                  <c:v>0</c:v>
                </c:pt>
                <c:pt idx="13" formatCode="0.0%">
                  <c:v>4.0000000000000001E-3</c:v>
                </c:pt>
                <c:pt idx="14" formatCode="0.0%">
                  <c:v>7.0999999999999994E-2</c:v>
                </c:pt>
                <c:pt idx="15" formatCode="0.0%">
                  <c:v>0</c:v>
                </c:pt>
                <c:pt idx="16" formatCode="0.0%">
                  <c:v>0</c:v>
                </c:pt>
                <c:pt idx="17" formatCode="0.0%">
                  <c:v>2.777777798473835E-2</c:v>
                </c:pt>
              </c:numCache>
            </c:numRef>
          </c:val>
          <c:smooth val="0"/>
          <c:extLst>
            <c:ext xmlns:c16="http://schemas.microsoft.com/office/drawing/2014/chart" uri="{C3380CC4-5D6E-409C-BE32-E72D297353CC}">
              <c16:uniqueId val="{00000002-6493-4CEB-A554-2CA15D26D4BC}"/>
            </c:ext>
          </c:extLst>
        </c:ser>
        <c:ser>
          <c:idx val="3"/>
          <c:order val="3"/>
          <c:tx>
            <c:strRef>
              <c:f>'Figure 2.5b'!$A$6</c:f>
              <c:strCache>
                <c:ptCount val="1"/>
                <c:pt idx="0">
                  <c:v>East Arnhem</c:v>
                </c:pt>
              </c:strCache>
            </c:strRef>
          </c:tx>
          <c:cat>
            <c:numRef>
              <c:f>'Figure 2.5b'!$B$2:$S$2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2.5b'!$B$6:$S$6</c:f>
              <c:numCache>
                <c:formatCode>0%</c:formatCode>
                <c:ptCount val="18"/>
                <c:pt idx="0">
                  <c:v>0.06</c:v>
                </c:pt>
                <c:pt idx="1">
                  <c:v>0.04</c:v>
                </c:pt>
                <c:pt idx="2">
                  <c:v>0.01</c:v>
                </c:pt>
                <c:pt idx="3">
                  <c:v>0.01</c:v>
                </c:pt>
                <c:pt idx="4">
                  <c:v>0.04</c:v>
                </c:pt>
                <c:pt idx="5">
                  <c:v>0.01</c:v>
                </c:pt>
                <c:pt idx="6" formatCode="0.0%">
                  <c:v>1.4344262295081968E-2</c:v>
                </c:pt>
                <c:pt idx="7" formatCode="0.0%">
                  <c:v>1.2E-2</c:v>
                </c:pt>
                <c:pt idx="8" formatCode="0.0%">
                  <c:v>8.0000000000000002E-3</c:v>
                </c:pt>
                <c:pt idx="9" formatCode="0.0%">
                  <c:v>1.2E-2</c:v>
                </c:pt>
                <c:pt idx="10" formatCode="0.0%">
                  <c:v>3.7000000000000005E-2</c:v>
                </c:pt>
                <c:pt idx="11" formatCode="0.0%">
                  <c:v>0</c:v>
                </c:pt>
                <c:pt idx="12" formatCode="0.0%">
                  <c:v>0</c:v>
                </c:pt>
                <c:pt idx="13" formatCode="0.0%">
                  <c:v>0</c:v>
                </c:pt>
                <c:pt idx="14" formatCode="0.0%">
                  <c:v>0</c:v>
                </c:pt>
                <c:pt idx="15" formatCode="0.0%">
                  <c:v>0</c:v>
                </c:pt>
                <c:pt idx="16" formatCode="0.0%">
                  <c:v>0</c:v>
                </c:pt>
                <c:pt idx="17" formatCode="0.0%">
                  <c:v>0</c:v>
                </c:pt>
              </c:numCache>
            </c:numRef>
          </c:val>
          <c:smooth val="0"/>
          <c:extLst>
            <c:ext xmlns:c16="http://schemas.microsoft.com/office/drawing/2014/chart" uri="{C3380CC4-5D6E-409C-BE32-E72D297353CC}">
              <c16:uniqueId val="{00000003-6493-4CEB-A554-2CA15D26D4BC}"/>
            </c:ext>
          </c:extLst>
        </c:ser>
        <c:ser>
          <c:idx val="4"/>
          <c:order val="4"/>
          <c:tx>
            <c:strRef>
              <c:f>'Figure 2.5b'!$A$7</c:f>
              <c:strCache>
                <c:ptCount val="1"/>
                <c:pt idx="0">
                  <c:v>Katherine</c:v>
                </c:pt>
              </c:strCache>
            </c:strRef>
          </c:tx>
          <c:cat>
            <c:numRef>
              <c:f>'Figure 2.5b'!$B$2:$S$2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2.5b'!$B$7:$S$7</c:f>
              <c:numCache>
                <c:formatCode>0%</c:formatCode>
                <c:ptCount val="18"/>
                <c:pt idx="0">
                  <c:v>0.2</c:v>
                </c:pt>
                <c:pt idx="1">
                  <c:v>0.43</c:v>
                </c:pt>
                <c:pt idx="2">
                  <c:v>0.15</c:v>
                </c:pt>
                <c:pt idx="3">
                  <c:v>0.18</c:v>
                </c:pt>
                <c:pt idx="4">
                  <c:v>0.04</c:v>
                </c:pt>
                <c:pt idx="5">
                  <c:v>0.05</c:v>
                </c:pt>
                <c:pt idx="6" formatCode="0.0%">
                  <c:v>8.1081081081081086E-2</c:v>
                </c:pt>
                <c:pt idx="7" formatCode="0.0%">
                  <c:v>3.3000000000000002E-2</c:v>
                </c:pt>
                <c:pt idx="8" formatCode="0.0%">
                  <c:v>2.5999999999999999E-2</c:v>
                </c:pt>
                <c:pt idx="9" formatCode="0.0%">
                  <c:v>7.3999999999999996E-2</c:v>
                </c:pt>
                <c:pt idx="10" formatCode="0.0%">
                  <c:v>7.2000000000000008E-2</c:v>
                </c:pt>
                <c:pt idx="11" formatCode="0.0%">
                  <c:v>7.2999999999999995E-2</c:v>
                </c:pt>
                <c:pt idx="12" formatCode="0.0%">
                  <c:v>3.9E-2</c:v>
                </c:pt>
                <c:pt idx="13" formatCode="0.0%">
                  <c:v>7.4999999999999997E-2</c:v>
                </c:pt>
                <c:pt idx="14" formatCode="0.0%">
                  <c:v>0.16699999999999998</c:v>
                </c:pt>
                <c:pt idx="15" formatCode="0.0%">
                  <c:v>9.9000000000000005E-2</c:v>
                </c:pt>
                <c:pt idx="16" formatCode="0.0%">
                  <c:v>8.0508477985858917E-2</c:v>
                </c:pt>
                <c:pt idx="17" formatCode="0.0%">
                  <c:v>0.10384615510702133</c:v>
                </c:pt>
              </c:numCache>
            </c:numRef>
          </c:val>
          <c:smooth val="0"/>
          <c:extLst>
            <c:ext xmlns:c16="http://schemas.microsoft.com/office/drawing/2014/chart" uri="{C3380CC4-5D6E-409C-BE32-E72D297353CC}">
              <c16:uniqueId val="{00000004-6493-4CEB-A554-2CA15D26D4BC}"/>
            </c:ext>
          </c:extLst>
        </c:ser>
        <c:dLbls>
          <c:showLegendKey val="0"/>
          <c:showVal val="0"/>
          <c:showCatName val="0"/>
          <c:showSerName val="0"/>
          <c:showPercent val="0"/>
          <c:showBubbleSize val="0"/>
        </c:dLbls>
        <c:marker val="1"/>
        <c:smooth val="0"/>
        <c:axId val="141026048"/>
        <c:axId val="141027584"/>
      </c:lineChart>
      <c:catAx>
        <c:axId val="141026048"/>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41027584"/>
        <c:crosses val="autoZero"/>
        <c:auto val="1"/>
        <c:lblAlgn val="ctr"/>
        <c:lblOffset val="100"/>
        <c:noMultiLvlLbl val="0"/>
      </c:catAx>
      <c:valAx>
        <c:axId val="141027584"/>
        <c:scaling>
          <c:orientation val="minMax"/>
        </c:scaling>
        <c:delete val="0"/>
        <c:axPos val="l"/>
        <c:majorGridlines>
          <c:spPr>
            <a:ln>
              <a:noFill/>
            </a:ln>
          </c:spPr>
        </c:majorGridlines>
        <c:title>
          <c:tx>
            <c:rich>
              <a:bodyPr/>
              <a:lstStyle/>
              <a:p>
                <a:pPr>
                  <a:defRPr/>
                </a:pPr>
                <a:r>
                  <a:rPr lang="en-US"/>
                  <a:t>Proportion</a:t>
                </a:r>
              </a:p>
            </c:rich>
          </c:tx>
          <c:overlay val="0"/>
        </c:title>
        <c:numFmt formatCode="0%" sourceLinked="1"/>
        <c:majorTickMark val="out"/>
        <c:minorTickMark val="none"/>
        <c:tickLblPos val="nextTo"/>
        <c:crossAx val="14102604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2.5c'!$A$3</c:f>
              <c:strCache>
                <c:ptCount val="1"/>
                <c:pt idx="0">
                  <c:v>Alice Springs Remote</c:v>
                </c:pt>
              </c:strCache>
            </c:strRef>
          </c:tx>
          <c:cat>
            <c:numRef>
              <c:f>'Figure 2.5c'!$B$2:$S$2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2.5c'!$B$3:$S$3</c:f>
              <c:numCache>
                <c:formatCode>0.0%</c:formatCode>
                <c:ptCount val="18"/>
                <c:pt idx="0">
                  <c:v>0.21808510638297901</c:v>
                </c:pt>
                <c:pt idx="1">
                  <c:v>0.34146341463414598</c:v>
                </c:pt>
                <c:pt idx="2">
                  <c:v>0.358843537414966</c:v>
                </c:pt>
                <c:pt idx="3">
                  <c:v>0.34398782343987799</c:v>
                </c:pt>
                <c:pt idx="4">
                  <c:v>0.158892128279883</c:v>
                </c:pt>
                <c:pt idx="5">
                  <c:v>0.14161849710982699</c:v>
                </c:pt>
                <c:pt idx="6">
                  <c:v>0.13983050847457601</c:v>
                </c:pt>
                <c:pt idx="7">
                  <c:v>0.15881939564300801</c:v>
                </c:pt>
                <c:pt idx="8">
                  <c:v>0.115249472944483</c:v>
                </c:pt>
                <c:pt idx="9">
                  <c:v>0.13926499032882</c:v>
                </c:pt>
                <c:pt idx="10">
                  <c:v>0.123</c:v>
                </c:pt>
                <c:pt idx="11">
                  <c:v>0.122</c:v>
                </c:pt>
                <c:pt idx="12">
                  <c:v>0.183</c:v>
                </c:pt>
                <c:pt idx="13">
                  <c:v>0.127</c:v>
                </c:pt>
                <c:pt idx="14">
                  <c:v>6.8000000000000005E-2</c:v>
                </c:pt>
                <c:pt idx="15">
                  <c:v>3.5999999999999997E-2</c:v>
                </c:pt>
                <c:pt idx="16">
                  <c:v>6.6037736833095551E-2</c:v>
                </c:pt>
                <c:pt idx="17">
                  <c:v>4.9751244485378265E-2</c:v>
                </c:pt>
              </c:numCache>
            </c:numRef>
          </c:val>
          <c:smooth val="0"/>
          <c:extLst>
            <c:ext xmlns:c16="http://schemas.microsoft.com/office/drawing/2014/chart" uri="{C3380CC4-5D6E-409C-BE32-E72D297353CC}">
              <c16:uniqueId val="{00000000-FBBE-465C-A452-F9703BBDE25C}"/>
            </c:ext>
          </c:extLst>
        </c:ser>
        <c:ser>
          <c:idx val="1"/>
          <c:order val="1"/>
          <c:tx>
            <c:strRef>
              <c:f>'Figure 2.5c'!$A$4</c:f>
              <c:strCache>
                <c:ptCount val="1"/>
                <c:pt idx="0">
                  <c:v>Barkly</c:v>
                </c:pt>
              </c:strCache>
            </c:strRef>
          </c:tx>
          <c:cat>
            <c:numRef>
              <c:f>'Figure 2.5c'!$B$2:$S$2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2.5c'!$B$4:$S$4</c:f>
              <c:numCache>
                <c:formatCode>0.0%</c:formatCode>
                <c:ptCount val="18"/>
                <c:pt idx="0">
                  <c:v>0.296875</c:v>
                </c:pt>
                <c:pt idx="1">
                  <c:v>0.375</c:v>
                </c:pt>
                <c:pt idx="2">
                  <c:v>0.412903225806452</c:v>
                </c:pt>
                <c:pt idx="3">
                  <c:v>0.18614718614718601</c:v>
                </c:pt>
                <c:pt idx="4">
                  <c:v>9.9108027750247796E-2</c:v>
                </c:pt>
                <c:pt idx="5">
                  <c:v>4.9067713444553497E-2</c:v>
                </c:pt>
                <c:pt idx="6">
                  <c:v>4.08163265306122E-2</c:v>
                </c:pt>
                <c:pt idx="7">
                  <c:v>0.12687427912341401</c:v>
                </c:pt>
                <c:pt idx="8">
                  <c:v>0.107854630715123</c:v>
                </c:pt>
                <c:pt idx="9">
                  <c:v>9.4144661308840402E-2</c:v>
                </c:pt>
                <c:pt idx="10">
                  <c:v>3.4000000000000002E-2</c:v>
                </c:pt>
                <c:pt idx="11">
                  <c:v>6.0999999999999999E-2</c:v>
                </c:pt>
                <c:pt idx="12">
                  <c:v>6.4000000000000001E-2</c:v>
                </c:pt>
                <c:pt idx="13">
                  <c:v>9.4E-2</c:v>
                </c:pt>
                <c:pt idx="14">
                  <c:v>7.4999999999999997E-2</c:v>
                </c:pt>
                <c:pt idx="15">
                  <c:v>4.2000000000000003E-2</c:v>
                </c:pt>
                <c:pt idx="16">
                  <c:v>1.6E-2</c:v>
                </c:pt>
                <c:pt idx="17">
                  <c:v>6.0240961611270905E-3</c:v>
                </c:pt>
              </c:numCache>
            </c:numRef>
          </c:val>
          <c:smooth val="0"/>
          <c:extLst>
            <c:ext xmlns:c16="http://schemas.microsoft.com/office/drawing/2014/chart" uri="{C3380CC4-5D6E-409C-BE32-E72D297353CC}">
              <c16:uniqueId val="{00000001-FBBE-465C-A452-F9703BBDE25C}"/>
            </c:ext>
          </c:extLst>
        </c:ser>
        <c:ser>
          <c:idx val="2"/>
          <c:order val="2"/>
          <c:tx>
            <c:strRef>
              <c:f>'Figure 2.5c'!$A$5</c:f>
              <c:strCache>
                <c:ptCount val="1"/>
                <c:pt idx="0">
                  <c:v>Darwin Rural</c:v>
                </c:pt>
              </c:strCache>
            </c:strRef>
          </c:tx>
          <c:cat>
            <c:numRef>
              <c:f>'Figure 2.5c'!$B$2:$S$2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2.5c'!$B$5:$S$5</c:f>
              <c:numCache>
                <c:formatCode>0.0%</c:formatCode>
                <c:ptCount val="18"/>
                <c:pt idx="0">
                  <c:v>7.1216617210682495E-2</c:v>
                </c:pt>
                <c:pt idx="1">
                  <c:v>0.20270270270270299</c:v>
                </c:pt>
                <c:pt idx="2">
                  <c:v>2.7450980392156901E-2</c:v>
                </c:pt>
                <c:pt idx="3">
                  <c:v>4.35706695005314E-2</c:v>
                </c:pt>
                <c:pt idx="4">
                  <c:v>3.3281331253250099E-2</c:v>
                </c:pt>
                <c:pt idx="5">
                  <c:v>1.6939582156973498E-2</c:v>
                </c:pt>
                <c:pt idx="6">
                  <c:v>1.3807753584705301E-2</c:v>
                </c:pt>
                <c:pt idx="7">
                  <c:v>1.08794197642792E-2</c:v>
                </c:pt>
                <c:pt idx="8">
                  <c:v>1.08205590622182E-2</c:v>
                </c:pt>
                <c:pt idx="9">
                  <c:v>1.2E-2</c:v>
                </c:pt>
                <c:pt idx="10">
                  <c:v>6.3E-3</c:v>
                </c:pt>
                <c:pt idx="11">
                  <c:v>5.0000000000000001E-3</c:v>
                </c:pt>
                <c:pt idx="12">
                  <c:v>4.0000000000000001E-3</c:v>
                </c:pt>
                <c:pt idx="13">
                  <c:v>5.0000000000000001E-3</c:v>
                </c:pt>
                <c:pt idx="14">
                  <c:v>6.0000000000000001E-3</c:v>
                </c:pt>
                <c:pt idx="15">
                  <c:v>4.0000000000000001E-3</c:v>
                </c:pt>
                <c:pt idx="16">
                  <c:v>4.3057049624621868E-3</c:v>
                </c:pt>
                <c:pt idx="17">
                  <c:v>4.2964555323123932E-3</c:v>
                </c:pt>
              </c:numCache>
            </c:numRef>
          </c:val>
          <c:smooth val="0"/>
          <c:extLst>
            <c:ext xmlns:c16="http://schemas.microsoft.com/office/drawing/2014/chart" uri="{C3380CC4-5D6E-409C-BE32-E72D297353CC}">
              <c16:uniqueId val="{00000002-FBBE-465C-A452-F9703BBDE25C}"/>
            </c:ext>
          </c:extLst>
        </c:ser>
        <c:ser>
          <c:idx val="3"/>
          <c:order val="3"/>
          <c:tx>
            <c:strRef>
              <c:f>'Figure 2.5c'!$A$6</c:f>
              <c:strCache>
                <c:ptCount val="1"/>
                <c:pt idx="0">
                  <c:v>East Arnhem</c:v>
                </c:pt>
              </c:strCache>
            </c:strRef>
          </c:tx>
          <c:cat>
            <c:numRef>
              <c:f>'Figure 2.5c'!$B$2:$S$2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2.5c'!$B$6:$S$6</c:f>
              <c:numCache>
                <c:formatCode>0.0%</c:formatCode>
                <c:ptCount val="18"/>
                <c:pt idx="0">
                  <c:v>5.9620596205962099E-2</c:v>
                </c:pt>
                <c:pt idx="1">
                  <c:v>4.0476190476190499E-2</c:v>
                </c:pt>
                <c:pt idx="2">
                  <c:v>1.7811704834605601E-2</c:v>
                </c:pt>
                <c:pt idx="3">
                  <c:v>1.0141987829614601E-2</c:v>
                </c:pt>
                <c:pt idx="4">
                  <c:v>2.9166666666666698E-2</c:v>
                </c:pt>
                <c:pt idx="5">
                  <c:v>1.16279069767442E-2</c:v>
                </c:pt>
                <c:pt idx="6">
                  <c:v>1.31086142322097E-2</c:v>
                </c:pt>
                <c:pt idx="7">
                  <c:v>1.13636363636364E-2</c:v>
                </c:pt>
                <c:pt idx="8">
                  <c:v>1.1444921316166E-2</c:v>
                </c:pt>
                <c:pt idx="9">
                  <c:v>0.01</c:v>
                </c:pt>
                <c:pt idx="10">
                  <c:v>7.2999999999999996E-4</c:v>
                </c:pt>
                <c:pt idx="11">
                  <c:v>0</c:v>
                </c:pt>
                <c:pt idx="12">
                  <c:v>0</c:v>
                </c:pt>
                <c:pt idx="13">
                  <c:v>0</c:v>
                </c:pt>
                <c:pt idx="14">
                  <c:v>0</c:v>
                </c:pt>
                <c:pt idx="15">
                  <c:v>0</c:v>
                </c:pt>
                <c:pt idx="16">
                  <c:v>0</c:v>
                </c:pt>
                <c:pt idx="17">
                  <c:v>0</c:v>
                </c:pt>
              </c:numCache>
            </c:numRef>
          </c:val>
          <c:smooth val="0"/>
          <c:extLst>
            <c:ext xmlns:c16="http://schemas.microsoft.com/office/drawing/2014/chart" uri="{C3380CC4-5D6E-409C-BE32-E72D297353CC}">
              <c16:uniqueId val="{00000003-FBBE-465C-A452-F9703BBDE25C}"/>
            </c:ext>
          </c:extLst>
        </c:ser>
        <c:ser>
          <c:idx val="4"/>
          <c:order val="4"/>
          <c:tx>
            <c:strRef>
              <c:f>'Figure 2.5c'!$A$7</c:f>
              <c:strCache>
                <c:ptCount val="1"/>
                <c:pt idx="0">
                  <c:v>Katherine</c:v>
                </c:pt>
              </c:strCache>
            </c:strRef>
          </c:tx>
          <c:cat>
            <c:numRef>
              <c:f>'Figure 2.5c'!$B$2:$S$2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2.5c'!$B$7:$S$7</c:f>
              <c:numCache>
                <c:formatCode>0.0%</c:formatCode>
                <c:ptCount val="18"/>
                <c:pt idx="0">
                  <c:v>0.19500000000000001</c:v>
                </c:pt>
                <c:pt idx="1">
                  <c:v>0.27338129496402902</c:v>
                </c:pt>
                <c:pt idx="2">
                  <c:v>0.14341846758349699</c:v>
                </c:pt>
                <c:pt idx="3">
                  <c:v>0.16412213740458001</c:v>
                </c:pt>
                <c:pt idx="4">
                  <c:v>6.25E-2</c:v>
                </c:pt>
                <c:pt idx="5">
                  <c:v>5.7996485061511401E-2</c:v>
                </c:pt>
                <c:pt idx="6">
                  <c:v>5.6384742951907103E-2</c:v>
                </c:pt>
                <c:pt idx="7">
                  <c:v>3.8461538461538498E-2</c:v>
                </c:pt>
                <c:pt idx="8">
                  <c:v>3.0013642564802202E-2</c:v>
                </c:pt>
                <c:pt idx="9">
                  <c:v>7.3394495412843999E-2</c:v>
                </c:pt>
                <c:pt idx="10">
                  <c:v>6.5000000000000002E-2</c:v>
                </c:pt>
                <c:pt idx="11">
                  <c:v>6.5000000000000002E-2</c:v>
                </c:pt>
                <c:pt idx="12">
                  <c:v>4.7E-2</c:v>
                </c:pt>
                <c:pt idx="13">
                  <c:v>7.4999999999999997E-2</c:v>
                </c:pt>
                <c:pt idx="14">
                  <c:v>7.1999999999999995E-2</c:v>
                </c:pt>
                <c:pt idx="15">
                  <c:v>4.2000000000000003E-2</c:v>
                </c:pt>
                <c:pt idx="16">
                  <c:v>3.5000000000000003E-2</c:v>
                </c:pt>
                <c:pt idx="17">
                  <c:v>4.6548955142498016E-2</c:v>
                </c:pt>
              </c:numCache>
            </c:numRef>
          </c:val>
          <c:smooth val="0"/>
          <c:extLst>
            <c:ext xmlns:c16="http://schemas.microsoft.com/office/drawing/2014/chart" uri="{C3380CC4-5D6E-409C-BE32-E72D297353CC}">
              <c16:uniqueId val="{00000004-FBBE-465C-A452-F9703BBDE25C}"/>
            </c:ext>
          </c:extLst>
        </c:ser>
        <c:dLbls>
          <c:showLegendKey val="0"/>
          <c:showVal val="0"/>
          <c:showCatName val="0"/>
          <c:showSerName val="0"/>
          <c:showPercent val="0"/>
          <c:showBubbleSize val="0"/>
        </c:dLbls>
        <c:marker val="1"/>
        <c:smooth val="0"/>
        <c:axId val="141452800"/>
        <c:axId val="141454336"/>
      </c:lineChart>
      <c:catAx>
        <c:axId val="141452800"/>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41454336"/>
        <c:crosses val="autoZero"/>
        <c:auto val="1"/>
        <c:lblAlgn val="ctr"/>
        <c:lblOffset val="100"/>
        <c:noMultiLvlLbl val="0"/>
      </c:catAx>
      <c:valAx>
        <c:axId val="141454336"/>
        <c:scaling>
          <c:orientation val="minMax"/>
          <c:max val="0.70000000000000007"/>
          <c:min val="0"/>
        </c:scaling>
        <c:delete val="0"/>
        <c:axPos val="l"/>
        <c:majorGridlines>
          <c:spPr>
            <a:ln>
              <a:noFill/>
            </a:ln>
          </c:spPr>
        </c:majorGridlines>
        <c:title>
          <c:tx>
            <c:rich>
              <a:bodyPr/>
              <a:lstStyle/>
              <a:p>
                <a:pPr>
                  <a:defRPr/>
                </a:pPr>
                <a:r>
                  <a:rPr lang="en-US"/>
                  <a:t>Proportion</a:t>
                </a:r>
              </a:p>
            </c:rich>
          </c:tx>
          <c:overlay val="0"/>
        </c:title>
        <c:numFmt formatCode="0%" sourceLinked="0"/>
        <c:majorTickMark val="out"/>
        <c:minorTickMark val="none"/>
        <c:tickLblPos val="nextTo"/>
        <c:crossAx val="14145280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2.6'!$A$3</c:f>
              <c:strCache>
                <c:ptCount val="1"/>
                <c:pt idx="0">
                  <c:v>≥20%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2.6'!$B$2:$E$2</c:f>
              <c:strCache>
                <c:ptCount val="4"/>
                <c:pt idx="0">
                  <c:v>Alice Springs Remote (n=26)</c:v>
                </c:pt>
                <c:pt idx="1">
                  <c:v>Barkly 
(n=8)</c:v>
                </c:pt>
                <c:pt idx="2">
                  <c:v>Darwin Rural (n=2)</c:v>
                </c:pt>
                <c:pt idx="3">
                  <c:v>Katherine 
(n=9)</c:v>
                </c:pt>
              </c:strCache>
            </c:strRef>
          </c:cat>
          <c:val>
            <c:numRef>
              <c:f>'Figure 2.6'!$B$3:$E$3</c:f>
              <c:numCache>
                <c:formatCode>General</c:formatCode>
                <c:ptCount val="4"/>
                <c:pt idx="0">
                  <c:v>2</c:v>
                </c:pt>
                <c:pt idx="3">
                  <c:v>2</c:v>
                </c:pt>
              </c:numCache>
            </c:numRef>
          </c:val>
          <c:extLst>
            <c:ext xmlns:c16="http://schemas.microsoft.com/office/drawing/2014/chart" uri="{C3380CC4-5D6E-409C-BE32-E72D297353CC}">
              <c16:uniqueId val="{00000000-6F2B-4D20-AAD8-2E9929C48120}"/>
            </c:ext>
          </c:extLst>
        </c:ser>
        <c:ser>
          <c:idx val="1"/>
          <c:order val="1"/>
          <c:tx>
            <c:strRef>
              <c:f>'Figure 2.6'!$A$4</c:f>
              <c:strCache>
                <c:ptCount val="1"/>
                <c:pt idx="0">
                  <c:v>≥10% to &lt;20%</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2.6'!$B$2:$E$2</c:f>
              <c:strCache>
                <c:ptCount val="4"/>
                <c:pt idx="0">
                  <c:v>Alice Springs Remote (n=26)</c:v>
                </c:pt>
                <c:pt idx="1">
                  <c:v>Barkly 
(n=8)</c:v>
                </c:pt>
                <c:pt idx="2">
                  <c:v>Darwin Rural (n=2)</c:v>
                </c:pt>
                <c:pt idx="3">
                  <c:v>Katherine 
(n=9)</c:v>
                </c:pt>
              </c:strCache>
            </c:strRef>
          </c:cat>
          <c:val>
            <c:numRef>
              <c:f>'Figure 2.6'!$B$4:$E$4</c:f>
              <c:numCache>
                <c:formatCode>General</c:formatCode>
                <c:ptCount val="4"/>
                <c:pt idx="0">
                  <c:v>4</c:v>
                </c:pt>
                <c:pt idx="3">
                  <c:v>1</c:v>
                </c:pt>
              </c:numCache>
            </c:numRef>
          </c:val>
          <c:extLst>
            <c:ext xmlns:c16="http://schemas.microsoft.com/office/drawing/2014/chart" uri="{C3380CC4-5D6E-409C-BE32-E72D297353CC}">
              <c16:uniqueId val="{00000001-6F2B-4D20-AAD8-2E9929C48120}"/>
            </c:ext>
          </c:extLst>
        </c:ser>
        <c:ser>
          <c:idx val="2"/>
          <c:order val="2"/>
          <c:tx>
            <c:strRef>
              <c:f>'Figure 2.6'!$A$5</c:f>
              <c:strCache>
                <c:ptCount val="1"/>
                <c:pt idx="0">
                  <c:v>≥5% to &lt;10%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2.6'!$B$2:$E$2</c:f>
              <c:strCache>
                <c:ptCount val="4"/>
                <c:pt idx="0">
                  <c:v>Alice Springs Remote (n=26)</c:v>
                </c:pt>
                <c:pt idx="1">
                  <c:v>Barkly 
(n=8)</c:v>
                </c:pt>
                <c:pt idx="2">
                  <c:v>Darwin Rural (n=2)</c:v>
                </c:pt>
                <c:pt idx="3">
                  <c:v>Katherine 
(n=9)</c:v>
                </c:pt>
              </c:strCache>
            </c:strRef>
          </c:cat>
          <c:val>
            <c:numRef>
              <c:f>'Figure 2.6'!$B$5:$E$5</c:f>
              <c:numCache>
                <c:formatCode>General</c:formatCode>
                <c:ptCount val="4"/>
                <c:pt idx="2">
                  <c:v>1</c:v>
                </c:pt>
                <c:pt idx="3">
                  <c:v>2</c:v>
                </c:pt>
              </c:numCache>
            </c:numRef>
          </c:val>
          <c:extLst>
            <c:ext xmlns:c16="http://schemas.microsoft.com/office/drawing/2014/chart" uri="{C3380CC4-5D6E-409C-BE32-E72D297353CC}">
              <c16:uniqueId val="{00000002-6F2B-4D20-AAD8-2E9929C48120}"/>
            </c:ext>
          </c:extLst>
        </c:ser>
        <c:ser>
          <c:idx val="3"/>
          <c:order val="3"/>
          <c:tx>
            <c:strRef>
              <c:f>'Figure 2.6'!$A$6</c:f>
              <c:strCache>
                <c:ptCount val="1"/>
                <c:pt idx="0">
                  <c:v>&gt;0% to &lt;5%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2.6'!$B$2:$E$2</c:f>
              <c:strCache>
                <c:ptCount val="4"/>
                <c:pt idx="0">
                  <c:v>Alice Springs Remote (n=26)</c:v>
                </c:pt>
                <c:pt idx="1">
                  <c:v>Barkly 
(n=8)</c:v>
                </c:pt>
                <c:pt idx="2">
                  <c:v>Darwin Rural (n=2)</c:v>
                </c:pt>
                <c:pt idx="3">
                  <c:v>Katherine 
(n=9)</c:v>
                </c:pt>
              </c:strCache>
            </c:strRef>
          </c:cat>
          <c:val>
            <c:numRef>
              <c:f>'Figure 2.6'!$B$6:$E$6</c:f>
              <c:numCache>
                <c:formatCode>General</c:formatCode>
                <c:ptCount val="4"/>
                <c:pt idx="0">
                  <c:v>5</c:v>
                </c:pt>
                <c:pt idx="1">
                  <c:v>1</c:v>
                </c:pt>
              </c:numCache>
            </c:numRef>
          </c:val>
          <c:extLst>
            <c:ext xmlns:c16="http://schemas.microsoft.com/office/drawing/2014/chart" uri="{C3380CC4-5D6E-409C-BE32-E72D297353CC}">
              <c16:uniqueId val="{00000003-6F2B-4D20-AAD8-2E9929C48120}"/>
            </c:ext>
          </c:extLst>
        </c:ser>
        <c:ser>
          <c:idx val="4"/>
          <c:order val="4"/>
          <c:tx>
            <c:strRef>
              <c:f>'Figure 2.6'!$A$7</c:f>
              <c:strCache>
                <c:ptCount val="1"/>
                <c:pt idx="0">
                  <c:v>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2.6'!$B$2:$E$2</c:f>
              <c:strCache>
                <c:ptCount val="4"/>
                <c:pt idx="0">
                  <c:v>Alice Springs Remote (n=26)</c:v>
                </c:pt>
                <c:pt idx="1">
                  <c:v>Barkly 
(n=8)</c:v>
                </c:pt>
                <c:pt idx="2">
                  <c:v>Darwin Rural (n=2)</c:v>
                </c:pt>
                <c:pt idx="3">
                  <c:v>Katherine 
(n=9)</c:v>
                </c:pt>
              </c:strCache>
            </c:strRef>
          </c:cat>
          <c:val>
            <c:numRef>
              <c:f>'Figure 2.6'!$B$7:$E$7</c:f>
              <c:numCache>
                <c:formatCode>General</c:formatCode>
                <c:ptCount val="4"/>
                <c:pt idx="0">
                  <c:v>15</c:v>
                </c:pt>
                <c:pt idx="1">
                  <c:v>7</c:v>
                </c:pt>
                <c:pt idx="2">
                  <c:v>1</c:v>
                </c:pt>
                <c:pt idx="3">
                  <c:v>4</c:v>
                </c:pt>
              </c:numCache>
            </c:numRef>
          </c:val>
          <c:extLst>
            <c:ext xmlns:c16="http://schemas.microsoft.com/office/drawing/2014/chart" uri="{C3380CC4-5D6E-409C-BE32-E72D297353CC}">
              <c16:uniqueId val="{00000004-6F2B-4D20-AAD8-2E9929C48120}"/>
            </c:ext>
          </c:extLst>
        </c:ser>
        <c:dLbls>
          <c:dLblPos val="ctr"/>
          <c:showLegendKey val="0"/>
          <c:showVal val="1"/>
          <c:showCatName val="0"/>
          <c:showSerName val="0"/>
          <c:showPercent val="0"/>
          <c:showBubbleSize val="0"/>
        </c:dLbls>
        <c:gapWidth val="150"/>
        <c:overlap val="100"/>
        <c:axId val="551096432"/>
        <c:axId val="308655984"/>
      </c:barChart>
      <c:catAx>
        <c:axId val="5510964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Region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898989"/>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08655984"/>
        <c:crosses val="autoZero"/>
        <c:auto val="1"/>
        <c:lblAlgn val="ctr"/>
        <c:lblOffset val="100"/>
        <c:noMultiLvlLbl val="0"/>
      </c:catAx>
      <c:valAx>
        <c:axId val="3086559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Number of communities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rgbClr val="898989"/>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109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2.7'!$A$3</c:f>
              <c:strCache>
                <c:ptCount val="1"/>
                <c:pt idx="0">
                  <c:v>Alice Springs Remote</c:v>
                </c:pt>
              </c:strCache>
            </c:strRef>
          </c:tx>
          <c:cat>
            <c:numRef>
              <c:f>'Figure 2.7'!$B$2:$S$2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2.7'!$B$3:$S$3</c:f>
              <c:numCache>
                <c:formatCode>0</c:formatCode>
                <c:ptCount val="18"/>
                <c:pt idx="0">
                  <c:v>78</c:v>
                </c:pt>
                <c:pt idx="1">
                  <c:v>1871</c:v>
                </c:pt>
                <c:pt idx="2">
                  <c:v>1938</c:v>
                </c:pt>
                <c:pt idx="3">
                  <c:v>2901</c:v>
                </c:pt>
                <c:pt idx="4">
                  <c:v>3179</c:v>
                </c:pt>
                <c:pt idx="5">
                  <c:v>2863</c:v>
                </c:pt>
                <c:pt idx="6">
                  <c:v>4206</c:v>
                </c:pt>
                <c:pt idx="7">
                  <c:v>5589</c:v>
                </c:pt>
                <c:pt idx="8">
                  <c:v>4693</c:v>
                </c:pt>
                <c:pt idx="9">
                  <c:v>6273</c:v>
                </c:pt>
                <c:pt idx="10">
                  <c:v>5121</c:v>
                </c:pt>
                <c:pt idx="11">
                  <c:v>3594</c:v>
                </c:pt>
                <c:pt idx="12">
                  <c:v>2639</c:v>
                </c:pt>
                <c:pt idx="13" formatCode="General">
                  <c:v>1238</c:v>
                </c:pt>
                <c:pt idx="14">
                  <c:v>771</c:v>
                </c:pt>
                <c:pt idx="15">
                  <c:v>282</c:v>
                </c:pt>
                <c:pt idx="16">
                  <c:v>1076</c:v>
                </c:pt>
                <c:pt idx="17" formatCode="General">
                  <c:v>763</c:v>
                </c:pt>
              </c:numCache>
            </c:numRef>
          </c:val>
          <c:smooth val="0"/>
          <c:extLst>
            <c:ext xmlns:c16="http://schemas.microsoft.com/office/drawing/2014/chart" uri="{C3380CC4-5D6E-409C-BE32-E72D297353CC}">
              <c16:uniqueId val="{00000000-5EA5-4A04-9588-E38C2D3282B6}"/>
            </c:ext>
          </c:extLst>
        </c:ser>
        <c:ser>
          <c:idx val="1"/>
          <c:order val="1"/>
          <c:tx>
            <c:strRef>
              <c:f>'Figure 2.7'!$A$4</c:f>
              <c:strCache>
                <c:ptCount val="1"/>
                <c:pt idx="0">
                  <c:v>Barkly</c:v>
                </c:pt>
              </c:strCache>
            </c:strRef>
          </c:tx>
          <c:cat>
            <c:numRef>
              <c:f>'Figure 2.7'!$B$2:$S$2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2.7'!$B$4:$S$4</c:f>
              <c:numCache>
                <c:formatCode>0</c:formatCode>
                <c:ptCount val="18"/>
                <c:pt idx="0">
                  <c:v>51</c:v>
                </c:pt>
                <c:pt idx="1">
                  <c:v>424</c:v>
                </c:pt>
                <c:pt idx="2">
                  <c:v>479</c:v>
                </c:pt>
                <c:pt idx="3">
                  <c:v>130</c:v>
                </c:pt>
                <c:pt idx="4">
                  <c:v>205</c:v>
                </c:pt>
                <c:pt idx="5">
                  <c:v>124</c:v>
                </c:pt>
                <c:pt idx="6">
                  <c:v>220</c:v>
                </c:pt>
                <c:pt idx="7">
                  <c:v>631</c:v>
                </c:pt>
                <c:pt idx="8">
                  <c:v>1220</c:v>
                </c:pt>
                <c:pt idx="9">
                  <c:v>0</c:v>
                </c:pt>
                <c:pt idx="10">
                  <c:v>125</c:v>
                </c:pt>
                <c:pt idx="11">
                  <c:v>619</c:v>
                </c:pt>
                <c:pt idx="12">
                  <c:v>291</c:v>
                </c:pt>
                <c:pt idx="13" formatCode="General">
                  <c:v>835</c:v>
                </c:pt>
                <c:pt idx="14">
                  <c:v>264</c:v>
                </c:pt>
                <c:pt idx="15">
                  <c:v>59</c:v>
                </c:pt>
                <c:pt idx="16">
                  <c:v>41</c:v>
                </c:pt>
                <c:pt idx="17" formatCode="General">
                  <c:v>15</c:v>
                </c:pt>
              </c:numCache>
            </c:numRef>
          </c:val>
          <c:smooth val="0"/>
          <c:extLst>
            <c:ext xmlns:c16="http://schemas.microsoft.com/office/drawing/2014/chart" uri="{C3380CC4-5D6E-409C-BE32-E72D297353CC}">
              <c16:uniqueId val="{00000001-5EA5-4A04-9588-E38C2D3282B6}"/>
            </c:ext>
          </c:extLst>
        </c:ser>
        <c:ser>
          <c:idx val="2"/>
          <c:order val="2"/>
          <c:tx>
            <c:strRef>
              <c:f>'Figure 2.7'!$A$5</c:f>
              <c:strCache>
                <c:ptCount val="1"/>
                <c:pt idx="0">
                  <c:v>Darwin Rural</c:v>
                </c:pt>
              </c:strCache>
            </c:strRef>
          </c:tx>
          <c:cat>
            <c:numRef>
              <c:f>'Figure 2.7'!$B$2:$S$2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2.7'!$B$5:$S$5</c:f>
              <c:numCache>
                <c:formatCode>0</c:formatCode>
                <c:ptCount val="18"/>
                <c:pt idx="1">
                  <c:v>622</c:v>
                </c:pt>
                <c:pt idx="2">
                  <c:v>53</c:v>
                </c:pt>
                <c:pt idx="3">
                  <c:v>765</c:v>
                </c:pt>
                <c:pt idx="4">
                  <c:v>1659</c:v>
                </c:pt>
                <c:pt idx="5">
                  <c:v>3402</c:v>
                </c:pt>
                <c:pt idx="6">
                  <c:v>3553</c:v>
                </c:pt>
                <c:pt idx="7">
                  <c:v>64</c:v>
                </c:pt>
                <c:pt idx="8">
                  <c:v>92</c:v>
                </c:pt>
                <c:pt idx="9">
                  <c:v>20</c:v>
                </c:pt>
                <c:pt idx="10">
                  <c:v>35</c:v>
                </c:pt>
                <c:pt idx="11">
                  <c:v>0</c:v>
                </c:pt>
                <c:pt idx="12">
                  <c:v>0</c:v>
                </c:pt>
                <c:pt idx="13">
                  <c:v>0</c:v>
                </c:pt>
                <c:pt idx="14">
                  <c:v>48</c:v>
                </c:pt>
                <c:pt idx="15">
                  <c:v>0</c:v>
                </c:pt>
                <c:pt idx="16" formatCode="General">
                  <c:v>0</c:v>
                </c:pt>
                <c:pt idx="17" formatCode="General">
                  <c:v>7</c:v>
                </c:pt>
              </c:numCache>
            </c:numRef>
          </c:val>
          <c:smooth val="0"/>
          <c:extLst>
            <c:ext xmlns:c16="http://schemas.microsoft.com/office/drawing/2014/chart" uri="{C3380CC4-5D6E-409C-BE32-E72D297353CC}">
              <c16:uniqueId val="{00000002-5EA5-4A04-9588-E38C2D3282B6}"/>
            </c:ext>
          </c:extLst>
        </c:ser>
        <c:ser>
          <c:idx val="3"/>
          <c:order val="3"/>
          <c:tx>
            <c:strRef>
              <c:f>'Figure 2.7'!$A$6</c:f>
              <c:strCache>
                <c:ptCount val="1"/>
                <c:pt idx="0">
                  <c:v>East Arnhem</c:v>
                </c:pt>
              </c:strCache>
            </c:strRef>
          </c:tx>
          <c:cat>
            <c:numRef>
              <c:f>'Figure 2.7'!$B$2:$S$2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2.7'!$B$6:$S$6</c:f>
              <c:numCache>
                <c:formatCode>0</c:formatCode>
                <c:ptCount val="18"/>
                <c:pt idx="1">
                  <c:v>110</c:v>
                </c:pt>
                <c:pt idx="2">
                  <c:v>54</c:v>
                </c:pt>
                <c:pt idx="3">
                  <c:v>1</c:v>
                </c:pt>
                <c:pt idx="4">
                  <c:v>223</c:v>
                </c:pt>
                <c:pt idx="5">
                  <c:v>147</c:v>
                </c:pt>
                <c:pt idx="6">
                  <c:v>81</c:v>
                </c:pt>
                <c:pt idx="7">
                  <c:v>64</c:v>
                </c:pt>
                <c:pt idx="8">
                  <c:v>0</c:v>
                </c:pt>
                <c:pt idx="9">
                  <c:v>93</c:v>
                </c:pt>
                <c:pt idx="10">
                  <c:v>6</c:v>
                </c:pt>
                <c:pt idx="11">
                  <c:v>0</c:v>
                </c:pt>
                <c:pt idx="12">
                  <c:v>0</c:v>
                </c:pt>
                <c:pt idx="13">
                  <c:v>0</c:v>
                </c:pt>
                <c:pt idx="14">
                  <c:v>0</c:v>
                </c:pt>
                <c:pt idx="15">
                  <c:v>0</c:v>
                </c:pt>
                <c:pt idx="16" formatCode="General">
                  <c:v>0</c:v>
                </c:pt>
                <c:pt idx="17" formatCode="General">
                  <c:v>0</c:v>
                </c:pt>
              </c:numCache>
            </c:numRef>
          </c:val>
          <c:smooth val="0"/>
          <c:extLst>
            <c:ext xmlns:c16="http://schemas.microsoft.com/office/drawing/2014/chart" uri="{C3380CC4-5D6E-409C-BE32-E72D297353CC}">
              <c16:uniqueId val="{00000003-5EA5-4A04-9588-E38C2D3282B6}"/>
            </c:ext>
          </c:extLst>
        </c:ser>
        <c:ser>
          <c:idx val="4"/>
          <c:order val="4"/>
          <c:tx>
            <c:strRef>
              <c:f>'Figure 2.7'!$A$7</c:f>
              <c:strCache>
                <c:ptCount val="1"/>
                <c:pt idx="0">
                  <c:v>Katherine</c:v>
                </c:pt>
              </c:strCache>
            </c:strRef>
          </c:tx>
          <c:cat>
            <c:numRef>
              <c:f>'Figure 2.7'!$B$2:$S$2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2.7'!$B$7:$S$7</c:f>
              <c:numCache>
                <c:formatCode>0</c:formatCode>
                <c:ptCount val="18"/>
                <c:pt idx="0">
                  <c:v>188</c:v>
                </c:pt>
                <c:pt idx="1">
                  <c:v>913</c:v>
                </c:pt>
                <c:pt idx="2">
                  <c:v>746</c:v>
                </c:pt>
                <c:pt idx="3">
                  <c:v>547</c:v>
                </c:pt>
                <c:pt idx="4">
                  <c:v>649</c:v>
                </c:pt>
                <c:pt idx="5">
                  <c:v>867</c:v>
                </c:pt>
                <c:pt idx="6">
                  <c:v>1172</c:v>
                </c:pt>
                <c:pt idx="7">
                  <c:v>1452</c:v>
                </c:pt>
                <c:pt idx="8">
                  <c:v>669</c:v>
                </c:pt>
                <c:pt idx="9">
                  <c:v>2276</c:v>
                </c:pt>
                <c:pt idx="10">
                  <c:v>1357</c:v>
                </c:pt>
                <c:pt idx="11">
                  <c:v>1348</c:v>
                </c:pt>
                <c:pt idx="12">
                  <c:v>737</c:v>
                </c:pt>
                <c:pt idx="13" formatCode="General">
                  <c:v>355</c:v>
                </c:pt>
                <c:pt idx="14">
                  <c:v>0</c:v>
                </c:pt>
                <c:pt idx="15">
                  <c:v>183</c:v>
                </c:pt>
                <c:pt idx="16">
                  <c:v>451</c:v>
                </c:pt>
                <c:pt idx="17" formatCode="General">
                  <c:v>797</c:v>
                </c:pt>
              </c:numCache>
            </c:numRef>
          </c:val>
          <c:smooth val="0"/>
          <c:extLst>
            <c:ext xmlns:c16="http://schemas.microsoft.com/office/drawing/2014/chart" uri="{C3380CC4-5D6E-409C-BE32-E72D297353CC}">
              <c16:uniqueId val="{00000004-5EA5-4A04-9588-E38C2D3282B6}"/>
            </c:ext>
          </c:extLst>
        </c:ser>
        <c:dLbls>
          <c:showLegendKey val="0"/>
          <c:showVal val="0"/>
          <c:showCatName val="0"/>
          <c:showSerName val="0"/>
          <c:showPercent val="0"/>
          <c:showBubbleSize val="0"/>
        </c:dLbls>
        <c:marker val="1"/>
        <c:smooth val="0"/>
        <c:axId val="141227520"/>
        <c:axId val="141229056"/>
      </c:lineChart>
      <c:catAx>
        <c:axId val="141227520"/>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41229056"/>
        <c:crosses val="autoZero"/>
        <c:auto val="1"/>
        <c:lblAlgn val="ctr"/>
        <c:lblOffset val="100"/>
        <c:noMultiLvlLbl val="0"/>
      </c:catAx>
      <c:valAx>
        <c:axId val="141229056"/>
        <c:scaling>
          <c:orientation val="minMax"/>
        </c:scaling>
        <c:delete val="0"/>
        <c:axPos val="l"/>
        <c:majorGridlines>
          <c:spPr>
            <a:ln>
              <a:noFill/>
            </a:ln>
          </c:spPr>
        </c:majorGridlines>
        <c:title>
          <c:tx>
            <c:rich>
              <a:bodyPr/>
              <a:lstStyle/>
              <a:p>
                <a:pPr>
                  <a:defRPr/>
                </a:pPr>
                <a:r>
                  <a:rPr lang="en-US"/>
                  <a:t>Number of doses</a:t>
                </a:r>
              </a:p>
            </c:rich>
          </c:tx>
          <c:overlay val="0"/>
        </c:title>
        <c:numFmt formatCode="0" sourceLinked="1"/>
        <c:majorTickMark val="out"/>
        <c:minorTickMark val="none"/>
        <c:tickLblPos val="nextTo"/>
        <c:crossAx val="141227520"/>
        <c:crosses val="autoZero"/>
        <c:crossBetween val="between"/>
      </c:valAx>
    </c:plotArea>
    <c:legend>
      <c:legendPos val="b"/>
      <c:layout>
        <c:manualLayout>
          <c:xMode val="edge"/>
          <c:yMode val="edge"/>
          <c:x val="9.434222422004819E-2"/>
          <c:y val="0.8846287405915495"/>
          <c:w val="0.8635916389051308"/>
          <c:h val="6.8366361510285925E-2"/>
        </c:manualLayout>
      </c:layout>
      <c:overlay val="0"/>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4.2'!$A$3</c:f>
              <c:strCache>
                <c:ptCount val="1"/>
                <c:pt idx="0">
                  <c:v>APY Lands</c:v>
                </c:pt>
              </c:strCache>
            </c:strRef>
          </c:tx>
          <c:cat>
            <c:numRef>
              <c:f>'Figure 4.2'!$B$2:$S$2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4.2'!$B$3:$S$3</c:f>
              <c:numCache>
                <c:formatCode>General</c:formatCode>
                <c:ptCount val="18"/>
                <c:pt idx="0">
                  <c:v>10</c:v>
                </c:pt>
                <c:pt idx="1">
                  <c:v>10</c:v>
                </c:pt>
                <c:pt idx="2">
                  <c:v>10</c:v>
                </c:pt>
                <c:pt idx="3">
                  <c:v>10</c:v>
                </c:pt>
                <c:pt idx="4">
                  <c:v>10</c:v>
                </c:pt>
                <c:pt idx="5">
                  <c:v>9</c:v>
                </c:pt>
                <c:pt idx="6">
                  <c:v>9</c:v>
                </c:pt>
                <c:pt idx="7">
                  <c:v>9</c:v>
                </c:pt>
                <c:pt idx="8">
                  <c:v>9</c:v>
                </c:pt>
                <c:pt idx="9">
                  <c:v>9</c:v>
                </c:pt>
                <c:pt idx="10">
                  <c:v>9</c:v>
                </c:pt>
                <c:pt idx="11">
                  <c:v>9</c:v>
                </c:pt>
                <c:pt idx="12">
                  <c:v>9</c:v>
                </c:pt>
                <c:pt idx="13">
                  <c:v>9</c:v>
                </c:pt>
                <c:pt idx="14">
                  <c:v>9</c:v>
                </c:pt>
                <c:pt idx="15">
                  <c:v>9</c:v>
                </c:pt>
                <c:pt idx="16">
                  <c:v>9</c:v>
                </c:pt>
                <c:pt idx="17">
                  <c:v>9</c:v>
                </c:pt>
              </c:numCache>
            </c:numRef>
          </c:val>
          <c:smooth val="0"/>
          <c:extLst>
            <c:ext xmlns:c16="http://schemas.microsoft.com/office/drawing/2014/chart" uri="{C3380CC4-5D6E-409C-BE32-E72D297353CC}">
              <c16:uniqueId val="{00000000-1E95-4ECC-B475-1A3047C0961C}"/>
            </c:ext>
          </c:extLst>
        </c:ser>
        <c:ser>
          <c:idx val="1"/>
          <c:order val="1"/>
          <c:tx>
            <c:strRef>
              <c:f>'Figure 4.2'!$A$4</c:f>
              <c:strCache>
                <c:ptCount val="1"/>
                <c:pt idx="0">
                  <c:v>Eyre and Western</c:v>
                </c:pt>
              </c:strCache>
            </c:strRef>
          </c:tx>
          <c:cat>
            <c:numRef>
              <c:f>'Figure 4.2'!$B$2:$S$2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4.2'!$B$4:$S$4</c:f>
              <c:numCache>
                <c:formatCode>General</c:formatCode>
                <c:ptCount val="18"/>
                <c:pt idx="0">
                  <c:v>23</c:v>
                </c:pt>
                <c:pt idx="1">
                  <c:v>23</c:v>
                </c:pt>
                <c:pt idx="2">
                  <c:v>23</c:v>
                </c:pt>
                <c:pt idx="3">
                  <c:v>23</c:v>
                </c:pt>
                <c:pt idx="4">
                  <c:v>23</c:v>
                </c:pt>
                <c:pt idx="5">
                  <c:v>6</c:v>
                </c:pt>
                <c:pt idx="6">
                  <c:v>5</c:v>
                </c:pt>
                <c:pt idx="7">
                  <c:v>4</c:v>
                </c:pt>
                <c:pt idx="8">
                  <c:v>4</c:v>
                </c:pt>
                <c:pt idx="9">
                  <c:v>4</c:v>
                </c:pt>
                <c:pt idx="10">
                  <c:v>4</c:v>
                </c:pt>
                <c:pt idx="11">
                  <c:v>3</c:v>
                </c:pt>
                <c:pt idx="12">
                  <c:v>3</c:v>
                </c:pt>
                <c:pt idx="13">
                  <c:v>3</c:v>
                </c:pt>
                <c:pt idx="14">
                  <c:v>3</c:v>
                </c:pt>
                <c:pt idx="15">
                  <c:v>1</c:v>
                </c:pt>
                <c:pt idx="16">
                  <c:v>1</c:v>
                </c:pt>
                <c:pt idx="17">
                  <c:v>4</c:v>
                </c:pt>
              </c:numCache>
            </c:numRef>
          </c:val>
          <c:smooth val="0"/>
          <c:extLst>
            <c:ext xmlns:c16="http://schemas.microsoft.com/office/drawing/2014/chart" uri="{C3380CC4-5D6E-409C-BE32-E72D297353CC}">
              <c16:uniqueId val="{00000001-1E95-4ECC-B475-1A3047C0961C}"/>
            </c:ext>
          </c:extLst>
        </c:ser>
        <c:ser>
          <c:idx val="3"/>
          <c:order val="2"/>
          <c:tx>
            <c:strRef>
              <c:f>'Figure 4.2'!$A$5</c:f>
              <c:strCache>
                <c:ptCount val="1"/>
                <c:pt idx="0">
                  <c:v>Far North </c:v>
                </c:pt>
              </c:strCache>
            </c:strRef>
          </c:tx>
          <c:spPr>
            <a:ln>
              <a:solidFill>
                <a:srgbClr val="D0C967"/>
              </a:solidFill>
            </a:ln>
          </c:spPr>
          <c:marker>
            <c:symbol val="triangle"/>
            <c:size val="7"/>
            <c:spPr>
              <a:solidFill>
                <a:srgbClr val="D0C967"/>
              </a:solidFill>
              <a:ln>
                <a:solidFill>
                  <a:srgbClr val="D0C967"/>
                </a:solidFill>
              </a:ln>
            </c:spPr>
          </c:marker>
          <c:cat>
            <c:numRef>
              <c:f>'Figure 4.2'!$B$2:$S$2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4.2'!$B$5:$S$5</c:f>
              <c:numCache>
                <c:formatCode>General</c:formatCode>
                <c:ptCount val="18"/>
                <c:pt idx="0">
                  <c:v>6</c:v>
                </c:pt>
                <c:pt idx="1">
                  <c:v>6</c:v>
                </c:pt>
                <c:pt idx="2">
                  <c:v>6</c:v>
                </c:pt>
                <c:pt idx="3">
                  <c:v>6</c:v>
                </c:pt>
                <c:pt idx="4">
                  <c:v>13</c:v>
                </c:pt>
                <c:pt idx="5">
                  <c:v>8</c:v>
                </c:pt>
                <c:pt idx="6">
                  <c:v>8</c:v>
                </c:pt>
                <c:pt idx="7">
                  <c:v>8</c:v>
                </c:pt>
                <c:pt idx="8">
                  <c:v>6</c:v>
                </c:pt>
                <c:pt idx="9">
                  <c:v>6</c:v>
                </c:pt>
                <c:pt idx="10">
                  <c:v>5</c:v>
                </c:pt>
                <c:pt idx="11">
                  <c:v>3</c:v>
                </c:pt>
                <c:pt idx="12">
                  <c:v>3</c:v>
                </c:pt>
                <c:pt idx="13">
                  <c:v>3</c:v>
                </c:pt>
                <c:pt idx="14">
                  <c:v>3</c:v>
                </c:pt>
                <c:pt idx="15">
                  <c:v>1</c:v>
                </c:pt>
                <c:pt idx="16">
                  <c:v>1</c:v>
                </c:pt>
                <c:pt idx="17">
                  <c:v>3</c:v>
                </c:pt>
              </c:numCache>
            </c:numRef>
          </c:val>
          <c:smooth val="0"/>
          <c:extLst>
            <c:ext xmlns:c16="http://schemas.microsoft.com/office/drawing/2014/chart" uri="{C3380CC4-5D6E-409C-BE32-E72D297353CC}">
              <c16:uniqueId val="{00000003-1E95-4ECC-B475-1A3047C0961C}"/>
            </c:ext>
          </c:extLst>
        </c:ser>
        <c:ser>
          <c:idx val="2"/>
          <c:order val="3"/>
          <c:tx>
            <c:strRef>
              <c:f>'Figure 4.2'!$A$6</c:f>
              <c:strCache>
                <c:ptCount val="1"/>
                <c:pt idx="0">
                  <c:v>Yorke and Mid North</c:v>
                </c:pt>
              </c:strCache>
            </c:strRef>
          </c:tx>
          <c:spPr>
            <a:ln>
              <a:solidFill>
                <a:srgbClr val="91A099"/>
              </a:solidFill>
            </a:ln>
          </c:spPr>
          <c:marker>
            <c:symbol val="x"/>
            <c:size val="7"/>
            <c:spPr>
              <a:ln>
                <a:solidFill>
                  <a:srgbClr val="91A099"/>
                </a:solidFill>
              </a:ln>
            </c:spPr>
          </c:marker>
          <c:cat>
            <c:numRef>
              <c:f>'Figure 4.2'!$B$2:$S$2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4.2'!$B$6:$S$6</c:f>
              <c:numCache>
                <c:formatCode>General</c:formatCode>
                <c:ptCount val="18"/>
                <c:pt idx="0">
                  <c:v>29</c:v>
                </c:pt>
                <c:pt idx="1">
                  <c:v>33</c:v>
                </c:pt>
                <c:pt idx="2">
                  <c:v>33</c:v>
                </c:pt>
                <c:pt idx="3">
                  <c:v>33</c:v>
                </c:pt>
                <c:pt idx="4">
                  <c:v>26</c:v>
                </c:pt>
                <c:pt idx="5">
                  <c:v>15</c:v>
                </c:pt>
                <c:pt idx="6">
                  <c:v>0</c:v>
                </c:pt>
                <c:pt idx="7">
                  <c:v>0</c:v>
                </c:pt>
                <c:pt idx="8">
                  <c:v>0</c:v>
                </c:pt>
                <c:pt idx="9">
                  <c:v>0</c:v>
                </c:pt>
                <c:pt idx="10">
                  <c:v>0</c:v>
                </c:pt>
                <c:pt idx="11">
                  <c:v>0</c:v>
                </c:pt>
                <c:pt idx="12">
                  <c:v>0</c:v>
                </c:pt>
                <c:pt idx="13">
                  <c:v>0</c:v>
                </c:pt>
                <c:pt idx="14">
                  <c:v>0</c:v>
                </c:pt>
              </c:numCache>
            </c:numRef>
          </c:val>
          <c:smooth val="0"/>
          <c:extLst>
            <c:ext xmlns:c16="http://schemas.microsoft.com/office/drawing/2014/chart" uri="{C3380CC4-5D6E-409C-BE32-E72D297353CC}">
              <c16:uniqueId val="{00000002-1E95-4ECC-B475-1A3047C0961C}"/>
            </c:ext>
          </c:extLst>
        </c:ser>
        <c:dLbls>
          <c:showLegendKey val="0"/>
          <c:showVal val="0"/>
          <c:showCatName val="0"/>
          <c:showSerName val="0"/>
          <c:showPercent val="0"/>
          <c:showBubbleSize val="0"/>
        </c:dLbls>
        <c:marker val="1"/>
        <c:smooth val="0"/>
        <c:axId val="135288320"/>
        <c:axId val="135289856"/>
      </c:lineChart>
      <c:catAx>
        <c:axId val="135288320"/>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35289856"/>
        <c:crosses val="autoZero"/>
        <c:auto val="1"/>
        <c:lblAlgn val="ctr"/>
        <c:lblOffset val="100"/>
        <c:noMultiLvlLbl val="0"/>
      </c:catAx>
      <c:valAx>
        <c:axId val="135289856"/>
        <c:scaling>
          <c:orientation val="minMax"/>
        </c:scaling>
        <c:delete val="0"/>
        <c:axPos val="l"/>
        <c:majorGridlines>
          <c:spPr>
            <a:ln>
              <a:noFill/>
            </a:ln>
          </c:spPr>
        </c:majorGridlines>
        <c:title>
          <c:tx>
            <c:rich>
              <a:bodyPr/>
              <a:lstStyle/>
              <a:p>
                <a:pPr>
                  <a:defRPr/>
                </a:pPr>
                <a:r>
                  <a:rPr lang="en-US"/>
                  <a:t>Number of communities</a:t>
                </a:r>
              </a:p>
            </c:rich>
          </c:tx>
          <c:overlay val="0"/>
        </c:title>
        <c:numFmt formatCode="General" sourceLinked="1"/>
        <c:majorTickMark val="out"/>
        <c:minorTickMark val="none"/>
        <c:tickLblPos val="nextTo"/>
        <c:crossAx val="13528832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1.3'!$B$2</c:f>
              <c:strCache>
                <c:ptCount val="1"/>
                <c:pt idx="0">
                  <c:v>Not screened or treated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1.3'!$A$3:$A$5</c:f>
              <c:strCache>
                <c:ptCount val="3"/>
                <c:pt idx="0">
                  <c:v>Northern Territory</c:v>
                </c:pt>
                <c:pt idx="1">
                  <c:v>South Australia</c:v>
                </c:pt>
                <c:pt idx="2">
                  <c:v>Western Australia</c:v>
                </c:pt>
              </c:strCache>
            </c:strRef>
          </c:cat>
          <c:val>
            <c:numRef>
              <c:f>'Figure 1.3'!$B$3:$B$5</c:f>
              <c:numCache>
                <c:formatCode>General</c:formatCode>
                <c:ptCount val="3"/>
                <c:pt idx="0">
                  <c:v>3</c:v>
                </c:pt>
                <c:pt idx="1">
                  <c:v>1</c:v>
                </c:pt>
              </c:numCache>
            </c:numRef>
          </c:val>
          <c:extLst>
            <c:ext xmlns:c16="http://schemas.microsoft.com/office/drawing/2014/chart" uri="{C3380CC4-5D6E-409C-BE32-E72D297353CC}">
              <c16:uniqueId val="{00000000-2A50-4A29-A1B8-EAFCFCF81613}"/>
            </c:ext>
          </c:extLst>
        </c:ser>
        <c:ser>
          <c:idx val="1"/>
          <c:order val="1"/>
          <c:tx>
            <c:strRef>
              <c:f>'Figure 1.3'!$C$2</c:f>
              <c:strCache>
                <c:ptCount val="1"/>
                <c:pt idx="0">
                  <c:v>Not requiring screening or treatment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1.3'!$A$3:$A$5</c:f>
              <c:strCache>
                <c:ptCount val="3"/>
                <c:pt idx="0">
                  <c:v>Northern Territory</c:v>
                </c:pt>
                <c:pt idx="1">
                  <c:v>South Australia</c:v>
                </c:pt>
                <c:pt idx="2">
                  <c:v>Western Australia</c:v>
                </c:pt>
              </c:strCache>
            </c:strRef>
          </c:cat>
          <c:val>
            <c:numRef>
              <c:f>'Figure 1.3'!$C$3:$C$5</c:f>
              <c:numCache>
                <c:formatCode>General</c:formatCode>
                <c:ptCount val="3"/>
                <c:pt idx="2">
                  <c:v>7</c:v>
                </c:pt>
              </c:numCache>
            </c:numRef>
          </c:val>
          <c:extLst>
            <c:ext xmlns:c16="http://schemas.microsoft.com/office/drawing/2014/chart" uri="{C3380CC4-5D6E-409C-BE32-E72D297353CC}">
              <c16:uniqueId val="{00000001-2A50-4A29-A1B8-EAFCFCF81613}"/>
            </c:ext>
          </c:extLst>
        </c:ser>
        <c:ser>
          <c:idx val="2"/>
          <c:order val="2"/>
          <c:tx>
            <c:strRef>
              <c:f>'Figure 1.3'!$D$2</c:f>
              <c:strCache>
                <c:ptCount val="1"/>
                <c:pt idx="0">
                  <c:v>Screened and no treatment required</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1.3'!$A$3:$A$5</c:f>
              <c:strCache>
                <c:ptCount val="3"/>
                <c:pt idx="0">
                  <c:v>Northern Territory</c:v>
                </c:pt>
                <c:pt idx="1">
                  <c:v>South Australia</c:v>
                </c:pt>
                <c:pt idx="2">
                  <c:v>Western Australia</c:v>
                </c:pt>
              </c:strCache>
            </c:strRef>
          </c:cat>
          <c:val>
            <c:numRef>
              <c:f>'Figure 1.3'!$D$3:$D$5</c:f>
              <c:numCache>
                <c:formatCode>General</c:formatCode>
                <c:ptCount val="3"/>
                <c:pt idx="0">
                  <c:v>27</c:v>
                </c:pt>
                <c:pt idx="1">
                  <c:v>15</c:v>
                </c:pt>
                <c:pt idx="2">
                  <c:v>19</c:v>
                </c:pt>
              </c:numCache>
            </c:numRef>
          </c:val>
          <c:extLst>
            <c:ext xmlns:c16="http://schemas.microsoft.com/office/drawing/2014/chart" uri="{C3380CC4-5D6E-409C-BE32-E72D297353CC}">
              <c16:uniqueId val="{00000002-2A50-4A29-A1B8-EAFCFCF81613}"/>
            </c:ext>
          </c:extLst>
        </c:ser>
        <c:ser>
          <c:idx val="3"/>
          <c:order val="3"/>
          <c:tx>
            <c:strRef>
              <c:f>'Figure 1.3'!$E$2</c:f>
              <c:strCache>
                <c:ptCount val="1"/>
                <c:pt idx="0">
                  <c:v>Screened and treated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1.3'!$A$3:$A$5</c:f>
              <c:strCache>
                <c:ptCount val="3"/>
                <c:pt idx="0">
                  <c:v>Northern Territory</c:v>
                </c:pt>
                <c:pt idx="1">
                  <c:v>South Australia</c:v>
                </c:pt>
                <c:pt idx="2">
                  <c:v>Western Australia</c:v>
                </c:pt>
              </c:strCache>
            </c:strRef>
          </c:cat>
          <c:val>
            <c:numRef>
              <c:f>'Figure 1.3'!$E$3:$E$5</c:f>
              <c:numCache>
                <c:formatCode>General</c:formatCode>
                <c:ptCount val="3"/>
                <c:pt idx="0">
                  <c:v>18</c:v>
                </c:pt>
                <c:pt idx="2">
                  <c:v>7</c:v>
                </c:pt>
              </c:numCache>
            </c:numRef>
          </c:val>
          <c:extLst>
            <c:ext xmlns:c16="http://schemas.microsoft.com/office/drawing/2014/chart" uri="{C3380CC4-5D6E-409C-BE32-E72D297353CC}">
              <c16:uniqueId val="{00000003-2A50-4A29-A1B8-EAFCFCF81613}"/>
            </c:ext>
          </c:extLst>
        </c:ser>
        <c:ser>
          <c:idx val="4"/>
          <c:order val="4"/>
          <c:tx>
            <c:strRef>
              <c:f>'Figure 1.3'!$F$2</c:f>
              <c:strCache>
                <c:ptCount val="1"/>
                <c:pt idx="0">
                  <c:v>Treatment only</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1.3'!$A$3:$A$5</c:f>
              <c:strCache>
                <c:ptCount val="3"/>
                <c:pt idx="0">
                  <c:v>Northern Territory</c:v>
                </c:pt>
                <c:pt idx="1">
                  <c:v>South Australia</c:v>
                </c:pt>
                <c:pt idx="2">
                  <c:v>Western Australia</c:v>
                </c:pt>
              </c:strCache>
            </c:strRef>
          </c:cat>
          <c:val>
            <c:numRef>
              <c:f>'Figure 1.3'!$F$3:$F$5</c:f>
              <c:numCache>
                <c:formatCode>General</c:formatCode>
                <c:ptCount val="3"/>
              </c:numCache>
            </c:numRef>
          </c:val>
          <c:extLst>
            <c:ext xmlns:c16="http://schemas.microsoft.com/office/drawing/2014/chart" uri="{C3380CC4-5D6E-409C-BE32-E72D297353CC}">
              <c16:uniqueId val="{00000004-2A50-4A29-A1B8-EAFCFCF81613}"/>
            </c:ext>
          </c:extLst>
        </c:ser>
        <c:dLbls>
          <c:dLblPos val="ctr"/>
          <c:showLegendKey val="0"/>
          <c:showVal val="1"/>
          <c:showCatName val="0"/>
          <c:showSerName val="0"/>
          <c:showPercent val="0"/>
          <c:showBubbleSize val="0"/>
        </c:dLbls>
        <c:gapWidth val="150"/>
        <c:overlap val="100"/>
        <c:axId val="1703517008"/>
        <c:axId val="297953920"/>
      </c:barChart>
      <c:catAx>
        <c:axId val="170351700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solidFill>
                      <a:schemeClr val="tx1"/>
                    </a:solidFill>
                  </a:rPr>
                  <a:t>Jurisdiction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rgbClr val="898989"/>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97953920"/>
        <c:crosses val="autoZero"/>
        <c:auto val="1"/>
        <c:lblAlgn val="ctr"/>
        <c:lblOffset val="100"/>
        <c:noMultiLvlLbl val="0"/>
      </c:catAx>
      <c:valAx>
        <c:axId val="29795392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solidFill>
                      <a:schemeClr val="tx1"/>
                    </a:solidFill>
                  </a:rPr>
                  <a:t>Number of communities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rgbClr val="898989"/>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703517008"/>
        <c:crosses val="autoZero"/>
        <c:crossBetween val="between"/>
      </c:valAx>
      <c:spPr>
        <a:noFill/>
        <a:ln>
          <a:noFill/>
        </a:ln>
        <a:effectLst/>
      </c:spPr>
    </c:plotArea>
    <c:legend>
      <c:legendPos val="b"/>
      <c:layout>
        <c:manualLayout>
          <c:xMode val="edge"/>
          <c:yMode val="edge"/>
          <c:x val="0.15225482407463145"/>
          <c:y val="0.81364396460751687"/>
          <c:w val="0.80962822470492579"/>
          <c:h val="0.167323521514608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latin typeface="+mn-lt"/>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4.3'!$B$2</c:f>
              <c:strCache>
                <c:ptCount val="1"/>
                <c:pt idx="0">
                  <c:v>Not screened or treated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4.3'!$A$3:$A$5</c:f>
              <c:strCache>
                <c:ptCount val="3"/>
                <c:pt idx="0">
                  <c:v>APY Lands</c:v>
                </c:pt>
                <c:pt idx="1">
                  <c:v>Eyre and Western</c:v>
                </c:pt>
                <c:pt idx="2">
                  <c:v>Far North </c:v>
                </c:pt>
              </c:strCache>
            </c:strRef>
          </c:cat>
          <c:val>
            <c:numRef>
              <c:f>'Figure 4.3'!$B$3:$B$5</c:f>
              <c:numCache>
                <c:formatCode>General</c:formatCode>
                <c:ptCount val="3"/>
                <c:pt idx="1">
                  <c:v>1</c:v>
                </c:pt>
              </c:numCache>
            </c:numRef>
          </c:val>
          <c:extLst>
            <c:ext xmlns:c16="http://schemas.microsoft.com/office/drawing/2014/chart" uri="{C3380CC4-5D6E-409C-BE32-E72D297353CC}">
              <c16:uniqueId val="{00000000-3702-48B8-9756-B9DBC091C623}"/>
            </c:ext>
          </c:extLst>
        </c:ser>
        <c:ser>
          <c:idx val="1"/>
          <c:order val="1"/>
          <c:tx>
            <c:strRef>
              <c:f>'Figure 4.3'!$C$2</c:f>
              <c:strCache>
                <c:ptCount val="1"/>
                <c:pt idx="0">
                  <c:v>Not requiring screening or treatment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4.3'!$A$3:$A$5</c:f>
              <c:strCache>
                <c:ptCount val="3"/>
                <c:pt idx="0">
                  <c:v>APY Lands</c:v>
                </c:pt>
                <c:pt idx="1">
                  <c:v>Eyre and Western</c:v>
                </c:pt>
                <c:pt idx="2">
                  <c:v>Far North </c:v>
                </c:pt>
              </c:strCache>
            </c:strRef>
          </c:cat>
          <c:val>
            <c:numRef>
              <c:f>'Figure 4.3'!$C$3:$C$5</c:f>
              <c:numCache>
                <c:formatCode>General</c:formatCode>
                <c:ptCount val="3"/>
              </c:numCache>
            </c:numRef>
          </c:val>
          <c:extLst>
            <c:ext xmlns:c16="http://schemas.microsoft.com/office/drawing/2014/chart" uri="{C3380CC4-5D6E-409C-BE32-E72D297353CC}">
              <c16:uniqueId val="{00000001-3702-48B8-9756-B9DBC091C623}"/>
            </c:ext>
          </c:extLst>
        </c:ser>
        <c:ser>
          <c:idx val="2"/>
          <c:order val="2"/>
          <c:tx>
            <c:strRef>
              <c:f>'Figure 4.3'!$D$2</c:f>
              <c:strCache>
                <c:ptCount val="1"/>
                <c:pt idx="0">
                  <c:v>Screened and no treatment required</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4.3'!$A$3:$A$5</c:f>
              <c:strCache>
                <c:ptCount val="3"/>
                <c:pt idx="0">
                  <c:v>APY Lands</c:v>
                </c:pt>
                <c:pt idx="1">
                  <c:v>Eyre and Western</c:v>
                </c:pt>
                <c:pt idx="2">
                  <c:v>Far North </c:v>
                </c:pt>
              </c:strCache>
            </c:strRef>
          </c:cat>
          <c:val>
            <c:numRef>
              <c:f>'Figure 4.3'!$D$3:$D$5</c:f>
              <c:numCache>
                <c:formatCode>General</c:formatCode>
                <c:ptCount val="3"/>
                <c:pt idx="0">
                  <c:v>9</c:v>
                </c:pt>
                <c:pt idx="1">
                  <c:v>3</c:v>
                </c:pt>
                <c:pt idx="2">
                  <c:v>3</c:v>
                </c:pt>
              </c:numCache>
            </c:numRef>
          </c:val>
          <c:extLst>
            <c:ext xmlns:c16="http://schemas.microsoft.com/office/drawing/2014/chart" uri="{C3380CC4-5D6E-409C-BE32-E72D297353CC}">
              <c16:uniqueId val="{00000002-3702-48B8-9756-B9DBC091C623}"/>
            </c:ext>
          </c:extLst>
        </c:ser>
        <c:ser>
          <c:idx val="3"/>
          <c:order val="3"/>
          <c:tx>
            <c:strRef>
              <c:f>'Figure 4.3'!$E$2</c:f>
              <c:strCache>
                <c:ptCount val="1"/>
                <c:pt idx="0">
                  <c:v>Screened and treated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4.3'!$A$3:$A$5</c:f>
              <c:strCache>
                <c:ptCount val="3"/>
                <c:pt idx="0">
                  <c:v>APY Lands</c:v>
                </c:pt>
                <c:pt idx="1">
                  <c:v>Eyre and Western</c:v>
                </c:pt>
                <c:pt idx="2">
                  <c:v>Far North </c:v>
                </c:pt>
              </c:strCache>
            </c:strRef>
          </c:cat>
          <c:val>
            <c:numRef>
              <c:f>'Figure 4.3'!$E$3:$E$5</c:f>
              <c:numCache>
                <c:formatCode>General</c:formatCode>
                <c:ptCount val="3"/>
              </c:numCache>
            </c:numRef>
          </c:val>
          <c:extLst>
            <c:ext xmlns:c16="http://schemas.microsoft.com/office/drawing/2014/chart" uri="{C3380CC4-5D6E-409C-BE32-E72D297353CC}">
              <c16:uniqueId val="{00000003-3702-48B8-9756-B9DBC091C623}"/>
            </c:ext>
          </c:extLst>
        </c:ser>
        <c:ser>
          <c:idx val="4"/>
          <c:order val="4"/>
          <c:tx>
            <c:strRef>
              <c:f>'Figure 4.3'!$F$2</c:f>
              <c:strCache>
                <c:ptCount val="1"/>
                <c:pt idx="0">
                  <c:v>Treatment only</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4.3'!$A$3:$A$5</c:f>
              <c:strCache>
                <c:ptCount val="3"/>
                <c:pt idx="0">
                  <c:v>APY Lands</c:v>
                </c:pt>
                <c:pt idx="1">
                  <c:v>Eyre and Western</c:v>
                </c:pt>
                <c:pt idx="2">
                  <c:v>Far North </c:v>
                </c:pt>
              </c:strCache>
            </c:strRef>
          </c:cat>
          <c:val>
            <c:numRef>
              <c:f>'Figure 4.3'!$F$3:$F$5</c:f>
              <c:numCache>
                <c:formatCode>General</c:formatCode>
                <c:ptCount val="3"/>
              </c:numCache>
            </c:numRef>
          </c:val>
          <c:extLst>
            <c:ext xmlns:c16="http://schemas.microsoft.com/office/drawing/2014/chart" uri="{C3380CC4-5D6E-409C-BE32-E72D297353CC}">
              <c16:uniqueId val="{00000004-3702-48B8-9756-B9DBC091C623}"/>
            </c:ext>
          </c:extLst>
        </c:ser>
        <c:dLbls>
          <c:dLblPos val="ctr"/>
          <c:showLegendKey val="0"/>
          <c:showVal val="1"/>
          <c:showCatName val="0"/>
          <c:showSerName val="0"/>
          <c:showPercent val="0"/>
          <c:showBubbleSize val="0"/>
        </c:dLbls>
        <c:gapWidth val="150"/>
        <c:overlap val="100"/>
        <c:axId val="551096432"/>
        <c:axId val="308655984"/>
      </c:barChart>
      <c:catAx>
        <c:axId val="5510964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Region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898989"/>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08655984"/>
        <c:crosses val="autoZero"/>
        <c:auto val="1"/>
        <c:lblAlgn val="ctr"/>
        <c:lblOffset val="100"/>
        <c:noMultiLvlLbl val="0"/>
      </c:catAx>
      <c:valAx>
        <c:axId val="3086559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Number of communities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rgbClr val="898989"/>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1096432"/>
        <c:crosses val="autoZero"/>
        <c:crossBetween val="between"/>
      </c:valAx>
      <c:spPr>
        <a:noFill/>
        <a:ln>
          <a:noFill/>
        </a:ln>
        <a:effectLst/>
      </c:spPr>
    </c:plotArea>
    <c:legend>
      <c:legendPos val="b"/>
      <c:layout>
        <c:manualLayout>
          <c:xMode val="edge"/>
          <c:yMode val="edge"/>
          <c:x val="0.1876389712594618"/>
          <c:y val="0.82880324742015943"/>
          <c:w val="0.72142329581747378"/>
          <c:h val="0.152563212207169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4.4'!$A$3</c:f>
              <c:strCache>
                <c:ptCount val="1"/>
                <c:pt idx="0">
                  <c:v>APY Lands</c:v>
                </c:pt>
              </c:strCache>
            </c:strRef>
          </c:tx>
          <c:spPr>
            <a:ln w="28575" cap="rnd">
              <a:solidFill>
                <a:schemeClr val="accent1"/>
              </a:solidFill>
              <a:round/>
            </a:ln>
            <a:effectLst/>
          </c:spPr>
          <c:marker>
            <c:symbol val="diamond"/>
            <c:size val="7"/>
            <c:spPr>
              <a:solidFill>
                <a:schemeClr val="accent1"/>
              </a:solidFill>
              <a:ln w="9525">
                <a:solidFill>
                  <a:schemeClr val="accent1"/>
                </a:solidFill>
              </a:ln>
              <a:effectLst/>
            </c:spPr>
          </c:marker>
          <c:cat>
            <c:numRef>
              <c:f>'Figure 4.4'!$B$2:$S$2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4.4'!$B$3:$S$3</c:f>
              <c:numCache>
                <c:formatCode>0%</c:formatCode>
                <c:ptCount val="18"/>
                <c:pt idx="0">
                  <c:v>0.78</c:v>
                </c:pt>
                <c:pt idx="1">
                  <c:v>0.53</c:v>
                </c:pt>
                <c:pt idx="2">
                  <c:v>0.79</c:v>
                </c:pt>
                <c:pt idx="3" formatCode="General">
                  <c:v>#N/A</c:v>
                </c:pt>
                <c:pt idx="4">
                  <c:v>0.89</c:v>
                </c:pt>
                <c:pt idx="5">
                  <c:v>0.77</c:v>
                </c:pt>
                <c:pt idx="6">
                  <c:v>0.71</c:v>
                </c:pt>
                <c:pt idx="7">
                  <c:v>0.6</c:v>
                </c:pt>
                <c:pt idx="8">
                  <c:v>0.51</c:v>
                </c:pt>
                <c:pt idx="9">
                  <c:v>0.52</c:v>
                </c:pt>
                <c:pt idx="10">
                  <c:v>0.75</c:v>
                </c:pt>
                <c:pt idx="11">
                  <c:v>0.79</c:v>
                </c:pt>
                <c:pt idx="12">
                  <c:v>0.78</c:v>
                </c:pt>
                <c:pt idx="13">
                  <c:v>0.7</c:v>
                </c:pt>
                <c:pt idx="14">
                  <c:v>0.63</c:v>
                </c:pt>
                <c:pt idx="15">
                  <c:v>0.74</c:v>
                </c:pt>
                <c:pt idx="16">
                  <c:v>0.85096153259277296</c:v>
                </c:pt>
                <c:pt idx="17">
                  <c:v>0.81683170795440674</c:v>
                </c:pt>
              </c:numCache>
            </c:numRef>
          </c:val>
          <c:smooth val="0"/>
          <c:extLst>
            <c:ext xmlns:c16="http://schemas.microsoft.com/office/drawing/2014/chart" uri="{C3380CC4-5D6E-409C-BE32-E72D297353CC}">
              <c16:uniqueId val="{00000000-A98C-42B1-A8BE-B962028D2B31}"/>
            </c:ext>
          </c:extLst>
        </c:ser>
        <c:ser>
          <c:idx val="1"/>
          <c:order val="1"/>
          <c:tx>
            <c:strRef>
              <c:f>'Figure 4.4'!$A$4</c:f>
              <c:strCache>
                <c:ptCount val="1"/>
                <c:pt idx="0">
                  <c:v>Eyre and Western</c:v>
                </c:pt>
              </c:strCache>
            </c:strRef>
          </c:tx>
          <c:spPr>
            <a:ln w="28575" cap="rnd">
              <a:solidFill>
                <a:schemeClr val="accent2"/>
              </a:solidFill>
              <a:round/>
            </a:ln>
            <a:effectLst/>
          </c:spPr>
          <c:marker>
            <c:symbol val="square"/>
            <c:size val="7"/>
            <c:spPr>
              <a:solidFill>
                <a:schemeClr val="accent2"/>
              </a:solidFill>
              <a:ln w="9525">
                <a:solidFill>
                  <a:schemeClr val="accent2"/>
                </a:solidFill>
              </a:ln>
              <a:effectLst/>
            </c:spPr>
          </c:marker>
          <c:cat>
            <c:numRef>
              <c:f>'Figure 4.4'!$B$2:$S$2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4.4'!$B$4:$S$4</c:f>
              <c:numCache>
                <c:formatCode>0%</c:formatCode>
                <c:ptCount val="18"/>
                <c:pt idx="0">
                  <c:v>1</c:v>
                </c:pt>
                <c:pt idx="1">
                  <c:v>0.9</c:v>
                </c:pt>
                <c:pt idx="2">
                  <c:v>0.77</c:v>
                </c:pt>
                <c:pt idx="3" formatCode="General">
                  <c:v>#N/A</c:v>
                </c:pt>
                <c:pt idx="4">
                  <c:v>0.47</c:v>
                </c:pt>
                <c:pt idx="5">
                  <c:v>0.91</c:v>
                </c:pt>
                <c:pt idx="6">
                  <c:v>0.77</c:v>
                </c:pt>
                <c:pt idx="7">
                  <c:v>0.9</c:v>
                </c:pt>
                <c:pt idx="8">
                  <c:v>0.77</c:v>
                </c:pt>
                <c:pt idx="9">
                  <c:v>0.92</c:v>
                </c:pt>
                <c:pt idx="10">
                  <c:v>0.99</c:v>
                </c:pt>
                <c:pt idx="11">
                  <c:v>0.6</c:v>
                </c:pt>
                <c:pt idx="12">
                  <c:v>0.88</c:v>
                </c:pt>
                <c:pt idx="13">
                  <c:v>0.66</c:v>
                </c:pt>
                <c:pt idx="14">
                  <c:v>0.85</c:v>
                </c:pt>
                <c:pt idx="15">
                  <c:v>0.75</c:v>
                </c:pt>
                <c:pt idx="16">
                  <c:v>0.66666664123535202</c:v>
                </c:pt>
                <c:pt idx="17">
                  <c:v>0.92134833335876465</c:v>
                </c:pt>
              </c:numCache>
            </c:numRef>
          </c:val>
          <c:smooth val="0"/>
          <c:extLst>
            <c:ext xmlns:c16="http://schemas.microsoft.com/office/drawing/2014/chart" uri="{C3380CC4-5D6E-409C-BE32-E72D297353CC}">
              <c16:uniqueId val="{00000001-A98C-42B1-A8BE-B962028D2B31}"/>
            </c:ext>
          </c:extLst>
        </c:ser>
        <c:ser>
          <c:idx val="2"/>
          <c:order val="2"/>
          <c:tx>
            <c:strRef>
              <c:f>'Figure 4.4'!$A$5</c:f>
              <c:strCache>
                <c:ptCount val="1"/>
                <c:pt idx="0">
                  <c:v>Far North </c:v>
                </c:pt>
              </c:strCache>
            </c:strRef>
          </c:tx>
          <c:spPr>
            <a:ln w="28575" cap="rnd">
              <a:solidFill>
                <a:schemeClr val="accent3"/>
              </a:solidFill>
              <a:round/>
            </a:ln>
            <a:effectLst/>
          </c:spPr>
          <c:marker>
            <c:symbol val="triangle"/>
            <c:size val="7"/>
            <c:spPr>
              <a:solidFill>
                <a:schemeClr val="accent3"/>
              </a:solidFill>
              <a:ln w="9525">
                <a:solidFill>
                  <a:schemeClr val="accent3"/>
                </a:solidFill>
              </a:ln>
              <a:effectLst/>
            </c:spPr>
          </c:marker>
          <c:cat>
            <c:numRef>
              <c:f>'Figure 4.4'!$B$2:$S$2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4.4'!$B$5:$S$5</c:f>
              <c:numCache>
                <c:formatCode>0%</c:formatCode>
                <c:ptCount val="18"/>
                <c:pt idx="0">
                  <c:v>1</c:v>
                </c:pt>
                <c:pt idx="1">
                  <c:v>1</c:v>
                </c:pt>
                <c:pt idx="2" formatCode="General">
                  <c:v>#N/A</c:v>
                </c:pt>
                <c:pt idx="3">
                  <c:v>#N/A</c:v>
                </c:pt>
                <c:pt idx="4">
                  <c:v>0.99</c:v>
                </c:pt>
                <c:pt idx="5">
                  <c:v>1</c:v>
                </c:pt>
                <c:pt idx="6">
                  <c:v>1</c:v>
                </c:pt>
                <c:pt idx="7">
                  <c:v>0.97</c:v>
                </c:pt>
                <c:pt idx="8">
                  <c:v>0.87</c:v>
                </c:pt>
                <c:pt idx="9">
                  <c:v>0.89</c:v>
                </c:pt>
                <c:pt idx="10">
                  <c:v>0.94</c:v>
                </c:pt>
                <c:pt idx="11">
                  <c:v>0.93</c:v>
                </c:pt>
                <c:pt idx="12">
                  <c:v>1</c:v>
                </c:pt>
                <c:pt idx="13">
                  <c:v>0.86</c:v>
                </c:pt>
                <c:pt idx="14">
                  <c:v>0.98</c:v>
                </c:pt>
                <c:pt idx="15">
                  <c:v>1</c:v>
                </c:pt>
                <c:pt idx="16">
                  <c:v>1</c:v>
                </c:pt>
                <c:pt idx="17">
                  <c:v>0.98620688915252686</c:v>
                </c:pt>
              </c:numCache>
            </c:numRef>
          </c:val>
          <c:smooth val="0"/>
          <c:extLst>
            <c:ext xmlns:c16="http://schemas.microsoft.com/office/drawing/2014/chart" uri="{C3380CC4-5D6E-409C-BE32-E72D297353CC}">
              <c16:uniqueId val="{00000002-A98C-42B1-A8BE-B962028D2B31}"/>
            </c:ext>
          </c:extLst>
        </c:ser>
        <c:dLbls>
          <c:showLegendKey val="0"/>
          <c:showVal val="0"/>
          <c:showCatName val="0"/>
          <c:showSerName val="0"/>
          <c:showPercent val="0"/>
          <c:showBubbleSize val="0"/>
        </c:dLbls>
        <c:marker val="1"/>
        <c:smooth val="0"/>
        <c:axId val="331628047"/>
        <c:axId val="1958870415"/>
      </c:lineChart>
      <c:catAx>
        <c:axId val="33162804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rgbClr val="898989"/>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958870415"/>
        <c:crosses val="autoZero"/>
        <c:auto val="1"/>
        <c:lblAlgn val="ctr"/>
        <c:lblOffset val="100"/>
        <c:noMultiLvlLbl val="0"/>
      </c:catAx>
      <c:valAx>
        <c:axId val="1958870415"/>
        <c:scaling>
          <c:orientation val="minMax"/>
          <c:max val="1.05"/>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Proportion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out"/>
        <c:minorTickMark val="none"/>
        <c:tickLblPos val="nextTo"/>
        <c:spPr>
          <a:noFill/>
          <a:ln>
            <a:solidFill>
              <a:srgbClr val="898989"/>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31628047"/>
        <c:crosses val="autoZero"/>
        <c:crossBetween val="between"/>
        <c:majorUnit val="0.1"/>
      </c:valAx>
      <c:spPr>
        <a:noFill/>
        <a:ln>
          <a:noFill/>
        </a:ln>
        <a:effectLst/>
      </c:spPr>
    </c:plotArea>
    <c:legend>
      <c:legendPos val="b"/>
      <c:layout>
        <c:manualLayout>
          <c:xMode val="edge"/>
          <c:yMode val="edge"/>
          <c:x val="0.28217850150043611"/>
          <c:y val="0.91225608926778312"/>
          <c:w val="0.51224801919415353"/>
          <c:h val="6.20180746425439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span"/>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4.5a'!$A$3</c:f>
              <c:strCache>
                <c:ptCount val="1"/>
                <c:pt idx="0">
                  <c:v>APY Lands</c:v>
                </c:pt>
              </c:strCache>
            </c:strRef>
          </c:tx>
          <c:cat>
            <c:numRef>
              <c:f>'Figure 4.5a'!$B$2:$S$2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4.5a'!$B$3:$S$3</c:f>
              <c:numCache>
                <c:formatCode>0.0%</c:formatCode>
                <c:ptCount val="18"/>
                <c:pt idx="0">
                  <c:v>0.14000000000000001</c:v>
                </c:pt>
                <c:pt idx="1">
                  <c:v>0.03</c:v>
                </c:pt>
                <c:pt idx="2">
                  <c:v>0.15</c:v>
                </c:pt>
                <c:pt idx="3">
                  <c:v>#N/A</c:v>
                </c:pt>
                <c:pt idx="4">
                  <c:v>0.09</c:v>
                </c:pt>
                <c:pt idx="5">
                  <c:v>0.04</c:v>
                </c:pt>
                <c:pt idx="6">
                  <c:v>0.11</c:v>
                </c:pt>
                <c:pt idx="7">
                  <c:v>0.1</c:v>
                </c:pt>
                <c:pt idx="8">
                  <c:v>6.8000000000000005E-2</c:v>
                </c:pt>
                <c:pt idx="9">
                  <c:v>4.4000000000000004E-2</c:v>
                </c:pt>
                <c:pt idx="10">
                  <c:v>3.6000000000000004E-2</c:v>
                </c:pt>
                <c:pt idx="11">
                  <c:v>5.0000000000000001E-3</c:v>
                </c:pt>
                <c:pt idx="12">
                  <c:v>0</c:v>
                </c:pt>
                <c:pt idx="13">
                  <c:v>0.01</c:v>
                </c:pt>
                <c:pt idx="14">
                  <c:v>2.6000000000000002E-2</c:v>
                </c:pt>
                <c:pt idx="15">
                  <c:v>0</c:v>
                </c:pt>
                <c:pt idx="16">
                  <c:v>0</c:v>
                </c:pt>
                <c:pt idx="17">
                  <c:v>0</c:v>
                </c:pt>
              </c:numCache>
            </c:numRef>
          </c:val>
          <c:smooth val="0"/>
          <c:extLst>
            <c:ext xmlns:c16="http://schemas.microsoft.com/office/drawing/2014/chart" uri="{C3380CC4-5D6E-409C-BE32-E72D297353CC}">
              <c16:uniqueId val="{00000000-3AD1-48FB-960E-0D796D8D4555}"/>
            </c:ext>
          </c:extLst>
        </c:ser>
        <c:ser>
          <c:idx val="1"/>
          <c:order val="1"/>
          <c:tx>
            <c:strRef>
              <c:f>'Figure 4.5a'!$A$4</c:f>
              <c:strCache>
                <c:ptCount val="1"/>
                <c:pt idx="0">
                  <c:v>Eyre and Western</c:v>
                </c:pt>
              </c:strCache>
            </c:strRef>
          </c:tx>
          <c:marker>
            <c:symbol val="square"/>
            <c:size val="7"/>
          </c:marker>
          <c:cat>
            <c:numRef>
              <c:f>'Figure 4.5a'!$B$2:$S$2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4.5a'!$B$4:$S$4</c:f>
              <c:numCache>
                <c:formatCode>0.0%</c:formatCode>
                <c:ptCount val="18"/>
                <c:pt idx="0">
                  <c:v>0.15</c:v>
                </c:pt>
                <c:pt idx="1">
                  <c:v>0.01</c:v>
                </c:pt>
                <c:pt idx="2">
                  <c:v>0.11</c:v>
                </c:pt>
                <c:pt idx="3">
                  <c:v>#N/A</c:v>
                </c:pt>
                <c:pt idx="4">
                  <c:v>7.0000000000000007E-2</c:v>
                </c:pt>
                <c:pt idx="5">
                  <c:v>0.01</c:v>
                </c:pt>
                <c:pt idx="6">
                  <c:v>4.8000000000000001E-2</c:v>
                </c:pt>
                <c:pt idx="7">
                  <c:v>0.01</c:v>
                </c:pt>
                <c:pt idx="8">
                  <c:v>7.8E-2</c:v>
                </c:pt>
                <c:pt idx="9">
                  <c:v>2.3E-2</c:v>
                </c:pt>
                <c:pt idx="10">
                  <c:v>3.7000000000000005E-2</c:v>
                </c:pt>
                <c:pt idx="11">
                  <c:v>0</c:v>
                </c:pt>
                <c:pt idx="12">
                  <c:v>0</c:v>
                </c:pt>
                <c:pt idx="13">
                  <c:v>0</c:v>
                </c:pt>
                <c:pt idx="14">
                  <c:v>2.8999999999999998E-2</c:v>
                </c:pt>
                <c:pt idx="15">
                  <c:v>0</c:v>
                </c:pt>
                <c:pt idx="16">
                  <c:v>0</c:v>
                </c:pt>
                <c:pt idx="17">
                  <c:v>0</c:v>
                </c:pt>
              </c:numCache>
            </c:numRef>
          </c:val>
          <c:smooth val="0"/>
          <c:extLst>
            <c:ext xmlns:c16="http://schemas.microsoft.com/office/drawing/2014/chart" uri="{C3380CC4-5D6E-409C-BE32-E72D297353CC}">
              <c16:uniqueId val="{00000001-3AD1-48FB-960E-0D796D8D4555}"/>
            </c:ext>
          </c:extLst>
        </c:ser>
        <c:ser>
          <c:idx val="2"/>
          <c:order val="2"/>
          <c:tx>
            <c:strRef>
              <c:f>'Figure 4.5a'!$A$5</c:f>
              <c:strCache>
                <c:ptCount val="1"/>
                <c:pt idx="0">
                  <c:v>Far North </c:v>
                </c:pt>
              </c:strCache>
            </c:strRef>
          </c:tx>
          <c:cat>
            <c:numRef>
              <c:f>'Figure 4.5a'!$B$2:$S$2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4.5a'!$B$5:$S$5</c:f>
              <c:numCache>
                <c:formatCode>0.0%</c:formatCode>
                <c:ptCount val="18"/>
                <c:pt idx="0">
                  <c:v>0</c:v>
                </c:pt>
                <c:pt idx="1">
                  <c:v>0</c:v>
                </c:pt>
                <c:pt idx="2">
                  <c:v>#N/A</c:v>
                </c:pt>
                <c:pt idx="3">
                  <c:v>#N/A</c:v>
                </c:pt>
                <c:pt idx="4">
                  <c:v>0</c:v>
                </c:pt>
                <c:pt idx="5">
                  <c:v>0</c:v>
                </c:pt>
                <c:pt idx="6">
                  <c:v>3.0000000000000001E-3</c:v>
                </c:pt>
                <c:pt idx="7">
                  <c:v>0.01</c:v>
                </c:pt>
                <c:pt idx="8">
                  <c:v>6.7000000000000004E-2</c:v>
                </c:pt>
                <c:pt idx="9">
                  <c:v>5.8000000000000003E-2</c:v>
                </c:pt>
                <c:pt idx="10">
                  <c:v>1.1000000000000001E-2</c:v>
                </c:pt>
                <c:pt idx="11">
                  <c:v>1.4E-2</c:v>
                </c:pt>
                <c:pt idx="12">
                  <c:v>0</c:v>
                </c:pt>
                <c:pt idx="13">
                  <c:v>7.0000000000000001E-3</c:v>
                </c:pt>
                <c:pt idx="14">
                  <c:v>0</c:v>
                </c:pt>
                <c:pt idx="15">
                  <c:v>0</c:v>
                </c:pt>
                <c:pt idx="16">
                  <c:v>0</c:v>
                </c:pt>
                <c:pt idx="17">
                  <c:v>0</c:v>
                </c:pt>
              </c:numCache>
            </c:numRef>
          </c:val>
          <c:smooth val="0"/>
          <c:extLst>
            <c:ext xmlns:c16="http://schemas.microsoft.com/office/drawing/2014/chart" uri="{C3380CC4-5D6E-409C-BE32-E72D297353CC}">
              <c16:uniqueId val="{00000002-3AD1-48FB-960E-0D796D8D4555}"/>
            </c:ext>
          </c:extLst>
        </c:ser>
        <c:dLbls>
          <c:showLegendKey val="0"/>
          <c:showVal val="0"/>
          <c:showCatName val="0"/>
          <c:showSerName val="0"/>
          <c:showPercent val="0"/>
          <c:showBubbleSize val="0"/>
        </c:dLbls>
        <c:marker val="1"/>
        <c:smooth val="0"/>
        <c:axId val="151389696"/>
        <c:axId val="151391232"/>
      </c:lineChart>
      <c:catAx>
        <c:axId val="151389696"/>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51391232"/>
        <c:crosses val="autoZero"/>
        <c:auto val="1"/>
        <c:lblAlgn val="ctr"/>
        <c:lblOffset val="100"/>
        <c:noMultiLvlLbl val="0"/>
      </c:catAx>
      <c:valAx>
        <c:axId val="151391232"/>
        <c:scaling>
          <c:orientation val="minMax"/>
          <c:max val="0.18000000000000002"/>
        </c:scaling>
        <c:delete val="0"/>
        <c:axPos val="l"/>
        <c:majorGridlines>
          <c:spPr>
            <a:ln>
              <a:noFill/>
            </a:ln>
          </c:spPr>
        </c:majorGridlines>
        <c:title>
          <c:tx>
            <c:rich>
              <a:bodyPr/>
              <a:lstStyle/>
              <a:p>
                <a:pPr>
                  <a:defRPr/>
                </a:pPr>
                <a:r>
                  <a:rPr lang="en-US"/>
                  <a:t>Proportion</a:t>
                </a:r>
              </a:p>
            </c:rich>
          </c:tx>
          <c:overlay val="0"/>
        </c:title>
        <c:numFmt formatCode="0%" sourceLinked="0"/>
        <c:majorTickMark val="out"/>
        <c:minorTickMark val="none"/>
        <c:tickLblPos val="nextTo"/>
        <c:crossAx val="151389696"/>
        <c:crosses val="autoZero"/>
        <c:crossBetween val="between"/>
      </c:valAx>
    </c:plotArea>
    <c:legend>
      <c:legendPos val="b"/>
      <c:layout>
        <c:manualLayout>
          <c:xMode val="edge"/>
          <c:yMode val="edge"/>
          <c:x val="0.27553166074984509"/>
          <c:y val="0.91149241681063298"/>
          <c:w val="0.54973296919681225"/>
          <c:h val="6.6456866541075965E-2"/>
        </c:manualLayout>
      </c:layout>
      <c:overlay val="0"/>
    </c:legend>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4.5b'!$A$3</c:f>
              <c:strCache>
                <c:ptCount val="1"/>
                <c:pt idx="0">
                  <c:v>APY Lands</c:v>
                </c:pt>
              </c:strCache>
            </c:strRef>
          </c:tx>
          <c:cat>
            <c:numRef>
              <c:f>'Figure 4.5b'!$B$2:$S$2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4.5b'!$B$3:$S$3</c:f>
              <c:numCache>
                <c:formatCode>0.0%</c:formatCode>
                <c:ptCount val="18"/>
                <c:pt idx="0">
                  <c:v>0.14285714285714299</c:v>
                </c:pt>
                <c:pt idx="1">
                  <c:v>2.9197080291970798E-2</c:v>
                </c:pt>
                <c:pt idx="2">
                  <c:v>0.13043478260869601</c:v>
                </c:pt>
                <c:pt idx="3">
                  <c:v>0.13043478260869601</c:v>
                </c:pt>
                <c:pt idx="4">
                  <c:v>9.6491228070175405E-2</c:v>
                </c:pt>
                <c:pt idx="5">
                  <c:v>4.1322314049586799E-2</c:v>
                </c:pt>
                <c:pt idx="6">
                  <c:v>6.8669527896995694E-2</c:v>
                </c:pt>
                <c:pt idx="7">
                  <c:v>9.5890410958904104E-2</c:v>
                </c:pt>
                <c:pt idx="8">
                  <c:v>6.82730923694779E-2</c:v>
                </c:pt>
                <c:pt idx="9">
                  <c:v>4.4176706827309203E-2</c:v>
                </c:pt>
                <c:pt idx="10">
                  <c:v>3.5999999999999997E-2</c:v>
                </c:pt>
                <c:pt idx="11">
                  <c:v>5.0000000000000001E-3</c:v>
                </c:pt>
                <c:pt idx="12">
                  <c:v>0</c:v>
                </c:pt>
                <c:pt idx="13">
                  <c:v>0.01</c:v>
                </c:pt>
                <c:pt idx="14">
                  <c:v>2.6000000000000002E-2</c:v>
                </c:pt>
                <c:pt idx="15">
                  <c:v>0</c:v>
                </c:pt>
                <c:pt idx="16">
                  <c:v>0</c:v>
                </c:pt>
                <c:pt idx="17">
                  <c:v>0</c:v>
                </c:pt>
              </c:numCache>
            </c:numRef>
          </c:val>
          <c:smooth val="0"/>
          <c:extLst>
            <c:ext xmlns:c16="http://schemas.microsoft.com/office/drawing/2014/chart" uri="{C3380CC4-5D6E-409C-BE32-E72D297353CC}">
              <c16:uniqueId val="{00000000-4D2A-4543-9A31-31E743CB0E0B}"/>
            </c:ext>
          </c:extLst>
        </c:ser>
        <c:ser>
          <c:idx val="1"/>
          <c:order val="1"/>
          <c:tx>
            <c:strRef>
              <c:f>'Figure 4.5b'!$A$4</c:f>
              <c:strCache>
                <c:ptCount val="1"/>
                <c:pt idx="0">
                  <c:v>Eyre and Western</c:v>
                </c:pt>
              </c:strCache>
            </c:strRef>
          </c:tx>
          <c:cat>
            <c:numRef>
              <c:f>'Figure 4.5b'!$B$2:$S$2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4.5b'!$B$4:$S$4</c:f>
              <c:numCache>
                <c:formatCode>0.0%</c:formatCode>
                <c:ptCount val="18"/>
                <c:pt idx="0">
                  <c:v>0.14583333333333301</c:v>
                </c:pt>
                <c:pt idx="1">
                  <c:v>1.38888888888889E-2</c:v>
                </c:pt>
                <c:pt idx="2">
                  <c:v>0.15625</c:v>
                </c:pt>
                <c:pt idx="3">
                  <c:v>0.15625</c:v>
                </c:pt>
                <c:pt idx="4">
                  <c:v>8.2969432314410493E-2</c:v>
                </c:pt>
                <c:pt idx="5">
                  <c:v>1.1070110701107E-2</c:v>
                </c:pt>
                <c:pt idx="6">
                  <c:v>2.8985507246376802E-2</c:v>
                </c:pt>
                <c:pt idx="7">
                  <c:v>6.8965517241379301E-3</c:v>
                </c:pt>
                <c:pt idx="8">
                  <c:v>3.8834951456310697E-2</c:v>
                </c:pt>
                <c:pt idx="9">
                  <c:v>1.06007067137809E-2</c:v>
                </c:pt>
                <c:pt idx="10">
                  <c:v>3.6999999999999998E-2</c:v>
                </c:pt>
                <c:pt idx="11">
                  <c:v>0</c:v>
                </c:pt>
                <c:pt idx="12">
                  <c:v>0</c:v>
                </c:pt>
                <c:pt idx="13">
                  <c:v>0</c:v>
                </c:pt>
                <c:pt idx="14">
                  <c:v>2.8999999999999998E-2</c:v>
                </c:pt>
                <c:pt idx="15">
                  <c:v>0</c:v>
                </c:pt>
                <c:pt idx="16">
                  <c:v>0</c:v>
                </c:pt>
                <c:pt idx="17">
                  <c:v>0</c:v>
                </c:pt>
              </c:numCache>
            </c:numRef>
          </c:val>
          <c:smooth val="0"/>
          <c:extLst>
            <c:ext xmlns:c16="http://schemas.microsoft.com/office/drawing/2014/chart" uri="{C3380CC4-5D6E-409C-BE32-E72D297353CC}">
              <c16:uniqueId val="{00000001-4D2A-4543-9A31-31E743CB0E0B}"/>
            </c:ext>
          </c:extLst>
        </c:ser>
        <c:ser>
          <c:idx val="2"/>
          <c:order val="2"/>
          <c:tx>
            <c:strRef>
              <c:f>'Figure 4.5b'!$A$5</c:f>
              <c:strCache>
                <c:ptCount val="1"/>
                <c:pt idx="0">
                  <c:v>Far North</c:v>
                </c:pt>
              </c:strCache>
            </c:strRef>
          </c:tx>
          <c:cat>
            <c:numRef>
              <c:f>'Figure 4.5b'!$B$2:$S$2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4.5b'!$B$5:$S$5</c:f>
              <c:numCache>
                <c:formatCode>0.0%</c:formatCode>
                <c:ptCount val="18"/>
                <c:pt idx="0">
                  <c:v>0</c:v>
                </c:pt>
                <c:pt idx="1">
                  <c:v>0</c:v>
                </c:pt>
                <c:pt idx="2">
                  <c:v>0</c:v>
                </c:pt>
                <c:pt idx="3">
                  <c:v>0</c:v>
                </c:pt>
                <c:pt idx="4">
                  <c:v>0</c:v>
                </c:pt>
                <c:pt idx="5">
                  <c:v>0</c:v>
                </c:pt>
                <c:pt idx="6">
                  <c:v>2.6490066225165602E-3</c:v>
                </c:pt>
                <c:pt idx="7">
                  <c:v>1.22137404580153E-2</c:v>
                </c:pt>
                <c:pt idx="8">
                  <c:v>6.5185185185185193E-2</c:v>
                </c:pt>
                <c:pt idx="9">
                  <c:v>4.4964028776978401E-2</c:v>
                </c:pt>
                <c:pt idx="10">
                  <c:v>1.0999999999999999E-2</c:v>
                </c:pt>
                <c:pt idx="11">
                  <c:v>1.4E-2</c:v>
                </c:pt>
                <c:pt idx="12">
                  <c:v>0</c:v>
                </c:pt>
                <c:pt idx="13">
                  <c:v>5.0000000000000001E-3</c:v>
                </c:pt>
                <c:pt idx="14">
                  <c:v>0</c:v>
                </c:pt>
                <c:pt idx="15">
                  <c:v>0</c:v>
                </c:pt>
                <c:pt idx="16">
                  <c:v>0</c:v>
                </c:pt>
                <c:pt idx="17">
                  <c:v>0</c:v>
                </c:pt>
              </c:numCache>
            </c:numRef>
          </c:val>
          <c:smooth val="0"/>
          <c:extLst>
            <c:ext xmlns:c16="http://schemas.microsoft.com/office/drawing/2014/chart" uri="{C3380CC4-5D6E-409C-BE32-E72D297353CC}">
              <c16:uniqueId val="{00000002-4D2A-4543-9A31-31E743CB0E0B}"/>
            </c:ext>
          </c:extLst>
        </c:ser>
        <c:ser>
          <c:idx val="3"/>
          <c:order val="3"/>
          <c:tx>
            <c:strRef>
              <c:f>'Figure 4.5b'!$A$6</c:f>
              <c:strCache>
                <c:ptCount val="1"/>
                <c:pt idx="0">
                  <c:v>Yorke and Mid North</c:v>
                </c:pt>
              </c:strCache>
            </c:strRef>
          </c:tx>
          <c:cat>
            <c:numRef>
              <c:f>'Figure 4.5b'!$B$2:$S$2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4.5b'!$B$6:$S$6</c:f>
              <c:numCache>
                <c:formatCode>0.0%</c:formatCode>
                <c:ptCount val="18"/>
                <c:pt idx="0">
                  <c:v>#N/A</c:v>
                </c:pt>
                <c:pt idx="1">
                  <c:v>#N/A</c:v>
                </c:pt>
                <c:pt idx="2">
                  <c:v>#N/A</c:v>
                </c:pt>
                <c:pt idx="3">
                  <c:v>#N/A</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smooth val="0"/>
          <c:extLst>
            <c:ext xmlns:c16="http://schemas.microsoft.com/office/drawing/2014/chart" uri="{C3380CC4-5D6E-409C-BE32-E72D297353CC}">
              <c16:uniqueId val="{00000003-4D2A-4543-9A31-31E743CB0E0B}"/>
            </c:ext>
          </c:extLst>
        </c:ser>
        <c:dLbls>
          <c:showLegendKey val="0"/>
          <c:showVal val="0"/>
          <c:showCatName val="0"/>
          <c:showSerName val="0"/>
          <c:showPercent val="0"/>
          <c:showBubbleSize val="0"/>
        </c:dLbls>
        <c:marker val="1"/>
        <c:smooth val="0"/>
        <c:axId val="151852544"/>
        <c:axId val="151854080"/>
      </c:lineChart>
      <c:catAx>
        <c:axId val="151852544"/>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51854080"/>
        <c:crosses val="autoZero"/>
        <c:auto val="1"/>
        <c:lblAlgn val="ctr"/>
        <c:lblOffset val="100"/>
        <c:noMultiLvlLbl val="0"/>
      </c:catAx>
      <c:valAx>
        <c:axId val="151854080"/>
        <c:scaling>
          <c:orientation val="minMax"/>
        </c:scaling>
        <c:delete val="0"/>
        <c:axPos val="l"/>
        <c:majorGridlines>
          <c:spPr>
            <a:ln>
              <a:noFill/>
            </a:ln>
          </c:spPr>
        </c:majorGridlines>
        <c:title>
          <c:tx>
            <c:rich>
              <a:bodyPr/>
              <a:lstStyle/>
              <a:p>
                <a:pPr>
                  <a:defRPr/>
                </a:pPr>
                <a:r>
                  <a:rPr lang="en-US"/>
                  <a:t>Proportion</a:t>
                </a:r>
              </a:p>
            </c:rich>
          </c:tx>
          <c:overlay val="0"/>
        </c:title>
        <c:numFmt formatCode="0%" sourceLinked="0"/>
        <c:majorTickMark val="out"/>
        <c:minorTickMark val="none"/>
        <c:tickLblPos val="nextTo"/>
        <c:crossAx val="15185254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4.5c'!$A$3</c:f>
              <c:strCache>
                <c:ptCount val="1"/>
                <c:pt idx="0">
                  <c:v>APY Lands</c:v>
                </c:pt>
              </c:strCache>
            </c:strRef>
          </c:tx>
          <c:cat>
            <c:numRef>
              <c:f>'Figure 4.5c'!$B$2:$S$2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4.5c'!$B$3:$S$3</c:f>
              <c:numCache>
                <c:formatCode>0.0%</c:formatCode>
                <c:ptCount val="18"/>
                <c:pt idx="0">
                  <c:v>0.14000000000000001</c:v>
                </c:pt>
                <c:pt idx="1">
                  <c:v>0.03</c:v>
                </c:pt>
                <c:pt idx="2">
                  <c:v>0.15</c:v>
                </c:pt>
                <c:pt idx="3">
                  <c:v>#N/A</c:v>
                </c:pt>
                <c:pt idx="4">
                  <c:v>0.09</c:v>
                </c:pt>
                <c:pt idx="5">
                  <c:v>0.04</c:v>
                </c:pt>
                <c:pt idx="6">
                  <c:v>0.11</c:v>
                </c:pt>
                <c:pt idx="7">
                  <c:v>0.1</c:v>
                </c:pt>
                <c:pt idx="8">
                  <c:v>6.8000000000000005E-2</c:v>
                </c:pt>
                <c:pt idx="9">
                  <c:v>4.4000000000000004E-2</c:v>
                </c:pt>
                <c:pt idx="10">
                  <c:v>3.6000000000000004E-2</c:v>
                </c:pt>
                <c:pt idx="11">
                  <c:v>5.0000000000000001E-3</c:v>
                </c:pt>
                <c:pt idx="12">
                  <c:v>0</c:v>
                </c:pt>
                <c:pt idx="13">
                  <c:v>0.01</c:v>
                </c:pt>
                <c:pt idx="14">
                  <c:v>2.6000000000000002E-2</c:v>
                </c:pt>
                <c:pt idx="15">
                  <c:v>0</c:v>
                </c:pt>
                <c:pt idx="16">
                  <c:v>0</c:v>
                </c:pt>
                <c:pt idx="17">
                  <c:v>0</c:v>
                </c:pt>
              </c:numCache>
            </c:numRef>
          </c:val>
          <c:smooth val="0"/>
          <c:extLst>
            <c:ext xmlns:c16="http://schemas.microsoft.com/office/drawing/2014/chart" uri="{C3380CC4-5D6E-409C-BE32-E72D297353CC}">
              <c16:uniqueId val="{00000000-8240-4537-9F81-AD611FBD6EA9}"/>
            </c:ext>
          </c:extLst>
        </c:ser>
        <c:ser>
          <c:idx val="1"/>
          <c:order val="1"/>
          <c:tx>
            <c:strRef>
              <c:f>'Figure 4.5c'!$A$4</c:f>
              <c:strCache>
                <c:ptCount val="1"/>
                <c:pt idx="0">
                  <c:v>Eyre and Western</c:v>
                </c:pt>
              </c:strCache>
            </c:strRef>
          </c:tx>
          <c:cat>
            <c:numRef>
              <c:f>'Figure 4.5c'!$B$2:$S$2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4.5c'!$B$4:$S$4</c:f>
              <c:numCache>
                <c:formatCode>0.0%</c:formatCode>
                <c:ptCount val="18"/>
                <c:pt idx="0">
                  <c:v>0.15</c:v>
                </c:pt>
                <c:pt idx="1">
                  <c:v>0.01</c:v>
                </c:pt>
                <c:pt idx="2">
                  <c:v>0.11</c:v>
                </c:pt>
                <c:pt idx="3">
                  <c:v>#N/A</c:v>
                </c:pt>
                <c:pt idx="4">
                  <c:v>7.0000000000000007E-2</c:v>
                </c:pt>
                <c:pt idx="5">
                  <c:v>0.01</c:v>
                </c:pt>
                <c:pt idx="6">
                  <c:v>4.8000000000000001E-2</c:v>
                </c:pt>
                <c:pt idx="7">
                  <c:v>0.01</c:v>
                </c:pt>
                <c:pt idx="8">
                  <c:v>7.8E-2</c:v>
                </c:pt>
                <c:pt idx="9">
                  <c:v>2.3E-2</c:v>
                </c:pt>
                <c:pt idx="10">
                  <c:v>1.4999999999999999E-2</c:v>
                </c:pt>
                <c:pt idx="11">
                  <c:v>0</c:v>
                </c:pt>
                <c:pt idx="12">
                  <c:v>0</c:v>
                </c:pt>
                <c:pt idx="13">
                  <c:v>0</c:v>
                </c:pt>
                <c:pt idx="14">
                  <c:v>4.0000000000000001E-3</c:v>
                </c:pt>
                <c:pt idx="15">
                  <c:v>0</c:v>
                </c:pt>
                <c:pt idx="16">
                  <c:v>0</c:v>
                </c:pt>
                <c:pt idx="17">
                  <c:v>0</c:v>
                </c:pt>
              </c:numCache>
            </c:numRef>
          </c:val>
          <c:smooth val="0"/>
          <c:extLst>
            <c:ext xmlns:c16="http://schemas.microsoft.com/office/drawing/2014/chart" uri="{C3380CC4-5D6E-409C-BE32-E72D297353CC}">
              <c16:uniqueId val="{00000001-8240-4537-9F81-AD611FBD6EA9}"/>
            </c:ext>
          </c:extLst>
        </c:ser>
        <c:ser>
          <c:idx val="2"/>
          <c:order val="2"/>
          <c:tx>
            <c:strRef>
              <c:f>'Figure 4.5c'!$A$5</c:f>
              <c:strCache>
                <c:ptCount val="1"/>
                <c:pt idx="0">
                  <c:v>Far North </c:v>
                </c:pt>
              </c:strCache>
            </c:strRef>
          </c:tx>
          <c:cat>
            <c:numRef>
              <c:f>'Figure 4.5c'!$B$2:$S$2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4.5c'!$B$5:$S$5</c:f>
              <c:numCache>
                <c:formatCode>0.0%</c:formatCode>
                <c:ptCount val="18"/>
                <c:pt idx="0">
                  <c:v>0</c:v>
                </c:pt>
                <c:pt idx="1">
                  <c:v>0</c:v>
                </c:pt>
                <c:pt idx="2">
                  <c:v>#N/A</c:v>
                </c:pt>
                <c:pt idx="3">
                  <c:v>#N/A</c:v>
                </c:pt>
                <c:pt idx="4">
                  <c:v>0</c:v>
                </c:pt>
                <c:pt idx="5">
                  <c:v>0</c:v>
                </c:pt>
                <c:pt idx="6">
                  <c:v>3.0000000000000001E-3</c:v>
                </c:pt>
                <c:pt idx="7">
                  <c:v>0.01</c:v>
                </c:pt>
                <c:pt idx="8">
                  <c:v>6.7000000000000004E-2</c:v>
                </c:pt>
                <c:pt idx="9">
                  <c:v>5.8000000000000003E-2</c:v>
                </c:pt>
                <c:pt idx="10">
                  <c:v>0.01</c:v>
                </c:pt>
                <c:pt idx="11">
                  <c:v>1.2E-2</c:v>
                </c:pt>
                <c:pt idx="12">
                  <c:v>0</c:v>
                </c:pt>
                <c:pt idx="13">
                  <c:v>5.0000000000000001E-3</c:v>
                </c:pt>
                <c:pt idx="14">
                  <c:v>0</c:v>
                </c:pt>
                <c:pt idx="15">
                  <c:v>0</c:v>
                </c:pt>
                <c:pt idx="16">
                  <c:v>0</c:v>
                </c:pt>
                <c:pt idx="17">
                  <c:v>0</c:v>
                </c:pt>
              </c:numCache>
            </c:numRef>
          </c:val>
          <c:smooth val="0"/>
          <c:extLst>
            <c:ext xmlns:c16="http://schemas.microsoft.com/office/drawing/2014/chart" uri="{C3380CC4-5D6E-409C-BE32-E72D297353CC}">
              <c16:uniqueId val="{00000002-8240-4537-9F81-AD611FBD6EA9}"/>
            </c:ext>
          </c:extLst>
        </c:ser>
        <c:ser>
          <c:idx val="3"/>
          <c:order val="3"/>
          <c:tx>
            <c:strRef>
              <c:f>'Figure 4.5c'!$A$6</c:f>
              <c:strCache>
                <c:ptCount val="1"/>
                <c:pt idx="0">
                  <c:v>Yorke and Mid North</c:v>
                </c:pt>
              </c:strCache>
            </c:strRef>
          </c:tx>
          <c:cat>
            <c:numRef>
              <c:f>'Figure 4.5c'!$B$2:$S$2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4.5c'!$B$6:$S$6</c:f>
              <c:numCache>
                <c:formatCode>0.0%</c:formatCode>
                <c:ptCount val="18"/>
                <c:pt idx="0">
                  <c:v>#N/A</c:v>
                </c:pt>
                <c:pt idx="1">
                  <c:v>#N/A</c:v>
                </c:pt>
                <c:pt idx="2">
                  <c:v>#N/A</c:v>
                </c:pt>
                <c:pt idx="3">
                  <c:v>#N/A</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smooth val="0"/>
          <c:extLst>
            <c:ext xmlns:c16="http://schemas.microsoft.com/office/drawing/2014/chart" uri="{C3380CC4-5D6E-409C-BE32-E72D297353CC}">
              <c16:uniqueId val="{00000003-8240-4537-9F81-AD611FBD6EA9}"/>
            </c:ext>
          </c:extLst>
        </c:ser>
        <c:dLbls>
          <c:showLegendKey val="0"/>
          <c:showVal val="0"/>
          <c:showCatName val="0"/>
          <c:showSerName val="0"/>
          <c:showPercent val="0"/>
          <c:showBubbleSize val="0"/>
        </c:dLbls>
        <c:marker val="1"/>
        <c:smooth val="0"/>
        <c:axId val="151922176"/>
        <c:axId val="151923712"/>
      </c:lineChart>
      <c:catAx>
        <c:axId val="151922176"/>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51923712"/>
        <c:crosses val="autoZero"/>
        <c:auto val="1"/>
        <c:lblAlgn val="ctr"/>
        <c:lblOffset val="100"/>
        <c:noMultiLvlLbl val="0"/>
      </c:catAx>
      <c:valAx>
        <c:axId val="151923712"/>
        <c:scaling>
          <c:orientation val="minMax"/>
          <c:max val="0.18000000000000002"/>
        </c:scaling>
        <c:delete val="0"/>
        <c:axPos val="l"/>
        <c:majorGridlines>
          <c:spPr>
            <a:ln>
              <a:noFill/>
            </a:ln>
          </c:spPr>
        </c:majorGridlines>
        <c:title>
          <c:tx>
            <c:rich>
              <a:bodyPr/>
              <a:lstStyle/>
              <a:p>
                <a:pPr>
                  <a:defRPr/>
                </a:pPr>
                <a:r>
                  <a:rPr lang="en-US"/>
                  <a:t>Proportion</a:t>
                </a:r>
              </a:p>
            </c:rich>
          </c:tx>
          <c:overlay val="0"/>
        </c:title>
        <c:numFmt formatCode="0%" sourceLinked="0"/>
        <c:majorTickMark val="out"/>
        <c:minorTickMark val="none"/>
        <c:tickLblPos val="nextTo"/>
        <c:crossAx val="15192217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4.6'!$A$3</c:f>
              <c:strCache>
                <c:ptCount val="1"/>
                <c:pt idx="0">
                  <c:v>≥20%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4.6'!$B$2:$D$2</c:f>
              <c:strCache>
                <c:ptCount val="3"/>
                <c:pt idx="0">
                  <c:v>APY Lands (n=9)</c:v>
                </c:pt>
                <c:pt idx="1">
                  <c:v>Eyre and Western (n=3)</c:v>
                </c:pt>
                <c:pt idx="2">
                  <c:v>Far North (n=3)</c:v>
                </c:pt>
              </c:strCache>
            </c:strRef>
          </c:cat>
          <c:val>
            <c:numRef>
              <c:f>'Figure 4.6'!$B$3:$D$3</c:f>
              <c:numCache>
                <c:formatCode>General</c:formatCode>
                <c:ptCount val="3"/>
              </c:numCache>
            </c:numRef>
          </c:val>
          <c:extLst>
            <c:ext xmlns:c16="http://schemas.microsoft.com/office/drawing/2014/chart" uri="{C3380CC4-5D6E-409C-BE32-E72D297353CC}">
              <c16:uniqueId val="{00000000-9101-4EBC-A459-155FBDAA6266}"/>
            </c:ext>
          </c:extLst>
        </c:ser>
        <c:ser>
          <c:idx val="1"/>
          <c:order val="1"/>
          <c:tx>
            <c:strRef>
              <c:f>'Figure 4.6'!$A$4</c:f>
              <c:strCache>
                <c:ptCount val="1"/>
                <c:pt idx="0">
                  <c:v>≥10% to &lt;20%</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4.6'!$B$2:$D$2</c:f>
              <c:strCache>
                <c:ptCount val="3"/>
                <c:pt idx="0">
                  <c:v>APY Lands (n=9)</c:v>
                </c:pt>
                <c:pt idx="1">
                  <c:v>Eyre and Western (n=3)</c:v>
                </c:pt>
                <c:pt idx="2">
                  <c:v>Far North (n=3)</c:v>
                </c:pt>
              </c:strCache>
            </c:strRef>
          </c:cat>
          <c:val>
            <c:numRef>
              <c:f>'Figure 4.6'!$B$4:$D$4</c:f>
              <c:numCache>
                <c:formatCode>General</c:formatCode>
                <c:ptCount val="3"/>
              </c:numCache>
            </c:numRef>
          </c:val>
          <c:extLst>
            <c:ext xmlns:c16="http://schemas.microsoft.com/office/drawing/2014/chart" uri="{C3380CC4-5D6E-409C-BE32-E72D297353CC}">
              <c16:uniqueId val="{00000001-9101-4EBC-A459-155FBDAA6266}"/>
            </c:ext>
          </c:extLst>
        </c:ser>
        <c:ser>
          <c:idx val="2"/>
          <c:order val="2"/>
          <c:tx>
            <c:strRef>
              <c:f>'Figure 4.6'!$A$5</c:f>
              <c:strCache>
                <c:ptCount val="1"/>
                <c:pt idx="0">
                  <c:v>≥5% to &lt;10%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4.6'!$B$2:$D$2</c:f>
              <c:strCache>
                <c:ptCount val="3"/>
                <c:pt idx="0">
                  <c:v>APY Lands (n=9)</c:v>
                </c:pt>
                <c:pt idx="1">
                  <c:v>Eyre and Western (n=3)</c:v>
                </c:pt>
                <c:pt idx="2">
                  <c:v>Far North (n=3)</c:v>
                </c:pt>
              </c:strCache>
            </c:strRef>
          </c:cat>
          <c:val>
            <c:numRef>
              <c:f>'Figure 4.6'!$B$5:$D$5</c:f>
              <c:numCache>
                <c:formatCode>General</c:formatCode>
                <c:ptCount val="3"/>
              </c:numCache>
            </c:numRef>
          </c:val>
          <c:extLst>
            <c:ext xmlns:c16="http://schemas.microsoft.com/office/drawing/2014/chart" uri="{C3380CC4-5D6E-409C-BE32-E72D297353CC}">
              <c16:uniqueId val="{00000002-9101-4EBC-A459-155FBDAA6266}"/>
            </c:ext>
          </c:extLst>
        </c:ser>
        <c:ser>
          <c:idx val="3"/>
          <c:order val="3"/>
          <c:tx>
            <c:strRef>
              <c:f>'Figure 4.6'!$A$6</c:f>
              <c:strCache>
                <c:ptCount val="1"/>
                <c:pt idx="0">
                  <c:v>&gt;0% to &lt;5%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4.6'!$B$2:$D$2</c:f>
              <c:strCache>
                <c:ptCount val="3"/>
                <c:pt idx="0">
                  <c:v>APY Lands (n=9)</c:v>
                </c:pt>
                <c:pt idx="1">
                  <c:v>Eyre and Western (n=3)</c:v>
                </c:pt>
                <c:pt idx="2">
                  <c:v>Far North (n=3)</c:v>
                </c:pt>
              </c:strCache>
            </c:strRef>
          </c:cat>
          <c:val>
            <c:numRef>
              <c:f>'Figure 4.6'!$B$6:$D$6</c:f>
              <c:numCache>
                <c:formatCode>General</c:formatCode>
                <c:ptCount val="3"/>
              </c:numCache>
            </c:numRef>
          </c:val>
          <c:extLst>
            <c:ext xmlns:c16="http://schemas.microsoft.com/office/drawing/2014/chart" uri="{C3380CC4-5D6E-409C-BE32-E72D297353CC}">
              <c16:uniqueId val="{00000003-9101-4EBC-A459-155FBDAA6266}"/>
            </c:ext>
          </c:extLst>
        </c:ser>
        <c:ser>
          <c:idx val="4"/>
          <c:order val="4"/>
          <c:tx>
            <c:strRef>
              <c:f>'Figure 4.6'!$A$7</c:f>
              <c:strCache>
                <c:ptCount val="1"/>
                <c:pt idx="0">
                  <c:v>0%</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4.6'!$B$2:$D$2</c:f>
              <c:strCache>
                <c:ptCount val="3"/>
                <c:pt idx="0">
                  <c:v>APY Lands (n=9)</c:v>
                </c:pt>
                <c:pt idx="1">
                  <c:v>Eyre and Western (n=3)</c:v>
                </c:pt>
                <c:pt idx="2">
                  <c:v>Far North (n=3)</c:v>
                </c:pt>
              </c:strCache>
            </c:strRef>
          </c:cat>
          <c:val>
            <c:numRef>
              <c:f>'Figure 4.6'!$B$7:$D$7</c:f>
              <c:numCache>
                <c:formatCode>General</c:formatCode>
                <c:ptCount val="3"/>
                <c:pt idx="0">
                  <c:v>9</c:v>
                </c:pt>
                <c:pt idx="1">
                  <c:v>3</c:v>
                </c:pt>
                <c:pt idx="2">
                  <c:v>3</c:v>
                </c:pt>
              </c:numCache>
            </c:numRef>
          </c:val>
          <c:extLst>
            <c:ext xmlns:c16="http://schemas.microsoft.com/office/drawing/2014/chart" uri="{C3380CC4-5D6E-409C-BE32-E72D297353CC}">
              <c16:uniqueId val="{00000004-9101-4EBC-A459-155FBDAA6266}"/>
            </c:ext>
          </c:extLst>
        </c:ser>
        <c:dLbls>
          <c:dLblPos val="ctr"/>
          <c:showLegendKey val="0"/>
          <c:showVal val="1"/>
          <c:showCatName val="0"/>
          <c:showSerName val="0"/>
          <c:showPercent val="0"/>
          <c:showBubbleSize val="0"/>
        </c:dLbls>
        <c:gapWidth val="150"/>
        <c:overlap val="100"/>
        <c:axId val="551096432"/>
        <c:axId val="308655984"/>
      </c:barChart>
      <c:catAx>
        <c:axId val="5510964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Region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898989"/>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08655984"/>
        <c:crosses val="autoZero"/>
        <c:auto val="1"/>
        <c:lblAlgn val="ctr"/>
        <c:lblOffset val="100"/>
        <c:noMultiLvlLbl val="0"/>
      </c:catAx>
      <c:valAx>
        <c:axId val="3086559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Number of communities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rgbClr val="898989"/>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109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chemeClr val="tx1"/>
          </a:solidFill>
          <a:latin typeface="+mn-lt"/>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4.7'!$A$3</c:f>
              <c:strCache>
                <c:ptCount val="1"/>
                <c:pt idx="0">
                  <c:v>APY Lands</c:v>
                </c:pt>
              </c:strCache>
            </c:strRef>
          </c:tx>
          <c:cat>
            <c:numRef>
              <c:f>'Figure 4.7'!$B$2:$S$2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4.7'!$B$3:$S$3</c:f>
              <c:numCache>
                <c:formatCode>General</c:formatCode>
                <c:ptCount val="18"/>
                <c:pt idx="0">
                  <c:v>12</c:v>
                </c:pt>
                <c:pt idx="1">
                  <c:v>4</c:v>
                </c:pt>
                <c:pt idx="2">
                  <c:v>13</c:v>
                </c:pt>
                <c:pt idx="3">
                  <c:v>#N/A</c:v>
                </c:pt>
                <c:pt idx="4">
                  <c:v>146</c:v>
                </c:pt>
                <c:pt idx="5">
                  <c:v>90</c:v>
                </c:pt>
                <c:pt idx="6">
                  <c:v>93</c:v>
                </c:pt>
                <c:pt idx="7">
                  <c:v>178</c:v>
                </c:pt>
                <c:pt idx="8">
                  <c:v>328</c:v>
                </c:pt>
                <c:pt idx="9">
                  <c:v>188</c:v>
                </c:pt>
                <c:pt idx="10">
                  <c:v>119</c:v>
                </c:pt>
                <c:pt idx="11">
                  <c:v>39</c:v>
                </c:pt>
                <c:pt idx="12">
                  <c:v>34</c:v>
                </c:pt>
                <c:pt idx="13">
                  <c:v>93</c:v>
                </c:pt>
                <c:pt idx="14">
                  <c:v>37</c:v>
                </c:pt>
                <c:pt idx="15">
                  <c:v>0</c:v>
                </c:pt>
                <c:pt idx="16">
                  <c:v>0</c:v>
                </c:pt>
                <c:pt idx="17">
                  <c:v>0</c:v>
                </c:pt>
              </c:numCache>
            </c:numRef>
          </c:val>
          <c:smooth val="0"/>
          <c:extLst>
            <c:ext xmlns:c16="http://schemas.microsoft.com/office/drawing/2014/chart" uri="{C3380CC4-5D6E-409C-BE32-E72D297353CC}">
              <c16:uniqueId val="{00000000-9076-42E9-94FD-4E583508569A}"/>
            </c:ext>
          </c:extLst>
        </c:ser>
        <c:ser>
          <c:idx val="1"/>
          <c:order val="1"/>
          <c:tx>
            <c:strRef>
              <c:f>'Figure 4.7'!$A$4</c:f>
              <c:strCache>
                <c:ptCount val="1"/>
                <c:pt idx="0">
                  <c:v>Eyre and Western</c:v>
                </c:pt>
              </c:strCache>
            </c:strRef>
          </c:tx>
          <c:cat>
            <c:numRef>
              <c:f>'Figure 4.7'!$B$2:$S$2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4.7'!$B$4:$S$4</c:f>
              <c:numCache>
                <c:formatCode>General</c:formatCode>
                <c:ptCount val="18"/>
                <c:pt idx="0">
                  <c:v>8</c:v>
                </c:pt>
                <c:pt idx="1">
                  <c:v>3</c:v>
                </c:pt>
                <c:pt idx="2">
                  <c:v>6</c:v>
                </c:pt>
                <c:pt idx="3">
                  <c:v>#N/A</c:v>
                </c:pt>
                <c:pt idx="4">
                  <c:v>322</c:v>
                </c:pt>
                <c:pt idx="5">
                  <c:v>22</c:v>
                </c:pt>
                <c:pt idx="6">
                  <c:v>106</c:v>
                </c:pt>
                <c:pt idx="7">
                  <c:v>11</c:v>
                </c:pt>
                <c:pt idx="8">
                  <c:v>57</c:v>
                </c:pt>
                <c:pt idx="9">
                  <c:v>26</c:v>
                </c:pt>
                <c:pt idx="10">
                  <c:v>53</c:v>
                </c:pt>
                <c:pt idx="11">
                  <c:v>7</c:v>
                </c:pt>
                <c:pt idx="12">
                  <c:v>0</c:v>
                </c:pt>
                <c:pt idx="13">
                  <c:v>0</c:v>
                </c:pt>
                <c:pt idx="14">
                  <c:v>13</c:v>
                </c:pt>
                <c:pt idx="15">
                  <c:v>0</c:v>
                </c:pt>
                <c:pt idx="16">
                  <c:v>0</c:v>
                </c:pt>
                <c:pt idx="17">
                  <c:v>0</c:v>
                </c:pt>
              </c:numCache>
            </c:numRef>
          </c:val>
          <c:smooth val="0"/>
          <c:extLst>
            <c:ext xmlns:c16="http://schemas.microsoft.com/office/drawing/2014/chart" uri="{C3380CC4-5D6E-409C-BE32-E72D297353CC}">
              <c16:uniqueId val="{00000001-9076-42E9-94FD-4E583508569A}"/>
            </c:ext>
          </c:extLst>
        </c:ser>
        <c:ser>
          <c:idx val="2"/>
          <c:order val="2"/>
          <c:tx>
            <c:strRef>
              <c:f>'Figure 4.7'!$A$5</c:f>
              <c:strCache>
                <c:ptCount val="1"/>
                <c:pt idx="0">
                  <c:v>Far North </c:v>
                </c:pt>
              </c:strCache>
            </c:strRef>
          </c:tx>
          <c:cat>
            <c:numRef>
              <c:f>'Figure 4.7'!$B$2:$S$2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4.7'!$B$5:$S$5</c:f>
              <c:numCache>
                <c:formatCode>General</c:formatCode>
                <c:ptCount val="18"/>
                <c:pt idx="0">
                  <c:v>0</c:v>
                </c:pt>
                <c:pt idx="1">
                  <c:v>0</c:v>
                </c:pt>
                <c:pt idx="2">
                  <c:v>0</c:v>
                </c:pt>
                <c:pt idx="3">
                  <c:v>0</c:v>
                </c:pt>
                <c:pt idx="4">
                  <c:v>0</c:v>
                </c:pt>
                <c:pt idx="5">
                  <c:v>0</c:v>
                </c:pt>
                <c:pt idx="6">
                  <c:v>4</c:v>
                </c:pt>
                <c:pt idx="7">
                  <c:v>11</c:v>
                </c:pt>
                <c:pt idx="8">
                  <c:v>78</c:v>
                </c:pt>
                <c:pt idx="9">
                  <c:v>211</c:v>
                </c:pt>
                <c:pt idx="10">
                  <c:v>14</c:v>
                </c:pt>
                <c:pt idx="11">
                  <c:v>18</c:v>
                </c:pt>
                <c:pt idx="12">
                  <c:v>5</c:v>
                </c:pt>
                <c:pt idx="13">
                  <c:v>88</c:v>
                </c:pt>
                <c:pt idx="14">
                  <c:v>0</c:v>
                </c:pt>
                <c:pt idx="15">
                  <c:v>0</c:v>
                </c:pt>
                <c:pt idx="16">
                  <c:v>0</c:v>
                </c:pt>
                <c:pt idx="17">
                  <c:v>0</c:v>
                </c:pt>
              </c:numCache>
            </c:numRef>
          </c:val>
          <c:smooth val="0"/>
          <c:extLst>
            <c:ext xmlns:c16="http://schemas.microsoft.com/office/drawing/2014/chart" uri="{C3380CC4-5D6E-409C-BE32-E72D297353CC}">
              <c16:uniqueId val="{00000002-9076-42E9-94FD-4E583508569A}"/>
            </c:ext>
          </c:extLst>
        </c:ser>
        <c:dLbls>
          <c:showLegendKey val="0"/>
          <c:showVal val="0"/>
          <c:showCatName val="0"/>
          <c:showSerName val="0"/>
          <c:showPercent val="0"/>
          <c:showBubbleSize val="0"/>
        </c:dLbls>
        <c:marker val="1"/>
        <c:smooth val="0"/>
        <c:axId val="151682432"/>
        <c:axId val="151692416"/>
      </c:lineChart>
      <c:catAx>
        <c:axId val="151682432"/>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51692416"/>
        <c:crosses val="autoZero"/>
        <c:auto val="1"/>
        <c:lblAlgn val="ctr"/>
        <c:lblOffset val="100"/>
        <c:noMultiLvlLbl val="0"/>
      </c:catAx>
      <c:valAx>
        <c:axId val="151692416"/>
        <c:scaling>
          <c:orientation val="minMax"/>
        </c:scaling>
        <c:delete val="0"/>
        <c:axPos val="l"/>
        <c:majorGridlines>
          <c:spPr>
            <a:ln>
              <a:noFill/>
            </a:ln>
          </c:spPr>
        </c:majorGridlines>
        <c:title>
          <c:tx>
            <c:rich>
              <a:bodyPr/>
              <a:lstStyle/>
              <a:p>
                <a:pPr>
                  <a:defRPr/>
                </a:pPr>
                <a:r>
                  <a:rPr lang="en-US"/>
                  <a:t>Number of doses</a:t>
                </a:r>
              </a:p>
            </c:rich>
          </c:tx>
          <c:overlay val="0"/>
        </c:title>
        <c:numFmt formatCode="General" sourceLinked="1"/>
        <c:majorTickMark val="out"/>
        <c:minorTickMark val="none"/>
        <c:tickLblPos val="nextTo"/>
        <c:crossAx val="15168243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5.2_new'!$A$3</c:f>
              <c:strCache>
                <c:ptCount val="1"/>
                <c:pt idx="0">
                  <c:v>Goldfields</c:v>
                </c:pt>
              </c:strCache>
            </c:strRef>
          </c:tx>
          <c:cat>
            <c:numRef>
              <c:f>'Figure 5.2_new'!$B$2:$S$2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5.2_new'!$B$3:$S$3</c:f>
              <c:numCache>
                <c:formatCode>General</c:formatCode>
                <c:ptCount val="18"/>
                <c:pt idx="0">
                  <c:v>19</c:v>
                </c:pt>
                <c:pt idx="1">
                  <c:v>21</c:v>
                </c:pt>
                <c:pt idx="2">
                  <c:v>21</c:v>
                </c:pt>
                <c:pt idx="3">
                  <c:v>24</c:v>
                </c:pt>
                <c:pt idx="4">
                  <c:v>14</c:v>
                </c:pt>
                <c:pt idx="5">
                  <c:v>24</c:v>
                </c:pt>
                <c:pt idx="6">
                  <c:v>21</c:v>
                </c:pt>
                <c:pt idx="7">
                  <c:v>20</c:v>
                </c:pt>
                <c:pt idx="8">
                  <c:v>19</c:v>
                </c:pt>
                <c:pt idx="9">
                  <c:v>19</c:v>
                </c:pt>
                <c:pt idx="10">
                  <c:v>19</c:v>
                </c:pt>
                <c:pt idx="11">
                  <c:v>20</c:v>
                </c:pt>
                <c:pt idx="12">
                  <c:v>16</c:v>
                </c:pt>
                <c:pt idx="13">
                  <c:v>17</c:v>
                </c:pt>
                <c:pt idx="14">
                  <c:v>15</c:v>
                </c:pt>
                <c:pt idx="15">
                  <c:v>12</c:v>
                </c:pt>
                <c:pt idx="16">
                  <c:v>15</c:v>
                </c:pt>
                <c:pt idx="17">
                  <c:v>15</c:v>
                </c:pt>
              </c:numCache>
            </c:numRef>
          </c:val>
          <c:smooth val="0"/>
          <c:extLst>
            <c:ext xmlns:c16="http://schemas.microsoft.com/office/drawing/2014/chart" uri="{C3380CC4-5D6E-409C-BE32-E72D297353CC}">
              <c16:uniqueId val="{00000000-D68F-4B43-AA00-0E2645DAB5FA}"/>
            </c:ext>
          </c:extLst>
        </c:ser>
        <c:ser>
          <c:idx val="1"/>
          <c:order val="1"/>
          <c:tx>
            <c:strRef>
              <c:f>'Figure 5.2_new'!$A$4</c:f>
              <c:strCache>
                <c:ptCount val="1"/>
                <c:pt idx="0">
                  <c:v>Kimberley</c:v>
                </c:pt>
              </c:strCache>
            </c:strRef>
          </c:tx>
          <c:cat>
            <c:numRef>
              <c:f>'Figure 5.2_new'!$B$2:$S$2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5.2_new'!$B$4:$S$4</c:f>
              <c:numCache>
                <c:formatCode>General</c:formatCode>
                <c:ptCount val="18"/>
                <c:pt idx="0">
                  <c:v>31</c:v>
                </c:pt>
                <c:pt idx="1">
                  <c:v>31</c:v>
                </c:pt>
                <c:pt idx="2">
                  <c:v>31</c:v>
                </c:pt>
                <c:pt idx="3">
                  <c:v>37</c:v>
                </c:pt>
                <c:pt idx="4">
                  <c:v>35</c:v>
                </c:pt>
                <c:pt idx="5">
                  <c:v>31</c:v>
                </c:pt>
                <c:pt idx="6">
                  <c:v>28</c:v>
                </c:pt>
                <c:pt idx="7">
                  <c:v>29</c:v>
                </c:pt>
                <c:pt idx="8">
                  <c:v>24</c:v>
                </c:pt>
                <c:pt idx="9">
                  <c:v>17</c:v>
                </c:pt>
                <c:pt idx="10">
                  <c:v>9</c:v>
                </c:pt>
                <c:pt idx="11">
                  <c:v>9</c:v>
                </c:pt>
                <c:pt idx="12">
                  <c:v>8</c:v>
                </c:pt>
                <c:pt idx="13">
                  <c:v>7</c:v>
                </c:pt>
                <c:pt idx="14">
                  <c:v>7</c:v>
                </c:pt>
                <c:pt idx="15">
                  <c:v>7</c:v>
                </c:pt>
                <c:pt idx="16">
                  <c:v>7</c:v>
                </c:pt>
                <c:pt idx="17">
                  <c:v>7</c:v>
                </c:pt>
              </c:numCache>
            </c:numRef>
          </c:val>
          <c:smooth val="0"/>
          <c:extLst>
            <c:ext xmlns:c16="http://schemas.microsoft.com/office/drawing/2014/chart" uri="{C3380CC4-5D6E-409C-BE32-E72D297353CC}">
              <c16:uniqueId val="{00000001-D68F-4B43-AA00-0E2645DAB5FA}"/>
            </c:ext>
          </c:extLst>
        </c:ser>
        <c:ser>
          <c:idx val="2"/>
          <c:order val="2"/>
          <c:tx>
            <c:strRef>
              <c:f>'Figure 5.2_new'!$A$5</c:f>
              <c:strCache>
                <c:ptCount val="1"/>
                <c:pt idx="0">
                  <c:v>Midwest</c:v>
                </c:pt>
              </c:strCache>
            </c:strRef>
          </c:tx>
          <c:cat>
            <c:numRef>
              <c:f>'Figure 5.2_new'!$B$2:$S$2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5.2_new'!$B$5:$S$5</c:f>
              <c:numCache>
                <c:formatCode>General</c:formatCode>
                <c:ptCount val="18"/>
                <c:pt idx="0">
                  <c:v>6</c:v>
                </c:pt>
                <c:pt idx="1">
                  <c:v>6</c:v>
                </c:pt>
                <c:pt idx="2">
                  <c:v>6</c:v>
                </c:pt>
                <c:pt idx="3">
                  <c:v>8</c:v>
                </c:pt>
                <c:pt idx="4">
                  <c:v>8</c:v>
                </c:pt>
                <c:pt idx="5">
                  <c:v>8</c:v>
                </c:pt>
                <c:pt idx="6">
                  <c:v>8</c:v>
                </c:pt>
                <c:pt idx="7">
                  <c:v>8</c:v>
                </c:pt>
                <c:pt idx="8">
                  <c:v>8</c:v>
                </c:pt>
                <c:pt idx="9">
                  <c:v>7</c:v>
                </c:pt>
                <c:pt idx="10">
                  <c:v>7</c:v>
                </c:pt>
                <c:pt idx="11">
                  <c:v>6</c:v>
                </c:pt>
                <c:pt idx="12">
                  <c:v>6</c:v>
                </c:pt>
                <c:pt idx="13">
                  <c:v>6</c:v>
                </c:pt>
                <c:pt idx="14">
                  <c:v>6</c:v>
                </c:pt>
                <c:pt idx="15">
                  <c:v>6</c:v>
                </c:pt>
                <c:pt idx="16">
                  <c:v>6</c:v>
                </c:pt>
                <c:pt idx="17">
                  <c:v>5</c:v>
                </c:pt>
              </c:numCache>
            </c:numRef>
          </c:val>
          <c:smooth val="0"/>
          <c:extLst>
            <c:ext xmlns:c16="http://schemas.microsoft.com/office/drawing/2014/chart" uri="{C3380CC4-5D6E-409C-BE32-E72D297353CC}">
              <c16:uniqueId val="{00000002-D68F-4B43-AA00-0E2645DAB5FA}"/>
            </c:ext>
          </c:extLst>
        </c:ser>
        <c:ser>
          <c:idx val="3"/>
          <c:order val="3"/>
          <c:tx>
            <c:strRef>
              <c:f>'Figure 5.2_new'!$A$6</c:f>
              <c:strCache>
                <c:ptCount val="1"/>
                <c:pt idx="0">
                  <c:v>Pilbara</c:v>
                </c:pt>
              </c:strCache>
            </c:strRef>
          </c:tx>
          <c:cat>
            <c:numRef>
              <c:f>'Figure 5.2_new'!$B$2:$S$2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5.2_new'!$B$6:$S$6</c:f>
              <c:numCache>
                <c:formatCode>General</c:formatCode>
                <c:ptCount val="18"/>
                <c:pt idx="0">
                  <c:v>16</c:v>
                </c:pt>
                <c:pt idx="1">
                  <c:v>16</c:v>
                </c:pt>
                <c:pt idx="2">
                  <c:v>16</c:v>
                </c:pt>
                <c:pt idx="3">
                  <c:v>17</c:v>
                </c:pt>
                <c:pt idx="4">
                  <c:v>18</c:v>
                </c:pt>
                <c:pt idx="5">
                  <c:v>15</c:v>
                </c:pt>
                <c:pt idx="6">
                  <c:v>14</c:v>
                </c:pt>
                <c:pt idx="7">
                  <c:v>9</c:v>
                </c:pt>
                <c:pt idx="8">
                  <c:v>7</c:v>
                </c:pt>
                <c:pt idx="9">
                  <c:v>8</c:v>
                </c:pt>
                <c:pt idx="10">
                  <c:v>6</c:v>
                </c:pt>
                <c:pt idx="11">
                  <c:v>6</c:v>
                </c:pt>
                <c:pt idx="12">
                  <c:v>8</c:v>
                </c:pt>
                <c:pt idx="13">
                  <c:v>6</c:v>
                </c:pt>
                <c:pt idx="14">
                  <c:v>6</c:v>
                </c:pt>
                <c:pt idx="15">
                  <c:v>6</c:v>
                </c:pt>
                <c:pt idx="16">
                  <c:v>6</c:v>
                </c:pt>
                <c:pt idx="17">
                  <c:v>6</c:v>
                </c:pt>
              </c:numCache>
            </c:numRef>
          </c:val>
          <c:smooth val="0"/>
          <c:extLst>
            <c:ext xmlns:c16="http://schemas.microsoft.com/office/drawing/2014/chart" uri="{C3380CC4-5D6E-409C-BE32-E72D297353CC}">
              <c16:uniqueId val="{00000003-D68F-4B43-AA00-0E2645DAB5FA}"/>
            </c:ext>
          </c:extLst>
        </c:ser>
        <c:dLbls>
          <c:showLegendKey val="0"/>
          <c:showVal val="0"/>
          <c:showCatName val="0"/>
          <c:showSerName val="0"/>
          <c:showPercent val="0"/>
          <c:showBubbleSize val="0"/>
        </c:dLbls>
        <c:marker val="1"/>
        <c:smooth val="0"/>
        <c:axId val="151833600"/>
        <c:axId val="152109824"/>
      </c:lineChart>
      <c:catAx>
        <c:axId val="151833600"/>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52109824"/>
        <c:crosses val="autoZero"/>
        <c:auto val="1"/>
        <c:lblAlgn val="ctr"/>
        <c:lblOffset val="100"/>
        <c:noMultiLvlLbl val="0"/>
      </c:catAx>
      <c:valAx>
        <c:axId val="152109824"/>
        <c:scaling>
          <c:orientation val="minMax"/>
        </c:scaling>
        <c:delete val="0"/>
        <c:axPos val="l"/>
        <c:majorGridlines>
          <c:spPr>
            <a:ln>
              <a:noFill/>
            </a:ln>
          </c:spPr>
        </c:majorGridlines>
        <c:title>
          <c:tx>
            <c:rich>
              <a:bodyPr/>
              <a:lstStyle/>
              <a:p>
                <a:pPr>
                  <a:defRPr/>
                </a:pPr>
                <a:r>
                  <a:rPr lang="en-US"/>
                  <a:t>Number of communities</a:t>
                </a:r>
              </a:p>
            </c:rich>
          </c:tx>
          <c:overlay val="0"/>
        </c:title>
        <c:numFmt formatCode="General" sourceLinked="1"/>
        <c:majorTickMark val="out"/>
        <c:minorTickMark val="none"/>
        <c:tickLblPos val="nextTo"/>
        <c:crossAx val="151833600"/>
        <c:crosses val="autoZero"/>
        <c:crossBetween val="between"/>
      </c:valAx>
      <c:spPr>
        <a:noFill/>
      </c:spPr>
    </c:plotArea>
    <c:legend>
      <c:legendPos val="b"/>
      <c:overlay val="0"/>
    </c:legend>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5.3'!$B$2</c:f>
              <c:strCache>
                <c:ptCount val="1"/>
                <c:pt idx="0">
                  <c:v>Not screened or treated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5.3'!$A$3:$A$6</c:f>
              <c:strCache>
                <c:ptCount val="4"/>
                <c:pt idx="0">
                  <c:v>Goldfields</c:v>
                </c:pt>
                <c:pt idx="1">
                  <c:v>Kimberley</c:v>
                </c:pt>
                <c:pt idx="2">
                  <c:v>Midwest</c:v>
                </c:pt>
                <c:pt idx="3">
                  <c:v>Pilbara</c:v>
                </c:pt>
              </c:strCache>
            </c:strRef>
          </c:cat>
          <c:val>
            <c:numRef>
              <c:f>'Figure 5.3'!$B$3:$B$6</c:f>
              <c:numCache>
                <c:formatCode>General</c:formatCode>
                <c:ptCount val="4"/>
              </c:numCache>
            </c:numRef>
          </c:val>
          <c:extLst>
            <c:ext xmlns:c16="http://schemas.microsoft.com/office/drawing/2014/chart" uri="{C3380CC4-5D6E-409C-BE32-E72D297353CC}">
              <c16:uniqueId val="{00000000-2039-4E9B-BB0C-A181A2D0098A}"/>
            </c:ext>
          </c:extLst>
        </c:ser>
        <c:ser>
          <c:idx val="1"/>
          <c:order val="1"/>
          <c:tx>
            <c:strRef>
              <c:f>'Figure 5.3'!$C$2</c:f>
              <c:strCache>
                <c:ptCount val="1"/>
                <c:pt idx="0">
                  <c:v>Not requiring screening or treatment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5.3'!$A$3:$A$6</c:f>
              <c:strCache>
                <c:ptCount val="4"/>
                <c:pt idx="0">
                  <c:v>Goldfields</c:v>
                </c:pt>
                <c:pt idx="1">
                  <c:v>Kimberley</c:v>
                </c:pt>
                <c:pt idx="2">
                  <c:v>Midwest</c:v>
                </c:pt>
                <c:pt idx="3">
                  <c:v>Pilbara</c:v>
                </c:pt>
              </c:strCache>
            </c:strRef>
          </c:cat>
          <c:val>
            <c:numRef>
              <c:f>'Figure 5.3'!$C$3:$C$6</c:f>
              <c:numCache>
                <c:formatCode>General</c:formatCode>
                <c:ptCount val="4"/>
                <c:pt idx="0">
                  <c:v>2</c:v>
                </c:pt>
                <c:pt idx="1">
                  <c:v>3</c:v>
                </c:pt>
                <c:pt idx="2">
                  <c:v>2</c:v>
                </c:pt>
              </c:numCache>
            </c:numRef>
          </c:val>
          <c:extLst>
            <c:ext xmlns:c16="http://schemas.microsoft.com/office/drawing/2014/chart" uri="{C3380CC4-5D6E-409C-BE32-E72D297353CC}">
              <c16:uniqueId val="{00000001-2039-4E9B-BB0C-A181A2D0098A}"/>
            </c:ext>
          </c:extLst>
        </c:ser>
        <c:ser>
          <c:idx val="2"/>
          <c:order val="2"/>
          <c:tx>
            <c:strRef>
              <c:f>'Figure 5.3'!$D$2</c:f>
              <c:strCache>
                <c:ptCount val="1"/>
                <c:pt idx="0">
                  <c:v>Screened and no treatment required</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5.3'!$A$3:$A$6</c:f>
              <c:strCache>
                <c:ptCount val="4"/>
                <c:pt idx="0">
                  <c:v>Goldfields</c:v>
                </c:pt>
                <c:pt idx="1">
                  <c:v>Kimberley</c:v>
                </c:pt>
                <c:pt idx="2">
                  <c:v>Midwest</c:v>
                </c:pt>
                <c:pt idx="3">
                  <c:v>Pilbara</c:v>
                </c:pt>
              </c:strCache>
            </c:strRef>
          </c:cat>
          <c:val>
            <c:numRef>
              <c:f>'Figure 5.3'!$D$3:$D$6</c:f>
              <c:numCache>
                <c:formatCode>General</c:formatCode>
                <c:ptCount val="4"/>
                <c:pt idx="0">
                  <c:v>9</c:v>
                </c:pt>
                <c:pt idx="1">
                  <c:v>4</c:v>
                </c:pt>
                <c:pt idx="2">
                  <c:v>3</c:v>
                </c:pt>
                <c:pt idx="3">
                  <c:v>3</c:v>
                </c:pt>
              </c:numCache>
            </c:numRef>
          </c:val>
          <c:extLst>
            <c:ext xmlns:c16="http://schemas.microsoft.com/office/drawing/2014/chart" uri="{C3380CC4-5D6E-409C-BE32-E72D297353CC}">
              <c16:uniqueId val="{00000002-2039-4E9B-BB0C-A181A2D0098A}"/>
            </c:ext>
          </c:extLst>
        </c:ser>
        <c:ser>
          <c:idx val="3"/>
          <c:order val="3"/>
          <c:tx>
            <c:strRef>
              <c:f>'Figure 5.3'!$E$2</c:f>
              <c:strCache>
                <c:ptCount val="1"/>
                <c:pt idx="0">
                  <c:v>Screened and treated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5.3'!$A$3:$A$6</c:f>
              <c:strCache>
                <c:ptCount val="4"/>
                <c:pt idx="0">
                  <c:v>Goldfields</c:v>
                </c:pt>
                <c:pt idx="1">
                  <c:v>Kimberley</c:v>
                </c:pt>
                <c:pt idx="2">
                  <c:v>Midwest</c:v>
                </c:pt>
                <c:pt idx="3">
                  <c:v>Pilbara</c:v>
                </c:pt>
              </c:strCache>
            </c:strRef>
          </c:cat>
          <c:val>
            <c:numRef>
              <c:f>'Figure 5.3'!$E$3:$E$6</c:f>
              <c:numCache>
                <c:formatCode>General</c:formatCode>
                <c:ptCount val="4"/>
                <c:pt idx="0">
                  <c:v>4</c:v>
                </c:pt>
                <c:pt idx="3">
                  <c:v>3</c:v>
                </c:pt>
              </c:numCache>
            </c:numRef>
          </c:val>
          <c:extLst>
            <c:ext xmlns:c16="http://schemas.microsoft.com/office/drawing/2014/chart" uri="{C3380CC4-5D6E-409C-BE32-E72D297353CC}">
              <c16:uniqueId val="{00000003-2039-4E9B-BB0C-A181A2D0098A}"/>
            </c:ext>
          </c:extLst>
        </c:ser>
        <c:ser>
          <c:idx val="4"/>
          <c:order val="4"/>
          <c:tx>
            <c:strRef>
              <c:f>'Figure 5.3'!$F$2</c:f>
              <c:strCache>
                <c:ptCount val="1"/>
                <c:pt idx="0">
                  <c:v>Treatment only</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5.3'!$A$3:$A$6</c:f>
              <c:strCache>
                <c:ptCount val="4"/>
                <c:pt idx="0">
                  <c:v>Goldfields</c:v>
                </c:pt>
                <c:pt idx="1">
                  <c:v>Kimberley</c:v>
                </c:pt>
                <c:pt idx="2">
                  <c:v>Midwest</c:v>
                </c:pt>
                <c:pt idx="3">
                  <c:v>Pilbara</c:v>
                </c:pt>
              </c:strCache>
            </c:strRef>
          </c:cat>
          <c:val>
            <c:numRef>
              <c:f>'Figure 5.3'!$F$3:$F$6</c:f>
              <c:numCache>
                <c:formatCode>General</c:formatCode>
                <c:ptCount val="4"/>
              </c:numCache>
            </c:numRef>
          </c:val>
          <c:extLst>
            <c:ext xmlns:c16="http://schemas.microsoft.com/office/drawing/2014/chart" uri="{C3380CC4-5D6E-409C-BE32-E72D297353CC}">
              <c16:uniqueId val="{00000004-2039-4E9B-BB0C-A181A2D0098A}"/>
            </c:ext>
          </c:extLst>
        </c:ser>
        <c:dLbls>
          <c:dLblPos val="ctr"/>
          <c:showLegendKey val="0"/>
          <c:showVal val="1"/>
          <c:showCatName val="0"/>
          <c:showSerName val="0"/>
          <c:showPercent val="0"/>
          <c:showBubbleSize val="0"/>
        </c:dLbls>
        <c:gapWidth val="150"/>
        <c:overlap val="100"/>
        <c:axId val="551096432"/>
        <c:axId val="308655984"/>
      </c:barChart>
      <c:catAx>
        <c:axId val="5510964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Region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898989"/>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08655984"/>
        <c:crosses val="autoZero"/>
        <c:auto val="1"/>
        <c:lblAlgn val="ctr"/>
        <c:lblOffset val="100"/>
        <c:noMultiLvlLbl val="0"/>
      </c:catAx>
      <c:valAx>
        <c:axId val="3086559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Number of communities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rgbClr val="898989"/>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1096432"/>
        <c:crosses val="autoZero"/>
        <c:crossBetween val="between"/>
      </c:valAx>
      <c:spPr>
        <a:noFill/>
        <a:ln>
          <a:noFill/>
        </a:ln>
        <a:effectLst/>
      </c:spPr>
    </c:plotArea>
    <c:legend>
      <c:legendPos val="b"/>
      <c:layout>
        <c:manualLayout>
          <c:xMode val="edge"/>
          <c:yMode val="edge"/>
          <c:x val="0.18696628680002272"/>
          <c:y val="0.82880324742015943"/>
          <c:w val="0.74451239519470536"/>
          <c:h val="0.152563212207169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5.4'!$A$3</c:f>
              <c:strCache>
                <c:ptCount val="1"/>
                <c:pt idx="0">
                  <c:v>Goldfields</c:v>
                </c:pt>
              </c:strCache>
            </c:strRef>
          </c:tx>
          <c:cat>
            <c:numRef>
              <c:f>'Figure 5.4'!$B$2:$S$2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5.4'!$B$3:$S$3</c:f>
              <c:numCache>
                <c:formatCode>0%</c:formatCode>
                <c:ptCount val="18"/>
                <c:pt idx="0">
                  <c:v>0.98</c:v>
                </c:pt>
                <c:pt idx="1">
                  <c:v>0.74</c:v>
                </c:pt>
                <c:pt idx="2">
                  <c:v>0.62</c:v>
                </c:pt>
                <c:pt idx="3">
                  <c:v>0.67</c:v>
                </c:pt>
                <c:pt idx="4">
                  <c:v>0.49</c:v>
                </c:pt>
                <c:pt idx="5">
                  <c:v>0.77</c:v>
                </c:pt>
                <c:pt idx="6">
                  <c:v>0.63</c:v>
                </c:pt>
                <c:pt idx="7">
                  <c:v>0.59</c:v>
                </c:pt>
                <c:pt idx="8">
                  <c:v>0.65</c:v>
                </c:pt>
                <c:pt idx="9">
                  <c:v>0.48</c:v>
                </c:pt>
                <c:pt idx="10">
                  <c:v>0.25</c:v>
                </c:pt>
                <c:pt idx="11">
                  <c:v>0.59</c:v>
                </c:pt>
                <c:pt idx="12">
                  <c:v>0.56000000000000005</c:v>
                </c:pt>
                <c:pt idx="13">
                  <c:v>0.7</c:v>
                </c:pt>
                <c:pt idx="14">
                  <c:v>0.45</c:v>
                </c:pt>
                <c:pt idx="15">
                  <c:v>0.36</c:v>
                </c:pt>
                <c:pt idx="16">
                  <c:v>0.49315068125724792</c:v>
                </c:pt>
                <c:pt idx="17">
                  <c:v>0.79629629850387573</c:v>
                </c:pt>
              </c:numCache>
            </c:numRef>
          </c:val>
          <c:smooth val="0"/>
          <c:extLst>
            <c:ext xmlns:c16="http://schemas.microsoft.com/office/drawing/2014/chart" uri="{C3380CC4-5D6E-409C-BE32-E72D297353CC}">
              <c16:uniqueId val="{00000000-A30E-4D75-8DA6-69FA1CC515FA}"/>
            </c:ext>
          </c:extLst>
        </c:ser>
        <c:ser>
          <c:idx val="1"/>
          <c:order val="1"/>
          <c:tx>
            <c:strRef>
              <c:f>'Figure 5.4'!$A$4</c:f>
              <c:strCache>
                <c:ptCount val="1"/>
                <c:pt idx="0">
                  <c:v>Kimberley</c:v>
                </c:pt>
              </c:strCache>
            </c:strRef>
          </c:tx>
          <c:cat>
            <c:numRef>
              <c:f>'Figure 5.4'!$B$2:$S$2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5.4'!$B$4:$S$4</c:f>
              <c:numCache>
                <c:formatCode>0%</c:formatCode>
                <c:ptCount val="18"/>
                <c:pt idx="0">
                  <c:v>0.82</c:v>
                </c:pt>
                <c:pt idx="1">
                  <c:v>0.81</c:v>
                </c:pt>
                <c:pt idx="2">
                  <c:v>0.87</c:v>
                </c:pt>
                <c:pt idx="3">
                  <c:v>0.84</c:v>
                </c:pt>
                <c:pt idx="4">
                  <c:v>0.8</c:v>
                </c:pt>
                <c:pt idx="5">
                  <c:v>0.81</c:v>
                </c:pt>
                <c:pt idx="6">
                  <c:v>0.74</c:v>
                </c:pt>
                <c:pt idx="7">
                  <c:v>0.83</c:v>
                </c:pt>
                <c:pt idx="8">
                  <c:v>0.76</c:v>
                </c:pt>
                <c:pt idx="9">
                  <c:v>0.81</c:v>
                </c:pt>
                <c:pt idx="10">
                  <c:v>0.49</c:v>
                </c:pt>
                <c:pt idx="11">
                  <c:v>0.67</c:v>
                </c:pt>
                <c:pt idx="12">
                  <c:v>0.6</c:v>
                </c:pt>
                <c:pt idx="13">
                  <c:v>0.66</c:v>
                </c:pt>
                <c:pt idx="14">
                  <c:v>0.63</c:v>
                </c:pt>
                <c:pt idx="15">
                  <c:v>0.64</c:v>
                </c:pt>
                <c:pt idx="16">
                  <c:v>0.78571426868438721</c:v>
                </c:pt>
                <c:pt idx="17">
                  <c:v>0.895652174949646</c:v>
                </c:pt>
              </c:numCache>
            </c:numRef>
          </c:val>
          <c:smooth val="0"/>
          <c:extLst>
            <c:ext xmlns:c16="http://schemas.microsoft.com/office/drawing/2014/chart" uri="{C3380CC4-5D6E-409C-BE32-E72D297353CC}">
              <c16:uniqueId val="{00000001-A30E-4D75-8DA6-69FA1CC515FA}"/>
            </c:ext>
          </c:extLst>
        </c:ser>
        <c:ser>
          <c:idx val="2"/>
          <c:order val="2"/>
          <c:tx>
            <c:strRef>
              <c:f>'Figure 5.4'!$A$5</c:f>
              <c:strCache>
                <c:ptCount val="1"/>
                <c:pt idx="0">
                  <c:v>Midwest</c:v>
                </c:pt>
              </c:strCache>
            </c:strRef>
          </c:tx>
          <c:cat>
            <c:numRef>
              <c:f>'Figure 5.4'!$B$2:$S$2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5.4'!$B$5:$S$5</c:f>
              <c:numCache>
                <c:formatCode>0%</c:formatCode>
                <c:ptCount val="18"/>
                <c:pt idx="0">
                  <c:v>0.88</c:v>
                </c:pt>
                <c:pt idx="1">
                  <c:v>0.93</c:v>
                </c:pt>
                <c:pt idx="2">
                  <c:v>0.84</c:v>
                </c:pt>
                <c:pt idx="3">
                  <c:v>0.89</c:v>
                </c:pt>
                <c:pt idx="4">
                  <c:v>0.89</c:v>
                </c:pt>
                <c:pt idx="5">
                  <c:v>0.67</c:v>
                </c:pt>
                <c:pt idx="6">
                  <c:v>0.91</c:v>
                </c:pt>
                <c:pt idx="7">
                  <c:v>0.91</c:v>
                </c:pt>
                <c:pt idx="8">
                  <c:v>0.64</c:v>
                </c:pt>
                <c:pt idx="9">
                  <c:v>0.99</c:v>
                </c:pt>
                <c:pt idx="10">
                  <c:v>0.94</c:v>
                </c:pt>
                <c:pt idx="11">
                  <c:v>0.62</c:v>
                </c:pt>
                <c:pt idx="12">
                  <c:v>0.85</c:v>
                </c:pt>
                <c:pt idx="13">
                  <c:v>0.86</c:v>
                </c:pt>
                <c:pt idx="14">
                  <c:v>0.73</c:v>
                </c:pt>
                <c:pt idx="15">
                  <c:v>0.9</c:v>
                </c:pt>
                <c:pt idx="16">
                  <c:v>0.87912088632583618</c:v>
                </c:pt>
                <c:pt idx="17">
                  <c:v>0.66666668653488159</c:v>
                </c:pt>
              </c:numCache>
            </c:numRef>
          </c:val>
          <c:smooth val="0"/>
          <c:extLst>
            <c:ext xmlns:c16="http://schemas.microsoft.com/office/drawing/2014/chart" uri="{C3380CC4-5D6E-409C-BE32-E72D297353CC}">
              <c16:uniqueId val="{00000002-A30E-4D75-8DA6-69FA1CC515FA}"/>
            </c:ext>
          </c:extLst>
        </c:ser>
        <c:ser>
          <c:idx val="3"/>
          <c:order val="3"/>
          <c:tx>
            <c:strRef>
              <c:f>'Figure 5.4'!$A$6</c:f>
              <c:strCache>
                <c:ptCount val="1"/>
                <c:pt idx="0">
                  <c:v>Pilbara</c:v>
                </c:pt>
              </c:strCache>
            </c:strRef>
          </c:tx>
          <c:cat>
            <c:numRef>
              <c:f>'Figure 5.4'!$B$2:$S$2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5.4'!$B$6:$S$6</c:f>
              <c:numCache>
                <c:formatCode>0%</c:formatCode>
                <c:ptCount val="18"/>
                <c:pt idx="0">
                  <c:v>0.81</c:v>
                </c:pt>
                <c:pt idx="1">
                  <c:v>0.76</c:v>
                </c:pt>
                <c:pt idx="2">
                  <c:v>0.86</c:v>
                </c:pt>
                <c:pt idx="3">
                  <c:v>0.81</c:v>
                </c:pt>
                <c:pt idx="4">
                  <c:v>0.76</c:v>
                </c:pt>
                <c:pt idx="5">
                  <c:v>0.94</c:v>
                </c:pt>
                <c:pt idx="6">
                  <c:v>0.82</c:v>
                </c:pt>
                <c:pt idx="7">
                  <c:v>0.91</c:v>
                </c:pt>
                <c:pt idx="8" formatCode="General">
                  <c:v>#N/A</c:v>
                </c:pt>
                <c:pt idx="9">
                  <c:v>0.84</c:v>
                </c:pt>
                <c:pt idx="10">
                  <c:v>0.67</c:v>
                </c:pt>
                <c:pt idx="11">
                  <c:v>0.69</c:v>
                </c:pt>
                <c:pt idx="12">
                  <c:v>0.8</c:v>
                </c:pt>
                <c:pt idx="13">
                  <c:v>0.76</c:v>
                </c:pt>
                <c:pt idx="14">
                  <c:v>0.51</c:v>
                </c:pt>
                <c:pt idx="15">
                  <c:v>0.66</c:v>
                </c:pt>
                <c:pt idx="16">
                  <c:v>0.77083331346511841</c:v>
                </c:pt>
                <c:pt idx="17">
                  <c:v>0.43636363744735718</c:v>
                </c:pt>
              </c:numCache>
            </c:numRef>
          </c:val>
          <c:smooth val="0"/>
          <c:extLst>
            <c:ext xmlns:c16="http://schemas.microsoft.com/office/drawing/2014/chart" uri="{C3380CC4-5D6E-409C-BE32-E72D297353CC}">
              <c16:uniqueId val="{00000003-A30E-4D75-8DA6-69FA1CC515FA}"/>
            </c:ext>
          </c:extLst>
        </c:ser>
        <c:dLbls>
          <c:showLegendKey val="0"/>
          <c:showVal val="0"/>
          <c:showCatName val="0"/>
          <c:showSerName val="0"/>
          <c:showPercent val="0"/>
          <c:showBubbleSize val="0"/>
        </c:dLbls>
        <c:marker val="1"/>
        <c:smooth val="0"/>
        <c:axId val="153114880"/>
        <c:axId val="153124864"/>
      </c:lineChart>
      <c:catAx>
        <c:axId val="153114880"/>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53124864"/>
        <c:crosses val="autoZero"/>
        <c:auto val="1"/>
        <c:lblAlgn val="ctr"/>
        <c:lblOffset val="100"/>
        <c:noMultiLvlLbl val="0"/>
      </c:catAx>
      <c:valAx>
        <c:axId val="153124864"/>
        <c:scaling>
          <c:orientation val="minMax"/>
          <c:max val="1"/>
        </c:scaling>
        <c:delete val="0"/>
        <c:axPos val="l"/>
        <c:majorGridlines>
          <c:spPr>
            <a:ln>
              <a:noFill/>
            </a:ln>
          </c:spPr>
        </c:majorGridlines>
        <c:title>
          <c:tx>
            <c:rich>
              <a:bodyPr/>
              <a:lstStyle/>
              <a:p>
                <a:pPr>
                  <a:defRPr/>
                </a:pPr>
                <a:r>
                  <a:rPr lang="en-US"/>
                  <a:t>Proportion</a:t>
                </a:r>
              </a:p>
            </c:rich>
          </c:tx>
          <c:overlay val="0"/>
        </c:title>
        <c:numFmt formatCode="0%" sourceLinked="1"/>
        <c:majorTickMark val="none"/>
        <c:minorTickMark val="none"/>
        <c:tickLblPos val="nextTo"/>
        <c:crossAx val="15311488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1.4'!$A$3</c:f>
              <c:strCache>
                <c:ptCount val="1"/>
                <c:pt idx="0">
                  <c:v>New South Wales</c:v>
                </c:pt>
              </c:strCache>
            </c:strRef>
          </c:tx>
          <c:cat>
            <c:numRef>
              <c:f>'Figure 1.4'!$B$2:$S$2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1.4'!$B$3:$S$3</c:f>
              <c:numCache>
                <c:formatCode>General</c:formatCode>
                <c:ptCount val="18"/>
                <c:pt idx="6" formatCode="0%">
                  <c:v>0.96</c:v>
                </c:pt>
                <c:pt idx="7" formatCode="0%">
                  <c:v>1</c:v>
                </c:pt>
                <c:pt idx="8" formatCode="0%">
                  <c:v>0.89</c:v>
                </c:pt>
              </c:numCache>
            </c:numRef>
          </c:val>
          <c:smooth val="0"/>
          <c:extLst>
            <c:ext xmlns:c16="http://schemas.microsoft.com/office/drawing/2014/chart" uri="{C3380CC4-5D6E-409C-BE32-E72D297353CC}">
              <c16:uniqueId val="{00000000-D9A4-431C-B88C-82F7427948D7}"/>
            </c:ext>
          </c:extLst>
        </c:ser>
        <c:ser>
          <c:idx val="1"/>
          <c:order val="1"/>
          <c:tx>
            <c:strRef>
              <c:f>'Figure 1.4'!$A$4</c:f>
              <c:strCache>
                <c:ptCount val="1"/>
                <c:pt idx="0">
                  <c:v>Northern Territory</c:v>
                </c:pt>
              </c:strCache>
            </c:strRef>
          </c:tx>
          <c:cat>
            <c:numRef>
              <c:f>'Figure 1.4'!$B$2:$S$2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1.4'!$B$4:$S$4</c:f>
              <c:numCache>
                <c:formatCode>0%</c:formatCode>
                <c:ptCount val="18"/>
                <c:pt idx="0">
                  <c:v>0.85</c:v>
                </c:pt>
                <c:pt idx="1">
                  <c:v>0.70143613000755856</c:v>
                </c:pt>
                <c:pt idx="2">
                  <c:v>0.7562008469449486</c:v>
                </c:pt>
                <c:pt idx="3">
                  <c:v>0.7439222042139384</c:v>
                </c:pt>
                <c:pt idx="4">
                  <c:v>0.7346780449961211</c:v>
                </c:pt>
                <c:pt idx="5">
                  <c:v>0.7522123893805307</c:v>
                </c:pt>
                <c:pt idx="6">
                  <c:v>0.78</c:v>
                </c:pt>
                <c:pt idx="7">
                  <c:v>0.86</c:v>
                </c:pt>
                <c:pt idx="8">
                  <c:v>0.85</c:v>
                </c:pt>
                <c:pt idx="9">
                  <c:v>0.7</c:v>
                </c:pt>
                <c:pt idx="10">
                  <c:v>0.79</c:v>
                </c:pt>
                <c:pt idx="11">
                  <c:v>0.74</c:v>
                </c:pt>
                <c:pt idx="12">
                  <c:v>0.75</c:v>
                </c:pt>
                <c:pt idx="13">
                  <c:v>0.82</c:v>
                </c:pt>
                <c:pt idx="14">
                  <c:v>0.84</c:v>
                </c:pt>
                <c:pt idx="15">
                  <c:v>0.87</c:v>
                </c:pt>
                <c:pt idx="16">
                  <c:v>0.73558366298675537</c:v>
                </c:pt>
                <c:pt idx="17">
                  <c:v>0.75718849897384644</c:v>
                </c:pt>
              </c:numCache>
            </c:numRef>
          </c:val>
          <c:smooth val="0"/>
          <c:extLst>
            <c:ext xmlns:c16="http://schemas.microsoft.com/office/drawing/2014/chart" uri="{C3380CC4-5D6E-409C-BE32-E72D297353CC}">
              <c16:uniqueId val="{00000001-D9A4-431C-B88C-82F7427948D7}"/>
            </c:ext>
          </c:extLst>
        </c:ser>
        <c:ser>
          <c:idx val="2"/>
          <c:order val="2"/>
          <c:tx>
            <c:strRef>
              <c:f>'Figure 1.4'!$A$5</c:f>
              <c:strCache>
                <c:ptCount val="1"/>
                <c:pt idx="0">
                  <c:v>Queensland</c:v>
                </c:pt>
              </c:strCache>
            </c:strRef>
          </c:tx>
          <c:cat>
            <c:numRef>
              <c:f>'Figure 1.4'!$B$2:$S$2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1.4'!$B$5:$S$5</c:f>
              <c:numCache>
                <c:formatCode>General</c:formatCode>
                <c:ptCount val="18"/>
                <c:pt idx="5" formatCode="0%">
                  <c:v>0.7</c:v>
                </c:pt>
                <c:pt idx="9" formatCode="0%">
                  <c:v>0.92</c:v>
                </c:pt>
                <c:pt idx="10" formatCode="0%">
                  <c:v>0.9</c:v>
                </c:pt>
                <c:pt idx="11" formatCode="0%">
                  <c:v>0.8</c:v>
                </c:pt>
                <c:pt idx="12" formatCode="0%">
                  <c:v>0.74</c:v>
                </c:pt>
                <c:pt idx="13" formatCode="0%">
                  <c:v>0.83</c:v>
                </c:pt>
                <c:pt idx="14" formatCode="0%">
                  <c:v>0.75</c:v>
                </c:pt>
              </c:numCache>
            </c:numRef>
          </c:val>
          <c:smooth val="0"/>
          <c:extLst>
            <c:ext xmlns:c16="http://schemas.microsoft.com/office/drawing/2014/chart" uri="{C3380CC4-5D6E-409C-BE32-E72D297353CC}">
              <c16:uniqueId val="{00000002-D9A4-431C-B88C-82F7427948D7}"/>
            </c:ext>
          </c:extLst>
        </c:ser>
        <c:ser>
          <c:idx val="3"/>
          <c:order val="3"/>
          <c:tx>
            <c:strRef>
              <c:f>'Figure 1.4'!$A$6</c:f>
              <c:strCache>
                <c:ptCount val="1"/>
                <c:pt idx="0">
                  <c:v>South Australia</c:v>
                </c:pt>
              </c:strCache>
            </c:strRef>
          </c:tx>
          <c:cat>
            <c:numRef>
              <c:f>'Figure 1.4'!$B$2:$S$2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1.4'!$B$6:$S$6</c:f>
              <c:numCache>
                <c:formatCode>0%</c:formatCode>
                <c:ptCount val="18"/>
                <c:pt idx="0">
                  <c:v>0.87610619469026552</c:v>
                </c:pt>
                <c:pt idx="1">
                  <c:v>0.76506024096385539</c:v>
                </c:pt>
                <c:pt idx="2">
                  <c:v>0.7857142857142857</c:v>
                </c:pt>
                <c:pt idx="3">
                  <c:v>#N/A</c:v>
                </c:pt>
                <c:pt idx="4">
                  <c:v>0.87701317715959004</c:v>
                </c:pt>
                <c:pt idx="5">
                  <c:v>0.89902676399026715</c:v>
                </c:pt>
                <c:pt idx="6">
                  <c:v>0.87</c:v>
                </c:pt>
                <c:pt idx="7">
                  <c:v>0.84</c:v>
                </c:pt>
                <c:pt idx="8">
                  <c:v>0.72</c:v>
                </c:pt>
                <c:pt idx="9">
                  <c:v>0.75</c:v>
                </c:pt>
                <c:pt idx="10">
                  <c:v>0.88</c:v>
                </c:pt>
                <c:pt idx="11">
                  <c:v>0.82</c:v>
                </c:pt>
                <c:pt idx="12">
                  <c:v>0.87</c:v>
                </c:pt>
                <c:pt idx="13">
                  <c:v>0.84</c:v>
                </c:pt>
                <c:pt idx="14">
                  <c:v>0.74</c:v>
                </c:pt>
                <c:pt idx="15">
                  <c:v>0.74</c:v>
                </c:pt>
                <c:pt idx="16">
                  <c:v>0.84976524114608765</c:v>
                </c:pt>
                <c:pt idx="17">
                  <c:v>0.89449542760848999</c:v>
                </c:pt>
              </c:numCache>
            </c:numRef>
          </c:val>
          <c:smooth val="0"/>
          <c:extLst>
            <c:ext xmlns:c16="http://schemas.microsoft.com/office/drawing/2014/chart" uri="{C3380CC4-5D6E-409C-BE32-E72D297353CC}">
              <c16:uniqueId val="{00000003-D9A4-431C-B88C-82F7427948D7}"/>
            </c:ext>
          </c:extLst>
        </c:ser>
        <c:ser>
          <c:idx val="4"/>
          <c:order val="4"/>
          <c:tx>
            <c:strRef>
              <c:f>'Figure 1.4'!$A$7</c:f>
              <c:strCache>
                <c:ptCount val="1"/>
                <c:pt idx="0">
                  <c:v>Western Australia</c:v>
                </c:pt>
              </c:strCache>
            </c:strRef>
          </c:tx>
          <c:cat>
            <c:numRef>
              <c:f>'Figure 1.4'!$B$2:$S$2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1.4'!$B$7:$S$7</c:f>
              <c:numCache>
                <c:formatCode>0%</c:formatCode>
                <c:ptCount val="18"/>
                <c:pt idx="0">
                  <c:v>0.83709090909090911</c:v>
                </c:pt>
                <c:pt idx="1">
                  <c:v>0.79705505761843787</c:v>
                </c:pt>
                <c:pt idx="2">
                  <c:v>0.8141210374639769</c:v>
                </c:pt>
                <c:pt idx="3">
                  <c:v>0.81758601856908797</c:v>
                </c:pt>
                <c:pt idx="4">
                  <c:v>0.743351063829787</c:v>
                </c:pt>
                <c:pt idx="5">
                  <c:v>0.8069046225863078</c:v>
                </c:pt>
                <c:pt idx="6">
                  <c:v>0.73</c:v>
                </c:pt>
                <c:pt idx="7">
                  <c:v>0.84</c:v>
                </c:pt>
                <c:pt idx="8">
                  <c:v>0.72</c:v>
                </c:pt>
                <c:pt idx="9">
                  <c:v>0.74</c:v>
                </c:pt>
                <c:pt idx="10">
                  <c:v>0.43</c:v>
                </c:pt>
                <c:pt idx="11">
                  <c:v>0.63</c:v>
                </c:pt>
                <c:pt idx="12">
                  <c:v>0.66</c:v>
                </c:pt>
                <c:pt idx="13">
                  <c:v>0.69</c:v>
                </c:pt>
                <c:pt idx="14">
                  <c:v>0.56999999999999995</c:v>
                </c:pt>
                <c:pt idx="15">
                  <c:v>0.54</c:v>
                </c:pt>
                <c:pt idx="16">
                  <c:v>0.70072990655899048</c:v>
                </c:pt>
                <c:pt idx="17">
                  <c:v>0.76013511419296265</c:v>
                </c:pt>
              </c:numCache>
            </c:numRef>
          </c:val>
          <c:smooth val="0"/>
          <c:extLst>
            <c:ext xmlns:c16="http://schemas.microsoft.com/office/drawing/2014/chart" uri="{C3380CC4-5D6E-409C-BE32-E72D297353CC}">
              <c16:uniqueId val="{00000004-D9A4-431C-B88C-82F7427948D7}"/>
            </c:ext>
          </c:extLst>
        </c:ser>
        <c:dLbls>
          <c:showLegendKey val="0"/>
          <c:showVal val="0"/>
          <c:showCatName val="0"/>
          <c:showSerName val="0"/>
          <c:showPercent val="0"/>
          <c:showBubbleSize val="0"/>
        </c:dLbls>
        <c:marker val="1"/>
        <c:smooth val="0"/>
        <c:axId val="131750912"/>
        <c:axId val="131777280"/>
      </c:lineChart>
      <c:catAx>
        <c:axId val="131750912"/>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31777280"/>
        <c:crosses val="autoZero"/>
        <c:auto val="1"/>
        <c:lblAlgn val="ctr"/>
        <c:lblOffset val="100"/>
        <c:noMultiLvlLbl val="0"/>
      </c:catAx>
      <c:valAx>
        <c:axId val="131777280"/>
        <c:scaling>
          <c:orientation val="minMax"/>
          <c:max val="1"/>
        </c:scaling>
        <c:delete val="0"/>
        <c:axPos val="l"/>
        <c:majorGridlines>
          <c:spPr>
            <a:ln>
              <a:noFill/>
            </a:ln>
          </c:spPr>
        </c:majorGridlines>
        <c:title>
          <c:tx>
            <c:rich>
              <a:bodyPr/>
              <a:lstStyle/>
              <a:p>
                <a:pPr>
                  <a:defRPr/>
                </a:pPr>
                <a:r>
                  <a:rPr lang="en-US"/>
                  <a:t>Proportion</a:t>
                </a:r>
              </a:p>
            </c:rich>
          </c:tx>
          <c:overlay val="0"/>
        </c:title>
        <c:numFmt formatCode="0%" sourceLinked="0"/>
        <c:majorTickMark val="out"/>
        <c:minorTickMark val="none"/>
        <c:tickLblPos val="nextTo"/>
        <c:crossAx val="131750912"/>
        <c:crosses val="autoZero"/>
        <c:crossBetween val="between"/>
      </c:valAx>
    </c:plotArea>
    <c:legend>
      <c:legendPos val="b"/>
      <c:layout>
        <c:manualLayout>
          <c:xMode val="edge"/>
          <c:yMode val="edge"/>
          <c:x val="0.11055019694960265"/>
          <c:y val="0.8395824832811003"/>
          <c:w val="0.88225573476702512"/>
          <c:h val="0.12738888888888888"/>
        </c:manualLayout>
      </c:layout>
      <c:overlay val="0"/>
    </c:legend>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5.5a'!$A$3</c:f>
              <c:strCache>
                <c:ptCount val="1"/>
                <c:pt idx="0">
                  <c:v>Goldfields</c:v>
                </c:pt>
              </c:strCache>
            </c:strRef>
          </c:tx>
          <c:cat>
            <c:numRef>
              <c:f>'Figure 5.5a'!$B$2:$S$2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5.5a'!$B$3:$S$3</c:f>
              <c:numCache>
                <c:formatCode>0%</c:formatCode>
                <c:ptCount val="18"/>
                <c:pt idx="0">
                  <c:v>0.03</c:v>
                </c:pt>
                <c:pt idx="1">
                  <c:v>0.08</c:v>
                </c:pt>
                <c:pt idx="2">
                  <c:v>0.14000000000000001</c:v>
                </c:pt>
                <c:pt idx="3">
                  <c:v>0.11</c:v>
                </c:pt>
                <c:pt idx="4">
                  <c:v>0.12</c:v>
                </c:pt>
                <c:pt idx="5">
                  <c:v>0.1</c:v>
                </c:pt>
                <c:pt idx="6" formatCode="0.0%">
                  <c:v>6.9000000000000006E-2</c:v>
                </c:pt>
                <c:pt idx="7" formatCode="0.0%">
                  <c:v>2.6000000000000002E-2</c:v>
                </c:pt>
                <c:pt idx="8">
                  <c:v>6.5000000000000002E-2</c:v>
                </c:pt>
                <c:pt idx="9" formatCode="0.0%">
                  <c:v>4.4999999999999998E-2</c:v>
                </c:pt>
                <c:pt idx="10" formatCode="0.0%">
                  <c:v>9.8000000000000004E-2</c:v>
                </c:pt>
                <c:pt idx="11" formatCode="0.0%">
                  <c:v>0.106</c:v>
                </c:pt>
                <c:pt idx="12" formatCode="0.0%">
                  <c:v>0.20300000000000001</c:v>
                </c:pt>
                <c:pt idx="13" formatCode="0.0%">
                  <c:v>0.10199999999999999</c:v>
                </c:pt>
                <c:pt idx="14" formatCode="0.0%">
                  <c:v>0.3</c:v>
                </c:pt>
                <c:pt idx="15" formatCode="0.0%">
                  <c:v>0.17600000000000002</c:v>
                </c:pt>
                <c:pt idx="16" formatCode="0.0%">
                  <c:v>0.114285717010498</c:v>
                </c:pt>
                <c:pt idx="17" formatCode="0.0%">
                  <c:v>6.4814813435077667E-2</c:v>
                </c:pt>
              </c:numCache>
            </c:numRef>
          </c:val>
          <c:smooth val="0"/>
          <c:extLst>
            <c:ext xmlns:c16="http://schemas.microsoft.com/office/drawing/2014/chart" uri="{C3380CC4-5D6E-409C-BE32-E72D297353CC}">
              <c16:uniqueId val="{00000000-888C-4574-8F77-C03F14AC6B30}"/>
            </c:ext>
          </c:extLst>
        </c:ser>
        <c:ser>
          <c:idx val="1"/>
          <c:order val="1"/>
          <c:tx>
            <c:strRef>
              <c:f>'Figure 5.5a'!$A$4</c:f>
              <c:strCache>
                <c:ptCount val="1"/>
                <c:pt idx="0">
                  <c:v>Kimberley</c:v>
                </c:pt>
              </c:strCache>
            </c:strRef>
          </c:tx>
          <c:cat>
            <c:numRef>
              <c:f>'Figure 5.5a'!$B$2:$S$2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5.5a'!$B$4:$S$4</c:f>
              <c:numCache>
                <c:formatCode>0%</c:formatCode>
                <c:ptCount val="18"/>
                <c:pt idx="0">
                  <c:v>0.17</c:v>
                </c:pt>
                <c:pt idx="1">
                  <c:v>0.15</c:v>
                </c:pt>
                <c:pt idx="2">
                  <c:v>0.15</c:v>
                </c:pt>
                <c:pt idx="3">
                  <c:v>0.09</c:v>
                </c:pt>
                <c:pt idx="4">
                  <c:v>7.0000000000000007E-2</c:v>
                </c:pt>
                <c:pt idx="5">
                  <c:v>0.02</c:v>
                </c:pt>
                <c:pt idx="6" formatCode="0.0%">
                  <c:v>2.4E-2</c:v>
                </c:pt>
                <c:pt idx="7" formatCode="0.0%">
                  <c:v>0.01</c:v>
                </c:pt>
                <c:pt idx="8">
                  <c:v>0</c:v>
                </c:pt>
                <c:pt idx="9" formatCode="0.0%">
                  <c:v>7.0000000000000001E-3</c:v>
                </c:pt>
                <c:pt idx="10" formatCode="0.0%">
                  <c:v>6.3E-2</c:v>
                </c:pt>
                <c:pt idx="11" formatCode="0.0%">
                  <c:v>0.11600000000000001</c:v>
                </c:pt>
                <c:pt idx="12" formatCode="0.0%">
                  <c:v>0.17100000000000001</c:v>
                </c:pt>
                <c:pt idx="13" formatCode="0.0%">
                  <c:v>0.184</c:v>
                </c:pt>
                <c:pt idx="14" formatCode="0.0%">
                  <c:v>7.6999999999999999E-2</c:v>
                </c:pt>
                <c:pt idx="15" formatCode="0.0%">
                  <c:v>4.5999999999999999E-2</c:v>
                </c:pt>
                <c:pt idx="16" formatCode="0.0%">
                  <c:v>0</c:v>
                </c:pt>
                <c:pt idx="17" formatCode="0.0%">
                  <c:v>0</c:v>
                </c:pt>
              </c:numCache>
            </c:numRef>
          </c:val>
          <c:smooth val="0"/>
          <c:extLst>
            <c:ext xmlns:c16="http://schemas.microsoft.com/office/drawing/2014/chart" uri="{C3380CC4-5D6E-409C-BE32-E72D297353CC}">
              <c16:uniqueId val="{00000001-888C-4574-8F77-C03F14AC6B30}"/>
            </c:ext>
          </c:extLst>
        </c:ser>
        <c:ser>
          <c:idx val="2"/>
          <c:order val="2"/>
          <c:tx>
            <c:strRef>
              <c:f>'Figure 5.5a'!$A$5</c:f>
              <c:strCache>
                <c:ptCount val="1"/>
                <c:pt idx="0">
                  <c:v>Midwest</c:v>
                </c:pt>
              </c:strCache>
            </c:strRef>
          </c:tx>
          <c:cat>
            <c:numRef>
              <c:f>'Figure 5.5a'!$B$2:$S$2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5.5a'!$B$5:$S$5</c:f>
              <c:numCache>
                <c:formatCode>0%</c:formatCode>
                <c:ptCount val="18"/>
                <c:pt idx="0">
                  <c:v>0.2</c:v>
                </c:pt>
                <c:pt idx="1">
                  <c:v>0.14000000000000001</c:v>
                </c:pt>
                <c:pt idx="2">
                  <c:v>0.17</c:v>
                </c:pt>
                <c:pt idx="3">
                  <c:v>7.0000000000000007E-2</c:v>
                </c:pt>
                <c:pt idx="4">
                  <c:v>0.09</c:v>
                </c:pt>
                <c:pt idx="5">
                  <c:v>0.04</c:v>
                </c:pt>
                <c:pt idx="6" formatCode="0.0%">
                  <c:v>4.7E-2</c:v>
                </c:pt>
                <c:pt idx="7" formatCode="0.0%">
                  <c:v>0.115</c:v>
                </c:pt>
                <c:pt idx="8">
                  <c:v>0.152</c:v>
                </c:pt>
                <c:pt idx="9" formatCode="0.0%">
                  <c:v>2.3E-2</c:v>
                </c:pt>
                <c:pt idx="10" formatCode="0.0%">
                  <c:v>4.8000000000000001E-2</c:v>
                </c:pt>
                <c:pt idx="11" formatCode="0.0%">
                  <c:v>0.115</c:v>
                </c:pt>
                <c:pt idx="12" formatCode="0.0%">
                  <c:v>8.5999999999999993E-2</c:v>
                </c:pt>
                <c:pt idx="13" formatCode="0.0%">
                  <c:v>2.4E-2</c:v>
                </c:pt>
                <c:pt idx="14" formatCode="0.0%">
                  <c:v>0</c:v>
                </c:pt>
                <c:pt idx="15" formatCode="0.0%">
                  <c:v>0</c:v>
                </c:pt>
                <c:pt idx="16" formatCode="0.0%">
                  <c:v>0</c:v>
                </c:pt>
                <c:pt idx="17" formatCode="0.0%">
                  <c:v>0</c:v>
                </c:pt>
              </c:numCache>
            </c:numRef>
          </c:val>
          <c:smooth val="0"/>
          <c:extLst>
            <c:ext xmlns:c16="http://schemas.microsoft.com/office/drawing/2014/chart" uri="{C3380CC4-5D6E-409C-BE32-E72D297353CC}">
              <c16:uniqueId val="{00000002-888C-4574-8F77-C03F14AC6B30}"/>
            </c:ext>
          </c:extLst>
        </c:ser>
        <c:ser>
          <c:idx val="3"/>
          <c:order val="3"/>
          <c:tx>
            <c:strRef>
              <c:f>'Figure 5.5a'!$A$6</c:f>
              <c:strCache>
                <c:ptCount val="1"/>
                <c:pt idx="0">
                  <c:v>Pilbara</c:v>
                </c:pt>
              </c:strCache>
            </c:strRef>
          </c:tx>
          <c:cat>
            <c:numRef>
              <c:f>'Figure 5.5a'!$B$2:$S$2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5.5a'!$B$6:$S$6</c:f>
              <c:numCache>
                <c:formatCode>0%</c:formatCode>
                <c:ptCount val="18"/>
                <c:pt idx="0">
                  <c:v>0.15</c:v>
                </c:pt>
                <c:pt idx="1">
                  <c:v>0.26</c:v>
                </c:pt>
                <c:pt idx="2">
                  <c:v>0.12</c:v>
                </c:pt>
                <c:pt idx="3">
                  <c:v>0.09</c:v>
                </c:pt>
                <c:pt idx="4">
                  <c:v>0.05</c:v>
                </c:pt>
                <c:pt idx="5">
                  <c:v>0.03</c:v>
                </c:pt>
                <c:pt idx="6" formatCode="0.0%">
                  <c:v>3.1E-2</c:v>
                </c:pt>
                <c:pt idx="7" formatCode="0.0%">
                  <c:v>0</c:v>
                </c:pt>
                <c:pt idx="8">
                  <c:v>0</c:v>
                </c:pt>
                <c:pt idx="9" formatCode="0.0%">
                  <c:v>4.8000000000000001E-2</c:v>
                </c:pt>
                <c:pt idx="10" formatCode="0.0%">
                  <c:v>0.13100000000000001</c:v>
                </c:pt>
                <c:pt idx="11" formatCode="0.0%">
                  <c:v>8.2000000000000003E-2</c:v>
                </c:pt>
                <c:pt idx="12" formatCode="0.0%">
                  <c:v>6.7000000000000004E-2</c:v>
                </c:pt>
                <c:pt idx="13" formatCode="0.0%">
                  <c:v>0.16</c:v>
                </c:pt>
                <c:pt idx="14" formatCode="0.0%">
                  <c:v>0.111</c:v>
                </c:pt>
                <c:pt idx="15" formatCode="0.0%">
                  <c:v>0.109</c:v>
                </c:pt>
                <c:pt idx="16" formatCode="0.0%">
                  <c:v>2.1739130020141599E-2</c:v>
                </c:pt>
                <c:pt idx="17" formatCode="0.0%">
                  <c:v>9.2592589557170868E-2</c:v>
                </c:pt>
              </c:numCache>
            </c:numRef>
          </c:val>
          <c:smooth val="0"/>
          <c:extLst>
            <c:ext xmlns:c16="http://schemas.microsoft.com/office/drawing/2014/chart" uri="{C3380CC4-5D6E-409C-BE32-E72D297353CC}">
              <c16:uniqueId val="{00000003-888C-4574-8F77-C03F14AC6B30}"/>
            </c:ext>
          </c:extLst>
        </c:ser>
        <c:dLbls>
          <c:showLegendKey val="0"/>
          <c:showVal val="0"/>
          <c:showCatName val="0"/>
          <c:showSerName val="0"/>
          <c:showPercent val="0"/>
          <c:showBubbleSize val="0"/>
        </c:dLbls>
        <c:marker val="1"/>
        <c:smooth val="0"/>
        <c:axId val="153114880"/>
        <c:axId val="153124864"/>
      </c:lineChart>
      <c:catAx>
        <c:axId val="153114880"/>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53124864"/>
        <c:crosses val="autoZero"/>
        <c:auto val="1"/>
        <c:lblAlgn val="ctr"/>
        <c:lblOffset val="100"/>
        <c:noMultiLvlLbl val="0"/>
      </c:catAx>
      <c:valAx>
        <c:axId val="153124864"/>
        <c:scaling>
          <c:orientation val="minMax"/>
        </c:scaling>
        <c:delete val="0"/>
        <c:axPos val="l"/>
        <c:majorGridlines>
          <c:spPr>
            <a:ln>
              <a:noFill/>
            </a:ln>
          </c:spPr>
        </c:majorGridlines>
        <c:title>
          <c:tx>
            <c:rich>
              <a:bodyPr/>
              <a:lstStyle/>
              <a:p>
                <a:pPr>
                  <a:defRPr/>
                </a:pPr>
                <a:r>
                  <a:rPr lang="en-US"/>
                  <a:t>Proportion</a:t>
                </a:r>
              </a:p>
            </c:rich>
          </c:tx>
          <c:overlay val="0"/>
        </c:title>
        <c:numFmt formatCode="0%" sourceLinked="1"/>
        <c:majorTickMark val="none"/>
        <c:minorTickMark val="none"/>
        <c:tickLblPos val="nextTo"/>
        <c:crossAx val="15311488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5.5b'!$A$3</c:f>
              <c:strCache>
                <c:ptCount val="1"/>
                <c:pt idx="0">
                  <c:v>Goldfields</c:v>
                </c:pt>
              </c:strCache>
            </c:strRef>
          </c:tx>
          <c:cat>
            <c:numRef>
              <c:f>'Figure 5.5b'!$B$2:$S$2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5.5b'!$B$3:$S$3</c:f>
              <c:numCache>
                <c:formatCode>0%</c:formatCode>
                <c:ptCount val="18"/>
                <c:pt idx="0">
                  <c:v>0.03</c:v>
                </c:pt>
                <c:pt idx="1">
                  <c:v>0.08</c:v>
                </c:pt>
                <c:pt idx="2">
                  <c:v>0.14000000000000001</c:v>
                </c:pt>
                <c:pt idx="3">
                  <c:v>0.11</c:v>
                </c:pt>
                <c:pt idx="4">
                  <c:v>0.12</c:v>
                </c:pt>
                <c:pt idx="5">
                  <c:v>0.1</c:v>
                </c:pt>
                <c:pt idx="6" formatCode="0.0%">
                  <c:v>6.9000000000000006E-2</c:v>
                </c:pt>
                <c:pt idx="7" formatCode="0.0%">
                  <c:v>5.7000000000000002E-2</c:v>
                </c:pt>
                <c:pt idx="8" formatCode="0.0%">
                  <c:v>4.9000000000000002E-2</c:v>
                </c:pt>
                <c:pt idx="9" formatCode="0.0%">
                  <c:v>0.10100000000000001</c:v>
                </c:pt>
                <c:pt idx="10" formatCode="0.0%">
                  <c:v>9.0999999999999998E-2</c:v>
                </c:pt>
                <c:pt idx="11" formatCode="0.0%">
                  <c:v>0.106</c:v>
                </c:pt>
                <c:pt idx="12" formatCode="0.0%">
                  <c:v>0.20300000000000001</c:v>
                </c:pt>
                <c:pt idx="13" formatCode="0.0%">
                  <c:v>7.2999999999999995E-2</c:v>
                </c:pt>
                <c:pt idx="14" formatCode="0.0%">
                  <c:v>0.214</c:v>
                </c:pt>
                <c:pt idx="15" formatCode="0.0%">
                  <c:v>0.17100000000000001</c:v>
                </c:pt>
                <c:pt idx="16" formatCode="0.0%">
                  <c:v>0.11428571492433548</c:v>
                </c:pt>
                <c:pt idx="17" formatCode="0.0%">
                  <c:v>6.4814813435077667E-2</c:v>
                </c:pt>
              </c:numCache>
            </c:numRef>
          </c:val>
          <c:smooth val="0"/>
          <c:extLst>
            <c:ext xmlns:c16="http://schemas.microsoft.com/office/drawing/2014/chart" uri="{C3380CC4-5D6E-409C-BE32-E72D297353CC}">
              <c16:uniqueId val="{00000000-A6FD-4DBE-A7AD-2928D52CE071}"/>
            </c:ext>
          </c:extLst>
        </c:ser>
        <c:ser>
          <c:idx val="1"/>
          <c:order val="1"/>
          <c:tx>
            <c:strRef>
              <c:f>'Figure 5.5b'!$A$4</c:f>
              <c:strCache>
                <c:ptCount val="1"/>
                <c:pt idx="0">
                  <c:v>Kimberley</c:v>
                </c:pt>
              </c:strCache>
            </c:strRef>
          </c:tx>
          <c:cat>
            <c:numRef>
              <c:f>'Figure 5.5b'!$B$2:$S$2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5.5b'!$B$4:$S$4</c:f>
              <c:numCache>
                <c:formatCode>0%</c:formatCode>
                <c:ptCount val="18"/>
                <c:pt idx="0">
                  <c:v>0.17</c:v>
                </c:pt>
                <c:pt idx="1">
                  <c:v>0.15</c:v>
                </c:pt>
                <c:pt idx="2">
                  <c:v>0.15</c:v>
                </c:pt>
                <c:pt idx="3">
                  <c:v>0.09</c:v>
                </c:pt>
                <c:pt idx="4">
                  <c:v>7.0000000000000007E-2</c:v>
                </c:pt>
                <c:pt idx="5">
                  <c:v>0.02</c:v>
                </c:pt>
                <c:pt idx="6" formatCode="0.0%">
                  <c:v>2.4E-2</c:v>
                </c:pt>
                <c:pt idx="7" formatCode="0.0%">
                  <c:v>0.01</c:v>
                </c:pt>
                <c:pt idx="8" formatCode="0.0%">
                  <c:v>3.0000000000000001E-3</c:v>
                </c:pt>
                <c:pt idx="9" formatCode="0.0%">
                  <c:v>1.7000000000000001E-2</c:v>
                </c:pt>
                <c:pt idx="10" formatCode="0.0%">
                  <c:v>3.7000000000000005E-2</c:v>
                </c:pt>
                <c:pt idx="11" formatCode="0.0%">
                  <c:v>0.11600000000000001</c:v>
                </c:pt>
                <c:pt idx="12" formatCode="0.0%">
                  <c:v>0.17100000000000001</c:v>
                </c:pt>
                <c:pt idx="13" formatCode="0.0%">
                  <c:v>4.2999999999999997E-2</c:v>
                </c:pt>
                <c:pt idx="14" formatCode="0.0%">
                  <c:v>7.6999999999999999E-2</c:v>
                </c:pt>
                <c:pt idx="15" formatCode="0.0%">
                  <c:v>4.5999999999999999E-2</c:v>
                </c:pt>
                <c:pt idx="16" formatCode="0.0%">
                  <c:v>0</c:v>
                </c:pt>
                <c:pt idx="17" formatCode="0.0%">
                  <c:v>0</c:v>
                </c:pt>
              </c:numCache>
            </c:numRef>
          </c:val>
          <c:smooth val="0"/>
          <c:extLst>
            <c:ext xmlns:c16="http://schemas.microsoft.com/office/drawing/2014/chart" uri="{C3380CC4-5D6E-409C-BE32-E72D297353CC}">
              <c16:uniqueId val="{00000001-A6FD-4DBE-A7AD-2928D52CE071}"/>
            </c:ext>
          </c:extLst>
        </c:ser>
        <c:ser>
          <c:idx val="2"/>
          <c:order val="2"/>
          <c:tx>
            <c:strRef>
              <c:f>'Figure 5.5b'!$A$5</c:f>
              <c:strCache>
                <c:ptCount val="1"/>
                <c:pt idx="0">
                  <c:v>Midwest</c:v>
                </c:pt>
              </c:strCache>
            </c:strRef>
          </c:tx>
          <c:cat>
            <c:numRef>
              <c:f>'Figure 5.5b'!$B$2:$S$2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5.5b'!$B$5:$S$5</c:f>
              <c:numCache>
                <c:formatCode>0%</c:formatCode>
                <c:ptCount val="18"/>
                <c:pt idx="0">
                  <c:v>0.2</c:v>
                </c:pt>
                <c:pt idx="1">
                  <c:v>0.14000000000000001</c:v>
                </c:pt>
                <c:pt idx="2">
                  <c:v>0.17</c:v>
                </c:pt>
                <c:pt idx="3">
                  <c:v>7.0000000000000007E-2</c:v>
                </c:pt>
                <c:pt idx="4">
                  <c:v>0.09</c:v>
                </c:pt>
                <c:pt idx="5">
                  <c:v>0.04</c:v>
                </c:pt>
                <c:pt idx="6" formatCode="0.0%">
                  <c:v>4.7E-2</c:v>
                </c:pt>
                <c:pt idx="7" formatCode="0.0%">
                  <c:v>0.115</c:v>
                </c:pt>
                <c:pt idx="8" formatCode="0.0%">
                  <c:v>9.1999999999999998E-2</c:v>
                </c:pt>
                <c:pt idx="9" formatCode="0.0%">
                  <c:v>0.107</c:v>
                </c:pt>
                <c:pt idx="10" formatCode="0.0%">
                  <c:v>0.11699999999999999</c:v>
                </c:pt>
                <c:pt idx="11" formatCode="0.0%">
                  <c:v>0.115</c:v>
                </c:pt>
                <c:pt idx="12" formatCode="0.0%">
                  <c:v>8.5999999999999993E-2</c:v>
                </c:pt>
                <c:pt idx="13" formatCode="0.0%">
                  <c:v>1.1000000000000001E-2</c:v>
                </c:pt>
                <c:pt idx="14" formatCode="0.0%">
                  <c:v>0</c:v>
                </c:pt>
                <c:pt idx="15" formatCode="0.0%">
                  <c:v>0</c:v>
                </c:pt>
                <c:pt idx="16" formatCode="0.0%">
                  <c:v>0</c:v>
                </c:pt>
                <c:pt idx="17" formatCode="0.0%">
                  <c:v>0</c:v>
                </c:pt>
              </c:numCache>
            </c:numRef>
          </c:val>
          <c:smooth val="0"/>
          <c:extLst>
            <c:ext xmlns:c16="http://schemas.microsoft.com/office/drawing/2014/chart" uri="{C3380CC4-5D6E-409C-BE32-E72D297353CC}">
              <c16:uniqueId val="{00000002-A6FD-4DBE-A7AD-2928D52CE071}"/>
            </c:ext>
          </c:extLst>
        </c:ser>
        <c:ser>
          <c:idx val="3"/>
          <c:order val="3"/>
          <c:tx>
            <c:strRef>
              <c:f>'Figure 5.5b'!$A$6</c:f>
              <c:strCache>
                <c:ptCount val="1"/>
                <c:pt idx="0">
                  <c:v>Pilbara</c:v>
                </c:pt>
              </c:strCache>
            </c:strRef>
          </c:tx>
          <c:cat>
            <c:numRef>
              <c:f>'Figure 5.5b'!$B$2:$S$2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5.5b'!$B$6:$S$6</c:f>
              <c:numCache>
                <c:formatCode>0%</c:formatCode>
                <c:ptCount val="18"/>
                <c:pt idx="0">
                  <c:v>0.15</c:v>
                </c:pt>
                <c:pt idx="1">
                  <c:v>0.26</c:v>
                </c:pt>
                <c:pt idx="2">
                  <c:v>0.12</c:v>
                </c:pt>
                <c:pt idx="3">
                  <c:v>0.09</c:v>
                </c:pt>
                <c:pt idx="4">
                  <c:v>0.05</c:v>
                </c:pt>
                <c:pt idx="5">
                  <c:v>0.03</c:v>
                </c:pt>
                <c:pt idx="6" formatCode="0.0%">
                  <c:v>3.1E-2</c:v>
                </c:pt>
                <c:pt idx="7" formatCode="0.0%">
                  <c:v>0</c:v>
                </c:pt>
                <c:pt idx="8" formatCode="0.0%">
                  <c:v>0</c:v>
                </c:pt>
                <c:pt idx="9" formatCode="0.0%">
                  <c:v>4.8000000000000001E-2</c:v>
                </c:pt>
                <c:pt idx="10" formatCode="0.0%">
                  <c:v>0.13100000000000001</c:v>
                </c:pt>
                <c:pt idx="11" formatCode="0.0%">
                  <c:v>8.2000000000000003E-2</c:v>
                </c:pt>
                <c:pt idx="12" formatCode="0.0%">
                  <c:v>6.7000000000000004E-2</c:v>
                </c:pt>
                <c:pt idx="13" formatCode="0.0%">
                  <c:v>4.8000000000000001E-2</c:v>
                </c:pt>
                <c:pt idx="14" formatCode="0.0%">
                  <c:v>0.111</c:v>
                </c:pt>
                <c:pt idx="15" formatCode="0.0%">
                  <c:v>0.109</c:v>
                </c:pt>
                <c:pt idx="16" formatCode="0.0%">
                  <c:v>2.1739130839705467E-2</c:v>
                </c:pt>
                <c:pt idx="17" formatCode="0.0%">
                  <c:v>9.2592589557170868E-2</c:v>
                </c:pt>
              </c:numCache>
            </c:numRef>
          </c:val>
          <c:smooth val="0"/>
          <c:extLst>
            <c:ext xmlns:c16="http://schemas.microsoft.com/office/drawing/2014/chart" uri="{C3380CC4-5D6E-409C-BE32-E72D297353CC}">
              <c16:uniqueId val="{00000003-A6FD-4DBE-A7AD-2928D52CE071}"/>
            </c:ext>
          </c:extLst>
        </c:ser>
        <c:dLbls>
          <c:showLegendKey val="0"/>
          <c:showVal val="0"/>
          <c:showCatName val="0"/>
          <c:showSerName val="0"/>
          <c:showPercent val="0"/>
          <c:showBubbleSize val="0"/>
        </c:dLbls>
        <c:marker val="1"/>
        <c:smooth val="0"/>
        <c:axId val="153114880"/>
        <c:axId val="153124864"/>
      </c:lineChart>
      <c:catAx>
        <c:axId val="153114880"/>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53124864"/>
        <c:crosses val="autoZero"/>
        <c:auto val="1"/>
        <c:lblAlgn val="ctr"/>
        <c:lblOffset val="100"/>
        <c:noMultiLvlLbl val="0"/>
      </c:catAx>
      <c:valAx>
        <c:axId val="153124864"/>
        <c:scaling>
          <c:orientation val="minMax"/>
          <c:max val="0.35000000000000003"/>
        </c:scaling>
        <c:delete val="0"/>
        <c:axPos val="l"/>
        <c:majorGridlines>
          <c:spPr>
            <a:ln>
              <a:noFill/>
            </a:ln>
          </c:spPr>
        </c:majorGridlines>
        <c:title>
          <c:tx>
            <c:rich>
              <a:bodyPr/>
              <a:lstStyle/>
              <a:p>
                <a:pPr>
                  <a:defRPr/>
                </a:pPr>
                <a:r>
                  <a:rPr lang="en-US"/>
                  <a:t>Proportion</a:t>
                </a:r>
              </a:p>
            </c:rich>
          </c:tx>
          <c:overlay val="0"/>
        </c:title>
        <c:numFmt formatCode="0%" sourceLinked="1"/>
        <c:majorTickMark val="none"/>
        <c:minorTickMark val="none"/>
        <c:tickLblPos val="nextTo"/>
        <c:crossAx val="15311488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5.5c'!$A$3</c:f>
              <c:strCache>
                <c:ptCount val="1"/>
                <c:pt idx="0">
                  <c:v>Goldfields</c:v>
                </c:pt>
              </c:strCache>
            </c:strRef>
          </c:tx>
          <c:cat>
            <c:numRef>
              <c:f>'Figure 5.5c'!$B$2:$S$2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5.5c'!$B$3:$S$3</c:f>
              <c:numCache>
                <c:formatCode>0.0%</c:formatCode>
                <c:ptCount val="18"/>
                <c:pt idx="0">
                  <c:v>3.0150753768844199E-2</c:v>
                </c:pt>
                <c:pt idx="1">
                  <c:v>6.1452513966480403E-2</c:v>
                </c:pt>
                <c:pt idx="2">
                  <c:v>0.117985611510791</c:v>
                </c:pt>
                <c:pt idx="3">
                  <c:v>9.2879256965944304E-2</c:v>
                </c:pt>
                <c:pt idx="4">
                  <c:v>0.128329297820823</c:v>
                </c:pt>
                <c:pt idx="5">
                  <c:v>0.114519427402863</c:v>
                </c:pt>
                <c:pt idx="6">
                  <c:v>9.6834264432029804E-2</c:v>
                </c:pt>
                <c:pt idx="7">
                  <c:v>8.16831683168317E-2</c:v>
                </c:pt>
                <c:pt idx="8">
                  <c:v>7.2562358276644007E-2</c:v>
                </c:pt>
                <c:pt idx="9">
                  <c:v>6.3E-2</c:v>
                </c:pt>
                <c:pt idx="10">
                  <c:v>8.4000000000000005E-2</c:v>
                </c:pt>
                <c:pt idx="11">
                  <c:v>8.2000000000000003E-2</c:v>
                </c:pt>
                <c:pt idx="12">
                  <c:v>0.123</c:v>
                </c:pt>
                <c:pt idx="13">
                  <c:v>7.2999999999999995E-2</c:v>
                </c:pt>
                <c:pt idx="14">
                  <c:v>0.158</c:v>
                </c:pt>
                <c:pt idx="15">
                  <c:v>8.6999999999999994E-2</c:v>
                </c:pt>
                <c:pt idx="16">
                  <c:v>5.7000000000000002E-2</c:v>
                </c:pt>
                <c:pt idx="17">
                  <c:v>2.822580561041832E-2</c:v>
                </c:pt>
              </c:numCache>
            </c:numRef>
          </c:val>
          <c:smooth val="0"/>
          <c:extLst>
            <c:ext xmlns:c16="http://schemas.microsoft.com/office/drawing/2014/chart" uri="{C3380CC4-5D6E-409C-BE32-E72D297353CC}">
              <c16:uniqueId val="{00000000-05C2-4088-9AE0-31D68AC4C9BA}"/>
            </c:ext>
          </c:extLst>
        </c:ser>
        <c:ser>
          <c:idx val="1"/>
          <c:order val="1"/>
          <c:tx>
            <c:strRef>
              <c:f>'Figure 5.5c'!$A$4</c:f>
              <c:strCache>
                <c:ptCount val="1"/>
                <c:pt idx="0">
                  <c:v>Kimberley</c:v>
                </c:pt>
              </c:strCache>
            </c:strRef>
          </c:tx>
          <c:cat>
            <c:numRef>
              <c:f>'Figure 5.5c'!$B$2:$S$2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5.5c'!$B$4:$S$4</c:f>
              <c:numCache>
                <c:formatCode>0.0%</c:formatCode>
                <c:ptCount val="18"/>
                <c:pt idx="0">
                  <c:v>0.16554054054054099</c:v>
                </c:pt>
                <c:pt idx="1">
                  <c:v>0.15738025415444801</c:v>
                </c:pt>
                <c:pt idx="2">
                  <c:v>0.14539908490086401</c:v>
                </c:pt>
                <c:pt idx="3">
                  <c:v>8.6562242374278606E-2</c:v>
                </c:pt>
                <c:pt idx="4">
                  <c:v>7.0886075949367106E-2</c:v>
                </c:pt>
                <c:pt idx="5">
                  <c:v>2.9484029484029499E-2</c:v>
                </c:pt>
                <c:pt idx="6">
                  <c:v>2.8802880288028802E-2</c:v>
                </c:pt>
                <c:pt idx="7">
                  <c:v>1.73584905660377E-2</c:v>
                </c:pt>
                <c:pt idx="8">
                  <c:v>1.7202692595362799E-2</c:v>
                </c:pt>
                <c:pt idx="9">
                  <c:v>1.87119234116623E-2</c:v>
                </c:pt>
                <c:pt idx="10">
                  <c:v>1.6E-2</c:v>
                </c:pt>
                <c:pt idx="11">
                  <c:v>3.2000000000000001E-2</c:v>
                </c:pt>
                <c:pt idx="12">
                  <c:v>4.7E-2</c:v>
                </c:pt>
                <c:pt idx="13">
                  <c:v>4.0999999999999995E-2</c:v>
                </c:pt>
                <c:pt idx="14">
                  <c:v>2.1000000000000001E-2</c:v>
                </c:pt>
                <c:pt idx="15">
                  <c:v>1.4999999999999999E-2</c:v>
                </c:pt>
                <c:pt idx="16">
                  <c:v>7.3145246133208275E-3</c:v>
                </c:pt>
                <c:pt idx="17">
                  <c:v>7.1574640460312366E-3</c:v>
                </c:pt>
              </c:numCache>
            </c:numRef>
          </c:val>
          <c:smooth val="0"/>
          <c:extLst>
            <c:ext xmlns:c16="http://schemas.microsoft.com/office/drawing/2014/chart" uri="{C3380CC4-5D6E-409C-BE32-E72D297353CC}">
              <c16:uniqueId val="{00000001-05C2-4088-9AE0-31D68AC4C9BA}"/>
            </c:ext>
          </c:extLst>
        </c:ser>
        <c:ser>
          <c:idx val="2"/>
          <c:order val="2"/>
          <c:tx>
            <c:strRef>
              <c:f>'Figure 5.5c'!$A$5</c:f>
              <c:strCache>
                <c:ptCount val="1"/>
                <c:pt idx="0">
                  <c:v>Midwest</c:v>
                </c:pt>
              </c:strCache>
            </c:strRef>
          </c:tx>
          <c:cat>
            <c:numRef>
              <c:f>'Figure 5.5c'!$B$2:$S$2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5.5c'!$B$5:$S$5</c:f>
              <c:numCache>
                <c:formatCode>0.0%</c:formatCode>
                <c:ptCount val="18"/>
                <c:pt idx="0">
                  <c:v>0.20161290322580599</c:v>
                </c:pt>
                <c:pt idx="1">
                  <c:v>0.145985401459854</c:v>
                </c:pt>
                <c:pt idx="2">
                  <c:v>0.174242424242424</c:v>
                </c:pt>
                <c:pt idx="3">
                  <c:v>6.8376068376068397E-2</c:v>
                </c:pt>
                <c:pt idx="4">
                  <c:v>9.0163934426229497E-2</c:v>
                </c:pt>
                <c:pt idx="5">
                  <c:v>3.7878787878787901E-2</c:v>
                </c:pt>
                <c:pt idx="6">
                  <c:v>4.6511627906976702E-2</c:v>
                </c:pt>
                <c:pt idx="7">
                  <c:v>0.114503816793893</c:v>
                </c:pt>
                <c:pt idx="8">
                  <c:v>0.12418300653594801</c:v>
                </c:pt>
                <c:pt idx="9">
                  <c:v>8.5000000000000006E-2</c:v>
                </c:pt>
                <c:pt idx="10">
                  <c:v>0.11</c:v>
                </c:pt>
                <c:pt idx="11">
                  <c:v>9.9000000000000005E-2</c:v>
                </c:pt>
                <c:pt idx="12">
                  <c:v>7.4999999999999997E-2</c:v>
                </c:pt>
                <c:pt idx="13">
                  <c:v>1.1000000000000001E-2</c:v>
                </c:pt>
                <c:pt idx="14">
                  <c:v>0</c:v>
                </c:pt>
                <c:pt idx="15">
                  <c:v>0</c:v>
                </c:pt>
                <c:pt idx="16">
                  <c:v>0</c:v>
                </c:pt>
                <c:pt idx="17">
                  <c:v>0</c:v>
                </c:pt>
              </c:numCache>
            </c:numRef>
          </c:val>
          <c:smooth val="0"/>
          <c:extLst>
            <c:ext xmlns:c16="http://schemas.microsoft.com/office/drawing/2014/chart" uri="{C3380CC4-5D6E-409C-BE32-E72D297353CC}">
              <c16:uniqueId val="{00000002-05C2-4088-9AE0-31D68AC4C9BA}"/>
            </c:ext>
          </c:extLst>
        </c:ser>
        <c:ser>
          <c:idx val="3"/>
          <c:order val="3"/>
          <c:tx>
            <c:strRef>
              <c:f>'Figure 5.5c'!$A$6</c:f>
              <c:strCache>
                <c:ptCount val="1"/>
                <c:pt idx="0">
                  <c:v>Pilbara</c:v>
                </c:pt>
              </c:strCache>
            </c:strRef>
          </c:tx>
          <c:cat>
            <c:numRef>
              <c:f>'Figure 5.5c'!$B$2:$S$2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5.5c'!$B$6:$S$6</c:f>
              <c:numCache>
                <c:formatCode>0.0%</c:formatCode>
                <c:ptCount val="18"/>
                <c:pt idx="0">
                  <c:v>0.16689280868385301</c:v>
                </c:pt>
                <c:pt idx="1">
                  <c:v>0.26067415730337101</c:v>
                </c:pt>
                <c:pt idx="2">
                  <c:v>0.132321041214751</c:v>
                </c:pt>
                <c:pt idx="3">
                  <c:v>0.1078697421981</c:v>
                </c:pt>
                <c:pt idx="4">
                  <c:v>6.6536203522504903E-2</c:v>
                </c:pt>
                <c:pt idx="5">
                  <c:v>3.9370078740157501E-2</c:v>
                </c:pt>
                <c:pt idx="6">
                  <c:v>4.1841004184100403E-2</c:v>
                </c:pt>
                <c:pt idx="7">
                  <c:v>1.6806722689075598E-2</c:v>
                </c:pt>
                <c:pt idx="8">
                  <c:v>1.6806722689075598E-2</c:v>
                </c:pt>
                <c:pt idx="9">
                  <c:v>2.5000000000000001E-2</c:v>
                </c:pt>
                <c:pt idx="10">
                  <c:v>4.9000000000000002E-2</c:v>
                </c:pt>
                <c:pt idx="11">
                  <c:v>2.5999999999999999E-2</c:v>
                </c:pt>
                <c:pt idx="12">
                  <c:v>3.6999999999999998E-2</c:v>
                </c:pt>
                <c:pt idx="13">
                  <c:v>4.8000000000000001E-2</c:v>
                </c:pt>
                <c:pt idx="14">
                  <c:v>0.04</c:v>
                </c:pt>
                <c:pt idx="15">
                  <c:v>3.3000000000000002E-2</c:v>
                </c:pt>
                <c:pt idx="16">
                  <c:v>1.09890112653375E-2</c:v>
                </c:pt>
                <c:pt idx="17">
                  <c:v>3.1578946858644485E-2</c:v>
                </c:pt>
              </c:numCache>
            </c:numRef>
          </c:val>
          <c:smooth val="0"/>
          <c:extLst>
            <c:ext xmlns:c16="http://schemas.microsoft.com/office/drawing/2014/chart" uri="{C3380CC4-5D6E-409C-BE32-E72D297353CC}">
              <c16:uniqueId val="{00000003-05C2-4088-9AE0-31D68AC4C9BA}"/>
            </c:ext>
          </c:extLst>
        </c:ser>
        <c:dLbls>
          <c:showLegendKey val="0"/>
          <c:showVal val="0"/>
          <c:showCatName val="0"/>
          <c:showSerName val="0"/>
          <c:showPercent val="0"/>
          <c:showBubbleSize val="0"/>
        </c:dLbls>
        <c:marker val="1"/>
        <c:smooth val="0"/>
        <c:axId val="152094976"/>
        <c:axId val="152190976"/>
      </c:lineChart>
      <c:catAx>
        <c:axId val="152094976"/>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52190976"/>
        <c:crosses val="autoZero"/>
        <c:auto val="1"/>
        <c:lblAlgn val="ctr"/>
        <c:lblOffset val="100"/>
        <c:noMultiLvlLbl val="0"/>
      </c:catAx>
      <c:valAx>
        <c:axId val="152190976"/>
        <c:scaling>
          <c:orientation val="minMax"/>
          <c:max val="0.35000000000000003"/>
        </c:scaling>
        <c:delete val="0"/>
        <c:axPos val="l"/>
        <c:majorGridlines>
          <c:spPr>
            <a:ln>
              <a:noFill/>
            </a:ln>
          </c:spPr>
        </c:majorGridlines>
        <c:title>
          <c:tx>
            <c:rich>
              <a:bodyPr/>
              <a:lstStyle/>
              <a:p>
                <a:pPr>
                  <a:defRPr/>
                </a:pPr>
                <a:r>
                  <a:rPr lang="en-US"/>
                  <a:t>Proportion</a:t>
                </a:r>
              </a:p>
            </c:rich>
          </c:tx>
          <c:overlay val="0"/>
        </c:title>
        <c:numFmt formatCode="0%" sourceLinked="0"/>
        <c:majorTickMark val="out"/>
        <c:minorTickMark val="none"/>
        <c:tickLblPos val="nextTo"/>
        <c:crossAx val="15209497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5.6'!$A$3</c:f>
              <c:strCache>
                <c:ptCount val="1"/>
                <c:pt idx="0">
                  <c:v>≥20%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5.6'!$B$2:$E$2</c:f>
              <c:strCache>
                <c:ptCount val="4"/>
                <c:pt idx="0">
                  <c:v>Goldfields 
(n=13)</c:v>
                </c:pt>
                <c:pt idx="1">
                  <c:v>Kimberley 
(n=4)</c:v>
                </c:pt>
                <c:pt idx="2">
                  <c:v>Midwest 
(n=3)</c:v>
                </c:pt>
                <c:pt idx="3">
                  <c:v>Pilbara 
(n=6)</c:v>
                </c:pt>
              </c:strCache>
            </c:strRef>
          </c:cat>
          <c:val>
            <c:numRef>
              <c:f>'Figure 5.6'!$B$3:$E$3</c:f>
              <c:numCache>
                <c:formatCode>0;;;</c:formatCode>
                <c:ptCount val="4"/>
                <c:pt idx="0">
                  <c:v>1</c:v>
                </c:pt>
                <c:pt idx="1">
                  <c:v>0</c:v>
                </c:pt>
                <c:pt idx="2">
                  <c:v>0</c:v>
                </c:pt>
                <c:pt idx="3">
                  <c:v>0</c:v>
                </c:pt>
              </c:numCache>
            </c:numRef>
          </c:val>
          <c:extLst>
            <c:ext xmlns:c16="http://schemas.microsoft.com/office/drawing/2014/chart" uri="{C3380CC4-5D6E-409C-BE32-E72D297353CC}">
              <c16:uniqueId val="{00000000-6AF3-4F10-BD3B-2693521E7647}"/>
            </c:ext>
          </c:extLst>
        </c:ser>
        <c:ser>
          <c:idx val="1"/>
          <c:order val="1"/>
          <c:tx>
            <c:strRef>
              <c:f>'Figure 5.6'!$A$4</c:f>
              <c:strCache>
                <c:ptCount val="1"/>
                <c:pt idx="0">
                  <c:v>≥10% to &lt;20%</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5.6'!$B$2:$E$2</c:f>
              <c:strCache>
                <c:ptCount val="4"/>
                <c:pt idx="0">
                  <c:v>Goldfields 
(n=13)</c:v>
                </c:pt>
                <c:pt idx="1">
                  <c:v>Kimberley 
(n=4)</c:v>
                </c:pt>
                <c:pt idx="2">
                  <c:v>Midwest 
(n=3)</c:v>
                </c:pt>
                <c:pt idx="3">
                  <c:v>Pilbara 
(n=6)</c:v>
                </c:pt>
              </c:strCache>
            </c:strRef>
          </c:cat>
          <c:val>
            <c:numRef>
              <c:f>'Figure 5.6'!$B$4:$E$4</c:f>
              <c:numCache>
                <c:formatCode>0;;;</c:formatCode>
                <c:ptCount val="4"/>
                <c:pt idx="0">
                  <c:v>2</c:v>
                </c:pt>
                <c:pt idx="1">
                  <c:v>0</c:v>
                </c:pt>
                <c:pt idx="2">
                  <c:v>0</c:v>
                </c:pt>
                <c:pt idx="3">
                  <c:v>1</c:v>
                </c:pt>
              </c:numCache>
            </c:numRef>
          </c:val>
          <c:extLst>
            <c:ext xmlns:c16="http://schemas.microsoft.com/office/drawing/2014/chart" uri="{C3380CC4-5D6E-409C-BE32-E72D297353CC}">
              <c16:uniqueId val="{00000001-6AF3-4F10-BD3B-2693521E7647}"/>
            </c:ext>
          </c:extLst>
        </c:ser>
        <c:ser>
          <c:idx val="2"/>
          <c:order val="2"/>
          <c:tx>
            <c:strRef>
              <c:f>'Figure 5.6'!$A$5</c:f>
              <c:strCache>
                <c:ptCount val="1"/>
                <c:pt idx="0">
                  <c:v>≥5% to &lt;10%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5.6'!$B$2:$E$2</c:f>
              <c:strCache>
                <c:ptCount val="4"/>
                <c:pt idx="0">
                  <c:v>Goldfields 
(n=13)</c:v>
                </c:pt>
                <c:pt idx="1">
                  <c:v>Kimberley 
(n=4)</c:v>
                </c:pt>
                <c:pt idx="2">
                  <c:v>Midwest 
(n=3)</c:v>
                </c:pt>
                <c:pt idx="3">
                  <c:v>Pilbara 
(n=6)</c:v>
                </c:pt>
              </c:strCache>
            </c:strRef>
          </c:cat>
          <c:val>
            <c:numRef>
              <c:f>'Figure 5.6'!$B$5:$E$5</c:f>
              <c:numCache>
                <c:formatCode>0;;;</c:formatCode>
                <c:ptCount val="4"/>
                <c:pt idx="0">
                  <c:v>0</c:v>
                </c:pt>
                <c:pt idx="1">
                  <c:v>0</c:v>
                </c:pt>
                <c:pt idx="2">
                  <c:v>0</c:v>
                </c:pt>
                <c:pt idx="3">
                  <c:v>2</c:v>
                </c:pt>
              </c:numCache>
            </c:numRef>
          </c:val>
          <c:extLst>
            <c:ext xmlns:c16="http://schemas.microsoft.com/office/drawing/2014/chart" uri="{C3380CC4-5D6E-409C-BE32-E72D297353CC}">
              <c16:uniqueId val="{00000002-6AF3-4F10-BD3B-2693521E7647}"/>
            </c:ext>
          </c:extLst>
        </c:ser>
        <c:ser>
          <c:idx val="3"/>
          <c:order val="3"/>
          <c:tx>
            <c:strRef>
              <c:f>'Figure 5.6'!$A$6</c:f>
              <c:strCache>
                <c:ptCount val="1"/>
                <c:pt idx="0">
                  <c:v>&gt;0% to &lt;5%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5.6'!$B$2:$E$2</c:f>
              <c:strCache>
                <c:ptCount val="4"/>
                <c:pt idx="0">
                  <c:v>Goldfields 
(n=13)</c:v>
                </c:pt>
                <c:pt idx="1">
                  <c:v>Kimberley 
(n=4)</c:v>
                </c:pt>
                <c:pt idx="2">
                  <c:v>Midwest 
(n=3)</c:v>
                </c:pt>
                <c:pt idx="3">
                  <c:v>Pilbara 
(n=6)</c:v>
                </c:pt>
              </c:strCache>
            </c:strRef>
          </c:cat>
          <c:val>
            <c:numRef>
              <c:f>'Figure 5.6'!$B$6:$E$6</c:f>
              <c:numCache>
                <c:formatCode>0;;;</c:formatCode>
                <c:ptCount val="4"/>
                <c:pt idx="0">
                  <c:v>1</c:v>
                </c:pt>
                <c:pt idx="1">
                  <c:v>0</c:v>
                </c:pt>
                <c:pt idx="2">
                  <c:v>0</c:v>
                </c:pt>
                <c:pt idx="3">
                  <c:v>0</c:v>
                </c:pt>
              </c:numCache>
            </c:numRef>
          </c:val>
          <c:extLst>
            <c:ext xmlns:c16="http://schemas.microsoft.com/office/drawing/2014/chart" uri="{C3380CC4-5D6E-409C-BE32-E72D297353CC}">
              <c16:uniqueId val="{00000003-6AF3-4F10-BD3B-2693521E7647}"/>
            </c:ext>
          </c:extLst>
        </c:ser>
        <c:ser>
          <c:idx val="4"/>
          <c:order val="4"/>
          <c:tx>
            <c:strRef>
              <c:f>'Figure 5.6'!$A$7</c:f>
              <c:strCache>
                <c:ptCount val="1"/>
                <c:pt idx="0">
                  <c:v>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5.6'!$B$2:$E$2</c:f>
              <c:strCache>
                <c:ptCount val="4"/>
                <c:pt idx="0">
                  <c:v>Goldfields 
(n=13)</c:v>
                </c:pt>
                <c:pt idx="1">
                  <c:v>Kimberley 
(n=4)</c:v>
                </c:pt>
                <c:pt idx="2">
                  <c:v>Midwest 
(n=3)</c:v>
                </c:pt>
                <c:pt idx="3">
                  <c:v>Pilbara 
(n=6)</c:v>
                </c:pt>
              </c:strCache>
            </c:strRef>
          </c:cat>
          <c:val>
            <c:numRef>
              <c:f>'Figure 5.6'!$B$7:$E$7</c:f>
              <c:numCache>
                <c:formatCode>0;;;</c:formatCode>
                <c:ptCount val="4"/>
                <c:pt idx="0">
                  <c:v>9</c:v>
                </c:pt>
                <c:pt idx="1">
                  <c:v>4</c:v>
                </c:pt>
                <c:pt idx="2">
                  <c:v>3</c:v>
                </c:pt>
                <c:pt idx="3">
                  <c:v>3</c:v>
                </c:pt>
              </c:numCache>
            </c:numRef>
          </c:val>
          <c:extLst>
            <c:ext xmlns:c16="http://schemas.microsoft.com/office/drawing/2014/chart" uri="{C3380CC4-5D6E-409C-BE32-E72D297353CC}">
              <c16:uniqueId val="{00000004-6AF3-4F10-BD3B-2693521E7647}"/>
            </c:ext>
          </c:extLst>
        </c:ser>
        <c:dLbls>
          <c:dLblPos val="ctr"/>
          <c:showLegendKey val="0"/>
          <c:showVal val="1"/>
          <c:showCatName val="0"/>
          <c:showSerName val="0"/>
          <c:showPercent val="0"/>
          <c:showBubbleSize val="0"/>
        </c:dLbls>
        <c:gapWidth val="150"/>
        <c:overlap val="100"/>
        <c:axId val="551096432"/>
        <c:axId val="308655984"/>
      </c:barChart>
      <c:catAx>
        <c:axId val="5510964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Region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898989"/>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08655984"/>
        <c:crosses val="autoZero"/>
        <c:auto val="1"/>
        <c:lblAlgn val="ctr"/>
        <c:lblOffset val="100"/>
        <c:noMultiLvlLbl val="0"/>
      </c:catAx>
      <c:valAx>
        <c:axId val="3086559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Number of communities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out"/>
        <c:minorTickMark val="none"/>
        <c:tickLblPos val="nextTo"/>
        <c:spPr>
          <a:noFill/>
          <a:ln>
            <a:solidFill>
              <a:srgbClr val="898989"/>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109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332934419467002E-2"/>
          <c:y val="2.3931442355583647E-2"/>
          <c:w val="0.89163885602382609"/>
          <c:h val="0.7637762038671595"/>
        </c:manualLayout>
      </c:layout>
      <c:lineChart>
        <c:grouping val="standard"/>
        <c:varyColors val="0"/>
        <c:ser>
          <c:idx val="0"/>
          <c:order val="0"/>
          <c:tx>
            <c:strRef>
              <c:f>'Figure 5.7'!$A$3</c:f>
              <c:strCache>
                <c:ptCount val="1"/>
                <c:pt idx="0">
                  <c:v>Goldfields</c:v>
                </c:pt>
              </c:strCache>
            </c:strRef>
          </c:tx>
          <c:cat>
            <c:numRef>
              <c:f>'Figure 5.7'!$B$2:$S$2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5.7'!$B$3:$S$3</c:f>
              <c:numCache>
                <c:formatCode>General</c:formatCode>
                <c:ptCount val="18"/>
                <c:pt idx="0">
                  <c:v>70</c:v>
                </c:pt>
                <c:pt idx="1">
                  <c:v>95</c:v>
                </c:pt>
                <c:pt idx="2">
                  <c:v>147</c:v>
                </c:pt>
                <c:pt idx="3">
                  <c:v>328</c:v>
                </c:pt>
                <c:pt idx="4">
                  <c:v>359</c:v>
                </c:pt>
                <c:pt idx="5">
                  <c:v>219</c:v>
                </c:pt>
                <c:pt idx="6">
                  <c:v>373</c:v>
                </c:pt>
                <c:pt idx="7">
                  <c:v>1101</c:v>
                </c:pt>
                <c:pt idx="8">
                  <c:v>904</c:v>
                </c:pt>
                <c:pt idx="9">
                  <c:v>1118</c:v>
                </c:pt>
                <c:pt idx="10">
                  <c:v>1236</c:v>
                </c:pt>
                <c:pt idx="11">
                  <c:v>264</c:v>
                </c:pt>
                <c:pt idx="12">
                  <c:v>229</c:v>
                </c:pt>
                <c:pt idx="13">
                  <c:v>132</c:v>
                </c:pt>
                <c:pt idx="14">
                  <c:v>363</c:v>
                </c:pt>
                <c:pt idx="15" formatCode="0">
                  <c:v>194</c:v>
                </c:pt>
                <c:pt idx="16" formatCode="0">
                  <c:v>92</c:v>
                </c:pt>
                <c:pt idx="17">
                  <c:v>53</c:v>
                </c:pt>
              </c:numCache>
            </c:numRef>
          </c:val>
          <c:smooth val="0"/>
          <c:extLst>
            <c:ext xmlns:c16="http://schemas.microsoft.com/office/drawing/2014/chart" uri="{C3380CC4-5D6E-409C-BE32-E72D297353CC}">
              <c16:uniqueId val="{00000000-7DDD-4856-ACD2-95E2693EE790}"/>
            </c:ext>
          </c:extLst>
        </c:ser>
        <c:ser>
          <c:idx val="1"/>
          <c:order val="1"/>
          <c:tx>
            <c:strRef>
              <c:f>'Figure 5.7'!$A$4</c:f>
              <c:strCache>
                <c:ptCount val="1"/>
                <c:pt idx="0">
                  <c:v>Kimberley</c:v>
                </c:pt>
              </c:strCache>
            </c:strRef>
          </c:tx>
          <c:cat>
            <c:numRef>
              <c:f>'Figure 5.7'!$B$2:$S$2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5.7'!$B$4:$S$4</c:f>
              <c:numCache>
                <c:formatCode>General</c:formatCode>
                <c:ptCount val="18"/>
                <c:pt idx="0">
                  <c:v>1096</c:v>
                </c:pt>
                <c:pt idx="1">
                  <c:v>2333</c:v>
                </c:pt>
                <c:pt idx="2">
                  <c:v>864</c:v>
                </c:pt>
                <c:pt idx="3">
                  <c:v>685</c:v>
                </c:pt>
                <c:pt idx="4">
                  <c:v>570</c:v>
                </c:pt>
                <c:pt idx="5">
                  <c:v>398</c:v>
                </c:pt>
                <c:pt idx="6">
                  <c:v>278</c:v>
                </c:pt>
                <c:pt idx="7">
                  <c:v>351</c:v>
                </c:pt>
                <c:pt idx="8">
                  <c:v>384</c:v>
                </c:pt>
                <c:pt idx="9">
                  <c:v>564</c:v>
                </c:pt>
                <c:pt idx="10">
                  <c:v>455</c:v>
                </c:pt>
                <c:pt idx="11">
                  <c:v>487</c:v>
                </c:pt>
                <c:pt idx="12">
                  <c:v>598</c:v>
                </c:pt>
                <c:pt idx="13">
                  <c:v>353</c:v>
                </c:pt>
                <c:pt idx="14">
                  <c:v>229</c:v>
                </c:pt>
                <c:pt idx="15" formatCode="0">
                  <c:v>55</c:v>
                </c:pt>
                <c:pt idx="16" formatCode="0">
                  <c:v>0</c:v>
                </c:pt>
                <c:pt idx="17">
                  <c:v>0</c:v>
                </c:pt>
              </c:numCache>
            </c:numRef>
          </c:val>
          <c:smooth val="0"/>
          <c:extLst>
            <c:ext xmlns:c16="http://schemas.microsoft.com/office/drawing/2014/chart" uri="{C3380CC4-5D6E-409C-BE32-E72D297353CC}">
              <c16:uniqueId val="{00000001-7DDD-4856-ACD2-95E2693EE790}"/>
            </c:ext>
          </c:extLst>
        </c:ser>
        <c:ser>
          <c:idx val="2"/>
          <c:order val="2"/>
          <c:tx>
            <c:strRef>
              <c:f>'Figure 5.7'!$A$5</c:f>
              <c:strCache>
                <c:ptCount val="1"/>
                <c:pt idx="0">
                  <c:v>Midwest</c:v>
                </c:pt>
              </c:strCache>
            </c:strRef>
          </c:tx>
          <c:cat>
            <c:numRef>
              <c:f>'Figure 5.7'!$B$2:$S$2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5.7'!$B$5:$S$5</c:f>
              <c:numCache>
                <c:formatCode>General</c:formatCode>
                <c:ptCount val="18"/>
                <c:pt idx="0">
                  <c:v>52</c:v>
                </c:pt>
                <c:pt idx="1">
                  <c:v>69</c:v>
                </c:pt>
                <c:pt idx="2">
                  <c:v>182</c:v>
                </c:pt>
                <c:pt idx="3">
                  <c:v>26</c:v>
                </c:pt>
                <c:pt idx="4">
                  <c:v>125</c:v>
                </c:pt>
                <c:pt idx="5">
                  <c:v>10</c:v>
                </c:pt>
                <c:pt idx="6">
                  <c:v>57</c:v>
                </c:pt>
                <c:pt idx="7">
                  <c:v>324</c:v>
                </c:pt>
                <c:pt idx="8">
                  <c:v>456</c:v>
                </c:pt>
                <c:pt idx="9">
                  <c:v>759</c:v>
                </c:pt>
                <c:pt idx="10">
                  <c:v>424</c:v>
                </c:pt>
                <c:pt idx="11">
                  <c:v>57</c:v>
                </c:pt>
                <c:pt idx="12">
                  <c:v>60</c:v>
                </c:pt>
                <c:pt idx="13">
                  <c:v>6</c:v>
                </c:pt>
                <c:pt idx="14">
                  <c:v>0</c:v>
                </c:pt>
                <c:pt idx="15">
                  <c:v>0</c:v>
                </c:pt>
                <c:pt idx="16">
                  <c:v>0</c:v>
                </c:pt>
                <c:pt idx="17">
                  <c:v>0</c:v>
                </c:pt>
              </c:numCache>
            </c:numRef>
          </c:val>
          <c:smooth val="0"/>
          <c:extLst>
            <c:ext xmlns:c16="http://schemas.microsoft.com/office/drawing/2014/chart" uri="{C3380CC4-5D6E-409C-BE32-E72D297353CC}">
              <c16:uniqueId val="{00000002-7DDD-4856-ACD2-95E2693EE790}"/>
            </c:ext>
          </c:extLst>
        </c:ser>
        <c:ser>
          <c:idx val="3"/>
          <c:order val="3"/>
          <c:tx>
            <c:strRef>
              <c:f>'Figure 5.7'!$A$6</c:f>
              <c:strCache>
                <c:ptCount val="1"/>
                <c:pt idx="0">
                  <c:v>Pilbara</c:v>
                </c:pt>
              </c:strCache>
            </c:strRef>
          </c:tx>
          <c:cat>
            <c:numRef>
              <c:f>'Figure 5.7'!$B$2:$S$2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5.7'!$B$6:$S$6</c:f>
              <c:numCache>
                <c:formatCode>General</c:formatCode>
                <c:ptCount val="18"/>
                <c:pt idx="0">
                  <c:v>183</c:v>
                </c:pt>
                <c:pt idx="1">
                  <c:v>420</c:v>
                </c:pt>
                <c:pt idx="2">
                  <c:v>266</c:v>
                </c:pt>
                <c:pt idx="3">
                  <c:v>142</c:v>
                </c:pt>
                <c:pt idx="4">
                  <c:v>210</c:v>
                </c:pt>
                <c:pt idx="5">
                  <c:v>73</c:v>
                </c:pt>
                <c:pt idx="6">
                  <c:v>51</c:v>
                </c:pt>
                <c:pt idx="7">
                  <c:v>22</c:v>
                </c:pt>
                <c:pt idx="8">
                  <c:v>0</c:v>
                </c:pt>
                <c:pt idx="9">
                  <c:v>48</c:v>
                </c:pt>
                <c:pt idx="10">
                  <c:v>352</c:v>
                </c:pt>
                <c:pt idx="11">
                  <c:v>64</c:v>
                </c:pt>
                <c:pt idx="12">
                  <c:v>83</c:v>
                </c:pt>
                <c:pt idx="13">
                  <c:v>59</c:v>
                </c:pt>
                <c:pt idx="14">
                  <c:v>92</c:v>
                </c:pt>
                <c:pt idx="15" formatCode="0">
                  <c:v>55</c:v>
                </c:pt>
                <c:pt idx="16" formatCode="0">
                  <c:v>17</c:v>
                </c:pt>
                <c:pt idx="17">
                  <c:v>39</c:v>
                </c:pt>
              </c:numCache>
            </c:numRef>
          </c:val>
          <c:smooth val="0"/>
          <c:extLst>
            <c:ext xmlns:c16="http://schemas.microsoft.com/office/drawing/2014/chart" uri="{C3380CC4-5D6E-409C-BE32-E72D297353CC}">
              <c16:uniqueId val="{00000003-7DDD-4856-ACD2-95E2693EE790}"/>
            </c:ext>
          </c:extLst>
        </c:ser>
        <c:dLbls>
          <c:showLegendKey val="0"/>
          <c:showVal val="0"/>
          <c:showCatName val="0"/>
          <c:showSerName val="0"/>
          <c:showPercent val="0"/>
          <c:showBubbleSize val="0"/>
        </c:dLbls>
        <c:marker val="1"/>
        <c:smooth val="0"/>
        <c:axId val="153773184"/>
        <c:axId val="153774720"/>
      </c:lineChart>
      <c:catAx>
        <c:axId val="153773184"/>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53774720"/>
        <c:crosses val="autoZero"/>
        <c:auto val="1"/>
        <c:lblAlgn val="ctr"/>
        <c:lblOffset val="100"/>
        <c:noMultiLvlLbl val="0"/>
      </c:catAx>
      <c:valAx>
        <c:axId val="153774720"/>
        <c:scaling>
          <c:orientation val="minMax"/>
        </c:scaling>
        <c:delete val="0"/>
        <c:axPos val="l"/>
        <c:majorGridlines>
          <c:spPr>
            <a:ln>
              <a:noFill/>
            </a:ln>
          </c:spPr>
        </c:majorGridlines>
        <c:title>
          <c:tx>
            <c:rich>
              <a:bodyPr/>
              <a:lstStyle/>
              <a:p>
                <a:pPr>
                  <a:defRPr/>
                </a:pPr>
                <a:r>
                  <a:rPr lang="en-US"/>
                  <a:t>Number of doses</a:t>
                </a:r>
              </a:p>
            </c:rich>
          </c:tx>
          <c:overlay val="0"/>
        </c:title>
        <c:numFmt formatCode="General" sourceLinked="1"/>
        <c:majorTickMark val="out"/>
        <c:minorTickMark val="none"/>
        <c:tickLblPos val="nextTo"/>
        <c:crossAx val="15377318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1.5a'!$A$3</c:f>
              <c:strCache>
                <c:ptCount val="1"/>
                <c:pt idx="0">
                  <c:v>New South Wales</c:v>
                </c:pt>
              </c:strCache>
            </c:strRef>
          </c:tx>
          <c:cat>
            <c:numRef>
              <c:f>'Figure 1.5a'!$B$2:$S$2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1.5a'!$B$3:$S$3</c:f>
              <c:numCache>
                <c:formatCode>General</c:formatCode>
                <c:ptCount val="18"/>
                <c:pt idx="6" formatCode="0.0%">
                  <c:v>5.0000000000000001E-3</c:v>
                </c:pt>
                <c:pt idx="7" formatCode="0.0%">
                  <c:v>0</c:v>
                </c:pt>
                <c:pt idx="8" formatCode="0.0%">
                  <c:v>0</c:v>
                </c:pt>
              </c:numCache>
            </c:numRef>
          </c:val>
          <c:smooth val="0"/>
          <c:extLst>
            <c:ext xmlns:c16="http://schemas.microsoft.com/office/drawing/2014/chart" uri="{C3380CC4-5D6E-409C-BE32-E72D297353CC}">
              <c16:uniqueId val="{00000000-E27A-4244-83C2-70220A1C5F23}"/>
            </c:ext>
          </c:extLst>
        </c:ser>
        <c:ser>
          <c:idx val="1"/>
          <c:order val="1"/>
          <c:tx>
            <c:strRef>
              <c:f>'Figure 1.5a'!$A$4</c:f>
              <c:strCache>
                <c:ptCount val="1"/>
                <c:pt idx="0">
                  <c:v>Northern Territory</c:v>
                </c:pt>
              </c:strCache>
            </c:strRef>
          </c:tx>
          <c:cat>
            <c:numRef>
              <c:f>'Figure 1.5a'!$B$2:$S$2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1.5a'!$B$4:$S$4</c:f>
              <c:numCache>
                <c:formatCode>0%</c:formatCode>
                <c:ptCount val="18"/>
                <c:pt idx="0">
                  <c:v>0.13549337260677466</c:v>
                </c:pt>
                <c:pt idx="1">
                  <c:v>0.25816203143893596</c:v>
                </c:pt>
                <c:pt idx="2">
                  <c:v>0.14519535374868003</c:v>
                </c:pt>
                <c:pt idx="3">
                  <c:v>0.14499999999999999</c:v>
                </c:pt>
                <c:pt idx="4">
                  <c:v>6.9000000000000006E-2</c:v>
                </c:pt>
                <c:pt idx="5">
                  <c:v>4.4747081712062306E-2</c:v>
                </c:pt>
                <c:pt idx="6" formatCode="0.0%">
                  <c:v>2.4E-2</c:v>
                </c:pt>
                <c:pt idx="7" formatCode="0.0%">
                  <c:v>5.5E-2</c:v>
                </c:pt>
                <c:pt idx="8" formatCode="0.0%">
                  <c:v>2.5000000000000001E-2</c:v>
                </c:pt>
                <c:pt idx="9" formatCode="0.0%">
                  <c:v>0.08</c:v>
                </c:pt>
                <c:pt idx="10" formatCode="0.0%">
                  <c:v>1.7999999999999999E-2</c:v>
                </c:pt>
                <c:pt idx="11" formatCode="0.0%">
                  <c:v>7.8E-2</c:v>
                </c:pt>
                <c:pt idx="12" formatCode="0.0%">
                  <c:v>8.2000000000000003E-2</c:v>
                </c:pt>
                <c:pt idx="13" formatCode="0.0%">
                  <c:v>0.105</c:v>
                </c:pt>
                <c:pt idx="14" formatCode="0.0%">
                  <c:v>6.3E-2</c:v>
                </c:pt>
                <c:pt idx="15" formatCode="0.0%">
                  <c:v>5.4000000000000006E-2</c:v>
                </c:pt>
                <c:pt idx="16" formatCode="0.0%">
                  <c:v>8.3333335816860199E-2</c:v>
                </c:pt>
                <c:pt idx="17" formatCode="0.0%">
                  <c:v>4.8951048403978348E-2</c:v>
                </c:pt>
              </c:numCache>
            </c:numRef>
          </c:val>
          <c:smooth val="0"/>
          <c:extLst>
            <c:ext xmlns:c16="http://schemas.microsoft.com/office/drawing/2014/chart" uri="{C3380CC4-5D6E-409C-BE32-E72D297353CC}">
              <c16:uniqueId val="{00000001-E27A-4244-83C2-70220A1C5F23}"/>
            </c:ext>
          </c:extLst>
        </c:ser>
        <c:ser>
          <c:idx val="2"/>
          <c:order val="2"/>
          <c:tx>
            <c:strRef>
              <c:f>'Figure 1.5a'!$A$5</c:f>
              <c:strCache>
                <c:ptCount val="1"/>
                <c:pt idx="0">
                  <c:v>Queensland</c:v>
                </c:pt>
              </c:strCache>
            </c:strRef>
          </c:tx>
          <c:cat>
            <c:numRef>
              <c:f>'Figure 1.5a'!$B$2:$S$2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1.5a'!$B$5:$S$5</c:f>
              <c:numCache>
                <c:formatCode>General</c:formatCode>
                <c:ptCount val="18"/>
                <c:pt idx="5" formatCode="0.0%">
                  <c:v>0</c:v>
                </c:pt>
                <c:pt idx="9" formatCode="0.0%">
                  <c:v>9.1503267288208012E-2</c:v>
                </c:pt>
                <c:pt idx="10" formatCode="0.0%">
                  <c:v>5.8201060295104981E-2</c:v>
                </c:pt>
                <c:pt idx="11" formatCode="0.0%">
                  <c:v>2.816901445388794E-2</c:v>
                </c:pt>
                <c:pt idx="12" formatCode="0.0%">
                  <c:v>6.9364161491394044E-2</c:v>
                </c:pt>
                <c:pt idx="13" formatCode="0.0%">
                  <c:v>6.1538462638854978E-2</c:v>
                </c:pt>
                <c:pt idx="14" formatCode="0.0%">
                  <c:v>9.3220338821411133E-2</c:v>
                </c:pt>
              </c:numCache>
            </c:numRef>
          </c:val>
          <c:smooth val="0"/>
          <c:extLst>
            <c:ext xmlns:c16="http://schemas.microsoft.com/office/drawing/2014/chart" uri="{C3380CC4-5D6E-409C-BE32-E72D297353CC}">
              <c16:uniqueId val="{00000002-E27A-4244-83C2-70220A1C5F23}"/>
            </c:ext>
          </c:extLst>
        </c:ser>
        <c:ser>
          <c:idx val="3"/>
          <c:order val="3"/>
          <c:tx>
            <c:strRef>
              <c:f>'Figure 1.5a'!$A$6</c:f>
              <c:strCache>
                <c:ptCount val="1"/>
                <c:pt idx="0">
                  <c:v>South Australia</c:v>
                </c:pt>
              </c:strCache>
            </c:strRef>
          </c:tx>
          <c:cat>
            <c:numRef>
              <c:f>'Figure 1.5a'!$B$2:$S$2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1.5a'!$B$6:$S$6</c:f>
              <c:numCache>
                <c:formatCode>0%</c:formatCode>
                <c:ptCount val="18"/>
                <c:pt idx="0">
                  <c:v>0.1415929203539823</c:v>
                </c:pt>
                <c:pt idx="1">
                  <c:v>1.8072289156626505E-2</c:v>
                </c:pt>
                <c:pt idx="2">
                  <c:v>0.1357142857142857</c:v>
                </c:pt>
                <c:pt idx="3">
                  <c:v>#N/A</c:v>
                </c:pt>
                <c:pt idx="4">
                  <c:v>0.04</c:v>
                </c:pt>
                <c:pt idx="5">
                  <c:v>1.5757575757575755E-2</c:v>
                </c:pt>
                <c:pt idx="6" formatCode="0.0%">
                  <c:v>3.5000000000000003E-2</c:v>
                </c:pt>
                <c:pt idx="7" formatCode="0.0%">
                  <c:v>0.04</c:v>
                </c:pt>
                <c:pt idx="8" formatCode="0.0%">
                  <c:v>7.0000000000000007E-2</c:v>
                </c:pt>
                <c:pt idx="9" formatCode="0.0%">
                  <c:v>4.4999999999999998E-2</c:v>
                </c:pt>
                <c:pt idx="10" formatCode="0.0%">
                  <c:v>2.5000000000000001E-2</c:v>
                </c:pt>
                <c:pt idx="11" formatCode="0.0%">
                  <c:v>7.0000000000000001E-3</c:v>
                </c:pt>
                <c:pt idx="12" formatCode="0.0%">
                  <c:v>0</c:v>
                </c:pt>
                <c:pt idx="13" formatCode="0.0%">
                  <c:v>8.0000000000000002E-3</c:v>
                </c:pt>
                <c:pt idx="14" formatCode="0.0%">
                  <c:v>1.9E-2</c:v>
                </c:pt>
                <c:pt idx="15" formatCode="0.0%">
                  <c:v>0</c:v>
                </c:pt>
                <c:pt idx="16" formatCode="0.0%">
                  <c:v>0</c:v>
                </c:pt>
                <c:pt idx="17" formatCode="0.0%">
                  <c:v>0</c:v>
                </c:pt>
              </c:numCache>
            </c:numRef>
          </c:val>
          <c:smooth val="0"/>
          <c:extLst>
            <c:ext xmlns:c16="http://schemas.microsoft.com/office/drawing/2014/chart" uri="{C3380CC4-5D6E-409C-BE32-E72D297353CC}">
              <c16:uniqueId val="{00000003-E27A-4244-83C2-70220A1C5F23}"/>
            </c:ext>
          </c:extLst>
        </c:ser>
        <c:ser>
          <c:idx val="4"/>
          <c:order val="4"/>
          <c:tx>
            <c:strRef>
              <c:f>'Figure 1.5a'!$A$7</c:f>
              <c:strCache>
                <c:ptCount val="1"/>
                <c:pt idx="0">
                  <c:v>Western Australia</c:v>
                </c:pt>
              </c:strCache>
            </c:strRef>
          </c:tx>
          <c:cat>
            <c:numRef>
              <c:f>'Figure 1.5a'!$B$2:$S$2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1.5a'!$B$7:$S$7</c:f>
              <c:numCache>
                <c:formatCode>0%</c:formatCode>
                <c:ptCount val="18"/>
                <c:pt idx="0">
                  <c:v>0.14817320703653589</c:v>
                </c:pt>
                <c:pt idx="1">
                  <c:v>0.15799492385786804</c:v>
                </c:pt>
                <c:pt idx="2">
                  <c:v>0.14783731439638476</c:v>
                </c:pt>
                <c:pt idx="3">
                  <c:v>9.0999999999999998E-2</c:v>
                </c:pt>
                <c:pt idx="4">
                  <c:v>8.2000000000000003E-2</c:v>
                </c:pt>
                <c:pt idx="5">
                  <c:v>4.2036708111308475E-2</c:v>
                </c:pt>
                <c:pt idx="6" formatCode="0.0%">
                  <c:v>3.7999999999999999E-2</c:v>
                </c:pt>
                <c:pt idx="7" formatCode="0.0%">
                  <c:v>0.02</c:v>
                </c:pt>
                <c:pt idx="8" formatCode="0.0%">
                  <c:v>4.3999999999999997E-2</c:v>
                </c:pt>
                <c:pt idx="9" formatCode="0.0%">
                  <c:v>2.1999999999999999E-2</c:v>
                </c:pt>
                <c:pt idx="10" formatCode="0.0%">
                  <c:v>8.7999999999999995E-2</c:v>
                </c:pt>
                <c:pt idx="11" formatCode="0.0%">
                  <c:v>0.108</c:v>
                </c:pt>
                <c:pt idx="12" formatCode="0.0%">
                  <c:v>0.15</c:v>
                </c:pt>
                <c:pt idx="13" formatCode="0.0%">
                  <c:v>0.13</c:v>
                </c:pt>
                <c:pt idx="14" formatCode="0.0%">
                  <c:v>0.14400000000000002</c:v>
                </c:pt>
                <c:pt idx="15" formatCode="0.0%">
                  <c:v>0.10300000000000001</c:v>
                </c:pt>
                <c:pt idx="16" formatCode="0.0%">
                  <c:v>4.2183622717857361E-2</c:v>
                </c:pt>
                <c:pt idx="17" formatCode="0.0%">
                  <c:v>4.0677964687347412E-2</c:v>
                </c:pt>
              </c:numCache>
            </c:numRef>
          </c:val>
          <c:smooth val="0"/>
          <c:extLst>
            <c:ext xmlns:c16="http://schemas.microsoft.com/office/drawing/2014/chart" uri="{C3380CC4-5D6E-409C-BE32-E72D297353CC}">
              <c16:uniqueId val="{00000004-E27A-4244-83C2-70220A1C5F23}"/>
            </c:ext>
          </c:extLst>
        </c:ser>
        <c:dLbls>
          <c:showLegendKey val="0"/>
          <c:showVal val="0"/>
          <c:showCatName val="0"/>
          <c:showSerName val="0"/>
          <c:showPercent val="0"/>
          <c:showBubbleSize val="0"/>
        </c:dLbls>
        <c:marker val="1"/>
        <c:smooth val="0"/>
        <c:axId val="131829760"/>
        <c:axId val="131831296"/>
      </c:lineChart>
      <c:catAx>
        <c:axId val="131829760"/>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31831296"/>
        <c:crosses val="autoZero"/>
        <c:auto val="1"/>
        <c:lblAlgn val="ctr"/>
        <c:lblOffset val="100"/>
        <c:noMultiLvlLbl val="0"/>
      </c:catAx>
      <c:valAx>
        <c:axId val="131831296"/>
        <c:scaling>
          <c:orientation val="minMax"/>
        </c:scaling>
        <c:delete val="0"/>
        <c:axPos val="l"/>
        <c:majorGridlines>
          <c:spPr>
            <a:ln>
              <a:noFill/>
            </a:ln>
          </c:spPr>
        </c:majorGridlines>
        <c:title>
          <c:tx>
            <c:rich>
              <a:bodyPr/>
              <a:lstStyle/>
              <a:p>
                <a:pPr>
                  <a:defRPr/>
                </a:pPr>
                <a:r>
                  <a:rPr lang="en-US"/>
                  <a:t>Proportion</a:t>
                </a:r>
              </a:p>
            </c:rich>
          </c:tx>
          <c:overlay val="0"/>
        </c:title>
        <c:numFmt formatCode="0%" sourceLinked="0"/>
        <c:majorTickMark val="out"/>
        <c:minorTickMark val="none"/>
        <c:tickLblPos val="nextTo"/>
        <c:crossAx val="131829760"/>
        <c:crosses val="autoZero"/>
        <c:crossBetween val="between"/>
      </c:valAx>
    </c:plotArea>
    <c:legend>
      <c:legendPos val="b"/>
      <c:layout>
        <c:manualLayout>
          <c:xMode val="edge"/>
          <c:yMode val="edge"/>
          <c:x val="7.3426526250290683E-2"/>
          <c:y val="0.82098724704615889"/>
          <c:w val="0.90403193099501811"/>
          <c:h val="0.14362800846145612"/>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1.5b'!$A$3</c:f>
              <c:strCache>
                <c:ptCount val="1"/>
                <c:pt idx="0">
                  <c:v>New South Wales</c:v>
                </c:pt>
              </c:strCache>
            </c:strRef>
          </c:tx>
          <c:cat>
            <c:numRef>
              <c:f>'Figure 1.5b'!$B$2:$S$2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1.5b'!$B$3:$S$3</c:f>
              <c:numCache>
                <c:formatCode>General</c:formatCode>
                <c:ptCount val="18"/>
                <c:pt idx="6" formatCode="0.0%">
                  <c:v>5.0000000000000001E-3</c:v>
                </c:pt>
                <c:pt idx="7" formatCode="0.0%">
                  <c:v>0</c:v>
                </c:pt>
                <c:pt idx="8" formatCode="0.0%">
                  <c:v>0</c:v>
                </c:pt>
              </c:numCache>
            </c:numRef>
          </c:val>
          <c:smooth val="0"/>
          <c:extLst>
            <c:ext xmlns:c16="http://schemas.microsoft.com/office/drawing/2014/chart" uri="{C3380CC4-5D6E-409C-BE32-E72D297353CC}">
              <c16:uniqueId val="{00000000-C3A1-48FE-B6C2-F4FD9FCC8D86}"/>
            </c:ext>
          </c:extLst>
        </c:ser>
        <c:ser>
          <c:idx val="1"/>
          <c:order val="1"/>
          <c:tx>
            <c:strRef>
              <c:f>'Figure 1.5b'!$A$4</c:f>
              <c:strCache>
                <c:ptCount val="1"/>
                <c:pt idx="0">
                  <c:v>Northern Territory</c:v>
                </c:pt>
              </c:strCache>
            </c:strRef>
          </c:tx>
          <c:cat>
            <c:numRef>
              <c:f>'Figure 1.5b'!$B$2:$S$2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1.5b'!$B$4:$S$4</c:f>
              <c:numCache>
                <c:formatCode>0%</c:formatCode>
                <c:ptCount val="18"/>
                <c:pt idx="0">
                  <c:v>0.13549337260677466</c:v>
                </c:pt>
                <c:pt idx="1">
                  <c:v>0.25816203143893596</c:v>
                </c:pt>
                <c:pt idx="2">
                  <c:v>0.14519535374868003</c:v>
                </c:pt>
                <c:pt idx="3">
                  <c:v>0.14499999999999999</c:v>
                </c:pt>
                <c:pt idx="4">
                  <c:v>6.9000000000000006E-2</c:v>
                </c:pt>
                <c:pt idx="5" formatCode="0.0%">
                  <c:v>4.4747081712062306E-2</c:v>
                </c:pt>
                <c:pt idx="6" formatCode="0.0%">
                  <c:v>0.05</c:v>
                </c:pt>
                <c:pt idx="7" formatCode="0.0%">
                  <c:v>5.8999999999999997E-2</c:v>
                </c:pt>
                <c:pt idx="8" formatCode="0.0%">
                  <c:v>4.8000000000000001E-2</c:v>
                </c:pt>
                <c:pt idx="9" formatCode="0.0%">
                  <c:v>6.5000000000000002E-2</c:v>
                </c:pt>
                <c:pt idx="10" formatCode="0.0%">
                  <c:v>5.7000000000000002E-2</c:v>
                </c:pt>
                <c:pt idx="11" formatCode="0.0%">
                  <c:v>6.7000000000000004E-2</c:v>
                </c:pt>
                <c:pt idx="12" formatCode="0.0%">
                  <c:v>8.199999999999999E-2</c:v>
                </c:pt>
                <c:pt idx="13" formatCode="0.0%">
                  <c:v>5.2999999999999999E-2</c:v>
                </c:pt>
                <c:pt idx="14" formatCode="0.0%">
                  <c:v>9.4E-2</c:v>
                </c:pt>
                <c:pt idx="15" formatCode="0.0%">
                  <c:v>5.0999999999999997E-2</c:v>
                </c:pt>
                <c:pt idx="16" formatCode="0.0%">
                  <c:v>6.0636181384325027E-2</c:v>
                </c:pt>
                <c:pt idx="17" formatCode="0.0%">
                  <c:v>5.0084888935089111E-2</c:v>
                </c:pt>
              </c:numCache>
            </c:numRef>
          </c:val>
          <c:smooth val="0"/>
          <c:extLst>
            <c:ext xmlns:c16="http://schemas.microsoft.com/office/drawing/2014/chart" uri="{C3380CC4-5D6E-409C-BE32-E72D297353CC}">
              <c16:uniqueId val="{00000001-C3A1-48FE-B6C2-F4FD9FCC8D86}"/>
            </c:ext>
          </c:extLst>
        </c:ser>
        <c:ser>
          <c:idx val="2"/>
          <c:order val="2"/>
          <c:tx>
            <c:strRef>
              <c:f>'Figure 1.5b'!$A$5</c:f>
              <c:strCache>
                <c:ptCount val="1"/>
                <c:pt idx="0">
                  <c:v>Queensland</c:v>
                </c:pt>
              </c:strCache>
            </c:strRef>
          </c:tx>
          <c:cat>
            <c:numRef>
              <c:f>'Figure 1.5b'!$B$2:$S$2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1.5b'!$B$5:$S$5</c:f>
              <c:numCache>
                <c:formatCode>General</c:formatCode>
                <c:ptCount val="18"/>
                <c:pt idx="5" formatCode="0.0%">
                  <c:v>0</c:v>
                </c:pt>
                <c:pt idx="9" formatCode="0.0%">
                  <c:v>9.1503269970417023E-2</c:v>
                </c:pt>
                <c:pt idx="10" formatCode="0.0%">
                  <c:v>5.8201059699058533E-2</c:v>
                </c:pt>
                <c:pt idx="11" formatCode="0.0%">
                  <c:v>5.000000074505806E-2</c:v>
                </c:pt>
                <c:pt idx="12" formatCode="0.0%">
                  <c:v>4.2821157723665237E-2</c:v>
                </c:pt>
                <c:pt idx="13" formatCode="0.0%">
                  <c:v>5.7324841618537903E-2</c:v>
                </c:pt>
                <c:pt idx="14" formatCode="0.0%">
                  <c:v>8.2758620381355286E-2</c:v>
                </c:pt>
              </c:numCache>
            </c:numRef>
          </c:val>
          <c:smooth val="0"/>
          <c:extLst>
            <c:ext xmlns:c16="http://schemas.microsoft.com/office/drawing/2014/chart" uri="{C3380CC4-5D6E-409C-BE32-E72D297353CC}">
              <c16:uniqueId val="{00000002-C3A1-48FE-B6C2-F4FD9FCC8D86}"/>
            </c:ext>
          </c:extLst>
        </c:ser>
        <c:ser>
          <c:idx val="3"/>
          <c:order val="3"/>
          <c:tx>
            <c:strRef>
              <c:f>'Figure 1.5b'!$A$6</c:f>
              <c:strCache>
                <c:ptCount val="1"/>
                <c:pt idx="0">
                  <c:v>South Australia</c:v>
                </c:pt>
              </c:strCache>
            </c:strRef>
          </c:tx>
          <c:cat>
            <c:numRef>
              <c:f>'Figure 1.5b'!$B$2:$S$2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1.5b'!$B$6:$S$6</c:f>
              <c:numCache>
                <c:formatCode>0%</c:formatCode>
                <c:ptCount val="18"/>
                <c:pt idx="0">
                  <c:v>0.1415929203539823</c:v>
                </c:pt>
                <c:pt idx="1">
                  <c:v>1.8072289156626505E-2</c:v>
                </c:pt>
                <c:pt idx="2">
                  <c:v>0.1357142857142857</c:v>
                </c:pt>
                <c:pt idx="3">
                  <c:v>#N/A</c:v>
                </c:pt>
                <c:pt idx="4">
                  <c:v>0.04</c:v>
                </c:pt>
                <c:pt idx="5" formatCode="0.0%">
                  <c:v>1.5757575757575755E-2</c:v>
                </c:pt>
                <c:pt idx="6" formatCode="0.0%">
                  <c:v>3.5000000000000003E-2</c:v>
                </c:pt>
                <c:pt idx="7" formatCode="0.0%">
                  <c:v>0.04</c:v>
                </c:pt>
                <c:pt idx="8" formatCode="0.0%">
                  <c:v>7.0000000000000007E-2</c:v>
                </c:pt>
                <c:pt idx="9" formatCode="0.0%">
                  <c:v>4.4999999999999998E-2</c:v>
                </c:pt>
                <c:pt idx="10" formatCode="0.0%">
                  <c:v>2.4E-2</c:v>
                </c:pt>
                <c:pt idx="11" formatCode="0.0%">
                  <c:v>7.0000000000000001E-3</c:v>
                </c:pt>
                <c:pt idx="12" formatCode="0.0%">
                  <c:v>0</c:v>
                </c:pt>
                <c:pt idx="13" formatCode="0.0%">
                  <c:v>0</c:v>
                </c:pt>
                <c:pt idx="14" formatCode="0.0%">
                  <c:v>1.9E-2</c:v>
                </c:pt>
                <c:pt idx="15" formatCode="0.0%">
                  <c:v>0</c:v>
                </c:pt>
                <c:pt idx="16" formatCode="0.0%">
                  <c:v>0</c:v>
                </c:pt>
                <c:pt idx="17" formatCode="0.0%">
                  <c:v>0</c:v>
                </c:pt>
              </c:numCache>
            </c:numRef>
          </c:val>
          <c:smooth val="0"/>
          <c:extLst>
            <c:ext xmlns:c16="http://schemas.microsoft.com/office/drawing/2014/chart" uri="{C3380CC4-5D6E-409C-BE32-E72D297353CC}">
              <c16:uniqueId val="{00000003-C3A1-48FE-B6C2-F4FD9FCC8D86}"/>
            </c:ext>
          </c:extLst>
        </c:ser>
        <c:ser>
          <c:idx val="4"/>
          <c:order val="4"/>
          <c:tx>
            <c:strRef>
              <c:f>'Figure 1.5b'!$A$7</c:f>
              <c:strCache>
                <c:ptCount val="1"/>
                <c:pt idx="0">
                  <c:v>Western Australia</c:v>
                </c:pt>
              </c:strCache>
            </c:strRef>
          </c:tx>
          <c:cat>
            <c:numRef>
              <c:f>'Figure 1.5b'!$B$2:$S$2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1.5b'!$B$7:$S$7</c:f>
              <c:numCache>
                <c:formatCode>0%</c:formatCode>
                <c:ptCount val="18"/>
                <c:pt idx="0">
                  <c:v>0.14817320703653589</c:v>
                </c:pt>
                <c:pt idx="1">
                  <c:v>0.15799492385786804</c:v>
                </c:pt>
                <c:pt idx="2">
                  <c:v>0.14783731439638476</c:v>
                </c:pt>
                <c:pt idx="3">
                  <c:v>9.0999999999999998E-2</c:v>
                </c:pt>
                <c:pt idx="4">
                  <c:v>8.2000000000000003E-2</c:v>
                </c:pt>
                <c:pt idx="5" formatCode="0.0%">
                  <c:v>4.2036708111308475E-2</c:v>
                </c:pt>
                <c:pt idx="6" formatCode="0.0%">
                  <c:v>3.7999999999999999E-2</c:v>
                </c:pt>
                <c:pt idx="7" formatCode="0.0%">
                  <c:v>2.8000000000000001E-2</c:v>
                </c:pt>
                <c:pt idx="8" formatCode="0.0%">
                  <c:v>2.5999999999999999E-2</c:v>
                </c:pt>
                <c:pt idx="9" formatCode="0.0%">
                  <c:v>5.7000000000000002E-2</c:v>
                </c:pt>
                <c:pt idx="10" formatCode="0.0%">
                  <c:v>8.199999999999999E-2</c:v>
                </c:pt>
                <c:pt idx="11" formatCode="0.0%">
                  <c:v>0.10800000000000001</c:v>
                </c:pt>
                <c:pt idx="12" formatCode="0.0%">
                  <c:v>0.15</c:v>
                </c:pt>
                <c:pt idx="13" formatCode="0.0%">
                  <c:v>4.8000000000000001E-2</c:v>
                </c:pt>
                <c:pt idx="14" formatCode="0.0%">
                  <c:v>0.122</c:v>
                </c:pt>
                <c:pt idx="15" formatCode="0.0%">
                  <c:v>8.3000000000000004E-2</c:v>
                </c:pt>
                <c:pt idx="16" formatCode="0.0%">
                  <c:v>3.7610620260238647E-2</c:v>
                </c:pt>
                <c:pt idx="17" formatCode="0.0%">
                  <c:v>2.905569039285183E-2</c:v>
                </c:pt>
              </c:numCache>
            </c:numRef>
          </c:val>
          <c:smooth val="0"/>
          <c:extLst>
            <c:ext xmlns:c16="http://schemas.microsoft.com/office/drawing/2014/chart" uri="{C3380CC4-5D6E-409C-BE32-E72D297353CC}">
              <c16:uniqueId val="{00000004-C3A1-48FE-B6C2-F4FD9FCC8D86}"/>
            </c:ext>
          </c:extLst>
        </c:ser>
        <c:dLbls>
          <c:showLegendKey val="0"/>
          <c:showVal val="0"/>
          <c:showCatName val="0"/>
          <c:showSerName val="0"/>
          <c:showPercent val="0"/>
          <c:showBubbleSize val="0"/>
        </c:dLbls>
        <c:marker val="1"/>
        <c:smooth val="0"/>
        <c:axId val="132037632"/>
        <c:axId val="132039424"/>
      </c:lineChart>
      <c:catAx>
        <c:axId val="132037632"/>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32039424"/>
        <c:crosses val="autoZero"/>
        <c:auto val="1"/>
        <c:lblAlgn val="ctr"/>
        <c:lblOffset val="100"/>
        <c:noMultiLvlLbl val="0"/>
      </c:catAx>
      <c:valAx>
        <c:axId val="132039424"/>
        <c:scaling>
          <c:orientation val="minMax"/>
        </c:scaling>
        <c:delete val="0"/>
        <c:axPos val="l"/>
        <c:majorGridlines>
          <c:spPr>
            <a:ln>
              <a:noFill/>
            </a:ln>
          </c:spPr>
        </c:majorGridlines>
        <c:title>
          <c:tx>
            <c:rich>
              <a:bodyPr/>
              <a:lstStyle/>
              <a:p>
                <a:pPr>
                  <a:defRPr/>
                </a:pPr>
                <a:r>
                  <a:rPr lang="en-US"/>
                  <a:t>Proportion</a:t>
                </a:r>
              </a:p>
            </c:rich>
          </c:tx>
          <c:overlay val="0"/>
        </c:title>
        <c:numFmt formatCode="0%" sourceLinked="0"/>
        <c:majorTickMark val="out"/>
        <c:minorTickMark val="none"/>
        <c:tickLblPos val="nextTo"/>
        <c:crossAx val="132037632"/>
        <c:crosses val="autoZero"/>
        <c:crossBetween val="between"/>
      </c:valAx>
    </c:plotArea>
    <c:legend>
      <c:legendPos val="b"/>
      <c:layout>
        <c:manualLayout>
          <c:xMode val="edge"/>
          <c:yMode val="edge"/>
          <c:x val="0.14858706616919329"/>
          <c:y val="0.85054822943162978"/>
          <c:w val="0.7975743809163256"/>
          <c:h val="0.12740105392007917"/>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1.5c'!$A$3</c:f>
              <c:strCache>
                <c:ptCount val="1"/>
                <c:pt idx="0">
                  <c:v>New South Wales</c:v>
                </c:pt>
              </c:strCache>
            </c:strRef>
          </c:tx>
          <c:cat>
            <c:numRef>
              <c:f>'Figure 1.5c'!$B$2:$S$2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1.5c'!$B$3:$S$3</c:f>
              <c:numCache>
                <c:formatCode>General</c:formatCode>
                <c:ptCount val="18"/>
                <c:pt idx="6" formatCode="0.0%">
                  <c:v>5.21739130434783E-3</c:v>
                </c:pt>
                <c:pt idx="7" formatCode="0.0%">
                  <c:v>5.21739130434783E-3</c:v>
                </c:pt>
                <c:pt idx="8" formatCode="0.0%">
                  <c:v>5.21739130434783E-3</c:v>
                </c:pt>
              </c:numCache>
            </c:numRef>
          </c:val>
          <c:smooth val="0"/>
          <c:extLst>
            <c:ext xmlns:c16="http://schemas.microsoft.com/office/drawing/2014/chart" uri="{C3380CC4-5D6E-409C-BE32-E72D297353CC}">
              <c16:uniqueId val="{00000000-8C9C-44F7-950D-283D18FE3097}"/>
            </c:ext>
          </c:extLst>
        </c:ser>
        <c:ser>
          <c:idx val="1"/>
          <c:order val="1"/>
          <c:tx>
            <c:strRef>
              <c:f>'Figure 1.5c'!$A$4</c:f>
              <c:strCache>
                <c:ptCount val="1"/>
                <c:pt idx="0">
                  <c:v>Northern Territory</c:v>
                </c:pt>
              </c:strCache>
            </c:strRef>
          </c:tx>
          <c:cat>
            <c:numRef>
              <c:f>'Figure 1.5c'!$B$2:$S$2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1.5c'!$B$4:$S$4</c:f>
              <c:numCache>
                <c:formatCode>0.0%</c:formatCode>
                <c:ptCount val="18"/>
                <c:pt idx="0">
                  <c:v>0.13549337260677499</c:v>
                </c:pt>
                <c:pt idx="1">
                  <c:v>0.222772277227723</c:v>
                </c:pt>
                <c:pt idx="2">
                  <c:v>0.156016597510373</c:v>
                </c:pt>
                <c:pt idx="3">
                  <c:v>0.14089950808151799</c:v>
                </c:pt>
                <c:pt idx="4">
                  <c:v>7.31354707032911E-2</c:v>
                </c:pt>
                <c:pt idx="5">
                  <c:v>5.6388722255548897E-2</c:v>
                </c:pt>
                <c:pt idx="6">
                  <c:v>5.3169734151329202E-2</c:v>
                </c:pt>
                <c:pt idx="7">
                  <c:v>5.8413719185423402E-2</c:v>
                </c:pt>
                <c:pt idx="8">
                  <c:v>4.6208208752378403E-2</c:v>
                </c:pt>
                <c:pt idx="9">
                  <c:v>6.0999999999999999E-2</c:v>
                </c:pt>
                <c:pt idx="10">
                  <c:v>0.05</c:v>
                </c:pt>
                <c:pt idx="11">
                  <c:v>5.0999999999999997E-2</c:v>
                </c:pt>
                <c:pt idx="12">
                  <c:v>5.1999999999999998E-2</c:v>
                </c:pt>
                <c:pt idx="13">
                  <c:v>5.2999999999999999E-2</c:v>
                </c:pt>
                <c:pt idx="14">
                  <c:v>3.7999999999999999E-2</c:v>
                </c:pt>
                <c:pt idx="15">
                  <c:v>2.1000000000000001E-2</c:v>
                </c:pt>
                <c:pt idx="16">
                  <c:v>2.3E-2</c:v>
                </c:pt>
                <c:pt idx="17">
                  <c:v>2.0602218806743622E-2</c:v>
                </c:pt>
              </c:numCache>
            </c:numRef>
          </c:val>
          <c:smooth val="0"/>
          <c:extLst>
            <c:ext xmlns:c16="http://schemas.microsoft.com/office/drawing/2014/chart" uri="{C3380CC4-5D6E-409C-BE32-E72D297353CC}">
              <c16:uniqueId val="{00000001-8C9C-44F7-950D-283D18FE3097}"/>
            </c:ext>
          </c:extLst>
        </c:ser>
        <c:ser>
          <c:idx val="2"/>
          <c:order val="2"/>
          <c:tx>
            <c:strRef>
              <c:f>'Figure 1.5c'!$A$5</c:f>
              <c:strCache>
                <c:ptCount val="1"/>
                <c:pt idx="0">
                  <c:v>Queensland</c:v>
                </c:pt>
              </c:strCache>
            </c:strRef>
          </c:tx>
          <c:cat>
            <c:numRef>
              <c:f>'Figure 1.5c'!$B$2:$S$2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1.5c'!$B$5:$S$5</c:f>
              <c:numCache>
                <c:formatCode>General</c:formatCode>
                <c:ptCount val="18"/>
                <c:pt idx="5" formatCode="0.0%">
                  <c:v>0</c:v>
                </c:pt>
                <c:pt idx="9" formatCode="0.0%">
                  <c:v>9.1503269970417023E-2</c:v>
                </c:pt>
                <c:pt idx="10" formatCode="0.0%">
                  <c:v>5.8201059699058533E-2</c:v>
                </c:pt>
                <c:pt idx="11" formatCode="0.0%">
                  <c:v>5.000000074505806E-2</c:v>
                </c:pt>
                <c:pt idx="12" formatCode="0.0%">
                  <c:v>4.2821157723665237E-2</c:v>
                </c:pt>
                <c:pt idx="13" formatCode="0.0%">
                  <c:v>3.7610620260238647E-2</c:v>
                </c:pt>
                <c:pt idx="14" formatCode="0.0%">
                  <c:v>4.5454546809196472E-2</c:v>
                </c:pt>
              </c:numCache>
            </c:numRef>
          </c:val>
          <c:smooth val="0"/>
          <c:extLst>
            <c:ext xmlns:c16="http://schemas.microsoft.com/office/drawing/2014/chart" uri="{C3380CC4-5D6E-409C-BE32-E72D297353CC}">
              <c16:uniqueId val="{00000002-8C9C-44F7-950D-283D18FE3097}"/>
            </c:ext>
          </c:extLst>
        </c:ser>
        <c:ser>
          <c:idx val="3"/>
          <c:order val="3"/>
          <c:tx>
            <c:strRef>
              <c:f>'Figure 1.5c'!$A$6</c:f>
              <c:strCache>
                <c:ptCount val="1"/>
                <c:pt idx="0">
                  <c:v>South Australia</c:v>
                </c:pt>
              </c:strCache>
            </c:strRef>
          </c:tx>
          <c:cat>
            <c:numRef>
              <c:f>'Figure 1.5c'!$B$2:$S$2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1.5c'!$B$6:$S$6</c:f>
              <c:numCache>
                <c:formatCode>0.0%</c:formatCode>
                <c:ptCount val="18"/>
                <c:pt idx="0">
                  <c:v>0.14159292035398199</c:v>
                </c:pt>
                <c:pt idx="1">
                  <c:v>1.9480519480519501E-2</c:v>
                </c:pt>
                <c:pt idx="2">
                  <c:v>0.10729613733905601</c:v>
                </c:pt>
                <c:pt idx="3">
                  <c:v>0.10729613733905601</c:v>
                </c:pt>
                <c:pt idx="4">
                  <c:v>7.33248351161115E-2</c:v>
                </c:pt>
                <c:pt idx="5">
                  <c:v>1.5063731170336001E-2</c:v>
                </c:pt>
                <c:pt idx="6">
                  <c:v>2.4473813020068499E-2</c:v>
                </c:pt>
                <c:pt idx="7">
                  <c:v>2.78494069107788E-2</c:v>
                </c:pt>
                <c:pt idx="8">
                  <c:v>4.9586776859504099E-2</c:v>
                </c:pt>
                <c:pt idx="9">
                  <c:v>2.8101802757158002E-2</c:v>
                </c:pt>
                <c:pt idx="10">
                  <c:v>1.6E-2</c:v>
                </c:pt>
                <c:pt idx="11">
                  <c:v>5.0000000000000001E-3</c:v>
                </c:pt>
                <c:pt idx="12">
                  <c:v>0</c:v>
                </c:pt>
                <c:pt idx="13">
                  <c:v>5.0000000000000001E-3</c:v>
                </c:pt>
                <c:pt idx="14">
                  <c:v>8.9999999999999993E-3</c:v>
                </c:pt>
                <c:pt idx="15">
                  <c:v>0</c:v>
                </c:pt>
                <c:pt idx="16">
                  <c:v>0</c:v>
                </c:pt>
                <c:pt idx="17">
                  <c:v>0</c:v>
                </c:pt>
              </c:numCache>
            </c:numRef>
          </c:val>
          <c:smooth val="0"/>
          <c:extLst>
            <c:ext xmlns:c16="http://schemas.microsoft.com/office/drawing/2014/chart" uri="{C3380CC4-5D6E-409C-BE32-E72D297353CC}">
              <c16:uniqueId val="{00000003-8C9C-44F7-950D-283D18FE3097}"/>
            </c:ext>
          </c:extLst>
        </c:ser>
        <c:ser>
          <c:idx val="4"/>
          <c:order val="4"/>
          <c:tx>
            <c:strRef>
              <c:f>'Figure 1.5c'!$A$7</c:f>
              <c:strCache>
                <c:ptCount val="1"/>
                <c:pt idx="0">
                  <c:v>Western Australia</c:v>
                </c:pt>
              </c:strCache>
            </c:strRef>
          </c:tx>
          <c:cat>
            <c:numRef>
              <c:f>'Figure 1.5c'!$B$2:$S$2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1.5c'!$B$7:$S$7</c:f>
              <c:numCache>
                <c:formatCode>0.0%</c:formatCode>
                <c:ptCount val="18"/>
                <c:pt idx="0">
                  <c:v>0.15034324942791799</c:v>
                </c:pt>
                <c:pt idx="1">
                  <c:v>0.154754694124773</c:v>
                </c:pt>
                <c:pt idx="2">
                  <c:v>0.1402421021553</c:v>
                </c:pt>
                <c:pt idx="3">
                  <c:v>8.9273174157303403E-2</c:v>
                </c:pt>
                <c:pt idx="4">
                  <c:v>8.4425562686432296E-2</c:v>
                </c:pt>
                <c:pt idx="5">
                  <c:v>5.1049618320610703E-2</c:v>
                </c:pt>
                <c:pt idx="6">
                  <c:v>4.96031746031746E-2</c:v>
                </c:pt>
                <c:pt idx="7">
                  <c:v>3.5748331744518601E-2</c:v>
                </c:pt>
                <c:pt idx="8">
                  <c:v>3.5961272475795301E-2</c:v>
                </c:pt>
                <c:pt idx="9">
                  <c:v>4.1906327033689399E-2</c:v>
                </c:pt>
                <c:pt idx="10">
                  <c:v>0.04</c:v>
                </c:pt>
                <c:pt idx="11">
                  <c:v>4.5999999999999999E-2</c:v>
                </c:pt>
                <c:pt idx="12">
                  <c:v>6.4000000000000001E-2</c:v>
                </c:pt>
                <c:pt idx="13">
                  <c:v>4.5999999999999999E-2</c:v>
                </c:pt>
                <c:pt idx="14">
                  <c:v>0.05</c:v>
                </c:pt>
                <c:pt idx="15">
                  <c:v>2.9000000000000001E-2</c:v>
                </c:pt>
                <c:pt idx="16">
                  <c:v>1.6233766078949E-2</c:v>
                </c:pt>
                <c:pt idx="17">
                  <c:v>1.291989628225565E-2</c:v>
                </c:pt>
              </c:numCache>
            </c:numRef>
          </c:val>
          <c:smooth val="0"/>
          <c:extLst>
            <c:ext xmlns:c16="http://schemas.microsoft.com/office/drawing/2014/chart" uri="{C3380CC4-5D6E-409C-BE32-E72D297353CC}">
              <c16:uniqueId val="{00000004-8C9C-44F7-950D-283D18FE3097}"/>
            </c:ext>
          </c:extLst>
        </c:ser>
        <c:ser>
          <c:idx val="5"/>
          <c:order val="5"/>
          <c:tx>
            <c:strRef>
              <c:f>'Figure 1.5c'!$A$8</c:f>
              <c:strCache>
                <c:ptCount val="1"/>
                <c:pt idx="0">
                  <c:v>National</c:v>
                </c:pt>
              </c:strCache>
            </c:strRef>
          </c:tx>
          <c:cat>
            <c:numRef>
              <c:f>'Figure 1.5c'!$B$2:$S$2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1.5c'!$B$8:$S$8</c:f>
              <c:numCache>
                <c:formatCode>0.0%</c:formatCode>
                <c:ptCount val="18"/>
                <c:pt idx="0">
                  <c:v>0.14300000000000002</c:v>
                </c:pt>
                <c:pt idx="1">
                  <c:v>0.182</c:v>
                </c:pt>
                <c:pt idx="2">
                  <c:v>0.14899999999999999</c:v>
                </c:pt>
                <c:pt idx="3">
                  <c:v>0.12</c:v>
                </c:pt>
                <c:pt idx="4">
                  <c:v>7.9000000000000001E-2</c:v>
                </c:pt>
                <c:pt idx="5">
                  <c:v>4.8000000000000001E-2</c:v>
                </c:pt>
                <c:pt idx="6">
                  <c:v>4.2000000000000003E-2</c:v>
                </c:pt>
                <c:pt idx="7">
                  <c:v>4.2999999999999997E-2</c:v>
                </c:pt>
                <c:pt idx="8">
                  <c:v>3.7999999999999999E-2</c:v>
                </c:pt>
                <c:pt idx="9">
                  <c:v>4.4999999999999998E-2</c:v>
                </c:pt>
                <c:pt idx="10">
                  <c:v>3.7999999999999999E-2</c:v>
                </c:pt>
                <c:pt idx="11">
                  <c:v>3.9E-2</c:v>
                </c:pt>
                <c:pt idx="12">
                  <c:v>4.4999999999999998E-2</c:v>
                </c:pt>
                <c:pt idx="13">
                  <c:v>3.7999999999999999E-2</c:v>
                </c:pt>
                <c:pt idx="14">
                  <c:v>3.3000000000000002E-2</c:v>
                </c:pt>
                <c:pt idx="15">
                  <c:v>0.02</c:v>
                </c:pt>
                <c:pt idx="16">
                  <c:v>1.7999999999999999E-2</c:v>
                </c:pt>
                <c:pt idx="17">
                  <c:v>1.5460167080163956E-2</c:v>
                </c:pt>
              </c:numCache>
            </c:numRef>
          </c:val>
          <c:smooth val="0"/>
          <c:extLst>
            <c:ext xmlns:c16="http://schemas.microsoft.com/office/drawing/2014/chart" uri="{C3380CC4-5D6E-409C-BE32-E72D297353CC}">
              <c16:uniqueId val="{00000005-8C9C-44F7-950D-283D18FE3097}"/>
            </c:ext>
          </c:extLst>
        </c:ser>
        <c:dLbls>
          <c:showLegendKey val="0"/>
          <c:showVal val="0"/>
          <c:showCatName val="0"/>
          <c:showSerName val="0"/>
          <c:showPercent val="0"/>
          <c:showBubbleSize val="0"/>
        </c:dLbls>
        <c:marker val="1"/>
        <c:smooth val="0"/>
        <c:axId val="131899776"/>
        <c:axId val="131901312"/>
      </c:lineChart>
      <c:catAx>
        <c:axId val="131899776"/>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31901312"/>
        <c:crosses val="autoZero"/>
        <c:auto val="1"/>
        <c:lblAlgn val="ctr"/>
        <c:lblOffset val="100"/>
        <c:noMultiLvlLbl val="0"/>
      </c:catAx>
      <c:valAx>
        <c:axId val="131901312"/>
        <c:scaling>
          <c:orientation val="minMax"/>
          <c:max val="0.30000000000000004"/>
        </c:scaling>
        <c:delete val="0"/>
        <c:axPos val="l"/>
        <c:majorGridlines>
          <c:spPr>
            <a:ln>
              <a:noFill/>
            </a:ln>
          </c:spPr>
        </c:majorGridlines>
        <c:title>
          <c:tx>
            <c:rich>
              <a:bodyPr/>
              <a:lstStyle/>
              <a:p>
                <a:pPr>
                  <a:defRPr/>
                </a:pPr>
                <a:r>
                  <a:rPr lang="en-US"/>
                  <a:t>Proportion</a:t>
                </a:r>
              </a:p>
            </c:rich>
          </c:tx>
          <c:overlay val="0"/>
        </c:title>
        <c:numFmt formatCode="0%" sourceLinked="0"/>
        <c:majorTickMark val="out"/>
        <c:minorTickMark val="none"/>
        <c:tickLblPos val="nextTo"/>
        <c:crossAx val="131899776"/>
        <c:crosses val="autoZero"/>
        <c:crossBetween val="between"/>
      </c:valAx>
    </c:plotArea>
    <c:legend>
      <c:legendPos val="b"/>
      <c:layout>
        <c:manualLayout>
          <c:xMode val="edge"/>
          <c:yMode val="edge"/>
          <c:x val="4.7291935483870964E-2"/>
          <c:y val="0.8563680162791395"/>
          <c:w val="0.9302380952380952"/>
          <c:h val="0.1200407986111111"/>
        </c:manualLayout>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1.6'!$A$3</c:f>
              <c:strCache>
                <c:ptCount val="1"/>
                <c:pt idx="0">
                  <c:v>≥20%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1.6'!$B$2:$D$2</c:f>
              <c:strCache>
                <c:ptCount val="3"/>
                <c:pt idx="0">
                  <c:v>Northern Territory (n=45)</c:v>
                </c:pt>
                <c:pt idx="1">
                  <c:v>South Australia (n=15)</c:v>
                </c:pt>
                <c:pt idx="2">
                  <c:v>Western Australia (n=26)</c:v>
                </c:pt>
              </c:strCache>
            </c:strRef>
          </c:cat>
          <c:val>
            <c:numRef>
              <c:f>'Figure 1.6'!$B$3:$D$3</c:f>
              <c:numCache>
                <c:formatCode>General</c:formatCode>
                <c:ptCount val="3"/>
                <c:pt idx="0">
                  <c:v>4</c:v>
                </c:pt>
                <c:pt idx="2">
                  <c:v>1</c:v>
                </c:pt>
              </c:numCache>
            </c:numRef>
          </c:val>
          <c:extLst>
            <c:ext xmlns:c16="http://schemas.microsoft.com/office/drawing/2014/chart" uri="{C3380CC4-5D6E-409C-BE32-E72D297353CC}">
              <c16:uniqueId val="{00000000-35BA-496C-BA8D-77F8CB923BFB}"/>
            </c:ext>
          </c:extLst>
        </c:ser>
        <c:ser>
          <c:idx val="1"/>
          <c:order val="1"/>
          <c:tx>
            <c:strRef>
              <c:f>'Figure 1.6'!$A$4</c:f>
              <c:strCache>
                <c:ptCount val="1"/>
                <c:pt idx="0">
                  <c:v>≥10% to &lt;20%</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1.6'!$B$2:$D$2</c:f>
              <c:strCache>
                <c:ptCount val="3"/>
                <c:pt idx="0">
                  <c:v>Northern Territory (n=45)</c:v>
                </c:pt>
                <c:pt idx="1">
                  <c:v>South Australia (n=15)</c:v>
                </c:pt>
                <c:pt idx="2">
                  <c:v>Western Australia (n=26)</c:v>
                </c:pt>
              </c:strCache>
            </c:strRef>
          </c:cat>
          <c:val>
            <c:numRef>
              <c:f>'Figure 1.6'!$B$4:$D$4</c:f>
              <c:numCache>
                <c:formatCode>General</c:formatCode>
                <c:ptCount val="3"/>
                <c:pt idx="0">
                  <c:v>5</c:v>
                </c:pt>
                <c:pt idx="2">
                  <c:v>3</c:v>
                </c:pt>
              </c:numCache>
            </c:numRef>
          </c:val>
          <c:extLst>
            <c:ext xmlns:c16="http://schemas.microsoft.com/office/drawing/2014/chart" uri="{C3380CC4-5D6E-409C-BE32-E72D297353CC}">
              <c16:uniqueId val="{00000001-35BA-496C-BA8D-77F8CB923BFB}"/>
            </c:ext>
          </c:extLst>
        </c:ser>
        <c:ser>
          <c:idx val="2"/>
          <c:order val="2"/>
          <c:tx>
            <c:strRef>
              <c:f>'Figure 1.6'!$A$5</c:f>
              <c:strCache>
                <c:ptCount val="1"/>
                <c:pt idx="0">
                  <c:v>≥5% to &lt;10%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1.6'!$B$2:$D$2</c:f>
              <c:strCache>
                <c:ptCount val="3"/>
                <c:pt idx="0">
                  <c:v>Northern Territory (n=45)</c:v>
                </c:pt>
                <c:pt idx="1">
                  <c:v>South Australia (n=15)</c:v>
                </c:pt>
                <c:pt idx="2">
                  <c:v>Western Australia (n=26)</c:v>
                </c:pt>
              </c:strCache>
            </c:strRef>
          </c:cat>
          <c:val>
            <c:numRef>
              <c:f>'Figure 1.6'!$B$5:$D$5</c:f>
              <c:numCache>
                <c:formatCode>General</c:formatCode>
                <c:ptCount val="3"/>
                <c:pt idx="0">
                  <c:v>3</c:v>
                </c:pt>
                <c:pt idx="2">
                  <c:v>2</c:v>
                </c:pt>
              </c:numCache>
            </c:numRef>
          </c:val>
          <c:extLst>
            <c:ext xmlns:c16="http://schemas.microsoft.com/office/drawing/2014/chart" uri="{C3380CC4-5D6E-409C-BE32-E72D297353CC}">
              <c16:uniqueId val="{00000002-35BA-496C-BA8D-77F8CB923BFB}"/>
            </c:ext>
          </c:extLst>
        </c:ser>
        <c:ser>
          <c:idx val="3"/>
          <c:order val="3"/>
          <c:tx>
            <c:strRef>
              <c:f>'Figure 1.6'!$A$6</c:f>
              <c:strCache>
                <c:ptCount val="1"/>
                <c:pt idx="0">
                  <c:v>&gt;0% to &lt;5%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1.6'!$B$2:$D$2</c:f>
              <c:strCache>
                <c:ptCount val="3"/>
                <c:pt idx="0">
                  <c:v>Northern Territory (n=45)</c:v>
                </c:pt>
                <c:pt idx="1">
                  <c:v>South Australia (n=15)</c:v>
                </c:pt>
                <c:pt idx="2">
                  <c:v>Western Australia (n=26)</c:v>
                </c:pt>
              </c:strCache>
            </c:strRef>
          </c:cat>
          <c:val>
            <c:numRef>
              <c:f>'Figure 1.6'!$B$6:$D$6</c:f>
              <c:numCache>
                <c:formatCode>General</c:formatCode>
                <c:ptCount val="3"/>
                <c:pt idx="0">
                  <c:v>6</c:v>
                </c:pt>
                <c:pt idx="2">
                  <c:v>1</c:v>
                </c:pt>
              </c:numCache>
            </c:numRef>
          </c:val>
          <c:extLst>
            <c:ext xmlns:c16="http://schemas.microsoft.com/office/drawing/2014/chart" uri="{C3380CC4-5D6E-409C-BE32-E72D297353CC}">
              <c16:uniqueId val="{00000003-35BA-496C-BA8D-77F8CB923BFB}"/>
            </c:ext>
          </c:extLst>
        </c:ser>
        <c:ser>
          <c:idx val="4"/>
          <c:order val="4"/>
          <c:tx>
            <c:strRef>
              <c:f>'Figure 1.6'!$A$7</c:f>
              <c:strCache>
                <c:ptCount val="1"/>
                <c:pt idx="0">
                  <c:v>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1.6'!$B$2:$D$2</c:f>
              <c:strCache>
                <c:ptCount val="3"/>
                <c:pt idx="0">
                  <c:v>Northern Territory (n=45)</c:v>
                </c:pt>
                <c:pt idx="1">
                  <c:v>South Australia (n=15)</c:v>
                </c:pt>
                <c:pt idx="2">
                  <c:v>Western Australia (n=26)</c:v>
                </c:pt>
              </c:strCache>
            </c:strRef>
          </c:cat>
          <c:val>
            <c:numRef>
              <c:f>'Figure 1.6'!$B$7:$D$7</c:f>
              <c:numCache>
                <c:formatCode>General</c:formatCode>
                <c:ptCount val="3"/>
                <c:pt idx="0">
                  <c:v>27</c:v>
                </c:pt>
                <c:pt idx="1">
                  <c:v>15</c:v>
                </c:pt>
                <c:pt idx="2">
                  <c:v>19</c:v>
                </c:pt>
              </c:numCache>
            </c:numRef>
          </c:val>
          <c:extLst>
            <c:ext xmlns:c16="http://schemas.microsoft.com/office/drawing/2014/chart" uri="{C3380CC4-5D6E-409C-BE32-E72D297353CC}">
              <c16:uniqueId val="{00000004-35BA-496C-BA8D-77F8CB923BFB}"/>
            </c:ext>
          </c:extLst>
        </c:ser>
        <c:dLbls>
          <c:dLblPos val="ctr"/>
          <c:showLegendKey val="0"/>
          <c:showVal val="1"/>
          <c:showCatName val="0"/>
          <c:showSerName val="0"/>
          <c:showPercent val="0"/>
          <c:showBubbleSize val="0"/>
        </c:dLbls>
        <c:gapWidth val="150"/>
        <c:overlap val="100"/>
        <c:axId val="551096432"/>
        <c:axId val="308655984"/>
      </c:barChart>
      <c:catAx>
        <c:axId val="5510964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Jurisdiction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898989"/>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08655984"/>
        <c:crosses val="autoZero"/>
        <c:auto val="1"/>
        <c:lblAlgn val="ctr"/>
        <c:lblOffset val="100"/>
        <c:noMultiLvlLbl val="0"/>
      </c:catAx>
      <c:valAx>
        <c:axId val="3086559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Number of communities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rgbClr val="898989"/>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109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1.7'!$A$3</c:f>
              <c:strCache>
                <c:ptCount val="1"/>
                <c:pt idx="0">
                  <c:v>New South Wales</c:v>
                </c:pt>
              </c:strCache>
            </c:strRef>
          </c:tx>
          <c:cat>
            <c:numRef>
              <c:f>'Figure 1.7'!$B$2:$S$2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1.7'!$B$3:$S$3</c:f>
              <c:numCache>
                <c:formatCode>General</c:formatCode>
                <c:ptCount val="18"/>
                <c:pt idx="6" formatCode="0%">
                  <c:v>0.9</c:v>
                </c:pt>
                <c:pt idx="7" formatCode="0%">
                  <c:v>1</c:v>
                </c:pt>
                <c:pt idx="8" formatCode="0%">
                  <c:v>1</c:v>
                </c:pt>
              </c:numCache>
            </c:numRef>
          </c:val>
          <c:smooth val="0"/>
          <c:extLst>
            <c:ext xmlns:c16="http://schemas.microsoft.com/office/drawing/2014/chart" uri="{C3380CC4-5D6E-409C-BE32-E72D297353CC}">
              <c16:uniqueId val="{00000000-7630-4797-929C-B287EFE5C7BC}"/>
            </c:ext>
          </c:extLst>
        </c:ser>
        <c:ser>
          <c:idx val="1"/>
          <c:order val="1"/>
          <c:tx>
            <c:strRef>
              <c:f>'Figure 1.7'!$A$4</c:f>
              <c:strCache>
                <c:ptCount val="1"/>
                <c:pt idx="0">
                  <c:v>Northern Territory</c:v>
                </c:pt>
              </c:strCache>
            </c:strRef>
          </c:tx>
          <c:cat>
            <c:numRef>
              <c:f>'Figure 1.7'!$B$2:$S$2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1.7'!$B$4:$S$4</c:f>
              <c:numCache>
                <c:formatCode>0%</c:formatCode>
                <c:ptCount val="18"/>
                <c:pt idx="0">
                  <c:v>0.43333333333333335</c:v>
                </c:pt>
                <c:pt idx="1">
                  <c:v>0.10256410256410256</c:v>
                </c:pt>
                <c:pt idx="2">
                  <c:v>0.28301886792452829</c:v>
                </c:pt>
                <c:pt idx="3">
                  <c:v>0.234375</c:v>
                </c:pt>
                <c:pt idx="4">
                  <c:v>0.33823529411764708</c:v>
                </c:pt>
                <c:pt idx="5">
                  <c:v>0.54</c:v>
                </c:pt>
                <c:pt idx="6">
                  <c:v>0.45</c:v>
                </c:pt>
                <c:pt idx="7">
                  <c:v>0.43</c:v>
                </c:pt>
                <c:pt idx="8">
                  <c:v>0.48</c:v>
                </c:pt>
                <c:pt idx="9">
                  <c:v>0.41</c:v>
                </c:pt>
                <c:pt idx="10">
                  <c:v>0.42</c:v>
                </c:pt>
                <c:pt idx="11">
                  <c:v>0.33</c:v>
                </c:pt>
                <c:pt idx="12">
                  <c:v>0.42</c:v>
                </c:pt>
                <c:pt idx="13">
                  <c:v>0.32558139534883723</c:v>
                </c:pt>
                <c:pt idx="14">
                  <c:v>0.38</c:v>
                </c:pt>
                <c:pt idx="15">
                  <c:v>0.51</c:v>
                </c:pt>
                <c:pt idx="16">
                  <c:v>0.6774</c:v>
                </c:pt>
                <c:pt idx="17">
                  <c:v>0.60000002384185791</c:v>
                </c:pt>
              </c:numCache>
            </c:numRef>
          </c:val>
          <c:smooth val="0"/>
          <c:extLst>
            <c:ext xmlns:c16="http://schemas.microsoft.com/office/drawing/2014/chart" uri="{C3380CC4-5D6E-409C-BE32-E72D297353CC}">
              <c16:uniqueId val="{00000001-7630-4797-929C-B287EFE5C7BC}"/>
            </c:ext>
          </c:extLst>
        </c:ser>
        <c:ser>
          <c:idx val="2"/>
          <c:order val="2"/>
          <c:tx>
            <c:strRef>
              <c:f>'Figure 1.7'!$A$5</c:f>
              <c:strCache>
                <c:ptCount val="1"/>
                <c:pt idx="0">
                  <c:v>Queensland</c:v>
                </c:pt>
              </c:strCache>
            </c:strRef>
          </c:tx>
          <c:cat>
            <c:numRef>
              <c:f>'Figure 1.7'!$B$2:$S$2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1.7'!$B$5:$S$5</c:f>
              <c:numCache>
                <c:formatCode>General</c:formatCode>
                <c:ptCount val="18"/>
                <c:pt idx="5" formatCode="0%">
                  <c:v>1</c:v>
                </c:pt>
                <c:pt idx="10" formatCode="0%">
                  <c:v>0.5</c:v>
                </c:pt>
                <c:pt idx="11" formatCode="0%">
                  <c:v>0.5</c:v>
                </c:pt>
                <c:pt idx="12" formatCode="0%">
                  <c:v>0.2</c:v>
                </c:pt>
              </c:numCache>
            </c:numRef>
          </c:val>
          <c:smooth val="0"/>
          <c:extLst>
            <c:ext xmlns:c16="http://schemas.microsoft.com/office/drawing/2014/chart" uri="{C3380CC4-5D6E-409C-BE32-E72D297353CC}">
              <c16:uniqueId val="{00000002-7630-4797-929C-B287EFE5C7BC}"/>
            </c:ext>
          </c:extLst>
        </c:ser>
        <c:ser>
          <c:idx val="3"/>
          <c:order val="3"/>
          <c:tx>
            <c:strRef>
              <c:f>'Figure 1.7'!$A$6</c:f>
              <c:strCache>
                <c:ptCount val="1"/>
                <c:pt idx="0">
                  <c:v>South Australia</c:v>
                </c:pt>
              </c:strCache>
            </c:strRef>
          </c:tx>
          <c:cat>
            <c:numRef>
              <c:f>'Figure 1.7'!$B$2:$S$2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1.7'!$B$6:$S$6</c:f>
              <c:numCache>
                <c:formatCode>0%</c:formatCode>
                <c:ptCount val="18"/>
                <c:pt idx="0">
                  <c:v>0.25</c:v>
                </c:pt>
                <c:pt idx="1">
                  <c:v>0.63636363636363635</c:v>
                </c:pt>
                <c:pt idx="2">
                  <c:v>0.41666666666666669</c:v>
                </c:pt>
                <c:pt idx="3">
                  <c:v>#N/A</c:v>
                </c:pt>
                <c:pt idx="4">
                  <c:v>0.6</c:v>
                </c:pt>
                <c:pt idx="5">
                  <c:v>0.81</c:v>
                </c:pt>
                <c:pt idx="6">
                  <c:v>0.6</c:v>
                </c:pt>
                <c:pt idx="7">
                  <c:v>0.76</c:v>
                </c:pt>
                <c:pt idx="8">
                  <c:v>0.45</c:v>
                </c:pt>
                <c:pt idx="9">
                  <c:v>0.21</c:v>
                </c:pt>
                <c:pt idx="10">
                  <c:v>0.28000000000000003</c:v>
                </c:pt>
                <c:pt idx="11">
                  <c:v>0.27</c:v>
                </c:pt>
                <c:pt idx="12">
                  <c:v>1</c:v>
                </c:pt>
                <c:pt idx="13">
                  <c:v>0.33333333333333331</c:v>
                </c:pt>
                <c:pt idx="14">
                  <c:v>0.33</c:v>
                </c:pt>
                <c:pt idx="15">
                  <c:v>1</c:v>
                </c:pt>
                <c:pt idx="16">
                  <c:v>1</c:v>
                </c:pt>
                <c:pt idx="17">
                  <c:v>1</c:v>
                </c:pt>
              </c:numCache>
            </c:numRef>
          </c:val>
          <c:smooth val="0"/>
          <c:extLst>
            <c:ext xmlns:c16="http://schemas.microsoft.com/office/drawing/2014/chart" uri="{C3380CC4-5D6E-409C-BE32-E72D297353CC}">
              <c16:uniqueId val="{00000003-7630-4797-929C-B287EFE5C7BC}"/>
            </c:ext>
          </c:extLst>
        </c:ser>
        <c:ser>
          <c:idx val="4"/>
          <c:order val="4"/>
          <c:tx>
            <c:strRef>
              <c:f>'Figure 1.7'!$A$7</c:f>
              <c:strCache>
                <c:ptCount val="1"/>
                <c:pt idx="0">
                  <c:v>Western Australia</c:v>
                </c:pt>
              </c:strCache>
            </c:strRef>
          </c:tx>
          <c:cat>
            <c:numRef>
              <c:f>'Figure 1.7'!$B$2:$S$2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1.7'!$B$7:$S$7</c:f>
              <c:numCache>
                <c:formatCode>0%</c:formatCode>
                <c:ptCount val="18"/>
                <c:pt idx="0">
                  <c:v>0.38181818181818183</c:v>
                </c:pt>
                <c:pt idx="1">
                  <c:v>0.25757575757575757</c:v>
                </c:pt>
                <c:pt idx="2">
                  <c:v>0.34285714285714286</c:v>
                </c:pt>
                <c:pt idx="3">
                  <c:v>0.39743589743589741</c:v>
                </c:pt>
                <c:pt idx="4">
                  <c:v>0.57971014492753625</c:v>
                </c:pt>
                <c:pt idx="5">
                  <c:v>0.61333333333333329</c:v>
                </c:pt>
                <c:pt idx="6">
                  <c:v>0.59</c:v>
                </c:pt>
                <c:pt idx="7">
                  <c:v>0.66</c:v>
                </c:pt>
                <c:pt idx="8">
                  <c:v>0.67</c:v>
                </c:pt>
                <c:pt idx="9">
                  <c:v>0.55000000000000004</c:v>
                </c:pt>
                <c:pt idx="10">
                  <c:v>0.38</c:v>
                </c:pt>
                <c:pt idx="11">
                  <c:v>0.35</c:v>
                </c:pt>
                <c:pt idx="12">
                  <c:v>0.5</c:v>
                </c:pt>
                <c:pt idx="13">
                  <c:v>0.27777777777777779</c:v>
                </c:pt>
                <c:pt idx="14">
                  <c:v>0.32</c:v>
                </c:pt>
                <c:pt idx="15">
                  <c:v>0.44</c:v>
                </c:pt>
                <c:pt idx="16">
                  <c:v>0.64</c:v>
                </c:pt>
                <c:pt idx="17">
                  <c:v>0.73076921701431274</c:v>
                </c:pt>
              </c:numCache>
            </c:numRef>
          </c:val>
          <c:smooth val="0"/>
          <c:extLst>
            <c:ext xmlns:c16="http://schemas.microsoft.com/office/drawing/2014/chart" uri="{C3380CC4-5D6E-409C-BE32-E72D297353CC}">
              <c16:uniqueId val="{00000004-7630-4797-929C-B287EFE5C7BC}"/>
            </c:ext>
          </c:extLst>
        </c:ser>
        <c:dLbls>
          <c:showLegendKey val="0"/>
          <c:showVal val="0"/>
          <c:showCatName val="0"/>
          <c:showSerName val="0"/>
          <c:showPercent val="0"/>
          <c:showBubbleSize val="0"/>
        </c:dLbls>
        <c:marker val="1"/>
        <c:smooth val="0"/>
        <c:axId val="133662592"/>
        <c:axId val="133664128"/>
      </c:lineChart>
      <c:catAx>
        <c:axId val="133662592"/>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33664128"/>
        <c:crosses val="autoZero"/>
        <c:auto val="1"/>
        <c:lblAlgn val="ctr"/>
        <c:lblOffset val="100"/>
        <c:noMultiLvlLbl val="0"/>
      </c:catAx>
      <c:valAx>
        <c:axId val="133664128"/>
        <c:scaling>
          <c:orientation val="minMax"/>
          <c:max val="1"/>
        </c:scaling>
        <c:delete val="0"/>
        <c:axPos val="l"/>
        <c:majorGridlines>
          <c:spPr>
            <a:ln>
              <a:noFill/>
            </a:ln>
          </c:spPr>
        </c:majorGridlines>
        <c:title>
          <c:tx>
            <c:rich>
              <a:bodyPr/>
              <a:lstStyle/>
              <a:p>
                <a:pPr>
                  <a:defRPr/>
                </a:pPr>
                <a:r>
                  <a:rPr lang="en-US"/>
                  <a:t>Proportion</a:t>
                </a:r>
              </a:p>
            </c:rich>
          </c:tx>
          <c:overlay val="0"/>
        </c:title>
        <c:numFmt formatCode="0%" sourceLinked="0"/>
        <c:majorTickMark val="out"/>
        <c:minorTickMark val="none"/>
        <c:tickLblPos val="nextTo"/>
        <c:crossAx val="133662592"/>
        <c:crosses val="autoZero"/>
        <c:crossBetween val="between"/>
      </c:valAx>
    </c:plotArea>
    <c:legend>
      <c:legendPos val="b"/>
      <c:layout>
        <c:manualLayout>
          <c:xMode val="edge"/>
          <c:yMode val="edge"/>
          <c:x val="0.1989852115174445"/>
          <c:y val="0.85054822943162978"/>
          <c:w val="0.7491921613820044"/>
          <c:h val="0.12740105392007917"/>
        </c:manualLayout>
      </c:layout>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1.8'!$A$3</c:f>
              <c:strCache>
                <c:ptCount val="1"/>
                <c:pt idx="0">
                  <c:v>New South Wales</c:v>
                </c:pt>
              </c:strCache>
            </c:strRef>
          </c:tx>
          <c:cat>
            <c:numRef>
              <c:f>'Figure 1.8'!$B$2:$S$2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1.8'!$B$3:$S$3</c:f>
              <c:numCache>
                <c:formatCode>General</c:formatCode>
                <c:ptCount val="18"/>
                <c:pt idx="6" formatCode="0%">
                  <c:v>0.1</c:v>
                </c:pt>
                <c:pt idx="7" formatCode="0%">
                  <c:v>0</c:v>
                </c:pt>
                <c:pt idx="8" formatCode="0%">
                  <c:v>0</c:v>
                </c:pt>
              </c:numCache>
            </c:numRef>
          </c:val>
          <c:smooth val="0"/>
          <c:extLst>
            <c:ext xmlns:c16="http://schemas.microsoft.com/office/drawing/2014/chart" uri="{C3380CC4-5D6E-409C-BE32-E72D297353CC}">
              <c16:uniqueId val="{00000000-8FF6-404F-9449-115E16C4029B}"/>
            </c:ext>
          </c:extLst>
        </c:ser>
        <c:ser>
          <c:idx val="1"/>
          <c:order val="1"/>
          <c:tx>
            <c:strRef>
              <c:f>'Figure 1.8'!$A$4</c:f>
              <c:strCache>
                <c:ptCount val="1"/>
                <c:pt idx="0">
                  <c:v>Northern Territory</c:v>
                </c:pt>
              </c:strCache>
            </c:strRef>
          </c:tx>
          <c:cat>
            <c:numRef>
              <c:f>'Figure 1.8'!$B$2:$S$2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1.8'!$B$4:$S$4</c:f>
              <c:numCache>
                <c:formatCode>0%</c:formatCode>
                <c:ptCount val="18"/>
                <c:pt idx="0">
                  <c:v>0.45</c:v>
                </c:pt>
                <c:pt idx="1">
                  <c:v>0.74358974358974361</c:v>
                </c:pt>
                <c:pt idx="2">
                  <c:v>0.58490566037735847</c:v>
                </c:pt>
                <c:pt idx="3">
                  <c:v>0.625</c:v>
                </c:pt>
                <c:pt idx="4">
                  <c:v>0.45588235294117646</c:v>
                </c:pt>
                <c:pt idx="5">
                  <c:v>0.28000000000000003</c:v>
                </c:pt>
                <c:pt idx="6">
                  <c:v>0.41</c:v>
                </c:pt>
                <c:pt idx="7">
                  <c:v>0.49</c:v>
                </c:pt>
                <c:pt idx="8">
                  <c:v>0.37</c:v>
                </c:pt>
                <c:pt idx="9">
                  <c:v>0.46</c:v>
                </c:pt>
                <c:pt idx="10">
                  <c:v>0.49</c:v>
                </c:pt>
                <c:pt idx="11">
                  <c:v>0.56000000000000005</c:v>
                </c:pt>
                <c:pt idx="12">
                  <c:v>0.47</c:v>
                </c:pt>
                <c:pt idx="13">
                  <c:v>0.63</c:v>
                </c:pt>
                <c:pt idx="14">
                  <c:v>0.51</c:v>
                </c:pt>
                <c:pt idx="15">
                  <c:v>0.38</c:v>
                </c:pt>
                <c:pt idx="16">
                  <c:v>0.29032257199287415</c:v>
                </c:pt>
                <c:pt idx="17">
                  <c:v>0.26666668057441711</c:v>
                </c:pt>
              </c:numCache>
            </c:numRef>
          </c:val>
          <c:smooth val="0"/>
          <c:extLst>
            <c:ext xmlns:c16="http://schemas.microsoft.com/office/drawing/2014/chart" uri="{C3380CC4-5D6E-409C-BE32-E72D297353CC}">
              <c16:uniqueId val="{00000001-8FF6-404F-9449-115E16C4029B}"/>
            </c:ext>
          </c:extLst>
        </c:ser>
        <c:ser>
          <c:idx val="2"/>
          <c:order val="2"/>
          <c:tx>
            <c:strRef>
              <c:f>'Figure 1.8'!$A$5</c:f>
              <c:strCache>
                <c:ptCount val="1"/>
                <c:pt idx="0">
                  <c:v>Queensland</c:v>
                </c:pt>
              </c:strCache>
            </c:strRef>
          </c:tx>
          <c:cat>
            <c:numRef>
              <c:f>'Figure 1.8'!$B$2:$S$2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1.8'!$B$5:$S$5</c:f>
              <c:numCache>
                <c:formatCode>General</c:formatCode>
                <c:ptCount val="18"/>
                <c:pt idx="5" formatCode="0%">
                  <c:v>0</c:v>
                </c:pt>
                <c:pt idx="9" formatCode="0%">
                  <c:v>1</c:v>
                </c:pt>
                <c:pt idx="10" formatCode="0%">
                  <c:v>0.25</c:v>
                </c:pt>
                <c:pt idx="11" formatCode="0%">
                  <c:v>0.5</c:v>
                </c:pt>
                <c:pt idx="12" formatCode="0%">
                  <c:v>0.6</c:v>
                </c:pt>
                <c:pt idx="13" formatCode="0%">
                  <c:v>1</c:v>
                </c:pt>
                <c:pt idx="14" formatCode="0%">
                  <c:v>1</c:v>
                </c:pt>
              </c:numCache>
            </c:numRef>
          </c:val>
          <c:smooth val="0"/>
          <c:extLst>
            <c:ext xmlns:c16="http://schemas.microsoft.com/office/drawing/2014/chart" uri="{C3380CC4-5D6E-409C-BE32-E72D297353CC}">
              <c16:uniqueId val="{00000002-8FF6-404F-9449-115E16C4029B}"/>
            </c:ext>
          </c:extLst>
        </c:ser>
        <c:ser>
          <c:idx val="3"/>
          <c:order val="3"/>
          <c:tx>
            <c:strRef>
              <c:f>'Figure 1.8'!$A$6</c:f>
              <c:strCache>
                <c:ptCount val="1"/>
                <c:pt idx="0">
                  <c:v>South Australia</c:v>
                </c:pt>
              </c:strCache>
            </c:strRef>
          </c:tx>
          <c:cat>
            <c:numRef>
              <c:f>'Figure 1.8'!$B$2:$S$2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1.8'!$B$6:$S$6</c:f>
              <c:numCache>
                <c:formatCode>0%</c:formatCode>
                <c:ptCount val="18"/>
                <c:pt idx="0">
                  <c:v>0.75</c:v>
                </c:pt>
                <c:pt idx="1">
                  <c:v>0.36363636363636365</c:v>
                </c:pt>
                <c:pt idx="2">
                  <c:v>0.41666666666666669</c:v>
                </c:pt>
                <c:pt idx="3">
                  <c:v>#N/A</c:v>
                </c:pt>
                <c:pt idx="4">
                  <c:v>0.35</c:v>
                </c:pt>
                <c:pt idx="5">
                  <c:v>8.5714285714285715E-2</c:v>
                </c:pt>
                <c:pt idx="6">
                  <c:v>0.375</c:v>
                </c:pt>
                <c:pt idx="7">
                  <c:v>0.15</c:v>
                </c:pt>
                <c:pt idx="8">
                  <c:v>0.45</c:v>
                </c:pt>
                <c:pt idx="9">
                  <c:v>0.21</c:v>
                </c:pt>
                <c:pt idx="10">
                  <c:v>0.16</c:v>
                </c:pt>
                <c:pt idx="11">
                  <c:v>7.0000000000000007E-2</c:v>
                </c:pt>
                <c:pt idx="12">
                  <c:v>0</c:v>
                </c:pt>
                <c:pt idx="13">
                  <c:v>7.0000000000000007E-2</c:v>
                </c:pt>
                <c:pt idx="14">
                  <c:v>7.0000000000000007E-2</c:v>
                </c:pt>
                <c:pt idx="15">
                  <c:v>0</c:v>
                </c:pt>
                <c:pt idx="16">
                  <c:v>0</c:v>
                </c:pt>
                <c:pt idx="17">
                  <c:v>0</c:v>
                </c:pt>
              </c:numCache>
            </c:numRef>
          </c:val>
          <c:smooth val="0"/>
          <c:extLst>
            <c:ext xmlns:c16="http://schemas.microsoft.com/office/drawing/2014/chart" uri="{C3380CC4-5D6E-409C-BE32-E72D297353CC}">
              <c16:uniqueId val="{00000003-8FF6-404F-9449-115E16C4029B}"/>
            </c:ext>
          </c:extLst>
        </c:ser>
        <c:ser>
          <c:idx val="4"/>
          <c:order val="4"/>
          <c:tx>
            <c:strRef>
              <c:f>'Figure 1.8'!$A$7</c:f>
              <c:strCache>
                <c:ptCount val="1"/>
                <c:pt idx="0">
                  <c:v>Western Australia</c:v>
                </c:pt>
              </c:strCache>
            </c:strRef>
          </c:tx>
          <c:cat>
            <c:numRef>
              <c:f>'Figure 1.8'!$B$2:$S$2</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'Figure 1.8'!$B$7:$S$7</c:f>
              <c:numCache>
                <c:formatCode>0%</c:formatCode>
                <c:ptCount val="18"/>
                <c:pt idx="0">
                  <c:v>0.61818181818181817</c:v>
                </c:pt>
                <c:pt idx="1">
                  <c:v>0.66666666666666663</c:v>
                </c:pt>
                <c:pt idx="2">
                  <c:v>0.6</c:v>
                </c:pt>
                <c:pt idx="3">
                  <c:v>0.5</c:v>
                </c:pt>
                <c:pt idx="4">
                  <c:v>0.36231884057971014</c:v>
                </c:pt>
                <c:pt idx="5">
                  <c:v>0.29333333333333333</c:v>
                </c:pt>
                <c:pt idx="6">
                  <c:v>0.28000000000000003</c:v>
                </c:pt>
                <c:pt idx="7">
                  <c:v>0.25</c:v>
                </c:pt>
                <c:pt idx="8">
                  <c:v>0.27</c:v>
                </c:pt>
                <c:pt idx="9">
                  <c:v>0.47</c:v>
                </c:pt>
                <c:pt idx="10">
                  <c:v>0.6</c:v>
                </c:pt>
                <c:pt idx="11">
                  <c:v>0.63</c:v>
                </c:pt>
                <c:pt idx="12">
                  <c:v>0.47</c:v>
                </c:pt>
                <c:pt idx="13">
                  <c:v>0.69</c:v>
                </c:pt>
                <c:pt idx="14">
                  <c:v>0.68</c:v>
                </c:pt>
                <c:pt idx="15">
                  <c:v>0.56000000000000005</c:v>
                </c:pt>
                <c:pt idx="16">
                  <c:v>0.31999999284744263</c:v>
                </c:pt>
                <c:pt idx="17">
                  <c:v>0.23076923191547394</c:v>
                </c:pt>
              </c:numCache>
            </c:numRef>
          </c:val>
          <c:smooth val="0"/>
          <c:extLst>
            <c:ext xmlns:c16="http://schemas.microsoft.com/office/drawing/2014/chart" uri="{C3380CC4-5D6E-409C-BE32-E72D297353CC}">
              <c16:uniqueId val="{00000004-8FF6-404F-9449-115E16C4029B}"/>
            </c:ext>
          </c:extLst>
        </c:ser>
        <c:dLbls>
          <c:showLegendKey val="0"/>
          <c:showVal val="0"/>
          <c:showCatName val="0"/>
          <c:showSerName val="0"/>
          <c:showPercent val="0"/>
          <c:showBubbleSize val="0"/>
        </c:dLbls>
        <c:marker val="1"/>
        <c:smooth val="0"/>
        <c:axId val="133753472"/>
        <c:axId val="133562752"/>
      </c:lineChart>
      <c:catAx>
        <c:axId val="133753472"/>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33562752"/>
        <c:crosses val="autoZero"/>
        <c:auto val="1"/>
        <c:lblAlgn val="ctr"/>
        <c:lblOffset val="100"/>
        <c:noMultiLvlLbl val="0"/>
      </c:catAx>
      <c:valAx>
        <c:axId val="133562752"/>
        <c:scaling>
          <c:orientation val="minMax"/>
          <c:max val="1"/>
        </c:scaling>
        <c:delete val="0"/>
        <c:axPos val="l"/>
        <c:majorGridlines>
          <c:spPr>
            <a:ln>
              <a:noFill/>
            </a:ln>
          </c:spPr>
        </c:majorGridlines>
        <c:title>
          <c:tx>
            <c:rich>
              <a:bodyPr/>
              <a:lstStyle/>
              <a:p>
                <a:pPr>
                  <a:defRPr/>
                </a:pPr>
                <a:r>
                  <a:rPr lang="en-US"/>
                  <a:t>Proportion </a:t>
                </a:r>
              </a:p>
            </c:rich>
          </c:tx>
          <c:overlay val="0"/>
        </c:title>
        <c:numFmt formatCode="0%" sourceLinked="0"/>
        <c:majorTickMark val="out"/>
        <c:minorTickMark val="none"/>
        <c:tickLblPos val="nextTo"/>
        <c:crossAx val="133753472"/>
        <c:crosses val="autoZero"/>
        <c:crossBetween val="between"/>
      </c:valAx>
    </c:plotArea>
    <c:legend>
      <c:legendPos val="b"/>
      <c:layout>
        <c:manualLayout>
          <c:xMode val="edge"/>
          <c:yMode val="edge"/>
          <c:x val="8.5045878136200709E-2"/>
          <c:y val="0.8505625"/>
          <c:w val="0.89557996360222136"/>
          <c:h val="0.13212318845146531"/>
        </c:manualLayout>
      </c:layout>
      <c:overlay val="0"/>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EC14280DC3224EA5EDDFE4A567C1BF" ma:contentTypeVersion="7" ma:contentTypeDescription="Create a new document." ma:contentTypeScope="" ma:versionID="145cdd7bf1f874489b01663f0585120f">
  <xsd:schema xmlns:xsd="http://www.w3.org/2001/XMLSchema" xmlns:xs="http://www.w3.org/2001/XMLSchema" xmlns:p="http://schemas.microsoft.com/office/2006/metadata/properties" xmlns:ns3="4e6ae8e0-d165-4b13-bedf-b02d56adc795" xmlns:ns4="0223e7bf-334c-4699-a62c-f597971041d1" targetNamespace="http://schemas.microsoft.com/office/2006/metadata/properties" ma:root="true" ma:fieldsID="46a1a8d41d00c4bf98b238a4cc28a53f" ns3:_="" ns4:_="">
    <xsd:import namespace="4e6ae8e0-d165-4b13-bedf-b02d56adc795"/>
    <xsd:import namespace="0223e7bf-334c-4699-a62c-f597971041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ae8e0-d165-4b13-bedf-b02d56adc7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3e7bf-334c-4699-a62c-f597971041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Hun20</b:Tag>
    <b:SourceType>DocumentFromInternetSite</b:SourceType>
    <b:Guid>{400EC4A3-88DD-4F92-B07C-A273D2F2E15F}</b:Guid>
    <b:Title>Biosecurity (Human Biosecurity Emergency) (Human Coronavirus with pandemic potential) (Emergency requirements for remote communities) Determination 2020.</b:Title>
    <b:Year>2020</b:Year>
    <b:Author>
      <b:Author>
        <b:NameList>
          <b:Person>
            <b:Last>Hunt</b:Last>
            <b:First>G.</b:First>
          </b:Person>
        </b:NameList>
      </b:Author>
    </b:Author>
    <b:Month>March</b:Month>
    <b:Day>26</b:Day>
    <b:YearAccessed>2021</b:YearAccessed>
    <b:MonthAccessed>June</b:MonthAccessed>
    <b:DayAccessed>2</b:DayAccessed>
    <b:URL>https://www.legislation.gov.au/Details/F2020L00324</b:URL>
    <b:RefOrder>2</b:RefOrder>
  </b:Source>
  <b:Source>
    <b:Tag>Nat22</b:Tag>
    <b:SourceType>Report</b:SourceType>
    <b:Guid>{41A1C175-1BDF-43F4-BF3B-81014ABD6992}</b:Guid>
    <b:Title>2022-2023 Federal pre-budget Submssion - NATISHA Priorities for the 2022-23 Federal Budget</b:Title>
    <b:Year>2022</b:Year>
    <b:Author>
      <b:Author>
        <b:Corporate>National Aboriginal and Torres Strait Islander Housing Association</b:Corporate>
      </b:Author>
    </b:Author>
    <b:RefOrder>3</b:RefOrder>
  </b:Source>
  <b:Source>
    <b:Tag>Can14</b:Tag>
    <b:SourceType>DocumentFromInternetSite</b:SourceType>
    <b:Guid>{9B4D2BDB-7812-4620-A436-02662726779D}</b:Guid>
    <b:Title>Communicable Diseases Network Australia. National guidelines for the public health management of trachoma in Australia.</b:Title>
    <b:Year>2014</b:Year>
    <b:Author>
      <b:Author>
        <b:Corporate>Canberra :Commonwealth of Australia</b:Corporate>
      </b:Author>
    </b:Author>
    <b:Month>January</b:Month>
    <b:YearAccessed>2021</b:YearAccessed>
    <b:MonthAccessed>September</b:MonthAccessed>
    <b:DayAccessed>6</b:DayAccessed>
    <b:URL>www.health.gov.au/internet/main/publishing.nsf/Content/cdna-song-trachoma.htm</b:URL>
    <b:RefOrder>4</b:RefOrder>
  </b:Source>
  <b:Source>
    <b:Tag>Wor22</b:Tag>
    <b:SourceType>JournalArticle</b:SourceType>
    <b:Guid>{CB569C32-C245-4386-95B6-894C3E7F34FC}</b:Guid>
    <b:Title>WHO Alliance for the Global Elimination of Trachoma: progress report on elimination of trachoma,2021</b:Title>
    <b:Year>2022</b:Year>
    <b:Publisher>Weekly epidemiological record</b:Publisher>
    <b:City>Geneva</b:City>
    <b:Author>
      <b:Author>
        <b:Corporate>World Health Organization</b:Corporate>
      </b:Author>
    </b:Author>
    <b:Volume>97</b:Volume>
    <b:Issue>31</b:Issue>
    <b:RefOrder>1</b:RefOrder>
  </b:Source>
</b:Sources>
</file>

<file path=customXml/itemProps1.xml><?xml version="1.0" encoding="utf-8"?>
<ds:datastoreItem xmlns:ds="http://schemas.openxmlformats.org/officeDocument/2006/customXml" ds:itemID="{81A9E5D7-A527-4561-BCC0-B553312B1BEA}">
  <ds:schemaRefs>
    <ds:schemaRef ds:uri="http://schemas.microsoft.com/sharepoint/v3/contenttype/forms"/>
  </ds:schemaRefs>
</ds:datastoreItem>
</file>

<file path=customXml/itemProps2.xml><?xml version="1.0" encoding="utf-8"?>
<ds:datastoreItem xmlns:ds="http://schemas.openxmlformats.org/officeDocument/2006/customXml" ds:itemID="{4D0BA489-73B5-4245-8B3C-F973515F5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ae8e0-d165-4b13-bedf-b02d56adc795"/>
    <ds:schemaRef ds:uri="0223e7bf-334c-4699-a62c-f59797104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B35FB-6C84-454D-952C-E806C9FCA4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21A580-6C4C-4657-8338-37FFDCE3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91</Pages>
  <Words>22568</Words>
  <Characters>127741</Characters>
  <Application>Microsoft Office Word</Application>
  <DocSecurity>0</DocSecurity>
  <Lines>1851</Lines>
  <Paragraphs>554</Paragraphs>
  <ScaleCrop>false</ScaleCrop>
  <HeadingPairs>
    <vt:vector size="2" baseType="variant">
      <vt:variant>
        <vt:lpstr>Title</vt:lpstr>
      </vt:variant>
      <vt:variant>
        <vt:i4>1</vt:i4>
      </vt:variant>
    </vt:vector>
  </HeadingPairs>
  <TitlesOfParts>
    <vt:vector size="1" baseType="lpstr">
      <vt:lpstr>Australian Trachoma Surveillance Report 2023</vt:lpstr>
    </vt:vector>
  </TitlesOfParts>
  <Manager/>
  <Company>Kirby Institute, UNSW</Company>
  <LinksUpToDate>false</LinksUpToDate>
  <CharactersWithSpaces>149755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Trachoma Surveillance Report 2023</dc:title>
  <dc:subject>Eye health</dc:subject>
  <dc:creator>Australian Government Department of Health, Disability and Ageing</dc:creator>
  <cp:keywords/>
  <dc:description/>
  <cp:lastModifiedBy>MASCHKE, Elvia</cp:lastModifiedBy>
  <cp:revision>15</cp:revision>
  <cp:lastPrinted>2023-07-13T11:57:00Z</cp:lastPrinted>
  <dcterms:created xsi:type="dcterms:W3CDTF">2025-11-27T22:44:00Z</dcterms:created>
  <dcterms:modified xsi:type="dcterms:W3CDTF">2025-11-28T04:44:00Z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0x01010084EC14280DC3224EA5EDDFE4A567C1BF</vt:lpwstr>
  </property>
  <property fmtid="{D5CDD505-2E9C-101B-9397-08002B2CF9AE}" pid="9" name="MSIP_Label_adb064b5-5911-4077-b076-dd8db707b7e6_Enabled">
    <vt:lpwstr>true</vt:lpwstr>
  </property>
  <property fmtid="{D5CDD505-2E9C-101B-9397-08002B2CF9AE}" pid="10" name="MSIP_Label_adb064b5-5911-4077-b076-dd8db707b7e6_SetDate">
    <vt:lpwstr>2022-07-17T05:00:38Z</vt:lpwstr>
  </property>
  <property fmtid="{D5CDD505-2E9C-101B-9397-08002B2CF9AE}" pid="11" name="MSIP_Label_adb064b5-5911-4077-b076-dd8db707b7e6_Method">
    <vt:lpwstr>Privileged</vt:lpwstr>
  </property>
  <property fmtid="{D5CDD505-2E9C-101B-9397-08002B2CF9AE}" pid="12" name="MSIP_Label_adb064b5-5911-4077-b076-dd8db707b7e6_Name">
    <vt:lpwstr>UNOFFICIAL</vt:lpwstr>
  </property>
  <property fmtid="{D5CDD505-2E9C-101B-9397-08002B2CF9AE}" pid="13" name="MSIP_Label_adb064b5-5911-4077-b076-dd8db707b7e6_SiteId">
    <vt:lpwstr>b6e377cf-9db3-46cb-91a2-fad9605bb15c</vt:lpwstr>
  </property>
  <property fmtid="{D5CDD505-2E9C-101B-9397-08002B2CF9AE}" pid="14" name="MSIP_Label_adb064b5-5911-4077-b076-dd8db707b7e6_ActionId">
    <vt:lpwstr>eac013ff-8317-4be5-a795-ff991dc76ec6</vt:lpwstr>
  </property>
  <property fmtid="{D5CDD505-2E9C-101B-9397-08002B2CF9AE}" pid="15" name="MSIP_Label_adb064b5-5911-4077-b076-dd8db707b7e6_ContentBits">
    <vt:lpwstr>0</vt:lpwstr>
  </property>
  <property fmtid="{D5CDD505-2E9C-101B-9397-08002B2CF9AE}" pid="16" name="ClassificationContentMarkingHeaderShapeIds">
    <vt:lpwstr>4e804879,36d5a17e,74a5d2a4,67b8a38c,fa0d9ea,5b5cbe41,77d0ac73,282c433e,1adb650,4c21acc0,422c02ca,471f204a,73758856,13cc3705,77d06d</vt:lpwstr>
  </property>
  <property fmtid="{D5CDD505-2E9C-101B-9397-08002B2CF9AE}" pid="17" name="ClassificationContentMarkingHeaderFontProps">
    <vt:lpwstr>#ff0000,12,Aptos</vt:lpwstr>
  </property>
  <property fmtid="{D5CDD505-2E9C-101B-9397-08002B2CF9AE}" pid="18" name="ClassificationContentMarkingHeaderText">
    <vt:lpwstr>UNOFFICIAL</vt:lpwstr>
  </property>
  <property fmtid="{D5CDD505-2E9C-101B-9397-08002B2CF9AE}" pid="19" name="ClassificationContentMarkingFooterShapeIds">
    <vt:lpwstr>13bb220,65668cd4,784214a5,6f8d8d8f,bcd3717,27a0b921,1b9b1229</vt:lpwstr>
  </property>
  <property fmtid="{D5CDD505-2E9C-101B-9397-08002B2CF9AE}" pid="20" name="ClassificationContentMarkingFooterFontProps">
    <vt:lpwstr>#ff0000,12,Aptos</vt:lpwstr>
  </property>
  <property fmtid="{D5CDD505-2E9C-101B-9397-08002B2CF9AE}" pid="21" name="ClassificationContentMarkingFooterText">
    <vt:lpwstr>UNOFFICIAL</vt:lpwstr>
  </property>
  <property fmtid="{D5CDD505-2E9C-101B-9397-08002B2CF9AE}" pid="22" name="MSIP_Label_edd204cd-6aa2-46a1-bfaf-a0d9bcf7e7ca_Enabled">
    <vt:lpwstr>true</vt:lpwstr>
  </property>
  <property fmtid="{D5CDD505-2E9C-101B-9397-08002B2CF9AE}" pid="23" name="MSIP_Label_edd204cd-6aa2-46a1-bfaf-a0d9bcf7e7ca_SetDate">
    <vt:lpwstr>2025-11-27T22:29:18Z</vt:lpwstr>
  </property>
  <property fmtid="{D5CDD505-2E9C-101B-9397-08002B2CF9AE}" pid="24" name="MSIP_Label_edd204cd-6aa2-46a1-bfaf-a0d9bcf7e7ca_Method">
    <vt:lpwstr>Privileged</vt:lpwstr>
  </property>
  <property fmtid="{D5CDD505-2E9C-101B-9397-08002B2CF9AE}" pid="25" name="MSIP_Label_edd204cd-6aa2-46a1-bfaf-a0d9bcf7e7ca_Name">
    <vt:lpwstr>U</vt:lpwstr>
  </property>
  <property fmtid="{D5CDD505-2E9C-101B-9397-08002B2CF9AE}" pid="26" name="MSIP_Label_edd204cd-6aa2-46a1-bfaf-a0d9bcf7e7ca_SiteId">
    <vt:lpwstr>34a3929c-73cf-4954-abfe-147dc3517892</vt:lpwstr>
  </property>
  <property fmtid="{D5CDD505-2E9C-101B-9397-08002B2CF9AE}" pid="27" name="MSIP_Label_edd204cd-6aa2-46a1-bfaf-a0d9bcf7e7ca_ActionId">
    <vt:lpwstr>c6b00a47-48fd-41b2-88bb-c5f37ad4211c</vt:lpwstr>
  </property>
  <property fmtid="{D5CDD505-2E9C-101B-9397-08002B2CF9AE}" pid="28" name="MSIP_Label_edd204cd-6aa2-46a1-bfaf-a0d9bcf7e7ca_ContentBits">
    <vt:lpwstr>3</vt:lpwstr>
  </property>
  <property fmtid="{D5CDD505-2E9C-101B-9397-08002B2CF9AE}" pid="29" name="MSIP_Label_edd204cd-6aa2-46a1-bfaf-a0d9bcf7e7ca_Tag">
    <vt:lpwstr>10, 0, 1, 1</vt:lpwstr>
  </property>
</Properties>
</file>