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AD424" w14:textId="0821EAAF" w:rsidR="003146BC" w:rsidRDefault="00A310A3" w:rsidP="003146BC">
      <w:pPr>
        <w:spacing w:before="360"/>
        <w:jc w:val="center"/>
      </w:pPr>
      <w:r w:rsidRPr="00E93430">
        <w:rPr>
          <w:rFonts w:cs="Times New Roman"/>
          <w:b/>
          <w:noProof/>
          <w:szCs w:val="24"/>
          <w:lang w:eastAsia="en-AU"/>
        </w:rPr>
        <w:drawing>
          <wp:inline distT="0" distB="0" distL="0" distR="0" wp14:anchorId="3276337B" wp14:editId="264D53A9">
            <wp:extent cx="2991658" cy="1657350"/>
            <wp:effectExtent l="0" t="0" r="0" b="0"/>
            <wp:docPr id="2" name="Picture 2" descr="Australian Government Coat of A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Coat of Arms "/>
                    <pic:cNvPicPr>
                      <a:picLocks noChangeAspect="1" noChangeArrowheads="1"/>
                    </pic:cNvPicPr>
                  </pic:nvPicPr>
                  <pic:blipFill>
                    <a:blip r:embed="rId11">
                      <a:lum contrast="20000"/>
                      <a:extLst>
                        <a:ext uri="{28A0092B-C50C-407E-A947-70E740481C1C}">
                          <a14:useLocalDpi xmlns:a14="http://schemas.microsoft.com/office/drawing/2010/main" val="0"/>
                        </a:ext>
                      </a:extLst>
                    </a:blip>
                    <a:srcRect/>
                    <a:stretch>
                      <a:fillRect/>
                    </a:stretch>
                  </pic:blipFill>
                  <pic:spPr bwMode="auto">
                    <a:xfrm>
                      <a:off x="0" y="0"/>
                      <a:ext cx="3013680" cy="1669550"/>
                    </a:xfrm>
                    <a:prstGeom prst="rect">
                      <a:avLst/>
                    </a:prstGeom>
                    <a:noFill/>
                    <a:ln>
                      <a:noFill/>
                    </a:ln>
                  </pic:spPr>
                </pic:pic>
              </a:graphicData>
            </a:graphic>
          </wp:inline>
        </w:drawing>
      </w:r>
    </w:p>
    <w:p w14:paraId="4D392EB0" w14:textId="11118C24" w:rsidR="003146BC" w:rsidRPr="009E32CE" w:rsidRDefault="003146BC" w:rsidP="009E32CE">
      <w:pPr>
        <w:pStyle w:val="Title"/>
      </w:pPr>
      <w:r w:rsidRPr="009E32CE">
        <w:t xml:space="preserve">Australian Government response to the </w:t>
      </w:r>
      <w:r w:rsidRPr="009E32CE">
        <w:br/>
      </w:r>
      <w:r w:rsidR="252A6EC9" w:rsidRPr="009E32CE">
        <w:t>Senate Community Affairs References Committee</w:t>
      </w:r>
      <w:r w:rsidR="0B622C92" w:rsidRPr="009E32CE">
        <w:t xml:space="preserve"> </w:t>
      </w:r>
      <w:r w:rsidRPr="009E32CE">
        <w:t>report:</w:t>
      </w:r>
    </w:p>
    <w:p w14:paraId="25C0E5F6" w14:textId="77777777" w:rsidR="001A141A" w:rsidRPr="00594A0A" w:rsidRDefault="001A141A" w:rsidP="003146BC">
      <w:pPr>
        <w:spacing w:before="360"/>
        <w:jc w:val="center"/>
        <w:rPr>
          <w:rFonts w:cstheme="minorHAnsi"/>
          <w:sz w:val="36"/>
          <w:szCs w:val="36"/>
        </w:rPr>
      </w:pPr>
    </w:p>
    <w:p w14:paraId="52AEADD5" w14:textId="0DE9F10B" w:rsidR="13ADBFFA" w:rsidRDefault="13ADBFFA" w:rsidP="17C6A844">
      <w:pPr>
        <w:spacing w:before="240"/>
        <w:jc w:val="center"/>
        <w:rPr>
          <w:i/>
          <w:iCs/>
          <w:sz w:val="36"/>
          <w:szCs w:val="36"/>
        </w:rPr>
      </w:pPr>
      <w:r w:rsidRPr="17C6A844">
        <w:rPr>
          <w:i/>
          <w:iCs/>
          <w:sz w:val="36"/>
          <w:szCs w:val="36"/>
        </w:rPr>
        <w:t>Access to diagnosis and treatment for people in Australia with tick-borne diseases</w:t>
      </w:r>
    </w:p>
    <w:p w14:paraId="45C78B71" w14:textId="4B8C5522" w:rsidR="003146BC" w:rsidRPr="00594A0A" w:rsidRDefault="00443BF7" w:rsidP="003146BC">
      <w:pPr>
        <w:spacing w:before="6840" w:after="120"/>
        <w:jc w:val="right"/>
        <w:rPr>
          <w:rFonts w:cstheme="minorHAnsi"/>
          <w:caps/>
          <w:sz w:val="28"/>
          <w:szCs w:val="28"/>
        </w:rPr>
      </w:pPr>
      <w:r w:rsidRPr="009E32CE">
        <w:rPr>
          <w:rFonts w:cstheme="minorHAnsi"/>
          <w:caps/>
          <w:color w:val="000000" w:themeColor="text1"/>
          <w:sz w:val="28"/>
          <w:szCs w:val="28"/>
        </w:rPr>
        <w:t xml:space="preserve">October 2025 </w:t>
      </w:r>
      <w:r w:rsidR="003146BC" w:rsidRPr="00594A0A">
        <w:rPr>
          <w:rFonts w:cstheme="minorHAnsi"/>
          <w:caps/>
          <w:sz w:val="28"/>
          <w:szCs w:val="28"/>
        </w:rPr>
        <w:br/>
      </w:r>
    </w:p>
    <w:p w14:paraId="62E58A3A" w14:textId="77777777" w:rsidR="00443BF7" w:rsidRDefault="00443BF7">
      <w:pPr>
        <w:spacing w:after="160" w:line="259" w:lineRule="auto"/>
        <w:rPr>
          <w:rFonts w:cstheme="minorHAnsi"/>
          <w:sz w:val="28"/>
          <w:szCs w:val="28"/>
        </w:rPr>
      </w:pPr>
      <w:r>
        <w:rPr>
          <w:rFonts w:cstheme="minorHAnsi"/>
          <w:sz w:val="28"/>
          <w:szCs w:val="28"/>
        </w:rPr>
        <w:br w:type="page"/>
      </w:r>
    </w:p>
    <w:p w14:paraId="518AAB46" w14:textId="6F4FC92C" w:rsidR="003146BC" w:rsidRPr="009E32CE" w:rsidRDefault="003146BC" w:rsidP="009E32CE">
      <w:pPr>
        <w:pStyle w:val="Heading1"/>
      </w:pPr>
      <w:r w:rsidRPr="009E32CE">
        <w:lastRenderedPageBreak/>
        <w:t>Overview</w:t>
      </w:r>
    </w:p>
    <w:p w14:paraId="376EE88B" w14:textId="091943D1" w:rsidR="000F149C" w:rsidRPr="003513A6" w:rsidRDefault="000F149C" w:rsidP="000F149C">
      <w:pPr>
        <w:autoSpaceDE w:val="0"/>
        <w:autoSpaceDN w:val="0"/>
        <w:adjustRightInd w:val="0"/>
        <w:spacing w:after="0" w:line="240" w:lineRule="auto"/>
        <w:rPr>
          <w:rFonts w:cstheme="minorHAnsi"/>
          <w:color w:val="1E1622"/>
          <w:sz w:val="24"/>
          <w:szCs w:val="24"/>
        </w:rPr>
      </w:pPr>
      <w:r w:rsidRPr="003513A6">
        <w:rPr>
          <w:rFonts w:cstheme="minorHAnsi"/>
          <w:color w:val="1E1622"/>
          <w:sz w:val="24"/>
          <w:szCs w:val="24"/>
        </w:rPr>
        <w:t xml:space="preserve">The Australian Government </w:t>
      </w:r>
      <w:r w:rsidR="001A0B5F" w:rsidRPr="003513A6">
        <w:rPr>
          <w:rFonts w:cstheme="minorHAnsi"/>
          <w:color w:val="1E1622"/>
          <w:sz w:val="24"/>
          <w:szCs w:val="24"/>
        </w:rPr>
        <w:t>appreciates the opportunity to</w:t>
      </w:r>
      <w:r w:rsidR="00E67E7A" w:rsidRPr="003513A6">
        <w:rPr>
          <w:rFonts w:cstheme="minorHAnsi"/>
          <w:color w:val="1E1622"/>
          <w:sz w:val="24"/>
          <w:szCs w:val="24"/>
        </w:rPr>
        <w:t xml:space="preserve"> respond to the </w:t>
      </w:r>
      <w:r w:rsidR="00020C14" w:rsidRPr="003513A6">
        <w:rPr>
          <w:rFonts w:cstheme="minorHAnsi"/>
          <w:color w:val="1E1622"/>
          <w:sz w:val="24"/>
          <w:szCs w:val="24"/>
        </w:rPr>
        <w:t xml:space="preserve">Senate Community Affairs References Committee </w:t>
      </w:r>
      <w:r w:rsidRPr="003513A6">
        <w:rPr>
          <w:rFonts w:cstheme="minorHAnsi"/>
          <w:color w:val="1E1622"/>
          <w:sz w:val="24"/>
          <w:szCs w:val="24"/>
        </w:rPr>
        <w:t>list of recommendations</w:t>
      </w:r>
      <w:r w:rsidR="00020C14" w:rsidRPr="003513A6">
        <w:rPr>
          <w:rFonts w:cstheme="minorHAnsi"/>
          <w:color w:val="1E1622"/>
          <w:sz w:val="24"/>
          <w:szCs w:val="24"/>
        </w:rPr>
        <w:t xml:space="preserve"> on</w:t>
      </w:r>
      <w:r w:rsidR="001A0B5F" w:rsidRPr="003513A6">
        <w:rPr>
          <w:rFonts w:cstheme="minorHAnsi"/>
          <w:color w:val="1E1622"/>
          <w:sz w:val="24"/>
          <w:szCs w:val="24"/>
        </w:rPr>
        <w:t xml:space="preserve"> the Access to diagnosis and treatment for people in Australia with tick-borne diseases.</w:t>
      </w:r>
      <w:r w:rsidRPr="003513A6">
        <w:rPr>
          <w:rFonts w:cstheme="minorHAnsi"/>
          <w:color w:val="1E1622"/>
          <w:sz w:val="24"/>
          <w:szCs w:val="24"/>
        </w:rPr>
        <w:t xml:space="preserve"> The </w:t>
      </w:r>
      <w:r w:rsidR="00E46D75">
        <w:rPr>
          <w:rFonts w:cstheme="minorHAnsi"/>
          <w:color w:val="1E1622"/>
          <w:sz w:val="24"/>
          <w:szCs w:val="24"/>
        </w:rPr>
        <w:t>Government</w:t>
      </w:r>
      <w:r w:rsidR="00E46D75" w:rsidRPr="003513A6">
        <w:rPr>
          <w:rFonts w:cstheme="minorHAnsi"/>
          <w:color w:val="1E1622"/>
          <w:sz w:val="24"/>
          <w:szCs w:val="24"/>
        </w:rPr>
        <w:t xml:space="preserve"> </w:t>
      </w:r>
      <w:r w:rsidRPr="003513A6">
        <w:rPr>
          <w:rFonts w:cstheme="minorHAnsi"/>
          <w:color w:val="1E1622"/>
          <w:sz w:val="24"/>
          <w:szCs w:val="24"/>
        </w:rPr>
        <w:t>thanks the Committee and the various stakeholders for their valuable and thoughtful input to the Inquiry.</w:t>
      </w:r>
    </w:p>
    <w:p w14:paraId="1B3493F0" w14:textId="77777777" w:rsidR="00E56329" w:rsidRPr="003513A6" w:rsidRDefault="00E56329" w:rsidP="008C5D3D">
      <w:pPr>
        <w:autoSpaceDE w:val="0"/>
        <w:autoSpaceDN w:val="0"/>
        <w:adjustRightInd w:val="0"/>
        <w:spacing w:after="0" w:line="240" w:lineRule="auto"/>
        <w:rPr>
          <w:rFonts w:cstheme="minorHAnsi"/>
          <w:color w:val="1E1622"/>
          <w:sz w:val="24"/>
          <w:szCs w:val="24"/>
        </w:rPr>
      </w:pPr>
    </w:p>
    <w:p w14:paraId="25C4B636" w14:textId="6F60B4D4" w:rsidR="000F149C" w:rsidRPr="003513A6" w:rsidRDefault="00E56329" w:rsidP="00E56329">
      <w:pPr>
        <w:autoSpaceDE w:val="0"/>
        <w:autoSpaceDN w:val="0"/>
        <w:adjustRightInd w:val="0"/>
        <w:spacing w:after="0" w:line="240" w:lineRule="auto"/>
        <w:rPr>
          <w:rFonts w:cstheme="minorHAnsi"/>
          <w:color w:val="1E1622"/>
          <w:sz w:val="24"/>
          <w:szCs w:val="24"/>
        </w:rPr>
      </w:pPr>
      <w:r w:rsidRPr="003513A6">
        <w:rPr>
          <w:rFonts w:cstheme="minorHAnsi"/>
          <w:color w:val="1E1622"/>
          <w:sz w:val="24"/>
          <w:szCs w:val="24"/>
        </w:rPr>
        <w:t xml:space="preserve">The Government </w:t>
      </w:r>
      <w:r w:rsidR="00847C71">
        <w:rPr>
          <w:rFonts w:cstheme="minorHAnsi"/>
          <w:color w:val="1E1622"/>
          <w:sz w:val="24"/>
          <w:szCs w:val="24"/>
        </w:rPr>
        <w:t>acknowledges the</w:t>
      </w:r>
      <w:r w:rsidR="00847C71" w:rsidRPr="003513A6">
        <w:rPr>
          <w:rFonts w:cstheme="minorHAnsi"/>
          <w:color w:val="1E1622"/>
          <w:sz w:val="24"/>
          <w:szCs w:val="24"/>
        </w:rPr>
        <w:t xml:space="preserve"> concern</w:t>
      </w:r>
      <w:r w:rsidR="00847C71">
        <w:rPr>
          <w:rFonts w:cstheme="minorHAnsi"/>
          <w:color w:val="1E1622"/>
          <w:sz w:val="24"/>
          <w:szCs w:val="24"/>
        </w:rPr>
        <w:t>s</w:t>
      </w:r>
      <w:r w:rsidR="00847C71" w:rsidRPr="003513A6">
        <w:rPr>
          <w:rFonts w:cstheme="minorHAnsi"/>
          <w:color w:val="1E1622"/>
          <w:sz w:val="24"/>
          <w:szCs w:val="24"/>
        </w:rPr>
        <w:t xml:space="preserve"> </w:t>
      </w:r>
      <w:r w:rsidR="00847C71">
        <w:rPr>
          <w:rFonts w:cstheme="minorHAnsi"/>
          <w:color w:val="1E1622"/>
          <w:sz w:val="24"/>
          <w:szCs w:val="24"/>
        </w:rPr>
        <w:t>of</w:t>
      </w:r>
      <w:r w:rsidR="00847C71" w:rsidRPr="003513A6">
        <w:rPr>
          <w:rFonts w:cstheme="minorHAnsi"/>
          <w:color w:val="1E1622"/>
          <w:sz w:val="24"/>
          <w:szCs w:val="24"/>
        </w:rPr>
        <w:t xml:space="preserve"> </w:t>
      </w:r>
      <w:r w:rsidRPr="003513A6">
        <w:rPr>
          <w:rFonts w:cstheme="minorHAnsi"/>
          <w:color w:val="1E1622"/>
          <w:sz w:val="24"/>
          <w:szCs w:val="24"/>
        </w:rPr>
        <w:t>patients who are facing issues</w:t>
      </w:r>
      <w:r w:rsidRPr="003513A6">
        <w:rPr>
          <w:rFonts w:cstheme="minorHAnsi"/>
          <w:sz w:val="24"/>
          <w:szCs w:val="24"/>
        </w:rPr>
        <w:t xml:space="preserve"> </w:t>
      </w:r>
      <w:r w:rsidRPr="003513A6">
        <w:rPr>
          <w:rFonts w:cstheme="minorHAnsi"/>
          <w:color w:val="1E1622"/>
          <w:sz w:val="24"/>
          <w:szCs w:val="24"/>
        </w:rPr>
        <w:t xml:space="preserve">accessing diagnosis and treatment with tick-borne </w:t>
      </w:r>
      <w:r w:rsidR="007909CD" w:rsidRPr="003513A6">
        <w:rPr>
          <w:rFonts w:cstheme="minorHAnsi"/>
          <w:color w:val="1E1622"/>
          <w:sz w:val="24"/>
          <w:szCs w:val="24"/>
        </w:rPr>
        <w:t>illnes</w:t>
      </w:r>
      <w:r w:rsidRPr="003513A6">
        <w:rPr>
          <w:rFonts w:cstheme="minorHAnsi"/>
          <w:color w:val="1E1622"/>
          <w:sz w:val="24"/>
          <w:szCs w:val="24"/>
        </w:rPr>
        <w:t>ses.</w:t>
      </w:r>
      <w:r w:rsidR="000F149C" w:rsidRPr="003513A6">
        <w:rPr>
          <w:rFonts w:cstheme="minorHAnsi"/>
          <w:color w:val="1E1622"/>
          <w:sz w:val="24"/>
          <w:szCs w:val="24"/>
        </w:rPr>
        <w:t xml:space="preserve"> In early 2013</w:t>
      </w:r>
      <w:r w:rsidR="007909CD" w:rsidRPr="003513A6">
        <w:rPr>
          <w:rFonts w:cstheme="minorHAnsi"/>
          <w:color w:val="1E1622"/>
          <w:sz w:val="24"/>
          <w:szCs w:val="24"/>
        </w:rPr>
        <w:t>,</w:t>
      </w:r>
      <w:r w:rsidR="000F149C" w:rsidRPr="003513A6">
        <w:rPr>
          <w:rFonts w:cstheme="minorHAnsi"/>
          <w:color w:val="1E1622"/>
          <w:sz w:val="24"/>
          <w:szCs w:val="24"/>
        </w:rPr>
        <w:t xml:space="preserve"> the </w:t>
      </w:r>
      <w:r w:rsidR="00654C3A">
        <w:rPr>
          <w:rFonts w:cstheme="minorHAnsi"/>
          <w:color w:val="1E1622"/>
          <w:sz w:val="24"/>
          <w:szCs w:val="24"/>
        </w:rPr>
        <w:t xml:space="preserve">Department of Health, Disability and Ageing </w:t>
      </w:r>
      <w:r w:rsidR="000F149C" w:rsidRPr="003513A6">
        <w:rPr>
          <w:rFonts w:cstheme="minorHAnsi"/>
          <w:color w:val="1E1622"/>
          <w:sz w:val="24"/>
          <w:szCs w:val="24"/>
        </w:rPr>
        <w:t>began engag</w:t>
      </w:r>
      <w:r w:rsidR="007909CD" w:rsidRPr="003513A6">
        <w:rPr>
          <w:rFonts w:cstheme="minorHAnsi"/>
          <w:color w:val="1E1622"/>
          <w:sz w:val="24"/>
          <w:szCs w:val="24"/>
        </w:rPr>
        <w:t>ing</w:t>
      </w:r>
      <w:r w:rsidR="000F149C" w:rsidRPr="003513A6">
        <w:rPr>
          <w:rFonts w:cstheme="minorHAnsi"/>
          <w:color w:val="1E1622"/>
          <w:sz w:val="24"/>
          <w:szCs w:val="24"/>
        </w:rPr>
        <w:t xml:space="preserve"> with patients</w:t>
      </w:r>
      <w:r w:rsidR="00486931" w:rsidRPr="003513A6">
        <w:rPr>
          <w:rFonts w:cstheme="minorHAnsi"/>
          <w:color w:val="1E1622"/>
          <w:sz w:val="24"/>
          <w:szCs w:val="24"/>
        </w:rPr>
        <w:t>,</w:t>
      </w:r>
      <w:r w:rsidR="000F149C" w:rsidRPr="003513A6">
        <w:rPr>
          <w:rFonts w:cstheme="minorHAnsi"/>
          <w:color w:val="1E1622"/>
          <w:sz w:val="24"/>
          <w:szCs w:val="24"/>
        </w:rPr>
        <w:t xml:space="preserve"> </w:t>
      </w:r>
      <w:r w:rsidR="00486931" w:rsidRPr="003513A6">
        <w:rPr>
          <w:rFonts w:cstheme="minorHAnsi"/>
          <w:color w:val="1E1622"/>
          <w:sz w:val="24"/>
          <w:szCs w:val="24"/>
        </w:rPr>
        <w:t xml:space="preserve">medical practitioners, </w:t>
      </w:r>
      <w:r w:rsidR="000F149C" w:rsidRPr="003513A6">
        <w:rPr>
          <w:rFonts w:cstheme="minorHAnsi"/>
          <w:color w:val="1E1622"/>
          <w:sz w:val="24"/>
          <w:szCs w:val="24"/>
        </w:rPr>
        <w:t>and advocacy groups to discuss concerns about Lyme disease. In 2016</w:t>
      </w:r>
      <w:r w:rsidR="007909CD" w:rsidRPr="003513A6">
        <w:rPr>
          <w:rFonts w:cstheme="minorHAnsi"/>
          <w:color w:val="1E1622"/>
          <w:sz w:val="24"/>
          <w:szCs w:val="24"/>
        </w:rPr>
        <w:t>,</w:t>
      </w:r>
      <w:r w:rsidR="000F149C" w:rsidRPr="003513A6">
        <w:rPr>
          <w:rFonts w:cstheme="minorHAnsi"/>
          <w:color w:val="1E1622"/>
          <w:sz w:val="24"/>
          <w:szCs w:val="24"/>
        </w:rPr>
        <w:t xml:space="preserve"> the department engaged and addressed </w:t>
      </w:r>
      <w:r w:rsidR="001063C0" w:rsidRPr="003513A6">
        <w:rPr>
          <w:rFonts w:cstheme="minorHAnsi"/>
          <w:color w:val="1E1622"/>
          <w:sz w:val="24"/>
          <w:szCs w:val="24"/>
        </w:rPr>
        <w:t>the Senate Inquiry</w:t>
      </w:r>
      <w:r w:rsidR="000F149C" w:rsidRPr="003513A6">
        <w:rPr>
          <w:rFonts w:cstheme="minorHAnsi"/>
          <w:color w:val="1E1622"/>
          <w:sz w:val="24"/>
          <w:szCs w:val="24"/>
        </w:rPr>
        <w:t xml:space="preserve"> recommendations into Growing evidence of an emerging tick-borne disease that causes a Lyme-like illness</w:t>
      </w:r>
      <w:r w:rsidR="00252F21" w:rsidRPr="003513A6">
        <w:rPr>
          <w:rFonts w:cstheme="minorHAnsi"/>
          <w:color w:val="1E1622"/>
          <w:sz w:val="24"/>
          <w:szCs w:val="24"/>
        </w:rPr>
        <w:t xml:space="preserve"> (2016 Inquiry)</w:t>
      </w:r>
      <w:r w:rsidR="00EE1934">
        <w:rPr>
          <w:rFonts w:cstheme="minorHAnsi"/>
          <w:color w:val="1E1622"/>
          <w:sz w:val="24"/>
          <w:szCs w:val="24"/>
        </w:rPr>
        <w:t xml:space="preserve"> through a range of measures such as public education materials, research and guidance for medical practitioners</w:t>
      </w:r>
      <w:r w:rsidRPr="003513A6">
        <w:rPr>
          <w:rFonts w:cstheme="minorHAnsi"/>
          <w:color w:val="1E1622"/>
          <w:sz w:val="24"/>
          <w:szCs w:val="24"/>
        </w:rPr>
        <w:t xml:space="preserve">. </w:t>
      </w:r>
      <w:r w:rsidR="001063C0" w:rsidRPr="003513A6">
        <w:rPr>
          <w:rFonts w:cstheme="minorHAnsi"/>
          <w:color w:val="1E1622"/>
          <w:sz w:val="24"/>
          <w:szCs w:val="24"/>
        </w:rPr>
        <w:t xml:space="preserve">As a result, the department has gained a deeper appreciation and </w:t>
      </w:r>
      <w:r w:rsidR="00EE1934">
        <w:rPr>
          <w:rFonts w:cstheme="minorHAnsi"/>
          <w:color w:val="1E1622"/>
          <w:sz w:val="24"/>
          <w:szCs w:val="24"/>
        </w:rPr>
        <w:t xml:space="preserve">growing </w:t>
      </w:r>
      <w:r w:rsidR="001063C0" w:rsidRPr="003513A6">
        <w:rPr>
          <w:rFonts w:cstheme="minorHAnsi"/>
          <w:color w:val="1E1622"/>
          <w:sz w:val="24"/>
          <w:szCs w:val="24"/>
        </w:rPr>
        <w:t>concern for those Australians experiencing issues relating to tick-borne diseases.</w:t>
      </w:r>
    </w:p>
    <w:p w14:paraId="3F004993" w14:textId="77777777" w:rsidR="00E56329" w:rsidRPr="003513A6" w:rsidRDefault="00E56329" w:rsidP="00E56329">
      <w:pPr>
        <w:autoSpaceDE w:val="0"/>
        <w:autoSpaceDN w:val="0"/>
        <w:adjustRightInd w:val="0"/>
        <w:spacing w:after="0" w:line="240" w:lineRule="auto"/>
        <w:rPr>
          <w:rFonts w:cstheme="minorHAnsi"/>
          <w:color w:val="1E1622"/>
          <w:sz w:val="24"/>
          <w:szCs w:val="24"/>
        </w:rPr>
      </w:pPr>
    </w:p>
    <w:p w14:paraId="6158DA95" w14:textId="78A4DEAC" w:rsidR="00E56329" w:rsidRPr="003513A6" w:rsidRDefault="00E56329" w:rsidP="00E56329">
      <w:pPr>
        <w:autoSpaceDE w:val="0"/>
        <w:autoSpaceDN w:val="0"/>
        <w:adjustRightInd w:val="0"/>
        <w:spacing w:after="0" w:line="240" w:lineRule="auto"/>
        <w:rPr>
          <w:rFonts w:cstheme="minorHAnsi"/>
          <w:color w:val="1E1622"/>
          <w:sz w:val="24"/>
          <w:szCs w:val="24"/>
        </w:rPr>
      </w:pPr>
      <w:r w:rsidRPr="003513A6">
        <w:rPr>
          <w:rFonts w:cstheme="minorHAnsi"/>
          <w:color w:val="1E1622"/>
          <w:sz w:val="24"/>
          <w:szCs w:val="24"/>
        </w:rPr>
        <w:t>This response addresses the specific recommendations raised in the</w:t>
      </w:r>
      <w:r w:rsidR="00EE1934">
        <w:rPr>
          <w:rFonts w:cstheme="minorHAnsi"/>
          <w:color w:val="1E1622"/>
          <w:sz w:val="24"/>
          <w:szCs w:val="24"/>
        </w:rPr>
        <w:t xml:space="preserve"> current</w:t>
      </w:r>
      <w:r w:rsidRPr="003513A6">
        <w:rPr>
          <w:rFonts w:cstheme="minorHAnsi"/>
          <w:color w:val="1E1622"/>
          <w:sz w:val="24"/>
          <w:szCs w:val="24"/>
        </w:rPr>
        <w:t xml:space="preserve"> Senate Committee's</w:t>
      </w:r>
      <w:r w:rsidR="00EE1934">
        <w:rPr>
          <w:rFonts w:cstheme="minorHAnsi"/>
          <w:color w:val="1E1622"/>
          <w:sz w:val="24"/>
          <w:szCs w:val="24"/>
        </w:rPr>
        <w:t xml:space="preserve"> </w:t>
      </w:r>
      <w:r w:rsidRPr="003513A6">
        <w:rPr>
          <w:rFonts w:cstheme="minorHAnsi"/>
          <w:color w:val="1E1622"/>
          <w:sz w:val="24"/>
          <w:szCs w:val="24"/>
        </w:rPr>
        <w:t>Report</w:t>
      </w:r>
      <w:r w:rsidR="001063C0" w:rsidRPr="003513A6">
        <w:rPr>
          <w:rFonts w:cstheme="minorHAnsi"/>
          <w:color w:val="1E1622"/>
          <w:sz w:val="24"/>
          <w:szCs w:val="24"/>
        </w:rPr>
        <w:t xml:space="preserve">. The </w:t>
      </w:r>
      <w:r w:rsidR="00654C3A">
        <w:rPr>
          <w:rFonts w:cstheme="minorHAnsi"/>
          <w:color w:val="1E1622"/>
          <w:sz w:val="24"/>
          <w:szCs w:val="24"/>
        </w:rPr>
        <w:t>Government</w:t>
      </w:r>
      <w:r w:rsidR="00654C3A" w:rsidRPr="003513A6">
        <w:rPr>
          <w:rFonts w:cstheme="minorHAnsi"/>
          <w:color w:val="1E1622"/>
          <w:sz w:val="24"/>
          <w:szCs w:val="24"/>
        </w:rPr>
        <w:t xml:space="preserve"> </w:t>
      </w:r>
      <w:r w:rsidRPr="003513A6">
        <w:rPr>
          <w:rFonts w:cstheme="minorHAnsi"/>
          <w:color w:val="1E1622"/>
          <w:sz w:val="24"/>
          <w:szCs w:val="24"/>
        </w:rPr>
        <w:t>remains open-minded about</w:t>
      </w:r>
      <w:r w:rsidR="001063C0" w:rsidRPr="003513A6">
        <w:rPr>
          <w:rFonts w:cstheme="minorHAnsi"/>
          <w:color w:val="1E1622"/>
          <w:sz w:val="24"/>
          <w:szCs w:val="24"/>
        </w:rPr>
        <w:t xml:space="preserve"> </w:t>
      </w:r>
      <w:r w:rsidRPr="003513A6">
        <w:rPr>
          <w:rFonts w:cstheme="minorHAnsi"/>
          <w:color w:val="1E1622"/>
          <w:sz w:val="24"/>
          <w:szCs w:val="24"/>
        </w:rPr>
        <w:t xml:space="preserve">the cause of the various complexes which manifest as </w:t>
      </w:r>
      <w:r w:rsidR="00EE1934">
        <w:rPr>
          <w:rFonts w:cstheme="minorHAnsi"/>
          <w:color w:val="1E1622"/>
          <w:sz w:val="24"/>
          <w:szCs w:val="24"/>
        </w:rPr>
        <w:t xml:space="preserve">a range </w:t>
      </w:r>
      <w:r w:rsidRPr="003513A6">
        <w:rPr>
          <w:rFonts w:cstheme="minorHAnsi"/>
          <w:color w:val="1E1622"/>
          <w:sz w:val="24"/>
          <w:szCs w:val="24"/>
        </w:rPr>
        <w:t>of chronic debilitating</w:t>
      </w:r>
      <w:r w:rsidR="001063C0" w:rsidRPr="003513A6">
        <w:rPr>
          <w:rFonts w:cstheme="minorHAnsi"/>
          <w:color w:val="1E1622"/>
          <w:sz w:val="24"/>
          <w:szCs w:val="24"/>
        </w:rPr>
        <w:t xml:space="preserve"> </w:t>
      </w:r>
      <w:r w:rsidRPr="003513A6">
        <w:rPr>
          <w:rFonts w:cstheme="minorHAnsi"/>
          <w:color w:val="1E1622"/>
          <w:sz w:val="24"/>
          <w:szCs w:val="24"/>
        </w:rPr>
        <w:t>symptoms. The best outcome for patients</w:t>
      </w:r>
      <w:r w:rsidR="007909CD" w:rsidRPr="003513A6">
        <w:rPr>
          <w:rFonts w:cstheme="minorHAnsi"/>
          <w:color w:val="1E1622"/>
          <w:sz w:val="24"/>
          <w:szCs w:val="24"/>
        </w:rPr>
        <w:t xml:space="preserve"> and health practitioners</w:t>
      </w:r>
      <w:r w:rsidRPr="003513A6">
        <w:rPr>
          <w:rFonts w:cstheme="minorHAnsi"/>
          <w:color w:val="1E1622"/>
          <w:sz w:val="24"/>
          <w:szCs w:val="24"/>
        </w:rPr>
        <w:t xml:space="preserve"> is to not draw conclusions based on poor levels of</w:t>
      </w:r>
      <w:r w:rsidR="001063C0" w:rsidRPr="003513A6">
        <w:rPr>
          <w:rFonts w:cstheme="minorHAnsi"/>
          <w:color w:val="1E1622"/>
          <w:sz w:val="24"/>
          <w:szCs w:val="24"/>
        </w:rPr>
        <w:t xml:space="preserve"> </w:t>
      </w:r>
      <w:r w:rsidRPr="003513A6">
        <w:rPr>
          <w:rFonts w:cstheme="minorHAnsi"/>
          <w:color w:val="1E1622"/>
          <w:sz w:val="24"/>
          <w:szCs w:val="24"/>
        </w:rPr>
        <w:t xml:space="preserve">evidence, but to consider each patient thoroughly in a multidisciplinary medical approach that makes the best use of clinical </w:t>
      </w:r>
      <w:r w:rsidR="001D64E2">
        <w:rPr>
          <w:rFonts w:cstheme="minorHAnsi"/>
          <w:color w:val="1E1622"/>
          <w:sz w:val="24"/>
          <w:szCs w:val="24"/>
        </w:rPr>
        <w:t>expertise</w:t>
      </w:r>
      <w:r w:rsidRPr="003513A6">
        <w:rPr>
          <w:rFonts w:cstheme="minorHAnsi"/>
          <w:color w:val="1E1622"/>
          <w:sz w:val="24"/>
          <w:szCs w:val="24"/>
        </w:rPr>
        <w:t xml:space="preserve"> and available diagnostic skills and technology.</w:t>
      </w:r>
    </w:p>
    <w:p w14:paraId="50C141C0" w14:textId="77777777" w:rsidR="001063C0" w:rsidRPr="003513A6" w:rsidRDefault="001063C0" w:rsidP="00E56329">
      <w:pPr>
        <w:autoSpaceDE w:val="0"/>
        <w:autoSpaceDN w:val="0"/>
        <w:adjustRightInd w:val="0"/>
        <w:spacing w:after="0" w:line="240" w:lineRule="auto"/>
        <w:rPr>
          <w:rFonts w:cstheme="minorHAnsi"/>
          <w:color w:val="1E1622"/>
          <w:sz w:val="24"/>
          <w:szCs w:val="24"/>
        </w:rPr>
      </w:pPr>
    </w:p>
    <w:p w14:paraId="7AC1F441" w14:textId="11FF880E" w:rsidR="001063C0" w:rsidRPr="003513A6" w:rsidRDefault="001063C0" w:rsidP="001063C0">
      <w:pPr>
        <w:autoSpaceDE w:val="0"/>
        <w:autoSpaceDN w:val="0"/>
        <w:adjustRightInd w:val="0"/>
        <w:spacing w:after="0" w:line="240" w:lineRule="auto"/>
        <w:rPr>
          <w:rFonts w:cstheme="minorHAnsi"/>
          <w:color w:val="1E1622"/>
          <w:sz w:val="24"/>
          <w:szCs w:val="24"/>
        </w:rPr>
      </w:pPr>
      <w:r w:rsidRPr="003513A6">
        <w:rPr>
          <w:rFonts w:cstheme="minorHAnsi"/>
          <w:color w:val="1E1622"/>
          <w:sz w:val="24"/>
          <w:szCs w:val="24"/>
        </w:rPr>
        <w:t xml:space="preserve">The Government remains engaged with the patient and medical community to continue to find, share and understand the evidence associated with tick-borne diseases. The </w:t>
      </w:r>
      <w:r w:rsidR="00E46D75">
        <w:rPr>
          <w:rFonts w:cstheme="minorHAnsi"/>
          <w:color w:val="1E1622"/>
          <w:sz w:val="24"/>
          <w:szCs w:val="24"/>
        </w:rPr>
        <w:t>Government</w:t>
      </w:r>
      <w:r w:rsidR="00E46D75" w:rsidRPr="003513A6">
        <w:rPr>
          <w:rFonts w:cstheme="minorHAnsi"/>
          <w:color w:val="1E1622"/>
          <w:sz w:val="24"/>
          <w:szCs w:val="24"/>
        </w:rPr>
        <w:t xml:space="preserve"> </w:t>
      </w:r>
      <w:r w:rsidRPr="003513A6">
        <w:rPr>
          <w:rFonts w:cstheme="minorHAnsi"/>
          <w:color w:val="1E1622"/>
          <w:sz w:val="24"/>
          <w:szCs w:val="24"/>
        </w:rPr>
        <w:t>hopes its continued work with clinical medicine and research communities will result in answers and relief for patients and their families.</w:t>
      </w:r>
    </w:p>
    <w:p w14:paraId="6226F344" w14:textId="77777777" w:rsidR="00445178" w:rsidRPr="003513A6" w:rsidRDefault="00445178" w:rsidP="008C5D3D">
      <w:pPr>
        <w:autoSpaceDE w:val="0"/>
        <w:autoSpaceDN w:val="0"/>
        <w:adjustRightInd w:val="0"/>
        <w:spacing w:after="0" w:line="240" w:lineRule="auto"/>
        <w:rPr>
          <w:rFonts w:cstheme="minorHAnsi"/>
          <w:color w:val="1E1622"/>
          <w:sz w:val="24"/>
          <w:szCs w:val="24"/>
        </w:rPr>
      </w:pPr>
    </w:p>
    <w:p w14:paraId="118067AD" w14:textId="1EB8F441" w:rsidR="003146BC" w:rsidRPr="003513A6" w:rsidRDefault="003146BC" w:rsidP="001063C0">
      <w:pPr>
        <w:autoSpaceDE w:val="0"/>
        <w:autoSpaceDN w:val="0"/>
        <w:adjustRightInd w:val="0"/>
        <w:spacing w:after="0" w:line="240" w:lineRule="auto"/>
        <w:rPr>
          <w:rFonts w:cstheme="minorHAnsi"/>
          <w:color w:val="1E1622"/>
          <w:sz w:val="24"/>
          <w:szCs w:val="24"/>
        </w:rPr>
        <w:sectPr w:rsidR="003146BC" w:rsidRPr="003513A6">
          <w:headerReference w:type="even" r:id="rId12"/>
          <w:footerReference w:type="even" r:id="rId13"/>
          <w:footerReference w:type="default" r:id="rId14"/>
          <w:pgSz w:w="11906" w:h="16838" w:code="9"/>
          <w:pgMar w:top="1134" w:right="1418" w:bottom="709" w:left="1418" w:header="709" w:footer="584" w:gutter="0"/>
          <w:cols w:space="708"/>
          <w:titlePg/>
          <w:docGrid w:linePitch="360"/>
        </w:sectPr>
      </w:pPr>
    </w:p>
    <w:p w14:paraId="061605DC" w14:textId="77777777" w:rsidR="003146BC" w:rsidRPr="009E32CE" w:rsidRDefault="003146BC" w:rsidP="009E32CE">
      <w:pPr>
        <w:pStyle w:val="Heading2"/>
      </w:pPr>
      <w:r w:rsidRPr="009E32CE">
        <w:lastRenderedPageBreak/>
        <w:t>Recommendation 1</w:t>
      </w:r>
    </w:p>
    <w:p w14:paraId="53DDB745" w14:textId="0FDD7D8F" w:rsidR="7AE68462" w:rsidRPr="003513A6" w:rsidRDefault="7AE68462" w:rsidP="17C6A844">
      <w:pPr>
        <w:rPr>
          <w:rFonts w:cstheme="minorHAnsi"/>
          <w:b/>
          <w:bCs/>
          <w:i/>
          <w:iCs/>
          <w:sz w:val="24"/>
          <w:szCs w:val="24"/>
        </w:rPr>
      </w:pPr>
      <w:r w:rsidRPr="003513A6">
        <w:rPr>
          <w:rFonts w:cstheme="minorHAnsi"/>
          <w:b/>
          <w:bCs/>
          <w:i/>
          <w:iCs/>
          <w:sz w:val="24"/>
          <w:szCs w:val="24"/>
        </w:rPr>
        <w:t>The committee recommends that the Department of Health</w:t>
      </w:r>
      <w:r w:rsidR="00073F5D">
        <w:rPr>
          <w:rFonts w:cstheme="minorHAnsi"/>
          <w:b/>
          <w:bCs/>
          <w:i/>
          <w:iCs/>
          <w:sz w:val="24"/>
          <w:szCs w:val="24"/>
        </w:rPr>
        <w:t xml:space="preserve">, Disability and Ageing </w:t>
      </w:r>
      <w:r w:rsidRPr="003513A6">
        <w:rPr>
          <w:rFonts w:cstheme="minorHAnsi"/>
          <w:b/>
          <w:bCs/>
          <w:i/>
          <w:iCs/>
          <w:sz w:val="24"/>
          <w:szCs w:val="24"/>
        </w:rPr>
        <w:t>work with state and territory governments to develop public education and awareness campaigns to prevent tick-bites, provide information on the treatment of tick-bites, and the symptoms of tick-borne illnesses.</w:t>
      </w:r>
    </w:p>
    <w:p w14:paraId="1C8DF8FC" w14:textId="131342A7" w:rsidR="00073F5D" w:rsidRDefault="135317E1" w:rsidP="17C6A844">
      <w:pPr>
        <w:rPr>
          <w:rFonts w:cstheme="minorHAnsi"/>
          <w:sz w:val="24"/>
          <w:szCs w:val="24"/>
        </w:rPr>
      </w:pPr>
      <w:r w:rsidRPr="003513A6">
        <w:rPr>
          <w:rFonts w:cstheme="minorHAnsi"/>
          <w:sz w:val="24"/>
          <w:szCs w:val="24"/>
        </w:rPr>
        <w:t>The</w:t>
      </w:r>
      <w:r w:rsidR="006A464D" w:rsidRPr="003513A6">
        <w:rPr>
          <w:rFonts w:cstheme="minorHAnsi"/>
          <w:sz w:val="24"/>
          <w:szCs w:val="24"/>
        </w:rPr>
        <w:t xml:space="preserve"> Government</w:t>
      </w:r>
      <w:r w:rsidR="001D64E2">
        <w:rPr>
          <w:rFonts w:cstheme="minorHAnsi"/>
          <w:sz w:val="24"/>
          <w:szCs w:val="24"/>
        </w:rPr>
        <w:t xml:space="preserve"> </w:t>
      </w:r>
      <w:r w:rsidR="00A95CEB">
        <w:rPr>
          <w:rFonts w:cstheme="minorHAnsi"/>
          <w:sz w:val="24"/>
          <w:szCs w:val="24"/>
        </w:rPr>
        <w:t>supports</w:t>
      </w:r>
      <w:r w:rsidRPr="003513A6">
        <w:rPr>
          <w:rFonts w:cstheme="minorHAnsi"/>
          <w:sz w:val="24"/>
          <w:szCs w:val="24"/>
        </w:rPr>
        <w:t xml:space="preserve"> this recommendation</w:t>
      </w:r>
      <w:r w:rsidR="2048BB8B" w:rsidRPr="003513A6">
        <w:rPr>
          <w:rFonts w:cstheme="minorHAnsi"/>
          <w:sz w:val="24"/>
          <w:szCs w:val="24"/>
        </w:rPr>
        <w:t>.</w:t>
      </w:r>
    </w:p>
    <w:p w14:paraId="75D25724" w14:textId="4B9A5371" w:rsidR="0015232D" w:rsidRPr="003513A6" w:rsidRDefault="6A9A4484" w:rsidP="17C6A844">
      <w:pPr>
        <w:rPr>
          <w:rFonts w:cstheme="minorHAnsi"/>
          <w:sz w:val="24"/>
          <w:szCs w:val="24"/>
        </w:rPr>
      </w:pPr>
      <w:r w:rsidRPr="003513A6">
        <w:rPr>
          <w:rFonts w:cstheme="minorHAnsi"/>
          <w:sz w:val="24"/>
          <w:szCs w:val="24"/>
        </w:rPr>
        <w:t>I</w:t>
      </w:r>
      <w:r w:rsidR="1E0C5533" w:rsidRPr="003513A6">
        <w:rPr>
          <w:rFonts w:cstheme="minorHAnsi"/>
          <w:sz w:val="24"/>
          <w:szCs w:val="24"/>
        </w:rPr>
        <w:t xml:space="preserve">n the first instance </w:t>
      </w:r>
      <w:r w:rsidR="0032665E" w:rsidRPr="003513A6">
        <w:rPr>
          <w:rFonts w:cstheme="minorHAnsi"/>
          <w:sz w:val="24"/>
          <w:szCs w:val="24"/>
        </w:rPr>
        <w:t>the department</w:t>
      </w:r>
      <w:r w:rsidR="1E0C5533" w:rsidRPr="003513A6">
        <w:rPr>
          <w:rFonts w:cstheme="minorHAnsi"/>
          <w:sz w:val="24"/>
          <w:szCs w:val="24"/>
        </w:rPr>
        <w:t xml:space="preserve"> will</w:t>
      </w:r>
      <w:r w:rsidR="005373AE" w:rsidRPr="003513A6">
        <w:rPr>
          <w:rFonts w:cstheme="minorHAnsi"/>
          <w:sz w:val="24"/>
          <w:szCs w:val="24"/>
        </w:rPr>
        <w:t xml:space="preserve"> work with state and territory governments to</w:t>
      </w:r>
      <w:r w:rsidR="1E0C5533" w:rsidRPr="003513A6">
        <w:rPr>
          <w:rFonts w:cstheme="minorHAnsi"/>
          <w:sz w:val="24"/>
          <w:szCs w:val="24"/>
        </w:rPr>
        <w:t xml:space="preserve"> review</w:t>
      </w:r>
      <w:r w:rsidR="005373AE" w:rsidRPr="003513A6">
        <w:rPr>
          <w:rFonts w:cstheme="minorHAnsi"/>
          <w:sz w:val="24"/>
          <w:szCs w:val="24"/>
        </w:rPr>
        <w:t xml:space="preserve"> existing</w:t>
      </w:r>
      <w:r w:rsidR="1E0C5533" w:rsidRPr="003513A6">
        <w:rPr>
          <w:rFonts w:cstheme="minorHAnsi"/>
          <w:sz w:val="24"/>
          <w:szCs w:val="24"/>
        </w:rPr>
        <w:t xml:space="preserve"> public education </w:t>
      </w:r>
      <w:r w:rsidR="005373AE" w:rsidRPr="003513A6">
        <w:rPr>
          <w:rFonts w:cstheme="minorHAnsi"/>
          <w:sz w:val="24"/>
          <w:szCs w:val="24"/>
        </w:rPr>
        <w:t xml:space="preserve">materials on the prevention of tick-bites, treatment of </w:t>
      </w:r>
      <w:r w:rsidR="00B71E46">
        <w:rPr>
          <w:rFonts w:cstheme="minorHAnsi"/>
          <w:sz w:val="24"/>
          <w:szCs w:val="24"/>
        </w:rPr>
        <w:br/>
      </w:r>
      <w:r w:rsidR="005373AE" w:rsidRPr="003513A6">
        <w:rPr>
          <w:rFonts w:cstheme="minorHAnsi"/>
          <w:sz w:val="24"/>
          <w:szCs w:val="24"/>
        </w:rPr>
        <w:t>tick-bites, and the symptoms of tick-borne illnesses</w:t>
      </w:r>
      <w:r w:rsidR="006A7102" w:rsidRPr="003513A6">
        <w:rPr>
          <w:rFonts w:cstheme="minorHAnsi"/>
          <w:sz w:val="24"/>
          <w:szCs w:val="24"/>
        </w:rPr>
        <w:t>.</w:t>
      </w:r>
      <w:r w:rsidR="1E0C5533" w:rsidRPr="003513A6">
        <w:rPr>
          <w:rFonts w:cstheme="minorHAnsi"/>
          <w:sz w:val="24"/>
          <w:szCs w:val="24"/>
        </w:rPr>
        <w:t xml:space="preserve"> </w:t>
      </w:r>
    </w:p>
    <w:p w14:paraId="46E2794F" w14:textId="7A7FE22D" w:rsidR="00EE1934" w:rsidRDefault="00B5083B" w:rsidP="00EE1934">
      <w:pPr>
        <w:rPr>
          <w:rFonts w:cstheme="minorHAnsi"/>
          <w:sz w:val="24"/>
          <w:szCs w:val="24"/>
        </w:rPr>
      </w:pPr>
      <w:r>
        <w:rPr>
          <w:rFonts w:cstheme="minorHAnsi"/>
          <w:sz w:val="24"/>
          <w:szCs w:val="24"/>
        </w:rPr>
        <w:t>F</w:t>
      </w:r>
      <w:r w:rsidR="00EE1934" w:rsidRPr="003513A6">
        <w:rPr>
          <w:rFonts w:cstheme="minorHAnsi"/>
          <w:sz w:val="24"/>
          <w:szCs w:val="24"/>
        </w:rPr>
        <w:t>ollowing the recommendations of the 2016 Inquiry, the department engaged Allen and Clarke Consult</w:t>
      </w:r>
      <w:r w:rsidR="007974ED">
        <w:rPr>
          <w:rFonts w:cstheme="minorHAnsi"/>
          <w:sz w:val="24"/>
          <w:szCs w:val="24"/>
        </w:rPr>
        <w:t>ing</w:t>
      </w:r>
      <w:r w:rsidR="00EE1934" w:rsidRPr="003513A6">
        <w:rPr>
          <w:rFonts w:cstheme="minorHAnsi"/>
          <w:sz w:val="24"/>
          <w:szCs w:val="24"/>
        </w:rPr>
        <w:t xml:space="preserve"> to produce a suite of tick educational materials. This included fact sheets for the general public and guidance notes for clinicians. Tick educational materials are available on the department's website. Fact sheets and guidance notes on the topic of </w:t>
      </w:r>
      <w:r w:rsidR="00B71E46">
        <w:rPr>
          <w:rFonts w:cstheme="minorHAnsi"/>
          <w:sz w:val="24"/>
          <w:szCs w:val="24"/>
        </w:rPr>
        <w:br/>
      </w:r>
      <w:r w:rsidR="00EE1934" w:rsidRPr="003513A6">
        <w:rPr>
          <w:rFonts w:cstheme="minorHAnsi"/>
          <w:sz w:val="24"/>
          <w:szCs w:val="24"/>
        </w:rPr>
        <w:t xml:space="preserve">tick-borne diseases describe best practice principles for tick prevention and tick bite management. </w:t>
      </w:r>
    </w:p>
    <w:p w14:paraId="761A6D6B" w14:textId="4E554ACA" w:rsidR="003146BC" w:rsidRPr="003513A6" w:rsidRDefault="003146BC" w:rsidP="009E32CE">
      <w:pPr>
        <w:pStyle w:val="Heading2"/>
      </w:pPr>
      <w:r w:rsidRPr="003513A6">
        <w:t>Recommendation 2</w:t>
      </w:r>
    </w:p>
    <w:p w14:paraId="0AA02FEE" w14:textId="6F54D0E9" w:rsidR="4596C638" w:rsidRPr="003513A6" w:rsidRDefault="4596C638" w:rsidP="17C6A844">
      <w:pPr>
        <w:rPr>
          <w:rFonts w:cstheme="minorHAnsi"/>
          <w:b/>
          <w:bCs/>
          <w:i/>
          <w:iCs/>
          <w:sz w:val="24"/>
          <w:szCs w:val="24"/>
        </w:rPr>
      </w:pPr>
      <w:r w:rsidRPr="003513A6">
        <w:rPr>
          <w:rFonts w:cstheme="minorHAnsi"/>
          <w:b/>
          <w:bCs/>
          <w:i/>
          <w:iCs/>
          <w:sz w:val="24"/>
          <w:szCs w:val="24"/>
        </w:rPr>
        <w:t xml:space="preserve">The committee recommends that the </w:t>
      </w:r>
      <w:r w:rsidR="00073F5D" w:rsidRPr="003513A6">
        <w:rPr>
          <w:rFonts w:cstheme="minorHAnsi"/>
          <w:b/>
          <w:bCs/>
          <w:i/>
          <w:iCs/>
          <w:sz w:val="24"/>
          <w:szCs w:val="24"/>
        </w:rPr>
        <w:t>Department of Health</w:t>
      </w:r>
      <w:r w:rsidR="00073F5D">
        <w:rPr>
          <w:rFonts w:cstheme="minorHAnsi"/>
          <w:b/>
          <w:bCs/>
          <w:i/>
          <w:iCs/>
          <w:sz w:val="24"/>
          <w:szCs w:val="24"/>
        </w:rPr>
        <w:t xml:space="preserve">, Disability and Ageing </w:t>
      </w:r>
      <w:r w:rsidRPr="003513A6">
        <w:rPr>
          <w:rFonts w:cstheme="minorHAnsi"/>
          <w:b/>
          <w:bCs/>
          <w:i/>
          <w:iCs/>
          <w:sz w:val="24"/>
          <w:szCs w:val="24"/>
        </w:rPr>
        <w:t>fund research to collect data on the prevalence, frequency and geographical distribution of tick bites in Australia.</w:t>
      </w:r>
    </w:p>
    <w:p w14:paraId="27AB9920" w14:textId="64F0B1AB" w:rsidR="00073F5D" w:rsidRDefault="5979F3FA" w:rsidP="1688F4AD">
      <w:pPr>
        <w:rPr>
          <w:rFonts w:cstheme="minorHAnsi"/>
          <w:sz w:val="24"/>
          <w:szCs w:val="24"/>
        </w:rPr>
      </w:pPr>
      <w:r w:rsidRPr="003513A6">
        <w:rPr>
          <w:rFonts w:cstheme="minorHAnsi"/>
          <w:sz w:val="24"/>
          <w:szCs w:val="24"/>
        </w:rPr>
        <w:t>The Government</w:t>
      </w:r>
      <w:r w:rsidR="00CE3046">
        <w:rPr>
          <w:rFonts w:cstheme="minorHAnsi"/>
          <w:sz w:val="24"/>
          <w:szCs w:val="24"/>
        </w:rPr>
        <w:t xml:space="preserve"> </w:t>
      </w:r>
      <w:r w:rsidR="004C1966">
        <w:rPr>
          <w:rFonts w:cstheme="minorHAnsi"/>
          <w:sz w:val="24"/>
          <w:szCs w:val="24"/>
        </w:rPr>
        <w:t xml:space="preserve">notes </w:t>
      </w:r>
      <w:r w:rsidR="00073F5D">
        <w:rPr>
          <w:rFonts w:cstheme="minorHAnsi"/>
          <w:sz w:val="24"/>
          <w:szCs w:val="24"/>
        </w:rPr>
        <w:t xml:space="preserve">this </w:t>
      </w:r>
      <w:r w:rsidR="1BCBCD1F" w:rsidRPr="003513A6">
        <w:rPr>
          <w:rFonts w:cstheme="minorHAnsi"/>
          <w:sz w:val="24"/>
          <w:szCs w:val="24"/>
        </w:rPr>
        <w:t>recommendation</w:t>
      </w:r>
      <w:r w:rsidR="00073F5D">
        <w:rPr>
          <w:rFonts w:cstheme="minorHAnsi"/>
          <w:sz w:val="24"/>
          <w:szCs w:val="24"/>
        </w:rPr>
        <w:t>.</w:t>
      </w:r>
    </w:p>
    <w:p w14:paraId="70FD05EF" w14:textId="0A116C57" w:rsidR="1BCBCD1F" w:rsidRPr="003513A6" w:rsidRDefault="1BCBCD1F" w:rsidP="1688F4AD">
      <w:pPr>
        <w:rPr>
          <w:rFonts w:cstheme="minorHAnsi"/>
          <w:sz w:val="24"/>
          <w:szCs w:val="24"/>
        </w:rPr>
      </w:pPr>
      <w:r w:rsidRPr="003513A6">
        <w:rPr>
          <w:rFonts w:cstheme="minorHAnsi"/>
          <w:sz w:val="24"/>
          <w:szCs w:val="24"/>
        </w:rPr>
        <w:t xml:space="preserve">It is not economically </w:t>
      </w:r>
      <w:r w:rsidR="00555F1D" w:rsidRPr="003513A6">
        <w:rPr>
          <w:rFonts w:cstheme="minorHAnsi"/>
          <w:sz w:val="24"/>
          <w:szCs w:val="24"/>
        </w:rPr>
        <w:t>nor practically</w:t>
      </w:r>
      <w:r w:rsidR="005B2F6D" w:rsidRPr="003513A6">
        <w:rPr>
          <w:rFonts w:cstheme="minorHAnsi"/>
          <w:sz w:val="24"/>
          <w:szCs w:val="24"/>
        </w:rPr>
        <w:t xml:space="preserve"> </w:t>
      </w:r>
      <w:r w:rsidRPr="003513A6">
        <w:rPr>
          <w:rFonts w:cstheme="minorHAnsi"/>
          <w:sz w:val="24"/>
          <w:szCs w:val="24"/>
        </w:rPr>
        <w:t>feasible to track all tick bites in Australia</w:t>
      </w:r>
      <w:r w:rsidR="19478B8E" w:rsidRPr="003513A6">
        <w:rPr>
          <w:rFonts w:cstheme="minorHAnsi"/>
          <w:sz w:val="24"/>
          <w:szCs w:val="24"/>
        </w:rPr>
        <w:t>, nor would it be for any other vector bite</w:t>
      </w:r>
      <w:r w:rsidR="00EE1934">
        <w:rPr>
          <w:rFonts w:cstheme="minorHAnsi"/>
          <w:sz w:val="24"/>
          <w:szCs w:val="24"/>
        </w:rPr>
        <w:t xml:space="preserve"> such as mosquito</w:t>
      </w:r>
      <w:r w:rsidR="00EE08F7">
        <w:rPr>
          <w:rFonts w:cstheme="minorHAnsi"/>
          <w:sz w:val="24"/>
          <w:szCs w:val="24"/>
        </w:rPr>
        <w:t>e</w:t>
      </w:r>
      <w:r w:rsidR="00EE1934">
        <w:rPr>
          <w:rFonts w:cstheme="minorHAnsi"/>
          <w:sz w:val="24"/>
          <w:szCs w:val="24"/>
        </w:rPr>
        <w:t>s</w:t>
      </w:r>
      <w:r w:rsidR="19478B8E" w:rsidRPr="003513A6">
        <w:rPr>
          <w:rFonts w:cstheme="minorHAnsi"/>
          <w:sz w:val="24"/>
          <w:szCs w:val="24"/>
        </w:rPr>
        <w:t>.</w:t>
      </w:r>
    </w:p>
    <w:p w14:paraId="579FD92F" w14:textId="0475D93B" w:rsidR="1BCBCD1F" w:rsidRPr="003513A6" w:rsidRDefault="1BCBCD1F" w:rsidP="17C6A844">
      <w:pPr>
        <w:rPr>
          <w:rFonts w:cstheme="minorHAnsi"/>
          <w:sz w:val="24"/>
          <w:szCs w:val="24"/>
        </w:rPr>
      </w:pPr>
      <w:r w:rsidRPr="003513A6">
        <w:rPr>
          <w:rFonts w:cstheme="minorHAnsi"/>
          <w:sz w:val="24"/>
          <w:szCs w:val="24"/>
        </w:rPr>
        <w:t xml:space="preserve">The </w:t>
      </w:r>
      <w:r w:rsidR="01D3015D" w:rsidRPr="003513A6">
        <w:rPr>
          <w:rFonts w:cstheme="minorHAnsi"/>
          <w:sz w:val="24"/>
          <w:szCs w:val="24"/>
        </w:rPr>
        <w:t>department</w:t>
      </w:r>
      <w:r w:rsidRPr="003513A6">
        <w:rPr>
          <w:rFonts w:cstheme="minorHAnsi"/>
          <w:sz w:val="24"/>
          <w:szCs w:val="24"/>
        </w:rPr>
        <w:t xml:space="preserve"> manages the </w:t>
      </w:r>
      <w:r w:rsidR="13AF97EF" w:rsidRPr="003513A6">
        <w:rPr>
          <w:rFonts w:cstheme="minorHAnsi"/>
          <w:sz w:val="24"/>
          <w:szCs w:val="24"/>
        </w:rPr>
        <w:t>Nationally No</w:t>
      </w:r>
      <w:r w:rsidR="0D0C3FC4" w:rsidRPr="003513A6">
        <w:rPr>
          <w:rFonts w:cstheme="minorHAnsi"/>
          <w:sz w:val="24"/>
          <w:szCs w:val="24"/>
        </w:rPr>
        <w:t>tifiable</w:t>
      </w:r>
      <w:r w:rsidR="13AF97EF" w:rsidRPr="003513A6">
        <w:rPr>
          <w:rFonts w:cstheme="minorHAnsi"/>
          <w:sz w:val="24"/>
          <w:szCs w:val="24"/>
        </w:rPr>
        <w:t xml:space="preserve"> Disease </w:t>
      </w:r>
      <w:r w:rsidR="00F86E47" w:rsidRPr="003513A6">
        <w:rPr>
          <w:rFonts w:cstheme="minorHAnsi"/>
          <w:sz w:val="24"/>
          <w:szCs w:val="24"/>
        </w:rPr>
        <w:t>Surveillance</w:t>
      </w:r>
      <w:r w:rsidR="00D73EBC" w:rsidRPr="003513A6">
        <w:rPr>
          <w:rFonts w:cstheme="minorHAnsi"/>
          <w:sz w:val="24"/>
          <w:szCs w:val="24"/>
        </w:rPr>
        <w:t xml:space="preserve"> System (NND</w:t>
      </w:r>
      <w:r w:rsidR="00F54135" w:rsidRPr="003513A6">
        <w:rPr>
          <w:rFonts w:cstheme="minorHAnsi"/>
          <w:sz w:val="24"/>
          <w:szCs w:val="24"/>
        </w:rPr>
        <w:t>S</w:t>
      </w:r>
      <w:r w:rsidR="00D73EBC" w:rsidRPr="003513A6">
        <w:rPr>
          <w:rFonts w:cstheme="minorHAnsi"/>
          <w:sz w:val="24"/>
          <w:szCs w:val="24"/>
        </w:rPr>
        <w:t>S)</w:t>
      </w:r>
      <w:r w:rsidR="00D85116" w:rsidRPr="003513A6">
        <w:rPr>
          <w:rFonts w:cstheme="minorHAnsi"/>
          <w:sz w:val="24"/>
          <w:szCs w:val="24"/>
        </w:rPr>
        <w:t xml:space="preserve"> that </w:t>
      </w:r>
      <w:r w:rsidR="00295591" w:rsidRPr="003513A6">
        <w:rPr>
          <w:rFonts w:cstheme="minorHAnsi"/>
          <w:sz w:val="24"/>
          <w:szCs w:val="24"/>
        </w:rPr>
        <w:t>provide</w:t>
      </w:r>
      <w:r w:rsidR="0080028A" w:rsidRPr="003513A6">
        <w:rPr>
          <w:rFonts w:cstheme="minorHAnsi"/>
          <w:sz w:val="24"/>
          <w:szCs w:val="24"/>
        </w:rPr>
        <w:t>s</w:t>
      </w:r>
      <w:r w:rsidR="00295591" w:rsidRPr="003513A6">
        <w:rPr>
          <w:rFonts w:cstheme="minorHAnsi"/>
          <w:sz w:val="24"/>
          <w:szCs w:val="24"/>
        </w:rPr>
        <w:t xml:space="preserve"> </w:t>
      </w:r>
      <w:r w:rsidR="00D85116" w:rsidRPr="003513A6">
        <w:rPr>
          <w:rFonts w:cstheme="minorHAnsi"/>
          <w:sz w:val="24"/>
          <w:szCs w:val="24"/>
        </w:rPr>
        <w:t xml:space="preserve">coordinated national </w:t>
      </w:r>
      <w:r w:rsidR="00F20523" w:rsidRPr="003513A6">
        <w:rPr>
          <w:rFonts w:cstheme="minorHAnsi"/>
          <w:sz w:val="24"/>
          <w:szCs w:val="24"/>
        </w:rPr>
        <w:t>surveillance</w:t>
      </w:r>
      <w:r w:rsidR="00D85116" w:rsidRPr="003513A6">
        <w:rPr>
          <w:rFonts w:cstheme="minorHAnsi"/>
          <w:sz w:val="24"/>
          <w:szCs w:val="24"/>
        </w:rPr>
        <w:t xml:space="preserve"> data for</w:t>
      </w:r>
      <w:r w:rsidR="00271119" w:rsidRPr="003513A6">
        <w:rPr>
          <w:rFonts w:cstheme="minorHAnsi"/>
          <w:color w:val="313131"/>
          <w:sz w:val="24"/>
          <w:szCs w:val="24"/>
          <w:shd w:val="clear" w:color="auto" w:fill="FFFFFF"/>
        </w:rPr>
        <w:t xml:space="preserve"> </w:t>
      </w:r>
      <w:r w:rsidR="004452E5" w:rsidRPr="003513A6">
        <w:rPr>
          <w:rFonts w:cstheme="minorHAnsi"/>
          <w:color w:val="313131"/>
          <w:sz w:val="24"/>
          <w:szCs w:val="24"/>
          <w:shd w:val="clear" w:color="auto" w:fill="FFFFFF"/>
        </w:rPr>
        <w:t xml:space="preserve">over 70 </w:t>
      </w:r>
      <w:r w:rsidR="00D85116" w:rsidRPr="003513A6">
        <w:rPr>
          <w:rFonts w:cstheme="minorHAnsi"/>
          <w:color w:val="313131"/>
          <w:sz w:val="24"/>
          <w:szCs w:val="24"/>
          <w:shd w:val="clear" w:color="auto" w:fill="FFFFFF"/>
        </w:rPr>
        <w:t>d</w:t>
      </w:r>
      <w:r w:rsidR="00271119" w:rsidRPr="003513A6">
        <w:rPr>
          <w:rFonts w:cstheme="minorHAnsi"/>
          <w:color w:val="313131"/>
          <w:sz w:val="24"/>
          <w:szCs w:val="24"/>
          <w:shd w:val="clear" w:color="auto" w:fill="FFFFFF"/>
        </w:rPr>
        <w:t>iseases on the </w:t>
      </w:r>
      <w:hyperlink r:id="rId15" w:tooltip="List of nationally notifiable diseases" w:history="1">
        <w:r w:rsidR="00271119" w:rsidRPr="003513A6">
          <w:rPr>
            <w:rStyle w:val="Hyperlink"/>
            <w:rFonts w:cstheme="minorHAnsi"/>
            <w:color w:val="006FB0"/>
            <w:sz w:val="24"/>
            <w:szCs w:val="24"/>
            <w:shd w:val="clear" w:color="auto" w:fill="FFFFFF"/>
          </w:rPr>
          <w:t>National Notifiable Disease List</w:t>
        </w:r>
      </w:hyperlink>
      <w:r w:rsidR="00F54135" w:rsidRPr="003513A6">
        <w:rPr>
          <w:rFonts w:cstheme="minorHAnsi"/>
          <w:sz w:val="24"/>
          <w:szCs w:val="24"/>
        </w:rPr>
        <w:t xml:space="preserve"> (NNDL)</w:t>
      </w:r>
      <w:r w:rsidR="00271119" w:rsidRPr="003513A6">
        <w:rPr>
          <w:rFonts w:cstheme="minorHAnsi"/>
          <w:color w:val="313131"/>
          <w:sz w:val="24"/>
          <w:szCs w:val="24"/>
          <w:shd w:val="clear" w:color="auto" w:fill="FFFFFF"/>
        </w:rPr>
        <w:t>.</w:t>
      </w:r>
      <w:r w:rsidR="74640F8B" w:rsidRPr="003513A6">
        <w:rPr>
          <w:rFonts w:cstheme="minorHAnsi"/>
          <w:sz w:val="24"/>
          <w:szCs w:val="24"/>
        </w:rPr>
        <w:t xml:space="preserve"> </w:t>
      </w:r>
      <w:r w:rsidR="006B72BC" w:rsidRPr="003513A6">
        <w:rPr>
          <w:rFonts w:cstheme="minorHAnsi"/>
          <w:sz w:val="24"/>
          <w:szCs w:val="24"/>
        </w:rPr>
        <w:t>Unspecified</w:t>
      </w:r>
      <w:r w:rsidR="00E96608" w:rsidRPr="003513A6">
        <w:rPr>
          <w:rFonts w:cstheme="minorHAnsi"/>
          <w:sz w:val="24"/>
          <w:szCs w:val="24"/>
        </w:rPr>
        <w:t xml:space="preserve"> tick</w:t>
      </w:r>
      <w:r w:rsidR="006B72BC" w:rsidRPr="003513A6">
        <w:rPr>
          <w:rFonts w:cstheme="minorHAnsi"/>
          <w:sz w:val="24"/>
          <w:szCs w:val="24"/>
        </w:rPr>
        <w:t>-</w:t>
      </w:r>
      <w:r w:rsidR="00E96608" w:rsidRPr="003513A6">
        <w:rPr>
          <w:rFonts w:cstheme="minorHAnsi"/>
          <w:sz w:val="24"/>
          <w:szCs w:val="24"/>
        </w:rPr>
        <w:t>borne infections</w:t>
      </w:r>
      <w:r w:rsidR="007176F4" w:rsidRPr="003513A6">
        <w:rPr>
          <w:rFonts w:cstheme="minorHAnsi"/>
          <w:sz w:val="24"/>
          <w:szCs w:val="24"/>
        </w:rPr>
        <w:t xml:space="preserve"> are not notifiable </w:t>
      </w:r>
      <w:r w:rsidR="00B31746" w:rsidRPr="003513A6">
        <w:rPr>
          <w:rFonts w:cstheme="minorHAnsi"/>
          <w:sz w:val="24"/>
          <w:szCs w:val="24"/>
        </w:rPr>
        <w:t>and unlikely to meet the criteria</w:t>
      </w:r>
      <w:r w:rsidR="00C175E0" w:rsidRPr="003513A6">
        <w:rPr>
          <w:rFonts w:cstheme="minorHAnsi"/>
          <w:sz w:val="24"/>
          <w:szCs w:val="24"/>
        </w:rPr>
        <w:t>, including</w:t>
      </w:r>
      <w:r w:rsidR="00B31746" w:rsidRPr="003513A6">
        <w:rPr>
          <w:rFonts w:cstheme="minorHAnsi"/>
          <w:sz w:val="24"/>
          <w:szCs w:val="24"/>
        </w:rPr>
        <w:t xml:space="preserve"> </w:t>
      </w:r>
      <w:r w:rsidR="00C175E0" w:rsidRPr="002F0D65">
        <w:rPr>
          <w:rFonts w:cstheme="minorHAnsi"/>
          <w:sz w:val="24"/>
          <w:szCs w:val="24"/>
          <w:shd w:val="clear" w:color="auto" w:fill="FFFFFF"/>
        </w:rPr>
        <w:t>presenting a risk to public health if there is an outbreak,</w:t>
      </w:r>
      <w:r w:rsidR="00512027" w:rsidRPr="002F0D65">
        <w:rPr>
          <w:rFonts w:cstheme="minorHAnsi"/>
          <w:sz w:val="24"/>
          <w:szCs w:val="24"/>
          <w:shd w:val="clear" w:color="auto" w:fill="FFFFFF"/>
        </w:rPr>
        <w:t xml:space="preserve"> </w:t>
      </w:r>
      <w:r w:rsidR="00AF11CA" w:rsidRPr="003513A6">
        <w:rPr>
          <w:rFonts w:cstheme="minorHAnsi"/>
          <w:sz w:val="24"/>
          <w:szCs w:val="24"/>
        </w:rPr>
        <w:t>to warrant the</w:t>
      </w:r>
      <w:r w:rsidR="00B31746" w:rsidRPr="003513A6">
        <w:rPr>
          <w:rFonts w:cstheme="minorHAnsi"/>
          <w:sz w:val="24"/>
          <w:szCs w:val="24"/>
        </w:rPr>
        <w:t xml:space="preserve"> addition to the </w:t>
      </w:r>
      <w:r w:rsidR="00F54135" w:rsidRPr="003513A6">
        <w:rPr>
          <w:rFonts w:cstheme="minorHAnsi"/>
          <w:sz w:val="24"/>
          <w:szCs w:val="24"/>
        </w:rPr>
        <w:t>NNDL</w:t>
      </w:r>
      <w:r w:rsidR="00B31746" w:rsidRPr="003513A6">
        <w:rPr>
          <w:rFonts w:cstheme="minorHAnsi"/>
          <w:sz w:val="24"/>
          <w:szCs w:val="24"/>
        </w:rPr>
        <w:t>.</w:t>
      </w:r>
    </w:p>
    <w:p w14:paraId="0F5867F1" w14:textId="42169AF8" w:rsidR="00173081" w:rsidRDefault="007C6E21" w:rsidP="003146BC">
      <w:pPr>
        <w:spacing w:before="240" w:after="120"/>
        <w:rPr>
          <w:rFonts w:eastAsiaTheme="minorEastAsia" w:cstheme="minorHAnsi"/>
          <w:sz w:val="24"/>
          <w:szCs w:val="24"/>
        </w:rPr>
      </w:pPr>
      <w:r w:rsidRPr="007C6E21">
        <w:rPr>
          <w:rFonts w:eastAsiaTheme="minorEastAsia" w:cstheme="minorHAnsi"/>
          <w:sz w:val="24"/>
          <w:szCs w:val="24"/>
        </w:rPr>
        <w:t>The Government will explore sampling surveys that could track some epidemiology of tick bites</w:t>
      </w:r>
      <w:r>
        <w:rPr>
          <w:rFonts w:eastAsiaTheme="minorEastAsia" w:cstheme="minorHAnsi"/>
          <w:sz w:val="24"/>
          <w:szCs w:val="24"/>
        </w:rPr>
        <w:t xml:space="preserve">. </w:t>
      </w:r>
    </w:p>
    <w:p w14:paraId="1A6787E5" w14:textId="3B7895D1" w:rsidR="003146BC" w:rsidRPr="003513A6" w:rsidRDefault="00F90911" w:rsidP="009E32CE">
      <w:pPr>
        <w:pStyle w:val="Heading2"/>
      </w:pPr>
      <w:r>
        <w:br w:type="page"/>
      </w:r>
      <w:r w:rsidR="003146BC" w:rsidRPr="003513A6">
        <w:lastRenderedPageBreak/>
        <w:t>Recommendation 3</w:t>
      </w:r>
    </w:p>
    <w:p w14:paraId="17D85EFF" w14:textId="59760EE2" w:rsidR="17F527ED" w:rsidRPr="003513A6" w:rsidRDefault="17F527ED" w:rsidP="17C6A844">
      <w:pPr>
        <w:rPr>
          <w:rFonts w:cstheme="minorHAnsi"/>
          <w:b/>
          <w:bCs/>
          <w:i/>
          <w:iCs/>
          <w:sz w:val="24"/>
          <w:szCs w:val="24"/>
        </w:rPr>
      </w:pPr>
      <w:r w:rsidRPr="003513A6">
        <w:rPr>
          <w:rFonts w:cstheme="minorHAnsi"/>
          <w:b/>
          <w:bCs/>
          <w:i/>
          <w:iCs/>
          <w:sz w:val="24"/>
          <w:szCs w:val="24"/>
        </w:rPr>
        <w:t xml:space="preserve">The committee recommends that the </w:t>
      </w:r>
      <w:r w:rsidR="00073F5D" w:rsidRPr="003513A6">
        <w:rPr>
          <w:rFonts w:cstheme="minorHAnsi"/>
          <w:b/>
          <w:bCs/>
          <w:i/>
          <w:iCs/>
          <w:sz w:val="24"/>
          <w:szCs w:val="24"/>
        </w:rPr>
        <w:t>Department of Health</w:t>
      </w:r>
      <w:r w:rsidR="00073F5D">
        <w:rPr>
          <w:rFonts w:cstheme="minorHAnsi"/>
          <w:b/>
          <w:bCs/>
          <w:i/>
          <w:iCs/>
          <w:sz w:val="24"/>
          <w:szCs w:val="24"/>
        </w:rPr>
        <w:t xml:space="preserve">, Disability and Ageing </w:t>
      </w:r>
      <w:r w:rsidRPr="003513A6">
        <w:rPr>
          <w:rFonts w:cstheme="minorHAnsi"/>
          <w:b/>
          <w:bCs/>
          <w:i/>
          <w:iCs/>
          <w:sz w:val="24"/>
          <w:szCs w:val="24"/>
        </w:rPr>
        <w:t>consult medical practitioners and patient stakeholder groups to develop a term to replace Debilitating Symptom Complexes Attributed to Ticks (DSCATT) that removes the stigma that is felt by patients, and provides clarity for medical practitioners.</w:t>
      </w:r>
    </w:p>
    <w:p w14:paraId="59694918" w14:textId="00DCE563" w:rsidR="00073F5D" w:rsidRDefault="00CE3046" w:rsidP="1688F4AD">
      <w:pPr>
        <w:rPr>
          <w:rFonts w:cstheme="minorHAnsi"/>
          <w:sz w:val="24"/>
          <w:szCs w:val="24"/>
        </w:rPr>
      </w:pPr>
      <w:r>
        <w:rPr>
          <w:rFonts w:cstheme="minorHAnsi"/>
          <w:sz w:val="24"/>
          <w:szCs w:val="24"/>
        </w:rPr>
        <w:t>The Government supports this recommendation in principle.</w:t>
      </w:r>
    </w:p>
    <w:p w14:paraId="260C168F" w14:textId="2125E6AB" w:rsidR="00252F21" w:rsidRPr="003513A6" w:rsidRDefault="00252F21" w:rsidP="1688F4AD">
      <w:pPr>
        <w:rPr>
          <w:rFonts w:cstheme="minorHAnsi"/>
          <w:sz w:val="24"/>
          <w:szCs w:val="24"/>
        </w:rPr>
      </w:pPr>
      <w:r w:rsidRPr="003513A6">
        <w:rPr>
          <w:rFonts w:cstheme="minorHAnsi"/>
          <w:sz w:val="24"/>
          <w:szCs w:val="24"/>
        </w:rPr>
        <w:t>Following the 2016 Inquiry</w:t>
      </w:r>
      <w:r w:rsidR="007909CD" w:rsidRPr="003513A6">
        <w:rPr>
          <w:rFonts w:cstheme="minorHAnsi"/>
          <w:sz w:val="24"/>
          <w:szCs w:val="24"/>
        </w:rPr>
        <w:t>,</w:t>
      </w:r>
      <w:r w:rsidRPr="003513A6">
        <w:rPr>
          <w:rFonts w:cstheme="minorHAnsi"/>
          <w:sz w:val="24"/>
          <w:szCs w:val="24"/>
        </w:rPr>
        <w:t xml:space="preserve"> the department strongly supported the removal of the terms “Lyme Disease”, “Lyme disease like Illness” and “Chronic Lyme Disease” from diagnostic discussions. A</w:t>
      </w:r>
      <w:r w:rsidR="000B771D" w:rsidRPr="003513A6">
        <w:rPr>
          <w:rFonts w:cstheme="minorHAnsi"/>
          <w:sz w:val="24"/>
          <w:szCs w:val="24"/>
        </w:rPr>
        <w:t>s there was no clear agreed alternative nomenclature</w:t>
      </w:r>
      <w:r w:rsidR="007909CD" w:rsidRPr="003513A6">
        <w:rPr>
          <w:rFonts w:cstheme="minorHAnsi"/>
          <w:sz w:val="24"/>
          <w:szCs w:val="24"/>
        </w:rPr>
        <w:t>,</w:t>
      </w:r>
      <w:r w:rsidR="000B771D" w:rsidRPr="003513A6">
        <w:rPr>
          <w:rFonts w:cstheme="minorHAnsi"/>
          <w:sz w:val="24"/>
          <w:szCs w:val="24"/>
        </w:rPr>
        <w:t xml:space="preserve"> t</w:t>
      </w:r>
      <w:r w:rsidRPr="003513A6">
        <w:rPr>
          <w:rFonts w:cstheme="minorHAnsi"/>
          <w:sz w:val="24"/>
          <w:szCs w:val="24"/>
        </w:rPr>
        <w:t>he department proposed to use the term “Debilitating Symptom Complexes</w:t>
      </w:r>
      <w:r w:rsidR="00935A96" w:rsidRPr="003513A6">
        <w:rPr>
          <w:rFonts w:cstheme="minorHAnsi"/>
          <w:sz w:val="24"/>
          <w:szCs w:val="24"/>
        </w:rPr>
        <w:t xml:space="preserve"> </w:t>
      </w:r>
      <w:r w:rsidRPr="003513A6">
        <w:rPr>
          <w:rFonts w:cstheme="minorHAnsi"/>
          <w:sz w:val="24"/>
          <w:szCs w:val="24"/>
        </w:rPr>
        <w:t>Attributed to Ticks” (DSCATT)</w:t>
      </w:r>
      <w:r w:rsidR="000B771D" w:rsidRPr="003513A6">
        <w:rPr>
          <w:rFonts w:cstheme="minorHAnsi"/>
          <w:sz w:val="24"/>
          <w:szCs w:val="24"/>
        </w:rPr>
        <w:t>.</w:t>
      </w:r>
      <w:r w:rsidRPr="003513A6">
        <w:rPr>
          <w:rFonts w:cstheme="minorHAnsi"/>
          <w:sz w:val="24"/>
          <w:szCs w:val="24"/>
        </w:rPr>
        <w:t xml:space="preserve"> NHMRC adopted </w:t>
      </w:r>
      <w:r w:rsidR="000B771D" w:rsidRPr="003513A6">
        <w:rPr>
          <w:rFonts w:cstheme="minorHAnsi"/>
          <w:sz w:val="24"/>
          <w:szCs w:val="24"/>
        </w:rPr>
        <w:t>the term for</w:t>
      </w:r>
      <w:r w:rsidRPr="003513A6">
        <w:rPr>
          <w:rFonts w:cstheme="minorHAnsi"/>
          <w:sz w:val="24"/>
          <w:szCs w:val="24"/>
        </w:rPr>
        <w:t xml:space="preserve"> its Targeted Call for Research, to describe the heterogeneous nature of the debilitating symptom subgroups with </w:t>
      </w:r>
      <w:r w:rsidR="007909CD" w:rsidRPr="003513A6">
        <w:rPr>
          <w:rFonts w:cstheme="minorHAnsi"/>
          <w:sz w:val="24"/>
          <w:szCs w:val="24"/>
        </w:rPr>
        <w:t xml:space="preserve">an </w:t>
      </w:r>
      <w:r w:rsidRPr="003513A6">
        <w:rPr>
          <w:rFonts w:cstheme="minorHAnsi"/>
          <w:sz w:val="24"/>
          <w:szCs w:val="24"/>
        </w:rPr>
        <w:t>acknowledgement that ticks may have a role.</w:t>
      </w:r>
    </w:p>
    <w:p w14:paraId="3705A2A5" w14:textId="3558A889" w:rsidR="00252F21" w:rsidRPr="003513A6" w:rsidRDefault="000B771D" w:rsidP="1688F4AD">
      <w:pPr>
        <w:rPr>
          <w:rFonts w:cstheme="minorHAnsi"/>
          <w:sz w:val="24"/>
          <w:szCs w:val="24"/>
        </w:rPr>
      </w:pPr>
      <w:r w:rsidRPr="003513A6">
        <w:rPr>
          <w:rFonts w:cstheme="minorHAnsi"/>
          <w:sz w:val="24"/>
          <w:szCs w:val="24"/>
        </w:rPr>
        <w:t>Since then</w:t>
      </w:r>
      <w:r w:rsidR="00402D4E">
        <w:rPr>
          <w:rFonts w:cstheme="minorHAnsi"/>
          <w:sz w:val="24"/>
          <w:szCs w:val="24"/>
        </w:rPr>
        <w:t xml:space="preserve">, </w:t>
      </w:r>
      <w:r w:rsidR="00252F21" w:rsidRPr="003513A6">
        <w:rPr>
          <w:rFonts w:cstheme="minorHAnsi"/>
          <w:sz w:val="24"/>
          <w:szCs w:val="24"/>
        </w:rPr>
        <w:t xml:space="preserve">DSCATT </w:t>
      </w:r>
      <w:r w:rsidRPr="003513A6">
        <w:rPr>
          <w:rFonts w:cstheme="minorHAnsi"/>
          <w:sz w:val="24"/>
          <w:szCs w:val="24"/>
        </w:rPr>
        <w:t>has been a</w:t>
      </w:r>
      <w:r w:rsidR="00252F21" w:rsidRPr="003513A6">
        <w:rPr>
          <w:rFonts w:cstheme="minorHAnsi"/>
          <w:sz w:val="24"/>
          <w:szCs w:val="24"/>
        </w:rPr>
        <w:t xml:space="preserve"> term used by the Government to describe the group of Australian patients suffering from the symptoms of a chronic debilitating illness, which many associate with a tick bite</w:t>
      </w:r>
      <w:r w:rsidR="00665A3C" w:rsidRPr="003513A6">
        <w:rPr>
          <w:rFonts w:cstheme="minorHAnsi"/>
          <w:sz w:val="24"/>
          <w:szCs w:val="24"/>
        </w:rPr>
        <w:t>.</w:t>
      </w:r>
      <w:r w:rsidR="00252F21" w:rsidRPr="003513A6">
        <w:rPr>
          <w:rFonts w:cstheme="minorHAnsi"/>
          <w:sz w:val="24"/>
          <w:szCs w:val="24"/>
        </w:rPr>
        <w:t xml:space="preserve"> </w:t>
      </w:r>
      <w:r w:rsidR="00665A3C" w:rsidRPr="003513A6">
        <w:rPr>
          <w:rFonts w:cstheme="minorHAnsi"/>
          <w:sz w:val="24"/>
          <w:szCs w:val="24"/>
        </w:rPr>
        <w:t xml:space="preserve">It has been used </w:t>
      </w:r>
      <w:r w:rsidR="00252F21" w:rsidRPr="003513A6">
        <w:rPr>
          <w:rFonts w:cstheme="minorHAnsi"/>
          <w:sz w:val="24"/>
          <w:szCs w:val="24"/>
        </w:rPr>
        <w:t>to appropriately acknowledge this patient group and the multifaceted illness they are experiencing, and acknowledge their illness is poorly understood</w:t>
      </w:r>
      <w:r w:rsidR="00B5083B">
        <w:rPr>
          <w:rFonts w:cstheme="minorHAnsi"/>
          <w:sz w:val="24"/>
          <w:szCs w:val="24"/>
        </w:rPr>
        <w:t xml:space="preserve"> </w:t>
      </w:r>
      <w:r w:rsidR="00471885">
        <w:rPr>
          <w:rFonts w:cstheme="minorHAnsi"/>
          <w:sz w:val="24"/>
          <w:szCs w:val="24"/>
        </w:rPr>
        <w:t>based on</w:t>
      </w:r>
      <w:r w:rsidR="00B5083B">
        <w:rPr>
          <w:rFonts w:cstheme="minorHAnsi"/>
          <w:sz w:val="24"/>
          <w:szCs w:val="24"/>
        </w:rPr>
        <w:t xml:space="preserve"> the available evidence</w:t>
      </w:r>
      <w:r w:rsidR="00252F21" w:rsidRPr="003513A6">
        <w:rPr>
          <w:rFonts w:cstheme="minorHAnsi"/>
          <w:sz w:val="24"/>
          <w:szCs w:val="24"/>
        </w:rPr>
        <w:t>. DSCATT was also proposed as a name to move away from the stigma and controversy associated with the</w:t>
      </w:r>
      <w:r w:rsidR="00935A96" w:rsidRPr="003513A6">
        <w:rPr>
          <w:rFonts w:cstheme="minorHAnsi"/>
          <w:sz w:val="24"/>
          <w:szCs w:val="24"/>
        </w:rPr>
        <w:t xml:space="preserve"> </w:t>
      </w:r>
      <w:r w:rsidR="00252F21" w:rsidRPr="003513A6">
        <w:rPr>
          <w:rFonts w:cstheme="minorHAnsi"/>
          <w:sz w:val="24"/>
          <w:szCs w:val="24"/>
        </w:rPr>
        <w:t xml:space="preserve">terms previously used to describe this patient’s group such as “Lyme disease-like Illness” and “Chronic Lyme Disease”. </w:t>
      </w:r>
    </w:p>
    <w:p w14:paraId="48EF8AD5" w14:textId="254651A2" w:rsidR="3E16996C" w:rsidRDefault="3E16996C" w:rsidP="1688F4AD">
      <w:pPr>
        <w:rPr>
          <w:rFonts w:cstheme="minorHAnsi"/>
          <w:sz w:val="24"/>
          <w:szCs w:val="24"/>
        </w:rPr>
      </w:pPr>
      <w:r w:rsidRPr="003513A6">
        <w:rPr>
          <w:rFonts w:cstheme="minorHAnsi"/>
          <w:sz w:val="24"/>
          <w:szCs w:val="24"/>
        </w:rPr>
        <w:t>The</w:t>
      </w:r>
      <w:r w:rsidR="63D5F04B" w:rsidRPr="003513A6">
        <w:rPr>
          <w:rFonts w:cstheme="minorHAnsi"/>
          <w:sz w:val="24"/>
          <w:szCs w:val="24"/>
        </w:rPr>
        <w:t xml:space="preserve"> Government</w:t>
      </w:r>
      <w:r w:rsidRPr="003513A6">
        <w:rPr>
          <w:rFonts w:cstheme="minorHAnsi"/>
          <w:sz w:val="24"/>
          <w:szCs w:val="24"/>
        </w:rPr>
        <w:t xml:space="preserve"> will explore the implementation of this recommendation</w:t>
      </w:r>
      <w:r w:rsidR="00025158" w:rsidRPr="003513A6">
        <w:rPr>
          <w:rFonts w:cstheme="minorHAnsi"/>
          <w:sz w:val="24"/>
          <w:szCs w:val="24"/>
        </w:rPr>
        <w:t xml:space="preserve"> with </w:t>
      </w:r>
      <w:r w:rsidR="005C00EC" w:rsidRPr="003513A6">
        <w:rPr>
          <w:rFonts w:cstheme="minorHAnsi"/>
          <w:sz w:val="24"/>
          <w:szCs w:val="24"/>
        </w:rPr>
        <w:t>medical practitioners</w:t>
      </w:r>
      <w:r w:rsidR="00FB0BDD" w:rsidRPr="003513A6">
        <w:rPr>
          <w:rFonts w:cstheme="minorHAnsi"/>
          <w:sz w:val="24"/>
          <w:szCs w:val="24"/>
        </w:rPr>
        <w:t xml:space="preserve"> and </w:t>
      </w:r>
      <w:r w:rsidR="005C00EC" w:rsidRPr="003513A6">
        <w:rPr>
          <w:rFonts w:cstheme="minorHAnsi"/>
          <w:sz w:val="24"/>
          <w:szCs w:val="24"/>
        </w:rPr>
        <w:t>patient</w:t>
      </w:r>
      <w:r w:rsidR="00AE435D" w:rsidRPr="003513A6">
        <w:rPr>
          <w:rFonts w:cstheme="minorHAnsi"/>
          <w:sz w:val="24"/>
          <w:szCs w:val="24"/>
        </w:rPr>
        <w:t xml:space="preserve"> stakeholder groups</w:t>
      </w:r>
      <w:r w:rsidR="00935A96" w:rsidRPr="003513A6">
        <w:rPr>
          <w:rFonts w:cstheme="minorHAnsi"/>
          <w:sz w:val="24"/>
          <w:szCs w:val="24"/>
        </w:rPr>
        <w:t xml:space="preserve"> </w:t>
      </w:r>
      <w:r w:rsidR="00666486" w:rsidRPr="003513A6">
        <w:rPr>
          <w:rFonts w:cstheme="minorHAnsi"/>
          <w:sz w:val="24"/>
          <w:szCs w:val="24"/>
        </w:rPr>
        <w:t>accordingly. The department stress</w:t>
      </w:r>
      <w:r w:rsidR="007909CD" w:rsidRPr="003513A6">
        <w:rPr>
          <w:rFonts w:cstheme="minorHAnsi"/>
          <w:sz w:val="24"/>
          <w:szCs w:val="24"/>
        </w:rPr>
        <w:t>e</w:t>
      </w:r>
      <w:r w:rsidR="00666486" w:rsidRPr="003513A6">
        <w:rPr>
          <w:rFonts w:cstheme="minorHAnsi"/>
          <w:sz w:val="24"/>
          <w:szCs w:val="24"/>
        </w:rPr>
        <w:t xml:space="preserve">s that </w:t>
      </w:r>
      <w:r w:rsidR="00A56AB7" w:rsidRPr="003513A6">
        <w:rPr>
          <w:rFonts w:cstheme="minorHAnsi"/>
          <w:sz w:val="24"/>
          <w:szCs w:val="24"/>
        </w:rPr>
        <w:t>all terms</w:t>
      </w:r>
      <w:r w:rsidR="00666486" w:rsidRPr="003513A6">
        <w:rPr>
          <w:rFonts w:cstheme="minorHAnsi"/>
          <w:sz w:val="24"/>
          <w:szCs w:val="24"/>
        </w:rPr>
        <w:t xml:space="preserve"> </w:t>
      </w:r>
      <w:r w:rsidR="00A56AB7" w:rsidRPr="003513A6">
        <w:rPr>
          <w:rFonts w:cstheme="minorHAnsi"/>
          <w:sz w:val="24"/>
          <w:szCs w:val="24"/>
        </w:rPr>
        <w:t>must</w:t>
      </w:r>
      <w:r w:rsidR="00666486" w:rsidRPr="003513A6">
        <w:rPr>
          <w:rFonts w:cstheme="minorHAnsi"/>
          <w:sz w:val="24"/>
          <w:szCs w:val="24"/>
        </w:rPr>
        <w:t xml:space="preserve"> provide an accurate description, be acceptable, and not mislead or contribute to misinformation or disinformation</w:t>
      </w:r>
      <w:r w:rsidRPr="003513A6">
        <w:rPr>
          <w:rFonts w:cstheme="minorHAnsi"/>
          <w:sz w:val="24"/>
          <w:szCs w:val="24"/>
        </w:rPr>
        <w:t>.</w:t>
      </w:r>
    </w:p>
    <w:p w14:paraId="6F07FE10" w14:textId="670F1957" w:rsidR="4BC5A9B4" w:rsidRPr="003513A6" w:rsidRDefault="4BC5A9B4" w:rsidP="009E32CE">
      <w:pPr>
        <w:pStyle w:val="Heading2"/>
      </w:pPr>
      <w:r w:rsidRPr="003513A6">
        <w:t>Recommendation 4</w:t>
      </w:r>
    </w:p>
    <w:p w14:paraId="0946937B" w14:textId="460EFD8C" w:rsidR="4BC5A9B4" w:rsidRPr="003513A6" w:rsidRDefault="4BC5A9B4" w:rsidP="17C6A844">
      <w:pPr>
        <w:rPr>
          <w:rFonts w:cstheme="minorHAnsi"/>
          <w:b/>
          <w:bCs/>
          <w:i/>
          <w:iCs/>
          <w:sz w:val="24"/>
          <w:szCs w:val="24"/>
        </w:rPr>
      </w:pPr>
      <w:r w:rsidRPr="003513A6">
        <w:rPr>
          <w:rFonts w:cstheme="minorHAnsi"/>
          <w:b/>
          <w:bCs/>
          <w:i/>
          <w:iCs/>
          <w:sz w:val="24"/>
          <w:szCs w:val="24"/>
        </w:rPr>
        <w:t xml:space="preserve">The committee recommends that the </w:t>
      </w:r>
      <w:r w:rsidR="00073F5D" w:rsidRPr="003513A6">
        <w:rPr>
          <w:rFonts w:cstheme="minorHAnsi"/>
          <w:b/>
          <w:bCs/>
          <w:i/>
          <w:iCs/>
          <w:sz w:val="24"/>
          <w:szCs w:val="24"/>
        </w:rPr>
        <w:t>Department of Health</w:t>
      </w:r>
      <w:r w:rsidR="00073F5D">
        <w:rPr>
          <w:rFonts w:cstheme="minorHAnsi"/>
          <w:b/>
          <w:bCs/>
          <w:i/>
          <w:iCs/>
          <w:sz w:val="24"/>
          <w:szCs w:val="24"/>
        </w:rPr>
        <w:t xml:space="preserve">, Disability and Ageing </w:t>
      </w:r>
      <w:r w:rsidRPr="003513A6">
        <w:rPr>
          <w:rFonts w:cstheme="minorHAnsi"/>
          <w:b/>
          <w:bCs/>
          <w:i/>
          <w:iCs/>
          <w:sz w:val="24"/>
          <w:szCs w:val="24"/>
        </w:rPr>
        <w:t>replace the DSCATT Clinical Pathway with Grading of Recommendations, Assessment, Development and Evaluations (GRADE) guidelines and patient information.</w:t>
      </w:r>
    </w:p>
    <w:p w14:paraId="44173B1E" w14:textId="15B68C3B" w:rsidR="5D17406B" w:rsidRPr="003513A6" w:rsidRDefault="58CA2AAF" w:rsidP="5D17406B">
      <w:pPr>
        <w:rPr>
          <w:rFonts w:cstheme="minorHAnsi"/>
          <w:sz w:val="24"/>
          <w:szCs w:val="24"/>
        </w:rPr>
      </w:pPr>
      <w:r w:rsidRPr="003513A6">
        <w:rPr>
          <w:rFonts w:cstheme="minorHAnsi"/>
          <w:sz w:val="24"/>
          <w:szCs w:val="24"/>
        </w:rPr>
        <w:t>The</w:t>
      </w:r>
      <w:r w:rsidR="1BF7D45C" w:rsidRPr="003513A6">
        <w:rPr>
          <w:rFonts w:cstheme="minorHAnsi"/>
          <w:sz w:val="24"/>
          <w:szCs w:val="24"/>
        </w:rPr>
        <w:t xml:space="preserve"> Government</w:t>
      </w:r>
      <w:r w:rsidR="00CE3046">
        <w:rPr>
          <w:rFonts w:cstheme="minorHAnsi"/>
          <w:sz w:val="24"/>
          <w:szCs w:val="24"/>
        </w:rPr>
        <w:t xml:space="preserve"> </w:t>
      </w:r>
      <w:r w:rsidR="00CE3046" w:rsidRPr="00ED3F00">
        <w:rPr>
          <w:rFonts w:cstheme="minorHAnsi"/>
          <w:sz w:val="24"/>
          <w:szCs w:val="24"/>
        </w:rPr>
        <w:t>supports this recommendation in principle</w:t>
      </w:r>
      <w:r w:rsidRPr="00ED3F00">
        <w:rPr>
          <w:rFonts w:cstheme="minorHAnsi"/>
          <w:sz w:val="24"/>
          <w:szCs w:val="24"/>
        </w:rPr>
        <w:t>.</w:t>
      </w:r>
    </w:p>
    <w:p w14:paraId="75556EF7" w14:textId="0A0BA2C4" w:rsidR="00F54E24" w:rsidRPr="003513A6" w:rsidRDefault="00EB63AF" w:rsidP="5D17406B">
      <w:pPr>
        <w:rPr>
          <w:rFonts w:cstheme="minorHAnsi"/>
          <w:sz w:val="24"/>
          <w:szCs w:val="24"/>
        </w:rPr>
      </w:pPr>
      <w:r w:rsidRPr="003513A6">
        <w:rPr>
          <w:rFonts w:cstheme="minorHAnsi"/>
          <w:sz w:val="24"/>
          <w:szCs w:val="24"/>
        </w:rPr>
        <w:t xml:space="preserve">The </w:t>
      </w:r>
      <w:r w:rsidR="00654C3A">
        <w:rPr>
          <w:rFonts w:cstheme="minorHAnsi"/>
          <w:sz w:val="24"/>
          <w:szCs w:val="24"/>
        </w:rPr>
        <w:t>Government</w:t>
      </w:r>
      <w:r w:rsidR="00654C3A" w:rsidRPr="003513A6">
        <w:rPr>
          <w:rFonts w:cstheme="minorHAnsi"/>
          <w:sz w:val="24"/>
          <w:szCs w:val="24"/>
        </w:rPr>
        <w:t xml:space="preserve"> </w:t>
      </w:r>
      <w:r w:rsidRPr="003513A6">
        <w:rPr>
          <w:rFonts w:cstheme="minorHAnsi"/>
          <w:sz w:val="24"/>
          <w:szCs w:val="24"/>
        </w:rPr>
        <w:t xml:space="preserve">understands from the public hearing as well as the submissions from </w:t>
      </w:r>
      <w:r w:rsidR="005325BE" w:rsidRPr="003513A6">
        <w:rPr>
          <w:rFonts w:cstheme="minorHAnsi"/>
          <w:sz w:val="24"/>
          <w:szCs w:val="24"/>
        </w:rPr>
        <w:t xml:space="preserve">experts, that the </w:t>
      </w:r>
      <w:r w:rsidR="00E55FBF" w:rsidRPr="003513A6">
        <w:rPr>
          <w:rFonts w:cstheme="minorHAnsi"/>
          <w:sz w:val="24"/>
          <w:szCs w:val="24"/>
        </w:rPr>
        <w:t xml:space="preserve">recommendation is to ensure the </w:t>
      </w:r>
      <w:r w:rsidR="00232E21" w:rsidRPr="003513A6">
        <w:rPr>
          <w:rFonts w:cstheme="minorHAnsi"/>
          <w:sz w:val="24"/>
          <w:szCs w:val="24"/>
        </w:rPr>
        <w:t xml:space="preserve">clinical pathway document </w:t>
      </w:r>
      <w:r w:rsidR="007243D2" w:rsidRPr="003513A6">
        <w:rPr>
          <w:rFonts w:cstheme="minorHAnsi"/>
          <w:sz w:val="24"/>
          <w:szCs w:val="24"/>
        </w:rPr>
        <w:t xml:space="preserve">contains and </w:t>
      </w:r>
      <w:r w:rsidR="007D12F3" w:rsidRPr="003513A6">
        <w:rPr>
          <w:rFonts w:cstheme="minorHAnsi"/>
          <w:sz w:val="24"/>
          <w:szCs w:val="24"/>
        </w:rPr>
        <w:t xml:space="preserve">explains the level of evidence </w:t>
      </w:r>
      <w:r w:rsidR="00C37ECE" w:rsidRPr="003513A6">
        <w:rPr>
          <w:rFonts w:cstheme="minorHAnsi"/>
          <w:sz w:val="24"/>
          <w:szCs w:val="24"/>
        </w:rPr>
        <w:t>used in the development of a clinical pathway document</w:t>
      </w:r>
      <w:r w:rsidR="002F41D4" w:rsidRPr="003513A6">
        <w:rPr>
          <w:rFonts w:cstheme="minorHAnsi"/>
          <w:sz w:val="24"/>
          <w:szCs w:val="24"/>
        </w:rPr>
        <w:t xml:space="preserve">. </w:t>
      </w:r>
      <w:r w:rsidR="00B71E46">
        <w:rPr>
          <w:rFonts w:cstheme="minorHAnsi"/>
          <w:sz w:val="24"/>
          <w:szCs w:val="24"/>
        </w:rPr>
        <w:br/>
      </w:r>
      <w:r w:rsidR="002F41D4" w:rsidRPr="003513A6">
        <w:rPr>
          <w:rFonts w:cstheme="minorHAnsi"/>
          <w:sz w:val="24"/>
          <w:szCs w:val="24"/>
        </w:rPr>
        <w:t xml:space="preserve">The </w:t>
      </w:r>
      <w:r w:rsidR="00654C3A">
        <w:rPr>
          <w:rFonts w:cstheme="minorHAnsi"/>
          <w:sz w:val="24"/>
          <w:szCs w:val="24"/>
        </w:rPr>
        <w:t>Government</w:t>
      </w:r>
      <w:r w:rsidR="00654C3A" w:rsidRPr="003513A6">
        <w:rPr>
          <w:rFonts w:cstheme="minorHAnsi"/>
          <w:sz w:val="24"/>
          <w:szCs w:val="24"/>
        </w:rPr>
        <w:t xml:space="preserve"> </w:t>
      </w:r>
      <w:r w:rsidR="002F41D4" w:rsidRPr="003513A6">
        <w:rPr>
          <w:rFonts w:cstheme="minorHAnsi"/>
          <w:sz w:val="24"/>
          <w:szCs w:val="24"/>
        </w:rPr>
        <w:t xml:space="preserve">acknowledges this approach will </w:t>
      </w:r>
      <w:r w:rsidR="005946F2" w:rsidRPr="003513A6">
        <w:rPr>
          <w:rFonts w:cstheme="minorHAnsi"/>
          <w:sz w:val="24"/>
          <w:szCs w:val="24"/>
        </w:rPr>
        <w:t>provid</w:t>
      </w:r>
      <w:r w:rsidR="00AD793B" w:rsidRPr="003513A6">
        <w:rPr>
          <w:rFonts w:cstheme="minorHAnsi"/>
          <w:sz w:val="24"/>
          <w:szCs w:val="24"/>
        </w:rPr>
        <w:t>e transparency about the quality of the evidence in the clinical pathway document.</w:t>
      </w:r>
    </w:p>
    <w:p w14:paraId="4A549BEB" w14:textId="7DDC5DE9" w:rsidR="000F5CE3" w:rsidRPr="003513A6" w:rsidRDefault="000F5CE3" w:rsidP="000F5CE3">
      <w:pPr>
        <w:rPr>
          <w:rFonts w:cstheme="minorHAnsi"/>
          <w:sz w:val="24"/>
          <w:szCs w:val="24"/>
        </w:rPr>
      </w:pPr>
      <w:r w:rsidRPr="003513A6">
        <w:rPr>
          <w:rFonts w:cstheme="minorHAnsi"/>
          <w:sz w:val="24"/>
          <w:szCs w:val="24"/>
        </w:rPr>
        <w:lastRenderedPageBreak/>
        <w:t xml:space="preserve">The </w:t>
      </w:r>
      <w:r w:rsidR="00654C3A">
        <w:rPr>
          <w:rFonts w:cstheme="minorHAnsi"/>
          <w:sz w:val="24"/>
          <w:szCs w:val="24"/>
        </w:rPr>
        <w:t>Government</w:t>
      </w:r>
      <w:r w:rsidR="00654C3A" w:rsidRPr="003513A6">
        <w:rPr>
          <w:rFonts w:cstheme="minorHAnsi"/>
          <w:sz w:val="24"/>
          <w:szCs w:val="24"/>
        </w:rPr>
        <w:t xml:space="preserve"> </w:t>
      </w:r>
      <w:r w:rsidRPr="003513A6">
        <w:rPr>
          <w:rFonts w:cstheme="minorHAnsi"/>
          <w:sz w:val="24"/>
          <w:szCs w:val="24"/>
        </w:rPr>
        <w:t xml:space="preserve">notes that the DSCATT Clinical Pathway was developed to support decision-making in diagnosing and referring patients presenting with either new onset or unresolved debilitating symptoms with or without a history of tick bites that cannot be attributed to another condition. The evidence-based DSCATT clinical pathway and </w:t>
      </w:r>
      <w:r w:rsidR="00B71E46">
        <w:rPr>
          <w:rFonts w:cstheme="minorHAnsi"/>
          <w:sz w:val="24"/>
          <w:szCs w:val="24"/>
        </w:rPr>
        <w:br/>
      </w:r>
      <w:r w:rsidRPr="003513A6">
        <w:rPr>
          <w:rFonts w:cstheme="minorHAnsi"/>
          <w:sz w:val="24"/>
          <w:szCs w:val="24"/>
        </w:rPr>
        <w:t>multi-disciplinary care model for patients presenting with DSCATT helps doctors to make diagnoses and referrals for DSCATT patients.</w:t>
      </w:r>
    </w:p>
    <w:p w14:paraId="27CC0966" w14:textId="60CD1846" w:rsidR="000F5CE3" w:rsidRDefault="000F5CE3" w:rsidP="5D17406B">
      <w:pPr>
        <w:rPr>
          <w:rFonts w:cstheme="minorHAnsi"/>
          <w:sz w:val="24"/>
          <w:szCs w:val="24"/>
        </w:rPr>
      </w:pPr>
      <w:r w:rsidRPr="003513A6">
        <w:rPr>
          <w:rFonts w:cstheme="minorHAnsi"/>
          <w:sz w:val="24"/>
          <w:szCs w:val="24"/>
        </w:rPr>
        <w:t>Patient groups were consulted during the development of the DSCATT Clinical Pathway, as were medical and scientific experts. The DSCATT Clinical Pathway was considered by subject matter experts and was provided to the then Australian Health Protection Principal Committee and relevant subcommittees prior to publication. Overall, the DSCATT clinical pathway was well accepted and viewed as a valuable resource, particularly among authoritative medical and government health authorities.</w:t>
      </w:r>
      <w:r w:rsidR="00B5083B" w:rsidRPr="00B5083B">
        <w:t xml:space="preserve"> </w:t>
      </w:r>
      <w:r w:rsidR="00B5083B">
        <w:rPr>
          <w:rFonts w:cstheme="minorHAnsi"/>
          <w:sz w:val="24"/>
          <w:szCs w:val="24"/>
        </w:rPr>
        <w:t>The</w:t>
      </w:r>
      <w:r w:rsidR="00B5083B" w:rsidRPr="00B5083B">
        <w:rPr>
          <w:rFonts w:cstheme="minorHAnsi"/>
          <w:sz w:val="24"/>
          <w:szCs w:val="24"/>
        </w:rPr>
        <w:t xml:space="preserve"> </w:t>
      </w:r>
      <w:r w:rsidR="00654C3A">
        <w:rPr>
          <w:rFonts w:cstheme="minorHAnsi"/>
          <w:sz w:val="24"/>
          <w:szCs w:val="24"/>
        </w:rPr>
        <w:t>Government</w:t>
      </w:r>
      <w:r w:rsidR="00654C3A" w:rsidRPr="00B5083B">
        <w:rPr>
          <w:rFonts w:cstheme="minorHAnsi"/>
          <w:sz w:val="24"/>
          <w:szCs w:val="24"/>
        </w:rPr>
        <w:t xml:space="preserve"> </w:t>
      </w:r>
      <w:r w:rsidR="00B5083B" w:rsidRPr="00B5083B">
        <w:rPr>
          <w:rFonts w:cstheme="minorHAnsi"/>
          <w:sz w:val="24"/>
          <w:szCs w:val="24"/>
        </w:rPr>
        <w:t>understands there is dissatisfaction on the Clinical Pathway among some stakeholders</w:t>
      </w:r>
      <w:r w:rsidR="00B5083B">
        <w:rPr>
          <w:rFonts w:cstheme="minorHAnsi"/>
          <w:sz w:val="24"/>
          <w:szCs w:val="24"/>
        </w:rPr>
        <w:t xml:space="preserve"> and is open to exploring this recommendation.  </w:t>
      </w:r>
    </w:p>
    <w:p w14:paraId="2F139CE7" w14:textId="32844F27" w:rsidR="4BC5A9B4" w:rsidRPr="003513A6" w:rsidRDefault="4BC5A9B4" w:rsidP="009E32CE">
      <w:pPr>
        <w:pStyle w:val="Heading2"/>
      </w:pPr>
      <w:r w:rsidRPr="003513A6">
        <w:t>Recommendation 5</w:t>
      </w:r>
    </w:p>
    <w:p w14:paraId="0004DD28" w14:textId="4821AC04" w:rsidR="4BC5A9B4" w:rsidRPr="003513A6" w:rsidRDefault="4BC5A9B4" w:rsidP="17C6A844">
      <w:pPr>
        <w:spacing w:before="240" w:after="120"/>
        <w:rPr>
          <w:rFonts w:eastAsiaTheme="minorEastAsia" w:cstheme="minorHAnsi"/>
          <w:b/>
          <w:bCs/>
          <w:i/>
          <w:iCs/>
          <w:sz w:val="24"/>
          <w:szCs w:val="24"/>
        </w:rPr>
      </w:pPr>
      <w:r w:rsidRPr="003513A6">
        <w:rPr>
          <w:rFonts w:eastAsiaTheme="minorEastAsia" w:cstheme="minorHAnsi"/>
          <w:b/>
          <w:bCs/>
          <w:i/>
          <w:iCs/>
          <w:sz w:val="24"/>
          <w:szCs w:val="24"/>
        </w:rPr>
        <w:t xml:space="preserve">The committee recommends that the </w:t>
      </w:r>
      <w:r w:rsidR="00073F5D" w:rsidRPr="003513A6">
        <w:rPr>
          <w:rFonts w:cstheme="minorHAnsi"/>
          <w:b/>
          <w:bCs/>
          <w:i/>
          <w:iCs/>
          <w:sz w:val="24"/>
          <w:szCs w:val="24"/>
        </w:rPr>
        <w:t>Department of Health</w:t>
      </w:r>
      <w:r w:rsidR="00073F5D">
        <w:rPr>
          <w:rFonts w:cstheme="minorHAnsi"/>
          <w:b/>
          <w:bCs/>
          <w:i/>
          <w:iCs/>
          <w:sz w:val="24"/>
          <w:szCs w:val="24"/>
        </w:rPr>
        <w:t xml:space="preserve">, Disability and Ageing </w:t>
      </w:r>
      <w:r w:rsidRPr="003513A6">
        <w:rPr>
          <w:rFonts w:eastAsiaTheme="minorEastAsia" w:cstheme="minorHAnsi"/>
          <w:b/>
          <w:bCs/>
          <w:i/>
          <w:iCs/>
          <w:sz w:val="24"/>
          <w:szCs w:val="24"/>
        </w:rPr>
        <w:t>review its suite of fact sheets for the public, and guidance notes for practitioners, to ensure that they are fit for purpose.</w:t>
      </w:r>
    </w:p>
    <w:p w14:paraId="79961425" w14:textId="172E837F" w:rsidR="00073F5D" w:rsidRDefault="7896B622" w:rsidP="599FFA77">
      <w:pPr>
        <w:rPr>
          <w:rFonts w:cstheme="minorHAnsi"/>
          <w:sz w:val="24"/>
          <w:szCs w:val="24"/>
        </w:rPr>
      </w:pPr>
      <w:r w:rsidRPr="003513A6">
        <w:rPr>
          <w:rFonts w:cstheme="minorHAnsi"/>
          <w:sz w:val="24"/>
          <w:szCs w:val="24"/>
        </w:rPr>
        <w:t>The Government</w:t>
      </w:r>
      <w:r w:rsidR="00CE3046">
        <w:rPr>
          <w:rFonts w:cstheme="minorHAnsi"/>
          <w:sz w:val="24"/>
          <w:szCs w:val="24"/>
        </w:rPr>
        <w:t xml:space="preserve"> supports </w:t>
      </w:r>
      <w:r w:rsidR="72C7928D" w:rsidRPr="003513A6">
        <w:rPr>
          <w:rFonts w:cstheme="minorHAnsi"/>
          <w:sz w:val="24"/>
          <w:szCs w:val="24"/>
        </w:rPr>
        <w:t>this recomme</w:t>
      </w:r>
      <w:r w:rsidR="009A6D9D" w:rsidRPr="003513A6">
        <w:rPr>
          <w:rFonts w:cstheme="minorHAnsi"/>
          <w:sz w:val="24"/>
          <w:szCs w:val="24"/>
        </w:rPr>
        <w:t>nd</w:t>
      </w:r>
      <w:r w:rsidR="72C7928D" w:rsidRPr="003513A6">
        <w:rPr>
          <w:rFonts w:cstheme="minorHAnsi"/>
          <w:sz w:val="24"/>
          <w:szCs w:val="24"/>
        </w:rPr>
        <w:t>ation.</w:t>
      </w:r>
    </w:p>
    <w:p w14:paraId="43372D78" w14:textId="4ED0EC38" w:rsidR="009A6D9D" w:rsidRDefault="23BD772E" w:rsidP="599FFA77">
      <w:pPr>
        <w:rPr>
          <w:rFonts w:cstheme="minorHAnsi"/>
          <w:sz w:val="24"/>
          <w:szCs w:val="24"/>
        </w:rPr>
      </w:pPr>
      <w:r w:rsidRPr="003513A6">
        <w:rPr>
          <w:rFonts w:cstheme="minorHAnsi"/>
          <w:sz w:val="24"/>
          <w:szCs w:val="24"/>
        </w:rPr>
        <w:t xml:space="preserve">The </w:t>
      </w:r>
      <w:r w:rsidR="00654C3A">
        <w:rPr>
          <w:rFonts w:cstheme="minorHAnsi"/>
          <w:sz w:val="24"/>
          <w:szCs w:val="24"/>
        </w:rPr>
        <w:t>Government</w:t>
      </w:r>
      <w:r w:rsidR="00654C3A" w:rsidRPr="003513A6">
        <w:rPr>
          <w:rFonts w:cstheme="minorHAnsi"/>
          <w:sz w:val="24"/>
          <w:szCs w:val="24"/>
        </w:rPr>
        <w:t xml:space="preserve"> </w:t>
      </w:r>
      <w:r w:rsidRPr="003513A6">
        <w:rPr>
          <w:rFonts w:cstheme="minorHAnsi"/>
          <w:sz w:val="24"/>
          <w:szCs w:val="24"/>
        </w:rPr>
        <w:t xml:space="preserve">acknowledges </w:t>
      </w:r>
      <w:r w:rsidR="00D6146A" w:rsidRPr="003513A6">
        <w:rPr>
          <w:rFonts w:cstheme="minorHAnsi"/>
          <w:sz w:val="24"/>
          <w:szCs w:val="24"/>
        </w:rPr>
        <w:t xml:space="preserve">the </w:t>
      </w:r>
      <w:r w:rsidR="008775F5" w:rsidRPr="003513A6">
        <w:rPr>
          <w:rFonts w:cstheme="minorHAnsi"/>
          <w:sz w:val="24"/>
          <w:szCs w:val="24"/>
        </w:rPr>
        <w:t>dissatisf</w:t>
      </w:r>
      <w:r w:rsidR="00D6146A" w:rsidRPr="003513A6">
        <w:rPr>
          <w:rFonts w:cstheme="minorHAnsi"/>
          <w:sz w:val="24"/>
          <w:szCs w:val="24"/>
        </w:rPr>
        <w:t>action</w:t>
      </w:r>
      <w:r w:rsidRPr="003513A6">
        <w:rPr>
          <w:rFonts w:cstheme="minorHAnsi"/>
          <w:sz w:val="24"/>
          <w:szCs w:val="24"/>
        </w:rPr>
        <w:t xml:space="preserve"> </w:t>
      </w:r>
      <w:r w:rsidR="00D6146A" w:rsidRPr="003513A6">
        <w:rPr>
          <w:rFonts w:cstheme="minorHAnsi"/>
          <w:sz w:val="24"/>
          <w:szCs w:val="24"/>
        </w:rPr>
        <w:t>expressed</w:t>
      </w:r>
      <w:r w:rsidR="002D249E" w:rsidRPr="003513A6">
        <w:rPr>
          <w:rFonts w:cstheme="minorHAnsi"/>
          <w:sz w:val="24"/>
          <w:szCs w:val="24"/>
        </w:rPr>
        <w:t xml:space="preserve"> </w:t>
      </w:r>
      <w:r w:rsidR="00D6146A" w:rsidRPr="003513A6">
        <w:rPr>
          <w:rFonts w:cstheme="minorHAnsi"/>
          <w:sz w:val="24"/>
          <w:szCs w:val="24"/>
        </w:rPr>
        <w:t xml:space="preserve">in the report in relation to tick illness related </w:t>
      </w:r>
      <w:r w:rsidRPr="003513A6">
        <w:rPr>
          <w:rFonts w:cstheme="minorHAnsi"/>
          <w:sz w:val="24"/>
          <w:szCs w:val="24"/>
        </w:rPr>
        <w:t xml:space="preserve">information that is available for the public and </w:t>
      </w:r>
      <w:r w:rsidR="008775F5" w:rsidRPr="003513A6">
        <w:rPr>
          <w:rFonts w:cstheme="minorHAnsi"/>
          <w:sz w:val="24"/>
          <w:szCs w:val="24"/>
        </w:rPr>
        <w:t>practitioner</w:t>
      </w:r>
      <w:r w:rsidR="00CE3046">
        <w:rPr>
          <w:rFonts w:cstheme="minorHAnsi"/>
          <w:sz w:val="24"/>
          <w:szCs w:val="24"/>
        </w:rPr>
        <w:t>s</w:t>
      </w:r>
      <w:r w:rsidR="00D6146A" w:rsidRPr="003513A6">
        <w:rPr>
          <w:rFonts w:cstheme="minorHAnsi"/>
          <w:sz w:val="24"/>
          <w:szCs w:val="24"/>
        </w:rPr>
        <w:t xml:space="preserve">. The </w:t>
      </w:r>
      <w:r w:rsidR="00654C3A">
        <w:rPr>
          <w:rFonts w:cstheme="minorHAnsi"/>
          <w:sz w:val="24"/>
          <w:szCs w:val="24"/>
        </w:rPr>
        <w:t>Government</w:t>
      </w:r>
      <w:r w:rsidR="00654C3A" w:rsidRPr="003513A6">
        <w:rPr>
          <w:rFonts w:cstheme="minorHAnsi"/>
          <w:sz w:val="24"/>
          <w:szCs w:val="24"/>
        </w:rPr>
        <w:t xml:space="preserve"> </w:t>
      </w:r>
      <w:r w:rsidRPr="003513A6">
        <w:rPr>
          <w:rFonts w:cstheme="minorHAnsi"/>
          <w:sz w:val="24"/>
          <w:szCs w:val="24"/>
        </w:rPr>
        <w:t>is</w:t>
      </w:r>
      <w:r w:rsidR="72C7928D" w:rsidRPr="003513A6">
        <w:rPr>
          <w:rFonts w:cstheme="minorHAnsi"/>
          <w:sz w:val="24"/>
          <w:szCs w:val="24"/>
        </w:rPr>
        <w:t xml:space="preserve"> committed to </w:t>
      </w:r>
      <w:r w:rsidR="00D6146A" w:rsidRPr="003513A6">
        <w:rPr>
          <w:rFonts w:cstheme="minorHAnsi"/>
          <w:sz w:val="24"/>
          <w:szCs w:val="24"/>
        </w:rPr>
        <w:t xml:space="preserve">reviewing </w:t>
      </w:r>
      <w:r w:rsidR="72C7928D" w:rsidRPr="003513A6">
        <w:rPr>
          <w:rFonts w:cstheme="minorHAnsi"/>
          <w:sz w:val="24"/>
          <w:szCs w:val="24"/>
        </w:rPr>
        <w:t xml:space="preserve">the fact sheets to </w:t>
      </w:r>
      <w:r w:rsidR="00D6146A" w:rsidRPr="003513A6">
        <w:rPr>
          <w:rFonts w:cstheme="minorHAnsi"/>
          <w:sz w:val="24"/>
          <w:szCs w:val="24"/>
        </w:rPr>
        <w:t xml:space="preserve">ensure that they are </w:t>
      </w:r>
      <w:r w:rsidR="72C7928D" w:rsidRPr="003513A6">
        <w:rPr>
          <w:rFonts w:cstheme="minorHAnsi"/>
          <w:sz w:val="24"/>
          <w:szCs w:val="24"/>
        </w:rPr>
        <w:t>patient</w:t>
      </w:r>
      <w:r w:rsidR="30D516A4" w:rsidRPr="003513A6">
        <w:rPr>
          <w:rFonts w:cstheme="minorHAnsi"/>
          <w:sz w:val="24"/>
          <w:szCs w:val="24"/>
        </w:rPr>
        <w:t xml:space="preserve"> </w:t>
      </w:r>
      <w:r w:rsidR="72C7928D" w:rsidRPr="003513A6">
        <w:rPr>
          <w:rFonts w:cstheme="minorHAnsi"/>
          <w:sz w:val="24"/>
          <w:szCs w:val="24"/>
        </w:rPr>
        <w:t>centred</w:t>
      </w:r>
      <w:r w:rsidR="30D516A4" w:rsidRPr="003513A6">
        <w:rPr>
          <w:rFonts w:cstheme="minorHAnsi"/>
          <w:sz w:val="24"/>
          <w:szCs w:val="24"/>
        </w:rPr>
        <w:t xml:space="preserve"> and support practitioners to provide suitable care.</w:t>
      </w:r>
    </w:p>
    <w:p w14:paraId="25B3A05E" w14:textId="496FBD7C" w:rsidR="4BC5A9B4" w:rsidRPr="003513A6" w:rsidRDefault="4BC5A9B4" w:rsidP="009E32CE">
      <w:pPr>
        <w:pStyle w:val="Heading2"/>
      </w:pPr>
      <w:r w:rsidRPr="003513A6">
        <w:t>Recommendation 6</w:t>
      </w:r>
    </w:p>
    <w:p w14:paraId="00223AA1" w14:textId="5712E45F" w:rsidR="4BC5A9B4" w:rsidRPr="003513A6" w:rsidRDefault="4BC5A9B4" w:rsidP="17C6A844">
      <w:pPr>
        <w:spacing w:before="240" w:after="120"/>
        <w:rPr>
          <w:rFonts w:eastAsiaTheme="minorEastAsia" w:cstheme="minorHAnsi"/>
          <w:b/>
          <w:bCs/>
          <w:i/>
          <w:iCs/>
          <w:sz w:val="24"/>
          <w:szCs w:val="24"/>
        </w:rPr>
      </w:pPr>
      <w:r w:rsidRPr="003513A6">
        <w:rPr>
          <w:rFonts w:eastAsiaTheme="minorEastAsia" w:cstheme="minorHAnsi"/>
          <w:b/>
          <w:bCs/>
          <w:i/>
          <w:iCs/>
          <w:sz w:val="24"/>
          <w:szCs w:val="24"/>
        </w:rPr>
        <w:t>The committee recommends that the Australian Government provide funding for urgent research to identify and treat tick-borne diseases, including through: the identification of tick-borne pathogens in Australia; determining whether these pathogens are transmissible to humans; and evaluating the efficacy of treatment protocols accessed by patients both domestically and internationally.</w:t>
      </w:r>
    </w:p>
    <w:p w14:paraId="4A49FF61" w14:textId="6E7768FA" w:rsidR="5EBE80D4" w:rsidRPr="003513A6" w:rsidRDefault="5EBE80D4" w:rsidP="599FFA77">
      <w:pPr>
        <w:rPr>
          <w:rFonts w:cstheme="minorHAnsi"/>
          <w:sz w:val="24"/>
          <w:szCs w:val="24"/>
        </w:rPr>
      </w:pPr>
      <w:r w:rsidRPr="003513A6">
        <w:rPr>
          <w:rFonts w:cstheme="minorHAnsi"/>
          <w:sz w:val="24"/>
          <w:szCs w:val="24"/>
        </w:rPr>
        <w:t>The</w:t>
      </w:r>
      <w:r w:rsidR="5843D1BF" w:rsidRPr="003513A6">
        <w:rPr>
          <w:rFonts w:cstheme="minorHAnsi"/>
          <w:sz w:val="24"/>
          <w:szCs w:val="24"/>
        </w:rPr>
        <w:t xml:space="preserve"> Government</w:t>
      </w:r>
      <w:r w:rsidR="00CE3046">
        <w:rPr>
          <w:rFonts w:cstheme="minorHAnsi"/>
          <w:sz w:val="24"/>
          <w:szCs w:val="24"/>
        </w:rPr>
        <w:t xml:space="preserve"> supports this recommendation in principle</w:t>
      </w:r>
      <w:r w:rsidRPr="003513A6">
        <w:rPr>
          <w:rFonts w:cstheme="minorHAnsi"/>
          <w:sz w:val="24"/>
          <w:szCs w:val="24"/>
        </w:rPr>
        <w:t>.</w:t>
      </w:r>
    </w:p>
    <w:p w14:paraId="68E2BAB6" w14:textId="463F8F28" w:rsidR="0074317C" w:rsidRPr="003513A6" w:rsidRDefault="008B326D" w:rsidP="599FFA77">
      <w:pPr>
        <w:rPr>
          <w:rFonts w:cstheme="minorHAnsi"/>
          <w:sz w:val="24"/>
          <w:szCs w:val="24"/>
        </w:rPr>
      </w:pPr>
      <w:r w:rsidRPr="003513A6">
        <w:rPr>
          <w:rFonts w:cstheme="minorHAnsi"/>
          <w:sz w:val="24"/>
          <w:szCs w:val="24"/>
        </w:rPr>
        <w:t xml:space="preserve">Following </w:t>
      </w:r>
      <w:r w:rsidR="006975D2" w:rsidRPr="003513A6">
        <w:rPr>
          <w:rFonts w:cstheme="minorHAnsi"/>
          <w:sz w:val="24"/>
          <w:szCs w:val="24"/>
        </w:rPr>
        <w:t xml:space="preserve">the 2016 </w:t>
      </w:r>
      <w:r w:rsidRPr="003513A6">
        <w:rPr>
          <w:rFonts w:cstheme="minorHAnsi"/>
          <w:sz w:val="24"/>
          <w:szCs w:val="24"/>
        </w:rPr>
        <w:t>I</w:t>
      </w:r>
      <w:r w:rsidR="006975D2" w:rsidRPr="003513A6">
        <w:rPr>
          <w:rFonts w:cstheme="minorHAnsi"/>
          <w:sz w:val="24"/>
          <w:szCs w:val="24"/>
        </w:rPr>
        <w:t xml:space="preserve">nquiry </w:t>
      </w:r>
      <w:r w:rsidRPr="003513A6">
        <w:rPr>
          <w:rFonts w:cstheme="minorHAnsi"/>
          <w:sz w:val="24"/>
          <w:szCs w:val="24"/>
        </w:rPr>
        <w:t xml:space="preserve">the department </w:t>
      </w:r>
      <w:r w:rsidR="00AD27D3" w:rsidRPr="003513A6">
        <w:rPr>
          <w:rFonts w:cstheme="minorHAnsi"/>
          <w:sz w:val="24"/>
          <w:szCs w:val="24"/>
        </w:rPr>
        <w:t xml:space="preserve">urgently funded a targeted call for research to identify and treat tick-borne diseases. </w:t>
      </w:r>
      <w:r w:rsidR="00181733" w:rsidRPr="00181733">
        <w:rPr>
          <w:rFonts w:cstheme="minorHAnsi"/>
          <w:sz w:val="24"/>
          <w:szCs w:val="24"/>
        </w:rPr>
        <w:t xml:space="preserve">This includes </w:t>
      </w:r>
      <w:r w:rsidR="00814D05" w:rsidRPr="00181733">
        <w:rPr>
          <w:rFonts w:cstheme="minorHAnsi"/>
          <w:sz w:val="24"/>
          <w:szCs w:val="24"/>
        </w:rPr>
        <w:t xml:space="preserve">recently published </w:t>
      </w:r>
      <w:r w:rsidR="00181733" w:rsidRPr="00181733">
        <w:rPr>
          <w:rFonts w:cstheme="minorHAnsi"/>
          <w:sz w:val="24"/>
          <w:szCs w:val="24"/>
        </w:rPr>
        <w:t>research by the CSIRO and the National Health and Medical Research Council currently in progress</w:t>
      </w:r>
      <w:r w:rsidR="00181733">
        <w:rPr>
          <w:rFonts w:cstheme="minorHAnsi"/>
          <w:sz w:val="24"/>
          <w:szCs w:val="24"/>
        </w:rPr>
        <w:t xml:space="preserve">. </w:t>
      </w:r>
      <w:r w:rsidR="00EC42D8" w:rsidRPr="00EC42D8">
        <w:rPr>
          <w:rFonts w:cstheme="minorHAnsi"/>
          <w:sz w:val="24"/>
          <w:szCs w:val="24"/>
        </w:rPr>
        <w:t xml:space="preserve">The Government will consider the findings of current research, including the CSIRO’s findings that after extensive research, no Lyme disease causing </w:t>
      </w:r>
      <w:r w:rsidR="00EC42D8" w:rsidRPr="00EC42D8">
        <w:rPr>
          <w:rFonts w:cstheme="minorHAnsi"/>
          <w:i/>
          <w:iCs/>
          <w:sz w:val="24"/>
          <w:szCs w:val="24"/>
        </w:rPr>
        <w:t>Borrelia</w:t>
      </w:r>
      <w:r w:rsidR="00EC42D8" w:rsidRPr="00EC42D8">
        <w:rPr>
          <w:rFonts w:cstheme="minorHAnsi"/>
          <w:sz w:val="24"/>
          <w:szCs w:val="24"/>
        </w:rPr>
        <w:t xml:space="preserve"> species was found in Australia</w:t>
      </w:r>
      <w:r w:rsidR="00EC42D8">
        <w:rPr>
          <w:rFonts w:cstheme="minorHAnsi"/>
          <w:sz w:val="24"/>
          <w:szCs w:val="24"/>
        </w:rPr>
        <w:t xml:space="preserve">. </w:t>
      </w:r>
      <w:r w:rsidR="00814D05" w:rsidRPr="002F0D65">
        <w:rPr>
          <w:rFonts w:cstheme="minorHAnsi"/>
          <w:sz w:val="24"/>
          <w:szCs w:val="24"/>
        </w:rPr>
        <w:t>Any future investment and p</w:t>
      </w:r>
      <w:r w:rsidR="00FE359A" w:rsidRPr="002F0D65">
        <w:rPr>
          <w:rFonts w:cstheme="minorHAnsi"/>
          <w:sz w:val="24"/>
          <w:szCs w:val="24"/>
        </w:rPr>
        <w:t>otential research will build on the evidence available</w:t>
      </w:r>
      <w:r w:rsidR="00814D05" w:rsidRPr="002F0D65">
        <w:rPr>
          <w:rFonts w:cstheme="minorHAnsi"/>
          <w:sz w:val="24"/>
          <w:szCs w:val="24"/>
        </w:rPr>
        <w:t xml:space="preserve">, </w:t>
      </w:r>
      <w:r w:rsidR="00814D05" w:rsidRPr="002F0D65">
        <w:rPr>
          <w:rFonts w:cstheme="minorHAnsi"/>
          <w:sz w:val="24"/>
          <w:szCs w:val="24"/>
        </w:rPr>
        <w:lastRenderedPageBreak/>
        <w:t>rather than further exploring borrelia as a vector for DSCATT in</w:t>
      </w:r>
      <w:r w:rsidR="00814D05">
        <w:t xml:space="preserve"> Australia</w:t>
      </w:r>
      <w:r w:rsidR="00FE359A">
        <w:t xml:space="preserve">. </w:t>
      </w:r>
      <w:r w:rsidR="00FE359A" w:rsidRPr="00FE359A">
        <w:rPr>
          <w:rFonts w:cstheme="minorHAnsi"/>
          <w:sz w:val="24"/>
          <w:szCs w:val="24"/>
        </w:rPr>
        <w:t>This reduces the risk of duplication and ensures investment in targeted research</w:t>
      </w:r>
      <w:r w:rsidR="00814D05">
        <w:rPr>
          <w:rFonts w:cstheme="minorHAnsi"/>
          <w:sz w:val="24"/>
          <w:szCs w:val="24"/>
        </w:rPr>
        <w:t xml:space="preserve"> to </w:t>
      </w:r>
      <w:r w:rsidR="00814D05" w:rsidRPr="002F0D65">
        <w:rPr>
          <w:rFonts w:cstheme="minorHAnsi"/>
          <w:sz w:val="24"/>
          <w:szCs w:val="24"/>
        </w:rPr>
        <w:t>identify gaps</w:t>
      </w:r>
      <w:r w:rsidR="00814D05">
        <w:rPr>
          <w:rFonts w:cstheme="minorHAnsi"/>
          <w:sz w:val="24"/>
          <w:szCs w:val="24"/>
        </w:rPr>
        <w:t>,</w:t>
      </w:r>
      <w:r w:rsidR="00FE359A" w:rsidRPr="00FE359A">
        <w:rPr>
          <w:rFonts w:cstheme="minorHAnsi"/>
          <w:sz w:val="24"/>
          <w:szCs w:val="24"/>
        </w:rPr>
        <w:t xml:space="preserve"> including through </w:t>
      </w:r>
      <w:r w:rsidR="00814D05">
        <w:rPr>
          <w:rFonts w:cstheme="minorHAnsi"/>
          <w:sz w:val="24"/>
          <w:szCs w:val="24"/>
        </w:rPr>
        <w:t>projects funded by the</w:t>
      </w:r>
      <w:r w:rsidR="00FE359A" w:rsidRPr="00FE359A">
        <w:rPr>
          <w:rFonts w:cstheme="minorHAnsi"/>
          <w:sz w:val="24"/>
          <w:szCs w:val="24"/>
        </w:rPr>
        <w:t xml:space="preserve"> National Health and Medical Research Council.</w:t>
      </w:r>
    </w:p>
    <w:p w14:paraId="32FAF8FC" w14:textId="634BDAB2" w:rsidR="4BC5A9B4" w:rsidRPr="003513A6" w:rsidRDefault="4BC5A9B4" w:rsidP="009E32CE">
      <w:pPr>
        <w:pStyle w:val="Heading2"/>
      </w:pPr>
      <w:r w:rsidRPr="003513A6">
        <w:t>Recommendation 7</w:t>
      </w:r>
    </w:p>
    <w:p w14:paraId="420B8235" w14:textId="76032C1A" w:rsidR="4BC5A9B4" w:rsidRPr="003513A6" w:rsidRDefault="4BC5A9B4" w:rsidP="17C6A844">
      <w:pPr>
        <w:rPr>
          <w:rFonts w:cstheme="minorHAnsi"/>
          <w:b/>
          <w:bCs/>
          <w:i/>
          <w:iCs/>
          <w:sz w:val="24"/>
          <w:szCs w:val="24"/>
        </w:rPr>
      </w:pPr>
      <w:bookmarkStart w:id="0" w:name="_Hlk201820124"/>
      <w:r w:rsidRPr="003513A6">
        <w:rPr>
          <w:rFonts w:cstheme="minorHAnsi"/>
          <w:b/>
          <w:bCs/>
          <w:i/>
          <w:iCs/>
          <w:sz w:val="24"/>
          <w:szCs w:val="24"/>
        </w:rPr>
        <w:t>The committee recommends that the Government urgently review diagnostic testing available internationally to determine the efficacy and suitability for use in Australia.</w:t>
      </w:r>
    </w:p>
    <w:p w14:paraId="390551D6" w14:textId="00E2BFAE" w:rsidR="00073F5D" w:rsidRDefault="00073F5D" w:rsidP="1688F4AD">
      <w:pPr>
        <w:rPr>
          <w:rFonts w:cstheme="minorHAnsi"/>
          <w:sz w:val="24"/>
          <w:szCs w:val="24"/>
        </w:rPr>
      </w:pPr>
      <w:r w:rsidRPr="5089733D">
        <w:rPr>
          <w:sz w:val="24"/>
          <w:szCs w:val="24"/>
        </w:rPr>
        <w:t xml:space="preserve">The Government </w:t>
      </w:r>
      <w:r w:rsidR="005757F8">
        <w:rPr>
          <w:sz w:val="24"/>
          <w:szCs w:val="24"/>
        </w:rPr>
        <w:t>supports</w:t>
      </w:r>
      <w:r w:rsidRPr="5089733D">
        <w:rPr>
          <w:sz w:val="24"/>
          <w:szCs w:val="24"/>
        </w:rPr>
        <w:t xml:space="preserve"> the recommendation in principle and will engage with pathology expert groups to seek advice.</w:t>
      </w:r>
    </w:p>
    <w:p w14:paraId="08800F3E" w14:textId="42F35513" w:rsidR="00C701DC" w:rsidRPr="003513A6" w:rsidRDefault="00C701DC" w:rsidP="1688F4AD">
      <w:pPr>
        <w:rPr>
          <w:rFonts w:cstheme="minorHAnsi"/>
          <w:sz w:val="24"/>
          <w:szCs w:val="24"/>
        </w:rPr>
      </w:pPr>
      <w:r w:rsidRPr="003513A6">
        <w:rPr>
          <w:rFonts w:cstheme="minorHAnsi"/>
          <w:sz w:val="24"/>
          <w:szCs w:val="24"/>
        </w:rPr>
        <w:t xml:space="preserve">The </w:t>
      </w:r>
      <w:r w:rsidR="002C71D5">
        <w:rPr>
          <w:rFonts w:cstheme="minorHAnsi"/>
          <w:sz w:val="24"/>
          <w:szCs w:val="24"/>
        </w:rPr>
        <w:t>Government</w:t>
      </w:r>
      <w:r w:rsidR="002C71D5" w:rsidRPr="003513A6">
        <w:rPr>
          <w:rFonts w:cstheme="minorHAnsi"/>
          <w:sz w:val="24"/>
          <w:szCs w:val="24"/>
        </w:rPr>
        <w:t xml:space="preserve"> </w:t>
      </w:r>
      <w:r w:rsidRPr="003513A6">
        <w:rPr>
          <w:rFonts w:cstheme="minorHAnsi"/>
          <w:sz w:val="24"/>
          <w:szCs w:val="24"/>
        </w:rPr>
        <w:t>acknowledges the contributions made from witnesses with interests in the testing methodologies available internationally</w:t>
      </w:r>
      <w:r w:rsidR="004C1966">
        <w:rPr>
          <w:rFonts w:cstheme="minorHAnsi"/>
          <w:sz w:val="24"/>
          <w:szCs w:val="24"/>
        </w:rPr>
        <w:t>. The</w:t>
      </w:r>
      <w:r w:rsidR="0938A458" w:rsidRPr="003513A6">
        <w:rPr>
          <w:rFonts w:cstheme="minorHAnsi"/>
          <w:sz w:val="24"/>
          <w:szCs w:val="24"/>
        </w:rPr>
        <w:t xml:space="preserve"> Government</w:t>
      </w:r>
      <w:r w:rsidR="001D64E2">
        <w:rPr>
          <w:rFonts w:cstheme="minorHAnsi"/>
          <w:sz w:val="24"/>
          <w:szCs w:val="24"/>
        </w:rPr>
        <w:t xml:space="preserve"> </w:t>
      </w:r>
      <w:r w:rsidR="004C1966">
        <w:rPr>
          <w:rFonts w:cstheme="minorHAnsi"/>
          <w:sz w:val="24"/>
          <w:szCs w:val="24"/>
        </w:rPr>
        <w:t xml:space="preserve">supports the recommendation in principle and will engage with pathology expert groups to seek advice. The </w:t>
      </w:r>
      <w:r w:rsidR="002C71D5">
        <w:rPr>
          <w:rFonts w:cstheme="minorHAnsi"/>
          <w:sz w:val="24"/>
          <w:szCs w:val="24"/>
        </w:rPr>
        <w:t>Government</w:t>
      </w:r>
      <w:r w:rsidR="004C1966">
        <w:rPr>
          <w:rFonts w:cstheme="minorHAnsi"/>
          <w:sz w:val="24"/>
          <w:szCs w:val="24"/>
        </w:rPr>
        <w:t xml:space="preserve"> notes that: </w:t>
      </w:r>
    </w:p>
    <w:p w14:paraId="3A881324" w14:textId="0C138A4E" w:rsidR="00C701DC" w:rsidRPr="003513A6" w:rsidRDefault="0EABA721" w:rsidP="000D038D">
      <w:pPr>
        <w:pStyle w:val="ListParagraph"/>
        <w:numPr>
          <w:ilvl w:val="0"/>
          <w:numId w:val="5"/>
        </w:numPr>
        <w:rPr>
          <w:rFonts w:cstheme="minorHAnsi"/>
          <w:sz w:val="24"/>
          <w:szCs w:val="24"/>
        </w:rPr>
      </w:pPr>
      <w:r w:rsidRPr="003513A6">
        <w:rPr>
          <w:rFonts w:cstheme="minorHAnsi"/>
          <w:sz w:val="24"/>
          <w:szCs w:val="24"/>
        </w:rPr>
        <w:t xml:space="preserve">It would not be viable for the </w:t>
      </w:r>
      <w:r w:rsidR="003D8013" w:rsidRPr="003513A6">
        <w:rPr>
          <w:rFonts w:cstheme="minorHAnsi"/>
          <w:sz w:val="24"/>
          <w:szCs w:val="24"/>
        </w:rPr>
        <w:t>Governmen</w:t>
      </w:r>
      <w:r w:rsidR="168AAE71" w:rsidRPr="003513A6">
        <w:rPr>
          <w:rFonts w:cstheme="minorHAnsi"/>
          <w:sz w:val="24"/>
          <w:szCs w:val="24"/>
        </w:rPr>
        <w:t xml:space="preserve">t </w:t>
      </w:r>
      <w:r w:rsidR="00484F61" w:rsidRPr="003513A6">
        <w:rPr>
          <w:rFonts w:cstheme="minorHAnsi"/>
          <w:sz w:val="24"/>
          <w:szCs w:val="24"/>
        </w:rPr>
        <w:t>to adopt</w:t>
      </w:r>
      <w:r w:rsidR="168AAE71" w:rsidRPr="003513A6">
        <w:rPr>
          <w:rFonts w:cstheme="minorHAnsi"/>
          <w:sz w:val="24"/>
          <w:szCs w:val="24"/>
        </w:rPr>
        <w:t xml:space="preserve"> international diagnostic </w:t>
      </w:r>
      <w:r w:rsidR="00D94A60" w:rsidRPr="003513A6">
        <w:rPr>
          <w:rFonts w:cstheme="minorHAnsi"/>
          <w:sz w:val="24"/>
          <w:szCs w:val="24"/>
        </w:rPr>
        <w:t xml:space="preserve">devices </w:t>
      </w:r>
      <w:r w:rsidR="006F6AEE" w:rsidRPr="003513A6">
        <w:rPr>
          <w:rFonts w:cstheme="minorHAnsi"/>
          <w:sz w:val="24"/>
          <w:szCs w:val="24"/>
        </w:rPr>
        <w:t>that</w:t>
      </w:r>
      <w:r w:rsidR="0007209B" w:rsidRPr="003513A6">
        <w:rPr>
          <w:rFonts w:cstheme="minorHAnsi"/>
          <w:sz w:val="24"/>
          <w:szCs w:val="24"/>
        </w:rPr>
        <w:t xml:space="preserve"> target</w:t>
      </w:r>
      <w:r w:rsidR="168AAE71" w:rsidRPr="003513A6">
        <w:rPr>
          <w:rFonts w:cstheme="minorHAnsi"/>
          <w:sz w:val="24"/>
          <w:szCs w:val="24"/>
        </w:rPr>
        <w:t xml:space="preserve"> international pathogens</w:t>
      </w:r>
      <w:r w:rsidR="0007209B" w:rsidRPr="003513A6">
        <w:rPr>
          <w:rFonts w:cstheme="minorHAnsi"/>
          <w:sz w:val="24"/>
          <w:szCs w:val="24"/>
        </w:rPr>
        <w:t xml:space="preserve"> not </w:t>
      </w:r>
      <w:r w:rsidR="00F54135" w:rsidRPr="003513A6">
        <w:rPr>
          <w:rFonts w:cstheme="minorHAnsi"/>
          <w:sz w:val="24"/>
          <w:szCs w:val="24"/>
        </w:rPr>
        <w:t xml:space="preserve">identified </w:t>
      </w:r>
      <w:r w:rsidR="0007209B" w:rsidRPr="003513A6">
        <w:rPr>
          <w:rFonts w:cstheme="minorHAnsi"/>
          <w:sz w:val="24"/>
          <w:szCs w:val="24"/>
        </w:rPr>
        <w:t>in Australia</w:t>
      </w:r>
      <w:r w:rsidR="000F5CE3" w:rsidRPr="003513A6">
        <w:rPr>
          <w:rFonts w:cstheme="minorHAnsi"/>
          <w:sz w:val="24"/>
          <w:szCs w:val="24"/>
        </w:rPr>
        <w:t xml:space="preserve"> to date</w:t>
      </w:r>
      <w:r w:rsidR="168AAE71" w:rsidRPr="003513A6">
        <w:rPr>
          <w:rFonts w:cstheme="minorHAnsi"/>
          <w:sz w:val="24"/>
          <w:szCs w:val="24"/>
        </w:rPr>
        <w:t>.</w:t>
      </w:r>
    </w:p>
    <w:p w14:paraId="60595BEF" w14:textId="62C95153" w:rsidR="00234606" w:rsidRPr="00234606" w:rsidRDefault="00234606" w:rsidP="00234606">
      <w:pPr>
        <w:pStyle w:val="ListParagraph"/>
        <w:numPr>
          <w:ilvl w:val="0"/>
          <w:numId w:val="5"/>
        </w:numPr>
        <w:rPr>
          <w:rFonts w:ascii="Aptos" w:hAnsi="Aptos" w:cs="Aptos"/>
          <w:sz w:val="24"/>
          <w:szCs w:val="24"/>
        </w:rPr>
      </w:pPr>
      <w:r w:rsidRPr="00234606">
        <w:rPr>
          <w:sz w:val="24"/>
          <w:szCs w:val="24"/>
        </w:rPr>
        <w:t xml:space="preserve">Current research has not found evidence of Lyme disease to occur indigenously in Australia. </w:t>
      </w:r>
    </w:p>
    <w:p w14:paraId="4373BB2C" w14:textId="2E73FD4E" w:rsidR="00234606" w:rsidRPr="00234606" w:rsidRDefault="00234606" w:rsidP="00234606">
      <w:pPr>
        <w:pStyle w:val="ListParagraph"/>
        <w:numPr>
          <w:ilvl w:val="0"/>
          <w:numId w:val="5"/>
        </w:numPr>
        <w:rPr>
          <w:rFonts w:cstheme="minorHAnsi"/>
          <w:sz w:val="24"/>
          <w:szCs w:val="24"/>
        </w:rPr>
      </w:pPr>
      <w:r w:rsidRPr="00234606">
        <w:rPr>
          <w:rFonts w:cstheme="minorHAnsi"/>
          <w:sz w:val="24"/>
          <w:szCs w:val="24"/>
        </w:rPr>
        <w:t>The importation of diagnostic devices targeting non-indigenous pathogens in Australia is therefore not deemed feasible.</w:t>
      </w:r>
    </w:p>
    <w:p w14:paraId="5983E96A" w14:textId="77777777" w:rsidR="00234606" w:rsidRPr="003513A6" w:rsidRDefault="00234606" w:rsidP="00234606">
      <w:pPr>
        <w:pStyle w:val="ListParagraph"/>
        <w:rPr>
          <w:rFonts w:cstheme="minorHAnsi"/>
          <w:sz w:val="24"/>
          <w:szCs w:val="24"/>
        </w:rPr>
      </w:pPr>
    </w:p>
    <w:p w14:paraId="0A4CD471" w14:textId="2CB6101F" w:rsidR="00280050" w:rsidRDefault="007E38B7">
      <w:r w:rsidRPr="003513A6">
        <w:rPr>
          <w:rFonts w:cstheme="minorHAnsi"/>
          <w:sz w:val="24"/>
          <w:szCs w:val="24"/>
        </w:rPr>
        <w:t>The department</w:t>
      </w:r>
      <w:r w:rsidR="002951A5" w:rsidRPr="003513A6">
        <w:rPr>
          <w:rFonts w:cstheme="minorHAnsi"/>
          <w:sz w:val="24"/>
          <w:szCs w:val="24"/>
        </w:rPr>
        <w:t xml:space="preserve"> </w:t>
      </w:r>
      <w:r w:rsidR="00701E76" w:rsidRPr="003513A6">
        <w:rPr>
          <w:rFonts w:cstheme="minorHAnsi"/>
          <w:sz w:val="24"/>
          <w:szCs w:val="24"/>
        </w:rPr>
        <w:t>maintains</w:t>
      </w:r>
      <w:r w:rsidRPr="003513A6">
        <w:rPr>
          <w:rFonts w:cstheme="minorHAnsi"/>
          <w:sz w:val="24"/>
          <w:szCs w:val="24"/>
        </w:rPr>
        <w:t xml:space="preserve"> familiar</w:t>
      </w:r>
      <w:r w:rsidR="00701E76" w:rsidRPr="003513A6">
        <w:rPr>
          <w:rFonts w:cstheme="minorHAnsi"/>
          <w:sz w:val="24"/>
          <w:szCs w:val="24"/>
        </w:rPr>
        <w:t>ity</w:t>
      </w:r>
      <w:r w:rsidRPr="003513A6">
        <w:rPr>
          <w:rFonts w:cstheme="minorHAnsi"/>
          <w:sz w:val="24"/>
          <w:szCs w:val="24"/>
        </w:rPr>
        <w:t xml:space="preserve"> with testing methodologies used internationally</w:t>
      </w:r>
      <w:r w:rsidR="00C5243F" w:rsidRPr="003513A6">
        <w:rPr>
          <w:rFonts w:cstheme="minorHAnsi"/>
          <w:sz w:val="24"/>
          <w:szCs w:val="24"/>
        </w:rPr>
        <w:t xml:space="preserve"> and keeps abreast of </w:t>
      </w:r>
      <w:r w:rsidR="00A57E77" w:rsidRPr="003513A6">
        <w:rPr>
          <w:rFonts w:cstheme="minorHAnsi"/>
          <w:sz w:val="24"/>
          <w:szCs w:val="24"/>
        </w:rPr>
        <w:t>the available diagnostic approaches</w:t>
      </w:r>
      <w:r w:rsidR="002951A5" w:rsidRPr="003513A6">
        <w:rPr>
          <w:rFonts w:cstheme="minorHAnsi"/>
          <w:sz w:val="24"/>
          <w:szCs w:val="24"/>
        </w:rPr>
        <w:t xml:space="preserve"> to help determine suitability for use in Australi</w:t>
      </w:r>
      <w:r w:rsidR="006A7102" w:rsidRPr="003513A6">
        <w:rPr>
          <w:rFonts w:cstheme="minorHAnsi"/>
          <w:sz w:val="24"/>
          <w:szCs w:val="24"/>
        </w:rPr>
        <w:t>a.</w:t>
      </w:r>
      <w:bookmarkEnd w:id="0"/>
    </w:p>
    <w:sectPr w:rsidR="002800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BB1DF" w14:textId="77777777" w:rsidR="00BA09B4" w:rsidRDefault="00BA09B4" w:rsidP="00FB0BDD">
      <w:pPr>
        <w:spacing w:after="0" w:line="240" w:lineRule="auto"/>
      </w:pPr>
      <w:r>
        <w:separator/>
      </w:r>
    </w:p>
  </w:endnote>
  <w:endnote w:type="continuationSeparator" w:id="0">
    <w:p w14:paraId="39E0840C" w14:textId="77777777" w:rsidR="00BA09B4" w:rsidRDefault="00BA09B4" w:rsidP="00FB0BDD">
      <w:pPr>
        <w:spacing w:after="0" w:line="240" w:lineRule="auto"/>
      </w:pPr>
      <w:r>
        <w:continuationSeparator/>
      </w:r>
    </w:p>
  </w:endnote>
  <w:endnote w:type="continuationNotice" w:id="1">
    <w:p w14:paraId="4BA97DFB" w14:textId="77777777" w:rsidR="00BA09B4" w:rsidRDefault="00BA09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4654171"/>
      <w:docPartObj>
        <w:docPartGallery w:val="Page Numbers (Bottom of Page)"/>
        <w:docPartUnique/>
      </w:docPartObj>
    </w:sdtPr>
    <w:sdtContent>
      <w:p w14:paraId="4AD79089" w14:textId="413DB63C" w:rsidR="009E32CE" w:rsidRDefault="009E32CE" w:rsidP="00AE70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977912" w14:textId="25C04264" w:rsidR="00686471" w:rsidRDefault="002F0D65">
    <w:pPr>
      <w:pStyle w:val="Footer"/>
    </w:pPr>
    <w:r>
      <w:rPr>
        <w:noProof/>
      </w:rPr>
      <mc:AlternateContent>
        <mc:Choice Requires="wps">
          <w:drawing>
            <wp:anchor distT="0" distB="0" distL="0" distR="0" simplePos="0" relativeHeight="251658752" behindDoc="0" locked="0" layoutInCell="1" allowOverlap="1" wp14:anchorId="5BBFAEAC" wp14:editId="63115D7D">
              <wp:simplePos x="635" y="635"/>
              <wp:positionH relativeFrom="page">
                <wp:align>center</wp:align>
              </wp:positionH>
              <wp:positionV relativeFrom="page">
                <wp:align>bottom</wp:align>
              </wp:positionV>
              <wp:extent cx="551815" cy="404495"/>
              <wp:effectExtent l="0" t="0" r="635" b="0"/>
              <wp:wrapNone/>
              <wp:docPr id="2888327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0BED9CD" w14:textId="44B680DD" w:rsidR="002F0D65" w:rsidRPr="002F0D65" w:rsidRDefault="002F0D65" w:rsidP="002F0D65">
                          <w:pPr>
                            <w:spacing w:after="0"/>
                            <w:rPr>
                              <w:rFonts w:ascii="Calibri" w:eastAsia="Calibri" w:hAnsi="Calibri" w:cs="Calibri"/>
                              <w:noProof/>
                              <w:color w:val="FF0000"/>
                              <w:sz w:val="24"/>
                              <w:szCs w:val="24"/>
                            </w:rPr>
                          </w:pPr>
                          <w:r w:rsidRPr="002F0D6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BFAEAC" id="_x0000_t202" coordsize="21600,21600" o:spt="202" path="m,l,21600r21600,l21600,xe">
              <v:stroke joinstyle="miter"/>
              <v:path gradientshapeok="t" o:connecttype="rect"/>
            </v:shapetype>
            <v:shape id="Text Box 5" o:spid="_x0000_s1027" type="#_x0000_t202" alt="OFFICIAL" style="position:absolute;margin-left:0;margin-top:0;width:43.45pt;height:31.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" filled="f" stroked="f">
              <v:textbox style="mso-fit-shape-to-text:t" inset="0,0,0,15pt">
                <w:txbxContent>
                  <w:p w14:paraId="50BED9CD" w14:textId="44B680DD" w:rsidR="002F0D65" w:rsidRPr="002F0D65" w:rsidRDefault="002F0D65" w:rsidP="002F0D65">
                    <w:pPr>
                      <w:spacing w:after="0"/>
                      <w:rPr>
                        <w:rFonts w:ascii="Calibri" w:eastAsia="Calibri" w:hAnsi="Calibri" w:cs="Calibri"/>
                        <w:noProof/>
                        <w:color w:val="FF0000"/>
                        <w:sz w:val="24"/>
                        <w:szCs w:val="24"/>
                      </w:rPr>
                    </w:pPr>
                    <w:r w:rsidRPr="002F0D6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7455345"/>
      <w:docPartObj>
        <w:docPartGallery w:val="Page Numbers (Bottom of Page)"/>
        <w:docPartUnique/>
      </w:docPartObj>
    </w:sdtPr>
    <w:sdtContent>
      <w:p w14:paraId="38762AD2" w14:textId="7E076DE3" w:rsidR="009E32CE" w:rsidRDefault="009E32CE" w:rsidP="00AE709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B9823F" w14:textId="77777777" w:rsidR="009E32CE" w:rsidRDefault="009E3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98171" w14:textId="77777777" w:rsidR="00BA09B4" w:rsidRDefault="00BA09B4" w:rsidP="00FB0BDD">
      <w:pPr>
        <w:spacing w:after="0" w:line="240" w:lineRule="auto"/>
      </w:pPr>
      <w:r>
        <w:separator/>
      </w:r>
    </w:p>
  </w:footnote>
  <w:footnote w:type="continuationSeparator" w:id="0">
    <w:p w14:paraId="116364E6" w14:textId="77777777" w:rsidR="00BA09B4" w:rsidRDefault="00BA09B4" w:rsidP="00FB0BDD">
      <w:pPr>
        <w:spacing w:after="0" w:line="240" w:lineRule="auto"/>
      </w:pPr>
      <w:r>
        <w:continuationSeparator/>
      </w:r>
    </w:p>
  </w:footnote>
  <w:footnote w:type="continuationNotice" w:id="1">
    <w:p w14:paraId="1E4814E7" w14:textId="77777777" w:rsidR="00BA09B4" w:rsidRDefault="00BA09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CE03" w14:textId="73A5AAE4" w:rsidR="00686471" w:rsidRDefault="002F0D65">
    <w:pPr>
      <w:pStyle w:val="Header"/>
    </w:pPr>
    <w:r>
      <w:rPr>
        <w:noProof/>
      </w:rPr>
      <mc:AlternateContent>
        <mc:Choice Requires="wps">
          <w:drawing>
            <wp:anchor distT="0" distB="0" distL="0" distR="0" simplePos="0" relativeHeight="251655680" behindDoc="0" locked="0" layoutInCell="1" allowOverlap="1" wp14:anchorId="3599E0E5" wp14:editId="3EE19499">
              <wp:simplePos x="635" y="635"/>
              <wp:positionH relativeFrom="page">
                <wp:align>center</wp:align>
              </wp:positionH>
              <wp:positionV relativeFrom="page">
                <wp:align>top</wp:align>
              </wp:positionV>
              <wp:extent cx="551815" cy="404495"/>
              <wp:effectExtent l="0" t="0" r="635" b="14605"/>
              <wp:wrapNone/>
              <wp:docPr id="1132933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8F0C5CD" w14:textId="07E110A9" w:rsidR="002F0D65" w:rsidRPr="002F0D65" w:rsidRDefault="002F0D65" w:rsidP="002F0D65">
                          <w:pPr>
                            <w:spacing w:after="0"/>
                            <w:rPr>
                              <w:rFonts w:ascii="Calibri" w:eastAsia="Calibri" w:hAnsi="Calibri" w:cs="Calibri"/>
                              <w:noProof/>
                              <w:color w:val="FF0000"/>
                              <w:sz w:val="24"/>
                              <w:szCs w:val="24"/>
                            </w:rPr>
                          </w:pPr>
                          <w:r w:rsidRPr="002F0D6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99E0E5"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" filled="f" stroked="f">
              <v:textbox style="mso-fit-shape-to-text:t" inset="0,15pt,0,0">
                <w:txbxContent>
                  <w:p w14:paraId="38F0C5CD" w14:textId="07E110A9" w:rsidR="002F0D65" w:rsidRPr="002F0D65" w:rsidRDefault="002F0D65" w:rsidP="002F0D65">
                    <w:pPr>
                      <w:spacing w:after="0"/>
                      <w:rPr>
                        <w:rFonts w:ascii="Calibri" w:eastAsia="Calibri" w:hAnsi="Calibri" w:cs="Calibri"/>
                        <w:noProof/>
                        <w:color w:val="FF0000"/>
                        <w:sz w:val="24"/>
                        <w:szCs w:val="24"/>
                      </w:rPr>
                    </w:pPr>
                    <w:r w:rsidRPr="002F0D65">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F6E"/>
    <w:multiLevelType w:val="hybridMultilevel"/>
    <w:tmpl w:val="E9ECBF5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87267C"/>
    <w:multiLevelType w:val="hybridMultilevel"/>
    <w:tmpl w:val="30269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1E7B00"/>
    <w:multiLevelType w:val="hybridMultilevel"/>
    <w:tmpl w:val="29DADED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38890F"/>
    <w:multiLevelType w:val="hybridMultilevel"/>
    <w:tmpl w:val="922C2F68"/>
    <w:lvl w:ilvl="0" w:tplc="0AC6A4B2">
      <w:start w:val="1"/>
      <w:numFmt w:val="bullet"/>
      <w:lvlText w:val=""/>
      <w:lvlJc w:val="left"/>
      <w:pPr>
        <w:ind w:left="360" w:hanging="360"/>
      </w:pPr>
      <w:rPr>
        <w:rFonts w:ascii="Symbol" w:hAnsi="Symbol" w:hint="default"/>
      </w:rPr>
    </w:lvl>
    <w:lvl w:ilvl="1" w:tplc="CC044FF2">
      <w:start w:val="1"/>
      <w:numFmt w:val="bullet"/>
      <w:lvlText w:val="o"/>
      <w:lvlJc w:val="left"/>
      <w:pPr>
        <w:ind w:left="1440" w:hanging="360"/>
      </w:pPr>
      <w:rPr>
        <w:rFonts w:ascii="Courier New" w:hAnsi="Courier New" w:hint="default"/>
      </w:rPr>
    </w:lvl>
    <w:lvl w:ilvl="2" w:tplc="737CCABE">
      <w:start w:val="1"/>
      <w:numFmt w:val="bullet"/>
      <w:lvlText w:val=""/>
      <w:lvlJc w:val="left"/>
      <w:pPr>
        <w:ind w:left="2160" w:hanging="360"/>
      </w:pPr>
      <w:rPr>
        <w:rFonts w:ascii="Wingdings" w:hAnsi="Wingdings" w:hint="default"/>
      </w:rPr>
    </w:lvl>
    <w:lvl w:ilvl="3" w:tplc="7004C226">
      <w:start w:val="1"/>
      <w:numFmt w:val="bullet"/>
      <w:lvlText w:val=""/>
      <w:lvlJc w:val="left"/>
      <w:pPr>
        <w:ind w:left="2880" w:hanging="360"/>
      </w:pPr>
      <w:rPr>
        <w:rFonts w:ascii="Symbol" w:hAnsi="Symbol" w:hint="default"/>
      </w:rPr>
    </w:lvl>
    <w:lvl w:ilvl="4" w:tplc="C5AE3900">
      <w:start w:val="1"/>
      <w:numFmt w:val="bullet"/>
      <w:lvlText w:val="o"/>
      <w:lvlJc w:val="left"/>
      <w:pPr>
        <w:ind w:left="3600" w:hanging="360"/>
      </w:pPr>
      <w:rPr>
        <w:rFonts w:ascii="Courier New" w:hAnsi="Courier New" w:hint="default"/>
      </w:rPr>
    </w:lvl>
    <w:lvl w:ilvl="5" w:tplc="1EA03430">
      <w:start w:val="1"/>
      <w:numFmt w:val="bullet"/>
      <w:lvlText w:val=""/>
      <w:lvlJc w:val="left"/>
      <w:pPr>
        <w:ind w:left="4320" w:hanging="360"/>
      </w:pPr>
      <w:rPr>
        <w:rFonts w:ascii="Wingdings" w:hAnsi="Wingdings" w:hint="default"/>
      </w:rPr>
    </w:lvl>
    <w:lvl w:ilvl="6" w:tplc="7B76E7CA">
      <w:start w:val="1"/>
      <w:numFmt w:val="bullet"/>
      <w:lvlText w:val=""/>
      <w:lvlJc w:val="left"/>
      <w:pPr>
        <w:ind w:left="5040" w:hanging="360"/>
      </w:pPr>
      <w:rPr>
        <w:rFonts w:ascii="Symbol" w:hAnsi="Symbol" w:hint="default"/>
      </w:rPr>
    </w:lvl>
    <w:lvl w:ilvl="7" w:tplc="F42AA974">
      <w:start w:val="1"/>
      <w:numFmt w:val="bullet"/>
      <w:lvlText w:val="o"/>
      <w:lvlJc w:val="left"/>
      <w:pPr>
        <w:ind w:left="5760" w:hanging="360"/>
      </w:pPr>
      <w:rPr>
        <w:rFonts w:ascii="Courier New" w:hAnsi="Courier New" w:hint="default"/>
      </w:rPr>
    </w:lvl>
    <w:lvl w:ilvl="8" w:tplc="3DC86D6E">
      <w:start w:val="1"/>
      <w:numFmt w:val="bullet"/>
      <w:lvlText w:val=""/>
      <w:lvlJc w:val="left"/>
      <w:pPr>
        <w:ind w:left="6480" w:hanging="360"/>
      </w:pPr>
      <w:rPr>
        <w:rFonts w:ascii="Wingdings" w:hAnsi="Wingdings" w:hint="default"/>
      </w:rPr>
    </w:lvl>
  </w:abstractNum>
  <w:abstractNum w:abstractNumId="4" w15:restartNumberingAfterBreak="0">
    <w:nsid w:val="27C0258A"/>
    <w:multiLevelType w:val="hybridMultilevel"/>
    <w:tmpl w:val="CF3EF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C97F10"/>
    <w:multiLevelType w:val="hybridMultilevel"/>
    <w:tmpl w:val="94F87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560E30"/>
    <w:multiLevelType w:val="hybridMultilevel"/>
    <w:tmpl w:val="1908A2AA"/>
    <w:lvl w:ilvl="0" w:tplc="72E64024">
      <w:start w:val="1"/>
      <w:numFmt w:val="bullet"/>
      <w:lvlText w:val=""/>
      <w:lvlJc w:val="left"/>
      <w:pPr>
        <w:ind w:left="360" w:hanging="360"/>
      </w:pPr>
      <w:rPr>
        <w:rFonts w:ascii="Symbol" w:hAnsi="Symbol" w:hint="default"/>
      </w:rPr>
    </w:lvl>
    <w:lvl w:ilvl="1" w:tplc="196C8262" w:tentative="1">
      <w:start w:val="1"/>
      <w:numFmt w:val="bullet"/>
      <w:lvlText w:val="o"/>
      <w:lvlJc w:val="left"/>
      <w:pPr>
        <w:ind w:left="1080" w:hanging="360"/>
      </w:pPr>
      <w:rPr>
        <w:rFonts w:ascii="Courier New" w:hAnsi="Courier New" w:cs="Courier New" w:hint="default"/>
      </w:rPr>
    </w:lvl>
    <w:lvl w:ilvl="2" w:tplc="706A03D6" w:tentative="1">
      <w:start w:val="1"/>
      <w:numFmt w:val="bullet"/>
      <w:lvlText w:val=""/>
      <w:lvlJc w:val="left"/>
      <w:pPr>
        <w:ind w:left="1800" w:hanging="360"/>
      </w:pPr>
      <w:rPr>
        <w:rFonts w:ascii="Wingdings" w:hAnsi="Wingdings" w:hint="default"/>
      </w:rPr>
    </w:lvl>
    <w:lvl w:ilvl="3" w:tplc="7D5EE78C" w:tentative="1">
      <w:start w:val="1"/>
      <w:numFmt w:val="bullet"/>
      <w:lvlText w:val=""/>
      <w:lvlJc w:val="left"/>
      <w:pPr>
        <w:ind w:left="2520" w:hanging="360"/>
      </w:pPr>
      <w:rPr>
        <w:rFonts w:ascii="Symbol" w:hAnsi="Symbol" w:hint="default"/>
      </w:rPr>
    </w:lvl>
    <w:lvl w:ilvl="4" w:tplc="739EF8F8" w:tentative="1">
      <w:start w:val="1"/>
      <w:numFmt w:val="bullet"/>
      <w:lvlText w:val="o"/>
      <w:lvlJc w:val="left"/>
      <w:pPr>
        <w:ind w:left="3240" w:hanging="360"/>
      </w:pPr>
      <w:rPr>
        <w:rFonts w:ascii="Courier New" w:hAnsi="Courier New" w:cs="Courier New" w:hint="default"/>
      </w:rPr>
    </w:lvl>
    <w:lvl w:ilvl="5" w:tplc="F91A1BDE" w:tentative="1">
      <w:start w:val="1"/>
      <w:numFmt w:val="bullet"/>
      <w:lvlText w:val=""/>
      <w:lvlJc w:val="left"/>
      <w:pPr>
        <w:ind w:left="3960" w:hanging="360"/>
      </w:pPr>
      <w:rPr>
        <w:rFonts w:ascii="Wingdings" w:hAnsi="Wingdings" w:hint="default"/>
      </w:rPr>
    </w:lvl>
    <w:lvl w:ilvl="6" w:tplc="57AE3AA2" w:tentative="1">
      <w:start w:val="1"/>
      <w:numFmt w:val="bullet"/>
      <w:lvlText w:val=""/>
      <w:lvlJc w:val="left"/>
      <w:pPr>
        <w:ind w:left="4680" w:hanging="360"/>
      </w:pPr>
      <w:rPr>
        <w:rFonts w:ascii="Symbol" w:hAnsi="Symbol" w:hint="default"/>
      </w:rPr>
    </w:lvl>
    <w:lvl w:ilvl="7" w:tplc="ECA4010A" w:tentative="1">
      <w:start w:val="1"/>
      <w:numFmt w:val="bullet"/>
      <w:lvlText w:val="o"/>
      <w:lvlJc w:val="left"/>
      <w:pPr>
        <w:ind w:left="5400" w:hanging="360"/>
      </w:pPr>
      <w:rPr>
        <w:rFonts w:ascii="Courier New" w:hAnsi="Courier New" w:cs="Courier New" w:hint="default"/>
      </w:rPr>
    </w:lvl>
    <w:lvl w:ilvl="8" w:tplc="356845CA" w:tentative="1">
      <w:start w:val="1"/>
      <w:numFmt w:val="bullet"/>
      <w:lvlText w:val=""/>
      <w:lvlJc w:val="left"/>
      <w:pPr>
        <w:ind w:left="6120" w:hanging="360"/>
      </w:pPr>
      <w:rPr>
        <w:rFonts w:ascii="Wingdings" w:hAnsi="Wingdings" w:hint="default"/>
      </w:rPr>
    </w:lvl>
  </w:abstractNum>
  <w:abstractNum w:abstractNumId="7" w15:restartNumberingAfterBreak="0">
    <w:nsid w:val="3EA91FCA"/>
    <w:multiLevelType w:val="hybridMultilevel"/>
    <w:tmpl w:val="ADF040F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1666C3"/>
    <w:multiLevelType w:val="hybridMultilevel"/>
    <w:tmpl w:val="89D08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820CBB"/>
    <w:multiLevelType w:val="hybridMultilevel"/>
    <w:tmpl w:val="8522CC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8C57C59"/>
    <w:multiLevelType w:val="hybridMultilevel"/>
    <w:tmpl w:val="8E1A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F637C"/>
    <w:multiLevelType w:val="hybridMultilevel"/>
    <w:tmpl w:val="A4E20C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BDE272B"/>
    <w:multiLevelType w:val="hybridMultilevel"/>
    <w:tmpl w:val="B8EEF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D85C00"/>
    <w:multiLevelType w:val="hybridMultilevel"/>
    <w:tmpl w:val="5B0C3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9E6834"/>
    <w:multiLevelType w:val="hybridMultilevel"/>
    <w:tmpl w:val="A73C2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78245C"/>
    <w:multiLevelType w:val="hybridMultilevel"/>
    <w:tmpl w:val="D270A6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59235925">
    <w:abstractNumId w:val="3"/>
  </w:num>
  <w:num w:numId="2" w16cid:durableId="698774248">
    <w:abstractNumId w:val="6"/>
  </w:num>
  <w:num w:numId="3" w16cid:durableId="1021779640">
    <w:abstractNumId w:val="8"/>
  </w:num>
  <w:num w:numId="4" w16cid:durableId="2053191101">
    <w:abstractNumId w:val="10"/>
  </w:num>
  <w:num w:numId="5" w16cid:durableId="2039349336">
    <w:abstractNumId w:val="11"/>
  </w:num>
  <w:num w:numId="6" w16cid:durableId="1252621000">
    <w:abstractNumId w:val="5"/>
  </w:num>
  <w:num w:numId="7" w16cid:durableId="1879855751">
    <w:abstractNumId w:val="13"/>
  </w:num>
  <w:num w:numId="8" w16cid:durableId="108283014">
    <w:abstractNumId w:val="2"/>
  </w:num>
  <w:num w:numId="9" w16cid:durableId="1316450076">
    <w:abstractNumId w:val="9"/>
  </w:num>
  <w:num w:numId="10" w16cid:durableId="1231891711">
    <w:abstractNumId w:val="12"/>
  </w:num>
  <w:num w:numId="11" w16cid:durableId="1632662934">
    <w:abstractNumId w:val="7"/>
  </w:num>
  <w:num w:numId="12" w16cid:durableId="626930688">
    <w:abstractNumId w:val="4"/>
  </w:num>
  <w:num w:numId="13" w16cid:durableId="1389567598">
    <w:abstractNumId w:val="1"/>
  </w:num>
  <w:num w:numId="14" w16cid:durableId="1401637761">
    <w:abstractNumId w:val="14"/>
  </w:num>
  <w:num w:numId="15" w16cid:durableId="262229533">
    <w:abstractNumId w:val="0"/>
  </w:num>
  <w:num w:numId="16" w16cid:durableId="14602186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6BC"/>
    <w:rsid w:val="0000505E"/>
    <w:rsid w:val="00011C5B"/>
    <w:rsid w:val="00020C14"/>
    <w:rsid w:val="00025158"/>
    <w:rsid w:val="0002702B"/>
    <w:rsid w:val="00030447"/>
    <w:rsid w:val="000402CC"/>
    <w:rsid w:val="000425B8"/>
    <w:rsid w:val="00047C17"/>
    <w:rsid w:val="00056A11"/>
    <w:rsid w:val="00062C2F"/>
    <w:rsid w:val="0006435E"/>
    <w:rsid w:val="0007209B"/>
    <w:rsid w:val="00073F5D"/>
    <w:rsid w:val="000745E7"/>
    <w:rsid w:val="00096D27"/>
    <w:rsid w:val="000B0435"/>
    <w:rsid w:val="000B771D"/>
    <w:rsid w:val="000D038D"/>
    <w:rsid w:val="000D14DE"/>
    <w:rsid w:val="000D5C44"/>
    <w:rsid w:val="000D718E"/>
    <w:rsid w:val="000D7A0F"/>
    <w:rsid w:val="000E20E7"/>
    <w:rsid w:val="000E5D06"/>
    <w:rsid w:val="000F149C"/>
    <w:rsid w:val="000F4DEE"/>
    <w:rsid w:val="000F5CE3"/>
    <w:rsid w:val="00105578"/>
    <w:rsid w:val="001063C0"/>
    <w:rsid w:val="00107DDF"/>
    <w:rsid w:val="001138A1"/>
    <w:rsid w:val="0011643D"/>
    <w:rsid w:val="0013516B"/>
    <w:rsid w:val="001438EF"/>
    <w:rsid w:val="0015232D"/>
    <w:rsid w:val="001540D5"/>
    <w:rsid w:val="00156253"/>
    <w:rsid w:val="00170527"/>
    <w:rsid w:val="0017301D"/>
    <w:rsid w:val="00173081"/>
    <w:rsid w:val="00181733"/>
    <w:rsid w:val="00193158"/>
    <w:rsid w:val="00193D7D"/>
    <w:rsid w:val="001A0B5F"/>
    <w:rsid w:val="001A141A"/>
    <w:rsid w:val="001A7101"/>
    <w:rsid w:val="001B0669"/>
    <w:rsid w:val="001B668C"/>
    <w:rsid w:val="001C2C3B"/>
    <w:rsid w:val="001C4496"/>
    <w:rsid w:val="001D64E2"/>
    <w:rsid w:val="001F6EF1"/>
    <w:rsid w:val="002072F9"/>
    <w:rsid w:val="00222C04"/>
    <w:rsid w:val="002312E5"/>
    <w:rsid w:val="00232DD6"/>
    <w:rsid w:val="00232E21"/>
    <w:rsid w:val="00234606"/>
    <w:rsid w:val="002357D2"/>
    <w:rsid w:val="002458E4"/>
    <w:rsid w:val="00252F21"/>
    <w:rsid w:val="00262009"/>
    <w:rsid w:val="00267A71"/>
    <w:rsid w:val="00271119"/>
    <w:rsid w:val="0027569E"/>
    <w:rsid w:val="00280050"/>
    <w:rsid w:val="002804C3"/>
    <w:rsid w:val="002845CC"/>
    <w:rsid w:val="00290EF9"/>
    <w:rsid w:val="002951A5"/>
    <w:rsid w:val="00295591"/>
    <w:rsid w:val="002C203E"/>
    <w:rsid w:val="002C51B4"/>
    <w:rsid w:val="002C64A9"/>
    <w:rsid w:val="002C6574"/>
    <w:rsid w:val="002C71D5"/>
    <w:rsid w:val="002D249E"/>
    <w:rsid w:val="002D4A3E"/>
    <w:rsid w:val="002E254F"/>
    <w:rsid w:val="002F0D65"/>
    <w:rsid w:val="002F41D4"/>
    <w:rsid w:val="002F6D7F"/>
    <w:rsid w:val="003043F2"/>
    <w:rsid w:val="003146BC"/>
    <w:rsid w:val="00315B36"/>
    <w:rsid w:val="0032665E"/>
    <w:rsid w:val="00345902"/>
    <w:rsid w:val="003513A6"/>
    <w:rsid w:val="00356DD4"/>
    <w:rsid w:val="003712D6"/>
    <w:rsid w:val="0037516A"/>
    <w:rsid w:val="00382A23"/>
    <w:rsid w:val="003B15FB"/>
    <w:rsid w:val="003B7BCE"/>
    <w:rsid w:val="003D3BB0"/>
    <w:rsid w:val="003D8013"/>
    <w:rsid w:val="003E268C"/>
    <w:rsid w:val="00401196"/>
    <w:rsid w:val="004022FA"/>
    <w:rsid w:val="00402D4E"/>
    <w:rsid w:val="00405481"/>
    <w:rsid w:val="0041104A"/>
    <w:rsid w:val="00426588"/>
    <w:rsid w:val="00430B85"/>
    <w:rsid w:val="00433377"/>
    <w:rsid w:val="004439BA"/>
    <w:rsid w:val="00443BF7"/>
    <w:rsid w:val="00445178"/>
    <w:rsid w:val="004452E5"/>
    <w:rsid w:val="00453A5A"/>
    <w:rsid w:val="0046560F"/>
    <w:rsid w:val="004706B8"/>
    <w:rsid w:val="00471885"/>
    <w:rsid w:val="00472100"/>
    <w:rsid w:val="00484F61"/>
    <w:rsid w:val="00486931"/>
    <w:rsid w:val="00491964"/>
    <w:rsid w:val="00493957"/>
    <w:rsid w:val="00494A65"/>
    <w:rsid w:val="004B04FB"/>
    <w:rsid w:val="004C1966"/>
    <w:rsid w:val="004E1076"/>
    <w:rsid w:val="004E2CF9"/>
    <w:rsid w:val="004E40DD"/>
    <w:rsid w:val="004F0F67"/>
    <w:rsid w:val="00512027"/>
    <w:rsid w:val="00527251"/>
    <w:rsid w:val="005325BE"/>
    <w:rsid w:val="005373AE"/>
    <w:rsid w:val="0054732F"/>
    <w:rsid w:val="00547D98"/>
    <w:rsid w:val="00555F1D"/>
    <w:rsid w:val="00556954"/>
    <w:rsid w:val="005677B9"/>
    <w:rsid w:val="00572C3D"/>
    <w:rsid w:val="005747CF"/>
    <w:rsid w:val="005750BC"/>
    <w:rsid w:val="005757F8"/>
    <w:rsid w:val="00575D24"/>
    <w:rsid w:val="00590232"/>
    <w:rsid w:val="005946F2"/>
    <w:rsid w:val="0059562E"/>
    <w:rsid w:val="005A3DDC"/>
    <w:rsid w:val="005A543C"/>
    <w:rsid w:val="005B2F6D"/>
    <w:rsid w:val="005B35E9"/>
    <w:rsid w:val="005B5E0E"/>
    <w:rsid w:val="005C00EC"/>
    <w:rsid w:val="005E1ADC"/>
    <w:rsid w:val="005E48C7"/>
    <w:rsid w:val="005E7629"/>
    <w:rsid w:val="005F25B6"/>
    <w:rsid w:val="0060484B"/>
    <w:rsid w:val="006077A8"/>
    <w:rsid w:val="00636029"/>
    <w:rsid w:val="00642120"/>
    <w:rsid w:val="00643783"/>
    <w:rsid w:val="00654C3A"/>
    <w:rsid w:val="006554DE"/>
    <w:rsid w:val="00657ABF"/>
    <w:rsid w:val="00660D38"/>
    <w:rsid w:val="00661EB6"/>
    <w:rsid w:val="00662934"/>
    <w:rsid w:val="00665A3C"/>
    <w:rsid w:val="00666486"/>
    <w:rsid w:val="00676755"/>
    <w:rsid w:val="006777F0"/>
    <w:rsid w:val="00686471"/>
    <w:rsid w:val="00686678"/>
    <w:rsid w:val="006975D2"/>
    <w:rsid w:val="006A16A7"/>
    <w:rsid w:val="006A464D"/>
    <w:rsid w:val="006A7102"/>
    <w:rsid w:val="006B72BC"/>
    <w:rsid w:val="006C31A5"/>
    <w:rsid w:val="006D00E0"/>
    <w:rsid w:val="006F6AEE"/>
    <w:rsid w:val="006F7DA0"/>
    <w:rsid w:val="00701E76"/>
    <w:rsid w:val="0070636B"/>
    <w:rsid w:val="007176F4"/>
    <w:rsid w:val="007243D2"/>
    <w:rsid w:val="00725A21"/>
    <w:rsid w:val="00734556"/>
    <w:rsid w:val="00734EA3"/>
    <w:rsid w:val="00735251"/>
    <w:rsid w:val="00737F58"/>
    <w:rsid w:val="0074317C"/>
    <w:rsid w:val="00746A70"/>
    <w:rsid w:val="007508E7"/>
    <w:rsid w:val="0076251D"/>
    <w:rsid w:val="00780B6B"/>
    <w:rsid w:val="00781CA3"/>
    <w:rsid w:val="007909CD"/>
    <w:rsid w:val="0079377D"/>
    <w:rsid w:val="0079667A"/>
    <w:rsid w:val="007974ED"/>
    <w:rsid w:val="007A41AE"/>
    <w:rsid w:val="007B05E3"/>
    <w:rsid w:val="007C6E21"/>
    <w:rsid w:val="007D12F3"/>
    <w:rsid w:val="007D56A9"/>
    <w:rsid w:val="007E38B7"/>
    <w:rsid w:val="0080028A"/>
    <w:rsid w:val="008040BA"/>
    <w:rsid w:val="00804BD7"/>
    <w:rsid w:val="00812531"/>
    <w:rsid w:val="00814372"/>
    <w:rsid w:val="00814D05"/>
    <w:rsid w:val="00815870"/>
    <w:rsid w:val="00840473"/>
    <w:rsid w:val="00845D8D"/>
    <w:rsid w:val="00847C71"/>
    <w:rsid w:val="0085393E"/>
    <w:rsid w:val="00862A2B"/>
    <w:rsid w:val="00875B11"/>
    <w:rsid w:val="008775F5"/>
    <w:rsid w:val="00887594"/>
    <w:rsid w:val="008901B0"/>
    <w:rsid w:val="00894E81"/>
    <w:rsid w:val="008B326D"/>
    <w:rsid w:val="008C5D3D"/>
    <w:rsid w:val="008C6CC2"/>
    <w:rsid w:val="008E6CF6"/>
    <w:rsid w:val="00903298"/>
    <w:rsid w:val="009317A5"/>
    <w:rsid w:val="009351AD"/>
    <w:rsid w:val="00935A96"/>
    <w:rsid w:val="009372E0"/>
    <w:rsid w:val="0096566B"/>
    <w:rsid w:val="0097387C"/>
    <w:rsid w:val="00987E62"/>
    <w:rsid w:val="00995569"/>
    <w:rsid w:val="009A0051"/>
    <w:rsid w:val="009A07CA"/>
    <w:rsid w:val="009A6D9D"/>
    <w:rsid w:val="009B385F"/>
    <w:rsid w:val="009B46F6"/>
    <w:rsid w:val="009E32CE"/>
    <w:rsid w:val="009E5258"/>
    <w:rsid w:val="009F0CA5"/>
    <w:rsid w:val="009F65AA"/>
    <w:rsid w:val="00A178EB"/>
    <w:rsid w:val="00A2732D"/>
    <w:rsid w:val="00A310A3"/>
    <w:rsid w:val="00A319EF"/>
    <w:rsid w:val="00A431F0"/>
    <w:rsid w:val="00A44498"/>
    <w:rsid w:val="00A56AB7"/>
    <w:rsid w:val="00A57E77"/>
    <w:rsid w:val="00A62CB7"/>
    <w:rsid w:val="00A62DF4"/>
    <w:rsid w:val="00A658FA"/>
    <w:rsid w:val="00A65AC8"/>
    <w:rsid w:val="00A705DC"/>
    <w:rsid w:val="00A763FC"/>
    <w:rsid w:val="00A76535"/>
    <w:rsid w:val="00A95CEB"/>
    <w:rsid w:val="00AB085D"/>
    <w:rsid w:val="00AB2AED"/>
    <w:rsid w:val="00AC4C3B"/>
    <w:rsid w:val="00AD27D3"/>
    <w:rsid w:val="00AD793B"/>
    <w:rsid w:val="00AE435D"/>
    <w:rsid w:val="00AE4367"/>
    <w:rsid w:val="00AF11CA"/>
    <w:rsid w:val="00AF41D6"/>
    <w:rsid w:val="00B17D18"/>
    <w:rsid w:val="00B230B6"/>
    <w:rsid w:val="00B23613"/>
    <w:rsid w:val="00B31746"/>
    <w:rsid w:val="00B36B07"/>
    <w:rsid w:val="00B5083B"/>
    <w:rsid w:val="00B54370"/>
    <w:rsid w:val="00B71E46"/>
    <w:rsid w:val="00B734B0"/>
    <w:rsid w:val="00B7515B"/>
    <w:rsid w:val="00B77822"/>
    <w:rsid w:val="00BA09B4"/>
    <w:rsid w:val="00BA55E2"/>
    <w:rsid w:val="00BA5780"/>
    <w:rsid w:val="00BC2D64"/>
    <w:rsid w:val="00BC5E9A"/>
    <w:rsid w:val="00BD6804"/>
    <w:rsid w:val="00BE1557"/>
    <w:rsid w:val="00BE2275"/>
    <w:rsid w:val="00BE51CF"/>
    <w:rsid w:val="00BE6026"/>
    <w:rsid w:val="00BE7958"/>
    <w:rsid w:val="00BF0555"/>
    <w:rsid w:val="00BF42D8"/>
    <w:rsid w:val="00C04022"/>
    <w:rsid w:val="00C175E0"/>
    <w:rsid w:val="00C34A4E"/>
    <w:rsid w:val="00C37ECE"/>
    <w:rsid w:val="00C45502"/>
    <w:rsid w:val="00C5243F"/>
    <w:rsid w:val="00C53DCD"/>
    <w:rsid w:val="00C64FF5"/>
    <w:rsid w:val="00C65225"/>
    <w:rsid w:val="00C65B4E"/>
    <w:rsid w:val="00C701DC"/>
    <w:rsid w:val="00CB137B"/>
    <w:rsid w:val="00CC55C1"/>
    <w:rsid w:val="00CD2BE5"/>
    <w:rsid w:val="00CD6EE5"/>
    <w:rsid w:val="00CE3046"/>
    <w:rsid w:val="00CF4254"/>
    <w:rsid w:val="00CF518C"/>
    <w:rsid w:val="00CF752C"/>
    <w:rsid w:val="00D048B3"/>
    <w:rsid w:val="00D067E7"/>
    <w:rsid w:val="00D17A43"/>
    <w:rsid w:val="00D37432"/>
    <w:rsid w:val="00D427CD"/>
    <w:rsid w:val="00D577B0"/>
    <w:rsid w:val="00D6146A"/>
    <w:rsid w:val="00D633FC"/>
    <w:rsid w:val="00D676FF"/>
    <w:rsid w:val="00D73EBC"/>
    <w:rsid w:val="00D85116"/>
    <w:rsid w:val="00D92493"/>
    <w:rsid w:val="00D94A60"/>
    <w:rsid w:val="00DA6663"/>
    <w:rsid w:val="00DC2C44"/>
    <w:rsid w:val="00DC4DA2"/>
    <w:rsid w:val="00DE1C47"/>
    <w:rsid w:val="00DF2A3F"/>
    <w:rsid w:val="00E1422E"/>
    <w:rsid w:val="00E21AD0"/>
    <w:rsid w:val="00E245FE"/>
    <w:rsid w:val="00E30C21"/>
    <w:rsid w:val="00E4359E"/>
    <w:rsid w:val="00E46D75"/>
    <w:rsid w:val="00E503C4"/>
    <w:rsid w:val="00E55FBF"/>
    <w:rsid w:val="00E56329"/>
    <w:rsid w:val="00E660B1"/>
    <w:rsid w:val="00E67E7A"/>
    <w:rsid w:val="00E7090B"/>
    <w:rsid w:val="00E74C05"/>
    <w:rsid w:val="00E800CD"/>
    <w:rsid w:val="00E80BDB"/>
    <w:rsid w:val="00E87626"/>
    <w:rsid w:val="00E93430"/>
    <w:rsid w:val="00E96608"/>
    <w:rsid w:val="00EA3928"/>
    <w:rsid w:val="00EA676E"/>
    <w:rsid w:val="00EB3440"/>
    <w:rsid w:val="00EB63AF"/>
    <w:rsid w:val="00EC1B93"/>
    <w:rsid w:val="00EC42D8"/>
    <w:rsid w:val="00ED2992"/>
    <w:rsid w:val="00ED3F00"/>
    <w:rsid w:val="00EE08F7"/>
    <w:rsid w:val="00EE1934"/>
    <w:rsid w:val="00EE4669"/>
    <w:rsid w:val="00EE698C"/>
    <w:rsid w:val="00EE6B42"/>
    <w:rsid w:val="00EF7D02"/>
    <w:rsid w:val="00F11AAC"/>
    <w:rsid w:val="00F12350"/>
    <w:rsid w:val="00F14D6C"/>
    <w:rsid w:val="00F20523"/>
    <w:rsid w:val="00F22BB7"/>
    <w:rsid w:val="00F22C4F"/>
    <w:rsid w:val="00F3121E"/>
    <w:rsid w:val="00F3632A"/>
    <w:rsid w:val="00F413F5"/>
    <w:rsid w:val="00F41BB6"/>
    <w:rsid w:val="00F54135"/>
    <w:rsid w:val="00F54E24"/>
    <w:rsid w:val="00F662B8"/>
    <w:rsid w:val="00F8357F"/>
    <w:rsid w:val="00F84D78"/>
    <w:rsid w:val="00F85774"/>
    <w:rsid w:val="00F86E47"/>
    <w:rsid w:val="00F90911"/>
    <w:rsid w:val="00FA13E1"/>
    <w:rsid w:val="00FB0BDD"/>
    <w:rsid w:val="00FB12E3"/>
    <w:rsid w:val="00FC4E47"/>
    <w:rsid w:val="00FC5114"/>
    <w:rsid w:val="00FC6D0C"/>
    <w:rsid w:val="00FE359A"/>
    <w:rsid w:val="00FF1996"/>
    <w:rsid w:val="00FF6042"/>
    <w:rsid w:val="01D3015D"/>
    <w:rsid w:val="01E898B3"/>
    <w:rsid w:val="03E5CDC4"/>
    <w:rsid w:val="045981F4"/>
    <w:rsid w:val="04B3B147"/>
    <w:rsid w:val="0657F76E"/>
    <w:rsid w:val="075A79A2"/>
    <w:rsid w:val="0938A458"/>
    <w:rsid w:val="09854772"/>
    <w:rsid w:val="0B622C92"/>
    <w:rsid w:val="0BE31C1E"/>
    <w:rsid w:val="0BE6C70D"/>
    <w:rsid w:val="0C5C0D5E"/>
    <w:rsid w:val="0D0C3FC4"/>
    <w:rsid w:val="0E4E7524"/>
    <w:rsid w:val="0EABA721"/>
    <w:rsid w:val="0FB22011"/>
    <w:rsid w:val="100D146F"/>
    <w:rsid w:val="135317E1"/>
    <w:rsid w:val="13ADBFFA"/>
    <w:rsid w:val="13AF97EF"/>
    <w:rsid w:val="14F99EA6"/>
    <w:rsid w:val="15021F66"/>
    <w:rsid w:val="15BE85F4"/>
    <w:rsid w:val="1688F4AD"/>
    <w:rsid w:val="168AAE71"/>
    <w:rsid w:val="17C6A844"/>
    <w:rsid w:val="17F527ED"/>
    <w:rsid w:val="18C1786E"/>
    <w:rsid w:val="19478B8E"/>
    <w:rsid w:val="1A94F1B7"/>
    <w:rsid w:val="1B9482CA"/>
    <w:rsid w:val="1BCBCD1F"/>
    <w:rsid w:val="1BF7D45C"/>
    <w:rsid w:val="1E0C5533"/>
    <w:rsid w:val="20217F60"/>
    <w:rsid w:val="2048BB8B"/>
    <w:rsid w:val="22FFA951"/>
    <w:rsid w:val="23BD772E"/>
    <w:rsid w:val="24CE2F8D"/>
    <w:rsid w:val="24D35AF5"/>
    <w:rsid w:val="2526F7E0"/>
    <w:rsid w:val="252A6EC9"/>
    <w:rsid w:val="2AA30628"/>
    <w:rsid w:val="2B40A8D8"/>
    <w:rsid w:val="2B84A5CF"/>
    <w:rsid w:val="2C4BFB15"/>
    <w:rsid w:val="2D7A5349"/>
    <w:rsid w:val="2D951177"/>
    <w:rsid w:val="2ECEE2DF"/>
    <w:rsid w:val="2FAC41F2"/>
    <w:rsid w:val="30D516A4"/>
    <w:rsid w:val="315C417A"/>
    <w:rsid w:val="368D584E"/>
    <w:rsid w:val="38AF33EB"/>
    <w:rsid w:val="3917D18D"/>
    <w:rsid w:val="39C43B0F"/>
    <w:rsid w:val="3E16996C"/>
    <w:rsid w:val="3ECFDA5E"/>
    <w:rsid w:val="40179C3B"/>
    <w:rsid w:val="40954B37"/>
    <w:rsid w:val="42B2CD32"/>
    <w:rsid w:val="436B7918"/>
    <w:rsid w:val="4596C638"/>
    <w:rsid w:val="47A0DD66"/>
    <w:rsid w:val="4966556B"/>
    <w:rsid w:val="4A0E1D95"/>
    <w:rsid w:val="4BC5A9B4"/>
    <w:rsid w:val="4C24DD6C"/>
    <w:rsid w:val="53264DB1"/>
    <w:rsid w:val="53AFB9AC"/>
    <w:rsid w:val="56A06BC6"/>
    <w:rsid w:val="571F2A9F"/>
    <w:rsid w:val="576CAF99"/>
    <w:rsid w:val="5843D1BF"/>
    <w:rsid w:val="5898EA4B"/>
    <w:rsid w:val="58CA2AAF"/>
    <w:rsid w:val="5979F3FA"/>
    <w:rsid w:val="599FFA77"/>
    <w:rsid w:val="5B6F41AF"/>
    <w:rsid w:val="5BAA4B80"/>
    <w:rsid w:val="5D17406B"/>
    <w:rsid w:val="5D27C968"/>
    <w:rsid w:val="5E2369F8"/>
    <w:rsid w:val="5EAF01DE"/>
    <w:rsid w:val="5EBE80D4"/>
    <w:rsid w:val="618838C3"/>
    <w:rsid w:val="63D5F04B"/>
    <w:rsid w:val="6444EDAD"/>
    <w:rsid w:val="6A8963EC"/>
    <w:rsid w:val="6A9A4484"/>
    <w:rsid w:val="6B3CF524"/>
    <w:rsid w:val="6CCC71E1"/>
    <w:rsid w:val="6E5BDB5E"/>
    <w:rsid w:val="6FC2D143"/>
    <w:rsid w:val="72C7928D"/>
    <w:rsid w:val="72CB0140"/>
    <w:rsid w:val="742954F3"/>
    <w:rsid w:val="74640F8B"/>
    <w:rsid w:val="772F4CAC"/>
    <w:rsid w:val="78587343"/>
    <w:rsid w:val="7896B622"/>
    <w:rsid w:val="7AA71DD9"/>
    <w:rsid w:val="7AE68462"/>
    <w:rsid w:val="7CAC99B4"/>
    <w:rsid w:val="7D48D1E0"/>
    <w:rsid w:val="7D4CBFF0"/>
    <w:rsid w:val="7DF80C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FDA5C"/>
  <w15:chartTrackingRefBased/>
  <w15:docId w15:val="{2AA70366-FD91-4FD1-A79B-4EBAA186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6BC"/>
    <w:pPr>
      <w:spacing w:after="200" w:line="276"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9E32CE"/>
    <w:pPr>
      <w:keepNext/>
      <w:keepLines/>
      <w:spacing w:before="240" w:after="0"/>
      <w:outlineLvl w:val="0"/>
    </w:pPr>
    <w:rPr>
      <w:rFonts w:asciiTheme="majorHAnsi" w:eastAsiaTheme="majorEastAsia" w:hAnsiTheme="majorHAnsi" w:cstheme="majorBidi"/>
      <w:b/>
      <w:bCs/>
      <w:color w:val="000000" w:themeColor="text1"/>
      <w:sz w:val="32"/>
      <w:szCs w:val="32"/>
    </w:rPr>
  </w:style>
  <w:style w:type="paragraph" w:styleId="Heading2">
    <w:name w:val="heading 2"/>
    <w:basedOn w:val="Normal"/>
    <w:next w:val="Normal"/>
    <w:link w:val="Heading2Char"/>
    <w:uiPriority w:val="9"/>
    <w:unhideWhenUsed/>
    <w:qFormat/>
    <w:rsid w:val="009E32CE"/>
    <w:pPr>
      <w:spacing w:after="120"/>
      <w:outlineLvl w:val="1"/>
    </w:pPr>
    <w:rPr>
      <w:rFonts w:cstheme="minorHAnsi"/>
      <w:b/>
      <w:bCs/>
      <w:sz w:val="28"/>
      <w:szCs w:val="28"/>
    </w:rPr>
  </w:style>
  <w:style w:type="paragraph" w:styleId="Heading6">
    <w:name w:val="heading 6"/>
    <w:basedOn w:val="Normal"/>
    <w:next w:val="Normal"/>
    <w:link w:val="Heading6Char"/>
    <w:uiPriority w:val="9"/>
    <w:semiHidden/>
    <w:unhideWhenUsed/>
    <w:qFormat/>
    <w:rsid w:val="003146B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3146BC"/>
    <w:rPr>
      <w:rFonts w:asciiTheme="majorHAnsi" w:eastAsiaTheme="majorEastAsia" w:hAnsiTheme="majorHAnsi" w:cstheme="majorBidi"/>
      <w:color w:val="1F4D78" w:themeColor="accent1" w:themeShade="7F"/>
      <w:sz w:val="22"/>
      <w:szCs w:val="22"/>
    </w:rPr>
  </w:style>
  <w:style w:type="paragraph" w:styleId="ListParagraph">
    <w:name w:val="List Paragraph"/>
    <w:basedOn w:val="Normal"/>
    <w:uiPriority w:val="34"/>
    <w:qFormat/>
    <w:rsid w:val="003146BC"/>
    <w:pPr>
      <w:ind w:left="720"/>
      <w:contextualSpacing/>
    </w:pPr>
  </w:style>
  <w:style w:type="paragraph" w:customStyle="1" w:styleId="Default">
    <w:name w:val="Default"/>
    <w:rsid w:val="001A141A"/>
    <w:pPr>
      <w:autoSpaceDE w:val="0"/>
      <w:autoSpaceDN w:val="0"/>
      <w:adjustRightInd w:val="0"/>
      <w:spacing w:after="0" w:line="240" w:lineRule="auto"/>
    </w:pPr>
    <w:rPr>
      <w:color w:val="00000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heme="minorHAnsi" w:hAnsiTheme="minorHAnsi" w:cstheme="minorBidi"/>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FB0B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0BDD"/>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FB0BDD"/>
    <w:rPr>
      <w:vertAlign w:val="superscript"/>
    </w:rPr>
  </w:style>
  <w:style w:type="paragraph" w:styleId="CommentSubject">
    <w:name w:val="annotation subject"/>
    <w:basedOn w:val="CommentText"/>
    <w:next w:val="CommentText"/>
    <w:link w:val="CommentSubjectChar"/>
    <w:uiPriority w:val="99"/>
    <w:semiHidden/>
    <w:unhideWhenUsed/>
    <w:rsid w:val="00BE1557"/>
    <w:rPr>
      <w:b/>
      <w:bCs/>
    </w:rPr>
  </w:style>
  <w:style w:type="character" w:customStyle="1" w:styleId="CommentSubjectChar">
    <w:name w:val="Comment Subject Char"/>
    <w:basedOn w:val="CommentTextChar"/>
    <w:link w:val="CommentSubject"/>
    <w:uiPriority w:val="99"/>
    <w:semiHidden/>
    <w:rsid w:val="00BE1557"/>
    <w:rPr>
      <w:rFonts w:asciiTheme="minorHAnsi" w:hAnsiTheme="minorHAnsi" w:cstheme="minorBidi"/>
      <w:b/>
      <w:bCs/>
      <w:sz w:val="20"/>
      <w:szCs w:val="20"/>
    </w:rPr>
  </w:style>
  <w:style w:type="paragraph" w:styleId="Header">
    <w:name w:val="header"/>
    <w:basedOn w:val="Normal"/>
    <w:link w:val="HeaderChar"/>
    <w:uiPriority w:val="99"/>
    <w:unhideWhenUsed/>
    <w:rsid w:val="00EE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B42"/>
    <w:rPr>
      <w:rFonts w:asciiTheme="minorHAnsi" w:hAnsiTheme="minorHAnsi" w:cstheme="minorBidi"/>
      <w:sz w:val="22"/>
      <w:szCs w:val="22"/>
    </w:rPr>
  </w:style>
  <w:style w:type="paragraph" w:styleId="Footer">
    <w:name w:val="footer"/>
    <w:basedOn w:val="Normal"/>
    <w:link w:val="FooterChar"/>
    <w:uiPriority w:val="99"/>
    <w:unhideWhenUsed/>
    <w:rsid w:val="00EE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B42"/>
    <w:rPr>
      <w:rFonts w:asciiTheme="minorHAnsi" w:hAnsiTheme="minorHAnsi" w:cstheme="minorBidi"/>
      <w:sz w:val="22"/>
      <w:szCs w:val="22"/>
    </w:rPr>
  </w:style>
  <w:style w:type="paragraph" w:styleId="Revision">
    <w:name w:val="Revision"/>
    <w:hidden/>
    <w:uiPriority w:val="99"/>
    <w:semiHidden/>
    <w:rsid w:val="00572C3D"/>
    <w:pPr>
      <w:spacing w:after="0" w:line="240" w:lineRule="auto"/>
    </w:pPr>
    <w:rPr>
      <w:rFonts w:asciiTheme="minorHAnsi" w:hAnsiTheme="minorHAnsi" w:cstheme="minorBidi"/>
      <w:sz w:val="22"/>
      <w:szCs w:val="22"/>
    </w:rPr>
  </w:style>
  <w:style w:type="character" w:styleId="Hyperlink">
    <w:name w:val="Hyperlink"/>
    <w:basedOn w:val="DefaultParagraphFont"/>
    <w:uiPriority w:val="99"/>
    <w:semiHidden/>
    <w:unhideWhenUsed/>
    <w:rsid w:val="00271119"/>
    <w:rPr>
      <w:color w:val="0000FF"/>
      <w:u w:val="single"/>
    </w:rPr>
  </w:style>
  <w:style w:type="character" w:styleId="FollowedHyperlink">
    <w:name w:val="FollowedHyperlink"/>
    <w:basedOn w:val="DefaultParagraphFont"/>
    <w:uiPriority w:val="99"/>
    <w:semiHidden/>
    <w:unhideWhenUsed/>
    <w:rsid w:val="00295591"/>
    <w:rPr>
      <w:color w:val="954F72" w:themeColor="followedHyperlink"/>
      <w:u w:val="single"/>
    </w:rPr>
  </w:style>
  <w:style w:type="character" w:styleId="Mention">
    <w:name w:val="Mention"/>
    <w:basedOn w:val="DefaultParagraphFont"/>
    <w:uiPriority w:val="99"/>
    <w:unhideWhenUsed/>
    <w:rsid w:val="00B230B6"/>
    <w:rPr>
      <w:color w:val="2B579A"/>
      <w:shd w:val="clear" w:color="auto" w:fill="E1DFDD"/>
    </w:rPr>
  </w:style>
  <w:style w:type="character" w:styleId="PageNumber">
    <w:name w:val="page number"/>
    <w:basedOn w:val="DefaultParagraphFont"/>
    <w:uiPriority w:val="99"/>
    <w:semiHidden/>
    <w:unhideWhenUsed/>
    <w:rsid w:val="009E32CE"/>
  </w:style>
  <w:style w:type="character" w:customStyle="1" w:styleId="Heading1Char">
    <w:name w:val="Heading 1 Char"/>
    <w:basedOn w:val="DefaultParagraphFont"/>
    <w:link w:val="Heading1"/>
    <w:uiPriority w:val="9"/>
    <w:rsid w:val="009E32CE"/>
    <w:rPr>
      <w:rFonts w:asciiTheme="majorHAnsi" w:eastAsiaTheme="majorEastAsia" w:hAnsiTheme="majorHAnsi" w:cstheme="majorBidi"/>
      <w:b/>
      <w:bCs/>
      <w:color w:val="000000" w:themeColor="text1"/>
      <w:sz w:val="32"/>
      <w:szCs w:val="32"/>
    </w:rPr>
  </w:style>
  <w:style w:type="character" w:customStyle="1" w:styleId="Heading2Char">
    <w:name w:val="Heading 2 Char"/>
    <w:basedOn w:val="DefaultParagraphFont"/>
    <w:link w:val="Heading2"/>
    <w:uiPriority w:val="9"/>
    <w:rsid w:val="009E32CE"/>
    <w:rPr>
      <w:rFonts w:asciiTheme="minorHAnsi" w:hAnsiTheme="minorHAnsi" w:cstheme="minorHAnsi"/>
      <w:b/>
      <w:bCs/>
      <w:sz w:val="28"/>
      <w:szCs w:val="28"/>
    </w:rPr>
  </w:style>
  <w:style w:type="paragraph" w:styleId="Title">
    <w:name w:val="Title"/>
    <w:basedOn w:val="Normal"/>
    <w:next w:val="Normal"/>
    <w:link w:val="TitleChar"/>
    <w:uiPriority w:val="10"/>
    <w:qFormat/>
    <w:rsid w:val="009E32CE"/>
    <w:pPr>
      <w:spacing w:before="600" w:line="240" w:lineRule="auto"/>
      <w:jc w:val="center"/>
    </w:pPr>
    <w:rPr>
      <w:sz w:val="36"/>
      <w:szCs w:val="36"/>
    </w:rPr>
  </w:style>
  <w:style w:type="character" w:customStyle="1" w:styleId="TitleChar">
    <w:name w:val="Title Char"/>
    <w:basedOn w:val="DefaultParagraphFont"/>
    <w:link w:val="Title"/>
    <w:uiPriority w:val="10"/>
    <w:rsid w:val="009E32CE"/>
    <w:rPr>
      <w:rFonts w:asciiTheme="minorHAnsi" w:hAnsiTheme="minorHAnsi" w:cstheme="minorBid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25774">
      <w:bodyDiv w:val="1"/>
      <w:marLeft w:val="0"/>
      <w:marRight w:val="0"/>
      <w:marTop w:val="0"/>
      <w:marBottom w:val="0"/>
      <w:divBdr>
        <w:top w:val="none" w:sz="0" w:space="0" w:color="auto"/>
        <w:left w:val="none" w:sz="0" w:space="0" w:color="auto"/>
        <w:bottom w:val="none" w:sz="0" w:space="0" w:color="auto"/>
        <w:right w:val="none" w:sz="0" w:space="0" w:color="auto"/>
      </w:divBdr>
    </w:div>
    <w:div w:id="919945236">
      <w:bodyDiv w:val="1"/>
      <w:marLeft w:val="0"/>
      <w:marRight w:val="0"/>
      <w:marTop w:val="0"/>
      <w:marBottom w:val="0"/>
      <w:divBdr>
        <w:top w:val="none" w:sz="0" w:space="0" w:color="auto"/>
        <w:left w:val="none" w:sz="0" w:space="0" w:color="auto"/>
        <w:bottom w:val="none" w:sz="0" w:space="0" w:color="auto"/>
        <w:right w:val="none" w:sz="0" w:space="0" w:color="auto"/>
      </w:divBdr>
    </w:div>
    <w:div w:id="109451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health.gov.au/topics/communicable-diseases/nationally-notifiable-diseases/lis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95F6714-BB2C-4667-A39E-22E46D0019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70ACAD9171FDC4D801210C58CF7A2BF" ma:contentTypeVersion="" ma:contentTypeDescription="PDMS Document Site Content Type" ma:contentTypeScope="" ma:versionID="9cfd3fcb68295e2b59287dca0654e750">
  <xsd:schema xmlns:xsd="http://www.w3.org/2001/XMLSchema" xmlns:xs="http://www.w3.org/2001/XMLSchema" xmlns:p="http://schemas.microsoft.com/office/2006/metadata/properties" xmlns:ns2="E95F6714-BB2C-4667-A39E-22E46D001924" targetNamespace="http://schemas.microsoft.com/office/2006/metadata/properties" ma:root="true" ma:fieldsID="a8064707e606eb330f40fa32c899af88" ns2:_="">
    <xsd:import namespace="E95F6714-BB2C-4667-A39E-22E46D00192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F6714-BB2C-4667-A39E-22E46D00192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DE57AD-54BF-4CB0-A1CA-4178D12C5C51}">
  <ds:schemaRefs>
    <ds:schemaRef ds:uri="http://schemas.microsoft.com/office/2006/metadata/properties"/>
    <ds:schemaRef ds:uri="http://schemas.microsoft.com/office/infopath/2007/PartnerControls"/>
    <ds:schemaRef ds:uri="E95F6714-BB2C-4667-A39E-22E46D001924"/>
  </ds:schemaRefs>
</ds:datastoreItem>
</file>

<file path=customXml/itemProps2.xml><?xml version="1.0" encoding="utf-8"?>
<ds:datastoreItem xmlns:ds="http://schemas.openxmlformats.org/officeDocument/2006/customXml" ds:itemID="{1C05F1DB-13B9-4FB9-B919-5A5267B6A3A7}">
  <ds:schemaRefs>
    <ds:schemaRef ds:uri="http://schemas.microsoft.com/sharepoint/v3/contenttype/forms"/>
  </ds:schemaRefs>
</ds:datastoreItem>
</file>

<file path=customXml/itemProps3.xml><?xml version="1.0" encoding="utf-8"?>
<ds:datastoreItem xmlns:ds="http://schemas.openxmlformats.org/officeDocument/2006/customXml" ds:itemID="{75C3C319-134A-E441-8089-F3D40B6D5D5F}">
  <ds:schemaRefs>
    <ds:schemaRef ds:uri="http://schemas.openxmlformats.org/officeDocument/2006/bibliography"/>
  </ds:schemaRefs>
</ds:datastoreItem>
</file>

<file path=customXml/itemProps4.xml><?xml version="1.0" encoding="utf-8"?>
<ds:datastoreItem xmlns:ds="http://schemas.openxmlformats.org/officeDocument/2006/customXml" ds:itemID="{23716DC4-228E-4F5A-96AB-25EB13EEB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F6714-BB2C-4667-A39E-22E46D001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1523</Words>
  <Characters>9234</Characters>
  <Application>Microsoft Office Word</Application>
  <DocSecurity>0</DocSecurity>
  <Lines>161</Lines>
  <Paragraphs>47</Paragraphs>
  <ScaleCrop>false</ScaleCrop>
  <HeadingPairs>
    <vt:vector size="2" baseType="variant">
      <vt:variant>
        <vt:lpstr>Title</vt:lpstr>
      </vt:variant>
      <vt:variant>
        <vt:i4>1</vt:i4>
      </vt:variant>
    </vt:vector>
  </HeadingPairs>
  <TitlesOfParts>
    <vt:vector size="1" baseType="lpstr">
      <vt:lpstr>Government Response to inquiry - access to diagnosis and treatment for tick-borne diseases in Australia </vt:lpstr>
    </vt:vector>
  </TitlesOfParts>
  <Manager/>
  <Company/>
  <LinksUpToDate>false</LinksUpToDate>
  <CharactersWithSpaces>10724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inquiry - access to diagnosis and treatment for tick-borne diseases in Australia </dc:title>
  <dc:subject/>
  <dc:creator>Department of Health, Disability and Ageing</dc:creator>
  <cp:keywords>Tick-borne illness, tick-borne disease, lyme-like disease, tick bite disease, symptoms attributed to tick bites, Debilitating Symptom Complexes </cp:keywords>
  <dc:description/>
  <cp:lastModifiedBy>HOOD, Jodi</cp:lastModifiedBy>
  <cp:revision>9</cp:revision>
  <cp:lastPrinted>2025-11-07T04:23:00Z</cp:lastPrinted>
  <dcterms:created xsi:type="dcterms:W3CDTF">2025-10-26T21:57:00Z</dcterms:created>
  <dcterms:modified xsi:type="dcterms:W3CDTF">2025-11-14T06:27:00Z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0x010100266966F133664895A6EE3632470D45F500270ACAD9171FDC4D801210C58CF7A2BF</vt:lpwstr>
  </property>
  <property fmtid="{D5CDD505-2E9C-101B-9397-08002B2CF9AE}" pid="3" name="ClassificationContentMarkingHeaderShapeIds">
    <vt:lpwstr>3e1a90ce,6c0b82b,9dcdb13</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269872ce,11373d00,17aeacc</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2025-09-17T21:20:50Z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bcf51904-ca2e-4d90-afa9-2c7fa10222e4</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