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CC7" w14:textId="2B6A5321" w:rsidR="16153E4D" w:rsidRPr="00A02D2C" w:rsidRDefault="00590F09" w:rsidP="00A02D2C">
      <w:pPr>
        <w:pStyle w:val="Title"/>
      </w:pPr>
      <w:r w:rsidRPr="00590F09">
        <w:t xml:space="preserve">Healthcare Identifiers Act 2010 </w:t>
      </w:r>
      <w:r w:rsidR="16153E4D" w:rsidRPr="403F301A">
        <w:t>legislative framework reforms</w:t>
      </w:r>
    </w:p>
    <w:p w14:paraId="56E1B240" w14:textId="48702CE2" w:rsidR="00AE1023" w:rsidRPr="00A02D2C" w:rsidRDefault="00AE1023" w:rsidP="00943E73">
      <w:pPr>
        <w:pStyle w:val="Subtitle"/>
      </w:pPr>
      <w:bookmarkStart w:id="0" w:name="_Toc206595949"/>
      <w:bookmarkStart w:id="1" w:name="_Toc206668800"/>
      <w:bookmarkStart w:id="2" w:name="_Toc206757888"/>
      <w:bookmarkStart w:id="3" w:name="_Toc206933776"/>
      <w:bookmarkStart w:id="4" w:name="_Toc206937386"/>
      <w:bookmarkStart w:id="5" w:name="_Toc206940225"/>
      <w:r w:rsidRPr="00A02D2C">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rPr>
          <w:lang w:val="en-GB"/>
        </w:rPr>
        <w:id w:val="-1815787156"/>
        <w:docPartObj>
          <w:docPartGallery w:val="Table of Contents"/>
          <w:docPartUnique/>
        </w:docPartObj>
      </w:sdtPr>
      <w:sdtEndPr>
        <w:rPr>
          <w:rFonts w:eastAsiaTheme="minorEastAsia" w:cs="Times New Roman"/>
          <w:bCs/>
          <w:color w:val="000000" w:themeColor="text1"/>
          <w:sz w:val="22"/>
          <w:szCs w:val="24"/>
        </w:rPr>
      </w:sdtEndPr>
      <w:sdtContent>
        <w:p w14:paraId="623FCDAF" w14:textId="2AD85FE1" w:rsidR="004B58AF" w:rsidRDefault="004B58AF">
          <w:pPr>
            <w:pStyle w:val="TOCHeading"/>
          </w:pPr>
          <w:r>
            <w:rPr>
              <w:lang w:val="en-GB"/>
            </w:rPr>
            <w:t>Contents</w:t>
          </w:r>
        </w:p>
        <w:p w14:paraId="2435E3E1" w14:textId="17A0CEF5" w:rsidR="004B58AF" w:rsidRDefault="004B58AF">
          <w:pPr>
            <w:pStyle w:val="TOC1"/>
          </w:pPr>
          <w:r>
            <w:fldChar w:fldCharType="begin"/>
          </w:r>
          <w:r>
            <w:instrText xml:space="preserve"> TOC \o "1-3" \h \z \u </w:instrText>
          </w:r>
          <w:r>
            <w:fldChar w:fldCharType="separate"/>
          </w:r>
          <w:hyperlink w:anchor="_Toc214953557" w:history="1">
            <w:r w:rsidRPr="004914AD">
              <w:rPr>
                <w:rStyle w:val="Hyperlink"/>
              </w:rPr>
              <w:t>About healthcare identifiers</w:t>
            </w:r>
            <w:r>
              <w:rPr>
                <w:webHidden/>
              </w:rPr>
              <w:tab/>
            </w:r>
            <w:r>
              <w:rPr>
                <w:webHidden/>
              </w:rPr>
              <w:fldChar w:fldCharType="begin"/>
            </w:r>
            <w:r>
              <w:rPr>
                <w:webHidden/>
              </w:rPr>
              <w:instrText xml:space="preserve"> PAGEREF _Toc214953557 \h </w:instrText>
            </w:r>
            <w:r>
              <w:rPr>
                <w:webHidden/>
              </w:rPr>
            </w:r>
            <w:r>
              <w:rPr>
                <w:webHidden/>
              </w:rPr>
              <w:fldChar w:fldCharType="separate"/>
            </w:r>
            <w:r>
              <w:rPr>
                <w:webHidden/>
              </w:rPr>
              <w:t>2</w:t>
            </w:r>
            <w:r>
              <w:rPr>
                <w:webHidden/>
              </w:rPr>
              <w:fldChar w:fldCharType="end"/>
            </w:r>
          </w:hyperlink>
        </w:p>
        <w:p w14:paraId="42740521" w14:textId="490F8164" w:rsidR="004B58AF" w:rsidRPr="004B58AF" w:rsidRDefault="004B58AF">
          <w:pPr>
            <w:pStyle w:val="TOC2"/>
            <w:tabs>
              <w:tab w:val="right" w:leader="dot" w:pos="9736"/>
            </w:tabs>
          </w:pPr>
          <w:hyperlink w:anchor="_Toc214953558" w:history="1">
            <w:r w:rsidRPr="004914AD">
              <w:rPr>
                <w:rStyle w:val="Hyperlink"/>
                <w:noProof/>
              </w:rPr>
              <w:t>Overview</w:t>
            </w:r>
            <w:r>
              <w:rPr>
                <w:noProof/>
                <w:webHidden/>
              </w:rPr>
              <w:tab/>
            </w:r>
            <w:r>
              <w:rPr>
                <w:noProof/>
                <w:webHidden/>
              </w:rPr>
              <w:fldChar w:fldCharType="begin"/>
            </w:r>
            <w:r>
              <w:rPr>
                <w:noProof/>
                <w:webHidden/>
              </w:rPr>
              <w:instrText xml:space="preserve"> PAGEREF _Toc214953558 \h </w:instrText>
            </w:r>
            <w:r>
              <w:rPr>
                <w:noProof/>
                <w:webHidden/>
              </w:rPr>
            </w:r>
            <w:r>
              <w:rPr>
                <w:noProof/>
                <w:webHidden/>
              </w:rPr>
              <w:fldChar w:fldCharType="separate"/>
            </w:r>
            <w:r>
              <w:rPr>
                <w:noProof/>
                <w:webHidden/>
              </w:rPr>
              <w:t>2</w:t>
            </w:r>
            <w:r>
              <w:rPr>
                <w:noProof/>
                <w:webHidden/>
              </w:rPr>
              <w:fldChar w:fldCharType="end"/>
            </w:r>
          </w:hyperlink>
        </w:p>
        <w:p w14:paraId="77F5AD62" w14:textId="237D1462" w:rsidR="004B58AF" w:rsidRDefault="004B58AF" w:rsidP="004B58AF">
          <w:pPr>
            <w:pStyle w:val="TOC3"/>
          </w:pPr>
          <w:hyperlink w:anchor="_Toc214953559" w:history="1">
            <w:r w:rsidRPr="004914AD">
              <w:rPr>
                <w:rStyle w:val="Hyperlink"/>
              </w:rPr>
              <w:t>1.</w:t>
            </w:r>
            <w:r>
              <w:tab/>
            </w:r>
            <w:r w:rsidRPr="004914AD">
              <w:rPr>
                <w:rStyle w:val="Hyperlink"/>
              </w:rPr>
              <w:t>Why are changes being made to the Healthcare Identifiers Act 2010?</w:t>
            </w:r>
            <w:r>
              <w:rPr>
                <w:webHidden/>
              </w:rPr>
              <w:tab/>
            </w:r>
            <w:r>
              <w:rPr>
                <w:webHidden/>
              </w:rPr>
              <w:fldChar w:fldCharType="begin"/>
            </w:r>
            <w:r>
              <w:rPr>
                <w:webHidden/>
              </w:rPr>
              <w:instrText xml:space="preserve"> PAGEREF _Toc214953559 \h </w:instrText>
            </w:r>
            <w:r>
              <w:rPr>
                <w:webHidden/>
              </w:rPr>
            </w:r>
            <w:r>
              <w:rPr>
                <w:webHidden/>
              </w:rPr>
              <w:fldChar w:fldCharType="separate"/>
            </w:r>
            <w:r>
              <w:rPr>
                <w:webHidden/>
              </w:rPr>
              <w:t>2</w:t>
            </w:r>
            <w:r>
              <w:rPr>
                <w:webHidden/>
              </w:rPr>
              <w:fldChar w:fldCharType="end"/>
            </w:r>
          </w:hyperlink>
        </w:p>
        <w:p w14:paraId="2709861C" w14:textId="27C9E3A0" w:rsidR="004B58AF" w:rsidRDefault="004B58AF" w:rsidP="004B58AF">
          <w:pPr>
            <w:pStyle w:val="TOC3"/>
          </w:pPr>
          <w:hyperlink w:anchor="_Toc214953560" w:history="1">
            <w:r w:rsidRPr="004914AD">
              <w:rPr>
                <w:rStyle w:val="Hyperlink"/>
              </w:rPr>
              <w:t>2.</w:t>
            </w:r>
            <w:r>
              <w:tab/>
            </w:r>
            <w:r w:rsidRPr="004914AD">
              <w:rPr>
                <w:rStyle w:val="Hyperlink"/>
              </w:rPr>
              <w:t>What changes are being made?</w:t>
            </w:r>
            <w:r>
              <w:rPr>
                <w:webHidden/>
              </w:rPr>
              <w:tab/>
            </w:r>
            <w:r>
              <w:rPr>
                <w:webHidden/>
              </w:rPr>
              <w:fldChar w:fldCharType="begin"/>
            </w:r>
            <w:r>
              <w:rPr>
                <w:webHidden/>
              </w:rPr>
              <w:instrText xml:space="preserve"> PAGEREF _Toc214953560 \h </w:instrText>
            </w:r>
            <w:r>
              <w:rPr>
                <w:webHidden/>
              </w:rPr>
            </w:r>
            <w:r>
              <w:rPr>
                <w:webHidden/>
              </w:rPr>
              <w:fldChar w:fldCharType="separate"/>
            </w:r>
            <w:r>
              <w:rPr>
                <w:webHidden/>
              </w:rPr>
              <w:t>2</w:t>
            </w:r>
            <w:r>
              <w:rPr>
                <w:webHidden/>
              </w:rPr>
              <w:fldChar w:fldCharType="end"/>
            </w:r>
          </w:hyperlink>
        </w:p>
        <w:p w14:paraId="336A9D3D" w14:textId="14CE051D" w:rsidR="004B58AF" w:rsidRDefault="004B58AF" w:rsidP="004B58AF">
          <w:pPr>
            <w:pStyle w:val="TOC3"/>
          </w:pPr>
          <w:hyperlink w:anchor="_Toc214953561" w:history="1">
            <w:r w:rsidRPr="004914AD">
              <w:rPr>
                <w:rStyle w:val="Hyperlink"/>
              </w:rPr>
              <w:t>3.</w:t>
            </w:r>
            <w:r>
              <w:tab/>
            </w:r>
            <w:r w:rsidRPr="004914AD">
              <w:rPr>
                <w:rStyle w:val="Hyperlink"/>
              </w:rPr>
              <w:t>Do the changes affect the privacy of an individual’s health information?</w:t>
            </w:r>
            <w:r>
              <w:rPr>
                <w:webHidden/>
              </w:rPr>
              <w:tab/>
            </w:r>
            <w:r>
              <w:rPr>
                <w:webHidden/>
              </w:rPr>
              <w:fldChar w:fldCharType="begin"/>
            </w:r>
            <w:r>
              <w:rPr>
                <w:webHidden/>
              </w:rPr>
              <w:instrText xml:space="preserve"> PAGEREF _Toc214953561 \h </w:instrText>
            </w:r>
            <w:r>
              <w:rPr>
                <w:webHidden/>
              </w:rPr>
            </w:r>
            <w:r>
              <w:rPr>
                <w:webHidden/>
              </w:rPr>
              <w:fldChar w:fldCharType="separate"/>
            </w:r>
            <w:r>
              <w:rPr>
                <w:webHidden/>
              </w:rPr>
              <w:t>3</w:t>
            </w:r>
            <w:r>
              <w:rPr>
                <w:webHidden/>
              </w:rPr>
              <w:fldChar w:fldCharType="end"/>
            </w:r>
          </w:hyperlink>
        </w:p>
        <w:p w14:paraId="1C1F086D" w14:textId="24A174EF" w:rsidR="004B58AF" w:rsidRPr="004B58AF" w:rsidRDefault="004B58AF">
          <w:pPr>
            <w:pStyle w:val="TOC2"/>
            <w:tabs>
              <w:tab w:val="right" w:leader="dot" w:pos="9736"/>
            </w:tabs>
          </w:pPr>
          <w:hyperlink w:anchor="_Toc214953562" w:history="1">
            <w:r w:rsidRPr="004914AD">
              <w:rPr>
                <w:rStyle w:val="Hyperlink"/>
                <w:noProof/>
              </w:rPr>
              <w:t>HID Act changes under the Aged Care and Other Legislation Amendments Act 2025</w:t>
            </w:r>
            <w:r>
              <w:rPr>
                <w:noProof/>
                <w:webHidden/>
              </w:rPr>
              <w:tab/>
            </w:r>
            <w:r>
              <w:rPr>
                <w:noProof/>
                <w:webHidden/>
              </w:rPr>
              <w:fldChar w:fldCharType="begin"/>
            </w:r>
            <w:r>
              <w:rPr>
                <w:noProof/>
                <w:webHidden/>
              </w:rPr>
              <w:instrText xml:space="preserve"> PAGEREF _Toc214953562 \h </w:instrText>
            </w:r>
            <w:r>
              <w:rPr>
                <w:noProof/>
                <w:webHidden/>
              </w:rPr>
            </w:r>
            <w:r>
              <w:rPr>
                <w:noProof/>
                <w:webHidden/>
              </w:rPr>
              <w:fldChar w:fldCharType="separate"/>
            </w:r>
            <w:r>
              <w:rPr>
                <w:noProof/>
                <w:webHidden/>
              </w:rPr>
              <w:t>3</w:t>
            </w:r>
            <w:r>
              <w:rPr>
                <w:noProof/>
                <w:webHidden/>
              </w:rPr>
              <w:fldChar w:fldCharType="end"/>
            </w:r>
          </w:hyperlink>
        </w:p>
        <w:p w14:paraId="6D92FA36" w14:textId="32CF0B97" w:rsidR="004B58AF" w:rsidRDefault="004B58AF" w:rsidP="004B58AF">
          <w:pPr>
            <w:pStyle w:val="TOC3"/>
          </w:pPr>
          <w:hyperlink w:anchor="_Toc214953563" w:history="1">
            <w:r w:rsidRPr="004914AD">
              <w:rPr>
                <w:rStyle w:val="Hyperlink"/>
              </w:rPr>
              <w:t>4.</w:t>
            </w:r>
            <w:r>
              <w:tab/>
            </w:r>
            <w:r w:rsidRPr="004914AD">
              <w:rPr>
                <w:rStyle w:val="Hyperlink"/>
              </w:rPr>
              <w:t>What are HSP-Os, who can be assigned one, and what will they be able to do?</w:t>
            </w:r>
            <w:r>
              <w:rPr>
                <w:webHidden/>
              </w:rPr>
              <w:tab/>
            </w:r>
            <w:r>
              <w:rPr>
                <w:webHidden/>
              </w:rPr>
              <w:fldChar w:fldCharType="begin"/>
            </w:r>
            <w:r>
              <w:rPr>
                <w:webHidden/>
              </w:rPr>
              <w:instrText xml:space="preserve"> PAGEREF _Toc214953563 \h </w:instrText>
            </w:r>
            <w:r>
              <w:rPr>
                <w:webHidden/>
              </w:rPr>
            </w:r>
            <w:r>
              <w:rPr>
                <w:webHidden/>
              </w:rPr>
              <w:fldChar w:fldCharType="separate"/>
            </w:r>
            <w:r>
              <w:rPr>
                <w:webHidden/>
              </w:rPr>
              <w:t>3</w:t>
            </w:r>
            <w:r>
              <w:rPr>
                <w:webHidden/>
              </w:rPr>
              <w:fldChar w:fldCharType="end"/>
            </w:r>
          </w:hyperlink>
        </w:p>
        <w:p w14:paraId="3A95E7CC" w14:textId="2FE0F2D2" w:rsidR="004B58AF" w:rsidRDefault="004B58AF" w:rsidP="004B58AF">
          <w:pPr>
            <w:pStyle w:val="TOC3"/>
          </w:pPr>
          <w:hyperlink w:anchor="_Toc214953564" w:history="1">
            <w:r w:rsidRPr="004914AD">
              <w:rPr>
                <w:rStyle w:val="Hyperlink"/>
              </w:rPr>
              <w:t>5.</w:t>
            </w:r>
            <w:r>
              <w:tab/>
            </w:r>
            <w:r w:rsidRPr="004914AD">
              <w:rPr>
                <w:rStyle w:val="Hyperlink"/>
              </w:rPr>
              <w:t>What are HAEs and what they will be able to do?</w:t>
            </w:r>
            <w:r>
              <w:rPr>
                <w:webHidden/>
              </w:rPr>
              <w:tab/>
            </w:r>
            <w:r>
              <w:rPr>
                <w:webHidden/>
              </w:rPr>
              <w:fldChar w:fldCharType="begin"/>
            </w:r>
            <w:r>
              <w:rPr>
                <w:webHidden/>
              </w:rPr>
              <w:instrText xml:space="preserve"> PAGEREF _Toc214953564 \h </w:instrText>
            </w:r>
            <w:r>
              <w:rPr>
                <w:webHidden/>
              </w:rPr>
            </w:r>
            <w:r>
              <w:rPr>
                <w:webHidden/>
              </w:rPr>
              <w:fldChar w:fldCharType="separate"/>
            </w:r>
            <w:r>
              <w:rPr>
                <w:webHidden/>
              </w:rPr>
              <w:t>3</w:t>
            </w:r>
            <w:r>
              <w:rPr>
                <w:webHidden/>
              </w:rPr>
              <w:fldChar w:fldCharType="end"/>
            </w:r>
          </w:hyperlink>
        </w:p>
        <w:p w14:paraId="23EA5274" w14:textId="4415ECE3" w:rsidR="004B58AF" w:rsidRDefault="004B58AF" w:rsidP="004B58AF">
          <w:pPr>
            <w:pStyle w:val="TOC3"/>
          </w:pPr>
          <w:hyperlink w:anchor="_Toc214953565" w:history="1">
            <w:r w:rsidRPr="004914AD">
              <w:rPr>
                <w:rStyle w:val="Hyperlink"/>
              </w:rPr>
              <w:t>6.</w:t>
            </w:r>
            <w:r>
              <w:tab/>
            </w:r>
            <w:r w:rsidRPr="004914AD">
              <w:rPr>
                <w:rStyle w:val="Hyperlink"/>
              </w:rPr>
              <w:t>Which allied health professionals will be eligible for HPI-Is?</w:t>
            </w:r>
            <w:r>
              <w:rPr>
                <w:webHidden/>
              </w:rPr>
              <w:tab/>
            </w:r>
            <w:r>
              <w:rPr>
                <w:webHidden/>
              </w:rPr>
              <w:fldChar w:fldCharType="begin"/>
            </w:r>
            <w:r>
              <w:rPr>
                <w:webHidden/>
              </w:rPr>
              <w:instrText xml:space="preserve"> PAGEREF _Toc214953565 \h </w:instrText>
            </w:r>
            <w:r>
              <w:rPr>
                <w:webHidden/>
              </w:rPr>
            </w:r>
            <w:r>
              <w:rPr>
                <w:webHidden/>
              </w:rPr>
              <w:fldChar w:fldCharType="separate"/>
            </w:r>
            <w:r>
              <w:rPr>
                <w:webHidden/>
              </w:rPr>
              <w:t>4</w:t>
            </w:r>
            <w:r>
              <w:rPr>
                <w:webHidden/>
              </w:rPr>
              <w:fldChar w:fldCharType="end"/>
            </w:r>
          </w:hyperlink>
        </w:p>
        <w:p w14:paraId="6F6A01B5" w14:textId="2A0C626C" w:rsidR="004B58AF" w:rsidRPr="004B58AF" w:rsidRDefault="004B58AF">
          <w:pPr>
            <w:pStyle w:val="TOC2"/>
            <w:tabs>
              <w:tab w:val="right" w:leader="dot" w:pos="9736"/>
            </w:tabs>
          </w:pPr>
          <w:hyperlink w:anchor="_Toc214953566" w:history="1">
            <w:r w:rsidRPr="004914AD">
              <w:rPr>
                <w:rStyle w:val="Hyperlink"/>
                <w:noProof/>
              </w:rPr>
              <w:t>Proposed changes to the HID Act in the Regulatory Reform Omnibus Bill 2025 (Omnibus Bill)</w:t>
            </w:r>
            <w:r>
              <w:rPr>
                <w:noProof/>
                <w:webHidden/>
              </w:rPr>
              <w:tab/>
            </w:r>
            <w:r>
              <w:rPr>
                <w:noProof/>
                <w:webHidden/>
              </w:rPr>
              <w:fldChar w:fldCharType="begin"/>
            </w:r>
            <w:r>
              <w:rPr>
                <w:noProof/>
                <w:webHidden/>
              </w:rPr>
              <w:instrText xml:space="preserve"> PAGEREF _Toc214953566 \h </w:instrText>
            </w:r>
            <w:r>
              <w:rPr>
                <w:noProof/>
                <w:webHidden/>
              </w:rPr>
            </w:r>
            <w:r>
              <w:rPr>
                <w:noProof/>
                <w:webHidden/>
              </w:rPr>
              <w:fldChar w:fldCharType="separate"/>
            </w:r>
            <w:r>
              <w:rPr>
                <w:noProof/>
                <w:webHidden/>
              </w:rPr>
              <w:t>4</w:t>
            </w:r>
            <w:r>
              <w:rPr>
                <w:noProof/>
                <w:webHidden/>
              </w:rPr>
              <w:fldChar w:fldCharType="end"/>
            </w:r>
          </w:hyperlink>
        </w:p>
        <w:p w14:paraId="50D0673A" w14:textId="0672CAB4" w:rsidR="004B58AF" w:rsidRDefault="004B58AF" w:rsidP="004B58AF">
          <w:pPr>
            <w:pStyle w:val="TOC3"/>
          </w:pPr>
          <w:hyperlink w:anchor="_Toc214953567" w:history="1">
            <w:r w:rsidRPr="004914AD">
              <w:rPr>
                <w:rStyle w:val="Hyperlink"/>
              </w:rPr>
              <w:t>7.</w:t>
            </w:r>
            <w:r>
              <w:tab/>
            </w:r>
            <w:r w:rsidRPr="004914AD">
              <w:rPr>
                <w:rStyle w:val="Hyperlink"/>
              </w:rPr>
              <w:t>What will healthcare recipients and technology providers be able to do?</w:t>
            </w:r>
            <w:r>
              <w:rPr>
                <w:webHidden/>
              </w:rPr>
              <w:tab/>
            </w:r>
            <w:r>
              <w:rPr>
                <w:webHidden/>
              </w:rPr>
              <w:fldChar w:fldCharType="begin"/>
            </w:r>
            <w:r>
              <w:rPr>
                <w:webHidden/>
              </w:rPr>
              <w:instrText xml:space="preserve"> PAGEREF _Toc214953567 \h </w:instrText>
            </w:r>
            <w:r>
              <w:rPr>
                <w:webHidden/>
              </w:rPr>
            </w:r>
            <w:r>
              <w:rPr>
                <w:webHidden/>
              </w:rPr>
              <w:fldChar w:fldCharType="separate"/>
            </w:r>
            <w:r>
              <w:rPr>
                <w:webHidden/>
              </w:rPr>
              <w:t>4</w:t>
            </w:r>
            <w:r>
              <w:rPr>
                <w:webHidden/>
              </w:rPr>
              <w:fldChar w:fldCharType="end"/>
            </w:r>
          </w:hyperlink>
        </w:p>
        <w:p w14:paraId="6614FA41" w14:textId="623CA27D" w:rsidR="004B58AF" w:rsidRDefault="004B58AF" w:rsidP="004B58AF">
          <w:pPr>
            <w:pStyle w:val="TOC3"/>
          </w:pPr>
          <w:hyperlink w:anchor="_Toc214953568" w:history="1">
            <w:r w:rsidRPr="004914AD">
              <w:rPr>
                <w:rStyle w:val="Hyperlink"/>
              </w:rPr>
              <w:t>8.</w:t>
            </w:r>
            <w:r>
              <w:tab/>
            </w:r>
            <w:r w:rsidRPr="004914AD">
              <w:rPr>
                <w:rStyle w:val="Hyperlink"/>
              </w:rPr>
              <w:t>Why are the insurance and employment prohibitions being removed?</w:t>
            </w:r>
            <w:r>
              <w:rPr>
                <w:webHidden/>
              </w:rPr>
              <w:tab/>
            </w:r>
            <w:r>
              <w:rPr>
                <w:webHidden/>
              </w:rPr>
              <w:fldChar w:fldCharType="begin"/>
            </w:r>
            <w:r>
              <w:rPr>
                <w:webHidden/>
              </w:rPr>
              <w:instrText xml:space="preserve"> PAGEREF _Toc214953568 \h </w:instrText>
            </w:r>
            <w:r>
              <w:rPr>
                <w:webHidden/>
              </w:rPr>
            </w:r>
            <w:r>
              <w:rPr>
                <w:webHidden/>
              </w:rPr>
              <w:fldChar w:fldCharType="separate"/>
            </w:r>
            <w:r>
              <w:rPr>
                <w:webHidden/>
              </w:rPr>
              <w:t>4</w:t>
            </w:r>
            <w:r>
              <w:rPr>
                <w:webHidden/>
              </w:rPr>
              <w:fldChar w:fldCharType="end"/>
            </w:r>
          </w:hyperlink>
        </w:p>
        <w:p w14:paraId="4DD175D1" w14:textId="6DA58516" w:rsidR="004B58AF" w:rsidRDefault="004B58AF" w:rsidP="004B58AF">
          <w:pPr>
            <w:pStyle w:val="TOC3"/>
          </w:pPr>
          <w:hyperlink w:anchor="_Toc214953569" w:history="1">
            <w:r w:rsidRPr="004914AD">
              <w:rPr>
                <w:rStyle w:val="Hyperlink"/>
              </w:rPr>
              <w:t>9.</w:t>
            </w:r>
            <w:r>
              <w:tab/>
            </w:r>
            <w:r w:rsidRPr="004914AD">
              <w:rPr>
                <w:rStyle w:val="Hyperlink"/>
              </w:rPr>
              <w:t>What does the removal of insurance and employment prohibitions mean for healthcare recipients?</w:t>
            </w:r>
            <w:r>
              <w:rPr>
                <w:webHidden/>
              </w:rPr>
              <w:tab/>
            </w:r>
            <w:r>
              <w:rPr>
                <w:webHidden/>
              </w:rPr>
              <w:fldChar w:fldCharType="begin"/>
            </w:r>
            <w:r>
              <w:rPr>
                <w:webHidden/>
              </w:rPr>
              <w:instrText xml:space="preserve"> PAGEREF _Toc214953569 \h </w:instrText>
            </w:r>
            <w:r>
              <w:rPr>
                <w:webHidden/>
              </w:rPr>
            </w:r>
            <w:r>
              <w:rPr>
                <w:webHidden/>
              </w:rPr>
              <w:fldChar w:fldCharType="separate"/>
            </w:r>
            <w:r>
              <w:rPr>
                <w:webHidden/>
              </w:rPr>
              <w:t>5</w:t>
            </w:r>
            <w:r>
              <w:rPr>
                <w:webHidden/>
              </w:rPr>
              <w:fldChar w:fldCharType="end"/>
            </w:r>
          </w:hyperlink>
        </w:p>
        <w:p w14:paraId="77A1A378" w14:textId="5D383DE6" w:rsidR="004B58AF" w:rsidRDefault="004B58AF" w:rsidP="004B58AF">
          <w:pPr>
            <w:pStyle w:val="TOC3"/>
          </w:pPr>
          <w:hyperlink w:anchor="_Toc214953570" w:history="1">
            <w:r w:rsidRPr="004914AD">
              <w:rPr>
                <w:rStyle w:val="Hyperlink"/>
              </w:rPr>
              <w:t>10.</w:t>
            </w:r>
            <w:r>
              <w:tab/>
            </w:r>
            <w:r w:rsidRPr="004914AD">
              <w:rPr>
                <w:rStyle w:val="Hyperlink"/>
              </w:rPr>
              <w:t>What is the Healthcare Provider Directory (HPD), and who will be able to see it?</w:t>
            </w:r>
            <w:r>
              <w:rPr>
                <w:webHidden/>
              </w:rPr>
              <w:tab/>
            </w:r>
            <w:r>
              <w:rPr>
                <w:webHidden/>
              </w:rPr>
              <w:fldChar w:fldCharType="begin"/>
            </w:r>
            <w:r>
              <w:rPr>
                <w:webHidden/>
              </w:rPr>
              <w:instrText xml:space="preserve"> PAGEREF _Toc214953570 \h </w:instrText>
            </w:r>
            <w:r>
              <w:rPr>
                <w:webHidden/>
              </w:rPr>
            </w:r>
            <w:r>
              <w:rPr>
                <w:webHidden/>
              </w:rPr>
              <w:fldChar w:fldCharType="separate"/>
            </w:r>
            <w:r>
              <w:rPr>
                <w:webHidden/>
              </w:rPr>
              <w:t>5</w:t>
            </w:r>
            <w:r>
              <w:rPr>
                <w:webHidden/>
              </w:rPr>
              <w:fldChar w:fldCharType="end"/>
            </w:r>
          </w:hyperlink>
        </w:p>
        <w:p w14:paraId="0F093CEA" w14:textId="39E5447B" w:rsidR="004B58AF" w:rsidRDefault="004B58AF" w:rsidP="004B58AF">
          <w:pPr>
            <w:pStyle w:val="TOC3"/>
          </w:pPr>
          <w:hyperlink w:anchor="_Toc214953571" w:history="1">
            <w:r w:rsidRPr="004914AD">
              <w:rPr>
                <w:rStyle w:val="Hyperlink"/>
              </w:rPr>
              <w:t>11.</w:t>
            </w:r>
            <w:r>
              <w:tab/>
            </w:r>
            <w:r w:rsidRPr="004914AD">
              <w:rPr>
                <w:rStyle w:val="Hyperlink"/>
              </w:rPr>
              <w:t>Can healthcare providers ask for their information not to appear in the Health Provider Directory (HPD)?</w:t>
            </w:r>
            <w:r>
              <w:rPr>
                <w:webHidden/>
              </w:rPr>
              <w:tab/>
            </w:r>
            <w:r>
              <w:rPr>
                <w:webHidden/>
              </w:rPr>
              <w:fldChar w:fldCharType="begin"/>
            </w:r>
            <w:r>
              <w:rPr>
                <w:webHidden/>
              </w:rPr>
              <w:instrText xml:space="preserve"> PAGEREF _Toc214953571 \h </w:instrText>
            </w:r>
            <w:r>
              <w:rPr>
                <w:webHidden/>
              </w:rPr>
            </w:r>
            <w:r>
              <w:rPr>
                <w:webHidden/>
              </w:rPr>
              <w:fldChar w:fldCharType="separate"/>
            </w:r>
            <w:r>
              <w:rPr>
                <w:webHidden/>
              </w:rPr>
              <w:t>5</w:t>
            </w:r>
            <w:r>
              <w:rPr>
                <w:webHidden/>
              </w:rPr>
              <w:fldChar w:fldCharType="end"/>
            </w:r>
          </w:hyperlink>
        </w:p>
        <w:p w14:paraId="70729C78" w14:textId="0C7048DC" w:rsidR="004B58AF" w:rsidRDefault="004B58AF" w:rsidP="004B58AF">
          <w:pPr>
            <w:pStyle w:val="TOC3"/>
          </w:pPr>
          <w:hyperlink w:anchor="_Toc214953572" w:history="1">
            <w:r w:rsidRPr="004914AD">
              <w:rPr>
                <w:rStyle w:val="Hyperlink"/>
              </w:rPr>
              <w:t>12.</w:t>
            </w:r>
            <w:r>
              <w:tab/>
            </w:r>
            <w:r w:rsidRPr="004914AD">
              <w:rPr>
                <w:rStyle w:val="Hyperlink"/>
              </w:rPr>
              <w:t>Why is a data standards-making power needed and how will it work?</w:t>
            </w:r>
            <w:r>
              <w:rPr>
                <w:webHidden/>
              </w:rPr>
              <w:tab/>
            </w:r>
            <w:r>
              <w:rPr>
                <w:webHidden/>
              </w:rPr>
              <w:fldChar w:fldCharType="begin"/>
            </w:r>
            <w:r>
              <w:rPr>
                <w:webHidden/>
              </w:rPr>
              <w:instrText xml:space="preserve"> PAGEREF _Toc214953572 \h </w:instrText>
            </w:r>
            <w:r>
              <w:rPr>
                <w:webHidden/>
              </w:rPr>
            </w:r>
            <w:r>
              <w:rPr>
                <w:webHidden/>
              </w:rPr>
              <w:fldChar w:fldCharType="separate"/>
            </w:r>
            <w:r>
              <w:rPr>
                <w:webHidden/>
              </w:rPr>
              <w:t>5</w:t>
            </w:r>
            <w:r>
              <w:rPr>
                <w:webHidden/>
              </w:rPr>
              <w:fldChar w:fldCharType="end"/>
            </w:r>
          </w:hyperlink>
        </w:p>
        <w:p w14:paraId="44C28BD0" w14:textId="77E9A206" w:rsidR="004B58AF" w:rsidRDefault="004B58AF">
          <w:r>
            <w:rPr>
              <w:b/>
              <w:bCs/>
              <w:lang w:val="en-GB"/>
            </w:rPr>
            <w:fldChar w:fldCharType="end"/>
          </w:r>
        </w:p>
      </w:sdtContent>
    </w:sdt>
    <w:p w14:paraId="710B9520" w14:textId="7BE112E0" w:rsidR="00F130FF" w:rsidRPr="00E550D4" w:rsidRDefault="00710D88" w:rsidP="005B768B">
      <w:r>
        <w:br w:type="page"/>
      </w:r>
    </w:p>
    <w:p w14:paraId="114618F6" w14:textId="1D36BC05" w:rsidR="00F130FF" w:rsidRPr="00943E73" w:rsidRDefault="00710D88" w:rsidP="00943E73">
      <w:pPr>
        <w:pStyle w:val="Heading1"/>
      </w:pPr>
      <w:bookmarkStart w:id="8" w:name="_Toc210891531"/>
      <w:bookmarkStart w:id="9" w:name="_Hlk208221567"/>
      <w:bookmarkStart w:id="10" w:name="_Toc214953492"/>
      <w:bookmarkStart w:id="11" w:name="_Toc214953557"/>
      <w:r w:rsidRPr="00943E73">
        <w:lastRenderedPageBreak/>
        <w:t>About healthcare identifiers</w:t>
      </w:r>
      <w:bookmarkEnd w:id="6"/>
      <w:bookmarkEnd w:id="8"/>
      <w:bookmarkEnd w:id="10"/>
      <w:bookmarkEnd w:id="11"/>
    </w:p>
    <w:bookmarkEnd w:id="9"/>
    <w:p w14:paraId="248CBCEA" w14:textId="77777777" w:rsidR="0040663E" w:rsidRPr="005B768B" w:rsidRDefault="00635B94" w:rsidP="005B768B">
      <w:r w:rsidRPr="005B768B">
        <w:t xml:space="preserve">Healthcare Identifiers 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1EEA7B66" w:rsidR="00100052" w:rsidRPr="005B768B" w:rsidRDefault="00880067" w:rsidP="005B768B">
      <w:r w:rsidRPr="005B768B">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05B768B">
        <w:t xml:space="preserve"> Healthcare Identifiers (HIs) play</w:t>
      </w:r>
      <w:r w:rsidR="00C213B9" w:rsidRPr="005B768B">
        <w:t xml:space="preserve"> a vital role in supporting the delivery of national digital health initiatives, such as My Health Record, electronic prescribing, and the recording of vaccinations through the Australian Immunisation Register.</w:t>
      </w:r>
    </w:p>
    <w:p w14:paraId="29A174D6" w14:textId="77777777" w:rsidR="007F2EFF" w:rsidRPr="005B768B" w:rsidRDefault="007F2EFF" w:rsidP="005B768B">
      <w:r w:rsidRPr="005B768B">
        <w:t xml:space="preserve">There are currently three types of Healthcare Identifiers: </w:t>
      </w:r>
    </w:p>
    <w:p w14:paraId="6463D72D" w14:textId="77777777" w:rsidR="007F2EFF" w:rsidRPr="005B768B" w:rsidRDefault="007F2EFF" w:rsidP="005B768B">
      <w:pPr>
        <w:pStyle w:val="ListBullet3"/>
      </w:pPr>
      <w:r w:rsidRPr="005B768B">
        <w:rPr>
          <w:rStyle w:val="Strong"/>
        </w:rPr>
        <w:t>Individual Healthcare Identifier (IHI):</w:t>
      </w:r>
      <w:r w:rsidRPr="005B768B">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Pr="005B768B" w:rsidRDefault="007F2EFF" w:rsidP="005B768B">
      <w:pPr>
        <w:pStyle w:val="ListBullet3"/>
      </w:pPr>
      <w:r w:rsidRPr="005B768B">
        <w:rPr>
          <w:rStyle w:val="Strong"/>
        </w:rPr>
        <w:t>Healthcare Provider Identifier – Individual (HPI-I):</w:t>
      </w:r>
      <w:r w:rsidRPr="005B768B">
        <w:t xml:space="preserve"> An HPI-I is used to identify an individual healthcare provider, such as a general practitioner, specialist, or allied health practitioner. </w:t>
      </w:r>
    </w:p>
    <w:p w14:paraId="44C1B474" w14:textId="7165C708" w:rsidR="00B064F3" w:rsidRPr="005B768B" w:rsidRDefault="007F2EFF" w:rsidP="005B768B">
      <w:pPr>
        <w:pStyle w:val="ListBullet3"/>
      </w:pPr>
      <w:r w:rsidRPr="005B768B">
        <w:rPr>
          <w:rStyle w:val="Strong"/>
        </w:rPr>
        <w:t>Healthcare Provider Identifier – Organisation (HPI-O):</w:t>
      </w:r>
      <w:r w:rsidRPr="005B768B">
        <w:t xml:space="preserve"> An HPI-O is used to identify a healthcare provider organisation, such as a hospital or general practice.</w:t>
      </w:r>
    </w:p>
    <w:p w14:paraId="1BFC5037" w14:textId="2EBD1E44" w:rsidR="001E4D9E" w:rsidRPr="00A02D2C" w:rsidRDefault="006D7616" w:rsidP="004B58AF">
      <w:pPr>
        <w:pStyle w:val="Heading2"/>
      </w:pPr>
      <w:bookmarkStart w:id="12" w:name="_Toc206665612"/>
      <w:bookmarkStart w:id="13" w:name="_Toc210891532"/>
      <w:bookmarkStart w:id="14" w:name="_Toc214953493"/>
      <w:bookmarkStart w:id="15" w:name="_Toc214953558"/>
      <w:r w:rsidRPr="00A02D2C">
        <w:t>Overview</w:t>
      </w:r>
      <w:bookmarkEnd w:id="7"/>
      <w:bookmarkEnd w:id="12"/>
      <w:bookmarkEnd w:id="13"/>
      <w:bookmarkEnd w:id="14"/>
      <w:bookmarkEnd w:id="15"/>
    </w:p>
    <w:p w14:paraId="47191694" w14:textId="1D2039E0" w:rsidR="00EF4071" w:rsidRPr="00A02D2C" w:rsidRDefault="00944FE2" w:rsidP="004B58AF">
      <w:pPr>
        <w:pStyle w:val="Heading3"/>
      </w:pPr>
      <w:bookmarkStart w:id="16" w:name="_Toc206665613"/>
      <w:bookmarkStart w:id="17" w:name="_Toc210891533"/>
      <w:bookmarkStart w:id="18" w:name="_Toc214953494"/>
      <w:bookmarkStart w:id="19" w:name="_Toc214953559"/>
      <w:r w:rsidRPr="00A02D2C">
        <w:t>Wh</w:t>
      </w:r>
      <w:r w:rsidR="00C20903" w:rsidRPr="00A02D2C">
        <w:t>y</w:t>
      </w:r>
      <w:r w:rsidRPr="00A02D2C">
        <w:t xml:space="preserve"> are </w:t>
      </w:r>
      <w:r w:rsidR="00C20903" w:rsidRPr="004B58AF">
        <w:t>changes</w:t>
      </w:r>
      <w:r w:rsidR="00C20903" w:rsidRPr="00A02D2C">
        <w:t xml:space="preserve"> </w:t>
      </w:r>
      <w:r w:rsidRPr="00A02D2C">
        <w:t>being made to the Healthcare Identifiers Act 2010</w:t>
      </w:r>
      <w:r w:rsidR="00D75F40" w:rsidRPr="00A02D2C">
        <w:t>?</w:t>
      </w:r>
      <w:bookmarkStart w:id="20" w:name="_Toc206665614"/>
      <w:bookmarkEnd w:id="16"/>
      <w:bookmarkEnd w:id="17"/>
      <w:bookmarkEnd w:id="18"/>
      <w:bookmarkEnd w:id="19"/>
    </w:p>
    <w:p w14:paraId="223F37B5" w14:textId="5373F91B" w:rsidR="00795C06" w:rsidRPr="005B768B" w:rsidRDefault="00FD6EAB" w:rsidP="005B768B">
      <w:r w:rsidRPr="005B768B">
        <w:t xml:space="preserve">The </w:t>
      </w:r>
      <w:r w:rsidRPr="005B768B">
        <w:rPr>
          <w:rStyle w:val="Emphasis"/>
        </w:rPr>
        <w:t>Healthcare Identifiers Act 2010</w:t>
      </w:r>
      <w:r w:rsidRPr="005B768B">
        <w:t xml:space="preserve"> (</w:t>
      </w:r>
      <w:proofErr w:type="spellStart"/>
      <w:r w:rsidRPr="005B768B">
        <w:t>Cth</w:t>
      </w:r>
      <w:proofErr w:type="spellEnd"/>
      <w:r w:rsidRPr="005B768B">
        <w:t xml:space="preserve">) (HID Act) </w:t>
      </w:r>
      <w:r w:rsidR="006D568C" w:rsidRPr="005B768B">
        <w:t>establishes a process</w:t>
      </w:r>
      <w:r w:rsidRPr="005B768B">
        <w:t xml:space="preserve"> for assigning healthcare identifiers to healthcare </w:t>
      </w:r>
      <w:r w:rsidR="00AF40DA" w:rsidRPr="005B768B">
        <w:t>recipient</w:t>
      </w:r>
      <w:r w:rsidRPr="005B768B">
        <w:t xml:space="preserve">s and </w:t>
      </w:r>
      <w:r w:rsidR="00BA52CB" w:rsidRPr="005B768B">
        <w:t>providers and</w:t>
      </w:r>
      <w:r w:rsidRPr="005B768B">
        <w:t xml:space="preserve"> authorises </w:t>
      </w:r>
      <w:r w:rsidR="00BA52CB" w:rsidRPr="005B768B">
        <w:t xml:space="preserve">who can use healthcare identifiers and </w:t>
      </w:r>
      <w:r w:rsidRPr="005B768B">
        <w:t xml:space="preserve">the purposes for </w:t>
      </w:r>
      <w:r w:rsidR="009044A6" w:rsidRPr="005B768B">
        <w:t xml:space="preserve">which they </w:t>
      </w:r>
      <w:r w:rsidRPr="005B768B">
        <w:t>can be used.</w:t>
      </w:r>
      <w:r w:rsidR="00B07942" w:rsidRPr="005B768B">
        <w:t xml:space="preserve"> However, </w:t>
      </w:r>
      <w:r w:rsidR="00336202" w:rsidRPr="005B768B">
        <w:t>feedback from consultation and recommendations from previous reviews show</w:t>
      </w:r>
      <w:r w:rsidR="009417F3" w:rsidRPr="005B768B">
        <w:t>s</w:t>
      </w:r>
      <w:r w:rsidR="00336202" w:rsidRPr="005B768B">
        <w:t xml:space="preserve"> that the </w:t>
      </w:r>
      <w:r w:rsidR="00F75972" w:rsidRPr="005B768B">
        <w:t xml:space="preserve">HID Act is too narrow and </w:t>
      </w:r>
      <w:r w:rsidR="007A5A19" w:rsidRPr="005B768B">
        <w:t>not well-understood</w:t>
      </w:r>
      <w:r w:rsidR="004F42EF" w:rsidRPr="005B768B">
        <w:t xml:space="preserve">, which limits </w:t>
      </w:r>
      <w:r w:rsidR="0014001F" w:rsidRPr="005B768B">
        <w:t xml:space="preserve">the effectiveness of the Act and </w:t>
      </w:r>
      <w:r w:rsidR="003052C3" w:rsidRPr="005B768B">
        <w:t xml:space="preserve">hinders the widespread use of healthcare </w:t>
      </w:r>
      <w:r w:rsidR="006314C2" w:rsidRPr="005B768B">
        <w:t xml:space="preserve">identifiers. </w:t>
      </w:r>
    </w:p>
    <w:p w14:paraId="6FECC685" w14:textId="6E61AEEC" w:rsidR="00EF4071" w:rsidRPr="00A02D2C" w:rsidRDefault="00EF4071" w:rsidP="005B768B">
      <w:pPr>
        <w:pStyle w:val="Heading3"/>
      </w:pPr>
      <w:bookmarkStart w:id="21" w:name="_Toc210891534"/>
      <w:bookmarkStart w:id="22" w:name="_Toc214953495"/>
      <w:bookmarkStart w:id="23" w:name="_Toc214953560"/>
      <w:r w:rsidRPr="00A02D2C">
        <w:t>What changes are being made?</w:t>
      </w:r>
      <w:bookmarkEnd w:id="21"/>
      <w:bookmarkEnd w:id="22"/>
      <w:bookmarkEnd w:id="23"/>
    </w:p>
    <w:p w14:paraId="7FE473AD" w14:textId="32F7E301" w:rsidR="00632F0B" w:rsidRPr="005B768B" w:rsidRDefault="006314C2" w:rsidP="005B768B">
      <w:r w:rsidRPr="005B768B">
        <w:t>Changes</w:t>
      </w:r>
      <w:r w:rsidR="006E0EC6" w:rsidRPr="005B768B">
        <w:t xml:space="preserve"> </w:t>
      </w:r>
      <w:r w:rsidR="0079191B" w:rsidRPr="005B768B">
        <w:t xml:space="preserve">to the </w:t>
      </w:r>
      <w:r w:rsidR="00931F22" w:rsidRPr="005B768B">
        <w:rPr>
          <w:rStyle w:val="Emphasis"/>
        </w:rPr>
        <w:t>Healthcare Identifiers Act 2010</w:t>
      </w:r>
      <w:r w:rsidR="00931F22" w:rsidRPr="005B768B">
        <w:t xml:space="preserve"> (</w:t>
      </w:r>
      <w:r w:rsidR="00361A3E" w:rsidRPr="005B768B">
        <w:t>HI</w:t>
      </w:r>
      <w:r w:rsidR="00672AD0" w:rsidRPr="005B768B">
        <w:t>D</w:t>
      </w:r>
      <w:r w:rsidR="00361A3E" w:rsidRPr="005B768B">
        <w:t xml:space="preserve"> Act</w:t>
      </w:r>
      <w:r w:rsidR="00931F22" w:rsidRPr="005B768B">
        <w:t>)</w:t>
      </w:r>
      <w:r w:rsidR="00361A3E" w:rsidRPr="005B768B">
        <w:t xml:space="preserve"> are</w:t>
      </w:r>
      <w:r w:rsidR="0079191B" w:rsidRPr="005B768B">
        <w:t xml:space="preserve"> </w:t>
      </w:r>
      <w:r w:rsidR="00672AD0" w:rsidRPr="005B768B">
        <w:t xml:space="preserve">being implemented </w:t>
      </w:r>
      <w:r w:rsidR="0079191B" w:rsidRPr="005B768B">
        <w:t>in phase</w:t>
      </w:r>
      <w:r w:rsidR="001609DC" w:rsidRPr="005B768B">
        <w:t>s, including:</w:t>
      </w:r>
    </w:p>
    <w:p w14:paraId="021EF4F5" w14:textId="23A18340" w:rsidR="000F0D05" w:rsidRPr="005B768B" w:rsidRDefault="635612FB" w:rsidP="005B768B">
      <w:pPr>
        <w:rPr>
          <w:rStyle w:val="Strong"/>
        </w:rPr>
      </w:pPr>
      <w:r w:rsidRPr="005B768B">
        <w:rPr>
          <w:rStyle w:val="Strong"/>
        </w:rPr>
        <w:t>P</w:t>
      </w:r>
      <w:r w:rsidR="0712FF28" w:rsidRPr="005B768B">
        <w:rPr>
          <w:rStyle w:val="Strong"/>
        </w:rPr>
        <w:t>hase 1</w:t>
      </w:r>
      <w:r w:rsidRPr="005B768B">
        <w:rPr>
          <w:rStyle w:val="Strong"/>
        </w:rPr>
        <w:t xml:space="preserve">: </w:t>
      </w:r>
      <w:r w:rsidR="4A820942" w:rsidRPr="005B768B">
        <w:rPr>
          <w:rStyle w:val="Strong"/>
        </w:rPr>
        <w:t xml:space="preserve">Amendments to the </w:t>
      </w:r>
      <w:r w:rsidR="32790AEF" w:rsidRPr="005B768B">
        <w:rPr>
          <w:rStyle w:val="Strong"/>
        </w:rPr>
        <w:t xml:space="preserve">HID Act </w:t>
      </w:r>
      <w:r w:rsidR="4A820942" w:rsidRPr="005B768B">
        <w:rPr>
          <w:rStyle w:val="Strong"/>
        </w:rPr>
        <w:t xml:space="preserve">under the Aged Care and Other Legislation Amendments </w:t>
      </w:r>
      <w:r w:rsidR="339BE7D0" w:rsidRPr="005B768B">
        <w:rPr>
          <w:rStyle w:val="Strong"/>
        </w:rPr>
        <w:t>Act</w:t>
      </w:r>
      <w:r w:rsidR="4A820942" w:rsidRPr="005B768B">
        <w:rPr>
          <w:rStyle w:val="Strong"/>
        </w:rPr>
        <w:t xml:space="preserve"> 2025</w:t>
      </w:r>
    </w:p>
    <w:p w14:paraId="7B263D0D" w14:textId="29B2DAC3" w:rsidR="008A30B3" w:rsidRPr="005B768B" w:rsidRDefault="5F18781D" w:rsidP="005B768B">
      <w:r w:rsidRPr="005B768B">
        <w:t xml:space="preserve">The Bill </w:t>
      </w:r>
      <w:r w:rsidR="3C1E10A7" w:rsidRPr="005B768B">
        <w:t xml:space="preserve">was passed by the Commonwealth Parliament on </w:t>
      </w:r>
      <w:r w:rsidR="446DFE10" w:rsidRPr="005B768B">
        <w:t xml:space="preserve">4 </w:t>
      </w:r>
      <w:r w:rsidR="2C13A3D1" w:rsidRPr="005B768B">
        <w:t xml:space="preserve">September </w:t>
      </w:r>
      <w:r w:rsidR="4AC29AFF" w:rsidRPr="005B768B">
        <w:t>2025,</w:t>
      </w:r>
      <w:r w:rsidR="2C13A3D1" w:rsidRPr="005B768B">
        <w:t xml:space="preserve"> and its </w:t>
      </w:r>
      <w:r w:rsidR="6CBD334E" w:rsidRPr="005B768B">
        <w:t xml:space="preserve">amendments </w:t>
      </w:r>
      <w:r w:rsidR="00A66294">
        <w:t>took</w:t>
      </w:r>
      <w:r w:rsidR="6CBD334E" w:rsidRPr="005B768B">
        <w:t xml:space="preserve"> effect on 1 November</w:t>
      </w:r>
      <w:r w:rsidR="2C13A3D1" w:rsidRPr="005B768B">
        <w:t xml:space="preserve"> 2025.</w:t>
      </w:r>
      <w:r w:rsidR="396C46C4" w:rsidRPr="005B768B">
        <w:t xml:space="preserve"> </w:t>
      </w:r>
      <w:r w:rsidR="6CBD334E" w:rsidRPr="005B768B">
        <w:t xml:space="preserve">Consequential changes to the </w:t>
      </w:r>
      <w:r w:rsidR="57372485" w:rsidRPr="005B768B">
        <w:t>Healthcare Identifiers Regulations 2020 (H</w:t>
      </w:r>
      <w:r w:rsidR="262F92F6" w:rsidRPr="005B768B">
        <w:t>I</w:t>
      </w:r>
      <w:r w:rsidR="2B84219F" w:rsidRPr="005B768B">
        <w:t>D</w:t>
      </w:r>
      <w:r w:rsidR="57372485" w:rsidRPr="005B768B">
        <w:t xml:space="preserve"> Regulations) </w:t>
      </w:r>
      <w:r w:rsidR="004F46F7">
        <w:t>have also been made</w:t>
      </w:r>
      <w:r w:rsidR="57372485" w:rsidRPr="005B768B">
        <w:t xml:space="preserve">. </w:t>
      </w:r>
      <w:r w:rsidR="06930D79" w:rsidRPr="005B768B">
        <w:t xml:space="preserve"> </w:t>
      </w:r>
      <w:r w:rsidR="482EAF2B" w:rsidRPr="005B768B">
        <w:t>The amendments enhance the use of Healthcare Identifiers (HIs) by:</w:t>
      </w:r>
    </w:p>
    <w:p w14:paraId="686E7579" w14:textId="2494CEBE" w:rsidR="008A30B3" w:rsidRPr="008A30B3" w:rsidRDefault="454A06A5" w:rsidP="005B768B">
      <w:pPr>
        <w:pStyle w:val="ListBullet"/>
      </w:pPr>
      <w:r w:rsidRPr="0CA77722">
        <w:t>e</w:t>
      </w:r>
      <w:r w:rsidR="6781C77C" w:rsidRPr="0CA77722">
        <w:t>xpanding the types of providers who can be assigned HI</w:t>
      </w:r>
      <w:r w:rsidR="4C681F94" w:rsidRPr="0CA77722">
        <w:t>s</w:t>
      </w:r>
      <w:r w:rsidR="1223BC20" w:rsidRPr="0CA77722">
        <w:t>, with the introduction of new authorisations for:</w:t>
      </w:r>
    </w:p>
    <w:p w14:paraId="67AE1EBD" w14:textId="6EBF62DA" w:rsidR="1223BC20" w:rsidRPr="005B768B" w:rsidRDefault="1223BC20" w:rsidP="005B768B">
      <w:pPr>
        <w:pStyle w:val="ListBullet2"/>
      </w:pPr>
      <w:r w:rsidRPr="0CA77722">
        <w:t xml:space="preserve">Healthcare Support Service Providers </w:t>
      </w:r>
      <w:r w:rsidRPr="005B768B">
        <w:t>Organisations (HSP-O)</w:t>
      </w:r>
    </w:p>
    <w:p w14:paraId="3E8D4C30" w14:textId="28A5DA7A" w:rsidR="1223BC20" w:rsidRPr="005B768B" w:rsidRDefault="1223BC20" w:rsidP="005B768B">
      <w:pPr>
        <w:pStyle w:val="ListBullet2"/>
      </w:pPr>
      <w:r w:rsidRPr="005B768B">
        <w:t>Healthcare Administration Entities (HAE)</w:t>
      </w:r>
    </w:p>
    <w:p w14:paraId="2817105E" w14:textId="53A4E1F3" w:rsidR="0055684E" w:rsidRPr="005B768B" w:rsidRDefault="2FE28378" w:rsidP="005B768B">
      <w:pPr>
        <w:pStyle w:val="ListBullet"/>
      </w:pPr>
      <w:r w:rsidRPr="403F301A">
        <w:t xml:space="preserve">clarifying and </w:t>
      </w:r>
      <w:r w:rsidR="6794050F" w:rsidRPr="403F301A">
        <w:t>b</w:t>
      </w:r>
      <w:r w:rsidR="6781C77C" w:rsidRPr="403F301A">
        <w:t>roadening the purposes for which HIs can be used</w:t>
      </w:r>
      <w:r w:rsidR="69606FDC" w:rsidRPr="403F301A">
        <w:t>.</w:t>
      </w:r>
    </w:p>
    <w:p w14:paraId="638D9624" w14:textId="5480602E" w:rsidR="00B064F3" w:rsidRPr="005B768B" w:rsidRDefault="0039456A" w:rsidP="005B768B">
      <w:r w:rsidRPr="005B768B">
        <w:t xml:space="preserve">These changes </w:t>
      </w:r>
      <w:r w:rsidR="67C90257" w:rsidRPr="005B768B">
        <w:t>enable</w:t>
      </w:r>
      <w:r w:rsidRPr="005B768B">
        <w:t xml:space="preserve"> HIs to be used by aged and disability care providers and a wider range of allied health professionals, as well as for health-related administrative purposes</w:t>
      </w:r>
      <w:r w:rsidR="10C870AF" w:rsidRPr="005B768B">
        <w:t>.</w:t>
      </w:r>
    </w:p>
    <w:p w14:paraId="62C30209" w14:textId="73DBC4F3" w:rsidR="00B40200" w:rsidRPr="005B768B" w:rsidRDefault="62559B7F" w:rsidP="005B768B">
      <w:pPr>
        <w:rPr>
          <w:rStyle w:val="Strong"/>
        </w:rPr>
      </w:pPr>
      <w:r w:rsidRPr="005B768B">
        <w:rPr>
          <w:rStyle w:val="Strong"/>
        </w:rPr>
        <w:t>Phase</w:t>
      </w:r>
      <w:r w:rsidR="6BF63778" w:rsidRPr="005B768B">
        <w:rPr>
          <w:rStyle w:val="Strong"/>
        </w:rPr>
        <w:t xml:space="preserve"> 2: </w:t>
      </w:r>
      <w:r w:rsidR="03487844" w:rsidRPr="005B768B">
        <w:rPr>
          <w:rStyle w:val="Strong"/>
        </w:rPr>
        <w:t xml:space="preserve">Proposed </w:t>
      </w:r>
      <w:r w:rsidR="201E6D99" w:rsidRPr="005B768B">
        <w:rPr>
          <w:rStyle w:val="Strong"/>
        </w:rPr>
        <w:t>Amendments to the HID Act in the Regulatory Reform Omnibus Bill 2025 (Omnibus Bill)</w:t>
      </w:r>
    </w:p>
    <w:p w14:paraId="27D11E0F" w14:textId="7BCC07F7" w:rsidR="003829C5" w:rsidRPr="005B768B" w:rsidRDefault="70342077" w:rsidP="005B768B">
      <w:r w:rsidRPr="005B768B">
        <w:t xml:space="preserve">Further amendments to the HID Act </w:t>
      </w:r>
      <w:r w:rsidR="00F01602">
        <w:t>are proposed</w:t>
      </w:r>
      <w:r w:rsidRPr="005B768B">
        <w:t xml:space="preserve"> as part of </w:t>
      </w:r>
      <w:r w:rsidR="2BE51133" w:rsidRPr="005B768B">
        <w:t>a Department of</w:t>
      </w:r>
      <w:r w:rsidRPr="005B768B">
        <w:t xml:space="preserve"> </w:t>
      </w:r>
      <w:r w:rsidR="72D11F85" w:rsidRPr="005B768B">
        <w:t xml:space="preserve">Finance-led Omnibus Bill. </w:t>
      </w:r>
      <w:r w:rsidR="3F9832B8" w:rsidRPr="005B768B">
        <w:t>These proposed amendments</w:t>
      </w:r>
      <w:r w:rsidR="7AFB6E68" w:rsidRPr="005B768B">
        <w:t xml:space="preserve"> </w:t>
      </w:r>
      <w:r w:rsidR="00B064F3" w:rsidRPr="005B768B">
        <w:t>aim</w:t>
      </w:r>
      <w:r w:rsidR="7AFB6E68" w:rsidRPr="005B768B">
        <w:t xml:space="preserve"> to position the HID Act as the foundation for an interoperable, digitally connected national health system by:</w:t>
      </w:r>
      <w:r w:rsidR="3EED306D" w:rsidRPr="005B768B">
        <w:t xml:space="preserve"> </w:t>
      </w:r>
    </w:p>
    <w:p w14:paraId="4CDF76A8" w14:textId="135EE6E1" w:rsidR="00A166A5" w:rsidRDefault="6D5AEAA7" w:rsidP="005B768B">
      <w:pPr>
        <w:pStyle w:val="ListBullet"/>
      </w:pPr>
      <w:r w:rsidRPr="403F301A">
        <w:t>updated authorisations</w:t>
      </w:r>
      <w:r w:rsidR="46824D2C" w:rsidRPr="403F301A">
        <w:t xml:space="preserve"> </w:t>
      </w:r>
      <w:r w:rsidRPr="403F301A">
        <w:t xml:space="preserve">for health technology solutions </w:t>
      </w:r>
    </w:p>
    <w:p w14:paraId="25708F58" w14:textId="110A89CD" w:rsidR="00505B89" w:rsidRPr="00505B89" w:rsidRDefault="38027CB0" w:rsidP="005B768B">
      <w:pPr>
        <w:pStyle w:val="ListBullet"/>
      </w:pPr>
      <w:r w:rsidRPr="0CA77722">
        <w:t>e</w:t>
      </w:r>
      <w:r w:rsidR="7817A81E" w:rsidRPr="0CA77722">
        <w:t xml:space="preserve">nhancing the Healthcare Provider Directory (HPD) </w:t>
      </w:r>
      <w:r w:rsidR="5C87D3A0" w:rsidRPr="0CA77722">
        <w:t>to support</w:t>
      </w:r>
      <w:r w:rsidR="7817A81E" w:rsidRPr="0CA77722">
        <w:t xml:space="preserve"> </w:t>
      </w:r>
      <w:r w:rsidR="7A79B20A" w:rsidRPr="0CA77722">
        <w:t>more efficient</w:t>
      </w:r>
      <w:r w:rsidR="7817A81E" w:rsidRPr="0CA77722">
        <w:t xml:space="preserve"> communication among providers</w:t>
      </w:r>
    </w:p>
    <w:p w14:paraId="5B1AEA2A" w14:textId="461D1B45" w:rsidR="001171EF" w:rsidRPr="005B768B" w:rsidRDefault="3420881B" w:rsidP="005B768B">
      <w:pPr>
        <w:pStyle w:val="ListBullet"/>
      </w:pPr>
      <w:r w:rsidRPr="0CA77722">
        <w:t>p</w:t>
      </w:r>
      <w:r w:rsidR="7817A81E" w:rsidRPr="0CA77722">
        <w:t xml:space="preserve">roviding legal authority to establish health information and data </w:t>
      </w:r>
      <w:r w:rsidR="7817A81E" w:rsidRPr="005B768B">
        <w:t>standards.</w:t>
      </w:r>
    </w:p>
    <w:p w14:paraId="329632DD" w14:textId="2656B52E" w:rsidR="001171EF" w:rsidRPr="00A02D2C" w:rsidRDefault="1E301B70" w:rsidP="005B768B">
      <w:pPr>
        <w:pStyle w:val="Heading3"/>
      </w:pPr>
      <w:bookmarkStart w:id="24" w:name="_Toc210891535"/>
      <w:bookmarkStart w:id="25" w:name="_Toc214953496"/>
      <w:bookmarkStart w:id="26" w:name="_Toc214953561"/>
      <w:r w:rsidRPr="00A02D2C">
        <w:t xml:space="preserve">Do the changes affect the privacy of </w:t>
      </w:r>
      <w:r w:rsidR="5A9DF46D" w:rsidRPr="00A02D2C">
        <w:t xml:space="preserve">an </w:t>
      </w:r>
      <w:r w:rsidR="3CB2F81A" w:rsidRPr="00A02D2C">
        <w:t xml:space="preserve">individual’s </w:t>
      </w:r>
      <w:r w:rsidRPr="00A02D2C">
        <w:t>health information?</w:t>
      </w:r>
      <w:bookmarkEnd w:id="24"/>
      <w:bookmarkEnd w:id="25"/>
      <w:bookmarkEnd w:id="26"/>
    </w:p>
    <w:p w14:paraId="6C776068" w14:textId="345AAA3D" w:rsidR="004E6F79" w:rsidRPr="00A02D2C" w:rsidRDefault="1E301B70" w:rsidP="005B768B">
      <w:r w:rsidRPr="00A02D2C">
        <w:t>No</w:t>
      </w:r>
      <w:r w:rsidR="14C03DF0" w:rsidRPr="00A02D2C">
        <w:t xml:space="preserve">. </w:t>
      </w:r>
      <w:r w:rsidR="083B571E" w:rsidRPr="00A02D2C">
        <w:t>T</w:t>
      </w:r>
      <w:r w:rsidR="04A8B5E0" w:rsidRPr="00A02D2C">
        <w:t xml:space="preserve">he changes do not give anyone access to additional health information. </w:t>
      </w:r>
    </w:p>
    <w:p w14:paraId="4BCF61A0" w14:textId="46BE4E93" w:rsidR="004E6F79" w:rsidRPr="00A02D2C" w:rsidRDefault="04A8B5E0" w:rsidP="005B768B">
      <w:r w:rsidRPr="00A02D2C">
        <w:t>The</w:t>
      </w:r>
      <w:r w:rsidR="00B482DC" w:rsidRPr="00A02D2C">
        <w:t xml:space="preserve"> phase 1 changes</w:t>
      </w:r>
      <w:r w:rsidRPr="00A02D2C">
        <w:t xml:space="preserve"> </w:t>
      </w:r>
      <w:r w:rsidR="7B48C9BA" w:rsidRPr="00A02D2C">
        <w:t>allow healthcare support providers and healthcare administration entities to add healthcare identifiers to the information they already have</w:t>
      </w:r>
      <w:r w:rsidR="42B956FB" w:rsidRPr="00A02D2C">
        <w:t xml:space="preserve">. </w:t>
      </w:r>
    </w:p>
    <w:p w14:paraId="472A0773" w14:textId="68A5E625" w:rsidR="001171EF" w:rsidRPr="00A02D2C" w:rsidRDefault="60E6663A" w:rsidP="005B768B">
      <w:r w:rsidRPr="00A02D2C">
        <w:t>T</w:t>
      </w:r>
      <w:r w:rsidR="004E6F79" w:rsidRPr="00A02D2C">
        <w:t xml:space="preserve">he changes in phase </w:t>
      </w:r>
      <w:r w:rsidR="6F3BA5E6" w:rsidRPr="00A02D2C">
        <w:t xml:space="preserve">2 also </w:t>
      </w:r>
      <w:r w:rsidR="001171EF" w:rsidRPr="00A02D2C">
        <w:t>enable healthcare recipients and providers to attach identifiers to health and health-related information they can already lawfully access</w:t>
      </w:r>
      <w:r w:rsidR="1042A4AE" w:rsidRPr="00A02D2C">
        <w:t xml:space="preserve"> and will allow the health technology solutions they rely on to also use healthcare identifiers</w:t>
      </w:r>
      <w:r w:rsidR="001171EF" w:rsidRPr="00A02D2C">
        <w:t>.</w:t>
      </w:r>
    </w:p>
    <w:p w14:paraId="44DBE8C2" w14:textId="1E71F0A5" w:rsidR="00A65869" w:rsidRPr="00A02D2C" w:rsidRDefault="001171EF" w:rsidP="005B768B">
      <w:r w:rsidRPr="00A02D2C">
        <w:t xml:space="preserve">Access to health information remains protected by other laws such as the </w:t>
      </w:r>
      <w:r w:rsidRPr="00241450">
        <w:rPr>
          <w:i/>
          <w:iCs/>
        </w:rPr>
        <w:t>Privacy Act 1988</w:t>
      </w:r>
      <w:r w:rsidRPr="00A02D2C">
        <w:t xml:space="preserve"> (</w:t>
      </w:r>
      <w:proofErr w:type="spellStart"/>
      <w:r w:rsidRPr="00A02D2C">
        <w:t>Cth</w:t>
      </w:r>
      <w:proofErr w:type="spellEnd"/>
      <w:r w:rsidRPr="00A02D2C">
        <w:t xml:space="preserve">) and the </w:t>
      </w:r>
      <w:r w:rsidRPr="00A02D2C">
        <w:rPr>
          <w:rStyle w:val="QuoteChar"/>
        </w:rPr>
        <w:t>My Health Records Act 2012</w:t>
      </w:r>
      <w:r w:rsidRPr="00A02D2C">
        <w:t xml:space="preserve"> (</w:t>
      </w:r>
      <w:proofErr w:type="spellStart"/>
      <w:r w:rsidRPr="00A02D2C">
        <w:t>Cth</w:t>
      </w:r>
      <w:proofErr w:type="spellEnd"/>
      <w:r w:rsidRPr="00A02D2C">
        <w:t>) (</w:t>
      </w:r>
      <w:r w:rsidR="00590F09" w:rsidRPr="00A02D2C">
        <w:t xml:space="preserve">MHR </w:t>
      </w:r>
      <w:r w:rsidRPr="00A02D2C">
        <w:t>Act).</w:t>
      </w:r>
    </w:p>
    <w:p w14:paraId="34CEB4E7" w14:textId="65AC0C91" w:rsidR="00A65869" w:rsidRPr="00A02D2C" w:rsidRDefault="00A65869" w:rsidP="00A02D2C">
      <w:pPr>
        <w:pStyle w:val="Heading2"/>
      </w:pPr>
      <w:bookmarkStart w:id="27" w:name="_Toc210891536"/>
      <w:bookmarkStart w:id="28" w:name="_Toc214953497"/>
      <w:bookmarkStart w:id="29" w:name="_Toc214953562"/>
      <w:r w:rsidRPr="00A02D2C">
        <w:t>HI</w:t>
      </w:r>
      <w:r w:rsidR="002F5016" w:rsidRPr="00A02D2C">
        <w:t>D Act</w:t>
      </w:r>
      <w:r w:rsidRPr="00A02D2C">
        <w:t xml:space="preserve"> changes </w:t>
      </w:r>
      <w:r w:rsidR="00CC6559" w:rsidRPr="00A02D2C">
        <w:t xml:space="preserve">under the Aged Care and Other Legislation Amendments </w:t>
      </w:r>
      <w:r w:rsidR="00906265" w:rsidRPr="00A02D2C">
        <w:t>Act</w:t>
      </w:r>
      <w:r w:rsidR="00CC6559" w:rsidRPr="00A02D2C">
        <w:t xml:space="preserve"> 2025</w:t>
      </w:r>
      <w:bookmarkEnd w:id="27"/>
      <w:bookmarkEnd w:id="28"/>
      <w:bookmarkEnd w:id="29"/>
    </w:p>
    <w:p w14:paraId="40AB497E" w14:textId="53B59051" w:rsidR="00D6362D" w:rsidRPr="00A02D2C" w:rsidRDefault="233E5C7B" w:rsidP="005B768B">
      <w:pPr>
        <w:pStyle w:val="Heading3"/>
      </w:pPr>
      <w:bookmarkStart w:id="30" w:name="_Toc210891537"/>
      <w:bookmarkStart w:id="31" w:name="_Toc214953498"/>
      <w:bookmarkStart w:id="32" w:name="_Toc214953563"/>
      <w:r w:rsidRPr="00A02D2C">
        <w:t xml:space="preserve">What </w:t>
      </w:r>
      <w:r w:rsidR="2DA1C8FE" w:rsidRPr="00A02D2C">
        <w:t xml:space="preserve">are </w:t>
      </w:r>
      <w:r w:rsidR="37299CA3" w:rsidRPr="00A02D2C">
        <w:t>HSP-</w:t>
      </w:r>
      <w:r w:rsidR="00B064F3" w:rsidRPr="00A02D2C">
        <w:t xml:space="preserve">Os, </w:t>
      </w:r>
      <w:r w:rsidR="2DA1C8FE" w:rsidRPr="00A02D2C">
        <w:t>who can be assigned</w:t>
      </w:r>
      <w:r w:rsidR="3C161D6C" w:rsidRPr="00A02D2C">
        <w:t xml:space="preserve"> one</w:t>
      </w:r>
      <w:r w:rsidR="741CC3A5" w:rsidRPr="00A02D2C">
        <w:t xml:space="preserve">, and </w:t>
      </w:r>
      <w:r w:rsidR="38E9FC5D" w:rsidRPr="00A02D2C">
        <w:t>what will</w:t>
      </w:r>
      <w:r w:rsidR="741CC3A5" w:rsidRPr="00A02D2C">
        <w:t xml:space="preserve"> they be </w:t>
      </w:r>
      <w:r w:rsidR="38E9FC5D" w:rsidRPr="00A02D2C">
        <w:t>able to do?</w:t>
      </w:r>
      <w:bookmarkEnd w:id="30"/>
      <w:bookmarkEnd w:id="31"/>
      <w:bookmarkEnd w:id="32"/>
      <w:r w:rsidR="38E9FC5D" w:rsidRPr="00A02D2C">
        <w:t xml:space="preserve"> </w:t>
      </w:r>
    </w:p>
    <w:p w14:paraId="015BB625" w14:textId="49778538" w:rsidR="00795C06" w:rsidRPr="005B768B" w:rsidRDefault="00795C06" w:rsidP="005B768B">
      <w:r w:rsidRPr="005B768B">
        <w:t xml:space="preserve">The </w:t>
      </w:r>
      <w:r w:rsidR="6D175C2D" w:rsidRPr="005B768B">
        <w:t xml:space="preserve">phase 1 </w:t>
      </w:r>
      <w:r w:rsidRPr="005B768B">
        <w:t>changes introduce</w:t>
      </w:r>
      <w:r w:rsidR="0034299A" w:rsidRPr="005B768B">
        <w:t xml:space="preserve"> </w:t>
      </w:r>
      <w:r w:rsidR="36382BC6" w:rsidRPr="005B768B">
        <w:t>a</w:t>
      </w:r>
      <w:r w:rsidR="0034299A" w:rsidRPr="005B768B">
        <w:t xml:space="preserve"> new healthcare identifier for healthcare support service provider organisations (HSP-O). These </w:t>
      </w:r>
      <w:r w:rsidR="000C2D37" w:rsidRPr="005B768B">
        <w:t>organisations</w:t>
      </w:r>
      <w:r w:rsidR="0034299A" w:rsidRPr="005B768B">
        <w:t xml:space="preserve"> </w:t>
      </w:r>
      <w:r w:rsidRPr="005B768B">
        <w:t>provide services and support for older Australians and people with disability, such as in-home care and personal care services.</w:t>
      </w:r>
      <w:r w:rsidR="000C2D37" w:rsidRPr="005B768B">
        <w:t xml:space="preserve"> </w:t>
      </w:r>
      <w:r w:rsidR="22698D55" w:rsidRPr="005B768B">
        <w:t>T</w:t>
      </w:r>
      <w:r w:rsidRPr="005B768B">
        <w:t>hese types of services are not currently eligible for an HPI-O because they typically do not employ providers with an HPI-I.</w:t>
      </w:r>
    </w:p>
    <w:p w14:paraId="5D195E40" w14:textId="7548A634" w:rsidR="000C2D37" w:rsidRPr="005B768B" w:rsidRDefault="009A481C" w:rsidP="005B768B">
      <w:r w:rsidRPr="005B768B">
        <w:t xml:space="preserve">Healthcare </w:t>
      </w:r>
      <w:r w:rsidR="003F5049" w:rsidRPr="005B768B">
        <w:t xml:space="preserve">support service provider organisations (HSP-Os) will not </w:t>
      </w:r>
      <w:r w:rsidR="00906DA5" w:rsidRPr="005B768B">
        <w:t xml:space="preserve">access health information, but </w:t>
      </w:r>
      <w:r w:rsidR="00284F03" w:rsidRPr="005B768B">
        <w:t xml:space="preserve">they </w:t>
      </w:r>
      <w:r w:rsidR="00D63602" w:rsidRPr="005B768B">
        <w:t xml:space="preserve">will be able to </w:t>
      </w:r>
      <w:r w:rsidR="001C4D1C" w:rsidRPr="005B768B">
        <w:t>add healthcare identifiers, like an Individual Healthcare Identifier (IHI), to the information they already hold</w:t>
      </w:r>
      <w:r w:rsidR="6479E227" w:rsidRPr="005B768B">
        <w:t xml:space="preserve"> about the care planned and provided to their clients</w:t>
      </w:r>
      <w:r w:rsidR="001C4D1C" w:rsidRPr="005B768B">
        <w:t xml:space="preserve">. This </w:t>
      </w:r>
      <w:r w:rsidR="4DFD3ADE" w:rsidRPr="005B768B">
        <w:t xml:space="preserve">will </w:t>
      </w:r>
      <w:r w:rsidR="001C4D1C" w:rsidRPr="005B768B">
        <w:t>help link existing records, improving data matching and administrative efficiency.</w:t>
      </w:r>
    </w:p>
    <w:p w14:paraId="5C100CF6" w14:textId="27B36363" w:rsidR="00B064F3" w:rsidRPr="005B768B" w:rsidRDefault="00D63602" w:rsidP="005B768B">
      <w:r w:rsidRPr="005B768B">
        <w:t xml:space="preserve">Initially, only government-funded aged care and </w:t>
      </w:r>
      <w:r w:rsidR="4F799F75" w:rsidRPr="005B768B">
        <w:t xml:space="preserve">registered </w:t>
      </w:r>
      <w:r w:rsidRPr="005B768B">
        <w:t>disability service providers eligible for the National Disability Insurance Scheme (NDIS) can obtain an HSP-O identifier.</w:t>
      </w:r>
    </w:p>
    <w:p w14:paraId="06B5AAF8" w14:textId="23CE9C9C" w:rsidR="000C2D37" w:rsidRPr="00A02D2C" w:rsidRDefault="79BC69A1" w:rsidP="005B768B">
      <w:pPr>
        <w:pStyle w:val="Heading3"/>
      </w:pPr>
      <w:bookmarkStart w:id="33" w:name="_Toc210891538"/>
      <w:bookmarkStart w:id="34" w:name="_Toc214953499"/>
      <w:bookmarkStart w:id="35" w:name="_Toc214953564"/>
      <w:r w:rsidRPr="00A02D2C">
        <w:t>What are</w:t>
      </w:r>
      <w:r w:rsidR="74FCC6B6" w:rsidRPr="00A02D2C">
        <w:t xml:space="preserve"> HAEs</w:t>
      </w:r>
      <w:r w:rsidR="3444F9E9" w:rsidRPr="00A02D2C">
        <w:t xml:space="preserve"> and what they will be able to do?</w:t>
      </w:r>
      <w:bookmarkEnd w:id="33"/>
      <w:bookmarkEnd w:id="34"/>
      <w:bookmarkEnd w:id="35"/>
      <w:r w:rsidR="3444F9E9" w:rsidRPr="00A02D2C">
        <w:t xml:space="preserve"> </w:t>
      </w:r>
    </w:p>
    <w:p w14:paraId="57579660" w14:textId="5B254085" w:rsidR="009F2230" w:rsidRPr="005B768B" w:rsidRDefault="00D643BE" w:rsidP="005B768B">
      <w:r w:rsidRPr="005B768B">
        <w:t xml:space="preserve">A new category </w:t>
      </w:r>
      <w:r w:rsidR="1E3C647B" w:rsidRPr="005B768B">
        <w:t xml:space="preserve">of entity </w:t>
      </w:r>
      <w:r w:rsidR="239D6B24" w:rsidRPr="005B768B">
        <w:t xml:space="preserve">will be </w:t>
      </w:r>
      <w:r w:rsidR="1E3C647B" w:rsidRPr="005B768B">
        <w:t>authorised to use healthcare identifiers</w:t>
      </w:r>
      <w:r w:rsidR="1EB46111" w:rsidRPr="005B768B">
        <w:t xml:space="preserve"> -</w:t>
      </w:r>
      <w:r w:rsidRPr="005B768B">
        <w:t xml:space="preserve"> Health Administration Entities (HAEs)</w:t>
      </w:r>
      <w:r w:rsidR="74CF1F59" w:rsidRPr="005B768B">
        <w:t xml:space="preserve">, </w:t>
      </w:r>
      <w:r w:rsidR="5B59480E" w:rsidRPr="005B768B">
        <w:t xml:space="preserve">who </w:t>
      </w:r>
      <w:r w:rsidRPr="005B768B">
        <w:t xml:space="preserve">provide administrative support for health services and programs without delivering direct clinical care. </w:t>
      </w:r>
      <w:r w:rsidR="00C2448B" w:rsidRPr="005B768B">
        <w:t xml:space="preserve">HAEs play a crucial role in supporting, improving, and facilitating healthcare through their administrative functions. </w:t>
      </w:r>
    </w:p>
    <w:p w14:paraId="4FE8A97E" w14:textId="168DFF3A" w:rsidR="00C2448B" w:rsidRPr="005B768B" w:rsidRDefault="6E91A940" w:rsidP="005B768B">
      <w:r w:rsidRPr="005B768B">
        <w:t xml:space="preserve">HAEs perform important functions including </w:t>
      </w:r>
      <w:r w:rsidR="00C2448B" w:rsidRPr="005B768B">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rsidRPr="005B768B">
        <w:t xml:space="preserve">purposes. They </w:t>
      </w:r>
      <w:r w:rsidR="00C2448B" w:rsidRPr="005B768B">
        <w:t>will not be eligible for a</w:t>
      </w:r>
      <w:r w:rsidR="004C537D" w:rsidRPr="005B768B">
        <w:t xml:space="preserve"> </w:t>
      </w:r>
      <w:r w:rsidR="00840783" w:rsidRPr="005B768B">
        <w:t>HI but</w:t>
      </w:r>
      <w:r w:rsidR="00C2448B" w:rsidRPr="005B768B">
        <w:t xml:space="preserve"> will be authorised to handle them on behalf of providers and patients.</w:t>
      </w:r>
    </w:p>
    <w:p w14:paraId="008CAE6F" w14:textId="0F77515A" w:rsidR="00DD6460" w:rsidRPr="005B768B" w:rsidRDefault="00D643BE" w:rsidP="005B768B">
      <w:r w:rsidRPr="005B768B">
        <w:t>The Minister for Health and Ageing will authori</w:t>
      </w:r>
      <w:r w:rsidR="7FEF5B98" w:rsidRPr="005B768B">
        <w:t>s</w:t>
      </w:r>
      <w:r w:rsidRPr="005B768B">
        <w:t>e entities as HAEs, with possible delegation to senior officials.</w:t>
      </w:r>
      <w:r w:rsidR="00F57F57" w:rsidRPr="005B768B">
        <w:t xml:space="preserve"> </w:t>
      </w:r>
      <w:r w:rsidRPr="005B768B">
        <w:t>Examples of potential HAEs include the National Disability Insurance Agency, the Australian Institute for Health and Welfare, and Primary Health Networks.</w:t>
      </w:r>
    </w:p>
    <w:p w14:paraId="06591473" w14:textId="485AC9F7" w:rsidR="00A65869" w:rsidRPr="00A02D2C" w:rsidRDefault="62559B7F" w:rsidP="005B768B">
      <w:pPr>
        <w:pStyle w:val="Heading3"/>
      </w:pPr>
      <w:bookmarkStart w:id="36" w:name="_Toc210891539"/>
      <w:bookmarkStart w:id="37" w:name="_Toc214953500"/>
      <w:bookmarkStart w:id="38" w:name="_Toc214953565"/>
      <w:r w:rsidRPr="00A02D2C">
        <w:t>Wh</w:t>
      </w:r>
      <w:r w:rsidR="0B09C383" w:rsidRPr="00A02D2C">
        <w:t>ich</w:t>
      </w:r>
      <w:r w:rsidRPr="00A02D2C">
        <w:t xml:space="preserve"> </w:t>
      </w:r>
      <w:r w:rsidR="4745E4FD" w:rsidRPr="00A02D2C">
        <w:t>allied health professionals will be eligible for HPI-Is?</w:t>
      </w:r>
      <w:bookmarkEnd w:id="36"/>
      <w:bookmarkEnd w:id="37"/>
      <w:bookmarkEnd w:id="38"/>
      <w:r w:rsidR="4745E4FD" w:rsidRPr="00A02D2C">
        <w:t xml:space="preserve"> </w:t>
      </w:r>
    </w:p>
    <w:p w14:paraId="7887F8F6" w14:textId="766F3577" w:rsidR="0040663E" w:rsidRPr="005B768B" w:rsidRDefault="00FB57D8" w:rsidP="005B768B">
      <w:r w:rsidRPr="005B768B">
        <w:t xml:space="preserve">A broader range of allied health professionals will now be eligible for </w:t>
      </w:r>
      <w:r w:rsidR="00F01602">
        <w:t xml:space="preserve">an Individual </w:t>
      </w:r>
      <w:r w:rsidRPr="005B768B">
        <w:t>Health</w:t>
      </w:r>
      <w:r w:rsidR="00F01602">
        <w:t>care</w:t>
      </w:r>
      <w:r w:rsidRPr="005B768B">
        <w:t xml:space="preserve"> </w:t>
      </w:r>
      <w:r w:rsidR="00F01602">
        <w:t xml:space="preserve">Provider </w:t>
      </w:r>
      <w:r w:rsidRPr="005B768B">
        <w:t>Identifier (HPI-I). This includes practitioners with the minimum tertiary qualification recogni</w:t>
      </w:r>
      <w:r w:rsidR="005A559C" w:rsidRPr="005B768B">
        <w:t>s</w:t>
      </w:r>
      <w:r w:rsidRPr="005B768B">
        <w:t xml:space="preserve">ed by their professional bodies, which must also oversee their practice. This change aims to better reflect the needs of allied health professionals, allowing roles such as speech pathologists, dietitians, and sonographers to qualify for HPI-Is. </w:t>
      </w:r>
    </w:p>
    <w:p w14:paraId="0E1AB67F" w14:textId="74E3814B" w:rsidR="00840783" w:rsidRPr="005B768B" w:rsidRDefault="00FB57D8" w:rsidP="005B768B">
      <w:r w:rsidRPr="005B768B">
        <w:t>Additionally, there will be a streamlined process for non-</w:t>
      </w:r>
      <w:r w:rsidR="00590F09" w:rsidRPr="005B768B">
        <w:t xml:space="preserve">Australian Health Practitioner Regulation Agency (Aphra) </w:t>
      </w:r>
      <w:r w:rsidRPr="005B768B">
        <w:t xml:space="preserve">registered allied health professionals. While those registered with </w:t>
      </w:r>
      <w:proofErr w:type="spellStart"/>
      <w:r w:rsidRPr="005B768B">
        <w:t>A</w:t>
      </w:r>
      <w:r w:rsidR="00315CF4" w:rsidRPr="005B768B">
        <w:t>hpra</w:t>
      </w:r>
      <w:proofErr w:type="spellEnd"/>
      <w:r w:rsidRPr="005B768B">
        <w:t xml:space="preserve"> automatically receive an HPI-I, others must apply individually. The new legislation will enable professional bodies to apply for HPI-Is on behalf of their </w:t>
      </w:r>
      <w:r w:rsidR="00332D57">
        <w:t>credentialled professionals</w:t>
      </w:r>
      <w:r w:rsidR="00332D57" w:rsidRPr="005B768B">
        <w:t xml:space="preserve"> </w:t>
      </w:r>
      <w:r w:rsidRPr="005B768B">
        <w:t>with their consent, simplifying the process.</w:t>
      </w:r>
    </w:p>
    <w:p w14:paraId="47BA41E7" w14:textId="0AFD8066" w:rsidR="00B064F3" w:rsidRPr="00A02D2C" w:rsidRDefault="1620617C" w:rsidP="00A02D2C">
      <w:pPr>
        <w:pStyle w:val="Heading2"/>
      </w:pPr>
      <w:bookmarkStart w:id="39" w:name="_Toc210891540"/>
      <w:bookmarkStart w:id="40" w:name="_Toc214953501"/>
      <w:bookmarkStart w:id="41" w:name="_Toc214953566"/>
      <w:r w:rsidRPr="00A02D2C">
        <w:t xml:space="preserve">Proposed </w:t>
      </w:r>
      <w:r w:rsidR="1AA20C17" w:rsidRPr="00A02D2C">
        <w:t>changes</w:t>
      </w:r>
      <w:r w:rsidRPr="00A02D2C">
        <w:t xml:space="preserve"> to the HID Act in the Regulatory Reform Omnibus Bill 2025 (Omnibus Bill)</w:t>
      </w:r>
      <w:bookmarkEnd w:id="39"/>
      <w:bookmarkEnd w:id="40"/>
      <w:bookmarkEnd w:id="41"/>
    </w:p>
    <w:p w14:paraId="059A4EBC" w14:textId="45C99F3E" w:rsidR="005A0565" w:rsidRPr="005B768B" w:rsidRDefault="005A0565" w:rsidP="005B768B">
      <w:pPr>
        <w:pStyle w:val="Heading3"/>
      </w:pPr>
      <w:bookmarkStart w:id="42" w:name="_Toc214953502"/>
      <w:bookmarkStart w:id="43" w:name="_Toc214953567"/>
      <w:r w:rsidRPr="005B768B">
        <w:t>What will healthcare recipients and technology providers be able to do?</w:t>
      </w:r>
      <w:bookmarkEnd w:id="42"/>
      <w:bookmarkEnd w:id="43"/>
    </w:p>
    <w:p w14:paraId="601F97F5" w14:textId="2907AD2D" w:rsidR="00123AB7" w:rsidRPr="005B768B" w:rsidRDefault="00757802" w:rsidP="005B768B">
      <w:r w:rsidRPr="005B768B">
        <w:t>Proposed changes to the HID Act will enable healthcare recipients to consent to their Individual Healthcare Identifier (IHI) being used and disclosed to healthcare providers, health technology providers and health administration entities to support mobile health or online computer applications, as well as wearable devices for health monitoring and other in-home health monitoring equipment.</w:t>
      </w:r>
      <w:r w:rsidR="00696A90" w:rsidRPr="005B768B">
        <w:t xml:space="preserve"> As a result, authori</w:t>
      </w:r>
      <w:r w:rsidR="003C3B48" w:rsidRPr="005B768B">
        <w:t>s</w:t>
      </w:r>
      <w:r w:rsidR="00696A90" w:rsidRPr="005B768B">
        <w:t xml:space="preserve">ed healthcare providers will be able to monitor and communicate more effectively and efficiently regarding their patients’ progress. </w:t>
      </w:r>
    </w:p>
    <w:p w14:paraId="5BE7D18B" w14:textId="2239E7EF" w:rsidR="00840783" w:rsidRPr="005B768B" w:rsidRDefault="00696A90" w:rsidP="005B768B">
      <w:r w:rsidRPr="005B768B">
        <w:t>Technology providers that meet specific conformance requirements will be authori</w:t>
      </w:r>
      <w:r w:rsidR="00123AB7" w:rsidRPr="005B768B">
        <w:t>s</w:t>
      </w:r>
      <w:r w:rsidRPr="005B768B">
        <w:t xml:space="preserve">ed to </w:t>
      </w:r>
      <w:r w:rsidR="7284D165" w:rsidRPr="005B768B">
        <w:t xml:space="preserve">use </w:t>
      </w:r>
      <w:r w:rsidR="5BF98506" w:rsidRPr="005B768B">
        <w:t xml:space="preserve">consumers’ </w:t>
      </w:r>
      <w:r w:rsidRPr="005B768B">
        <w:t xml:space="preserve">IHIs for managing, communicating, or monitoring health information. </w:t>
      </w:r>
      <w:r w:rsidR="00B331B6" w:rsidRPr="005B768B">
        <w:t>H</w:t>
      </w:r>
      <w:r w:rsidRPr="005B768B">
        <w:t xml:space="preserve">ealthcare recipients will </w:t>
      </w:r>
      <w:r w:rsidR="71460375" w:rsidRPr="005B768B">
        <w:t xml:space="preserve">also </w:t>
      </w:r>
      <w:r w:rsidRPr="005B768B">
        <w:t>have the option to allow their IHI to be used by entities conducting approved or authori</w:t>
      </w:r>
      <w:r w:rsidR="00B94BB0" w:rsidRPr="005B768B">
        <w:t>s</w:t>
      </w:r>
      <w:r w:rsidRPr="005B768B">
        <w:t>ed health or health-related research.</w:t>
      </w:r>
    </w:p>
    <w:p w14:paraId="48057077" w14:textId="04CD72D6" w:rsidR="00D9504D" w:rsidRPr="00A02D2C" w:rsidRDefault="00D9504D" w:rsidP="005B768B">
      <w:pPr>
        <w:pStyle w:val="Heading3"/>
      </w:pPr>
      <w:bookmarkStart w:id="44" w:name="_Toc206940235"/>
      <w:bookmarkStart w:id="45" w:name="_Toc210891541"/>
      <w:bookmarkStart w:id="46" w:name="_Toc214953503"/>
      <w:bookmarkStart w:id="47" w:name="_Toc214953568"/>
      <w:r w:rsidRPr="00A02D2C">
        <w:t>Why are the insurance and employment prohibitions being removed?</w:t>
      </w:r>
      <w:bookmarkEnd w:id="44"/>
      <w:bookmarkEnd w:id="45"/>
      <w:bookmarkEnd w:id="46"/>
      <w:bookmarkEnd w:id="47"/>
    </w:p>
    <w:p w14:paraId="7754FB77" w14:textId="6D2B6E03" w:rsidR="00113932" w:rsidRPr="005B768B" w:rsidRDefault="00257A8D" w:rsidP="005B768B">
      <w:r w:rsidRPr="005B768B">
        <w:t xml:space="preserve">The HID Act enables the collection, use and disclosure of </w:t>
      </w:r>
      <w:r w:rsidR="24328F7F" w:rsidRPr="005B768B">
        <w:t>individual healthcare identifier</w:t>
      </w:r>
      <w:r w:rsidRPr="005B768B">
        <w:t xml:space="preserve">s </w:t>
      </w:r>
      <w:r w:rsidR="0A984073" w:rsidRPr="005B768B">
        <w:t xml:space="preserve">(IHIs) </w:t>
      </w:r>
      <w:r w:rsidRPr="005B768B">
        <w:t xml:space="preserve">for the purpose of communicating or managing health information as part of providing healthcare to a </w:t>
      </w:r>
      <w:r w:rsidR="647D7057" w:rsidRPr="005B768B">
        <w:t>person</w:t>
      </w:r>
      <w:r w:rsidRPr="005B768B">
        <w:t xml:space="preserve">. However, </w:t>
      </w:r>
      <w:r w:rsidR="00F16F13" w:rsidRPr="005B768B">
        <w:t xml:space="preserve">it </w:t>
      </w:r>
      <w:r w:rsidRPr="005B768B">
        <w:t xml:space="preserve">prevents </w:t>
      </w:r>
      <w:r w:rsidR="76CA4FB5" w:rsidRPr="005B768B">
        <w:t xml:space="preserve">the use of </w:t>
      </w:r>
      <w:r w:rsidRPr="005B768B">
        <w:t xml:space="preserve">IHIs when underwriting or determining insurance contracts or when managing or communicating health information when employing </w:t>
      </w:r>
      <w:r w:rsidR="6912C6AB" w:rsidRPr="005B768B">
        <w:t>a person</w:t>
      </w:r>
      <w:r w:rsidRPr="005B768B">
        <w:t>.</w:t>
      </w:r>
    </w:p>
    <w:p w14:paraId="7735E351" w14:textId="7A07E013" w:rsidR="00F675B2" w:rsidRPr="005B768B" w:rsidRDefault="00257A8D" w:rsidP="005B768B">
      <w:r w:rsidRPr="005B768B">
        <w:t xml:space="preserve">This </w:t>
      </w:r>
      <w:r w:rsidR="00F675B2" w:rsidRPr="005B768B">
        <w:t xml:space="preserve">prohibition was originally introduced to address concerns that insurers or employers might use IHIs to access information in a </w:t>
      </w:r>
      <w:r w:rsidR="3C51ED6C" w:rsidRPr="005B768B">
        <w:t>consumer'</w:t>
      </w:r>
      <w:r w:rsidR="00F675B2" w:rsidRPr="005B768B">
        <w:t xml:space="preserve">s </w:t>
      </w:r>
      <w:r w:rsidR="2E8FE9A7" w:rsidRPr="005B768B">
        <w:t xml:space="preserve">national </w:t>
      </w:r>
      <w:r w:rsidR="5CD83431" w:rsidRPr="005B768B">
        <w:t xml:space="preserve">personal </w:t>
      </w:r>
      <w:r w:rsidR="2E8FE9A7" w:rsidRPr="005B768B">
        <w:t>electronic health record,</w:t>
      </w:r>
      <w:r w:rsidR="00F675B2" w:rsidRPr="005B768B">
        <w:t xml:space="preserve"> to influence decisions about insurance or employment eligibility. </w:t>
      </w:r>
    </w:p>
    <w:p w14:paraId="5844F7F9" w14:textId="71774E3E" w:rsidR="00581191" w:rsidRPr="005B768B" w:rsidRDefault="00581191" w:rsidP="005B768B">
      <w:r w:rsidRPr="005B768B">
        <w:t xml:space="preserve">The intent was never to prevent IHIs from being linked to health information that </w:t>
      </w:r>
      <w:r w:rsidR="3395D8CF" w:rsidRPr="005B768B">
        <w:t>might result from insurance or employment processes, including care provided via an insurer or employer.</w:t>
      </w:r>
      <w:r w:rsidRPr="005B768B">
        <w:t xml:space="preserve"> </w:t>
      </w:r>
    </w:p>
    <w:p w14:paraId="343A8BED" w14:textId="7FA30482" w:rsidR="09288507" w:rsidRPr="005B768B" w:rsidRDefault="3A53CD10" w:rsidP="005B768B">
      <w:r w:rsidRPr="005B768B">
        <w:t xml:space="preserve">Strict prohibitions prevent the use of information accessed via the My Health Record system being used for decisions related to insurance or employment of a person. As the </w:t>
      </w:r>
      <w:r w:rsidR="099D7E41" w:rsidRPr="005B768B">
        <w:t>MHR</w:t>
      </w:r>
      <w:r w:rsidRPr="005B768B">
        <w:t xml:space="preserve"> Act protects information from being used by insurers and employers, the prohibitions in the HID Act are no longer required.</w:t>
      </w:r>
    </w:p>
    <w:p w14:paraId="705205C2" w14:textId="13464AF7" w:rsidR="00170D0C" w:rsidRPr="00A02D2C" w:rsidRDefault="1745B5A8" w:rsidP="005B768B">
      <w:pPr>
        <w:pStyle w:val="Heading3"/>
      </w:pPr>
      <w:bookmarkStart w:id="48" w:name="_Toc210891542"/>
      <w:bookmarkStart w:id="49" w:name="_Toc214953504"/>
      <w:bookmarkStart w:id="50" w:name="_Toc214953569"/>
      <w:r w:rsidRPr="00A02D2C">
        <w:t xml:space="preserve">What does the </w:t>
      </w:r>
      <w:r w:rsidR="00214CD1" w:rsidRPr="00A02D2C">
        <w:t>removal of</w:t>
      </w:r>
      <w:r w:rsidRPr="00A02D2C">
        <w:t xml:space="preserve"> </w:t>
      </w:r>
      <w:r w:rsidR="5BF2A4BA" w:rsidRPr="00A02D2C">
        <w:t xml:space="preserve">insurance and employment </w:t>
      </w:r>
      <w:r w:rsidRPr="00A02D2C">
        <w:t xml:space="preserve">prohibitions mean for </w:t>
      </w:r>
      <w:r w:rsidR="71169C11" w:rsidRPr="00A02D2C">
        <w:t xml:space="preserve">healthcare </w:t>
      </w:r>
      <w:r w:rsidR="1BA2DCCD" w:rsidRPr="00A02D2C">
        <w:t>recipients?</w:t>
      </w:r>
      <w:bookmarkEnd w:id="48"/>
      <w:bookmarkEnd w:id="49"/>
      <w:bookmarkEnd w:id="50"/>
      <w:r w:rsidR="1BA2DCCD" w:rsidRPr="00A02D2C">
        <w:t xml:space="preserve"> </w:t>
      </w:r>
    </w:p>
    <w:p w14:paraId="2F723235" w14:textId="58B4A118" w:rsidR="00B71594" w:rsidRPr="008E02FD" w:rsidRDefault="71F98984" w:rsidP="005B768B">
      <w:r w:rsidRPr="008E02FD">
        <w:t xml:space="preserve">Removing the prohibition will not enable employers or insurers to access any additional health information they are not already legally authorised to access. The changes mean that </w:t>
      </w:r>
      <w:r w:rsidR="158F0B21" w:rsidRPr="008E02FD">
        <w:t>consumers’</w:t>
      </w:r>
      <w:r w:rsidRPr="008E02FD">
        <w:t xml:space="preserve"> healthcare identifiers can attach to their health information even if it is being used for insurance or employment purposes.</w:t>
      </w:r>
    </w:p>
    <w:p w14:paraId="4AFCE06A" w14:textId="5D0D58E6" w:rsidR="00B71594" w:rsidRPr="008E02FD" w:rsidRDefault="00B71594" w:rsidP="005B768B">
      <w:r w:rsidRPr="008E02FD">
        <w:t xml:space="preserve">Amendments to the </w:t>
      </w:r>
      <w:r w:rsidR="00590F09" w:rsidRPr="008E02FD">
        <w:t xml:space="preserve">MHR </w:t>
      </w:r>
      <w:r w:rsidRPr="008E02FD">
        <w:t xml:space="preserve">Act will </w:t>
      </w:r>
      <w:r w:rsidR="44E19B86" w:rsidRPr="008E02FD">
        <w:t xml:space="preserve">strengthen the </w:t>
      </w:r>
      <w:r w:rsidR="29F24BE5" w:rsidRPr="008E02FD">
        <w:t xml:space="preserve">existing </w:t>
      </w:r>
      <w:r w:rsidR="44E19B86" w:rsidRPr="008E02FD">
        <w:t xml:space="preserve">prohibitions which prevent </w:t>
      </w:r>
      <w:r w:rsidRPr="008E02FD">
        <w:t xml:space="preserve">insurers and employers </w:t>
      </w:r>
      <w:r w:rsidR="0B2CA9CA" w:rsidRPr="008E02FD">
        <w:t>from using</w:t>
      </w:r>
      <w:r w:rsidRPr="008E02FD">
        <w:t xml:space="preserve"> health information obtained via </w:t>
      </w:r>
      <w:r w:rsidR="28D8F0B9" w:rsidRPr="008E02FD">
        <w:t>a consumer’s My Health Record</w:t>
      </w:r>
      <w:r w:rsidRPr="008E02FD">
        <w:t xml:space="preserve">. In addition, the </w:t>
      </w:r>
      <w:r w:rsidRPr="008E02FD">
        <w:rPr>
          <w:rStyle w:val="QuoteChar"/>
        </w:rPr>
        <w:t>Privacy Act 1988</w:t>
      </w:r>
      <w:r w:rsidRPr="008E02FD">
        <w:t xml:space="preserve"> continues to apply to protect access to health information.</w:t>
      </w:r>
    </w:p>
    <w:p w14:paraId="28772A35" w14:textId="347F46EE" w:rsidR="001E6DA1" w:rsidRPr="00A02D2C" w:rsidRDefault="71F98984" w:rsidP="005B768B">
      <w:pPr>
        <w:pStyle w:val="Heading3"/>
      </w:pPr>
      <w:bookmarkStart w:id="51" w:name="_Toc210891543"/>
      <w:bookmarkStart w:id="52" w:name="_Toc214953505"/>
      <w:bookmarkStart w:id="53" w:name="_Toc214953570"/>
      <w:r w:rsidRPr="00A02D2C">
        <w:t xml:space="preserve">What is the </w:t>
      </w:r>
      <w:r w:rsidR="04DC7EDF" w:rsidRPr="00A02D2C">
        <w:t>Health</w:t>
      </w:r>
      <w:r w:rsidR="00F772BA">
        <w:t>care</w:t>
      </w:r>
      <w:r w:rsidR="04DC7EDF" w:rsidRPr="00A02D2C">
        <w:t xml:space="preserve"> Provider Directory (HPD), and who will be able to see it?</w:t>
      </w:r>
      <w:bookmarkEnd w:id="51"/>
      <w:bookmarkEnd w:id="52"/>
      <w:bookmarkEnd w:id="53"/>
      <w:r w:rsidR="04DC7EDF" w:rsidRPr="00A02D2C">
        <w:t xml:space="preserve"> </w:t>
      </w:r>
    </w:p>
    <w:p w14:paraId="5F39EDE8" w14:textId="675CAC3D" w:rsidR="0018539C" w:rsidRPr="008E02FD" w:rsidRDefault="62783375" w:rsidP="005B768B">
      <w:r w:rsidRPr="008E02FD">
        <w:t xml:space="preserve">The HPD is a </w:t>
      </w:r>
      <w:r w:rsidR="1F2327C3" w:rsidRPr="008E02FD">
        <w:t xml:space="preserve">core element of the existing Healthcare Identifiers framework, providing for a </w:t>
      </w:r>
      <w:r w:rsidRPr="008E02FD">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008E02FD">
        <w:t>My Health Record</w:t>
      </w:r>
      <w:r w:rsidRPr="008E02FD">
        <w:t>, electronic requesting, referrals and prescribing.</w:t>
      </w:r>
    </w:p>
    <w:p w14:paraId="4C68D28B" w14:textId="77777777" w:rsidR="0018539C" w:rsidRPr="008E02FD" w:rsidRDefault="0018539C" w:rsidP="005B768B">
      <w:r w:rsidRPr="008E02FD">
        <w:t>Changes to the HID Act will enable the operator of the HPD to collect, use and disclose healthcare provider identifiers, identifying information and other professional and business details for the purposes of the HPD. Health administration entities prescribed by the Minister for Health will also be able to access information in the HPD for health administration purposes.</w:t>
      </w:r>
    </w:p>
    <w:p w14:paraId="6C620299" w14:textId="77777777" w:rsidR="0018539C" w:rsidRPr="008E02FD" w:rsidRDefault="0018539C" w:rsidP="005B768B">
      <w:r w:rsidRPr="008E02FD">
        <w:t>A new regulation-making power will enable regulations to prescribe entities that may access the HPD and the purposes for which they may access it. Regulations may also prescribe the information the HPD must contain.</w:t>
      </w:r>
    </w:p>
    <w:p w14:paraId="070A9B33" w14:textId="7E6926BF" w:rsidR="0018539C" w:rsidRPr="005B768B" w:rsidRDefault="0018539C" w:rsidP="005B768B">
      <w:r w:rsidRPr="005B768B">
        <w:t>Healthcare recipients do not have access to the HPD.</w:t>
      </w:r>
    </w:p>
    <w:p w14:paraId="7BF718AC" w14:textId="19DD15A1" w:rsidR="00DC250C" w:rsidRPr="00A02D2C" w:rsidRDefault="00DC250C" w:rsidP="005B768B">
      <w:pPr>
        <w:pStyle w:val="Heading3"/>
      </w:pPr>
      <w:bookmarkStart w:id="54" w:name="_Toc206940239"/>
      <w:bookmarkStart w:id="55" w:name="_Toc210891544"/>
      <w:bookmarkStart w:id="56" w:name="_Toc214953506"/>
      <w:bookmarkStart w:id="57" w:name="_Toc214953571"/>
      <w:r w:rsidRPr="00A02D2C">
        <w:t xml:space="preserve">Can </w:t>
      </w:r>
      <w:r w:rsidR="229E1CBC" w:rsidRPr="00A02D2C">
        <w:t>healthcare providers</w:t>
      </w:r>
      <w:r w:rsidRPr="00A02D2C">
        <w:t xml:space="preserve"> ask for </w:t>
      </w:r>
      <w:r w:rsidR="44DF5457" w:rsidRPr="00A02D2C">
        <w:t>their</w:t>
      </w:r>
      <w:r w:rsidRPr="00A02D2C">
        <w:t xml:space="preserve"> information not to appear in the</w:t>
      </w:r>
      <w:r w:rsidR="0028698B" w:rsidRPr="00A02D2C">
        <w:t xml:space="preserve"> Health</w:t>
      </w:r>
      <w:r w:rsidR="00B63714" w:rsidRPr="00A02D2C">
        <w:t xml:space="preserve"> Provider Directory (HPD)</w:t>
      </w:r>
      <w:r w:rsidRPr="00A02D2C">
        <w:t>?</w:t>
      </w:r>
      <w:bookmarkEnd w:id="54"/>
      <w:bookmarkEnd w:id="55"/>
      <w:bookmarkEnd w:id="56"/>
      <w:bookmarkEnd w:id="57"/>
    </w:p>
    <w:p w14:paraId="177722D4" w14:textId="78AC4C8E" w:rsidR="0021114D" w:rsidRPr="005B768B" w:rsidRDefault="003B31C3" w:rsidP="005B768B">
      <w:r w:rsidRPr="005B768B">
        <w:t xml:space="preserve">Yes. Identified healthcare providers may request that some or </w:t>
      </w:r>
      <w:proofErr w:type="gramStart"/>
      <w:r w:rsidRPr="005B768B">
        <w:t>all of</w:t>
      </w:r>
      <w:proofErr w:type="gramEnd"/>
      <w:r w:rsidRPr="005B768B">
        <w:t xml:space="preserve"> their information not appear in the HPD. The process for managing such requests may be prescribed in the regulations made under the HID Act</w:t>
      </w:r>
      <w:r w:rsidR="00272B1C" w:rsidRPr="005B768B">
        <w:t xml:space="preserve">. </w:t>
      </w:r>
    </w:p>
    <w:p w14:paraId="376911A2" w14:textId="3C249F6F" w:rsidR="00B064F3" w:rsidRPr="005B768B" w:rsidRDefault="00272B1C" w:rsidP="005B768B">
      <w:r w:rsidRPr="005B768B">
        <w:t xml:space="preserve">If a </w:t>
      </w:r>
      <w:r w:rsidR="003B31C3" w:rsidRPr="005B768B">
        <w:t xml:space="preserve">healthcare provider requests that their </w:t>
      </w:r>
      <w:r w:rsidR="3057B308" w:rsidRPr="005B768B">
        <w:t xml:space="preserve">personal </w:t>
      </w:r>
      <w:r w:rsidR="003B31C3" w:rsidRPr="005B768B">
        <w:t>information not be disclosed to other providers in the HPD, the operator of the HPD must comply with that request</w:t>
      </w:r>
      <w:r w:rsidR="0E0FC4D5" w:rsidRPr="005B768B">
        <w:t>.</w:t>
      </w:r>
    </w:p>
    <w:p w14:paraId="0245F598" w14:textId="204B0EBE" w:rsidR="00850331" w:rsidRPr="00A02D2C" w:rsidRDefault="00850331" w:rsidP="005B768B">
      <w:pPr>
        <w:pStyle w:val="Heading3"/>
      </w:pPr>
      <w:bookmarkStart w:id="58" w:name="_Toc210891545"/>
      <w:bookmarkStart w:id="59" w:name="_Toc214953507"/>
      <w:bookmarkStart w:id="60" w:name="_Toc214953572"/>
      <w:r w:rsidRPr="00A02D2C">
        <w:t>Why is a data standards-making power needed and how will it work?</w:t>
      </w:r>
      <w:bookmarkEnd w:id="58"/>
      <w:bookmarkEnd w:id="59"/>
      <w:bookmarkEnd w:id="60"/>
    </w:p>
    <w:p w14:paraId="1DDC7522" w14:textId="029126F3" w:rsidR="21FBE2C8" w:rsidRPr="005B768B" w:rsidRDefault="21FBE2C8" w:rsidP="005B768B">
      <w:r w:rsidRPr="005B768B">
        <w:t>Australia’s healthcare system is siloed and fragmented, with no standardised approach to the storage or communication of health information.</w:t>
      </w:r>
    </w:p>
    <w:p w14:paraId="3B8285CD" w14:textId="4C2AF24C" w:rsidR="521A3870" w:rsidRPr="005B768B" w:rsidRDefault="521A3870" w:rsidP="005B768B">
      <w:r w:rsidRPr="005B768B">
        <w:t>Healthcare identifiers support the unique and consistent identification of consumers, individual healthcare providers and healthcare organisations.</w:t>
      </w:r>
    </w:p>
    <w:p w14:paraId="74233E6D" w14:textId="4FF77AC3" w:rsidR="521A3870" w:rsidRPr="005B768B" w:rsidRDefault="521A3870" w:rsidP="005B768B">
      <w:r w:rsidRPr="005B768B">
        <w:t>Standards ensure that information can safely and accurately be read and interpreted when shared electronically.</w:t>
      </w:r>
    </w:p>
    <w:p w14:paraId="35E5E4A2" w14:textId="74362F04" w:rsidR="00213355" w:rsidRPr="008E02FD" w:rsidRDefault="00213355" w:rsidP="005B768B">
      <w:r w:rsidRPr="008E02FD">
        <w:t>Work is currently underway to develop agreed national standards that will facilitate the movement of health information securely and accurately across care settings. Changes to the HID Act would support this work by including a power for the Secretary of the Department of Health, Disability and Ageing, or delegate, to make data standards concerning clinical terminology, the format, description, storage and disclosure of clinical information, system interoperability and other matter</w:t>
      </w:r>
      <w:r w:rsidR="129B961A" w:rsidRPr="008E02FD">
        <w:t>s</w:t>
      </w:r>
      <w:r w:rsidRPr="008E02FD">
        <w:t xml:space="preserve"> prescribed in regulations.</w:t>
      </w:r>
    </w:p>
    <w:p w14:paraId="4F80F19E" w14:textId="122D33D6" w:rsidR="00213355" w:rsidRPr="005B768B" w:rsidRDefault="00213355" w:rsidP="005B768B">
      <w:r w:rsidRPr="005B768B">
        <w:t>The standards-making power is enabling only and not mandatory. However, future digital health policies and laws may require conformance to standards. Providing a legislative basis for making standards will provide certainty and clarity for industry</w:t>
      </w:r>
      <w:r w:rsidR="3392B1F7" w:rsidRPr="005B768B">
        <w:t>, who will be able to reply on published standards when desig</w:t>
      </w:r>
      <w:r w:rsidR="7D034A37" w:rsidRPr="005B768B">
        <w:t>n</w:t>
      </w:r>
      <w:r w:rsidR="3392B1F7" w:rsidRPr="005B768B">
        <w:t>ing and delivering health technology solutions going forward</w:t>
      </w:r>
      <w:r w:rsidRPr="005B768B">
        <w:t>. It would also offer industry sufficient lead time to build standards conformance into their business cases and IT roadmaps</w:t>
      </w:r>
      <w:r w:rsidR="1B64DB65" w:rsidRPr="005B768B">
        <w:t>, prior to the implementation of other laws or policies requiring those standards be adhered to</w:t>
      </w:r>
      <w:r w:rsidRPr="005B768B">
        <w:t>.</w:t>
      </w:r>
    </w:p>
    <w:p w14:paraId="76868DDA" w14:textId="2EF709AD" w:rsidR="00002B64" w:rsidRPr="005B768B" w:rsidRDefault="00213355" w:rsidP="005B768B">
      <w:r w:rsidRPr="005B768B">
        <w:t>The HID Act will also include a power to make rules prescribing the process for making the standards, including consultation requirements, and governance and oversight. The intention is to codify current processes and oversight mechanisms developed in consultation with industry.</w:t>
      </w:r>
      <w:bookmarkEnd w:id="20"/>
    </w:p>
    <w:sectPr w:rsidR="00002B64" w:rsidRPr="005B768B" w:rsidSect="000026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D327" w14:textId="77777777" w:rsidR="008B3FFA" w:rsidRDefault="008B3FFA" w:rsidP="005B768B">
      <w:r>
        <w:separator/>
      </w:r>
    </w:p>
    <w:p w14:paraId="72326B23" w14:textId="77777777" w:rsidR="008B3FFA" w:rsidRDefault="008B3FFA" w:rsidP="005B768B"/>
  </w:endnote>
  <w:endnote w:type="continuationSeparator" w:id="0">
    <w:p w14:paraId="5C23E2EE" w14:textId="77777777" w:rsidR="008B3FFA" w:rsidRDefault="008B3FFA" w:rsidP="005B768B">
      <w:r>
        <w:continuationSeparator/>
      </w:r>
    </w:p>
    <w:p w14:paraId="67C5A378" w14:textId="77777777" w:rsidR="008B3FFA" w:rsidRDefault="008B3FFA" w:rsidP="005B768B"/>
  </w:endnote>
  <w:endnote w:type="continuationNotice" w:id="1">
    <w:p w14:paraId="0B4A3ACA" w14:textId="77777777" w:rsidR="008B3FFA" w:rsidRDefault="008B3FFA" w:rsidP="005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D52" w14:textId="6FC9FC0C" w:rsidR="00A02D2C" w:rsidRDefault="00F01602">
    <w:pPr>
      <w:pStyle w:val="Footer"/>
    </w:pPr>
    <w:r>
      <w:rPr>
        <w:noProof/>
      </w:rPr>
      <mc:AlternateContent>
        <mc:Choice Requires="wps">
          <w:drawing>
            <wp:anchor distT="0" distB="0" distL="0" distR="0" simplePos="0" relativeHeight="251662336" behindDoc="0" locked="0" layoutInCell="1" allowOverlap="1" wp14:anchorId="32D74BAD" wp14:editId="6129B735">
              <wp:simplePos x="635" y="635"/>
              <wp:positionH relativeFrom="page">
                <wp:align>center</wp:align>
              </wp:positionH>
              <wp:positionV relativeFrom="page">
                <wp:align>bottom</wp:align>
              </wp:positionV>
              <wp:extent cx="551815" cy="480695"/>
              <wp:effectExtent l="0" t="0" r="635" b="0"/>
              <wp:wrapNone/>
              <wp:docPr id="11298383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74BA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B922" w14:textId="4BAA7102"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96A" w14:textId="18A32B9F"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1EF6" w14:textId="77777777" w:rsidR="008B3FFA" w:rsidRDefault="008B3FFA" w:rsidP="005B768B">
      <w:r>
        <w:separator/>
      </w:r>
    </w:p>
    <w:p w14:paraId="30CF854E" w14:textId="77777777" w:rsidR="008B3FFA" w:rsidRDefault="008B3FFA" w:rsidP="005B768B"/>
  </w:footnote>
  <w:footnote w:type="continuationSeparator" w:id="0">
    <w:p w14:paraId="59B4295D" w14:textId="77777777" w:rsidR="008B3FFA" w:rsidRDefault="008B3FFA" w:rsidP="005B768B">
      <w:r>
        <w:continuationSeparator/>
      </w:r>
    </w:p>
    <w:p w14:paraId="6FA3C4F3" w14:textId="77777777" w:rsidR="008B3FFA" w:rsidRDefault="008B3FFA" w:rsidP="005B768B"/>
  </w:footnote>
  <w:footnote w:type="continuationNotice" w:id="1">
    <w:p w14:paraId="1C9C0BEB" w14:textId="77777777" w:rsidR="008B3FFA" w:rsidRDefault="008B3FFA" w:rsidP="005B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1E7" w14:textId="3C44DBA8" w:rsidR="00A02D2C" w:rsidRDefault="00F01602">
    <w:pPr>
      <w:pStyle w:val="Header"/>
    </w:pPr>
    <w:r>
      <w:rPr>
        <w:noProof/>
      </w:rPr>
      <mc:AlternateContent>
        <mc:Choice Requires="wps">
          <w:drawing>
            <wp:anchor distT="0" distB="0" distL="0" distR="0" simplePos="0" relativeHeight="251659264" behindDoc="0" locked="0" layoutInCell="1" allowOverlap="1" wp14:anchorId="38AB8563" wp14:editId="2F8DF2F4">
              <wp:simplePos x="635" y="635"/>
              <wp:positionH relativeFrom="page">
                <wp:align>center</wp:align>
              </wp:positionH>
              <wp:positionV relativeFrom="page">
                <wp:align>top</wp:align>
              </wp:positionV>
              <wp:extent cx="551815" cy="480695"/>
              <wp:effectExtent l="0" t="0" r="635" b="14605"/>
              <wp:wrapNone/>
              <wp:docPr id="1348455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B856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46CD43A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146700E8" w:rsidR="00B53987" w:rsidRDefault="00313F8B">
    <w:pPr>
      <w:pStyle w:val="Header"/>
    </w:pPr>
    <w:r>
      <w:rPr>
        <w:noProof/>
        <w:lang w:eastAsia="en-AU"/>
      </w:rPr>
      <w:drawing>
        <wp:inline distT="0" distB="0" distL="0" distR="0" wp14:anchorId="665A4F96" wp14:editId="4E9A8312">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EB6E92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5"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65BAE"/>
    <w:multiLevelType w:val="hybridMultilevel"/>
    <w:tmpl w:val="73422310"/>
    <w:lvl w:ilvl="0" w:tplc="7892F2F8">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76075"/>
    <w:multiLevelType w:val="hybridMultilevel"/>
    <w:tmpl w:val="6EAC222E"/>
    <w:lvl w:ilvl="0" w:tplc="86F6ECE4">
      <w:start w:val="1"/>
      <w:numFmt w:val="bullet"/>
      <w:pStyle w:val="ListBullet"/>
      <w:lvlText w:val="o"/>
      <w:lvlJc w:val="left"/>
      <w:pPr>
        <w:ind w:left="720" w:hanging="360"/>
      </w:pPr>
      <w:rPr>
        <w:rFonts w:ascii="Courier New" w:hAnsi="Courier New" w:cs="Courier New" w:hint="default"/>
      </w:rPr>
    </w:lvl>
    <w:lvl w:ilvl="1" w:tplc="CA8617D6">
      <w:start w:val="1"/>
      <w:numFmt w:val="bullet"/>
      <w:pStyle w:val="ListBullet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4"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43BB"/>
    <w:multiLevelType w:val="hybridMultilevel"/>
    <w:tmpl w:val="36DE429E"/>
    <w:lvl w:ilvl="0" w:tplc="DF1E277A">
      <w:start w:val="1"/>
      <w:numFmt w:val="decimal"/>
      <w:lvlText w:val="%1."/>
      <w:lvlJc w:val="left"/>
      <w:pPr>
        <w:ind w:left="720" w:hanging="360"/>
      </w:pPr>
      <w:rPr>
        <w:rFonts w:ascii="Calibri" w:hAnsi="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9"/>
  </w:num>
  <w:num w:numId="2" w16cid:durableId="1185171215">
    <w:abstractNumId w:val="7"/>
  </w:num>
  <w:num w:numId="3" w16cid:durableId="1306743019">
    <w:abstractNumId w:val="19"/>
  </w:num>
  <w:num w:numId="4" w16cid:durableId="1809544992">
    <w:abstractNumId w:val="39"/>
  </w:num>
  <w:num w:numId="5" w16cid:durableId="638191149">
    <w:abstractNumId w:val="28"/>
  </w:num>
  <w:num w:numId="6" w16cid:durableId="503975017">
    <w:abstractNumId w:val="34"/>
  </w:num>
  <w:num w:numId="7" w16cid:durableId="215359669">
    <w:abstractNumId w:val="1"/>
  </w:num>
  <w:num w:numId="8" w16cid:durableId="557938786">
    <w:abstractNumId w:val="33"/>
  </w:num>
  <w:num w:numId="9" w16cid:durableId="1285884809">
    <w:abstractNumId w:val="10"/>
  </w:num>
  <w:num w:numId="10" w16cid:durableId="1855150460">
    <w:abstractNumId w:val="3"/>
  </w:num>
  <w:num w:numId="11" w16cid:durableId="1490318912">
    <w:abstractNumId w:val="35"/>
  </w:num>
  <w:num w:numId="12" w16cid:durableId="419258623">
    <w:abstractNumId w:val="2"/>
  </w:num>
  <w:num w:numId="13" w16cid:durableId="1613318361">
    <w:abstractNumId w:val="6"/>
  </w:num>
  <w:num w:numId="14" w16cid:durableId="62223512">
    <w:abstractNumId w:val="16"/>
  </w:num>
  <w:num w:numId="15" w16cid:durableId="564149627">
    <w:abstractNumId w:val="24"/>
  </w:num>
  <w:num w:numId="16" w16cid:durableId="422381610">
    <w:abstractNumId w:val="32"/>
  </w:num>
  <w:num w:numId="17" w16cid:durableId="907302711">
    <w:abstractNumId w:val="14"/>
  </w:num>
  <w:num w:numId="18" w16cid:durableId="492992298">
    <w:abstractNumId w:val="25"/>
  </w:num>
  <w:num w:numId="19" w16cid:durableId="1271400562">
    <w:abstractNumId w:val="18"/>
  </w:num>
  <w:num w:numId="20" w16cid:durableId="1335693399">
    <w:abstractNumId w:val="11"/>
  </w:num>
  <w:num w:numId="21" w16cid:durableId="1140536617">
    <w:abstractNumId w:val="12"/>
  </w:num>
  <w:num w:numId="22" w16cid:durableId="1099255322">
    <w:abstractNumId w:val="36"/>
  </w:num>
  <w:num w:numId="23" w16cid:durableId="1471821982">
    <w:abstractNumId w:val="27"/>
  </w:num>
  <w:num w:numId="24" w16cid:durableId="246498421">
    <w:abstractNumId w:val="37"/>
  </w:num>
  <w:num w:numId="25" w16cid:durableId="234559887">
    <w:abstractNumId w:val="26"/>
  </w:num>
  <w:num w:numId="26" w16cid:durableId="1084763103">
    <w:abstractNumId w:val="20"/>
  </w:num>
  <w:num w:numId="27" w16cid:durableId="1662733507">
    <w:abstractNumId w:val="8"/>
  </w:num>
  <w:num w:numId="28" w16cid:durableId="582301826">
    <w:abstractNumId w:val="21"/>
  </w:num>
  <w:num w:numId="29" w16cid:durableId="2122843368">
    <w:abstractNumId w:val="30"/>
  </w:num>
  <w:num w:numId="30" w16cid:durableId="621805938">
    <w:abstractNumId w:val="17"/>
  </w:num>
  <w:num w:numId="31" w16cid:durableId="157112412">
    <w:abstractNumId w:val="13"/>
  </w:num>
  <w:num w:numId="32" w16cid:durableId="1447501428">
    <w:abstractNumId w:val="5"/>
  </w:num>
  <w:num w:numId="33" w16cid:durableId="1794864067">
    <w:abstractNumId w:val="38"/>
  </w:num>
  <w:num w:numId="34" w16cid:durableId="1054618880">
    <w:abstractNumId w:val="23"/>
  </w:num>
  <w:num w:numId="35" w16cid:durableId="87621812">
    <w:abstractNumId w:val="22"/>
  </w:num>
  <w:num w:numId="36" w16cid:durableId="765730661">
    <w:abstractNumId w:val="4"/>
  </w:num>
  <w:num w:numId="37" w16cid:durableId="1718578115">
    <w:abstractNumId w:val="31"/>
  </w:num>
  <w:num w:numId="38" w16cid:durableId="980228575">
    <w:abstractNumId w:val="0"/>
  </w:num>
  <w:num w:numId="39" w16cid:durableId="2128352522">
    <w:abstractNumId w:val="29"/>
  </w:num>
  <w:num w:numId="40" w16cid:durableId="6635840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2CFE"/>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491"/>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E5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622E"/>
    <w:rsid w:val="001962CA"/>
    <w:rsid w:val="001966A7"/>
    <w:rsid w:val="001972C4"/>
    <w:rsid w:val="001976B5"/>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88F"/>
    <w:rsid w:val="002068DF"/>
    <w:rsid w:val="00207F25"/>
    <w:rsid w:val="00210091"/>
    <w:rsid w:val="00210345"/>
    <w:rsid w:val="0021091B"/>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7A2C"/>
    <w:rsid w:val="0022067C"/>
    <w:rsid w:val="00220E5F"/>
    <w:rsid w:val="00220E81"/>
    <w:rsid w:val="00220F13"/>
    <w:rsid w:val="002212B5"/>
    <w:rsid w:val="00221374"/>
    <w:rsid w:val="00221BD5"/>
    <w:rsid w:val="00221CFA"/>
    <w:rsid w:val="00222286"/>
    <w:rsid w:val="00222657"/>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FAE"/>
    <w:rsid w:val="002355DE"/>
    <w:rsid w:val="00235961"/>
    <w:rsid w:val="00235988"/>
    <w:rsid w:val="00235DB7"/>
    <w:rsid w:val="002371D2"/>
    <w:rsid w:val="00237521"/>
    <w:rsid w:val="00240046"/>
    <w:rsid w:val="0024026C"/>
    <w:rsid w:val="00240F79"/>
    <w:rsid w:val="00241090"/>
    <w:rsid w:val="00241450"/>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1D3"/>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896"/>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2D57"/>
    <w:rsid w:val="003330EB"/>
    <w:rsid w:val="00333114"/>
    <w:rsid w:val="00333645"/>
    <w:rsid w:val="00333C8E"/>
    <w:rsid w:val="00334FEC"/>
    <w:rsid w:val="00335275"/>
    <w:rsid w:val="003352DC"/>
    <w:rsid w:val="003354EC"/>
    <w:rsid w:val="00335850"/>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5013"/>
    <w:rsid w:val="003A5078"/>
    <w:rsid w:val="003A574D"/>
    <w:rsid w:val="003A5AE9"/>
    <w:rsid w:val="003A5D3C"/>
    <w:rsid w:val="003A62DD"/>
    <w:rsid w:val="003A6DBD"/>
    <w:rsid w:val="003A775A"/>
    <w:rsid w:val="003A7996"/>
    <w:rsid w:val="003A7BAA"/>
    <w:rsid w:val="003A7F9A"/>
    <w:rsid w:val="003A7FF6"/>
    <w:rsid w:val="003B0727"/>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1B0"/>
    <w:rsid w:val="00440503"/>
    <w:rsid w:val="00440B01"/>
    <w:rsid w:val="00440D01"/>
    <w:rsid w:val="00440D65"/>
    <w:rsid w:val="00441964"/>
    <w:rsid w:val="00442975"/>
    <w:rsid w:val="00442B40"/>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8D9"/>
    <w:rsid w:val="004A78F9"/>
    <w:rsid w:val="004A7A70"/>
    <w:rsid w:val="004A7FCD"/>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58AF"/>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AB6"/>
    <w:rsid w:val="004E0D13"/>
    <w:rsid w:val="004E19AB"/>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6F7"/>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84"/>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3020"/>
    <w:rsid w:val="00553269"/>
    <w:rsid w:val="005533F9"/>
    <w:rsid w:val="00553629"/>
    <w:rsid w:val="0055443E"/>
    <w:rsid w:val="0055489C"/>
    <w:rsid w:val="00554CF2"/>
    <w:rsid w:val="0055507E"/>
    <w:rsid w:val="005550E7"/>
    <w:rsid w:val="005551B8"/>
    <w:rsid w:val="005551C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68B"/>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3ADC"/>
    <w:rsid w:val="005D3E14"/>
    <w:rsid w:val="005D455E"/>
    <w:rsid w:val="005D462D"/>
    <w:rsid w:val="005D4B42"/>
    <w:rsid w:val="005D552F"/>
    <w:rsid w:val="005D55B8"/>
    <w:rsid w:val="005D5705"/>
    <w:rsid w:val="005D588F"/>
    <w:rsid w:val="005D5B7F"/>
    <w:rsid w:val="005D661F"/>
    <w:rsid w:val="005D698D"/>
    <w:rsid w:val="005D7BE8"/>
    <w:rsid w:val="005E01D8"/>
    <w:rsid w:val="005E025D"/>
    <w:rsid w:val="005E0353"/>
    <w:rsid w:val="005E0388"/>
    <w:rsid w:val="005E05AE"/>
    <w:rsid w:val="005E08A2"/>
    <w:rsid w:val="005E0A3F"/>
    <w:rsid w:val="005E0F95"/>
    <w:rsid w:val="005E1150"/>
    <w:rsid w:val="005E1647"/>
    <w:rsid w:val="005E18B3"/>
    <w:rsid w:val="005E2AB2"/>
    <w:rsid w:val="005E2B69"/>
    <w:rsid w:val="005E3F92"/>
    <w:rsid w:val="005E4607"/>
    <w:rsid w:val="005E4E75"/>
    <w:rsid w:val="005E53B6"/>
    <w:rsid w:val="005E5862"/>
    <w:rsid w:val="005E58DF"/>
    <w:rsid w:val="005E5FAC"/>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5F7B50"/>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4F"/>
    <w:rsid w:val="00622670"/>
    <w:rsid w:val="00623507"/>
    <w:rsid w:val="00623AA6"/>
    <w:rsid w:val="00624660"/>
    <w:rsid w:val="00624B52"/>
    <w:rsid w:val="00626774"/>
    <w:rsid w:val="006269AF"/>
    <w:rsid w:val="00626E95"/>
    <w:rsid w:val="0062735C"/>
    <w:rsid w:val="00627B56"/>
    <w:rsid w:val="00630033"/>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5BAC"/>
    <w:rsid w:val="00686288"/>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E13"/>
    <w:rsid w:val="006E7E5D"/>
    <w:rsid w:val="006F0C22"/>
    <w:rsid w:val="006F0CE0"/>
    <w:rsid w:val="006F0DB0"/>
    <w:rsid w:val="006F1604"/>
    <w:rsid w:val="006F1CB8"/>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4B"/>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6E2"/>
    <w:rsid w:val="008376EF"/>
    <w:rsid w:val="00837E82"/>
    <w:rsid w:val="00840783"/>
    <w:rsid w:val="00840D06"/>
    <w:rsid w:val="00840E8C"/>
    <w:rsid w:val="00840F6B"/>
    <w:rsid w:val="00841380"/>
    <w:rsid w:val="008418C1"/>
    <w:rsid w:val="00841E58"/>
    <w:rsid w:val="00841EA9"/>
    <w:rsid w:val="008424A7"/>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51DB"/>
    <w:rsid w:val="008755A5"/>
    <w:rsid w:val="0087563F"/>
    <w:rsid w:val="0087660E"/>
    <w:rsid w:val="008766FF"/>
    <w:rsid w:val="00876722"/>
    <w:rsid w:val="00877C45"/>
    <w:rsid w:val="00880067"/>
    <w:rsid w:val="008802E2"/>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3FFA"/>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2FD"/>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DBF"/>
    <w:rsid w:val="008F44D8"/>
    <w:rsid w:val="008F46B4"/>
    <w:rsid w:val="008F4EAA"/>
    <w:rsid w:val="008F4FDB"/>
    <w:rsid w:val="008F6055"/>
    <w:rsid w:val="008F61D8"/>
    <w:rsid w:val="008F669D"/>
    <w:rsid w:val="008F66E0"/>
    <w:rsid w:val="008F6BF9"/>
    <w:rsid w:val="008F6D8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3E73"/>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24F"/>
    <w:rsid w:val="00975787"/>
    <w:rsid w:val="009761B8"/>
    <w:rsid w:val="00976682"/>
    <w:rsid w:val="00976C00"/>
    <w:rsid w:val="00976FBC"/>
    <w:rsid w:val="0097725A"/>
    <w:rsid w:val="00977BC5"/>
    <w:rsid w:val="009800C7"/>
    <w:rsid w:val="0098016E"/>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F54"/>
    <w:rsid w:val="009A5397"/>
    <w:rsid w:val="009A561B"/>
    <w:rsid w:val="009A58CC"/>
    <w:rsid w:val="009A598B"/>
    <w:rsid w:val="009A5CEB"/>
    <w:rsid w:val="009A61ED"/>
    <w:rsid w:val="009A639B"/>
    <w:rsid w:val="009A666E"/>
    <w:rsid w:val="009A6ABF"/>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729"/>
    <w:rsid w:val="009C0915"/>
    <w:rsid w:val="009C1953"/>
    <w:rsid w:val="009C19D5"/>
    <w:rsid w:val="009C1C38"/>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2D2C"/>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3002"/>
    <w:rsid w:val="00A64293"/>
    <w:rsid w:val="00A642F0"/>
    <w:rsid w:val="00A6449F"/>
    <w:rsid w:val="00A64E71"/>
    <w:rsid w:val="00A64FC0"/>
    <w:rsid w:val="00A6507C"/>
    <w:rsid w:val="00A656C7"/>
    <w:rsid w:val="00A65869"/>
    <w:rsid w:val="00A66294"/>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6082"/>
    <w:rsid w:val="00B464D4"/>
    <w:rsid w:val="00B46E89"/>
    <w:rsid w:val="00B482DC"/>
    <w:rsid w:val="00B503DB"/>
    <w:rsid w:val="00B508A3"/>
    <w:rsid w:val="00B50AC6"/>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A0677"/>
    <w:rsid w:val="00BA0AA5"/>
    <w:rsid w:val="00BA12DE"/>
    <w:rsid w:val="00BA14BE"/>
    <w:rsid w:val="00BA21F0"/>
    <w:rsid w:val="00BA224E"/>
    <w:rsid w:val="00BA25DD"/>
    <w:rsid w:val="00BA264C"/>
    <w:rsid w:val="00BA2732"/>
    <w:rsid w:val="00BA2819"/>
    <w:rsid w:val="00BA282B"/>
    <w:rsid w:val="00BA293D"/>
    <w:rsid w:val="00BA2D6D"/>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E1D"/>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29DD"/>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658C"/>
    <w:rsid w:val="00C96D61"/>
    <w:rsid w:val="00C971DC"/>
    <w:rsid w:val="00C978CE"/>
    <w:rsid w:val="00C97A31"/>
    <w:rsid w:val="00CA00D8"/>
    <w:rsid w:val="00CA0488"/>
    <w:rsid w:val="00CA0894"/>
    <w:rsid w:val="00CA16B7"/>
    <w:rsid w:val="00CA37C3"/>
    <w:rsid w:val="00CA4CD0"/>
    <w:rsid w:val="00CA5A22"/>
    <w:rsid w:val="00CA5F54"/>
    <w:rsid w:val="00CA6003"/>
    <w:rsid w:val="00CA62AE"/>
    <w:rsid w:val="00CA62B3"/>
    <w:rsid w:val="00CA6972"/>
    <w:rsid w:val="00CA6E98"/>
    <w:rsid w:val="00CA6FC9"/>
    <w:rsid w:val="00CA734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3ED4"/>
    <w:rsid w:val="00CD40C4"/>
    <w:rsid w:val="00CD4AD9"/>
    <w:rsid w:val="00CD4BB4"/>
    <w:rsid w:val="00CD4C7E"/>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DBC"/>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B93"/>
    <w:rsid w:val="00D61EF7"/>
    <w:rsid w:val="00D61F8E"/>
    <w:rsid w:val="00D61FF6"/>
    <w:rsid w:val="00D627DE"/>
    <w:rsid w:val="00D631FE"/>
    <w:rsid w:val="00D6335B"/>
    <w:rsid w:val="00D63602"/>
    <w:rsid w:val="00D6362D"/>
    <w:rsid w:val="00D6398A"/>
    <w:rsid w:val="00D63ED1"/>
    <w:rsid w:val="00D643BE"/>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1D67"/>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687"/>
    <w:rsid w:val="00DC1CAF"/>
    <w:rsid w:val="00DC1D5E"/>
    <w:rsid w:val="00DC1FA2"/>
    <w:rsid w:val="00DC2078"/>
    <w:rsid w:val="00DC250C"/>
    <w:rsid w:val="00DC2B0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2061"/>
    <w:rsid w:val="00DD3F0C"/>
    <w:rsid w:val="00DD43C1"/>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12"/>
    <w:rsid w:val="00E43587"/>
    <w:rsid w:val="00E4395D"/>
    <w:rsid w:val="00E43B3C"/>
    <w:rsid w:val="00E43E91"/>
    <w:rsid w:val="00E441B4"/>
    <w:rsid w:val="00E444D9"/>
    <w:rsid w:val="00E4495F"/>
    <w:rsid w:val="00E44DDA"/>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2EF"/>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80FAD"/>
    <w:rsid w:val="00E82E71"/>
    <w:rsid w:val="00E83007"/>
    <w:rsid w:val="00E83352"/>
    <w:rsid w:val="00E8380F"/>
    <w:rsid w:val="00E83FB4"/>
    <w:rsid w:val="00E840DF"/>
    <w:rsid w:val="00E84B07"/>
    <w:rsid w:val="00E850C3"/>
    <w:rsid w:val="00E8517B"/>
    <w:rsid w:val="00E853BA"/>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68F"/>
    <w:rsid w:val="00ED3A1C"/>
    <w:rsid w:val="00ED3B10"/>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ECA"/>
    <w:rsid w:val="00EF6EF9"/>
    <w:rsid w:val="00EF73F2"/>
    <w:rsid w:val="00EF7475"/>
    <w:rsid w:val="00EF7C9A"/>
    <w:rsid w:val="00EF7F85"/>
    <w:rsid w:val="00F0028E"/>
    <w:rsid w:val="00F002FE"/>
    <w:rsid w:val="00F00954"/>
    <w:rsid w:val="00F01602"/>
    <w:rsid w:val="00F019E7"/>
    <w:rsid w:val="00F01AD6"/>
    <w:rsid w:val="00F024AA"/>
    <w:rsid w:val="00F024E1"/>
    <w:rsid w:val="00F02CD1"/>
    <w:rsid w:val="00F02D04"/>
    <w:rsid w:val="00F02DE5"/>
    <w:rsid w:val="00F0368E"/>
    <w:rsid w:val="00F04DDE"/>
    <w:rsid w:val="00F0539B"/>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30026"/>
    <w:rsid w:val="00F3003F"/>
    <w:rsid w:val="00F30E75"/>
    <w:rsid w:val="00F31274"/>
    <w:rsid w:val="00F31A32"/>
    <w:rsid w:val="00F321DE"/>
    <w:rsid w:val="00F32B74"/>
    <w:rsid w:val="00F32D6E"/>
    <w:rsid w:val="00F33777"/>
    <w:rsid w:val="00F33AB1"/>
    <w:rsid w:val="00F33ED9"/>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2BA"/>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92B"/>
    <w:rsid w:val="00FE2D62"/>
    <w:rsid w:val="00FE475C"/>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5AF55"/>
    <w:rsid w:val="13ED2E90"/>
    <w:rsid w:val="13EF81E7"/>
    <w:rsid w:val="13F4ACE2"/>
    <w:rsid w:val="1404A553"/>
    <w:rsid w:val="140577BC"/>
    <w:rsid w:val="1418B8FA"/>
    <w:rsid w:val="14418C1C"/>
    <w:rsid w:val="1452EA8F"/>
    <w:rsid w:val="145752C0"/>
    <w:rsid w:val="1460078F"/>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FCC6B6"/>
    <w:rsid w:val="75039229"/>
    <w:rsid w:val="75107A6C"/>
    <w:rsid w:val="75153F7A"/>
    <w:rsid w:val="7539CB33"/>
    <w:rsid w:val="753C9EF0"/>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B2CE6126-A7A5-4D01-91D8-B4FB1F2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976B5"/>
    <w:pPr>
      <w:spacing w:before="120" w:after="120" w:line="276" w:lineRule="auto"/>
    </w:pPr>
    <w:rPr>
      <w:rFonts w:asciiTheme="minorHAnsi" w:eastAsiaTheme="minorEastAsia" w:hAnsiTheme="minorHAns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02D2C"/>
    <w:pPr>
      <w:keepNext/>
      <w:spacing w:after="120"/>
      <w:outlineLvl w:val="1"/>
    </w:pPr>
    <w:rPr>
      <w:rFonts w:ascii="Calibri" w:eastAsiaTheme="minorEastAsia" w:hAnsi="Calibri" w:cs="Calibri"/>
      <w:b/>
      <w:bCs/>
      <w:iCs/>
      <w:color w:val="00598F" w:themeColor="accent3" w:themeShade="BF"/>
      <w:sz w:val="28"/>
      <w:szCs w:val="28"/>
      <w:lang w:eastAsia="en-US"/>
    </w:rPr>
  </w:style>
  <w:style w:type="paragraph" w:styleId="Heading3">
    <w:name w:val="heading 3"/>
    <w:next w:val="Normal"/>
    <w:link w:val="Heading3Char"/>
    <w:qFormat/>
    <w:rsid w:val="005B768B"/>
    <w:pPr>
      <w:keepNext/>
      <w:numPr>
        <w:numId w:val="40"/>
      </w:numPr>
      <w:spacing w:before="180" w:after="60"/>
      <w:ind w:left="357" w:hanging="357"/>
      <w:outlineLvl w:val="2"/>
    </w:pPr>
    <w:rPr>
      <w:rFonts w:asciiTheme="minorHAnsi" w:eastAsiaTheme="minorEastAsia" w:hAnsiTheme="minorHAnsi"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B768B"/>
    <w:rPr>
      <w:rFonts w:eastAsiaTheme="minorEastAsia"/>
      <w:i/>
      <w:iCs/>
    </w:rPr>
  </w:style>
  <w:style w:type="character" w:styleId="Strong">
    <w:name w:val="Strong"/>
    <w:basedOn w:val="DefaultParagraphFont"/>
    <w:rsid w:val="005B768B"/>
    <w:rPr>
      <w:rFonts w:eastAsiaTheme="minorEastAsia"/>
      <w:b/>
      <w:bCs/>
    </w:rPr>
  </w:style>
  <w:style w:type="paragraph" w:styleId="Subtitle">
    <w:name w:val="Subtitle"/>
    <w:next w:val="Normal"/>
    <w:link w:val="SubtitleChar"/>
    <w:qFormat/>
    <w:rsid w:val="00943E73"/>
    <w:pPr>
      <w:numPr>
        <w:ilvl w:val="1"/>
      </w:numPr>
      <w:spacing w:before="120" w:after="60"/>
    </w:pPr>
    <w:rPr>
      <w:rFonts w:ascii="Arial" w:eastAsiaTheme="majorEastAsia" w:hAnsi="Arial" w:cstheme="majorBidi"/>
      <w:iCs/>
      <w:color w:val="3F4A75" w:themeColor="text2"/>
      <w:spacing w:val="15"/>
      <w:sz w:val="36"/>
      <w:szCs w:val="24"/>
      <w:lang w:eastAsia="en-US"/>
    </w:rPr>
  </w:style>
  <w:style w:type="character" w:customStyle="1" w:styleId="SubtitleChar">
    <w:name w:val="Subtitle Char"/>
    <w:basedOn w:val="DefaultParagraphFont"/>
    <w:link w:val="Subtitle"/>
    <w:rsid w:val="00943E73"/>
    <w:rPr>
      <w:rFonts w:ascii="Arial" w:eastAsiaTheme="majorEastAsia" w:hAnsi="Arial" w:cstheme="majorBidi"/>
      <w:iCs/>
      <w:color w:val="3F4A75" w:themeColor="text2"/>
      <w:spacing w:val="15"/>
      <w:sz w:val="36"/>
      <w:szCs w:val="24"/>
      <w:lang w:eastAsia="en-US"/>
    </w:rPr>
  </w:style>
  <w:style w:type="paragraph" w:styleId="Title">
    <w:name w:val="Title"/>
    <w:next w:val="Normal"/>
    <w:link w:val="TitleChar"/>
    <w:qFormat/>
    <w:rsid w:val="00A02D2C"/>
    <w:pPr>
      <w:spacing w:after="120" w:line="259" w:lineRule="auto"/>
      <w:contextualSpacing/>
    </w:pPr>
    <w:rPr>
      <w:rFonts w:ascii="Calibri" w:eastAsiaTheme="majorEastAsia" w:hAnsi="Calibri" w:cs="Calibri"/>
      <w:b/>
      <w:color w:val="3F4A75"/>
      <w:kern w:val="28"/>
      <w:sz w:val="48"/>
      <w:szCs w:val="52"/>
      <w:lang w:eastAsia="en-US"/>
    </w:rPr>
  </w:style>
  <w:style w:type="character" w:customStyle="1" w:styleId="TitleChar">
    <w:name w:val="Title Char"/>
    <w:basedOn w:val="DefaultParagraphFont"/>
    <w:link w:val="Title"/>
    <w:rsid w:val="00A02D2C"/>
    <w:rPr>
      <w:rFonts w:ascii="Calibri" w:eastAsiaTheme="majorEastAsia" w:hAnsi="Calibri" w:cs="Calibr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8E02FD"/>
    <w:pPr>
      <w:ind w:left="720"/>
    </w:pPr>
    <w:rPr>
      <w:rFonts w:asciiTheme="minorHAnsi" w:hAnsiTheme="minorHAnsi"/>
      <w:i/>
      <w:iCs/>
      <w:color w:val="000000" w:themeColor="text1"/>
      <w:sz w:val="22"/>
      <w:szCs w:val="24"/>
      <w:lang w:eastAsia="en-US"/>
    </w:rPr>
  </w:style>
  <w:style w:type="character" w:customStyle="1" w:styleId="QuoteChar">
    <w:name w:val="Quote Char"/>
    <w:basedOn w:val="DefaultParagraphFont"/>
    <w:link w:val="Quote"/>
    <w:uiPriority w:val="29"/>
    <w:rsid w:val="008E02FD"/>
    <w:rPr>
      <w:rFonts w:asciiTheme="minorHAnsi" w:hAnsiTheme="minorHAnsi"/>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5B768B"/>
    <w:pPr>
      <w:numPr>
        <w:ilvl w:val="1"/>
        <w:numId w:val="28"/>
      </w:numPr>
      <w:spacing w:before="0" w:line="240" w:lineRule="auto"/>
    </w:pPr>
    <w:rPr>
      <w:rFonts w:cstheme="minorBidi"/>
      <w:szCs w:val="22"/>
    </w:rPr>
  </w:style>
  <w:style w:type="paragraph" w:styleId="ListNumber2">
    <w:name w:val="List Number 2"/>
    <w:basedOn w:val="ListBullet"/>
    <w:qFormat/>
    <w:rsid w:val="00A719F6"/>
    <w:pPr>
      <w:numPr>
        <w:numId w:val="3"/>
      </w:numPr>
    </w:pPr>
  </w:style>
  <w:style w:type="paragraph" w:styleId="ListBullet">
    <w:name w:val="List Bullet"/>
    <w:basedOn w:val="ListParagraph"/>
    <w:qFormat/>
    <w:rsid w:val="005B768B"/>
    <w:pPr>
      <w:numPr>
        <w:numId w:val="28"/>
      </w:numPr>
      <w:spacing w:before="0" w:line="240" w:lineRule="auto"/>
    </w:pPr>
    <w:rPr>
      <w:rFonts w:cstheme="minorBidi"/>
      <w:szCs w:val="22"/>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943E73"/>
    <w:pPr>
      <w:keepLines/>
      <w:spacing w:before="0" w:after="0"/>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1">
    <w:name w:val="toc 1"/>
    <w:next w:val="Caption"/>
    <w:autoRedefine/>
    <w:uiPriority w:val="39"/>
    <w:unhideWhenUsed/>
    <w:rsid w:val="00042491"/>
    <w:pPr>
      <w:tabs>
        <w:tab w:val="right" w:leader="dot" w:pos="9060"/>
      </w:tabs>
      <w:spacing w:before="120" w:after="120"/>
    </w:pPr>
    <w:rPr>
      <w:rFonts w:asciiTheme="minorHAnsi" w:eastAsiaTheme="minorEastAsia" w:hAnsiTheme="minorHAnsi" w:cstheme="minorBidi"/>
      <w:noProof/>
      <w:kern w:val="2"/>
      <w:sz w:val="24"/>
      <w:szCs w:val="24"/>
      <w:lang w:eastAsia="ja-JP"/>
      <w14:ligatures w14:val="standardContextual"/>
    </w:rPr>
  </w:style>
  <w:style w:type="paragraph" w:styleId="TOC2">
    <w:name w:val="toc 2"/>
    <w:basedOn w:val="Normal"/>
    <w:next w:val="Normal"/>
    <w:autoRedefine/>
    <w:uiPriority w:val="39"/>
    <w:unhideWhenUsed/>
    <w:rsid w:val="004B58AF"/>
    <w:rPr>
      <w:b/>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4B58AF"/>
    <w:pPr>
      <w:tabs>
        <w:tab w:val="left" w:pos="567"/>
        <w:tab w:val="right" w:leader="dot" w:pos="9736"/>
      </w:tabs>
      <w:spacing w:before="0"/>
      <w:ind w:left="227"/>
    </w:pPr>
    <w:rPr>
      <w:rFonts w:cstheme="minorBidi"/>
      <w:noProof/>
      <w:color w:val="auto"/>
      <w:kern w:val="2"/>
      <w:sz w:val="24"/>
      <w:lang w:eastAsia="ja-JP"/>
      <w14:ligatures w14:val="standardContextual"/>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5B768B"/>
    <w:rPr>
      <w:rFonts w:asciiTheme="minorHAnsi" w:eastAsiaTheme="minorEastAsia" w:hAnsiTheme="minorHAnsi" w:cs="Arial"/>
      <w:b/>
      <w:bCs/>
      <w:color w:val="358189"/>
      <w:sz w:val="24"/>
      <w:szCs w:val="26"/>
      <w:lang w:eastAsia="en-US"/>
    </w:rPr>
  </w:style>
  <w:style w:type="character" w:customStyle="1" w:styleId="Heading2Char">
    <w:name w:val="Heading 2 Char"/>
    <w:basedOn w:val="DefaultParagraphFont"/>
    <w:link w:val="Heading2"/>
    <w:rsid w:val="00A02D2C"/>
    <w:rPr>
      <w:rFonts w:ascii="Calibri" w:eastAsiaTheme="minorEastAsia" w:hAnsi="Calibri" w:cs="Calibri"/>
      <w:b/>
      <w:bCs/>
      <w:iCs/>
      <w:color w:val="00598F" w:themeColor="accent3" w:themeShade="BF"/>
      <w:sz w:val="28"/>
      <w:szCs w:val="28"/>
      <w:lang w:eastAsia="en-US"/>
    </w:rPr>
  </w:style>
  <w:style w:type="paragraph" w:styleId="ListBullet3">
    <w:name w:val="List Bullet 3"/>
    <w:basedOn w:val="Normal"/>
    <w:unhideWhenUsed/>
    <w:rsid w:val="005B768B"/>
    <w:pPr>
      <w:numPr>
        <w:numId w:val="38"/>
      </w:numPr>
      <w:contextualSpacing/>
    </w:pPr>
  </w:style>
  <w:style w:type="paragraph" w:customStyle="1" w:styleId="StyleTOC1AsianCalibriComplexBodyCalibriBold">
    <w:name w:val="Style TOC 1 + (Asian) Calibri (Complex) +Body (Calibri) Bold"/>
    <w:basedOn w:val="TOC1"/>
    <w:rsid w:val="00042491"/>
    <w:rPr>
      <w:rFonts w:eastAsia="Calibr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5" ma:contentTypeDescription="Create a new document." ma:contentTypeScope="" ma:versionID="3039a81e4171d313798e4f1f0208b468">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083d5c5efccb3424fae8367a7c862554"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5d648-8f4b-49b4-930b-d09da509f262}"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SharedWithUsers xmlns="3dd18265-326c-4663-9a51-69c1b30ad054">
      <UserInfo>
        <DisplayName>WHITTY, Cam</DisplayName>
        <AccountId>756</AccountId>
        <AccountType/>
      </UserInfo>
    </SharedWithUsers>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8C347419-FFD6-4388-A126-818F9355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7</TotalTime>
  <Pages>6</Pages>
  <Words>2432</Words>
  <Characters>14014</Characters>
  <Application>Microsoft Office Word</Application>
  <DocSecurity>0</DocSecurity>
  <Lines>203</Lines>
  <Paragraphs>108</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Act 2010 legislative framework reforms</dc:title>
  <dc:subject>Aged Care</dc:subject>
  <dc:creator>Australian Government Department of Health, Disability and Ageing</dc:creator>
  <cp:keywords/>
  <cp:lastModifiedBy>MASCHKE, Elvia</cp:lastModifiedBy>
  <cp:revision>6</cp:revision>
  <dcterms:created xsi:type="dcterms:W3CDTF">2025-11-24T00:29:00Z</dcterms:created>
  <dcterms:modified xsi:type="dcterms:W3CDTF">2025-11-24T22:00:00Z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5a023684,505fcd22,6c3a4593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17f8e866,4357f6f7,53f7af1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2025-11-03T06:56:36Z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10ac5b94-d273-47a6-9427-ec71b7972310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0x010100515BB68D7196E647A4AEBA7AB6226350</vt:lpwstr>
  </property>
  <property fmtid="{D5CDD505-2E9C-101B-9397-08002B2CF9AE}" pid="17" name="MediaServiceImageTags">
    <vt:lpwstr/>
  </property>
  <property fmtid="{D5CDD505-2E9C-101B-9397-08002B2CF9AE}" pid="18" name="docLang">
    <vt:lpwstr>en</vt:lpwstr>
  </property>
</Properties>
</file>