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6A584" w14:textId="108F771E" w:rsidR="003619F4" w:rsidRPr="00677BC9" w:rsidRDefault="009164B4" w:rsidP="00C45501">
      <w:pPr>
        <w:pStyle w:val="Heading1"/>
      </w:pPr>
      <w:r>
        <w:t xml:space="preserve">Transition Care </w:t>
      </w:r>
      <w:r w:rsidRPr="00C45501">
        <w:t>Program</w:t>
      </w:r>
    </w:p>
    <w:p w14:paraId="31989A96" w14:textId="29EC7B57" w:rsidR="00677BC9" w:rsidRDefault="009164B4" w:rsidP="00677BC9">
      <w:pPr>
        <w:pStyle w:val="Introduction"/>
      </w:pPr>
      <w:bookmarkStart w:id="0" w:name="_Hlk163461193"/>
      <w:r>
        <w:t xml:space="preserve">New </w:t>
      </w:r>
      <w:r w:rsidRPr="00C45501">
        <w:rPr>
          <w:rStyle w:val="Emphasis"/>
        </w:rPr>
        <w:t xml:space="preserve">Aged Care Act 2024 </w:t>
      </w:r>
      <w:r>
        <w:t>implementation</w:t>
      </w:r>
    </w:p>
    <w:p w14:paraId="466F39F8" w14:textId="6CBA2271" w:rsidR="00677BC9" w:rsidRPr="00C45501" w:rsidRDefault="00266A59" w:rsidP="00C45501">
      <w:pPr>
        <w:pStyle w:val="Heading2"/>
      </w:pPr>
      <w:bookmarkStart w:id="1" w:name="_Hlk163461203"/>
      <w:bookmarkEnd w:id="0"/>
      <w:r>
        <w:t>Frequently asked questions</w:t>
      </w:r>
    </w:p>
    <w:p w14:paraId="3FCEA34F" w14:textId="77777777" w:rsidR="00135A8E" w:rsidRPr="00F82D62" w:rsidRDefault="00135A8E" w:rsidP="00F82D62">
      <w:pPr>
        <w:rPr>
          <w:color w:val="1E1544" w:themeColor="text1"/>
        </w:rPr>
      </w:pPr>
      <w:bookmarkStart w:id="2" w:name="_Hlk163461211"/>
      <w:bookmarkEnd w:id="1"/>
      <w:r w:rsidRPr="00F82D62">
        <w:rPr>
          <w:color w:val="1E1544" w:themeColor="text1"/>
        </w:rPr>
        <w:t xml:space="preserve">These FAQs are designed to provide targeted, practical clarification and guidance to States, Territories and Transition Care Program (TCP) registered providers on how implementation of the new </w:t>
      </w:r>
      <w:r w:rsidRPr="00F82D62">
        <w:rPr>
          <w:i/>
          <w:color w:val="1E1544" w:themeColor="text1"/>
        </w:rPr>
        <w:t xml:space="preserve">Aged Care Act 2024 </w:t>
      </w:r>
      <w:r w:rsidRPr="00F82D62">
        <w:rPr>
          <w:color w:val="1E1544" w:themeColor="text1"/>
        </w:rPr>
        <w:t>(the Act)</w:t>
      </w:r>
      <w:r w:rsidRPr="00F82D62">
        <w:rPr>
          <w:i/>
          <w:color w:val="1E1544" w:themeColor="text1"/>
        </w:rPr>
        <w:t xml:space="preserve"> </w:t>
      </w:r>
      <w:r w:rsidRPr="00F82D62">
        <w:rPr>
          <w:color w:val="1E1544" w:themeColor="text1"/>
        </w:rPr>
        <w:t xml:space="preserve">on 1 November 2025 impacts the following program elements: </w:t>
      </w:r>
    </w:p>
    <w:p w14:paraId="755BE2BD" w14:textId="05110AE7" w:rsidR="00135A8E" w:rsidRPr="00F82D62" w:rsidRDefault="004E03CD" w:rsidP="00F82D62">
      <w:pPr>
        <w:pStyle w:val="ListParagraph"/>
        <w:numPr>
          <w:ilvl w:val="0"/>
          <w:numId w:val="22"/>
        </w:numPr>
        <w:rPr>
          <w:color w:val="1E1544" w:themeColor="text1"/>
        </w:rPr>
      </w:pPr>
      <w:r>
        <w:rPr>
          <w:color w:val="1E1544" w:themeColor="text1"/>
        </w:rPr>
        <w:t>i</w:t>
      </w:r>
      <w:r w:rsidR="00135A8E" w:rsidRPr="00F82D62">
        <w:rPr>
          <w:color w:val="1E1544" w:themeColor="text1"/>
        </w:rPr>
        <w:t xml:space="preserve">nteraction of the TCP with Support at Home and </w:t>
      </w:r>
      <w:r>
        <w:rPr>
          <w:color w:val="1E1544" w:themeColor="text1"/>
        </w:rPr>
        <w:t>Commonwealth Home Support Program (</w:t>
      </w:r>
      <w:r w:rsidR="00135A8E" w:rsidRPr="00F82D62">
        <w:rPr>
          <w:color w:val="1E1544" w:themeColor="text1"/>
        </w:rPr>
        <w:t>CHSP</w:t>
      </w:r>
      <w:proofErr w:type="gramStart"/>
      <w:r>
        <w:rPr>
          <w:color w:val="1E1544" w:themeColor="text1"/>
        </w:rPr>
        <w:t>)</w:t>
      </w:r>
      <w:r w:rsidR="00135A8E" w:rsidRPr="00F82D62">
        <w:rPr>
          <w:color w:val="1E1544" w:themeColor="text1"/>
        </w:rPr>
        <w:t>;</w:t>
      </w:r>
      <w:proofErr w:type="gramEnd"/>
      <w:r w:rsidR="00135A8E" w:rsidRPr="00F82D62">
        <w:rPr>
          <w:color w:val="1E1544" w:themeColor="text1"/>
        </w:rPr>
        <w:t xml:space="preserve"> </w:t>
      </w:r>
    </w:p>
    <w:p w14:paraId="61167314" w14:textId="2CB99E00" w:rsidR="00135A8E" w:rsidRPr="00F82D62" w:rsidRDefault="00135A8E" w:rsidP="00F82D62">
      <w:pPr>
        <w:pStyle w:val="ListParagraph"/>
        <w:numPr>
          <w:ilvl w:val="0"/>
          <w:numId w:val="22"/>
        </w:numPr>
        <w:rPr>
          <w:color w:val="1E1544" w:themeColor="text1"/>
        </w:rPr>
      </w:pPr>
      <w:r w:rsidRPr="00F82D62">
        <w:rPr>
          <w:color w:val="1E1544" w:themeColor="text1"/>
        </w:rPr>
        <w:t xml:space="preserve">TCP </w:t>
      </w:r>
      <w:r w:rsidR="0064007C">
        <w:rPr>
          <w:color w:val="1E1544" w:themeColor="text1"/>
        </w:rPr>
        <w:t>p</w:t>
      </w:r>
      <w:r w:rsidRPr="00F82D62">
        <w:rPr>
          <w:color w:val="1E1544" w:themeColor="text1"/>
        </w:rPr>
        <w:t xml:space="preserve">laces and </w:t>
      </w:r>
      <w:r w:rsidR="00D0183C">
        <w:rPr>
          <w:color w:val="1E1544" w:themeColor="text1"/>
        </w:rPr>
        <w:t>N</w:t>
      </w:r>
      <w:r w:rsidRPr="00F82D62">
        <w:rPr>
          <w:color w:val="1E1544" w:themeColor="text1"/>
        </w:rPr>
        <w:t xml:space="preserve">otices of </w:t>
      </w:r>
      <w:proofErr w:type="gramStart"/>
      <w:r w:rsidR="00D0183C">
        <w:rPr>
          <w:color w:val="1E1544" w:themeColor="text1"/>
        </w:rPr>
        <w:t>A</w:t>
      </w:r>
      <w:r w:rsidRPr="00F82D62">
        <w:rPr>
          <w:color w:val="1E1544" w:themeColor="text1"/>
        </w:rPr>
        <w:t>llocation;</w:t>
      </w:r>
      <w:proofErr w:type="gramEnd"/>
      <w:r w:rsidRPr="00F82D62">
        <w:rPr>
          <w:color w:val="1E1544" w:themeColor="text1"/>
        </w:rPr>
        <w:t xml:space="preserve"> </w:t>
      </w:r>
    </w:p>
    <w:p w14:paraId="3549C160" w14:textId="77777777" w:rsidR="00135A8E" w:rsidRPr="00F82D62" w:rsidRDefault="00135A8E" w:rsidP="00F82D62">
      <w:pPr>
        <w:pStyle w:val="ListParagraph"/>
        <w:numPr>
          <w:ilvl w:val="0"/>
          <w:numId w:val="22"/>
        </w:numPr>
        <w:rPr>
          <w:color w:val="1E1544" w:themeColor="text1"/>
        </w:rPr>
      </w:pPr>
      <w:r w:rsidRPr="00F82D62">
        <w:rPr>
          <w:color w:val="1E1544" w:themeColor="text1"/>
        </w:rPr>
        <w:t>Annual Accountability Reports (AARs); and</w:t>
      </w:r>
    </w:p>
    <w:p w14:paraId="698C440F" w14:textId="7C9C719A" w:rsidR="00135A8E" w:rsidRPr="00F82D62" w:rsidRDefault="0064007C" w:rsidP="00F82D62">
      <w:pPr>
        <w:pStyle w:val="ListParagraph"/>
        <w:numPr>
          <w:ilvl w:val="0"/>
          <w:numId w:val="22"/>
        </w:numPr>
        <w:rPr>
          <w:color w:val="1E1544" w:themeColor="text1"/>
        </w:rPr>
      </w:pPr>
      <w:r>
        <w:rPr>
          <w:color w:val="1E1544" w:themeColor="text1"/>
        </w:rPr>
        <w:t>r</w:t>
      </w:r>
      <w:r w:rsidR="00135A8E" w:rsidRPr="00F82D62">
        <w:rPr>
          <w:color w:val="1E1544" w:themeColor="text1"/>
        </w:rPr>
        <w:t xml:space="preserve">elevant </w:t>
      </w:r>
      <w:r>
        <w:rPr>
          <w:color w:val="1E1544" w:themeColor="text1"/>
        </w:rPr>
        <w:t>l</w:t>
      </w:r>
      <w:r w:rsidR="00135A8E" w:rsidRPr="00F82D62">
        <w:rPr>
          <w:color w:val="1E1544" w:themeColor="text1"/>
        </w:rPr>
        <w:t xml:space="preserve">egislative </w:t>
      </w:r>
      <w:r>
        <w:rPr>
          <w:color w:val="1E1544" w:themeColor="text1"/>
        </w:rPr>
        <w:t>r</w:t>
      </w:r>
      <w:r w:rsidR="00135A8E" w:rsidRPr="00F82D62">
        <w:rPr>
          <w:color w:val="1E1544" w:themeColor="text1"/>
        </w:rPr>
        <w:t xml:space="preserve">eferences. </w:t>
      </w:r>
    </w:p>
    <w:p w14:paraId="2AE5C5EA" w14:textId="39431B1E" w:rsidR="00135A8E" w:rsidRPr="00677BC9" w:rsidRDefault="00135A8E" w:rsidP="00677BC9">
      <w:pPr>
        <w:rPr>
          <w:color w:val="1E1544" w:themeColor="text1"/>
        </w:rPr>
      </w:pPr>
      <w:r w:rsidRPr="00F82D62">
        <w:rPr>
          <w:color w:val="1E1544" w:themeColor="text1"/>
        </w:rPr>
        <w:t xml:space="preserve">This information should be read in conjunction with the updated TCP Guidelines, the Act and subordinate legislation (the Rules), and relevant Aged Care Assessment and registration and accreditation guidance documentation. </w:t>
      </w:r>
    </w:p>
    <w:bookmarkEnd w:id="2"/>
    <w:p w14:paraId="592846A7" w14:textId="67881718" w:rsidR="002C2D46" w:rsidRDefault="0064007C" w:rsidP="0064007C">
      <w:pPr>
        <w:pStyle w:val="Heading3"/>
      </w:pPr>
      <w:r>
        <w:t>Who is responsible for ensuring no duplication of services for TCP clients already accessing Support at Home</w:t>
      </w:r>
      <w:r w:rsidR="00344771">
        <w:t xml:space="preserve"> or CHSP services?</w:t>
      </w:r>
    </w:p>
    <w:p w14:paraId="26B688C0" w14:textId="0D75BDEF" w:rsidR="00F340E7" w:rsidRPr="00F340E7" w:rsidRDefault="00F340E7" w:rsidP="00F340E7">
      <w:pPr>
        <w:pStyle w:val="ListParagraph"/>
        <w:numPr>
          <w:ilvl w:val="0"/>
          <w:numId w:val="25"/>
        </w:numPr>
        <w:ind w:left="360"/>
        <w:rPr>
          <w:rFonts w:cs="Arial"/>
          <w:color w:val="1E1544" w:themeColor="text1"/>
        </w:rPr>
      </w:pPr>
      <w:bookmarkStart w:id="3" w:name="_Hlk163458641"/>
      <w:r w:rsidRPr="00F340E7">
        <w:rPr>
          <w:rFonts w:cs="Arial"/>
          <w:color w:val="1E1544" w:themeColor="text1"/>
        </w:rPr>
        <w:t xml:space="preserve">People receiving Support at Home or </w:t>
      </w:r>
      <w:r w:rsidR="00601A67">
        <w:rPr>
          <w:rFonts w:cs="Arial"/>
          <w:color w:val="1E1544" w:themeColor="text1"/>
        </w:rPr>
        <w:t>CHSP</w:t>
      </w:r>
      <w:r w:rsidRPr="00F340E7">
        <w:rPr>
          <w:rFonts w:cs="Arial"/>
          <w:color w:val="1E1544" w:themeColor="text1"/>
        </w:rPr>
        <w:t xml:space="preserve"> services will also be able to access TCP concurrently. </w:t>
      </w:r>
    </w:p>
    <w:p w14:paraId="43A8F4AB" w14:textId="189F0F89" w:rsidR="00F340E7" w:rsidRPr="00F340E7" w:rsidRDefault="00F340E7" w:rsidP="00F340E7">
      <w:pPr>
        <w:pStyle w:val="ListParagraph"/>
        <w:numPr>
          <w:ilvl w:val="1"/>
          <w:numId w:val="23"/>
        </w:numPr>
        <w:ind w:left="1080"/>
        <w:rPr>
          <w:rFonts w:cs="Arial"/>
          <w:color w:val="1E1544" w:themeColor="text1"/>
        </w:rPr>
      </w:pPr>
      <w:r w:rsidRPr="00F340E7">
        <w:rPr>
          <w:rFonts w:cs="Arial"/>
          <w:color w:val="1E1544" w:themeColor="text1"/>
        </w:rPr>
        <w:t xml:space="preserve">Under the new Act, individuals can continue to receive services under the </w:t>
      </w:r>
      <w:r w:rsidR="00601A67">
        <w:rPr>
          <w:rFonts w:cs="Arial"/>
          <w:color w:val="1E1544" w:themeColor="text1"/>
        </w:rPr>
        <w:t>Support at Home program</w:t>
      </w:r>
      <w:r w:rsidRPr="00F340E7">
        <w:rPr>
          <w:rFonts w:cs="Arial"/>
          <w:color w:val="1E1544" w:themeColor="text1"/>
        </w:rPr>
        <w:t xml:space="preserve"> or CHSP while also receiving transition care, provided there is </w:t>
      </w:r>
      <w:r w:rsidRPr="00F340E7">
        <w:rPr>
          <w:rFonts w:cs="Arial"/>
          <w:b/>
          <w:color w:val="1E1544" w:themeColor="text1"/>
        </w:rPr>
        <w:t>no duplication of services</w:t>
      </w:r>
      <w:r w:rsidRPr="00F340E7">
        <w:rPr>
          <w:rFonts w:cs="Arial"/>
          <w:color w:val="1E1544" w:themeColor="text1"/>
        </w:rPr>
        <w:t xml:space="preserve"> between the</w:t>
      </w:r>
      <w:r w:rsidR="000C0CC5">
        <w:rPr>
          <w:rFonts w:cs="Arial"/>
          <w:color w:val="1E1544" w:themeColor="text1"/>
        </w:rPr>
        <w:t xml:space="preserve"> Support at Home </w:t>
      </w:r>
      <w:r w:rsidRPr="00F340E7">
        <w:rPr>
          <w:rFonts w:cs="Arial"/>
          <w:color w:val="1E1544" w:themeColor="text1"/>
        </w:rPr>
        <w:t xml:space="preserve">or CHSP and TCP registered providers in service provision. </w:t>
      </w:r>
    </w:p>
    <w:p w14:paraId="43BF2E2F" w14:textId="057A6D10" w:rsidR="00F340E7" w:rsidRPr="00F340E7" w:rsidRDefault="00F340E7" w:rsidP="00F340E7">
      <w:pPr>
        <w:pStyle w:val="ListParagraph"/>
        <w:numPr>
          <w:ilvl w:val="1"/>
          <w:numId w:val="23"/>
        </w:numPr>
        <w:ind w:left="1080"/>
        <w:rPr>
          <w:rFonts w:cs="Arial"/>
          <w:color w:val="1E1544" w:themeColor="text1"/>
        </w:rPr>
      </w:pPr>
      <w:r w:rsidRPr="00F340E7">
        <w:rPr>
          <w:rFonts w:cs="Arial"/>
          <w:color w:val="1E1544" w:themeColor="text1"/>
        </w:rPr>
        <w:t xml:space="preserve">It is the responsibility of the participant to notify their </w:t>
      </w:r>
      <w:r w:rsidR="000C0CC5">
        <w:rPr>
          <w:rFonts w:cs="Arial"/>
          <w:color w:val="1E1544" w:themeColor="text1"/>
        </w:rPr>
        <w:t>Support at Home</w:t>
      </w:r>
      <w:r w:rsidRPr="00F340E7">
        <w:rPr>
          <w:rFonts w:cs="Arial"/>
          <w:color w:val="1E1544" w:themeColor="text1"/>
        </w:rPr>
        <w:t xml:space="preserve"> or CHSP provider of their intention to enter transition care. </w:t>
      </w:r>
    </w:p>
    <w:p w14:paraId="185B8C01" w14:textId="1449CBC4" w:rsidR="00F340E7" w:rsidRPr="00F340E7" w:rsidRDefault="00F340E7" w:rsidP="00F340E7">
      <w:pPr>
        <w:pStyle w:val="ListParagraph"/>
        <w:numPr>
          <w:ilvl w:val="1"/>
          <w:numId w:val="23"/>
        </w:numPr>
        <w:ind w:left="1080"/>
        <w:rPr>
          <w:rFonts w:cs="Arial"/>
          <w:color w:val="1E1544" w:themeColor="text1"/>
        </w:rPr>
      </w:pPr>
      <w:r w:rsidRPr="00F340E7">
        <w:rPr>
          <w:rFonts w:cs="Arial"/>
          <w:color w:val="1E1544" w:themeColor="text1"/>
        </w:rPr>
        <w:t xml:space="preserve">In these instances, both the </w:t>
      </w:r>
      <w:r w:rsidR="000C0CC5">
        <w:rPr>
          <w:rFonts w:cs="Arial"/>
          <w:color w:val="1E1544" w:themeColor="text1"/>
        </w:rPr>
        <w:t>Support at Home</w:t>
      </w:r>
      <w:r w:rsidRPr="00F340E7">
        <w:rPr>
          <w:rFonts w:cs="Arial"/>
          <w:color w:val="1E1544" w:themeColor="text1"/>
        </w:rPr>
        <w:t xml:space="preserve"> </w:t>
      </w:r>
      <w:r w:rsidRPr="00F340E7">
        <w:rPr>
          <w:rFonts w:cs="Arial"/>
          <w:b/>
          <w:color w:val="1E1544" w:themeColor="text1"/>
        </w:rPr>
        <w:t>and</w:t>
      </w:r>
      <w:r w:rsidRPr="00F340E7">
        <w:rPr>
          <w:rFonts w:cs="Arial"/>
          <w:color w:val="1E1544" w:themeColor="text1"/>
        </w:rPr>
        <w:t xml:space="preserve"> TCP registered providers should consult and coordinate between them the care and service provision to the individual </w:t>
      </w:r>
      <w:proofErr w:type="gramStart"/>
      <w:r w:rsidRPr="00F340E7">
        <w:rPr>
          <w:rFonts w:cs="Arial"/>
          <w:color w:val="1E1544" w:themeColor="text1"/>
        </w:rPr>
        <w:t>so as to</w:t>
      </w:r>
      <w:proofErr w:type="gramEnd"/>
      <w:r w:rsidRPr="00F340E7">
        <w:rPr>
          <w:rFonts w:cs="Arial"/>
          <w:color w:val="1E1544" w:themeColor="text1"/>
        </w:rPr>
        <w:t xml:space="preserve"> avoid any duplication of services but ensure the participants needs are met. </w:t>
      </w:r>
    </w:p>
    <w:p w14:paraId="0B16CE6B" w14:textId="77777777" w:rsidR="00F340E7" w:rsidRPr="00F340E7" w:rsidRDefault="00F340E7" w:rsidP="00F340E7">
      <w:pPr>
        <w:pStyle w:val="ListParagraph"/>
        <w:numPr>
          <w:ilvl w:val="0"/>
          <w:numId w:val="24"/>
        </w:numPr>
        <w:ind w:left="360"/>
        <w:rPr>
          <w:rFonts w:cs="Arial"/>
          <w:color w:val="1E1544" w:themeColor="text1"/>
        </w:rPr>
      </w:pPr>
      <w:r w:rsidRPr="00F340E7">
        <w:rPr>
          <w:rFonts w:cs="Arial"/>
          <w:color w:val="1E1544" w:themeColor="text1"/>
        </w:rPr>
        <w:t xml:space="preserve">A reminder, TCP clients will not be able to access supports via the new Restorative Care Pathway concurrently. </w:t>
      </w:r>
    </w:p>
    <w:p w14:paraId="04F9A05D" w14:textId="7C77D2A1" w:rsidR="00F340E7" w:rsidRPr="00B0781B" w:rsidRDefault="00F340E7" w:rsidP="00F340E7">
      <w:pPr>
        <w:pStyle w:val="ListParagraph"/>
        <w:numPr>
          <w:ilvl w:val="0"/>
          <w:numId w:val="24"/>
        </w:numPr>
        <w:ind w:left="360"/>
        <w:rPr>
          <w:rFonts w:cs="Arial"/>
        </w:rPr>
      </w:pPr>
      <w:r w:rsidRPr="00F340E7">
        <w:rPr>
          <w:rFonts w:cs="Arial"/>
          <w:color w:val="1E1544" w:themeColor="text1"/>
        </w:rPr>
        <w:t xml:space="preserve">Further information regarding </w:t>
      </w:r>
      <w:r w:rsidR="00CC5FD9">
        <w:rPr>
          <w:rFonts w:cs="Arial"/>
          <w:color w:val="1E1544" w:themeColor="text1"/>
        </w:rPr>
        <w:t>Support at Home</w:t>
      </w:r>
      <w:r w:rsidRPr="00F340E7">
        <w:rPr>
          <w:rFonts w:cs="Arial"/>
          <w:color w:val="1E1544" w:themeColor="text1"/>
        </w:rPr>
        <w:t xml:space="preserve"> </w:t>
      </w:r>
      <w:r w:rsidR="00CC5FD9">
        <w:rPr>
          <w:rFonts w:cs="Arial"/>
          <w:color w:val="1E1544" w:themeColor="text1"/>
        </w:rPr>
        <w:t>p</w:t>
      </w:r>
      <w:r w:rsidRPr="00F340E7">
        <w:rPr>
          <w:rFonts w:cs="Arial"/>
          <w:color w:val="1E1544" w:themeColor="text1"/>
        </w:rPr>
        <w:t xml:space="preserve">rogram arrangements while accessing transition care is available in the Support at Home Program Manual on the </w:t>
      </w:r>
      <w:r w:rsidR="00DF1410">
        <w:rPr>
          <w:rFonts w:cs="Arial"/>
          <w:color w:val="1E1544" w:themeColor="text1"/>
        </w:rPr>
        <w:t>d</w:t>
      </w:r>
      <w:r w:rsidRPr="00F340E7">
        <w:rPr>
          <w:rFonts w:cs="Arial"/>
          <w:color w:val="1E1544" w:themeColor="text1"/>
        </w:rPr>
        <w:t xml:space="preserve">epartment’s website at: </w:t>
      </w:r>
      <w:hyperlink r:id="rId11" w:history="1">
        <w:r w:rsidR="00D532DA" w:rsidRPr="002C277E">
          <w:rPr>
            <w:rStyle w:val="Hyperlink"/>
            <w:rFonts w:cs="Arial"/>
            <w:color w:val="2AB1BB" w:themeColor="accent1"/>
          </w:rPr>
          <w:t>health.gov.au/resources/publications/support-at-home-program-manual-a-guide-for-registered-providers</w:t>
        </w:r>
      </w:hyperlink>
    </w:p>
    <w:p w14:paraId="7789B9D1" w14:textId="6F76B799" w:rsidR="00F340E7" w:rsidRPr="009C7C22" w:rsidRDefault="00F340E7" w:rsidP="00F340E7">
      <w:pPr>
        <w:pStyle w:val="ListParagraph"/>
        <w:numPr>
          <w:ilvl w:val="0"/>
          <w:numId w:val="24"/>
        </w:numPr>
        <w:ind w:left="360"/>
        <w:rPr>
          <w:rFonts w:cs="Arial"/>
        </w:rPr>
      </w:pPr>
      <w:r w:rsidRPr="00F340E7">
        <w:rPr>
          <w:rFonts w:cs="Arial"/>
          <w:color w:val="1E1544" w:themeColor="text1"/>
        </w:rPr>
        <w:t xml:space="preserve">Additional information regarding CHSP arrangements while accessing transition care is outlined in the CHSP 2025-27 Manual </w:t>
      </w:r>
      <w:r w:rsidR="00DF1410">
        <w:rPr>
          <w:rFonts w:cs="Arial"/>
          <w:color w:val="1E1544" w:themeColor="text1"/>
        </w:rPr>
        <w:t>on</w:t>
      </w:r>
      <w:r w:rsidRPr="00F340E7">
        <w:rPr>
          <w:rFonts w:cs="Arial"/>
          <w:color w:val="1E1544" w:themeColor="text1"/>
        </w:rPr>
        <w:t xml:space="preserve"> the </w:t>
      </w:r>
      <w:r w:rsidR="00DF1410">
        <w:rPr>
          <w:rFonts w:cs="Arial"/>
          <w:color w:val="1E1544" w:themeColor="text1"/>
        </w:rPr>
        <w:t>d</w:t>
      </w:r>
      <w:r w:rsidRPr="00F340E7">
        <w:rPr>
          <w:rFonts w:cs="Arial"/>
          <w:color w:val="1E1544" w:themeColor="text1"/>
        </w:rPr>
        <w:t xml:space="preserve">epartment’s website at: </w:t>
      </w:r>
      <w:hyperlink r:id="rId12" w:history="1">
        <w:r w:rsidRPr="00F340E7">
          <w:rPr>
            <w:color w:val="2AB1BB" w:themeColor="accent1"/>
            <w:u w:val="single"/>
          </w:rPr>
          <w:t>health.gov.au/resources/publications/commonwealth-home-support-program-chsp-2025-27-manual</w:t>
        </w:r>
      </w:hyperlink>
    </w:p>
    <w:p w14:paraId="3529FC08" w14:textId="36A15867" w:rsidR="00F340E7" w:rsidRDefault="00D0183C" w:rsidP="00D0183C">
      <w:pPr>
        <w:pStyle w:val="Heading3"/>
      </w:pPr>
      <w:r>
        <w:t xml:space="preserve">What is the process for sending Notices of Allocation to </w:t>
      </w:r>
      <w:proofErr w:type="gramStart"/>
      <w:r>
        <w:t>registered</w:t>
      </w:r>
      <w:proofErr w:type="gramEnd"/>
      <w:r>
        <w:t xml:space="preserve"> providers of transition care?</w:t>
      </w:r>
    </w:p>
    <w:p w14:paraId="0C98A202" w14:textId="77777777" w:rsidR="009D0601" w:rsidRPr="009D0601" w:rsidRDefault="009D0601" w:rsidP="009D0601">
      <w:pPr>
        <w:pStyle w:val="ListParagraph"/>
        <w:numPr>
          <w:ilvl w:val="0"/>
          <w:numId w:val="24"/>
        </w:numPr>
        <w:ind w:left="360"/>
        <w:rPr>
          <w:rFonts w:cs="Arial"/>
          <w:color w:val="1E1544" w:themeColor="text1"/>
        </w:rPr>
      </w:pPr>
      <w:bookmarkStart w:id="4" w:name="_Hlk163458709"/>
      <w:bookmarkEnd w:id="3"/>
      <w:r w:rsidRPr="009D0601">
        <w:rPr>
          <w:rFonts w:cs="Arial"/>
          <w:color w:val="1E1544" w:themeColor="text1"/>
        </w:rPr>
        <w:t xml:space="preserve">Once an allocation of TCP places has been made by the System Governor under section 95 of the Act, a </w:t>
      </w:r>
      <w:r w:rsidRPr="009D0601">
        <w:rPr>
          <w:rFonts w:cs="Arial"/>
          <w:b/>
          <w:bCs/>
          <w:color w:val="1E1544" w:themeColor="text1"/>
        </w:rPr>
        <w:t>Notice of Allocation</w:t>
      </w:r>
      <w:r w:rsidRPr="009D0601">
        <w:rPr>
          <w:rFonts w:cs="Arial"/>
          <w:color w:val="1E1544" w:themeColor="text1"/>
        </w:rPr>
        <w:t xml:space="preserve"> is required to be provided under section 96 of the Act to each registered provider that has been allocated places.</w:t>
      </w:r>
    </w:p>
    <w:p w14:paraId="568BD5EE" w14:textId="77777777" w:rsidR="009D0601" w:rsidRPr="009D0601" w:rsidRDefault="009D0601" w:rsidP="009D0601">
      <w:pPr>
        <w:pStyle w:val="ListParagraph"/>
        <w:numPr>
          <w:ilvl w:val="0"/>
          <w:numId w:val="25"/>
        </w:numPr>
        <w:ind w:left="360"/>
        <w:rPr>
          <w:rFonts w:cs="Arial"/>
          <w:color w:val="1E1544" w:themeColor="text1"/>
        </w:rPr>
      </w:pPr>
      <w:r w:rsidRPr="009D0601">
        <w:rPr>
          <w:rFonts w:cs="Arial"/>
          <w:color w:val="1E1544" w:themeColor="text1"/>
        </w:rPr>
        <w:t>The Notices of Allocation will state:</w:t>
      </w:r>
    </w:p>
    <w:p w14:paraId="4D9AF5EF" w14:textId="77777777" w:rsidR="009D0601" w:rsidRPr="009D0601" w:rsidRDefault="009D0601" w:rsidP="009D0601">
      <w:pPr>
        <w:pStyle w:val="ListParagraph"/>
        <w:numPr>
          <w:ilvl w:val="0"/>
          <w:numId w:val="26"/>
        </w:numPr>
        <w:rPr>
          <w:rFonts w:cs="Arial"/>
          <w:color w:val="1E1544" w:themeColor="text1"/>
        </w:rPr>
      </w:pPr>
      <w:r w:rsidRPr="009D0601">
        <w:rPr>
          <w:rFonts w:cs="Arial"/>
          <w:color w:val="1E1544" w:themeColor="text1"/>
        </w:rPr>
        <w:t xml:space="preserve">the applicable service groups (i.e. home support service types, residential care service types and assistive technology service types) nominated registered providers of the State or Territory will be delivering TCP services under, depending on the identified TCP service delivery </w:t>
      </w:r>
      <w:proofErr w:type="gramStart"/>
      <w:r w:rsidRPr="009D0601">
        <w:rPr>
          <w:rFonts w:cs="Arial"/>
          <w:color w:val="1E1544" w:themeColor="text1"/>
        </w:rPr>
        <w:t>setting;</w:t>
      </w:r>
      <w:proofErr w:type="gramEnd"/>
    </w:p>
    <w:p w14:paraId="4CD9AFEF" w14:textId="77777777" w:rsidR="009D0601" w:rsidRPr="009D0601" w:rsidRDefault="009D0601" w:rsidP="009D0601">
      <w:pPr>
        <w:pStyle w:val="ListParagraph"/>
        <w:numPr>
          <w:ilvl w:val="0"/>
          <w:numId w:val="26"/>
        </w:numPr>
        <w:rPr>
          <w:rFonts w:cs="Arial"/>
          <w:color w:val="1E1544" w:themeColor="text1"/>
        </w:rPr>
      </w:pPr>
      <w:r w:rsidRPr="009D0601">
        <w:rPr>
          <w:rFonts w:cs="Arial"/>
          <w:color w:val="1E1544" w:themeColor="text1"/>
        </w:rPr>
        <w:t>any condition on the allocation of the places; and</w:t>
      </w:r>
    </w:p>
    <w:p w14:paraId="563F430F" w14:textId="77777777" w:rsidR="009D0601" w:rsidRPr="009D0601" w:rsidRDefault="009D0601" w:rsidP="009D0601">
      <w:pPr>
        <w:pStyle w:val="ListParagraph"/>
        <w:numPr>
          <w:ilvl w:val="0"/>
          <w:numId w:val="26"/>
        </w:numPr>
        <w:rPr>
          <w:rFonts w:cs="Arial"/>
          <w:color w:val="1E1544" w:themeColor="text1"/>
        </w:rPr>
      </w:pPr>
      <w:r w:rsidRPr="009D0601">
        <w:rPr>
          <w:rFonts w:cs="Arial"/>
          <w:color w:val="1E1544" w:themeColor="text1"/>
        </w:rPr>
        <w:t>details about when the places take effect.</w:t>
      </w:r>
    </w:p>
    <w:p w14:paraId="53FC6B1E" w14:textId="15F79212" w:rsidR="009D0601" w:rsidRPr="009D0601" w:rsidRDefault="009D0601" w:rsidP="009D0601">
      <w:pPr>
        <w:pStyle w:val="ListParagraph"/>
        <w:numPr>
          <w:ilvl w:val="0"/>
          <w:numId w:val="25"/>
        </w:numPr>
        <w:ind w:left="360"/>
        <w:rPr>
          <w:rFonts w:cs="Arial"/>
          <w:color w:val="1E1544" w:themeColor="text1"/>
        </w:rPr>
      </w:pPr>
      <w:r w:rsidRPr="009D0601">
        <w:rPr>
          <w:rFonts w:cs="Arial"/>
          <w:color w:val="1E1544" w:themeColor="text1"/>
        </w:rPr>
        <w:t xml:space="preserve">The </w:t>
      </w:r>
      <w:r w:rsidR="007423EB">
        <w:rPr>
          <w:rFonts w:cs="Arial"/>
          <w:color w:val="1E1544" w:themeColor="text1"/>
        </w:rPr>
        <w:t>d</w:t>
      </w:r>
      <w:r w:rsidRPr="009D0601">
        <w:rPr>
          <w:rFonts w:cs="Arial"/>
          <w:color w:val="1E1544" w:themeColor="text1"/>
        </w:rPr>
        <w:t xml:space="preserve">epartment will distribute Notices of Allocation to </w:t>
      </w:r>
      <w:r w:rsidR="007D4B69">
        <w:rPr>
          <w:rFonts w:cs="Arial"/>
          <w:color w:val="1E1544" w:themeColor="text1"/>
        </w:rPr>
        <w:t>s</w:t>
      </w:r>
      <w:r w:rsidRPr="009D0601">
        <w:rPr>
          <w:rFonts w:cs="Arial"/>
          <w:color w:val="1E1544" w:themeColor="text1"/>
        </w:rPr>
        <w:t>tate/</w:t>
      </w:r>
      <w:r w:rsidR="007D4B69">
        <w:rPr>
          <w:rFonts w:cs="Arial"/>
          <w:color w:val="1E1544" w:themeColor="text1"/>
        </w:rPr>
        <w:t>t</w:t>
      </w:r>
      <w:r w:rsidRPr="009D0601">
        <w:rPr>
          <w:rFonts w:cs="Arial"/>
          <w:color w:val="1E1544" w:themeColor="text1"/>
        </w:rPr>
        <w:t xml:space="preserve">erritory </w:t>
      </w:r>
      <w:r w:rsidR="007D4B69">
        <w:rPr>
          <w:rFonts w:cs="Arial"/>
          <w:color w:val="1E1544" w:themeColor="text1"/>
        </w:rPr>
        <w:t>g</w:t>
      </w:r>
      <w:r w:rsidRPr="009D0601">
        <w:rPr>
          <w:rFonts w:cs="Arial"/>
          <w:color w:val="1E1544" w:themeColor="text1"/>
        </w:rPr>
        <w:t>overnments in the first instance.</w:t>
      </w:r>
    </w:p>
    <w:p w14:paraId="15A6417B" w14:textId="42038795" w:rsidR="009D0601" w:rsidRPr="009D0601" w:rsidRDefault="000F2A89" w:rsidP="009D0601">
      <w:pPr>
        <w:pStyle w:val="ListParagraph"/>
        <w:numPr>
          <w:ilvl w:val="0"/>
          <w:numId w:val="27"/>
        </w:numPr>
        <w:rPr>
          <w:rFonts w:cs="Arial"/>
          <w:color w:val="1E1544" w:themeColor="text1"/>
        </w:rPr>
      </w:pPr>
      <w:r>
        <w:rPr>
          <w:rFonts w:cs="Arial"/>
          <w:color w:val="1E1544" w:themeColor="text1"/>
        </w:rPr>
        <w:t>W</w:t>
      </w:r>
      <w:r w:rsidR="009D0601" w:rsidRPr="009D0601">
        <w:rPr>
          <w:rFonts w:cs="Arial"/>
          <w:color w:val="1E1544" w:themeColor="text1"/>
        </w:rPr>
        <w:t xml:space="preserve">here applicable, </w:t>
      </w:r>
      <w:r>
        <w:rPr>
          <w:rFonts w:cs="Arial"/>
          <w:color w:val="1E1544" w:themeColor="text1"/>
        </w:rPr>
        <w:t>s</w:t>
      </w:r>
      <w:r w:rsidR="009D0601" w:rsidRPr="009D0601">
        <w:rPr>
          <w:rFonts w:cs="Arial"/>
          <w:color w:val="1E1544" w:themeColor="text1"/>
        </w:rPr>
        <w:t>tate/</w:t>
      </w:r>
      <w:r>
        <w:rPr>
          <w:rFonts w:cs="Arial"/>
          <w:color w:val="1E1544" w:themeColor="text1"/>
        </w:rPr>
        <w:t>t</w:t>
      </w:r>
      <w:r w:rsidR="009D0601" w:rsidRPr="009D0601">
        <w:rPr>
          <w:rFonts w:cs="Arial"/>
          <w:color w:val="1E1544" w:themeColor="text1"/>
        </w:rPr>
        <w:t xml:space="preserve">erritory </w:t>
      </w:r>
      <w:r>
        <w:rPr>
          <w:rFonts w:cs="Arial"/>
          <w:color w:val="1E1544" w:themeColor="text1"/>
        </w:rPr>
        <w:t>g</w:t>
      </w:r>
      <w:r w:rsidR="009D0601" w:rsidRPr="009D0601">
        <w:rPr>
          <w:rFonts w:cs="Arial"/>
          <w:color w:val="1E1544" w:themeColor="text1"/>
        </w:rPr>
        <w:t>overnments will be responsible for forwarding these to their nominated registered providers within 14 days of the date the Notices of Allocation were signed. The 14-day timeframe is a requirement stipulated under section 96 of the Act.</w:t>
      </w:r>
    </w:p>
    <w:p w14:paraId="70A6F6EE" w14:textId="56470401" w:rsidR="00677BC9" w:rsidRDefault="0041065F" w:rsidP="0041065F">
      <w:pPr>
        <w:pStyle w:val="Heading3"/>
      </w:pPr>
      <w:r>
        <w:t xml:space="preserve">What </w:t>
      </w:r>
      <w:proofErr w:type="gramStart"/>
      <w:r>
        <w:t>are</w:t>
      </w:r>
      <w:proofErr w:type="gramEnd"/>
      <w:r>
        <w:t xml:space="preserve"> the Annual Accountability Report (AAR) processes under the new Act and Rules?</w:t>
      </w:r>
    </w:p>
    <w:p w14:paraId="0A3D5DE4" w14:textId="5E84BF1F" w:rsidR="00E24023" w:rsidRPr="00CB1B1A" w:rsidRDefault="00CB1B1A" w:rsidP="00E24023">
      <w:pPr>
        <w:pStyle w:val="ListParagraph"/>
        <w:numPr>
          <w:ilvl w:val="0"/>
          <w:numId w:val="24"/>
        </w:numPr>
        <w:ind w:left="360"/>
        <w:rPr>
          <w:rFonts w:cs="Arial"/>
          <w:color w:val="1E1544" w:themeColor="text1"/>
        </w:rPr>
      </w:pPr>
      <w:r>
        <w:rPr>
          <w:rFonts w:cs="Arial"/>
          <w:color w:val="1E1544" w:themeColor="text1"/>
        </w:rPr>
        <w:t>Annual Accountability Reports</w:t>
      </w:r>
      <w:r w:rsidR="00E24023" w:rsidRPr="00CB1B1A">
        <w:rPr>
          <w:rFonts w:cs="Arial"/>
          <w:color w:val="1E1544" w:themeColor="text1"/>
        </w:rPr>
        <w:t xml:space="preserve"> are referred to in section 166-745 of the Rules.</w:t>
      </w:r>
    </w:p>
    <w:p w14:paraId="6F479B25" w14:textId="77777777" w:rsidR="00E24023" w:rsidRPr="00CB1B1A" w:rsidRDefault="00E24023" w:rsidP="00E24023">
      <w:pPr>
        <w:pStyle w:val="ListParagraph"/>
        <w:numPr>
          <w:ilvl w:val="0"/>
          <w:numId w:val="24"/>
        </w:numPr>
        <w:ind w:left="360"/>
        <w:rPr>
          <w:rFonts w:cs="Arial"/>
          <w:b/>
          <w:bCs/>
          <w:color w:val="1E1544" w:themeColor="text1"/>
        </w:rPr>
      </w:pPr>
      <w:r w:rsidRPr="00CB1B1A">
        <w:rPr>
          <w:rFonts w:cs="Arial"/>
          <w:color w:val="1E1544" w:themeColor="text1"/>
        </w:rPr>
        <w:t xml:space="preserve">There are </w:t>
      </w:r>
      <w:r w:rsidRPr="00CB1B1A">
        <w:rPr>
          <w:rFonts w:cs="Arial"/>
          <w:b/>
          <w:bCs/>
          <w:color w:val="1E1544" w:themeColor="text1"/>
        </w:rPr>
        <w:t>no changes to what is needed to be reported in AARs under the new Act.</w:t>
      </w:r>
    </w:p>
    <w:p w14:paraId="2917C9FE" w14:textId="1648721D" w:rsidR="00E24023" w:rsidRDefault="00E24023" w:rsidP="00E24023">
      <w:pPr>
        <w:pStyle w:val="ListParagraph"/>
        <w:numPr>
          <w:ilvl w:val="0"/>
          <w:numId w:val="24"/>
        </w:numPr>
        <w:ind w:left="360"/>
        <w:rPr>
          <w:rFonts w:cs="Arial"/>
          <w:color w:val="1E1544" w:themeColor="text1"/>
        </w:rPr>
      </w:pPr>
      <w:r w:rsidRPr="00CB1B1A">
        <w:rPr>
          <w:rFonts w:cs="Arial"/>
          <w:color w:val="1E1544" w:themeColor="text1"/>
        </w:rPr>
        <w:t xml:space="preserve">While the new Act and Rules state that registered providers are to submit the AARs to the System Governor, it will be a decision for each </w:t>
      </w:r>
      <w:r w:rsidR="00CB1B1A">
        <w:rPr>
          <w:rFonts w:cs="Arial"/>
          <w:color w:val="1E1544" w:themeColor="text1"/>
        </w:rPr>
        <w:t>s</w:t>
      </w:r>
      <w:r w:rsidRPr="00CB1B1A">
        <w:rPr>
          <w:rFonts w:cs="Arial"/>
          <w:color w:val="1E1544" w:themeColor="text1"/>
        </w:rPr>
        <w:t xml:space="preserve">tate and </w:t>
      </w:r>
      <w:r w:rsidR="00CB1B1A">
        <w:rPr>
          <w:rFonts w:cs="Arial"/>
          <w:color w:val="1E1544" w:themeColor="text1"/>
        </w:rPr>
        <w:t>t</w:t>
      </w:r>
      <w:r w:rsidRPr="00CB1B1A">
        <w:rPr>
          <w:rFonts w:cs="Arial"/>
          <w:color w:val="1E1544" w:themeColor="text1"/>
        </w:rPr>
        <w:t xml:space="preserve">erritory as to whether they continue to collate the AAR reports from their nominated registered providers and provide a combined pack to the TCP </w:t>
      </w:r>
      <w:r w:rsidR="00CB60DB">
        <w:rPr>
          <w:rFonts w:cs="Arial"/>
          <w:color w:val="1E1544" w:themeColor="text1"/>
        </w:rPr>
        <w:t>t</w:t>
      </w:r>
      <w:r w:rsidRPr="00CB1B1A">
        <w:rPr>
          <w:rFonts w:cs="Arial"/>
          <w:color w:val="1E1544" w:themeColor="text1"/>
        </w:rPr>
        <w:t xml:space="preserve">eam annually, or request that their nominated registered providers send them directly to the Commonwealth. </w:t>
      </w:r>
    </w:p>
    <w:p w14:paraId="024B74AB" w14:textId="198E3B5D" w:rsidR="00CB60DB" w:rsidRDefault="00CB60DB" w:rsidP="00CB60DB">
      <w:pPr>
        <w:pStyle w:val="Heading3"/>
      </w:pPr>
      <w:r>
        <w:t>What parts of the new Act and Rules apply to the TCP?</w:t>
      </w:r>
    </w:p>
    <w:p w14:paraId="6B68672B" w14:textId="77777777" w:rsidR="00F75865" w:rsidRPr="009E0E2E" w:rsidRDefault="00F75865" w:rsidP="00F75865">
      <w:pPr>
        <w:pStyle w:val="ListParagraph"/>
        <w:numPr>
          <w:ilvl w:val="0"/>
          <w:numId w:val="24"/>
        </w:numPr>
        <w:ind w:left="360"/>
        <w:rPr>
          <w:rFonts w:cs="Arial"/>
          <w:color w:val="1E1544" w:themeColor="text1"/>
        </w:rPr>
      </w:pPr>
      <w:r w:rsidRPr="009E0E2E">
        <w:rPr>
          <w:rFonts w:cs="Arial"/>
          <w:color w:val="1E1544" w:themeColor="text1"/>
        </w:rPr>
        <w:t xml:space="preserve">The key provisions of the </w:t>
      </w:r>
      <w:r w:rsidRPr="009E0E2E">
        <w:rPr>
          <w:rFonts w:cs="Arial"/>
          <w:i/>
          <w:iCs/>
          <w:color w:val="1E1544" w:themeColor="text1"/>
        </w:rPr>
        <w:t>Aged Care Act 2024</w:t>
      </w:r>
      <w:r w:rsidRPr="009E0E2E">
        <w:rPr>
          <w:rFonts w:cs="Arial"/>
          <w:color w:val="1E1544" w:themeColor="text1"/>
        </w:rPr>
        <w:t xml:space="preserve"> and Aged Care Rules 2025 that apply to the TCP are listed below. The new provisions will be reflected in the updated TCP Guidelines.  </w:t>
      </w:r>
    </w:p>
    <w:p w14:paraId="6C82D684" w14:textId="77777777" w:rsidR="00A45A4C" w:rsidRPr="00EE32B3" w:rsidRDefault="00A45A4C" w:rsidP="00A45A4C">
      <w:pPr>
        <w:spacing w:before="240"/>
        <w:rPr>
          <w:rFonts w:cs="Arial"/>
          <w:b/>
          <w:bCs/>
          <w:color w:val="2AB1BB" w:themeColor="accent1"/>
          <w:szCs w:val="22"/>
        </w:rPr>
      </w:pPr>
      <w:hyperlink r:id="rId13" w:history="1">
        <w:r w:rsidRPr="00EE32B3">
          <w:rPr>
            <w:rStyle w:val="Hyperlink"/>
            <w:rFonts w:cs="Arial"/>
            <w:b/>
            <w:bCs/>
            <w:color w:val="2AB1BB" w:themeColor="accent1"/>
            <w:szCs w:val="22"/>
          </w:rPr>
          <w:t>Aged Care Act 2024</w:t>
        </w:r>
      </w:hyperlink>
    </w:p>
    <w:p w14:paraId="726C8926" w14:textId="77777777" w:rsidR="00A45A4C" w:rsidRPr="00EC7BF2" w:rsidRDefault="00A45A4C" w:rsidP="00A45A4C">
      <w:pPr>
        <w:numPr>
          <w:ilvl w:val="0"/>
          <w:numId w:val="28"/>
        </w:numPr>
        <w:spacing w:before="0" w:after="160" w:line="259" w:lineRule="auto"/>
        <w:rPr>
          <w:rFonts w:cs="Arial"/>
          <w:color w:val="1E1544" w:themeColor="text1"/>
          <w:szCs w:val="22"/>
        </w:rPr>
      </w:pPr>
      <w:r w:rsidRPr="00EC7BF2">
        <w:rPr>
          <w:rFonts w:cs="Arial"/>
          <w:color w:val="1E1544" w:themeColor="text1"/>
          <w:szCs w:val="22"/>
        </w:rPr>
        <w:t>Section 7 – definition of the TCP</w:t>
      </w:r>
    </w:p>
    <w:p w14:paraId="48D6791B" w14:textId="77777777" w:rsidR="00A45A4C" w:rsidRPr="00EC7BF2" w:rsidRDefault="00A45A4C" w:rsidP="00A45A4C">
      <w:pPr>
        <w:numPr>
          <w:ilvl w:val="0"/>
          <w:numId w:val="28"/>
        </w:numPr>
        <w:spacing w:before="0" w:after="160" w:line="259" w:lineRule="auto"/>
        <w:rPr>
          <w:rFonts w:cs="Arial"/>
          <w:color w:val="1E1544" w:themeColor="text1"/>
          <w:szCs w:val="22"/>
        </w:rPr>
      </w:pPr>
      <w:r w:rsidRPr="00EC7BF2">
        <w:rPr>
          <w:rFonts w:cs="Arial"/>
          <w:color w:val="1E1544" w:themeColor="text1"/>
          <w:szCs w:val="22"/>
        </w:rPr>
        <w:t xml:space="preserve">Section 10(2) – definition of Residential Care Home </w:t>
      </w:r>
    </w:p>
    <w:p w14:paraId="66F0D5DA" w14:textId="77777777" w:rsidR="00A45A4C" w:rsidRPr="00EC7BF2" w:rsidRDefault="00A45A4C" w:rsidP="00A45A4C">
      <w:pPr>
        <w:numPr>
          <w:ilvl w:val="0"/>
          <w:numId w:val="28"/>
        </w:numPr>
        <w:spacing w:before="0" w:after="160" w:line="259" w:lineRule="auto"/>
        <w:rPr>
          <w:rFonts w:cs="Arial"/>
          <w:color w:val="1E1544" w:themeColor="text1"/>
          <w:szCs w:val="22"/>
        </w:rPr>
      </w:pPr>
      <w:r w:rsidRPr="00EC7BF2">
        <w:rPr>
          <w:rFonts w:cs="Arial"/>
          <w:color w:val="1E1544" w:themeColor="text1"/>
          <w:szCs w:val="22"/>
        </w:rPr>
        <w:t xml:space="preserve">Section 11(2) – definition of a Registered Provider </w:t>
      </w:r>
    </w:p>
    <w:p w14:paraId="4048EC41" w14:textId="77777777" w:rsidR="00A45A4C" w:rsidRPr="00EC7BF2" w:rsidRDefault="00A45A4C" w:rsidP="00A45A4C">
      <w:pPr>
        <w:numPr>
          <w:ilvl w:val="0"/>
          <w:numId w:val="28"/>
        </w:numPr>
        <w:spacing w:before="0" w:after="160" w:line="259" w:lineRule="auto"/>
        <w:rPr>
          <w:rFonts w:cs="Arial"/>
          <w:color w:val="1E1544" w:themeColor="text1"/>
          <w:szCs w:val="22"/>
        </w:rPr>
      </w:pPr>
      <w:r w:rsidRPr="00EC7BF2">
        <w:rPr>
          <w:rFonts w:cs="Arial"/>
          <w:color w:val="1E1544" w:themeColor="text1"/>
          <w:szCs w:val="22"/>
        </w:rPr>
        <w:t xml:space="preserve">Section 11(6) – definition of Associated Provider </w:t>
      </w:r>
    </w:p>
    <w:p w14:paraId="489C4E35" w14:textId="77777777" w:rsidR="00A45A4C" w:rsidRPr="00EC7BF2" w:rsidRDefault="00A45A4C" w:rsidP="00A45A4C">
      <w:pPr>
        <w:numPr>
          <w:ilvl w:val="0"/>
          <w:numId w:val="28"/>
        </w:numPr>
        <w:spacing w:before="0" w:after="160" w:line="259" w:lineRule="auto"/>
        <w:rPr>
          <w:rFonts w:cs="Arial"/>
          <w:color w:val="1E1544" w:themeColor="text1"/>
          <w:szCs w:val="22"/>
        </w:rPr>
      </w:pPr>
      <w:r w:rsidRPr="00EC7BF2">
        <w:rPr>
          <w:rFonts w:cs="Arial"/>
          <w:color w:val="1E1544" w:themeColor="text1"/>
          <w:szCs w:val="22"/>
        </w:rPr>
        <w:t xml:space="preserve">Section 12 – definition of Responsible Person  </w:t>
      </w:r>
    </w:p>
    <w:p w14:paraId="2F7123DE" w14:textId="77777777" w:rsidR="00A45A4C" w:rsidRPr="00EC7BF2" w:rsidRDefault="00A45A4C" w:rsidP="00A45A4C">
      <w:pPr>
        <w:numPr>
          <w:ilvl w:val="0"/>
          <w:numId w:val="28"/>
        </w:numPr>
        <w:spacing w:before="0" w:after="160" w:line="259" w:lineRule="auto"/>
        <w:rPr>
          <w:rFonts w:cs="Arial"/>
          <w:color w:val="1E1544" w:themeColor="text1"/>
          <w:szCs w:val="22"/>
        </w:rPr>
      </w:pPr>
      <w:r w:rsidRPr="00EC7BF2">
        <w:rPr>
          <w:rFonts w:cs="Arial"/>
          <w:color w:val="1E1544" w:themeColor="text1"/>
          <w:szCs w:val="22"/>
        </w:rPr>
        <w:lastRenderedPageBreak/>
        <w:t>Sections 57-71 – applying for aged care services, aged care needs assessments/reassessments, and approval of access to funded aged care services</w:t>
      </w:r>
    </w:p>
    <w:p w14:paraId="2279C29C" w14:textId="77777777" w:rsidR="00A45A4C" w:rsidRPr="00EC7BF2" w:rsidRDefault="00A45A4C" w:rsidP="00A45A4C">
      <w:pPr>
        <w:numPr>
          <w:ilvl w:val="0"/>
          <w:numId w:val="28"/>
        </w:numPr>
        <w:spacing w:before="0" w:after="160" w:line="259" w:lineRule="auto"/>
        <w:rPr>
          <w:rFonts w:cs="Arial"/>
          <w:color w:val="1E1544" w:themeColor="text1"/>
          <w:szCs w:val="22"/>
        </w:rPr>
      </w:pPr>
      <w:r w:rsidRPr="00EC7BF2">
        <w:rPr>
          <w:rFonts w:cs="Arial"/>
          <w:color w:val="1E1544" w:themeColor="text1"/>
          <w:szCs w:val="22"/>
        </w:rPr>
        <w:t>Sections 95-101 – allocation of TCP places</w:t>
      </w:r>
    </w:p>
    <w:p w14:paraId="342B8EAC" w14:textId="77777777" w:rsidR="00A45A4C" w:rsidRPr="00EC7BF2" w:rsidRDefault="00A45A4C" w:rsidP="00A45A4C">
      <w:pPr>
        <w:numPr>
          <w:ilvl w:val="0"/>
          <w:numId w:val="28"/>
        </w:numPr>
        <w:spacing w:before="0" w:after="160" w:line="259" w:lineRule="auto"/>
        <w:rPr>
          <w:rFonts w:cs="Arial"/>
          <w:color w:val="1E1544" w:themeColor="text1"/>
          <w:szCs w:val="22"/>
        </w:rPr>
      </w:pPr>
      <w:r w:rsidRPr="00EC7BF2">
        <w:rPr>
          <w:rFonts w:cs="Arial"/>
          <w:color w:val="1E1544" w:themeColor="text1"/>
          <w:szCs w:val="22"/>
        </w:rPr>
        <w:t>Section 147 – commitment to continuous improvement and continuous improvement plan</w:t>
      </w:r>
    </w:p>
    <w:p w14:paraId="060D3893" w14:textId="77777777" w:rsidR="00A45A4C" w:rsidRPr="00EC7BF2" w:rsidRDefault="00A45A4C" w:rsidP="00A45A4C">
      <w:pPr>
        <w:numPr>
          <w:ilvl w:val="0"/>
          <w:numId w:val="28"/>
        </w:numPr>
        <w:spacing w:before="0" w:after="160" w:line="259" w:lineRule="auto"/>
        <w:rPr>
          <w:rFonts w:cs="Arial"/>
          <w:color w:val="1E1544" w:themeColor="text1"/>
          <w:szCs w:val="22"/>
        </w:rPr>
      </w:pPr>
      <w:r w:rsidRPr="00EC7BF2">
        <w:rPr>
          <w:rFonts w:cs="Arial"/>
          <w:color w:val="1E1544" w:themeColor="text1"/>
          <w:szCs w:val="22"/>
        </w:rPr>
        <w:t>Section 148 – conditions related to the delivery of funded aged care services</w:t>
      </w:r>
    </w:p>
    <w:p w14:paraId="44401BF2" w14:textId="77777777" w:rsidR="00A45A4C" w:rsidRPr="00EC7BF2" w:rsidRDefault="00A45A4C" w:rsidP="00A45A4C">
      <w:pPr>
        <w:numPr>
          <w:ilvl w:val="0"/>
          <w:numId w:val="28"/>
        </w:numPr>
        <w:spacing w:before="0" w:after="160" w:line="259" w:lineRule="auto"/>
        <w:rPr>
          <w:rFonts w:cs="Arial"/>
          <w:color w:val="1E1544" w:themeColor="text1"/>
          <w:szCs w:val="22"/>
        </w:rPr>
      </w:pPr>
      <w:r w:rsidRPr="00EC7BF2">
        <w:rPr>
          <w:rFonts w:cs="Arial"/>
          <w:color w:val="1E1544" w:themeColor="text1"/>
          <w:szCs w:val="22"/>
        </w:rPr>
        <w:t xml:space="preserve">Section 152 – condition of registration relating to worker screening and qualification and training requirements </w:t>
      </w:r>
    </w:p>
    <w:p w14:paraId="6A7CE3C2" w14:textId="77777777" w:rsidR="00A45A4C" w:rsidRPr="00EC7BF2" w:rsidRDefault="00A45A4C" w:rsidP="00A45A4C">
      <w:pPr>
        <w:numPr>
          <w:ilvl w:val="0"/>
          <w:numId w:val="28"/>
        </w:numPr>
        <w:spacing w:before="0" w:after="160" w:line="259" w:lineRule="auto"/>
        <w:rPr>
          <w:rFonts w:cs="Arial"/>
          <w:color w:val="1E1544" w:themeColor="text1"/>
          <w:szCs w:val="22"/>
        </w:rPr>
      </w:pPr>
      <w:r w:rsidRPr="00EC7BF2">
        <w:rPr>
          <w:rFonts w:cs="Arial"/>
          <w:color w:val="1E1544" w:themeColor="text1"/>
          <w:szCs w:val="22"/>
        </w:rPr>
        <w:t xml:space="preserve">Sections 162-163 - conditions of registration related to restrictive practices </w:t>
      </w:r>
    </w:p>
    <w:p w14:paraId="543A894E" w14:textId="77777777" w:rsidR="00A45A4C" w:rsidRPr="00EC7BF2" w:rsidRDefault="00A45A4C" w:rsidP="00A45A4C">
      <w:pPr>
        <w:numPr>
          <w:ilvl w:val="0"/>
          <w:numId w:val="28"/>
        </w:numPr>
        <w:spacing w:before="0" w:after="160" w:line="259" w:lineRule="auto"/>
        <w:rPr>
          <w:rFonts w:cs="Arial"/>
          <w:color w:val="1E1544" w:themeColor="text1"/>
          <w:szCs w:val="22"/>
        </w:rPr>
      </w:pPr>
      <w:r w:rsidRPr="00EC7BF2">
        <w:rPr>
          <w:rFonts w:cs="Arial"/>
          <w:color w:val="1E1544" w:themeColor="text1"/>
          <w:szCs w:val="22"/>
        </w:rPr>
        <w:t>Sections 164-165 – management of incidents and complaints</w:t>
      </w:r>
    </w:p>
    <w:p w14:paraId="64B24A87" w14:textId="77777777" w:rsidR="00A45A4C" w:rsidRPr="00EC7BF2" w:rsidRDefault="00A45A4C" w:rsidP="00A45A4C">
      <w:pPr>
        <w:numPr>
          <w:ilvl w:val="0"/>
          <w:numId w:val="28"/>
        </w:numPr>
        <w:spacing w:before="0" w:after="160" w:line="259" w:lineRule="auto"/>
        <w:rPr>
          <w:rFonts w:cs="Arial"/>
          <w:color w:val="1E1544" w:themeColor="text1"/>
          <w:szCs w:val="22"/>
        </w:rPr>
      </w:pPr>
      <w:r w:rsidRPr="00EC7BF2">
        <w:rPr>
          <w:rFonts w:cs="Arial"/>
          <w:color w:val="1E1544" w:themeColor="text1"/>
          <w:szCs w:val="22"/>
        </w:rPr>
        <w:t>Section 167 – obligations relating to reporting a change of circumstances</w:t>
      </w:r>
    </w:p>
    <w:p w14:paraId="26E20B0A" w14:textId="77777777" w:rsidR="00A45A4C" w:rsidRPr="00EC7BF2" w:rsidRDefault="00A45A4C" w:rsidP="00A45A4C">
      <w:pPr>
        <w:numPr>
          <w:ilvl w:val="0"/>
          <w:numId w:val="28"/>
        </w:numPr>
        <w:spacing w:before="0" w:after="160" w:line="259" w:lineRule="auto"/>
        <w:rPr>
          <w:rFonts w:cs="Arial"/>
          <w:color w:val="1E1544" w:themeColor="text1"/>
          <w:szCs w:val="22"/>
        </w:rPr>
      </w:pPr>
      <w:r w:rsidRPr="00EC7BF2">
        <w:rPr>
          <w:rFonts w:cs="Arial"/>
          <w:color w:val="1E1544" w:themeColor="text1"/>
          <w:szCs w:val="22"/>
        </w:rPr>
        <w:t xml:space="preserve">Section 168 – obligations relating to protection of personal information </w:t>
      </w:r>
    </w:p>
    <w:p w14:paraId="48CE4AFC" w14:textId="77777777" w:rsidR="00A45A4C" w:rsidRPr="00EC7BF2" w:rsidRDefault="00A45A4C" w:rsidP="00A45A4C">
      <w:pPr>
        <w:numPr>
          <w:ilvl w:val="0"/>
          <w:numId w:val="28"/>
        </w:numPr>
        <w:spacing w:before="0" w:after="160" w:line="259" w:lineRule="auto"/>
        <w:rPr>
          <w:rFonts w:cs="Arial"/>
          <w:color w:val="1E1544" w:themeColor="text1"/>
          <w:szCs w:val="22"/>
        </w:rPr>
      </w:pPr>
      <w:r w:rsidRPr="00EC7BF2">
        <w:rPr>
          <w:rFonts w:cs="Arial"/>
          <w:color w:val="1E1544" w:themeColor="text1"/>
          <w:szCs w:val="22"/>
        </w:rPr>
        <w:t>Sections 173-174 – obligations to comply with the Aged Care Code of Conduct for aged care workers and responsible persons</w:t>
      </w:r>
    </w:p>
    <w:p w14:paraId="2D1F82E9" w14:textId="77777777" w:rsidR="00A45A4C" w:rsidRPr="00EC7BF2" w:rsidRDefault="00A45A4C" w:rsidP="00A45A4C">
      <w:pPr>
        <w:numPr>
          <w:ilvl w:val="0"/>
          <w:numId w:val="28"/>
        </w:numPr>
        <w:spacing w:before="0" w:after="160" w:line="259" w:lineRule="auto"/>
        <w:rPr>
          <w:rFonts w:cs="Arial"/>
          <w:color w:val="1E1544" w:themeColor="text1"/>
          <w:szCs w:val="22"/>
        </w:rPr>
      </w:pPr>
      <w:r w:rsidRPr="00EC7BF2">
        <w:rPr>
          <w:rFonts w:cs="Arial"/>
          <w:color w:val="1E1544" w:themeColor="text1"/>
          <w:szCs w:val="22"/>
        </w:rPr>
        <w:t>Sections 247 and 248 – subsidy for certain specialist aged care programs</w:t>
      </w:r>
    </w:p>
    <w:p w14:paraId="2CEDE48F" w14:textId="77777777" w:rsidR="00A45A4C" w:rsidRPr="00EC7BF2" w:rsidRDefault="00A45A4C" w:rsidP="00A45A4C">
      <w:pPr>
        <w:numPr>
          <w:ilvl w:val="0"/>
          <w:numId w:val="28"/>
        </w:numPr>
        <w:spacing w:before="0" w:after="160" w:line="259" w:lineRule="auto"/>
        <w:rPr>
          <w:rFonts w:cs="Arial"/>
          <w:color w:val="1E1544" w:themeColor="text1"/>
          <w:szCs w:val="22"/>
        </w:rPr>
      </w:pPr>
      <w:r w:rsidRPr="00EC7BF2">
        <w:rPr>
          <w:rFonts w:cs="Arial"/>
          <w:color w:val="1E1544" w:themeColor="text1"/>
          <w:szCs w:val="22"/>
        </w:rPr>
        <w:t>Section 260 – claims and payment of subsidies</w:t>
      </w:r>
    </w:p>
    <w:p w14:paraId="3D661977" w14:textId="77777777" w:rsidR="00A45A4C" w:rsidRPr="00EC7BF2" w:rsidRDefault="00A45A4C" w:rsidP="00A45A4C">
      <w:pPr>
        <w:numPr>
          <w:ilvl w:val="0"/>
          <w:numId w:val="28"/>
        </w:numPr>
        <w:spacing w:before="0" w:after="160" w:line="259" w:lineRule="auto"/>
        <w:rPr>
          <w:rFonts w:cs="Arial"/>
          <w:color w:val="1E1544" w:themeColor="text1"/>
          <w:szCs w:val="22"/>
        </w:rPr>
      </w:pPr>
      <w:r w:rsidRPr="00EC7BF2">
        <w:rPr>
          <w:rFonts w:cs="Arial"/>
          <w:color w:val="1E1544" w:themeColor="text1"/>
          <w:szCs w:val="22"/>
        </w:rPr>
        <w:t xml:space="preserve">Section 286 – fees payable by individuals receiving transition care </w:t>
      </w:r>
    </w:p>
    <w:p w14:paraId="10EBCA11" w14:textId="77777777" w:rsidR="00A45A4C" w:rsidRPr="00EC7BF2" w:rsidRDefault="00A45A4C" w:rsidP="00A45A4C">
      <w:pPr>
        <w:numPr>
          <w:ilvl w:val="0"/>
          <w:numId w:val="28"/>
        </w:numPr>
        <w:spacing w:before="0" w:after="160" w:line="259" w:lineRule="auto"/>
        <w:rPr>
          <w:rFonts w:cs="Arial"/>
          <w:color w:val="1E1544" w:themeColor="text1"/>
          <w:szCs w:val="22"/>
        </w:rPr>
      </w:pPr>
      <w:r w:rsidRPr="00EC7BF2">
        <w:rPr>
          <w:rFonts w:cs="Arial"/>
          <w:color w:val="1E1544" w:themeColor="text1"/>
          <w:szCs w:val="22"/>
        </w:rPr>
        <w:t xml:space="preserve">Sections 537-542 – use and disclosure of protected information by the Commonwealth Government </w:t>
      </w:r>
    </w:p>
    <w:p w14:paraId="40B3ADDD" w14:textId="77777777" w:rsidR="00A45A4C" w:rsidRPr="00EC7BF2" w:rsidRDefault="00A45A4C" w:rsidP="00A45A4C">
      <w:pPr>
        <w:numPr>
          <w:ilvl w:val="0"/>
          <w:numId w:val="28"/>
        </w:numPr>
        <w:spacing w:before="0" w:after="160" w:line="259" w:lineRule="auto"/>
        <w:rPr>
          <w:rFonts w:cs="Arial"/>
          <w:color w:val="1E1544" w:themeColor="text1"/>
          <w:szCs w:val="22"/>
        </w:rPr>
      </w:pPr>
      <w:r w:rsidRPr="00EC7BF2">
        <w:rPr>
          <w:rFonts w:cs="Arial"/>
          <w:color w:val="1E1544" w:themeColor="text1"/>
          <w:szCs w:val="22"/>
        </w:rPr>
        <w:t>Section 543 – retention of records by former registered providers</w:t>
      </w:r>
    </w:p>
    <w:p w14:paraId="4821E042" w14:textId="77777777" w:rsidR="00A45A4C" w:rsidRPr="00EC7BF2" w:rsidRDefault="00A45A4C" w:rsidP="00A45A4C">
      <w:pPr>
        <w:numPr>
          <w:ilvl w:val="0"/>
          <w:numId w:val="29"/>
        </w:numPr>
        <w:spacing w:before="0" w:after="160" w:line="259" w:lineRule="auto"/>
        <w:rPr>
          <w:rFonts w:cs="Arial"/>
          <w:color w:val="1E1544" w:themeColor="text1"/>
          <w:szCs w:val="22"/>
        </w:rPr>
      </w:pPr>
      <w:r w:rsidRPr="00EC7BF2">
        <w:rPr>
          <w:rFonts w:cs="Arial"/>
          <w:color w:val="1E1544" w:themeColor="text1"/>
          <w:szCs w:val="22"/>
        </w:rPr>
        <w:t>Chapter 1, Part 3 – Aged Care Statement of Rights &amp; Aged Care Statement of Principles</w:t>
      </w:r>
    </w:p>
    <w:p w14:paraId="56A5302C" w14:textId="77777777" w:rsidR="00A45A4C" w:rsidRPr="00EC7BF2" w:rsidRDefault="00A45A4C" w:rsidP="00A45A4C">
      <w:pPr>
        <w:numPr>
          <w:ilvl w:val="0"/>
          <w:numId w:val="29"/>
        </w:numPr>
        <w:spacing w:before="0" w:after="160" w:line="259" w:lineRule="auto"/>
        <w:rPr>
          <w:rFonts w:cs="Arial"/>
          <w:color w:val="1E1544" w:themeColor="text1"/>
          <w:szCs w:val="22"/>
        </w:rPr>
      </w:pPr>
      <w:r w:rsidRPr="00EC7BF2">
        <w:rPr>
          <w:rFonts w:cs="Arial"/>
          <w:color w:val="1E1544" w:themeColor="text1"/>
          <w:szCs w:val="22"/>
        </w:rPr>
        <w:t>Chapter 3, Part 4 – obligations of registered providers etc. and conditions on registration of registered providers</w:t>
      </w:r>
    </w:p>
    <w:p w14:paraId="1A35ECEA" w14:textId="77777777" w:rsidR="00A45A4C" w:rsidRPr="00EC7BF2" w:rsidRDefault="00A45A4C" w:rsidP="00A45A4C">
      <w:pPr>
        <w:numPr>
          <w:ilvl w:val="0"/>
          <w:numId w:val="29"/>
        </w:numPr>
        <w:spacing w:before="0" w:after="160" w:line="259" w:lineRule="auto"/>
        <w:rPr>
          <w:rFonts w:cs="Arial"/>
          <w:color w:val="1E1544" w:themeColor="text1"/>
          <w:szCs w:val="22"/>
        </w:rPr>
      </w:pPr>
      <w:r w:rsidRPr="00EC7BF2">
        <w:rPr>
          <w:rFonts w:cs="Arial"/>
          <w:color w:val="1E1544" w:themeColor="text1"/>
          <w:szCs w:val="22"/>
        </w:rPr>
        <w:t xml:space="preserve">Chapter 6, Part 15, Division 1 – civil penalty provisions for false or misleading information </w:t>
      </w:r>
    </w:p>
    <w:p w14:paraId="0DFDDA5D" w14:textId="47BA13EA" w:rsidR="00A45A4C" w:rsidRPr="00EC7BF2" w:rsidRDefault="00A45A4C" w:rsidP="00A45A4C">
      <w:pPr>
        <w:numPr>
          <w:ilvl w:val="0"/>
          <w:numId w:val="29"/>
        </w:numPr>
        <w:spacing w:before="0" w:after="160" w:line="259" w:lineRule="auto"/>
        <w:rPr>
          <w:rFonts w:cs="Arial"/>
          <w:color w:val="1E1544" w:themeColor="text1"/>
          <w:szCs w:val="22"/>
        </w:rPr>
      </w:pPr>
      <w:r w:rsidRPr="00EC7BF2">
        <w:rPr>
          <w:rFonts w:cs="Arial"/>
          <w:color w:val="1E1544" w:themeColor="text1"/>
          <w:szCs w:val="22"/>
        </w:rPr>
        <w:t>Chapter 7, Part 5 – Whistleblower protections</w:t>
      </w:r>
    </w:p>
    <w:p w14:paraId="5EAEDABB" w14:textId="77777777" w:rsidR="00A45A4C" w:rsidRPr="00EC7BF2" w:rsidRDefault="00A45A4C" w:rsidP="00A45A4C">
      <w:pPr>
        <w:rPr>
          <w:rFonts w:cs="Arial"/>
          <w:b/>
          <w:bCs/>
          <w:color w:val="2AB1BB" w:themeColor="accent1"/>
          <w:szCs w:val="22"/>
        </w:rPr>
      </w:pPr>
      <w:hyperlink r:id="rId14" w:history="1">
        <w:r w:rsidRPr="00EC7BF2">
          <w:rPr>
            <w:rStyle w:val="Hyperlink"/>
            <w:rFonts w:cs="Arial"/>
            <w:b/>
            <w:bCs/>
            <w:color w:val="2AB1BB" w:themeColor="accent1"/>
            <w:szCs w:val="22"/>
          </w:rPr>
          <w:t>Aged Care Rules 2025</w:t>
        </w:r>
      </w:hyperlink>
    </w:p>
    <w:p w14:paraId="750A1391" w14:textId="77777777" w:rsidR="00A45A4C" w:rsidRPr="00EC7BF2" w:rsidRDefault="00A45A4C" w:rsidP="00A45A4C">
      <w:pPr>
        <w:numPr>
          <w:ilvl w:val="0"/>
          <w:numId w:val="30"/>
        </w:numPr>
        <w:spacing w:before="0" w:after="160" w:line="259" w:lineRule="auto"/>
        <w:rPr>
          <w:rFonts w:cs="Arial"/>
          <w:color w:val="1E1544" w:themeColor="text1"/>
          <w:szCs w:val="22"/>
        </w:rPr>
      </w:pPr>
      <w:r w:rsidRPr="00EC7BF2">
        <w:rPr>
          <w:rFonts w:cs="Arial"/>
          <w:color w:val="1E1544" w:themeColor="text1"/>
          <w:szCs w:val="22"/>
        </w:rPr>
        <w:t xml:space="preserve">Section 80-65 – applying for an extension to a TCP episode </w:t>
      </w:r>
    </w:p>
    <w:p w14:paraId="1E9DA780" w14:textId="77777777" w:rsidR="00A45A4C" w:rsidRPr="00EC7BF2" w:rsidRDefault="00A45A4C" w:rsidP="00A45A4C">
      <w:pPr>
        <w:numPr>
          <w:ilvl w:val="0"/>
          <w:numId w:val="30"/>
        </w:numPr>
        <w:spacing w:before="0" w:after="160" w:line="259" w:lineRule="auto"/>
        <w:rPr>
          <w:rFonts w:cs="Arial"/>
          <w:color w:val="1E1544" w:themeColor="text1"/>
          <w:szCs w:val="22"/>
        </w:rPr>
      </w:pPr>
      <w:r w:rsidRPr="00EC7BF2">
        <w:rPr>
          <w:rFonts w:cs="Arial"/>
          <w:color w:val="1E1544" w:themeColor="text1"/>
          <w:szCs w:val="22"/>
        </w:rPr>
        <w:t>Sections 95-5-101-5 – allocation of a place to registered providers for certain specialist aged care programs</w:t>
      </w:r>
    </w:p>
    <w:p w14:paraId="212F9CDD" w14:textId="77777777" w:rsidR="00A45A4C" w:rsidRPr="00EC7BF2" w:rsidRDefault="00A45A4C" w:rsidP="00A45A4C">
      <w:pPr>
        <w:numPr>
          <w:ilvl w:val="0"/>
          <w:numId w:val="30"/>
        </w:numPr>
        <w:spacing w:before="0" w:after="160" w:line="259" w:lineRule="auto"/>
        <w:rPr>
          <w:rFonts w:cs="Arial"/>
          <w:color w:val="1E1544" w:themeColor="text1"/>
          <w:szCs w:val="22"/>
        </w:rPr>
      </w:pPr>
      <w:r w:rsidRPr="00EC7BF2">
        <w:rPr>
          <w:rFonts w:cs="Arial"/>
          <w:color w:val="1E1544" w:themeColor="text1"/>
          <w:szCs w:val="22"/>
        </w:rPr>
        <w:t>Sections 147-5 and 147-10 – continuous improvement</w:t>
      </w:r>
    </w:p>
    <w:p w14:paraId="3AA18913" w14:textId="77777777" w:rsidR="00A45A4C" w:rsidRPr="00EC7BF2" w:rsidRDefault="00A45A4C" w:rsidP="00A45A4C">
      <w:pPr>
        <w:numPr>
          <w:ilvl w:val="0"/>
          <w:numId w:val="30"/>
        </w:numPr>
        <w:spacing w:before="0" w:after="160" w:line="259" w:lineRule="auto"/>
        <w:rPr>
          <w:rFonts w:cs="Arial"/>
          <w:color w:val="1E1544" w:themeColor="text1"/>
          <w:szCs w:val="22"/>
        </w:rPr>
      </w:pPr>
      <w:r w:rsidRPr="00EC7BF2">
        <w:rPr>
          <w:rFonts w:cs="Arial"/>
          <w:color w:val="1E1544" w:themeColor="text1"/>
          <w:szCs w:val="22"/>
        </w:rPr>
        <w:t>Section 166-745 – Annual Accountability Reports for the TCP</w:t>
      </w:r>
    </w:p>
    <w:p w14:paraId="62147FFB" w14:textId="77777777" w:rsidR="00A45A4C" w:rsidRPr="00EC7BF2" w:rsidRDefault="00A45A4C" w:rsidP="00A45A4C">
      <w:pPr>
        <w:numPr>
          <w:ilvl w:val="0"/>
          <w:numId w:val="30"/>
        </w:numPr>
        <w:spacing w:before="0" w:after="160" w:line="259" w:lineRule="auto"/>
        <w:rPr>
          <w:rFonts w:cs="Arial"/>
          <w:color w:val="1E1544" w:themeColor="text1"/>
          <w:szCs w:val="22"/>
        </w:rPr>
      </w:pPr>
      <w:r w:rsidRPr="00EC7BF2">
        <w:rPr>
          <w:rFonts w:cs="Arial"/>
          <w:color w:val="1E1544" w:themeColor="text1"/>
          <w:szCs w:val="22"/>
        </w:rPr>
        <w:t xml:space="preserve">Sections 152-15 and 152-25 – worker screening requirements and police certificates </w:t>
      </w:r>
    </w:p>
    <w:p w14:paraId="477EB778" w14:textId="77777777" w:rsidR="00A45A4C" w:rsidRPr="00EC7BF2" w:rsidRDefault="00A45A4C" w:rsidP="00A45A4C">
      <w:pPr>
        <w:numPr>
          <w:ilvl w:val="0"/>
          <w:numId w:val="30"/>
        </w:numPr>
        <w:spacing w:before="0" w:after="160" w:line="259" w:lineRule="auto"/>
        <w:rPr>
          <w:rFonts w:cs="Arial"/>
          <w:color w:val="1E1544" w:themeColor="text1"/>
          <w:szCs w:val="22"/>
        </w:rPr>
      </w:pPr>
      <w:r w:rsidRPr="00EC7BF2">
        <w:rPr>
          <w:rFonts w:cs="Arial"/>
          <w:color w:val="1E1544" w:themeColor="text1"/>
          <w:szCs w:val="22"/>
        </w:rPr>
        <w:t xml:space="preserve">Sections 167-25 and 167-30 – suitability of responsible persons and change of responsible persons of a registered provider </w:t>
      </w:r>
    </w:p>
    <w:p w14:paraId="63515706" w14:textId="77777777" w:rsidR="00A45A4C" w:rsidRPr="00EC7BF2" w:rsidRDefault="00A45A4C" w:rsidP="00A45A4C">
      <w:pPr>
        <w:numPr>
          <w:ilvl w:val="0"/>
          <w:numId w:val="31"/>
        </w:numPr>
        <w:spacing w:before="0" w:after="160" w:line="259" w:lineRule="auto"/>
        <w:rPr>
          <w:rFonts w:cs="Arial"/>
          <w:color w:val="1E1544" w:themeColor="text1"/>
          <w:szCs w:val="22"/>
        </w:rPr>
      </w:pPr>
      <w:r w:rsidRPr="00EC7BF2">
        <w:rPr>
          <w:rFonts w:cs="Arial"/>
          <w:color w:val="1E1544" w:themeColor="text1"/>
          <w:szCs w:val="22"/>
        </w:rPr>
        <w:t>Section 247-15 – requirements for Agreements for delivery of funded aged care services – Transition Care Program</w:t>
      </w:r>
    </w:p>
    <w:p w14:paraId="4284789E" w14:textId="77777777" w:rsidR="00A45A4C" w:rsidRPr="00EC7BF2" w:rsidRDefault="00A45A4C" w:rsidP="00A45A4C">
      <w:pPr>
        <w:numPr>
          <w:ilvl w:val="0"/>
          <w:numId w:val="31"/>
        </w:numPr>
        <w:spacing w:before="0" w:after="160" w:line="259" w:lineRule="auto"/>
        <w:rPr>
          <w:rFonts w:cs="Arial"/>
          <w:color w:val="1E1544" w:themeColor="text1"/>
          <w:szCs w:val="22"/>
        </w:rPr>
      </w:pPr>
      <w:r w:rsidRPr="00EC7BF2">
        <w:rPr>
          <w:rFonts w:cs="Arial"/>
          <w:color w:val="1E1544" w:themeColor="text1"/>
          <w:szCs w:val="22"/>
        </w:rPr>
        <w:lastRenderedPageBreak/>
        <w:t>Section 249-90 – amount of subsidy for the Transition Care Program</w:t>
      </w:r>
    </w:p>
    <w:p w14:paraId="6F140D67" w14:textId="77777777" w:rsidR="00A45A4C" w:rsidRPr="00EC7BF2" w:rsidRDefault="00A45A4C" w:rsidP="00A45A4C">
      <w:pPr>
        <w:numPr>
          <w:ilvl w:val="0"/>
          <w:numId w:val="32"/>
        </w:numPr>
        <w:spacing w:before="0" w:after="160" w:line="259" w:lineRule="auto"/>
        <w:rPr>
          <w:rFonts w:cs="Arial"/>
          <w:color w:val="1E1544" w:themeColor="text1"/>
          <w:szCs w:val="22"/>
        </w:rPr>
      </w:pPr>
      <w:r w:rsidRPr="00EC7BF2">
        <w:rPr>
          <w:rFonts w:cs="Arial"/>
          <w:color w:val="1E1544" w:themeColor="text1"/>
          <w:szCs w:val="22"/>
        </w:rPr>
        <w:t>Section 260-15 – claiming of TCP subsidies</w:t>
      </w:r>
    </w:p>
    <w:p w14:paraId="6F53179C" w14:textId="77777777" w:rsidR="00A45A4C" w:rsidRPr="00EC7BF2" w:rsidRDefault="00A45A4C" w:rsidP="00A45A4C">
      <w:pPr>
        <w:numPr>
          <w:ilvl w:val="0"/>
          <w:numId w:val="32"/>
        </w:numPr>
        <w:spacing w:before="0" w:after="160" w:line="259" w:lineRule="auto"/>
        <w:rPr>
          <w:rFonts w:cs="Arial"/>
          <w:color w:val="1E1544" w:themeColor="text1"/>
          <w:szCs w:val="22"/>
        </w:rPr>
      </w:pPr>
      <w:r w:rsidRPr="00EC7BF2">
        <w:rPr>
          <w:rFonts w:cs="Arial"/>
          <w:color w:val="1E1544" w:themeColor="text1"/>
          <w:szCs w:val="22"/>
        </w:rPr>
        <w:t>Sections 286-5 - 286-10 and 286-20 – fees payable by individuals receiving transition care and financial hardship policy</w:t>
      </w:r>
    </w:p>
    <w:p w14:paraId="61BDAACA" w14:textId="77777777" w:rsidR="00A45A4C" w:rsidRPr="00EC7BF2" w:rsidRDefault="00A45A4C" w:rsidP="00A45A4C">
      <w:pPr>
        <w:numPr>
          <w:ilvl w:val="0"/>
          <w:numId w:val="33"/>
        </w:numPr>
        <w:spacing w:before="0" w:after="160" w:line="259" w:lineRule="auto"/>
        <w:rPr>
          <w:rFonts w:cs="Arial"/>
          <w:color w:val="1E1544" w:themeColor="text1"/>
          <w:szCs w:val="22"/>
        </w:rPr>
      </w:pPr>
      <w:r w:rsidRPr="00EC7BF2">
        <w:rPr>
          <w:rFonts w:cs="Arial"/>
          <w:color w:val="1E1544" w:themeColor="text1"/>
          <w:szCs w:val="22"/>
        </w:rPr>
        <w:t>Chapter 1, Part 3 – Aged Care Service List</w:t>
      </w:r>
    </w:p>
    <w:p w14:paraId="444DEF9C" w14:textId="77777777" w:rsidR="00A45A4C" w:rsidRPr="00EC7BF2" w:rsidRDefault="00A45A4C" w:rsidP="00A45A4C">
      <w:pPr>
        <w:numPr>
          <w:ilvl w:val="0"/>
          <w:numId w:val="33"/>
        </w:numPr>
        <w:spacing w:before="0" w:after="160" w:line="259" w:lineRule="auto"/>
        <w:rPr>
          <w:rFonts w:cs="Arial"/>
          <w:color w:val="1E1544" w:themeColor="text1"/>
          <w:szCs w:val="22"/>
        </w:rPr>
      </w:pPr>
      <w:r w:rsidRPr="00EC7BF2">
        <w:rPr>
          <w:rFonts w:cs="Arial"/>
          <w:color w:val="1E1544" w:themeColor="text1"/>
          <w:szCs w:val="22"/>
        </w:rPr>
        <w:t xml:space="preserve">Chapter 1, Part 5 – Aged Care Code of Conduct </w:t>
      </w:r>
    </w:p>
    <w:p w14:paraId="7CEE008B" w14:textId="77777777" w:rsidR="00A45A4C" w:rsidRPr="00EC7BF2" w:rsidRDefault="00A45A4C" w:rsidP="00A45A4C">
      <w:pPr>
        <w:numPr>
          <w:ilvl w:val="0"/>
          <w:numId w:val="33"/>
        </w:numPr>
        <w:spacing w:before="0" w:after="160" w:line="259" w:lineRule="auto"/>
        <w:rPr>
          <w:rFonts w:cs="Arial"/>
          <w:color w:val="1E1544" w:themeColor="text1"/>
          <w:szCs w:val="22"/>
        </w:rPr>
      </w:pPr>
      <w:r w:rsidRPr="00EC7BF2">
        <w:rPr>
          <w:rFonts w:cs="Arial"/>
          <w:color w:val="1E1544" w:themeColor="text1"/>
          <w:szCs w:val="22"/>
        </w:rPr>
        <w:t>Chapter 1, Part 6 – Aged Care Quality Standards</w:t>
      </w:r>
    </w:p>
    <w:p w14:paraId="5197E2A2" w14:textId="77777777" w:rsidR="00A45A4C" w:rsidRPr="00EC7BF2" w:rsidRDefault="00A45A4C" w:rsidP="00A45A4C">
      <w:pPr>
        <w:numPr>
          <w:ilvl w:val="0"/>
          <w:numId w:val="33"/>
        </w:numPr>
        <w:spacing w:before="0" w:after="160" w:line="259" w:lineRule="auto"/>
        <w:rPr>
          <w:rFonts w:cs="Arial"/>
          <w:color w:val="1E1544" w:themeColor="text1"/>
          <w:szCs w:val="22"/>
        </w:rPr>
      </w:pPr>
      <w:r w:rsidRPr="00EC7BF2">
        <w:rPr>
          <w:rFonts w:cs="Arial"/>
          <w:color w:val="1E1544" w:themeColor="text1"/>
          <w:szCs w:val="22"/>
        </w:rPr>
        <w:t>Chapter 4, Part 4, Division 3, Subdivision C &amp; D – Service Agreements and Care and Services Plans</w:t>
      </w:r>
    </w:p>
    <w:p w14:paraId="4ADE50B8" w14:textId="77777777" w:rsidR="00A45A4C" w:rsidRPr="00EC7BF2" w:rsidRDefault="00A45A4C" w:rsidP="00A45A4C">
      <w:pPr>
        <w:numPr>
          <w:ilvl w:val="0"/>
          <w:numId w:val="33"/>
        </w:numPr>
        <w:spacing w:before="0" w:after="160" w:line="259" w:lineRule="auto"/>
        <w:rPr>
          <w:rFonts w:cs="Arial"/>
          <w:color w:val="1E1544" w:themeColor="text1"/>
          <w:szCs w:val="22"/>
        </w:rPr>
      </w:pPr>
      <w:r w:rsidRPr="00EC7BF2">
        <w:rPr>
          <w:rFonts w:cs="Arial"/>
          <w:color w:val="1E1544" w:themeColor="text1"/>
          <w:szCs w:val="22"/>
        </w:rPr>
        <w:t xml:space="preserve">Chapter 4, Part 10, Division 1 – incident management </w:t>
      </w:r>
    </w:p>
    <w:p w14:paraId="4DCB83F3" w14:textId="77777777" w:rsidR="00A45A4C" w:rsidRPr="00EC7BF2" w:rsidRDefault="00A45A4C" w:rsidP="00A45A4C">
      <w:pPr>
        <w:numPr>
          <w:ilvl w:val="0"/>
          <w:numId w:val="33"/>
        </w:numPr>
        <w:spacing w:before="0" w:after="160" w:line="259" w:lineRule="auto"/>
        <w:rPr>
          <w:rFonts w:cs="Arial"/>
          <w:color w:val="1E1544" w:themeColor="text1"/>
          <w:szCs w:val="22"/>
        </w:rPr>
      </w:pPr>
      <w:r w:rsidRPr="00EC7BF2">
        <w:rPr>
          <w:rFonts w:cs="Arial"/>
          <w:color w:val="1E1544" w:themeColor="text1"/>
          <w:szCs w:val="22"/>
        </w:rPr>
        <w:t xml:space="preserve">Chapter 5, Part 2, Division 2 – reportable incidents </w:t>
      </w:r>
    </w:p>
    <w:p w14:paraId="17B04511" w14:textId="6EDA9F18" w:rsidR="00DF1410" w:rsidRPr="00F74388" w:rsidRDefault="00A45A4C" w:rsidP="00677BC9">
      <w:pPr>
        <w:numPr>
          <w:ilvl w:val="0"/>
          <w:numId w:val="33"/>
        </w:numPr>
        <w:spacing w:before="0" w:after="160" w:line="259" w:lineRule="auto"/>
        <w:rPr>
          <w:rFonts w:cs="Arial"/>
          <w:szCs w:val="22"/>
        </w:rPr>
      </w:pPr>
      <w:r w:rsidRPr="00EC7BF2">
        <w:rPr>
          <w:rFonts w:cs="Arial"/>
          <w:color w:val="1E1544" w:themeColor="text1"/>
          <w:szCs w:val="22"/>
        </w:rPr>
        <w:t xml:space="preserve">Chapter 7, Part 9 – subsidy for specialist aged care programs </w:t>
      </w:r>
    </w:p>
    <w:bookmarkEnd w:id="4"/>
    <w:p w14:paraId="764B384C" w14:textId="79D651B9" w:rsidR="00677BC9" w:rsidRPr="00F74388" w:rsidRDefault="00F74388" w:rsidP="00F74388">
      <w:pPr>
        <w:pStyle w:val="Boxtexthead"/>
        <w:ind w:left="720"/>
        <w:rPr>
          <w:b w:val="0"/>
          <w:bCs/>
          <w:color w:val="1E1544" w:themeColor="text1"/>
        </w:rPr>
      </w:pPr>
      <w:r w:rsidRPr="00F74388">
        <w:rPr>
          <w:b w:val="0"/>
          <w:bCs/>
          <w:color w:val="1E1544" w:themeColor="text1"/>
        </w:rPr>
        <w:t xml:space="preserve">For questions or queries about the content in this factsheet, email: </w:t>
      </w:r>
      <w:hyperlink r:id="rId15" w:history="1">
        <w:r w:rsidRPr="00F74388">
          <w:rPr>
            <w:rStyle w:val="Hyperlink"/>
            <w:b w:val="0"/>
            <w:bCs/>
            <w:color w:val="2AB1BB" w:themeColor="accent1"/>
          </w:rPr>
          <w:t>TCP@health.gov.au</w:t>
        </w:r>
      </w:hyperlink>
    </w:p>
    <w:sectPr w:rsidR="00677BC9" w:rsidRPr="00F74388" w:rsidSect="00C45501">
      <w:headerReference w:type="even" r:id="rId16"/>
      <w:footerReference w:type="even" r:id="rId17"/>
      <w:headerReference w:type="first" r:id="rId18"/>
      <w:footerReference w:type="first" r:id="rId19"/>
      <w:pgSz w:w="11906" w:h="16838"/>
      <w:pgMar w:top="1440" w:right="851" w:bottom="851" w:left="851" w:header="149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810E0" w14:textId="77777777" w:rsidR="005C29C4" w:rsidRDefault="005C29C4" w:rsidP="0076491B">
      <w:pPr>
        <w:spacing w:before="0" w:after="0" w:line="240" w:lineRule="auto"/>
      </w:pPr>
      <w:r>
        <w:separator/>
      </w:r>
    </w:p>
  </w:endnote>
  <w:endnote w:type="continuationSeparator" w:id="0">
    <w:p w14:paraId="13305B6C" w14:textId="77777777" w:rsidR="005C29C4" w:rsidRDefault="005C29C4" w:rsidP="0076491B">
      <w:pPr>
        <w:spacing w:before="0" w:after="0" w:line="240" w:lineRule="auto"/>
      </w:pPr>
      <w:r>
        <w:continuationSeparator/>
      </w:r>
    </w:p>
  </w:endnote>
  <w:endnote w:type="continuationNotice" w:id="1">
    <w:p w14:paraId="691630BE" w14:textId="77777777" w:rsidR="005C29C4" w:rsidRDefault="005C29C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F1A58" w14:textId="612C462E" w:rsidR="00BE1AB8" w:rsidRDefault="00BE1AB8">
    <w:pPr>
      <w:pStyle w:val="Footer"/>
    </w:pPr>
    <w:r>
      <w:rPr>
        <w:noProof/>
      </w:rPr>
      <mc:AlternateContent>
        <mc:Choice Requires="wps">
          <w:drawing>
            <wp:anchor distT="0" distB="0" distL="0" distR="0" simplePos="0" relativeHeight="251663360" behindDoc="0" locked="0" layoutInCell="1" allowOverlap="1" wp14:anchorId="7A8D4D4A" wp14:editId="1A3CE9F3">
              <wp:simplePos x="635" y="635"/>
              <wp:positionH relativeFrom="page">
                <wp:align>center</wp:align>
              </wp:positionH>
              <wp:positionV relativeFrom="page">
                <wp:align>bottom</wp:align>
              </wp:positionV>
              <wp:extent cx="551815" cy="480695"/>
              <wp:effectExtent l="0" t="0" r="635" b="0"/>
              <wp:wrapNone/>
              <wp:docPr id="27371866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B3C0AD5" w14:textId="497876F4" w:rsidR="00BE1AB8" w:rsidRPr="00BE1AB8" w:rsidRDefault="00BE1AB8" w:rsidP="00BE1AB8">
                          <w:pPr>
                            <w:spacing w:after="0"/>
                            <w:rPr>
                              <w:rFonts w:ascii="Calibri" w:eastAsia="Calibri" w:hAnsi="Calibri" w:cs="Calibri"/>
                              <w:noProof/>
                              <w:color w:val="FF0000"/>
                            </w:rPr>
                          </w:pPr>
                          <w:r w:rsidRPr="00BE1AB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8D4D4A" id="_x0000_t202" coordsize="21600,21600" o:spt="202" path="m,l,21600r21600,l21600,xe">
              <v:stroke joinstyle="miter"/>
              <v:path gradientshapeok="t" o:connecttype="rect"/>
            </v:shapetype>
            <v:shape id="Text Box 5" o:spid="_x0000_s1027" type="#_x0000_t202" alt="OFFICIAL" style="position:absolute;margin-left:0;margin-top:0;width:43.45pt;height:37.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7B3C0AD5" w14:textId="497876F4" w:rsidR="00BE1AB8" w:rsidRPr="00BE1AB8" w:rsidRDefault="00BE1AB8" w:rsidP="00BE1AB8">
                    <w:pPr>
                      <w:spacing w:after="0"/>
                      <w:rPr>
                        <w:rFonts w:ascii="Calibri" w:eastAsia="Calibri" w:hAnsi="Calibri" w:cs="Calibri"/>
                        <w:noProof/>
                        <w:color w:val="FF0000"/>
                      </w:rPr>
                    </w:pPr>
                    <w:r w:rsidRPr="00BE1AB8">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4AFC" w14:textId="5A297866" w:rsidR="2566EFA4" w:rsidRPr="00F74388" w:rsidRDefault="00EE0F77" w:rsidP="00F74388">
    <w:pPr>
      <w:rPr>
        <w:color w:val="1E1544" w:themeColor="text1"/>
      </w:rPr>
    </w:pPr>
    <w:r>
      <w:rPr>
        <w:color w:val="1E1544" w:themeColor="text1"/>
      </w:rPr>
      <w:t>October</w:t>
    </w:r>
    <w:r w:rsidR="00F74388" w:rsidRPr="00777CEA">
      <w:rPr>
        <w:color w:val="1E1544" w:themeColor="text1"/>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31D91" w14:textId="77777777" w:rsidR="005C29C4" w:rsidRDefault="005C29C4" w:rsidP="0076491B">
      <w:pPr>
        <w:spacing w:before="0" w:after="0" w:line="240" w:lineRule="auto"/>
      </w:pPr>
      <w:r>
        <w:separator/>
      </w:r>
    </w:p>
  </w:footnote>
  <w:footnote w:type="continuationSeparator" w:id="0">
    <w:p w14:paraId="404BA308" w14:textId="77777777" w:rsidR="005C29C4" w:rsidRDefault="005C29C4" w:rsidP="0076491B">
      <w:pPr>
        <w:spacing w:before="0" w:after="0" w:line="240" w:lineRule="auto"/>
      </w:pPr>
      <w:r>
        <w:continuationSeparator/>
      </w:r>
    </w:p>
  </w:footnote>
  <w:footnote w:type="continuationNotice" w:id="1">
    <w:p w14:paraId="71CEEA33" w14:textId="77777777" w:rsidR="005C29C4" w:rsidRDefault="005C29C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7204" w14:textId="3AC9816E" w:rsidR="00BE1AB8" w:rsidRDefault="00BE1AB8">
    <w:pPr>
      <w:pStyle w:val="Header"/>
    </w:pPr>
    <w:r>
      <w:rPr>
        <w:noProof/>
      </w:rPr>
      <mc:AlternateContent>
        <mc:Choice Requires="wps">
          <w:drawing>
            <wp:anchor distT="0" distB="0" distL="0" distR="0" simplePos="0" relativeHeight="251660288" behindDoc="0" locked="0" layoutInCell="1" allowOverlap="1" wp14:anchorId="5F772337" wp14:editId="5667B3F8">
              <wp:simplePos x="635" y="635"/>
              <wp:positionH relativeFrom="page">
                <wp:align>center</wp:align>
              </wp:positionH>
              <wp:positionV relativeFrom="page">
                <wp:align>top</wp:align>
              </wp:positionV>
              <wp:extent cx="551815" cy="480695"/>
              <wp:effectExtent l="0" t="0" r="635" b="14605"/>
              <wp:wrapNone/>
              <wp:docPr id="11294422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0273781" w14:textId="1B89262F" w:rsidR="00BE1AB8" w:rsidRPr="00BE1AB8" w:rsidRDefault="00BE1AB8" w:rsidP="00BE1AB8">
                          <w:pPr>
                            <w:spacing w:after="0"/>
                            <w:rPr>
                              <w:rFonts w:ascii="Calibri" w:eastAsia="Calibri" w:hAnsi="Calibri" w:cs="Calibri"/>
                              <w:noProof/>
                              <w:color w:val="FF0000"/>
                            </w:rPr>
                          </w:pPr>
                          <w:r w:rsidRPr="00BE1AB8">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772337"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20273781" w14:textId="1B89262F" w:rsidR="00BE1AB8" w:rsidRPr="00BE1AB8" w:rsidRDefault="00BE1AB8" w:rsidP="00BE1AB8">
                    <w:pPr>
                      <w:spacing w:after="0"/>
                      <w:rPr>
                        <w:rFonts w:ascii="Calibri" w:eastAsia="Calibri" w:hAnsi="Calibri" w:cs="Calibri"/>
                        <w:noProof/>
                        <w:color w:val="FF0000"/>
                      </w:rPr>
                    </w:pPr>
                    <w:r w:rsidRPr="00BE1AB8">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E0C8" w14:textId="6045B13D" w:rsidR="000804B5" w:rsidRDefault="00170434">
    <w:pPr>
      <w:pStyle w:val="Header"/>
    </w:pPr>
    <w:r>
      <w:rPr>
        <w:noProof/>
        <w:lang w:val="en-US"/>
      </w:rPr>
      <w:drawing>
        <wp:anchor distT="0" distB="0" distL="114300" distR="114300" simplePos="0" relativeHeight="251658240" behindDoc="0" locked="0" layoutInCell="1" allowOverlap="1" wp14:anchorId="0E1EE63A" wp14:editId="6CAD5556">
          <wp:simplePos x="0" y="0"/>
          <wp:positionH relativeFrom="page">
            <wp:align>right</wp:align>
          </wp:positionH>
          <wp:positionV relativeFrom="page">
            <wp:align>top</wp:align>
          </wp:positionV>
          <wp:extent cx="7558363" cy="2112411"/>
          <wp:effectExtent l="0" t="0" r="5080" b="0"/>
          <wp:wrapNone/>
          <wp:docPr id="318390314" name="Picture 3183903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0264"/>
                  <a:stretch/>
                </pic:blipFill>
                <pic:spPr bwMode="auto">
                  <a:xfrm>
                    <a:off x="0" y="0"/>
                    <a:ext cx="7558363" cy="21124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782805"/>
    <w:multiLevelType w:val="hybridMultilevel"/>
    <w:tmpl w:val="19CCF0F8"/>
    <w:lvl w:ilvl="0" w:tplc="1200F652">
      <w:start w:val="1"/>
      <w:numFmt w:val="bullet"/>
      <w:lvlText w:val=""/>
      <w:lvlJc w:val="left"/>
      <w:pPr>
        <w:ind w:left="720" w:hanging="360"/>
      </w:pPr>
      <w:rPr>
        <w:rFonts w:ascii="Symbol" w:hAnsi="Symbol" w:hint="default"/>
        <w:color w:val="2AB1BB" w:themeColor="accen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361E2"/>
    <w:multiLevelType w:val="multilevel"/>
    <w:tmpl w:val="3ACAC712"/>
    <w:lvl w:ilvl="0">
      <w:start w:val="1"/>
      <w:numFmt w:val="bullet"/>
      <w:lvlText w:val="o"/>
      <w:lvlJc w:val="left"/>
      <w:pPr>
        <w:tabs>
          <w:tab w:val="num" w:pos="720"/>
        </w:tabs>
        <w:ind w:left="720" w:hanging="360"/>
      </w:pPr>
      <w:rPr>
        <w:rFonts w:ascii="Courier New" w:hAnsi="Courier New" w:hint="default"/>
        <w:color w:val="2AB1B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FE15E61"/>
    <w:multiLevelType w:val="hybridMultilevel"/>
    <w:tmpl w:val="8DDC9E64"/>
    <w:lvl w:ilvl="0" w:tplc="010EBFC8">
      <w:start w:val="1"/>
      <w:numFmt w:val="bullet"/>
      <w:lvlText w:val=""/>
      <w:lvlJc w:val="left"/>
      <w:pPr>
        <w:ind w:left="720" w:hanging="360"/>
      </w:pPr>
      <w:rPr>
        <w:rFonts w:ascii="Symbol" w:hAnsi="Symbol" w:hint="default"/>
        <w:color w:val="2AB1BB" w:themeColor="accen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330A40"/>
    <w:multiLevelType w:val="multilevel"/>
    <w:tmpl w:val="046AC22E"/>
    <w:lvl w:ilvl="0">
      <w:start w:val="1"/>
      <w:numFmt w:val="bullet"/>
      <w:lvlText w:val="o"/>
      <w:lvlJc w:val="left"/>
      <w:pPr>
        <w:tabs>
          <w:tab w:val="num" w:pos="720"/>
        </w:tabs>
        <w:ind w:left="720" w:hanging="360"/>
      </w:pPr>
      <w:rPr>
        <w:rFonts w:ascii="Courier New" w:hAnsi="Courier New" w:hint="default"/>
        <w:color w:val="2AB1B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8D26B66"/>
    <w:multiLevelType w:val="hybridMultilevel"/>
    <w:tmpl w:val="78BE89F4"/>
    <w:lvl w:ilvl="0" w:tplc="0C09000B">
      <w:start w:val="1"/>
      <w:numFmt w:val="bullet"/>
      <w:lvlText w:val=""/>
      <w:lvlJc w:val="left"/>
      <w:pPr>
        <w:ind w:left="720" w:hanging="360"/>
      </w:pPr>
      <w:rPr>
        <w:rFonts w:ascii="Wingdings" w:hAnsi="Wingdings" w:hint="default"/>
      </w:rPr>
    </w:lvl>
    <w:lvl w:ilvl="1" w:tplc="FEACB4C4">
      <w:start w:val="1"/>
      <w:numFmt w:val="bullet"/>
      <w:lvlText w:val="o"/>
      <w:lvlJc w:val="left"/>
      <w:pPr>
        <w:ind w:left="1440" w:hanging="360"/>
      </w:pPr>
      <w:rPr>
        <w:rFonts w:ascii="Courier New" w:hAnsi="Courier New" w:cs="Courier New" w:hint="default"/>
        <w:color w:val="2AB1BB" w:themeColor="accent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981F0C"/>
    <w:multiLevelType w:val="hybridMultilevel"/>
    <w:tmpl w:val="51F81292"/>
    <w:lvl w:ilvl="0" w:tplc="A6F0DCA2">
      <w:start w:val="1"/>
      <w:numFmt w:val="bullet"/>
      <w:lvlText w:val="o"/>
      <w:lvlJc w:val="left"/>
      <w:pPr>
        <w:ind w:left="1080" w:hanging="360"/>
      </w:pPr>
      <w:rPr>
        <w:rFonts w:ascii="Courier New" w:hAnsi="Courier New" w:cs="Courier New" w:hint="default"/>
        <w:color w:val="2AB1BB" w:themeColor="accent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EE01351"/>
    <w:multiLevelType w:val="multilevel"/>
    <w:tmpl w:val="A21A2DB0"/>
    <w:lvl w:ilvl="0">
      <w:start w:val="1"/>
      <w:numFmt w:val="bullet"/>
      <w:lvlText w:val="o"/>
      <w:lvlJc w:val="left"/>
      <w:pPr>
        <w:tabs>
          <w:tab w:val="num" w:pos="720"/>
        </w:tabs>
        <w:ind w:left="720" w:hanging="360"/>
      </w:pPr>
      <w:rPr>
        <w:rFonts w:ascii="Courier New" w:hAnsi="Courier New" w:hint="default"/>
        <w:color w:val="2AB1B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12"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802ADA"/>
    <w:multiLevelType w:val="hybridMultilevel"/>
    <w:tmpl w:val="1B167CEC"/>
    <w:lvl w:ilvl="0" w:tplc="3E22FA4E">
      <w:start w:val="1"/>
      <w:numFmt w:val="bullet"/>
      <w:lvlText w:val=""/>
      <w:lvlJc w:val="left"/>
      <w:pPr>
        <w:ind w:left="360" w:hanging="360"/>
      </w:pPr>
      <w:rPr>
        <w:rFonts w:ascii="Symbol" w:hAnsi="Symbol" w:hint="default"/>
        <w:color w:val="F2692B" w:themeColor="accent5"/>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047DEF"/>
    <w:multiLevelType w:val="hybridMultilevel"/>
    <w:tmpl w:val="B44AFA40"/>
    <w:lvl w:ilvl="0" w:tplc="05504BE6">
      <w:start w:val="1"/>
      <w:numFmt w:val="bullet"/>
      <w:lvlText w:val="o"/>
      <w:lvlJc w:val="left"/>
      <w:pPr>
        <w:ind w:left="1080" w:hanging="360"/>
      </w:pPr>
      <w:rPr>
        <w:rFonts w:ascii="Courier New" w:hAnsi="Courier New" w:cs="Courier New" w:hint="default"/>
        <w:color w:val="2AB1BB" w:themeColor="accent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8E65B3"/>
    <w:multiLevelType w:val="hybridMultilevel"/>
    <w:tmpl w:val="3C2A614A"/>
    <w:lvl w:ilvl="0" w:tplc="E15C1376">
      <w:start w:val="1"/>
      <w:numFmt w:val="bullet"/>
      <w:lvlText w:val=""/>
      <w:lvlJc w:val="left"/>
      <w:pPr>
        <w:ind w:left="720" w:hanging="360"/>
      </w:pPr>
      <w:rPr>
        <w:rFonts w:ascii="Symbol" w:hAnsi="Symbol" w:hint="default"/>
        <w:color w:val="2AB1BB"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2504315"/>
    <w:multiLevelType w:val="hybridMultilevel"/>
    <w:tmpl w:val="42C877D2"/>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21"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AFA1779"/>
    <w:multiLevelType w:val="multilevel"/>
    <w:tmpl w:val="9746E216"/>
    <w:lvl w:ilvl="0">
      <w:start w:val="1"/>
      <w:numFmt w:val="bullet"/>
      <w:lvlText w:val="o"/>
      <w:lvlJc w:val="left"/>
      <w:pPr>
        <w:tabs>
          <w:tab w:val="num" w:pos="720"/>
        </w:tabs>
        <w:ind w:left="720" w:hanging="360"/>
      </w:pPr>
      <w:rPr>
        <w:rFonts w:ascii="Courier New" w:hAnsi="Courier New" w:hint="default"/>
        <w:color w:val="2AB1B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F509F4"/>
    <w:multiLevelType w:val="hybridMultilevel"/>
    <w:tmpl w:val="4BC65EB6"/>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6" w15:restartNumberingAfterBreak="0">
    <w:nsid w:val="5CE87231"/>
    <w:multiLevelType w:val="multilevel"/>
    <w:tmpl w:val="B0E4C05C"/>
    <w:lvl w:ilvl="0">
      <w:start w:val="1"/>
      <w:numFmt w:val="bullet"/>
      <w:lvlText w:val="o"/>
      <w:lvlJc w:val="left"/>
      <w:pPr>
        <w:tabs>
          <w:tab w:val="num" w:pos="720"/>
        </w:tabs>
        <w:ind w:left="720" w:hanging="360"/>
      </w:pPr>
      <w:rPr>
        <w:rFonts w:ascii="Courier New" w:hAnsi="Courier New" w:hint="default"/>
        <w:color w:val="2AB1B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746084F"/>
    <w:multiLevelType w:val="multilevel"/>
    <w:tmpl w:val="178815F4"/>
    <w:lvl w:ilvl="0">
      <w:start w:val="1"/>
      <w:numFmt w:val="bullet"/>
      <w:lvlText w:val="o"/>
      <w:lvlJc w:val="left"/>
      <w:pPr>
        <w:tabs>
          <w:tab w:val="num" w:pos="720"/>
        </w:tabs>
        <w:ind w:left="720" w:hanging="360"/>
      </w:pPr>
      <w:rPr>
        <w:rFonts w:ascii="Courier New" w:hAnsi="Courier New" w:hint="default"/>
        <w:color w:val="2AB1B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3504044">
    <w:abstractNumId w:val="31"/>
  </w:num>
  <w:num w:numId="2" w16cid:durableId="887882813">
    <w:abstractNumId w:val="10"/>
  </w:num>
  <w:num w:numId="3" w16cid:durableId="2099326521">
    <w:abstractNumId w:val="28"/>
  </w:num>
  <w:num w:numId="4" w16cid:durableId="1547790336">
    <w:abstractNumId w:val="29"/>
  </w:num>
  <w:num w:numId="5" w16cid:durableId="1860000748">
    <w:abstractNumId w:val="17"/>
  </w:num>
  <w:num w:numId="6" w16cid:durableId="387412051">
    <w:abstractNumId w:val="5"/>
  </w:num>
  <w:num w:numId="7" w16cid:durableId="1549995288">
    <w:abstractNumId w:val="24"/>
  </w:num>
  <w:num w:numId="8" w16cid:durableId="990331736">
    <w:abstractNumId w:val="23"/>
  </w:num>
  <w:num w:numId="9" w16cid:durableId="1218394114">
    <w:abstractNumId w:val="27"/>
  </w:num>
  <w:num w:numId="10" w16cid:durableId="962155908">
    <w:abstractNumId w:val="0"/>
  </w:num>
  <w:num w:numId="11" w16cid:durableId="440883028">
    <w:abstractNumId w:val="32"/>
  </w:num>
  <w:num w:numId="12" w16cid:durableId="1027488482">
    <w:abstractNumId w:val="12"/>
  </w:num>
  <w:num w:numId="13" w16cid:durableId="112018218">
    <w:abstractNumId w:val="21"/>
  </w:num>
  <w:num w:numId="14" w16cid:durableId="1703019049">
    <w:abstractNumId w:val="2"/>
  </w:num>
  <w:num w:numId="15" w16cid:durableId="1166283392">
    <w:abstractNumId w:val="15"/>
  </w:num>
  <w:num w:numId="16" w16cid:durableId="2041929339">
    <w:abstractNumId w:val="18"/>
  </w:num>
  <w:num w:numId="17" w16cid:durableId="480653444">
    <w:abstractNumId w:val="25"/>
  </w:num>
  <w:num w:numId="18" w16cid:durableId="1440756137">
    <w:abstractNumId w:val="20"/>
  </w:num>
  <w:num w:numId="19" w16cid:durableId="305211232">
    <w:abstractNumId w:val="11"/>
  </w:num>
  <w:num w:numId="20" w16cid:durableId="889804405">
    <w:abstractNumId w:val="13"/>
  </w:num>
  <w:num w:numId="21" w16cid:durableId="1551922985">
    <w:abstractNumId w:val="19"/>
  </w:num>
  <w:num w:numId="22" w16cid:durableId="866986831">
    <w:abstractNumId w:val="16"/>
  </w:num>
  <w:num w:numId="23" w16cid:durableId="1957564704">
    <w:abstractNumId w:val="7"/>
  </w:num>
  <w:num w:numId="24" w16cid:durableId="1515417570">
    <w:abstractNumId w:val="1"/>
  </w:num>
  <w:num w:numId="25" w16cid:durableId="1749571655">
    <w:abstractNumId w:val="4"/>
  </w:num>
  <w:num w:numId="26" w16cid:durableId="1003045533">
    <w:abstractNumId w:val="8"/>
  </w:num>
  <w:num w:numId="27" w16cid:durableId="276184579">
    <w:abstractNumId w:val="14"/>
  </w:num>
  <w:num w:numId="28" w16cid:durableId="1246956858">
    <w:abstractNumId w:val="22"/>
  </w:num>
  <w:num w:numId="29" w16cid:durableId="2094814860">
    <w:abstractNumId w:val="9"/>
  </w:num>
  <w:num w:numId="30" w16cid:durableId="1282885116">
    <w:abstractNumId w:val="6"/>
  </w:num>
  <w:num w:numId="31" w16cid:durableId="615721389">
    <w:abstractNumId w:val="30"/>
  </w:num>
  <w:num w:numId="32" w16cid:durableId="247661586">
    <w:abstractNumId w:val="3"/>
  </w:num>
  <w:num w:numId="33" w16cid:durableId="182373645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E54"/>
    <w:rsid w:val="00014B22"/>
    <w:rsid w:val="0002516D"/>
    <w:rsid w:val="00047023"/>
    <w:rsid w:val="000804B5"/>
    <w:rsid w:val="000B1A62"/>
    <w:rsid w:val="000C0CC5"/>
    <w:rsid w:val="000F2A89"/>
    <w:rsid w:val="0012389C"/>
    <w:rsid w:val="00135A8E"/>
    <w:rsid w:val="00170434"/>
    <w:rsid w:val="00181AD3"/>
    <w:rsid w:val="001831C3"/>
    <w:rsid w:val="0018537B"/>
    <w:rsid w:val="00187ABC"/>
    <w:rsid w:val="00210366"/>
    <w:rsid w:val="00220D56"/>
    <w:rsid w:val="00266A59"/>
    <w:rsid w:val="0027126F"/>
    <w:rsid w:val="002A13FC"/>
    <w:rsid w:val="002C277E"/>
    <w:rsid w:val="002C2D46"/>
    <w:rsid w:val="002F6381"/>
    <w:rsid w:val="00301A1C"/>
    <w:rsid w:val="00344771"/>
    <w:rsid w:val="00360B34"/>
    <w:rsid w:val="003619F4"/>
    <w:rsid w:val="003B78D2"/>
    <w:rsid w:val="003E2754"/>
    <w:rsid w:val="003E59C0"/>
    <w:rsid w:val="0041065F"/>
    <w:rsid w:val="00422631"/>
    <w:rsid w:val="004557A0"/>
    <w:rsid w:val="00494A33"/>
    <w:rsid w:val="004C11EB"/>
    <w:rsid w:val="004E03CD"/>
    <w:rsid w:val="004F7E50"/>
    <w:rsid w:val="005035B6"/>
    <w:rsid w:val="005C29C4"/>
    <w:rsid w:val="00601A67"/>
    <w:rsid w:val="00610FFC"/>
    <w:rsid w:val="00633DB4"/>
    <w:rsid w:val="0064007C"/>
    <w:rsid w:val="00677BC9"/>
    <w:rsid w:val="006B250F"/>
    <w:rsid w:val="006C07D3"/>
    <w:rsid w:val="006E4B26"/>
    <w:rsid w:val="00722AC8"/>
    <w:rsid w:val="00726939"/>
    <w:rsid w:val="007423EB"/>
    <w:rsid w:val="00746834"/>
    <w:rsid w:val="00746B36"/>
    <w:rsid w:val="0076491B"/>
    <w:rsid w:val="00767E9A"/>
    <w:rsid w:val="00777CEA"/>
    <w:rsid w:val="007A5D9C"/>
    <w:rsid w:val="007D4B69"/>
    <w:rsid w:val="007E444A"/>
    <w:rsid w:val="00883E04"/>
    <w:rsid w:val="008D56B8"/>
    <w:rsid w:val="008F467F"/>
    <w:rsid w:val="009164B4"/>
    <w:rsid w:val="009346B6"/>
    <w:rsid w:val="0097430E"/>
    <w:rsid w:val="009B2828"/>
    <w:rsid w:val="009C63A4"/>
    <w:rsid w:val="009D0601"/>
    <w:rsid w:val="009E0E2E"/>
    <w:rsid w:val="00A04105"/>
    <w:rsid w:val="00A34AD9"/>
    <w:rsid w:val="00A45A4C"/>
    <w:rsid w:val="00AA70AD"/>
    <w:rsid w:val="00AC04A6"/>
    <w:rsid w:val="00AF3EEB"/>
    <w:rsid w:val="00B64E4A"/>
    <w:rsid w:val="00B935F6"/>
    <w:rsid w:val="00BD577C"/>
    <w:rsid w:val="00BE1AB8"/>
    <w:rsid w:val="00C074CB"/>
    <w:rsid w:val="00C27071"/>
    <w:rsid w:val="00C45501"/>
    <w:rsid w:val="00C46331"/>
    <w:rsid w:val="00C76B54"/>
    <w:rsid w:val="00C774E1"/>
    <w:rsid w:val="00C9187A"/>
    <w:rsid w:val="00C91884"/>
    <w:rsid w:val="00C92C82"/>
    <w:rsid w:val="00CA0CFC"/>
    <w:rsid w:val="00CB1B1A"/>
    <w:rsid w:val="00CB60DB"/>
    <w:rsid w:val="00CC5FD9"/>
    <w:rsid w:val="00CF1E54"/>
    <w:rsid w:val="00D0183C"/>
    <w:rsid w:val="00D532DA"/>
    <w:rsid w:val="00DF1410"/>
    <w:rsid w:val="00E02AEA"/>
    <w:rsid w:val="00E171D0"/>
    <w:rsid w:val="00E24023"/>
    <w:rsid w:val="00E52746"/>
    <w:rsid w:val="00E91CEE"/>
    <w:rsid w:val="00EC7BF2"/>
    <w:rsid w:val="00EE0F77"/>
    <w:rsid w:val="00EE32B3"/>
    <w:rsid w:val="00F340E7"/>
    <w:rsid w:val="00F623A5"/>
    <w:rsid w:val="00F74388"/>
    <w:rsid w:val="00F75865"/>
    <w:rsid w:val="00F76B45"/>
    <w:rsid w:val="00F82D62"/>
    <w:rsid w:val="00FC5F22"/>
    <w:rsid w:val="00FC7484"/>
    <w:rsid w:val="2566EF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3374B"/>
  <w15:chartTrackingRefBased/>
  <w15:docId w15:val="{74C66063-058F-415D-A514-E2ABF22E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87A"/>
    <w:pPr>
      <w:spacing w:before="120" w:after="120" w:line="276" w:lineRule="auto"/>
    </w:pPr>
    <w:rPr>
      <w:rFonts w:ascii="Arial" w:hAnsi="Arial"/>
    </w:rPr>
  </w:style>
  <w:style w:type="paragraph" w:styleId="Heading1">
    <w:name w:val="heading 1"/>
    <w:basedOn w:val="Normal"/>
    <w:next w:val="Normal"/>
    <w:link w:val="Heading1Char"/>
    <w:uiPriority w:val="9"/>
    <w:qFormat/>
    <w:rsid w:val="00C45501"/>
    <w:pPr>
      <w:keepNext/>
      <w:keepLines/>
      <w:spacing w:before="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501"/>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aliases w:val="#List Paragraph,List Paragraph1,Recommendation,Figure_name,Numbered Indented Text,Bullet- First level,List NUmber,Listenabsatz1,lp1,List Paragraph11,L,SAP Subpara,Bullet point,Bullets,CV text,Dot pt,F5 List Paragraph,FooterText,列,NAST Quo"/>
    <w:basedOn w:val="Normal"/>
    <w:link w:val="ListParagraphChar"/>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qFormat/>
    <w:rsid w:val="00E91CEE"/>
    <w:rPr>
      <w:color w:val="1E1545" w:themeColor="hyperlink"/>
      <w:u w:val="single"/>
    </w:rPr>
  </w:style>
  <w:style w:type="character" w:customStyle="1" w:styleId="UnresolvedMention1">
    <w:name w:val="Unresolved Mention1"/>
    <w:basedOn w:val="DefaultParagraphFont"/>
    <w:uiPriority w:val="99"/>
    <w:semiHidden/>
    <w:unhideWhenUsed/>
    <w:rsid w:val="00E91CEE"/>
    <w:rPr>
      <w:color w:val="605E5C"/>
      <w:shd w:val="clear" w:color="auto" w:fill="E1DFDD"/>
    </w:rPr>
  </w:style>
  <w:style w:type="paragraph" w:customStyle="1" w:styleId="Headingtable">
    <w:name w:val="Heading table"/>
    <w:basedOn w:val="Normal"/>
    <w:qFormat/>
    <w:rsid w:val="00677BC9"/>
    <w:pPr>
      <w:spacing w:before="360"/>
    </w:pPr>
    <w:rPr>
      <w:rFonts w:eastAsiaTheme="majorEastAsia" w:cstheme="majorBidi"/>
      <w:b/>
      <w:bCs/>
      <w:color w:val="1E1544" w:themeColor="text1"/>
    </w:rPr>
  </w:style>
  <w:style w:type="character" w:customStyle="1" w:styleId="ListParagraphChar">
    <w:name w:val="List Paragraph Char"/>
    <w:aliases w:val="#List Paragraph Char,List Paragraph1 Char,Recommendation Char,Figure_name Char,Numbered Indented Text Char,Bullet- First level Char,List NUmber Char,Listenabsatz1 Char,lp1 Char,List Paragraph11 Char,L Char,SAP Subpara Char,列 Char"/>
    <w:basedOn w:val="DefaultParagraphFont"/>
    <w:link w:val="ListParagraph"/>
    <w:uiPriority w:val="34"/>
    <w:qFormat/>
    <w:locked/>
    <w:rsid w:val="00135A8E"/>
    <w:rPr>
      <w:rFonts w:ascii="Arial" w:hAnsi="Arial"/>
    </w:rPr>
  </w:style>
  <w:style w:type="character" w:styleId="UnresolvedMention">
    <w:name w:val="Unresolved Mention"/>
    <w:basedOn w:val="DefaultParagraphFont"/>
    <w:uiPriority w:val="99"/>
    <w:semiHidden/>
    <w:unhideWhenUsed/>
    <w:rsid w:val="00D532DA"/>
    <w:rPr>
      <w:color w:val="605E5C"/>
      <w:shd w:val="clear" w:color="auto" w:fill="E1DFDD"/>
    </w:rPr>
  </w:style>
  <w:style w:type="character" w:styleId="Emphasis">
    <w:name w:val="Emphasis"/>
    <w:basedOn w:val="DefaultParagraphFont"/>
    <w:uiPriority w:val="20"/>
    <w:qFormat/>
    <w:rsid w:val="00C455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C2024A00104/asmade/tex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ealth.gov.au/resources/publications/commonwealth-home-support-program-chsp-2025-27-manu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publications/support-at-home-program-manual-a-guide-for-registered-providers?language=en" TargetMode="External"/><Relationship Id="rId5" Type="http://schemas.openxmlformats.org/officeDocument/2006/relationships/numbering" Target="numbering.xml"/><Relationship Id="rId15" Type="http://schemas.openxmlformats.org/officeDocument/2006/relationships/hyperlink" Target="mailto:TCP@health.gov.a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F2025L01173/asmade/tex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EDFBE-4F38-4145-9342-E3E3B03870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DC83F8-DF0F-42D8-B291-F6B953918765}">
  <ds:schemaRefs>
    <ds:schemaRef ds:uri="http://schemas.microsoft.com/sharepoint/v3/contenttype/forms"/>
  </ds:schemaRefs>
</ds:datastoreItem>
</file>

<file path=customXml/itemProps3.xml><?xml version="1.0" encoding="utf-8"?>
<ds:datastoreItem xmlns:ds="http://schemas.openxmlformats.org/officeDocument/2006/customXml" ds:itemID="{678954E9-9AEE-466A-8858-E443393B8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E244ED9-6DB0-4202-8EC7-D69E5E5BD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1150</Words>
  <Characters>6409</Characters>
  <Application>Microsoft Office Word</Application>
  <DocSecurity>0</DocSecurity>
  <Lines>123</Lines>
  <Paragraphs>75</Paragraphs>
  <ScaleCrop>false</ScaleCrop>
  <HeadingPairs>
    <vt:vector size="2" baseType="variant">
      <vt:variant>
        <vt:lpstr>Title</vt:lpstr>
      </vt:variant>
      <vt:variant>
        <vt:i4>1</vt:i4>
      </vt:variant>
    </vt:vector>
  </HeadingPairs>
  <TitlesOfParts>
    <vt:vector size="1" baseType="lpstr">
      <vt:lpstr>TCP new Aged Care Act implementation</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TCP new Aged Care Act implementation</dc:title>
  <dc:subject>Aged Care</dc:subject>
  <dc:creator>Australian Government Department of Health, Disability and Ageing</dc:creator>
  <cp:keywords/>
  <dc:description/>
  <cp:lastModifiedBy>MASCHKE, Elvia</cp:lastModifiedBy>
  <cp:revision>4</cp:revision>
  <cp:lastPrinted>2025-10-27T00:34:00Z</cp:lastPrinted>
  <dcterms:created xsi:type="dcterms:W3CDTF">2025-10-22T07:02:00Z</dcterms:created>
  <dcterms:modified xsi:type="dcterms:W3CDTF">2025-10-27T00:34:00Z</dcterms:modified>
</cp:coreProperties>
</file>