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584" w14:textId="108F771E" w:rsidR="003619F4" w:rsidRPr="00677BC9" w:rsidRDefault="009164B4" w:rsidP="00277D2D">
      <w:pPr>
        <w:pStyle w:val="Heading1"/>
      </w:pPr>
      <w:r>
        <w:t xml:space="preserve">Transition Care </w:t>
      </w:r>
      <w:r w:rsidRPr="00277D2D">
        <w:t>Program</w:t>
      </w:r>
    </w:p>
    <w:p w14:paraId="31989A96" w14:textId="581A683E" w:rsidR="00677BC9" w:rsidRPr="00277D2D" w:rsidRDefault="0027451F" w:rsidP="00277D2D">
      <w:pPr>
        <w:pStyle w:val="Introduction"/>
      </w:pPr>
      <w:bookmarkStart w:id="0" w:name="_Hlk163461193"/>
      <w:r>
        <w:t>Full list of approved service types</w:t>
      </w:r>
    </w:p>
    <w:bookmarkEnd w:id="0"/>
    <w:p w14:paraId="314EDDFD" w14:textId="4F698153" w:rsidR="00013A5B" w:rsidRDefault="00013A5B" w:rsidP="00277D2D">
      <w:r>
        <w:t>October 2025</w:t>
      </w:r>
    </w:p>
    <w:p w14:paraId="07C270C0" w14:textId="1D933B4D" w:rsidR="00013A5B" w:rsidRPr="00013A5B" w:rsidRDefault="00013A5B" w:rsidP="00277D2D">
      <w:r w:rsidRPr="00013A5B">
        <w:t xml:space="preserve">The new </w:t>
      </w:r>
      <w:r w:rsidRPr="00013A5B">
        <w:rPr>
          <w:i/>
          <w:iCs/>
          <w:u w:val="single"/>
        </w:rPr>
        <w:t>Aged Care Act 2024</w:t>
      </w:r>
      <w:r w:rsidRPr="00013A5B">
        <w:t xml:space="preserve"> and its subordinate legislation (the </w:t>
      </w:r>
      <w:r w:rsidRPr="00013A5B">
        <w:rPr>
          <w:i/>
          <w:iCs/>
          <w:u w:val="single"/>
        </w:rPr>
        <w:t>Aged Care Rules</w:t>
      </w:r>
      <w:r w:rsidRPr="00013A5B">
        <w:t xml:space="preserve">) include a consolidated list of </w:t>
      </w:r>
      <w:r w:rsidRPr="00013A5B">
        <w:rPr>
          <w:b/>
          <w:bCs/>
        </w:rPr>
        <w:t>approved service types</w:t>
      </w:r>
      <w:r w:rsidRPr="00013A5B">
        <w:t xml:space="preserve">, including specific approved care and service items, able to be delivered under all funded Commonwealth Aged Care Programs. The full list of service types approved for delivery under the Transition Care Program (TCP) are listed below. Detailed information on the service items and supports that sit under each service type can be viewed in the Rules. </w:t>
      </w:r>
    </w:p>
    <w:p w14:paraId="586D4599" w14:textId="6707EA23" w:rsidR="00013A5B" w:rsidRPr="00277D2D" w:rsidRDefault="00013A5B" w:rsidP="00277D2D">
      <w:pPr>
        <w:rPr>
          <w:rStyle w:val="Strong"/>
        </w:rPr>
      </w:pPr>
      <w:r w:rsidRPr="00277D2D">
        <w:rPr>
          <w:rStyle w:val="Strong"/>
        </w:rPr>
        <w:t>The specific type and level of approved TCP services and supports a TCP client is to receive will be determined by what is required to meet the client’s individual assessed goals and needs.</w:t>
      </w:r>
    </w:p>
    <w:p w14:paraId="1724B54A" w14:textId="7C33C8AB" w:rsidR="00013A5B" w:rsidRPr="00277D2D" w:rsidRDefault="00013A5B" w:rsidP="00277D2D">
      <w:pPr>
        <w:rPr>
          <w:u w:val="single"/>
          <w:lang w:val="en-US"/>
        </w:rPr>
      </w:pPr>
      <w:r w:rsidRPr="00013A5B">
        <w:rPr>
          <w:lang w:val="en-US"/>
        </w:rPr>
        <w:t xml:space="preserve">The exact package of approved services and </w:t>
      </w:r>
      <w:proofErr w:type="gramStart"/>
      <w:r w:rsidRPr="00013A5B">
        <w:rPr>
          <w:lang w:val="en-US"/>
        </w:rPr>
        <w:t>supports</w:t>
      </w:r>
      <w:proofErr w:type="gramEnd"/>
      <w:r w:rsidRPr="00013A5B">
        <w:rPr>
          <w:lang w:val="en-US"/>
        </w:rPr>
        <w:t xml:space="preserve"> to be received throughout a client’s TCP episode will be outlined in the client’s detailed Care and Services Plan.  </w:t>
      </w:r>
    </w:p>
    <w:tbl>
      <w:tblPr>
        <w:tblStyle w:val="TableGrid"/>
        <w:tblW w:w="0" w:type="auto"/>
        <w:tblLook w:val="04A0" w:firstRow="1" w:lastRow="0" w:firstColumn="1" w:lastColumn="0" w:noHBand="0" w:noVBand="1"/>
      </w:tblPr>
      <w:tblGrid>
        <w:gridCol w:w="3478"/>
        <w:gridCol w:w="6726"/>
      </w:tblGrid>
      <w:tr w:rsidR="00013A5B" w:rsidRPr="00013A5B" w14:paraId="40C50032" w14:textId="77777777" w:rsidTr="00277D2D">
        <w:trPr>
          <w:cnfStyle w:val="100000000000" w:firstRow="1" w:lastRow="0" w:firstColumn="0" w:lastColumn="0" w:oddVBand="0" w:evenVBand="0" w:oddHBand="0" w:evenHBand="0" w:firstRowFirstColumn="0" w:firstRowLastColumn="0" w:lastRowFirstColumn="0" w:lastRowLastColumn="0"/>
          <w:cantSplit w:val="0"/>
          <w:trHeight w:val="510"/>
          <w:tblHeader/>
        </w:trPr>
        <w:tc>
          <w:tcPr>
            <w:tcW w:w="0" w:type="auto"/>
            <w:shd w:val="clear" w:color="auto" w:fill="2AB1BB" w:themeFill="accent1"/>
            <w:vAlign w:val="center"/>
          </w:tcPr>
          <w:p w14:paraId="764B88A8" w14:textId="1678FF11" w:rsidR="00013A5B" w:rsidRPr="00013A5B" w:rsidRDefault="00013A5B" w:rsidP="00277D2D">
            <w:pPr>
              <w:spacing w:before="0" w:after="0" w:line="240" w:lineRule="auto"/>
              <w:rPr>
                <w:rFonts w:cs="Arial"/>
                <w:bCs/>
                <w:lang w:val="en-US"/>
              </w:rPr>
            </w:pPr>
            <w:r w:rsidRPr="00013A5B">
              <w:rPr>
                <w:rFonts w:cs="Arial"/>
                <w:bCs/>
                <w:lang w:val="en-US"/>
              </w:rPr>
              <w:t>TCP Delivery Setting</w:t>
            </w:r>
          </w:p>
        </w:tc>
        <w:tc>
          <w:tcPr>
            <w:tcW w:w="0" w:type="auto"/>
            <w:shd w:val="clear" w:color="auto" w:fill="2AB1BB" w:themeFill="accent1"/>
            <w:vAlign w:val="center"/>
          </w:tcPr>
          <w:p w14:paraId="4AC69EC0" w14:textId="77777777" w:rsidR="00013A5B" w:rsidRPr="00013A5B" w:rsidRDefault="00013A5B" w:rsidP="00277D2D">
            <w:pPr>
              <w:spacing w:before="0" w:after="0" w:line="240" w:lineRule="auto"/>
              <w:rPr>
                <w:rFonts w:cs="Arial"/>
                <w:bCs/>
                <w:lang w:val="en-US"/>
              </w:rPr>
            </w:pPr>
            <w:r w:rsidRPr="00013A5B">
              <w:rPr>
                <w:rFonts w:cs="Arial"/>
                <w:bCs/>
                <w:lang w:val="en-US"/>
              </w:rPr>
              <w:t>TCP Service Types</w:t>
            </w:r>
          </w:p>
        </w:tc>
      </w:tr>
      <w:tr w:rsidR="00013A5B" w:rsidRPr="00013A5B" w14:paraId="19B28856" w14:textId="77777777" w:rsidTr="00080C46">
        <w:trPr>
          <w:cantSplit w:val="0"/>
        </w:trPr>
        <w:tc>
          <w:tcPr>
            <w:tcW w:w="0" w:type="auto"/>
          </w:tcPr>
          <w:p w14:paraId="4081A34E" w14:textId="69A65582" w:rsidR="00013A5B" w:rsidRPr="00277D2D" w:rsidRDefault="00013A5B" w:rsidP="00277D2D">
            <w:pPr>
              <w:spacing w:before="0" w:after="0" w:line="240" w:lineRule="auto"/>
              <w:rPr>
                <w:rFonts w:cs="Arial"/>
                <w:b/>
                <w:bCs/>
                <w:lang w:val="en-US"/>
              </w:rPr>
            </w:pPr>
            <w:r w:rsidRPr="00013A5B">
              <w:rPr>
                <w:rFonts w:cs="Arial"/>
                <w:b/>
                <w:bCs/>
                <w:lang w:val="en-US"/>
              </w:rPr>
              <w:t xml:space="preserve">For </w:t>
            </w:r>
            <w:r w:rsidRPr="00013A5B">
              <w:rPr>
                <w:rFonts w:cs="Arial"/>
                <w:b/>
                <w:bCs/>
                <w:u w:val="single"/>
                <w:lang w:val="en-US"/>
              </w:rPr>
              <w:t>All</w:t>
            </w:r>
            <w:r w:rsidRPr="00013A5B">
              <w:rPr>
                <w:rFonts w:cs="Arial"/>
                <w:b/>
                <w:bCs/>
                <w:lang w:val="en-US"/>
              </w:rPr>
              <w:t xml:space="preserve"> TCP Clients regardless of setting</w:t>
            </w:r>
          </w:p>
        </w:tc>
        <w:tc>
          <w:tcPr>
            <w:tcW w:w="0" w:type="auto"/>
          </w:tcPr>
          <w:p w14:paraId="4862C0F3"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t>Assistance with transition care</w:t>
            </w:r>
          </w:p>
          <w:p w14:paraId="0F910D69" w14:textId="77777777" w:rsidR="00013A5B" w:rsidRPr="00013A5B" w:rsidRDefault="00013A5B" w:rsidP="00013A5B">
            <w:pPr>
              <w:numPr>
                <w:ilvl w:val="1"/>
                <w:numId w:val="36"/>
              </w:numPr>
              <w:spacing w:before="0" w:after="0" w:line="240" w:lineRule="auto"/>
              <w:rPr>
                <w:rFonts w:cs="Arial"/>
                <w:b/>
                <w:bCs/>
                <w:lang w:val="en-US"/>
              </w:rPr>
            </w:pPr>
            <w:r w:rsidRPr="00013A5B">
              <w:rPr>
                <w:rFonts w:cs="Arial"/>
                <w:b/>
                <w:bCs/>
                <w:lang w:val="en-US"/>
              </w:rPr>
              <w:t>Item 1 – Transition care management</w:t>
            </w:r>
          </w:p>
          <w:p w14:paraId="313838DF" w14:textId="53E5C1DF" w:rsidR="00013A5B" w:rsidRPr="00277D2D" w:rsidRDefault="00013A5B" w:rsidP="00277D2D">
            <w:pPr>
              <w:numPr>
                <w:ilvl w:val="1"/>
                <w:numId w:val="36"/>
              </w:numPr>
              <w:spacing w:before="0" w:after="0" w:line="240" w:lineRule="auto"/>
              <w:rPr>
                <w:rFonts w:cs="Arial"/>
                <w:b/>
                <w:bCs/>
                <w:lang w:val="en-US"/>
              </w:rPr>
            </w:pPr>
            <w:r w:rsidRPr="00013A5B">
              <w:rPr>
                <w:rFonts w:cs="Arial"/>
                <w:b/>
                <w:bCs/>
                <w:lang w:val="en-US"/>
              </w:rPr>
              <w:t xml:space="preserve">Item 2 – Assistance to access medical practitioner </w:t>
            </w:r>
          </w:p>
          <w:p w14:paraId="54EA9954" w14:textId="77777777" w:rsidR="00013A5B" w:rsidRPr="00013A5B" w:rsidRDefault="00013A5B" w:rsidP="00013A5B">
            <w:pPr>
              <w:spacing w:before="0" w:after="0" w:line="240" w:lineRule="auto"/>
              <w:rPr>
                <w:rFonts w:cs="Arial"/>
                <w:lang w:val="en-US"/>
              </w:rPr>
            </w:pPr>
            <w:r w:rsidRPr="00013A5B">
              <w:rPr>
                <w:rFonts w:cs="Arial"/>
                <w:lang w:val="en-US"/>
              </w:rPr>
              <w:t xml:space="preserve">Items 1-2 must be provided to all TCP clients regardless of their care setting </w:t>
            </w:r>
          </w:p>
          <w:p w14:paraId="47090EF2" w14:textId="77777777" w:rsidR="00013A5B" w:rsidRPr="00013A5B" w:rsidRDefault="00013A5B" w:rsidP="00013A5B">
            <w:pPr>
              <w:numPr>
                <w:ilvl w:val="0"/>
                <w:numId w:val="43"/>
              </w:numPr>
              <w:spacing w:before="0" w:after="0" w:line="240" w:lineRule="auto"/>
              <w:rPr>
                <w:rFonts w:cs="Arial"/>
                <w:lang w:val="en-US"/>
              </w:rPr>
            </w:pPr>
            <w:r w:rsidRPr="00013A5B">
              <w:rPr>
                <w:rFonts w:cs="Arial"/>
                <w:lang w:val="en-US"/>
              </w:rPr>
              <w:t>Item 1 must be delivered to all TCP clients</w:t>
            </w:r>
          </w:p>
          <w:p w14:paraId="2DF7E254" w14:textId="16962729" w:rsidR="00013A5B" w:rsidRPr="00277D2D" w:rsidRDefault="00013A5B" w:rsidP="00277D2D">
            <w:pPr>
              <w:numPr>
                <w:ilvl w:val="0"/>
                <w:numId w:val="43"/>
              </w:numPr>
              <w:spacing w:before="0" w:after="0" w:line="240" w:lineRule="auto"/>
              <w:rPr>
                <w:rFonts w:cs="Arial"/>
                <w:lang w:val="en-US"/>
              </w:rPr>
            </w:pPr>
            <w:r w:rsidRPr="00013A5B">
              <w:rPr>
                <w:rFonts w:cs="Arial"/>
                <w:lang w:val="en-US"/>
              </w:rPr>
              <w:t>Item 2 must be delivered to TCP clients on an as-needs basis</w:t>
            </w:r>
          </w:p>
        </w:tc>
      </w:tr>
      <w:tr w:rsidR="00013A5B" w:rsidRPr="00013A5B" w14:paraId="6422874D" w14:textId="77777777" w:rsidTr="00080C46">
        <w:trPr>
          <w:cantSplit w:val="0"/>
        </w:trPr>
        <w:tc>
          <w:tcPr>
            <w:tcW w:w="0" w:type="auto"/>
          </w:tcPr>
          <w:p w14:paraId="32A03247" w14:textId="61E861AD" w:rsidR="00013A5B" w:rsidRPr="00277D2D" w:rsidRDefault="00013A5B" w:rsidP="00277D2D">
            <w:pPr>
              <w:spacing w:before="0" w:after="0" w:line="240" w:lineRule="auto"/>
              <w:rPr>
                <w:rFonts w:cs="Arial"/>
                <w:b/>
                <w:bCs/>
                <w:lang w:val="en-US"/>
              </w:rPr>
            </w:pPr>
            <w:r w:rsidRPr="00013A5B">
              <w:rPr>
                <w:rFonts w:cs="Arial"/>
                <w:b/>
                <w:bCs/>
                <w:lang w:val="en-US"/>
              </w:rPr>
              <w:t>For TCP Delivered in a Home/Community Setting</w:t>
            </w:r>
          </w:p>
        </w:tc>
        <w:tc>
          <w:tcPr>
            <w:tcW w:w="0" w:type="auto"/>
          </w:tcPr>
          <w:p w14:paraId="3EB0E8C5" w14:textId="78896FB5" w:rsidR="00013A5B" w:rsidRPr="00277D2D" w:rsidRDefault="00013A5B" w:rsidP="00277D2D">
            <w:pPr>
              <w:numPr>
                <w:ilvl w:val="0"/>
                <w:numId w:val="36"/>
              </w:numPr>
              <w:spacing w:before="0" w:after="0" w:line="240" w:lineRule="auto"/>
              <w:rPr>
                <w:rFonts w:cs="Arial"/>
                <w:b/>
                <w:bCs/>
                <w:lang w:val="en-US"/>
              </w:rPr>
            </w:pPr>
            <w:r w:rsidRPr="00013A5B">
              <w:rPr>
                <w:rFonts w:cs="Arial"/>
                <w:b/>
                <w:bCs/>
                <w:lang w:val="en-US"/>
              </w:rPr>
              <w:t>Allied Health and Therapy</w:t>
            </w:r>
          </w:p>
          <w:p w14:paraId="2F5BD75E" w14:textId="4B8F7A26" w:rsidR="00013A5B" w:rsidRPr="00013A5B" w:rsidRDefault="00013A5B" w:rsidP="00277D2D">
            <w:pPr>
              <w:spacing w:before="0" w:after="0" w:line="240" w:lineRule="auto"/>
              <w:rPr>
                <w:rFonts w:cs="Arial"/>
                <w:lang w:val="en-US"/>
              </w:rPr>
            </w:pPr>
            <w:r w:rsidRPr="00013A5B">
              <w:rPr>
                <w:rFonts w:cs="Arial"/>
                <w:lang w:val="en-US"/>
              </w:rPr>
              <w:t>This Item must be delivered to TCP clients in a home or community care setting.</w:t>
            </w:r>
          </w:p>
          <w:p w14:paraId="59B3D8ED" w14:textId="17CEC154" w:rsidR="00013A5B" w:rsidRPr="00277D2D" w:rsidRDefault="00013A5B" w:rsidP="00277D2D">
            <w:pPr>
              <w:numPr>
                <w:ilvl w:val="0"/>
                <w:numId w:val="36"/>
              </w:numPr>
              <w:spacing w:before="0" w:after="0" w:line="240" w:lineRule="auto"/>
              <w:rPr>
                <w:rFonts w:cs="Arial"/>
                <w:b/>
                <w:bCs/>
                <w:lang w:val="en-US"/>
              </w:rPr>
            </w:pPr>
            <w:r w:rsidRPr="00013A5B">
              <w:rPr>
                <w:rFonts w:cs="Arial"/>
                <w:b/>
                <w:bCs/>
                <w:lang w:val="en-US"/>
              </w:rPr>
              <w:t>Assistance with transition care</w:t>
            </w:r>
          </w:p>
          <w:p w14:paraId="6395DABB" w14:textId="77777777" w:rsidR="00013A5B" w:rsidRPr="00013A5B" w:rsidRDefault="00013A5B" w:rsidP="00013A5B">
            <w:pPr>
              <w:spacing w:before="0" w:after="0" w:line="240" w:lineRule="auto"/>
              <w:rPr>
                <w:rFonts w:cs="Arial"/>
                <w:lang w:val="en-US"/>
              </w:rPr>
            </w:pPr>
            <w:r w:rsidRPr="00013A5B">
              <w:rPr>
                <w:rFonts w:cs="Arial"/>
                <w:lang w:val="en-US"/>
              </w:rPr>
              <w:t xml:space="preserve">Items 3-6 under this </w:t>
            </w:r>
            <w:proofErr w:type="gramStart"/>
            <w:r w:rsidRPr="00013A5B">
              <w:rPr>
                <w:rFonts w:cs="Arial"/>
                <w:lang w:val="en-US"/>
              </w:rPr>
              <w:t>service type</w:t>
            </w:r>
            <w:proofErr w:type="gramEnd"/>
            <w:r w:rsidRPr="00013A5B">
              <w:rPr>
                <w:rFonts w:cs="Arial"/>
                <w:lang w:val="en-US"/>
              </w:rPr>
              <w:t xml:space="preserve"> must be provided to all TCP clients receiving care in a home or community setting who need them:</w:t>
            </w:r>
          </w:p>
          <w:p w14:paraId="06F52196" w14:textId="77777777" w:rsidR="00013A5B" w:rsidRPr="00013A5B" w:rsidRDefault="00013A5B" w:rsidP="00013A5B">
            <w:pPr>
              <w:numPr>
                <w:ilvl w:val="1"/>
                <w:numId w:val="36"/>
              </w:numPr>
              <w:spacing w:before="0" w:after="0" w:line="240" w:lineRule="auto"/>
              <w:rPr>
                <w:rFonts w:cs="Arial"/>
                <w:b/>
                <w:bCs/>
                <w:lang w:val="en-US"/>
              </w:rPr>
            </w:pPr>
            <w:r w:rsidRPr="00013A5B">
              <w:rPr>
                <w:rFonts w:cs="Arial"/>
                <w:b/>
                <w:bCs/>
                <w:lang w:val="en-US"/>
              </w:rPr>
              <w:t xml:space="preserve">Item 3 – Transition care medication management </w:t>
            </w:r>
          </w:p>
          <w:p w14:paraId="05162F51" w14:textId="77777777" w:rsidR="00013A5B" w:rsidRPr="00013A5B" w:rsidRDefault="00013A5B" w:rsidP="00013A5B">
            <w:pPr>
              <w:numPr>
                <w:ilvl w:val="1"/>
                <w:numId w:val="36"/>
              </w:numPr>
              <w:spacing w:before="0" w:after="0" w:line="240" w:lineRule="auto"/>
              <w:rPr>
                <w:rFonts w:cs="Arial"/>
                <w:b/>
                <w:bCs/>
                <w:lang w:val="en-US"/>
              </w:rPr>
            </w:pPr>
            <w:r w:rsidRPr="00013A5B">
              <w:rPr>
                <w:rFonts w:cs="Arial"/>
                <w:b/>
                <w:bCs/>
                <w:lang w:val="en-US"/>
              </w:rPr>
              <w:t xml:space="preserve">Item 4 – Transition care emergency or after-hours assistance </w:t>
            </w:r>
          </w:p>
          <w:p w14:paraId="3F21F644" w14:textId="77777777" w:rsidR="00013A5B" w:rsidRPr="00013A5B" w:rsidRDefault="00013A5B" w:rsidP="00013A5B">
            <w:pPr>
              <w:numPr>
                <w:ilvl w:val="1"/>
                <w:numId w:val="36"/>
              </w:numPr>
              <w:spacing w:before="0" w:after="0" w:line="240" w:lineRule="auto"/>
              <w:rPr>
                <w:rFonts w:cs="Arial"/>
                <w:b/>
                <w:bCs/>
                <w:lang w:val="en-US"/>
              </w:rPr>
            </w:pPr>
            <w:r w:rsidRPr="00013A5B">
              <w:rPr>
                <w:rFonts w:cs="Arial"/>
                <w:b/>
                <w:bCs/>
                <w:lang w:val="en-US"/>
              </w:rPr>
              <w:t xml:space="preserve">Item 5 – Transition care continence management </w:t>
            </w:r>
          </w:p>
          <w:p w14:paraId="0ADFFE35" w14:textId="7B14338E" w:rsidR="00013A5B" w:rsidRPr="00277D2D" w:rsidRDefault="00013A5B" w:rsidP="00277D2D">
            <w:pPr>
              <w:numPr>
                <w:ilvl w:val="1"/>
                <w:numId w:val="36"/>
              </w:numPr>
              <w:spacing w:before="0" w:after="0" w:line="240" w:lineRule="auto"/>
              <w:rPr>
                <w:rFonts w:cs="Arial"/>
                <w:b/>
                <w:bCs/>
                <w:lang w:val="en-US"/>
              </w:rPr>
            </w:pPr>
            <w:r w:rsidRPr="00013A5B">
              <w:rPr>
                <w:rFonts w:cs="Arial"/>
                <w:b/>
                <w:bCs/>
                <w:lang w:val="en-US"/>
              </w:rPr>
              <w:t xml:space="preserve">Item 6 – Waste disposal </w:t>
            </w:r>
          </w:p>
          <w:p w14:paraId="4E27F691" w14:textId="77777777" w:rsidR="00013A5B" w:rsidRPr="00013A5B" w:rsidRDefault="00013A5B" w:rsidP="00013A5B">
            <w:pPr>
              <w:spacing w:before="0" w:after="0" w:line="240" w:lineRule="auto"/>
              <w:rPr>
                <w:rFonts w:cs="Arial"/>
              </w:rPr>
            </w:pPr>
            <w:r w:rsidRPr="00013A5B">
              <w:rPr>
                <w:rFonts w:cs="Arial"/>
              </w:rPr>
              <w:t>The following Service Types must be provided to TCP clients in a home or community setting if required to address their specified goals and needs:</w:t>
            </w:r>
          </w:p>
          <w:p w14:paraId="6E2B052B"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lastRenderedPageBreak/>
              <w:t>Domestic Assistance</w:t>
            </w:r>
          </w:p>
          <w:p w14:paraId="0372436D"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t>Home Maintenance and Repairs</w:t>
            </w:r>
          </w:p>
          <w:p w14:paraId="5191695D"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t>Meals</w:t>
            </w:r>
          </w:p>
          <w:p w14:paraId="5283FA89"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t>Nursing Care</w:t>
            </w:r>
          </w:p>
          <w:p w14:paraId="2C2F4D3C"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t>Nutrition</w:t>
            </w:r>
          </w:p>
          <w:p w14:paraId="2DB2CD1E"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t>Personal care</w:t>
            </w:r>
          </w:p>
          <w:p w14:paraId="3F73B4F7"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t>Equipment and products</w:t>
            </w:r>
          </w:p>
          <w:p w14:paraId="54F242FE" w14:textId="77777777" w:rsidR="00013A5B" w:rsidRPr="00013A5B" w:rsidRDefault="00013A5B" w:rsidP="00013A5B">
            <w:pPr>
              <w:numPr>
                <w:ilvl w:val="1"/>
                <w:numId w:val="36"/>
              </w:numPr>
              <w:spacing w:before="0" w:after="0" w:line="240" w:lineRule="auto"/>
              <w:rPr>
                <w:rFonts w:cs="Arial"/>
                <w:b/>
                <w:bCs/>
                <w:lang w:val="en-US"/>
              </w:rPr>
            </w:pPr>
            <w:r w:rsidRPr="00013A5B">
              <w:rPr>
                <w:rFonts w:cs="Arial"/>
                <w:b/>
                <w:bCs/>
                <w:lang w:val="en-US"/>
              </w:rPr>
              <w:t xml:space="preserve">Mobility items </w:t>
            </w:r>
          </w:p>
          <w:p w14:paraId="579AAE6E" w14:textId="3047DB43" w:rsidR="00013A5B" w:rsidRPr="00277D2D" w:rsidRDefault="00013A5B" w:rsidP="00277D2D">
            <w:pPr>
              <w:numPr>
                <w:ilvl w:val="1"/>
                <w:numId w:val="36"/>
              </w:numPr>
              <w:spacing w:before="0" w:after="0" w:line="240" w:lineRule="auto"/>
              <w:rPr>
                <w:rFonts w:cs="Arial"/>
                <w:b/>
                <w:bCs/>
                <w:lang w:val="en-US"/>
              </w:rPr>
            </w:pPr>
            <w:r w:rsidRPr="00013A5B">
              <w:rPr>
                <w:rFonts w:cs="Arial"/>
                <w:b/>
                <w:bCs/>
                <w:lang w:val="en-US"/>
              </w:rPr>
              <w:t xml:space="preserve">Assistive technology prescription and clinical support </w:t>
            </w:r>
          </w:p>
        </w:tc>
      </w:tr>
      <w:tr w:rsidR="00013A5B" w:rsidRPr="00013A5B" w14:paraId="4538CC7B" w14:textId="77777777" w:rsidTr="00277D2D">
        <w:tc>
          <w:tcPr>
            <w:tcW w:w="0" w:type="auto"/>
          </w:tcPr>
          <w:p w14:paraId="1BAD90E8" w14:textId="77777777" w:rsidR="00013A5B" w:rsidRPr="00013A5B" w:rsidRDefault="00013A5B" w:rsidP="00013A5B">
            <w:pPr>
              <w:spacing w:before="0" w:after="0" w:line="240" w:lineRule="auto"/>
              <w:rPr>
                <w:rFonts w:cs="Arial"/>
                <w:b/>
                <w:bCs/>
                <w:lang w:val="en-US"/>
              </w:rPr>
            </w:pPr>
            <w:r w:rsidRPr="00013A5B">
              <w:rPr>
                <w:rFonts w:cs="Arial"/>
                <w:b/>
                <w:bCs/>
                <w:lang w:val="en-US"/>
              </w:rPr>
              <w:lastRenderedPageBreak/>
              <w:t>For TCP Delivered in a Residential Aged Care Setting</w:t>
            </w:r>
          </w:p>
        </w:tc>
        <w:tc>
          <w:tcPr>
            <w:tcW w:w="0" w:type="auto"/>
          </w:tcPr>
          <w:p w14:paraId="6C9CD864" w14:textId="77777777" w:rsidR="00013A5B" w:rsidRPr="00013A5B" w:rsidRDefault="00013A5B" w:rsidP="00013A5B">
            <w:pPr>
              <w:spacing w:before="0" w:after="0" w:line="240" w:lineRule="auto"/>
              <w:rPr>
                <w:rFonts w:cs="Arial"/>
              </w:rPr>
            </w:pPr>
            <w:r w:rsidRPr="00013A5B">
              <w:rPr>
                <w:rFonts w:cs="Arial"/>
              </w:rPr>
              <w:t>The following Service Types must be provided to all TCP clients receiving care in a residential aged care setting who need them:</w:t>
            </w:r>
          </w:p>
          <w:p w14:paraId="58265270"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t>Residential accommodation</w:t>
            </w:r>
          </w:p>
          <w:p w14:paraId="513571EC"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t>Residential everyday living</w:t>
            </w:r>
          </w:p>
          <w:p w14:paraId="0A603F68" w14:textId="77777777" w:rsidR="00013A5B" w:rsidRPr="00013A5B" w:rsidRDefault="00013A5B" w:rsidP="00013A5B">
            <w:pPr>
              <w:numPr>
                <w:ilvl w:val="0"/>
                <w:numId w:val="36"/>
              </w:numPr>
              <w:spacing w:before="0" w:after="0" w:line="240" w:lineRule="auto"/>
              <w:rPr>
                <w:rFonts w:cs="Arial"/>
                <w:b/>
                <w:bCs/>
                <w:lang w:val="en-US"/>
              </w:rPr>
            </w:pPr>
            <w:r w:rsidRPr="00013A5B">
              <w:rPr>
                <w:rFonts w:cs="Arial"/>
                <w:b/>
                <w:bCs/>
                <w:lang w:val="en-US"/>
              </w:rPr>
              <w:t>Residential non-clinical care</w:t>
            </w:r>
          </w:p>
          <w:p w14:paraId="5DBD60D6" w14:textId="1464EF9B" w:rsidR="00013A5B" w:rsidRPr="00277D2D" w:rsidRDefault="00013A5B" w:rsidP="00277D2D">
            <w:pPr>
              <w:numPr>
                <w:ilvl w:val="0"/>
                <w:numId w:val="36"/>
              </w:numPr>
              <w:spacing w:before="0" w:after="0" w:line="240" w:lineRule="auto"/>
              <w:rPr>
                <w:rFonts w:cs="Arial"/>
                <w:b/>
                <w:bCs/>
                <w:lang w:val="en-US"/>
              </w:rPr>
            </w:pPr>
            <w:r w:rsidRPr="00013A5B">
              <w:rPr>
                <w:rFonts w:cs="Arial"/>
                <w:b/>
                <w:bCs/>
                <w:lang w:val="en-US"/>
              </w:rPr>
              <w:t>Residential clinical care</w:t>
            </w:r>
          </w:p>
        </w:tc>
      </w:tr>
    </w:tbl>
    <w:p w14:paraId="467E3E6F" w14:textId="77777777" w:rsidR="00EF0719" w:rsidRPr="00EF0719" w:rsidRDefault="00EF0719" w:rsidP="00EF0719">
      <w:pPr>
        <w:rPr>
          <w:rFonts w:cs="Arial"/>
        </w:rPr>
      </w:pPr>
    </w:p>
    <w:sectPr w:rsidR="00EF0719" w:rsidRPr="00EF0719" w:rsidSect="00EF0719">
      <w:headerReference w:type="even" r:id="rId11"/>
      <w:footerReference w:type="even" r:id="rId12"/>
      <w:headerReference w:type="first" r:id="rId13"/>
      <w:footerReference w:type="first" r:id="rId14"/>
      <w:pgSz w:w="11906" w:h="16838"/>
      <w:pgMar w:top="1702" w:right="851" w:bottom="851" w:left="851"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65F2" w14:textId="77777777" w:rsidR="00E507CE" w:rsidRDefault="00E507CE" w:rsidP="0076491B">
      <w:pPr>
        <w:spacing w:before="0" w:after="0" w:line="240" w:lineRule="auto"/>
      </w:pPr>
      <w:r>
        <w:separator/>
      </w:r>
    </w:p>
  </w:endnote>
  <w:endnote w:type="continuationSeparator" w:id="0">
    <w:p w14:paraId="0D6F8760" w14:textId="77777777" w:rsidR="00E507CE" w:rsidRDefault="00E507CE" w:rsidP="0076491B">
      <w:pPr>
        <w:spacing w:before="0" w:after="0" w:line="240" w:lineRule="auto"/>
      </w:pPr>
      <w:r>
        <w:continuationSeparator/>
      </w:r>
    </w:p>
  </w:endnote>
  <w:endnote w:type="continuationNotice" w:id="1">
    <w:p w14:paraId="1399E094" w14:textId="77777777" w:rsidR="00E507CE" w:rsidRDefault="00E507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9578" w14:textId="6F81DF97" w:rsidR="00AC0346" w:rsidRDefault="00AC0346">
    <w:pPr>
      <w:pStyle w:val="Footer"/>
    </w:pPr>
    <w:r>
      <w:rPr>
        <w:noProof/>
      </w:rPr>
      <mc:AlternateContent>
        <mc:Choice Requires="wps">
          <w:drawing>
            <wp:anchor distT="0" distB="0" distL="0" distR="0" simplePos="0" relativeHeight="251663360" behindDoc="0" locked="0" layoutInCell="1" allowOverlap="1" wp14:anchorId="646B99CA" wp14:editId="10BE125F">
              <wp:simplePos x="635" y="635"/>
              <wp:positionH relativeFrom="page">
                <wp:align>center</wp:align>
              </wp:positionH>
              <wp:positionV relativeFrom="page">
                <wp:align>bottom</wp:align>
              </wp:positionV>
              <wp:extent cx="551815" cy="480695"/>
              <wp:effectExtent l="0" t="0" r="635" b="0"/>
              <wp:wrapNone/>
              <wp:docPr id="20758078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9860FE5" w14:textId="571CA6CC" w:rsidR="00AC0346" w:rsidRPr="00AC0346" w:rsidRDefault="00AC0346" w:rsidP="00AC0346">
                          <w:pPr>
                            <w:spacing w:after="0"/>
                            <w:rPr>
                              <w:rFonts w:ascii="Calibri" w:eastAsia="Calibri" w:hAnsi="Calibri" w:cs="Calibri"/>
                              <w:noProof/>
                              <w:color w:val="FF0000"/>
                            </w:rPr>
                          </w:pPr>
                          <w:r w:rsidRPr="00AC0346">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6B99CA"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69860FE5" w14:textId="571CA6CC" w:rsidR="00AC0346" w:rsidRPr="00AC0346" w:rsidRDefault="00AC0346" w:rsidP="00AC0346">
                    <w:pPr>
                      <w:spacing w:after="0"/>
                      <w:rPr>
                        <w:rFonts w:ascii="Calibri" w:eastAsia="Calibri" w:hAnsi="Calibri" w:cs="Calibri"/>
                        <w:noProof/>
                        <w:color w:val="FF0000"/>
                      </w:rPr>
                    </w:pPr>
                    <w:r w:rsidRPr="00AC0346">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AFC" w14:textId="2B7262C1" w:rsidR="2566EFA4" w:rsidRPr="00F74388" w:rsidRDefault="00556EA6" w:rsidP="00F74388">
    <w:r>
      <w:t>October</w:t>
    </w:r>
    <w:r w:rsidR="00F74388" w:rsidRPr="00777CEA">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3163" w14:textId="77777777" w:rsidR="00E507CE" w:rsidRDefault="00E507CE" w:rsidP="0076491B">
      <w:pPr>
        <w:spacing w:before="0" w:after="0" w:line="240" w:lineRule="auto"/>
      </w:pPr>
      <w:r>
        <w:separator/>
      </w:r>
    </w:p>
  </w:footnote>
  <w:footnote w:type="continuationSeparator" w:id="0">
    <w:p w14:paraId="1822B41F" w14:textId="77777777" w:rsidR="00E507CE" w:rsidRDefault="00E507CE" w:rsidP="0076491B">
      <w:pPr>
        <w:spacing w:before="0" w:after="0" w:line="240" w:lineRule="auto"/>
      </w:pPr>
      <w:r>
        <w:continuationSeparator/>
      </w:r>
    </w:p>
  </w:footnote>
  <w:footnote w:type="continuationNotice" w:id="1">
    <w:p w14:paraId="62B1E46F" w14:textId="77777777" w:rsidR="00E507CE" w:rsidRDefault="00E507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FA29" w14:textId="26A2298E" w:rsidR="00AC0346" w:rsidRDefault="00AC0346">
    <w:pPr>
      <w:pStyle w:val="Header"/>
    </w:pPr>
    <w:r>
      <w:rPr>
        <w:noProof/>
      </w:rPr>
      <mc:AlternateContent>
        <mc:Choice Requires="wps">
          <w:drawing>
            <wp:anchor distT="0" distB="0" distL="0" distR="0" simplePos="0" relativeHeight="251660288" behindDoc="0" locked="0" layoutInCell="1" allowOverlap="1" wp14:anchorId="3620EA41" wp14:editId="14E1FA84">
              <wp:simplePos x="635" y="635"/>
              <wp:positionH relativeFrom="page">
                <wp:align>center</wp:align>
              </wp:positionH>
              <wp:positionV relativeFrom="page">
                <wp:align>top</wp:align>
              </wp:positionV>
              <wp:extent cx="551815" cy="480695"/>
              <wp:effectExtent l="0" t="0" r="635" b="14605"/>
              <wp:wrapNone/>
              <wp:docPr id="10038662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98B77D" w14:textId="1AC415F2" w:rsidR="00AC0346" w:rsidRPr="00AC0346" w:rsidRDefault="00AC0346" w:rsidP="00AC0346">
                          <w:pPr>
                            <w:spacing w:after="0"/>
                            <w:rPr>
                              <w:rFonts w:ascii="Calibri" w:eastAsia="Calibri" w:hAnsi="Calibri" w:cs="Calibri"/>
                              <w:noProof/>
                              <w:color w:val="FF0000"/>
                            </w:rPr>
                          </w:pPr>
                          <w:r w:rsidRPr="00AC0346">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0EA41"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198B77D" w14:textId="1AC415F2" w:rsidR="00AC0346" w:rsidRPr="00AC0346" w:rsidRDefault="00AC0346" w:rsidP="00AC0346">
                    <w:pPr>
                      <w:spacing w:after="0"/>
                      <w:rPr>
                        <w:rFonts w:ascii="Calibri" w:eastAsia="Calibri" w:hAnsi="Calibri" w:cs="Calibri"/>
                        <w:noProof/>
                        <w:color w:val="FF0000"/>
                      </w:rPr>
                    </w:pPr>
                    <w:r w:rsidRPr="00AC0346">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E0C8" w14:textId="66369A54" w:rsidR="000804B5" w:rsidRDefault="00170434">
    <w:pPr>
      <w:pStyle w:val="Header"/>
    </w:pPr>
    <w:r>
      <w:rPr>
        <w:noProof/>
        <w:lang w:val="en-US"/>
      </w:rPr>
      <w:drawing>
        <wp:anchor distT="0" distB="0" distL="114300" distR="114300" simplePos="0" relativeHeight="251658240" behindDoc="0" locked="0" layoutInCell="1" allowOverlap="1" wp14:anchorId="0E1EE63A" wp14:editId="57CB6FB1">
          <wp:simplePos x="0" y="0"/>
          <wp:positionH relativeFrom="page">
            <wp:align>right</wp:align>
          </wp:positionH>
          <wp:positionV relativeFrom="page">
            <wp:align>top</wp:align>
          </wp:positionV>
          <wp:extent cx="7558363" cy="2112411"/>
          <wp:effectExtent l="0" t="0" r="5080" b="0"/>
          <wp:wrapNone/>
          <wp:docPr id="939729512" name="Picture 9397295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782805"/>
    <w:multiLevelType w:val="hybridMultilevel"/>
    <w:tmpl w:val="0B309E64"/>
    <w:lvl w:ilvl="0" w:tplc="1200F652">
      <w:start w:val="1"/>
      <w:numFmt w:val="bullet"/>
      <w:lvlText w:val=""/>
      <w:lvlJc w:val="left"/>
      <w:pPr>
        <w:ind w:left="720" w:hanging="360"/>
      </w:pPr>
      <w:rPr>
        <w:rFonts w:ascii="Symbol" w:hAnsi="Symbol" w:hint="default"/>
        <w:color w:val="2AB1BB" w:themeColor="accent1"/>
      </w:rPr>
    </w:lvl>
    <w:lvl w:ilvl="1" w:tplc="4E9E90EE">
      <w:start w:val="1"/>
      <w:numFmt w:val="bullet"/>
      <w:lvlText w:val="o"/>
      <w:lvlJc w:val="left"/>
      <w:pPr>
        <w:ind w:left="1440" w:hanging="360"/>
      </w:pPr>
      <w:rPr>
        <w:rFonts w:ascii="Courier New" w:hAnsi="Courier New" w:cs="Courier New" w:hint="default"/>
        <w:color w:val="2AB1BB" w:themeColor="accent1"/>
      </w:rPr>
    </w:lvl>
    <w:lvl w:ilvl="2" w:tplc="0442C19A">
      <w:start w:val="1"/>
      <w:numFmt w:val="bullet"/>
      <w:lvlText w:val=""/>
      <w:lvlJc w:val="left"/>
      <w:pPr>
        <w:ind w:left="2160" w:hanging="360"/>
      </w:pPr>
      <w:rPr>
        <w:rFonts w:ascii="Wingdings" w:hAnsi="Wingdings" w:hint="default"/>
        <w:color w:val="2AB1BB" w:themeColor="accen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361E2"/>
    <w:multiLevelType w:val="multilevel"/>
    <w:tmpl w:val="3ACAC712"/>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FE15E61"/>
    <w:multiLevelType w:val="hybridMultilevel"/>
    <w:tmpl w:val="8DDC9E64"/>
    <w:lvl w:ilvl="0" w:tplc="010EBFC8">
      <w:start w:val="1"/>
      <w:numFmt w:val="bullet"/>
      <w:lvlText w:val=""/>
      <w:lvlJc w:val="left"/>
      <w:pPr>
        <w:ind w:left="720" w:hanging="360"/>
      </w:pPr>
      <w:rPr>
        <w:rFonts w:ascii="Symbol" w:hAnsi="Symbol" w:hint="default"/>
        <w:color w:val="2AB1BB"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330A40"/>
    <w:multiLevelType w:val="multilevel"/>
    <w:tmpl w:val="046AC22E"/>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8D26B66"/>
    <w:multiLevelType w:val="hybridMultilevel"/>
    <w:tmpl w:val="78BE89F4"/>
    <w:lvl w:ilvl="0" w:tplc="0C09000B">
      <w:start w:val="1"/>
      <w:numFmt w:val="bullet"/>
      <w:lvlText w:val=""/>
      <w:lvlJc w:val="left"/>
      <w:pPr>
        <w:ind w:left="720" w:hanging="360"/>
      </w:pPr>
      <w:rPr>
        <w:rFonts w:ascii="Wingdings" w:hAnsi="Wingdings" w:hint="default"/>
      </w:rPr>
    </w:lvl>
    <w:lvl w:ilvl="1" w:tplc="FEACB4C4">
      <w:start w:val="1"/>
      <w:numFmt w:val="bullet"/>
      <w:lvlText w:val="o"/>
      <w:lvlJc w:val="left"/>
      <w:pPr>
        <w:ind w:left="1440" w:hanging="360"/>
      </w:pPr>
      <w:rPr>
        <w:rFonts w:ascii="Courier New" w:hAnsi="Courier New" w:cs="Courier New" w:hint="default"/>
        <w:color w:val="2AB1BB"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576AB3"/>
    <w:multiLevelType w:val="hybridMultilevel"/>
    <w:tmpl w:val="04E2C708"/>
    <w:lvl w:ilvl="0" w:tplc="1C6CB2AE">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981F0C"/>
    <w:multiLevelType w:val="hybridMultilevel"/>
    <w:tmpl w:val="51F81292"/>
    <w:lvl w:ilvl="0" w:tplc="A6F0DCA2">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EE01351"/>
    <w:multiLevelType w:val="multilevel"/>
    <w:tmpl w:val="A21A2DB0"/>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3"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0C306D"/>
    <w:multiLevelType w:val="hybridMultilevel"/>
    <w:tmpl w:val="EC762D26"/>
    <w:lvl w:ilvl="0" w:tplc="8E70C1AA">
      <w:start w:val="1"/>
      <w:numFmt w:val="bullet"/>
      <w:lvlText w:val=""/>
      <w:lvlJc w:val="left"/>
      <w:pPr>
        <w:ind w:left="720" w:hanging="360"/>
      </w:pPr>
      <w:rPr>
        <w:rFonts w:ascii="Wingdings" w:hAnsi="Wingdings"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930AFE"/>
    <w:multiLevelType w:val="hybridMultilevel"/>
    <w:tmpl w:val="CF4E7750"/>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A2922A9E">
      <w:start w:val="1"/>
      <w:numFmt w:val="bullet"/>
      <w:lvlText w:val="o"/>
      <w:lvlJc w:val="left"/>
      <w:pPr>
        <w:ind w:left="2520" w:hanging="360"/>
      </w:pPr>
      <w:rPr>
        <w:rFonts w:ascii="Courier New" w:hAnsi="Courier New" w:cs="Courier New" w:hint="default"/>
        <w:color w:val="2AB1BB" w:themeColor="accent1"/>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6047DEF"/>
    <w:multiLevelType w:val="hybridMultilevel"/>
    <w:tmpl w:val="B44AFA40"/>
    <w:lvl w:ilvl="0" w:tplc="05504BE6">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65C28C4"/>
    <w:multiLevelType w:val="hybridMultilevel"/>
    <w:tmpl w:val="A540182E"/>
    <w:lvl w:ilvl="0" w:tplc="1C6CB2AE">
      <w:start w:val="1"/>
      <w:numFmt w:val="bullet"/>
      <w:lvlText w:val=""/>
      <w:lvlJc w:val="left"/>
      <w:pPr>
        <w:ind w:left="720" w:hanging="360"/>
      </w:pPr>
      <w:rPr>
        <w:rFonts w:ascii="Symbol" w:hAnsi="Symbol" w:hint="default"/>
        <w:color w:val="2AB1BB" w:themeColor="accent1"/>
      </w:rPr>
    </w:lvl>
    <w:lvl w:ilvl="1" w:tplc="08C6F4B4">
      <w:start w:val="1"/>
      <w:numFmt w:val="bullet"/>
      <w:lvlText w:val="o"/>
      <w:lvlJc w:val="left"/>
      <w:pPr>
        <w:ind w:left="1440" w:hanging="360"/>
      </w:pPr>
      <w:rPr>
        <w:rFonts w:ascii="Courier New" w:hAnsi="Courier New" w:cs="Courier New" w:hint="default"/>
        <w:color w:val="2AB1BB" w:themeColor="accent1"/>
      </w:rPr>
    </w:lvl>
    <w:lvl w:ilvl="2" w:tplc="E3049396">
      <w:start w:val="1"/>
      <w:numFmt w:val="bullet"/>
      <w:lvlText w:val=""/>
      <w:lvlJc w:val="left"/>
      <w:pPr>
        <w:ind w:left="2160" w:hanging="360"/>
      </w:pPr>
      <w:rPr>
        <w:rFonts w:ascii="Wingdings" w:hAnsi="Wingdings" w:hint="default"/>
        <w:color w:val="2AB1BB" w:themeColor="accen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FF41A1"/>
    <w:multiLevelType w:val="hybridMultilevel"/>
    <w:tmpl w:val="56649F76"/>
    <w:lvl w:ilvl="0" w:tplc="23ACCD88">
      <w:start w:val="1"/>
      <w:numFmt w:val="bullet"/>
      <w:lvlText w:val="o"/>
      <w:lvlJc w:val="left"/>
      <w:pPr>
        <w:ind w:left="1080" w:hanging="360"/>
      </w:pPr>
      <w:rPr>
        <w:rFonts w:ascii="Courier New" w:hAnsi="Courier New" w:cs="Courier New" w:hint="default"/>
        <w:color w:val="2AB1BB" w:themeColor="accen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8E65B3"/>
    <w:multiLevelType w:val="hybridMultilevel"/>
    <w:tmpl w:val="3C2A614A"/>
    <w:lvl w:ilvl="0" w:tplc="E15C137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3C7455"/>
    <w:multiLevelType w:val="hybridMultilevel"/>
    <w:tmpl w:val="A9DA97C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2504315"/>
    <w:multiLevelType w:val="hybridMultilevel"/>
    <w:tmpl w:val="B8E22642"/>
    <w:lvl w:ilvl="0" w:tplc="34480CB8">
      <w:numFmt w:val="bullet"/>
      <w:lvlText w:val=""/>
      <w:lvlJc w:val="left"/>
      <w:pPr>
        <w:ind w:left="720" w:hanging="360"/>
      </w:pPr>
      <w:rPr>
        <w:rFonts w:ascii="Symbol" w:eastAsia="Times New Roman" w:hAnsi="Symbol" w:cs="Times New Roman" w:hint="default"/>
        <w:color w:val="2AB1BB" w:themeColor="accen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FA1779"/>
    <w:multiLevelType w:val="multilevel"/>
    <w:tmpl w:val="9746E216"/>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C2C7D20"/>
    <w:multiLevelType w:val="hybridMultilevel"/>
    <w:tmpl w:val="6C020034"/>
    <w:lvl w:ilvl="0" w:tplc="A7784C34">
      <w:start w:val="1"/>
      <w:numFmt w:val="bullet"/>
      <w:lvlText w:val=""/>
      <w:lvlJc w:val="left"/>
      <w:pPr>
        <w:ind w:left="360" w:hanging="360"/>
      </w:pPr>
      <w:rPr>
        <w:rFonts w:ascii="Symbol" w:hAnsi="Symbol" w:hint="default"/>
        <w:color w:val="2AB1BB" w:themeColor="accent1"/>
      </w:rPr>
    </w:lvl>
    <w:lvl w:ilvl="1" w:tplc="3BFA74B0">
      <w:start w:val="1"/>
      <w:numFmt w:val="bullet"/>
      <w:lvlText w:val="o"/>
      <w:lvlJc w:val="left"/>
      <w:pPr>
        <w:ind w:left="1080" w:hanging="360"/>
      </w:pPr>
      <w:rPr>
        <w:rFonts w:ascii="Courier New" w:hAnsi="Courier New" w:cs="Courier New" w:hint="default"/>
        <w:color w:val="2AB1BB" w:themeColor="accent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A1EE9"/>
    <w:multiLevelType w:val="hybridMultilevel"/>
    <w:tmpl w:val="8A8A6C5E"/>
    <w:lvl w:ilvl="0" w:tplc="D9066320">
      <w:start w:val="1"/>
      <w:numFmt w:val="bullet"/>
      <w:lvlText w:val="o"/>
      <w:lvlJc w:val="left"/>
      <w:pPr>
        <w:ind w:left="720" w:hanging="360"/>
      </w:pPr>
      <w:rPr>
        <w:rFonts w:ascii="Courier New" w:hAnsi="Courier New" w:cs="Courier New"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4" w15:restartNumberingAfterBreak="0">
    <w:nsid w:val="5CE87231"/>
    <w:multiLevelType w:val="multilevel"/>
    <w:tmpl w:val="B0E4C05C"/>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1997C74"/>
    <w:multiLevelType w:val="hybridMultilevel"/>
    <w:tmpl w:val="B21EBC62"/>
    <w:lvl w:ilvl="0" w:tplc="966E8846">
      <w:start w:val="1"/>
      <w:numFmt w:val="bullet"/>
      <w:lvlText w:val="o"/>
      <w:lvlJc w:val="left"/>
      <w:pPr>
        <w:ind w:left="720" w:hanging="360"/>
      </w:pPr>
      <w:rPr>
        <w:rFonts w:ascii="Courier New" w:hAnsi="Courier New" w:cs="Courier New"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46084F"/>
    <w:multiLevelType w:val="multilevel"/>
    <w:tmpl w:val="178815F4"/>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8187DBF"/>
    <w:multiLevelType w:val="hybridMultilevel"/>
    <w:tmpl w:val="1BBC6B40"/>
    <w:lvl w:ilvl="0" w:tplc="EEFE421E">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41"/>
  </w:num>
  <w:num w:numId="2" w16cid:durableId="887882813">
    <w:abstractNumId w:val="11"/>
  </w:num>
  <w:num w:numId="3" w16cid:durableId="2099326521">
    <w:abstractNumId w:val="37"/>
  </w:num>
  <w:num w:numId="4" w16cid:durableId="1547790336">
    <w:abstractNumId w:val="38"/>
  </w:num>
  <w:num w:numId="5" w16cid:durableId="1860000748">
    <w:abstractNumId w:val="22"/>
  </w:num>
  <w:num w:numId="6" w16cid:durableId="387412051">
    <w:abstractNumId w:val="5"/>
  </w:num>
  <w:num w:numId="7" w16cid:durableId="1549995288">
    <w:abstractNumId w:val="32"/>
  </w:num>
  <w:num w:numId="8" w16cid:durableId="990331736">
    <w:abstractNumId w:val="30"/>
  </w:num>
  <w:num w:numId="9" w16cid:durableId="1218394114">
    <w:abstractNumId w:val="36"/>
  </w:num>
  <w:num w:numId="10" w16cid:durableId="962155908">
    <w:abstractNumId w:val="0"/>
  </w:num>
  <w:num w:numId="11" w16cid:durableId="440883028">
    <w:abstractNumId w:val="42"/>
  </w:num>
  <w:num w:numId="12" w16cid:durableId="1027488482">
    <w:abstractNumId w:val="13"/>
  </w:num>
  <w:num w:numId="13" w16cid:durableId="112018218">
    <w:abstractNumId w:val="27"/>
  </w:num>
  <w:num w:numId="14" w16cid:durableId="1703019049">
    <w:abstractNumId w:val="2"/>
  </w:num>
  <w:num w:numId="15" w16cid:durableId="1166283392">
    <w:abstractNumId w:val="20"/>
  </w:num>
  <w:num w:numId="16" w16cid:durableId="2041929339">
    <w:abstractNumId w:val="24"/>
  </w:num>
  <w:num w:numId="17" w16cid:durableId="480653444">
    <w:abstractNumId w:val="33"/>
  </w:num>
  <w:num w:numId="18" w16cid:durableId="1440756137">
    <w:abstractNumId w:val="26"/>
  </w:num>
  <w:num w:numId="19" w16cid:durableId="305211232">
    <w:abstractNumId w:val="12"/>
  </w:num>
  <w:num w:numId="20" w16cid:durableId="889804405">
    <w:abstractNumId w:val="14"/>
  </w:num>
  <w:num w:numId="21" w16cid:durableId="1551922985">
    <w:abstractNumId w:val="25"/>
  </w:num>
  <w:num w:numId="22" w16cid:durableId="866986831">
    <w:abstractNumId w:val="21"/>
  </w:num>
  <w:num w:numId="23" w16cid:durableId="1957564704">
    <w:abstractNumId w:val="7"/>
  </w:num>
  <w:num w:numId="24" w16cid:durableId="1515417570">
    <w:abstractNumId w:val="1"/>
  </w:num>
  <w:num w:numId="25" w16cid:durableId="1749571655">
    <w:abstractNumId w:val="4"/>
  </w:num>
  <w:num w:numId="26" w16cid:durableId="1003045533">
    <w:abstractNumId w:val="9"/>
  </w:num>
  <w:num w:numId="27" w16cid:durableId="276184579">
    <w:abstractNumId w:val="17"/>
  </w:num>
  <w:num w:numId="28" w16cid:durableId="1246956858">
    <w:abstractNumId w:val="28"/>
  </w:num>
  <w:num w:numId="29" w16cid:durableId="2094814860">
    <w:abstractNumId w:val="10"/>
  </w:num>
  <w:num w:numId="30" w16cid:durableId="1282885116">
    <w:abstractNumId w:val="6"/>
  </w:num>
  <w:num w:numId="31" w16cid:durableId="615721389">
    <w:abstractNumId w:val="39"/>
  </w:num>
  <w:num w:numId="32" w16cid:durableId="247661586">
    <w:abstractNumId w:val="3"/>
  </w:num>
  <w:num w:numId="33" w16cid:durableId="1823736455">
    <w:abstractNumId w:val="34"/>
  </w:num>
  <w:num w:numId="34" w16cid:durableId="1107240592">
    <w:abstractNumId w:val="8"/>
  </w:num>
  <w:num w:numId="35" w16cid:durableId="1906992239">
    <w:abstractNumId w:val="18"/>
  </w:num>
  <w:num w:numId="36" w16cid:durableId="231887335">
    <w:abstractNumId w:val="29"/>
  </w:num>
  <w:num w:numId="37" w16cid:durableId="1981032561">
    <w:abstractNumId w:val="16"/>
  </w:num>
  <w:num w:numId="38" w16cid:durableId="561525621">
    <w:abstractNumId w:val="31"/>
  </w:num>
  <w:num w:numId="39" w16cid:durableId="1066954093">
    <w:abstractNumId w:val="35"/>
  </w:num>
  <w:num w:numId="40" w16cid:durableId="1092044816">
    <w:abstractNumId w:val="23"/>
  </w:num>
  <w:num w:numId="41" w16cid:durableId="1867938333">
    <w:abstractNumId w:val="40"/>
  </w:num>
  <w:num w:numId="42" w16cid:durableId="830364742">
    <w:abstractNumId w:val="19"/>
  </w:num>
  <w:num w:numId="43" w16cid:durableId="4468558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54"/>
    <w:rsid w:val="00013A5B"/>
    <w:rsid w:val="00014B22"/>
    <w:rsid w:val="0002516D"/>
    <w:rsid w:val="00047023"/>
    <w:rsid w:val="000624B3"/>
    <w:rsid w:val="000804B5"/>
    <w:rsid w:val="00080C46"/>
    <w:rsid w:val="00080E18"/>
    <w:rsid w:val="00096AA4"/>
    <w:rsid w:val="000B1A62"/>
    <w:rsid w:val="000C0CC5"/>
    <w:rsid w:val="000D3EE0"/>
    <w:rsid w:val="000E7B91"/>
    <w:rsid w:val="000F2A89"/>
    <w:rsid w:val="000F7E7D"/>
    <w:rsid w:val="00127E01"/>
    <w:rsid w:val="00135A8E"/>
    <w:rsid w:val="00170434"/>
    <w:rsid w:val="00181AD3"/>
    <w:rsid w:val="001831C3"/>
    <w:rsid w:val="0018537B"/>
    <w:rsid w:val="00187ABC"/>
    <w:rsid w:val="001C0D00"/>
    <w:rsid w:val="001E450D"/>
    <w:rsid w:val="001F492D"/>
    <w:rsid w:val="00210366"/>
    <w:rsid w:val="002334D8"/>
    <w:rsid w:val="00240426"/>
    <w:rsid w:val="0024083B"/>
    <w:rsid w:val="00252B09"/>
    <w:rsid w:val="00266A59"/>
    <w:rsid w:val="0027126F"/>
    <w:rsid w:val="0027451F"/>
    <w:rsid w:val="00277D2D"/>
    <w:rsid w:val="0028011F"/>
    <w:rsid w:val="002A13FC"/>
    <w:rsid w:val="002B3BB9"/>
    <w:rsid w:val="002C277E"/>
    <w:rsid w:val="002C2D46"/>
    <w:rsid w:val="002F3458"/>
    <w:rsid w:val="003357C1"/>
    <w:rsid w:val="00344771"/>
    <w:rsid w:val="00353002"/>
    <w:rsid w:val="00360B34"/>
    <w:rsid w:val="003615E5"/>
    <w:rsid w:val="003619F4"/>
    <w:rsid w:val="0036363A"/>
    <w:rsid w:val="0039449C"/>
    <w:rsid w:val="003A2603"/>
    <w:rsid w:val="003A760D"/>
    <w:rsid w:val="003E2754"/>
    <w:rsid w:val="003E59C0"/>
    <w:rsid w:val="0041065F"/>
    <w:rsid w:val="00422631"/>
    <w:rsid w:val="00422A4C"/>
    <w:rsid w:val="004557A0"/>
    <w:rsid w:val="0046776B"/>
    <w:rsid w:val="00494A33"/>
    <w:rsid w:val="004C11EB"/>
    <w:rsid w:val="004D6C5B"/>
    <w:rsid w:val="004E03CD"/>
    <w:rsid w:val="004F7E50"/>
    <w:rsid w:val="005035B6"/>
    <w:rsid w:val="005056ED"/>
    <w:rsid w:val="0052100F"/>
    <w:rsid w:val="005437D5"/>
    <w:rsid w:val="00556EA6"/>
    <w:rsid w:val="005858EE"/>
    <w:rsid w:val="005863F3"/>
    <w:rsid w:val="00601A67"/>
    <w:rsid w:val="00610FFC"/>
    <w:rsid w:val="00633DB4"/>
    <w:rsid w:val="0064007C"/>
    <w:rsid w:val="00642DA1"/>
    <w:rsid w:val="00643171"/>
    <w:rsid w:val="00677BC9"/>
    <w:rsid w:val="006922D2"/>
    <w:rsid w:val="006C07D3"/>
    <w:rsid w:val="006E4B26"/>
    <w:rsid w:val="006E4FCD"/>
    <w:rsid w:val="006E603F"/>
    <w:rsid w:val="00716FCA"/>
    <w:rsid w:val="00722AC8"/>
    <w:rsid w:val="00726939"/>
    <w:rsid w:val="007423EB"/>
    <w:rsid w:val="00746834"/>
    <w:rsid w:val="00746B36"/>
    <w:rsid w:val="00753B89"/>
    <w:rsid w:val="00755C13"/>
    <w:rsid w:val="00760AB0"/>
    <w:rsid w:val="0076491B"/>
    <w:rsid w:val="00767E9A"/>
    <w:rsid w:val="00776106"/>
    <w:rsid w:val="00776849"/>
    <w:rsid w:val="00777CEA"/>
    <w:rsid w:val="007A5D9C"/>
    <w:rsid w:val="007D4B69"/>
    <w:rsid w:val="007E444A"/>
    <w:rsid w:val="00811B2A"/>
    <w:rsid w:val="0085391F"/>
    <w:rsid w:val="00883E04"/>
    <w:rsid w:val="008963B7"/>
    <w:rsid w:val="008A1A2D"/>
    <w:rsid w:val="008B773D"/>
    <w:rsid w:val="008D56B8"/>
    <w:rsid w:val="008F1C6F"/>
    <w:rsid w:val="008F467F"/>
    <w:rsid w:val="009164B4"/>
    <w:rsid w:val="009241A6"/>
    <w:rsid w:val="009346B6"/>
    <w:rsid w:val="00992C02"/>
    <w:rsid w:val="009B2828"/>
    <w:rsid w:val="009C63A4"/>
    <w:rsid w:val="009D0601"/>
    <w:rsid w:val="009E0E2E"/>
    <w:rsid w:val="00A04105"/>
    <w:rsid w:val="00A34AD9"/>
    <w:rsid w:val="00A45A4C"/>
    <w:rsid w:val="00A6289B"/>
    <w:rsid w:val="00A86B77"/>
    <w:rsid w:val="00A952B3"/>
    <w:rsid w:val="00AA6544"/>
    <w:rsid w:val="00AA70AD"/>
    <w:rsid w:val="00AA752F"/>
    <w:rsid w:val="00AB2620"/>
    <w:rsid w:val="00AB68C0"/>
    <w:rsid w:val="00AC0346"/>
    <w:rsid w:val="00AC04A6"/>
    <w:rsid w:val="00AD162E"/>
    <w:rsid w:val="00AF0469"/>
    <w:rsid w:val="00AF3DF2"/>
    <w:rsid w:val="00AF3EEB"/>
    <w:rsid w:val="00B51084"/>
    <w:rsid w:val="00B56271"/>
    <w:rsid w:val="00B90208"/>
    <w:rsid w:val="00B935F6"/>
    <w:rsid w:val="00BD577C"/>
    <w:rsid w:val="00BF5822"/>
    <w:rsid w:val="00C074CB"/>
    <w:rsid w:val="00C27071"/>
    <w:rsid w:val="00C46331"/>
    <w:rsid w:val="00C76B54"/>
    <w:rsid w:val="00C774E1"/>
    <w:rsid w:val="00C9187A"/>
    <w:rsid w:val="00CA0CFC"/>
    <w:rsid w:val="00CB1B1A"/>
    <w:rsid w:val="00CB60DB"/>
    <w:rsid w:val="00CC5FD9"/>
    <w:rsid w:val="00CF1E54"/>
    <w:rsid w:val="00CF2CDB"/>
    <w:rsid w:val="00CF6C10"/>
    <w:rsid w:val="00D0183C"/>
    <w:rsid w:val="00D43AB1"/>
    <w:rsid w:val="00D532DA"/>
    <w:rsid w:val="00D77F20"/>
    <w:rsid w:val="00D82AEF"/>
    <w:rsid w:val="00DA7BD3"/>
    <w:rsid w:val="00DD4C1E"/>
    <w:rsid w:val="00DE018D"/>
    <w:rsid w:val="00DE197F"/>
    <w:rsid w:val="00DF1410"/>
    <w:rsid w:val="00DF156F"/>
    <w:rsid w:val="00E02AEA"/>
    <w:rsid w:val="00E12C61"/>
    <w:rsid w:val="00E171D0"/>
    <w:rsid w:val="00E24023"/>
    <w:rsid w:val="00E44515"/>
    <w:rsid w:val="00E507CE"/>
    <w:rsid w:val="00E91CEE"/>
    <w:rsid w:val="00EC7BF2"/>
    <w:rsid w:val="00EE32B3"/>
    <w:rsid w:val="00EF0719"/>
    <w:rsid w:val="00F1565E"/>
    <w:rsid w:val="00F23C39"/>
    <w:rsid w:val="00F340E7"/>
    <w:rsid w:val="00F42EB4"/>
    <w:rsid w:val="00F623A5"/>
    <w:rsid w:val="00F634D0"/>
    <w:rsid w:val="00F67611"/>
    <w:rsid w:val="00F67702"/>
    <w:rsid w:val="00F74388"/>
    <w:rsid w:val="00F75865"/>
    <w:rsid w:val="00F76B45"/>
    <w:rsid w:val="00F82D62"/>
    <w:rsid w:val="00F86B73"/>
    <w:rsid w:val="00FC571B"/>
    <w:rsid w:val="00FF40B9"/>
    <w:rsid w:val="2566EF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3374B"/>
  <w15:chartTrackingRefBased/>
  <w15:docId w15:val="{B05AE55E-569C-4660-8AC3-1AFAA7A4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2D"/>
    <w:pPr>
      <w:spacing w:before="120" w:after="120" w:line="276" w:lineRule="auto"/>
    </w:pPr>
    <w:rPr>
      <w:rFonts w:ascii="Arial" w:hAnsi="Arial"/>
      <w:color w:val="1E1544" w:themeColor="text1"/>
    </w:rPr>
  </w:style>
  <w:style w:type="paragraph" w:styleId="Heading1">
    <w:name w:val="heading 1"/>
    <w:basedOn w:val="Normal"/>
    <w:next w:val="Normal"/>
    <w:link w:val="Heading1Char"/>
    <w:uiPriority w:val="9"/>
    <w:qFormat/>
    <w:rsid w:val="00277D2D"/>
    <w:pPr>
      <w:keepNext/>
      <w:keepLines/>
      <w:spacing w:before="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D2D"/>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aliases w:val="#List Paragraph,List Paragraph1,Recommendation,Figure_name,Numbered Indented Text,Bullet- First level,List NUmber,Listenabsatz1,lp1,List Paragraph11,L,SAP Subpara,Bullet point,Bullets,CV text,Dot pt,F5 List Paragraph,FooterText,列,NAST Quo"/>
    <w:basedOn w:val="Normal"/>
    <w:link w:val="ListParagraphChar"/>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qFormat/>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rPr>
  </w:style>
  <w:style w:type="character" w:customStyle="1" w:styleId="ListParagraphChar">
    <w:name w:val="List Paragraph Char"/>
    <w:aliases w:val="#List Paragraph Char,List Paragraph1 Char,Recommendation Char,Figure_name Char,Numbered Indented Text Char,Bullet- First level Char,List NUmber Char,Listenabsatz1 Char,lp1 Char,List Paragraph11 Char,L Char,SAP Subpara Char,列 Char"/>
    <w:basedOn w:val="DefaultParagraphFont"/>
    <w:link w:val="ListParagraph"/>
    <w:uiPriority w:val="34"/>
    <w:qFormat/>
    <w:locked/>
    <w:rsid w:val="00135A8E"/>
    <w:rPr>
      <w:rFonts w:ascii="Arial" w:hAnsi="Arial"/>
    </w:rPr>
  </w:style>
  <w:style w:type="character" w:styleId="UnresolvedMention">
    <w:name w:val="Unresolved Mention"/>
    <w:basedOn w:val="DefaultParagraphFont"/>
    <w:uiPriority w:val="99"/>
    <w:semiHidden/>
    <w:unhideWhenUsed/>
    <w:rsid w:val="00D532DA"/>
    <w:rPr>
      <w:color w:val="605E5C"/>
      <w:shd w:val="clear" w:color="auto" w:fill="E1DFDD"/>
    </w:rPr>
  </w:style>
  <w:style w:type="table" w:styleId="ListTable3-Accent1">
    <w:name w:val="List Table 3 Accent 1"/>
    <w:basedOn w:val="TableNormal"/>
    <w:uiPriority w:val="48"/>
    <w:rsid w:val="000F7E7D"/>
    <w:tblPr>
      <w:tblStyleRowBandSize w:val="1"/>
      <w:tblStyleColBandSize w:val="1"/>
      <w:tblBorders>
        <w:top w:val="single" w:sz="4" w:space="0" w:color="2AB1BB" w:themeColor="accent1"/>
        <w:left w:val="single" w:sz="4" w:space="0" w:color="2AB1BB" w:themeColor="accent1"/>
        <w:bottom w:val="single" w:sz="4" w:space="0" w:color="2AB1BB" w:themeColor="accent1"/>
        <w:right w:val="single" w:sz="4" w:space="0" w:color="2AB1BB" w:themeColor="accent1"/>
      </w:tblBorders>
    </w:tblPr>
    <w:tblStylePr w:type="firstRow">
      <w:rPr>
        <w:b/>
        <w:bCs/>
        <w:color w:val="F1F2F2" w:themeColor="background1"/>
      </w:rPr>
      <w:tblPr/>
      <w:tcPr>
        <w:shd w:val="clear" w:color="auto" w:fill="2AB1BB" w:themeFill="accent1"/>
      </w:tcPr>
    </w:tblStylePr>
    <w:tblStylePr w:type="lastRow">
      <w:rPr>
        <w:b/>
        <w:bCs/>
      </w:rPr>
      <w:tblPr/>
      <w:tcPr>
        <w:tcBorders>
          <w:top w:val="double" w:sz="4" w:space="0" w:color="2AB1BB" w:themeColor="accent1"/>
        </w:tcBorders>
        <w:shd w:val="clear" w:color="auto" w:fill="F1F2F2" w:themeFill="background1"/>
      </w:tcPr>
    </w:tblStylePr>
    <w:tblStylePr w:type="firstCol">
      <w:rPr>
        <w:b/>
        <w:bCs/>
      </w:rPr>
      <w:tblPr/>
      <w:tcPr>
        <w:tcBorders>
          <w:right w:val="nil"/>
        </w:tcBorders>
        <w:shd w:val="clear" w:color="auto" w:fill="F1F2F2" w:themeFill="background1"/>
      </w:tcPr>
    </w:tblStylePr>
    <w:tblStylePr w:type="lastCol">
      <w:rPr>
        <w:b/>
        <w:bCs/>
      </w:rPr>
      <w:tblPr/>
      <w:tcPr>
        <w:tcBorders>
          <w:left w:val="nil"/>
        </w:tcBorders>
        <w:shd w:val="clear" w:color="auto" w:fill="F1F2F2" w:themeFill="background1"/>
      </w:tcPr>
    </w:tblStylePr>
    <w:tblStylePr w:type="band1Vert">
      <w:tblPr/>
      <w:tcPr>
        <w:tcBorders>
          <w:left w:val="single" w:sz="4" w:space="0" w:color="2AB1BB" w:themeColor="accent1"/>
          <w:right w:val="single" w:sz="4" w:space="0" w:color="2AB1BB" w:themeColor="accent1"/>
        </w:tcBorders>
      </w:tcPr>
    </w:tblStylePr>
    <w:tblStylePr w:type="band1Horz">
      <w:tblPr/>
      <w:tcPr>
        <w:tcBorders>
          <w:top w:val="single" w:sz="4" w:space="0" w:color="2AB1BB" w:themeColor="accent1"/>
          <w:bottom w:val="single" w:sz="4" w:space="0" w:color="2AB1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B1BB" w:themeColor="accent1"/>
          <w:left w:val="nil"/>
        </w:tcBorders>
      </w:tcPr>
    </w:tblStylePr>
    <w:tblStylePr w:type="swCell">
      <w:tblPr/>
      <w:tcPr>
        <w:tcBorders>
          <w:top w:val="double" w:sz="4" w:space="0" w:color="2AB1BB" w:themeColor="accent1"/>
          <w:right w:val="nil"/>
        </w:tcBorders>
      </w:tcPr>
    </w:tblStylePr>
  </w:style>
  <w:style w:type="table" w:styleId="ListTable3-Accent5">
    <w:name w:val="List Table 3 Accent 5"/>
    <w:basedOn w:val="TableNormal"/>
    <w:uiPriority w:val="48"/>
    <w:rsid w:val="000F7E7D"/>
    <w:tblPr>
      <w:tblStyleRowBandSize w:val="1"/>
      <w:tblStyleColBandSize w:val="1"/>
      <w:tblBorders>
        <w:top w:val="single" w:sz="4" w:space="0" w:color="F2692B" w:themeColor="accent5"/>
        <w:left w:val="single" w:sz="4" w:space="0" w:color="F2692B" w:themeColor="accent5"/>
        <w:bottom w:val="single" w:sz="4" w:space="0" w:color="F2692B" w:themeColor="accent5"/>
        <w:right w:val="single" w:sz="4" w:space="0" w:color="F2692B" w:themeColor="accent5"/>
      </w:tblBorders>
    </w:tblPr>
    <w:tblStylePr w:type="firstRow">
      <w:rPr>
        <w:b/>
        <w:bCs/>
        <w:color w:val="F1F2F2" w:themeColor="background1"/>
      </w:rPr>
      <w:tblPr/>
      <w:tcPr>
        <w:shd w:val="clear" w:color="auto" w:fill="F2692B" w:themeFill="accent5"/>
      </w:tcPr>
    </w:tblStylePr>
    <w:tblStylePr w:type="lastRow">
      <w:rPr>
        <w:b/>
        <w:bCs/>
      </w:rPr>
      <w:tblPr/>
      <w:tcPr>
        <w:tcBorders>
          <w:top w:val="double" w:sz="4" w:space="0" w:color="F2692B" w:themeColor="accent5"/>
        </w:tcBorders>
        <w:shd w:val="clear" w:color="auto" w:fill="F1F2F2" w:themeFill="background1"/>
      </w:tcPr>
    </w:tblStylePr>
    <w:tblStylePr w:type="firstCol">
      <w:rPr>
        <w:b/>
        <w:bCs/>
      </w:rPr>
      <w:tblPr/>
      <w:tcPr>
        <w:tcBorders>
          <w:right w:val="nil"/>
        </w:tcBorders>
        <w:shd w:val="clear" w:color="auto" w:fill="F1F2F2" w:themeFill="background1"/>
      </w:tcPr>
    </w:tblStylePr>
    <w:tblStylePr w:type="lastCol">
      <w:rPr>
        <w:b/>
        <w:bCs/>
      </w:rPr>
      <w:tblPr/>
      <w:tcPr>
        <w:tcBorders>
          <w:left w:val="nil"/>
        </w:tcBorders>
        <w:shd w:val="clear" w:color="auto" w:fill="F1F2F2" w:themeFill="background1"/>
      </w:tcPr>
    </w:tblStylePr>
    <w:tblStylePr w:type="band1Vert">
      <w:tblPr/>
      <w:tcPr>
        <w:tcBorders>
          <w:left w:val="single" w:sz="4" w:space="0" w:color="F2692B" w:themeColor="accent5"/>
          <w:right w:val="single" w:sz="4" w:space="0" w:color="F2692B" w:themeColor="accent5"/>
        </w:tcBorders>
      </w:tcPr>
    </w:tblStylePr>
    <w:tblStylePr w:type="band1Horz">
      <w:tblPr/>
      <w:tcPr>
        <w:tcBorders>
          <w:top w:val="single" w:sz="4" w:space="0" w:color="F2692B" w:themeColor="accent5"/>
          <w:bottom w:val="single" w:sz="4" w:space="0" w:color="F2692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92B" w:themeColor="accent5"/>
          <w:left w:val="nil"/>
        </w:tcBorders>
      </w:tcPr>
    </w:tblStylePr>
    <w:tblStylePr w:type="swCell">
      <w:tblPr/>
      <w:tcPr>
        <w:tcBorders>
          <w:top w:val="double" w:sz="4" w:space="0" w:color="F2692B" w:themeColor="accent5"/>
          <w:right w:val="nil"/>
        </w:tcBorders>
      </w:tcPr>
    </w:tblStylePr>
  </w:style>
  <w:style w:type="character" w:styleId="CommentReference">
    <w:name w:val="annotation reference"/>
    <w:basedOn w:val="DefaultParagraphFont"/>
    <w:uiPriority w:val="99"/>
    <w:semiHidden/>
    <w:unhideWhenUsed/>
    <w:rsid w:val="005863F3"/>
    <w:rPr>
      <w:sz w:val="16"/>
      <w:szCs w:val="16"/>
    </w:rPr>
  </w:style>
  <w:style w:type="paragraph" w:styleId="CommentText">
    <w:name w:val="annotation text"/>
    <w:basedOn w:val="Normal"/>
    <w:link w:val="CommentTextChar"/>
    <w:uiPriority w:val="99"/>
    <w:unhideWhenUsed/>
    <w:rsid w:val="005863F3"/>
    <w:pPr>
      <w:spacing w:line="240" w:lineRule="auto"/>
    </w:pPr>
    <w:rPr>
      <w:sz w:val="20"/>
      <w:szCs w:val="20"/>
    </w:rPr>
  </w:style>
  <w:style w:type="character" w:customStyle="1" w:styleId="CommentTextChar">
    <w:name w:val="Comment Text Char"/>
    <w:basedOn w:val="DefaultParagraphFont"/>
    <w:link w:val="CommentText"/>
    <w:uiPriority w:val="99"/>
    <w:rsid w:val="005863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863F3"/>
    <w:rPr>
      <w:b/>
      <w:bCs/>
    </w:rPr>
  </w:style>
  <w:style w:type="character" w:customStyle="1" w:styleId="CommentSubjectChar">
    <w:name w:val="Comment Subject Char"/>
    <w:basedOn w:val="CommentTextChar"/>
    <w:link w:val="CommentSubject"/>
    <w:uiPriority w:val="99"/>
    <w:semiHidden/>
    <w:rsid w:val="005863F3"/>
    <w:rPr>
      <w:rFonts w:ascii="Arial" w:hAnsi="Arial"/>
      <w:b/>
      <w:bCs/>
      <w:sz w:val="20"/>
      <w:szCs w:val="20"/>
    </w:rPr>
  </w:style>
  <w:style w:type="character" w:styleId="Strong">
    <w:name w:val="Strong"/>
    <w:basedOn w:val="DefaultParagraphFont"/>
    <w:uiPriority w:val="22"/>
    <w:qFormat/>
    <w:rsid w:val="00277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0B51F-EE9B-4EC3-AE4F-54BA871B0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AF4CB8-0B3C-4429-8D06-89B60BD9844A}">
  <ds:schemaRefs>
    <ds:schemaRef ds:uri="http://schemas.microsoft.com/sharepoint/v3/contenttype/forms"/>
  </ds:schemaRefs>
</ds:datastoreItem>
</file>

<file path=customXml/itemProps3.xml><?xml version="1.0" encoding="utf-8"?>
<ds:datastoreItem xmlns:ds="http://schemas.openxmlformats.org/officeDocument/2006/customXml" ds:itemID="{D36123C0-7400-437B-860C-78AB09968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391</Words>
  <Characters>2055</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Transition Care Program full list of approved service types</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 full list of approved service types</dc:title>
  <dc:subject>Aged Care</dc:subject>
  <dc:creator>Australian Government Department of Health, Disability and Ageing</dc:creator>
  <cp:keywords/>
  <dc:description/>
  <cp:lastModifiedBy>MASCHKE, Elvia</cp:lastModifiedBy>
  <cp:revision>7</cp:revision>
  <cp:lastPrinted>2025-10-27T00:21:00Z</cp:lastPrinted>
  <dcterms:created xsi:type="dcterms:W3CDTF">2025-10-22T07:17:00Z</dcterms:created>
  <dcterms:modified xsi:type="dcterms:W3CDTF">2025-10-27T00:21:00Z</dcterms:modified>
</cp:coreProperties>
</file>