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259D" w14:textId="0DE19F7C" w:rsidR="00E83265" w:rsidRPr="00C21A8B" w:rsidRDefault="00E83265" w:rsidP="00FA02BB">
      <w:pPr>
        <w:pStyle w:val="Heading1"/>
        <w:rPr>
          <w:rFonts w:eastAsiaTheme="majorEastAsia" w:cstheme="majorBidi"/>
          <w:bCs w:val="0"/>
          <w:sz w:val="52"/>
          <w:szCs w:val="52"/>
          <w:lang w:val="en-GB"/>
        </w:rPr>
      </w:pPr>
      <w:bookmarkStart w:id="0" w:name="_Toc203057089"/>
      <w:r w:rsidRPr="00E83265">
        <w:rPr>
          <w:rFonts w:eastAsiaTheme="majorEastAsia" w:cstheme="majorBidi"/>
          <w:bCs w:val="0"/>
          <w:sz w:val="52"/>
          <w:szCs w:val="52"/>
          <w:lang w:val="en-GB"/>
        </w:rPr>
        <w:t>PHI Act Data Specifications – 2024-25 and 2025-26</w:t>
      </w:r>
      <w:bookmarkEnd w:id="0"/>
    </w:p>
    <w:p w14:paraId="06FB75E8" w14:textId="23B00515" w:rsidR="00E83265" w:rsidRDefault="00E83265" w:rsidP="000D4FB1">
      <w:pPr>
        <w:rPr>
          <w:rFonts w:cs="Arial"/>
          <w:b/>
          <w:bCs/>
          <w:iCs/>
          <w:color w:val="358189"/>
          <w:sz w:val="36"/>
          <w:szCs w:val="28"/>
        </w:rPr>
      </w:pPr>
      <w:r w:rsidRPr="00E83265">
        <w:rPr>
          <w:rFonts w:cs="Arial"/>
          <w:b/>
          <w:bCs/>
          <w:iCs/>
          <w:color w:val="358189"/>
          <w:sz w:val="36"/>
          <w:szCs w:val="28"/>
        </w:rPr>
        <w:t xml:space="preserve">Changes effective for Hospital </w:t>
      </w:r>
      <w:proofErr w:type="spellStart"/>
      <w:r w:rsidRPr="00E83265">
        <w:rPr>
          <w:rFonts w:cs="Arial"/>
          <w:b/>
          <w:bCs/>
          <w:iCs/>
          <w:color w:val="358189"/>
          <w:sz w:val="36"/>
          <w:szCs w:val="28"/>
        </w:rPr>
        <w:t>Casemix</w:t>
      </w:r>
      <w:proofErr w:type="spellEnd"/>
      <w:r w:rsidRPr="00E83265">
        <w:rPr>
          <w:rFonts w:cs="Arial"/>
          <w:b/>
          <w:bCs/>
          <w:iCs/>
          <w:color w:val="358189"/>
          <w:sz w:val="36"/>
          <w:szCs w:val="28"/>
        </w:rPr>
        <w:t xml:space="preserve"> Protocol – Inpatient (HCP1) data</w:t>
      </w:r>
    </w:p>
    <w:p w14:paraId="4B1E3224" w14:textId="12B630DF" w:rsidR="00AD3139" w:rsidRDefault="16F66592" w:rsidP="1DD2D497">
      <w:pPr>
        <w:pStyle w:val="PolicyStatement"/>
        <w:pBdr>
          <w:top w:val="single" w:sz="4" w:space="20" w:color="F2F2F2"/>
          <w:left w:val="single" w:sz="4" w:space="10" w:color="F2F2F2"/>
          <w:bottom w:val="single" w:sz="4" w:space="18" w:color="F2F2F2" w:themeColor="background1" w:themeShade="F2"/>
          <w:right w:val="single" w:sz="4" w:space="10" w:color="F2F2F2"/>
        </w:pBdr>
        <w:rPr>
          <w:rFonts w:cs="Arial"/>
          <w:lang w:val="en-GB"/>
        </w:rPr>
      </w:pPr>
      <w:r w:rsidRPr="1DD2D497">
        <w:rPr>
          <w:rFonts w:cs="Arial"/>
          <w:lang w:val="en-GB"/>
        </w:rPr>
        <w:t>The department introduce</w:t>
      </w:r>
      <w:r w:rsidR="009B3032">
        <w:rPr>
          <w:rFonts w:cs="Arial"/>
          <w:lang w:val="en-GB"/>
        </w:rPr>
        <w:t>d</w:t>
      </w:r>
      <w:r w:rsidRPr="1DD2D497">
        <w:rPr>
          <w:rFonts w:cs="Arial"/>
          <w:lang w:val="en-GB"/>
        </w:rPr>
        <w:t xml:space="preserve"> a new </w:t>
      </w:r>
      <w:r w:rsidR="2774A63D" w:rsidRPr="1DD2D497">
        <w:rPr>
          <w:rFonts w:cs="Arial"/>
          <w:lang w:val="en-GB"/>
        </w:rPr>
        <w:t xml:space="preserve">reporting </w:t>
      </w:r>
      <w:r w:rsidRPr="1DD2D497">
        <w:rPr>
          <w:rFonts w:cs="Arial"/>
          <w:lang w:val="en-GB"/>
        </w:rPr>
        <w:t xml:space="preserve">requirement </w:t>
      </w:r>
      <w:r w:rsidR="1E2D6A73" w:rsidRPr="1DD2D497">
        <w:rPr>
          <w:rFonts w:cs="Arial"/>
          <w:lang w:val="en-GB"/>
        </w:rPr>
        <w:t>to</w:t>
      </w:r>
      <w:r w:rsidRPr="1DD2D497">
        <w:rPr>
          <w:rFonts w:cs="Arial"/>
          <w:lang w:val="en-GB"/>
        </w:rPr>
        <w:t xml:space="preserve"> private health insurers to submit 2024-25 financial year Hospital </w:t>
      </w:r>
      <w:proofErr w:type="spellStart"/>
      <w:r w:rsidRPr="1DD2D497">
        <w:rPr>
          <w:rFonts w:cs="Arial"/>
          <w:lang w:val="en-GB"/>
        </w:rPr>
        <w:t>Casemix</w:t>
      </w:r>
      <w:proofErr w:type="spellEnd"/>
      <w:r w:rsidRPr="1DD2D497">
        <w:rPr>
          <w:rFonts w:cs="Arial"/>
          <w:lang w:val="en-GB"/>
        </w:rPr>
        <w:t xml:space="preserve"> Protocol Inpatient (HCP1) data, including a new data item</w:t>
      </w:r>
      <w:r w:rsidR="787BCD5A" w:rsidRPr="1DD2D497">
        <w:rPr>
          <w:rFonts w:cs="Arial"/>
          <w:lang w:val="en-GB"/>
        </w:rPr>
        <w:t xml:space="preserve"> – Practitioner Provider Identifier</w:t>
      </w:r>
      <w:r w:rsidRPr="1DD2D497">
        <w:rPr>
          <w:rFonts w:cs="Arial"/>
          <w:lang w:val="en-GB"/>
        </w:rPr>
        <w:t xml:space="preserve">, to the department. The 2025-26 financial year HCP1 data specifications will also be updated to incorporate the new data item and delay insurers reporting obligations. </w:t>
      </w:r>
      <w:r w:rsidR="486F8EC8" w:rsidRPr="1DD2D497">
        <w:rPr>
          <w:rFonts w:cs="Arial"/>
          <w:lang w:val="en-GB"/>
        </w:rPr>
        <w:t>The collection of this new data item will enable t</w:t>
      </w:r>
      <w:r w:rsidR="72730D15" w:rsidRPr="1DD2D497">
        <w:rPr>
          <w:rFonts w:cs="Arial"/>
          <w:lang w:val="en-GB"/>
        </w:rPr>
        <w:t>he</w:t>
      </w:r>
      <w:r w:rsidR="486F8EC8" w:rsidRPr="1DD2D497">
        <w:rPr>
          <w:rFonts w:cs="Arial"/>
          <w:lang w:val="en-GB"/>
        </w:rPr>
        <w:t xml:space="preserve"> department to apply suppression rules based on individual health professionals to protect data from re-identification. Without it, suppression is currently based on the number of hospitals contributing data, which is less precise and limits reporting detail. </w:t>
      </w:r>
      <w:r w:rsidR="787BCD5A" w:rsidRPr="1DD2D497">
        <w:rPr>
          <w:rFonts w:cs="Arial"/>
          <w:lang w:val="en-GB"/>
        </w:rPr>
        <w:t>In line with advice received from the Australian Government Solicitor, t</w:t>
      </w:r>
      <w:r w:rsidRPr="1DD2D497">
        <w:rPr>
          <w:rFonts w:cs="Arial"/>
          <w:lang w:val="en-GB"/>
        </w:rPr>
        <w:t xml:space="preserve">hese </w:t>
      </w:r>
      <w:r w:rsidR="527F33D1" w:rsidRPr="1DD2D497">
        <w:rPr>
          <w:rFonts w:cs="Arial"/>
          <w:lang w:val="en-GB"/>
        </w:rPr>
        <w:t xml:space="preserve">supplementary </w:t>
      </w:r>
      <w:r w:rsidRPr="1DD2D497">
        <w:rPr>
          <w:rFonts w:cs="Arial"/>
          <w:lang w:val="en-GB"/>
        </w:rPr>
        <w:t xml:space="preserve">updates </w:t>
      </w:r>
      <w:r w:rsidR="527F33D1" w:rsidRPr="1DD2D497">
        <w:rPr>
          <w:rFonts w:cs="Arial"/>
          <w:lang w:val="en-GB"/>
        </w:rPr>
        <w:t xml:space="preserve">to the HCP1 data specifications </w:t>
      </w:r>
      <w:r w:rsidRPr="1DD2D497">
        <w:rPr>
          <w:rFonts w:cs="Arial"/>
          <w:lang w:val="en-GB"/>
        </w:rPr>
        <w:t xml:space="preserve">will be facilitated under amendments to the </w:t>
      </w:r>
      <w:r w:rsidRPr="1DD2D497">
        <w:rPr>
          <w:rFonts w:cs="Arial"/>
          <w:i/>
          <w:iCs/>
          <w:lang w:val="en-GB"/>
        </w:rPr>
        <w:t>Private Health Insurance (Data Provision) Rules 2018</w:t>
      </w:r>
      <w:r w:rsidR="787BCD5A" w:rsidRPr="1DD2D497">
        <w:rPr>
          <w:rFonts w:cs="Arial"/>
          <w:lang w:val="en-GB"/>
        </w:rPr>
        <w:t>.</w:t>
      </w:r>
      <w:r w:rsidR="24D67F2B" w:rsidRPr="1DD2D497">
        <w:rPr>
          <w:rFonts w:cs="Arial"/>
          <w:lang w:val="en-GB"/>
        </w:rPr>
        <w:t xml:space="preserve"> Once these amendments are made, </w:t>
      </w:r>
      <w:r w:rsidR="787BCD5A" w:rsidRPr="1DD2D497">
        <w:rPr>
          <w:rFonts w:cs="Arial"/>
          <w:lang w:val="en-GB"/>
        </w:rPr>
        <w:t xml:space="preserve">Services Australia </w:t>
      </w:r>
      <w:r w:rsidR="1208AAA2" w:rsidRPr="1DD2D497">
        <w:rPr>
          <w:rFonts w:cs="Arial"/>
          <w:lang w:val="en-GB"/>
        </w:rPr>
        <w:t xml:space="preserve">will issue </w:t>
      </w:r>
      <w:r w:rsidR="27244D5F" w:rsidRPr="1DD2D497">
        <w:rPr>
          <w:rFonts w:cs="Arial"/>
          <w:lang w:val="en-GB"/>
        </w:rPr>
        <w:t>updat</w:t>
      </w:r>
      <w:r w:rsidR="0787C3CF" w:rsidRPr="1DD2D497">
        <w:rPr>
          <w:rFonts w:cs="Arial"/>
          <w:lang w:val="en-GB"/>
        </w:rPr>
        <w:t>ed</w:t>
      </w:r>
      <w:r w:rsidR="27244D5F" w:rsidRPr="1DD2D497">
        <w:rPr>
          <w:rFonts w:cs="Arial"/>
          <w:lang w:val="en-GB"/>
        </w:rPr>
        <w:t xml:space="preserve"> </w:t>
      </w:r>
      <w:r w:rsidR="1208AAA2" w:rsidRPr="1DD2D497">
        <w:rPr>
          <w:rFonts w:cs="Arial"/>
          <w:lang w:val="en-GB"/>
        </w:rPr>
        <w:t xml:space="preserve">certificates to </w:t>
      </w:r>
      <w:r w:rsidR="31E2B080" w:rsidRPr="1DD2D497">
        <w:rPr>
          <w:rFonts w:cs="Arial"/>
          <w:lang w:val="en-GB"/>
        </w:rPr>
        <w:t xml:space="preserve">insurers </w:t>
      </w:r>
      <w:r w:rsidR="3DCEACDA" w:rsidRPr="1DD2D497">
        <w:rPr>
          <w:rFonts w:cs="Arial"/>
          <w:lang w:val="en-GB"/>
        </w:rPr>
        <w:t xml:space="preserve">who are </w:t>
      </w:r>
      <w:r w:rsidR="38888509" w:rsidRPr="1DD2D497">
        <w:rPr>
          <w:rFonts w:cs="Arial"/>
          <w:lang w:val="en-GB"/>
        </w:rPr>
        <w:t xml:space="preserve">existing </w:t>
      </w:r>
      <w:r w:rsidR="6A820B36" w:rsidRPr="1DD2D497">
        <w:rPr>
          <w:rFonts w:cs="Arial"/>
          <w:lang w:val="en-GB"/>
        </w:rPr>
        <w:t xml:space="preserve">Provider Directory System (PDS) </w:t>
      </w:r>
      <w:r w:rsidR="38888509" w:rsidRPr="1DD2D497">
        <w:rPr>
          <w:rFonts w:cs="Arial"/>
          <w:lang w:val="en-GB"/>
        </w:rPr>
        <w:t xml:space="preserve">authorised </w:t>
      </w:r>
      <w:r w:rsidR="05B1E57C" w:rsidRPr="1DD2D497">
        <w:rPr>
          <w:rFonts w:cs="Arial"/>
          <w:lang w:val="en-GB"/>
        </w:rPr>
        <w:t xml:space="preserve">recipients </w:t>
      </w:r>
      <w:r w:rsidR="787BCD5A" w:rsidRPr="1DD2D497">
        <w:rPr>
          <w:rFonts w:cs="Arial"/>
          <w:lang w:val="en-GB"/>
        </w:rPr>
        <w:t>to enable on-</w:t>
      </w:r>
      <w:r w:rsidR="197E49C0" w:rsidRPr="1DD2D497">
        <w:rPr>
          <w:rFonts w:cs="Arial"/>
          <w:lang w:val="en-GB"/>
        </w:rPr>
        <w:t>disclos</w:t>
      </w:r>
      <w:r w:rsidR="18F3B14A" w:rsidRPr="1DD2D497">
        <w:rPr>
          <w:rFonts w:cs="Arial"/>
          <w:lang w:val="en-GB"/>
        </w:rPr>
        <w:t>ure</w:t>
      </w:r>
      <w:r w:rsidR="787BCD5A" w:rsidRPr="1DD2D497">
        <w:rPr>
          <w:rFonts w:cs="Arial"/>
          <w:lang w:val="en-GB"/>
        </w:rPr>
        <w:t xml:space="preserve"> of </w:t>
      </w:r>
      <w:r w:rsidR="4D677AF2" w:rsidRPr="1DD2D497">
        <w:rPr>
          <w:rFonts w:cs="Arial"/>
          <w:lang w:val="en-GB"/>
        </w:rPr>
        <w:t xml:space="preserve">information from the </w:t>
      </w:r>
      <w:r w:rsidR="0A271510" w:rsidRPr="1DD2D497">
        <w:rPr>
          <w:rFonts w:cs="Arial"/>
          <w:lang w:val="en-GB"/>
        </w:rPr>
        <w:t>PDS</w:t>
      </w:r>
      <w:r w:rsidR="051E5EEE" w:rsidRPr="1DD2D497">
        <w:rPr>
          <w:rFonts w:cs="Arial"/>
          <w:lang w:val="en-GB"/>
        </w:rPr>
        <w:t xml:space="preserve"> </w:t>
      </w:r>
      <w:r w:rsidR="527F33D1" w:rsidRPr="1DD2D497">
        <w:rPr>
          <w:rFonts w:cs="Arial"/>
          <w:lang w:val="en-GB"/>
        </w:rPr>
        <w:t>to the department</w:t>
      </w:r>
      <w:r w:rsidR="197E49C0" w:rsidRPr="1DD2D497">
        <w:rPr>
          <w:rFonts w:cs="Arial"/>
          <w:lang w:val="en-GB"/>
        </w:rPr>
        <w:t xml:space="preserve"> </w:t>
      </w:r>
      <w:r w:rsidR="03632E0D" w:rsidRPr="1DD2D497">
        <w:rPr>
          <w:rFonts w:cs="Arial"/>
          <w:lang w:val="en-GB"/>
        </w:rPr>
        <w:t>for</w:t>
      </w:r>
      <w:r w:rsidR="197E49C0" w:rsidRPr="1DD2D497">
        <w:rPr>
          <w:rFonts w:cs="Arial"/>
          <w:lang w:val="en-GB"/>
        </w:rPr>
        <w:t xml:space="preserve"> HCP1 reporting</w:t>
      </w:r>
      <w:r w:rsidR="2C65F3A4" w:rsidRPr="1DD2D497">
        <w:rPr>
          <w:rFonts w:cs="Arial"/>
          <w:lang w:val="en-GB"/>
        </w:rPr>
        <w:t xml:space="preserve"> obligations</w:t>
      </w:r>
      <w:r w:rsidR="4D677AF2" w:rsidRPr="1DD2D497">
        <w:rPr>
          <w:rFonts w:cs="Arial"/>
          <w:lang w:val="en-GB"/>
        </w:rPr>
        <w:t>.</w:t>
      </w:r>
      <w:r w:rsidR="1208AAA2" w:rsidRPr="1DD2D497">
        <w:rPr>
          <w:rFonts w:cs="Arial"/>
          <w:lang w:val="en-GB"/>
        </w:rPr>
        <w:t xml:space="preserve"> </w:t>
      </w:r>
      <w:r w:rsidR="12B7EE28" w:rsidRPr="1DD2D497">
        <w:rPr>
          <w:rFonts w:cs="Arial"/>
          <w:lang w:val="en-GB"/>
        </w:rPr>
        <w:t xml:space="preserve">If </w:t>
      </w:r>
      <w:r w:rsidR="27562D9B" w:rsidRPr="1DD2D497">
        <w:rPr>
          <w:rFonts w:cs="Arial"/>
          <w:lang w:val="en-GB"/>
        </w:rPr>
        <w:t xml:space="preserve">access is </w:t>
      </w:r>
      <w:r w:rsidR="59238D49" w:rsidRPr="1DD2D497">
        <w:rPr>
          <w:rFonts w:cs="Arial"/>
          <w:lang w:val="en-GB"/>
        </w:rPr>
        <w:t xml:space="preserve">required, please </w:t>
      </w:r>
      <w:r w:rsidR="2BD64F1D" w:rsidRPr="1DD2D497">
        <w:rPr>
          <w:rFonts w:cs="Arial"/>
          <w:lang w:val="en-GB"/>
        </w:rPr>
        <w:t>refer to</w:t>
      </w:r>
      <w:r w:rsidR="59238D49" w:rsidRPr="1DD2D497">
        <w:rPr>
          <w:rFonts w:cs="Arial"/>
          <w:lang w:val="en-GB"/>
        </w:rPr>
        <w:t xml:space="preserve"> the </w:t>
      </w:r>
      <w:hyperlink r:id="rId11">
        <w:r w:rsidR="59238D49" w:rsidRPr="1DD2D497">
          <w:rPr>
            <w:rStyle w:val="Hyperlink"/>
            <w:rFonts w:cs="Arial"/>
            <w:lang w:val="en-GB"/>
          </w:rPr>
          <w:t>application for an authorised recipient to apply for access to the PDS</w:t>
        </w:r>
      </w:hyperlink>
      <w:r w:rsidR="59238D49" w:rsidRPr="1DD2D497">
        <w:rPr>
          <w:rFonts w:cs="Arial"/>
          <w:lang w:val="en-GB"/>
        </w:rPr>
        <w:t>.</w:t>
      </w:r>
      <w:r w:rsidR="7B231A22" w:rsidRPr="1DD2D497">
        <w:rPr>
          <w:rFonts w:cs="Arial"/>
          <w:lang w:val="en-GB"/>
        </w:rPr>
        <w:t xml:space="preserve"> </w:t>
      </w:r>
      <w:r w:rsidR="31B4DDE1" w:rsidRPr="1DD2D497">
        <w:rPr>
          <w:rFonts w:cs="Arial"/>
          <w:lang w:val="en-GB"/>
        </w:rPr>
        <w:t xml:space="preserve"> </w:t>
      </w:r>
    </w:p>
    <w:sdt>
      <w:sdtPr>
        <w:rPr>
          <w:rFonts w:ascii="Arial" w:eastAsia="Times New Roman" w:hAnsi="Arial" w:cs="Times New Roman"/>
          <w:color w:val="000000" w:themeColor="text1"/>
          <w:sz w:val="22"/>
          <w:szCs w:val="24"/>
          <w:lang w:val="en-AU"/>
        </w:rPr>
        <w:id w:val="-1730144583"/>
        <w:docPartObj>
          <w:docPartGallery w:val="Table of Contents"/>
          <w:docPartUnique/>
        </w:docPartObj>
      </w:sdtPr>
      <w:sdtEndPr>
        <w:rPr>
          <w:b/>
          <w:bCs/>
          <w:noProof/>
          <w:szCs w:val="22"/>
        </w:rPr>
      </w:sdtEndPr>
      <w:sdtContent>
        <w:p w14:paraId="0B34B04C" w14:textId="20D5FDA4" w:rsidR="00E83265" w:rsidRPr="00E83265" w:rsidRDefault="00E83265">
          <w:pPr>
            <w:pStyle w:val="TOCHeading"/>
            <w:rPr>
              <w:rStyle w:val="SubtitleChar"/>
            </w:rPr>
          </w:pPr>
          <w:r w:rsidRPr="00E83265">
            <w:rPr>
              <w:rStyle w:val="SubtitleChar"/>
            </w:rPr>
            <w:t>Contents</w:t>
          </w:r>
        </w:p>
        <w:p w14:paraId="1C78201E" w14:textId="286477AC" w:rsidR="00A70C78" w:rsidRDefault="00A70C78">
          <w:pPr>
            <w:pStyle w:val="TOC1"/>
            <w:tabs>
              <w:tab w:val="right" w:leader="dot" w:pos="13992"/>
            </w:tabs>
            <w:rPr>
              <w:rFonts w:asciiTheme="minorHAnsi" w:eastAsiaTheme="minorEastAsia" w:hAnsiTheme="minorHAnsi" w:cstheme="minorBidi"/>
              <w:noProof/>
              <w:color w:val="auto"/>
              <w:kern w:val="2"/>
              <w:sz w:val="24"/>
              <w:lang w:eastAsia="en-AU"/>
              <w14:ligatures w14:val="standardContextual"/>
            </w:rPr>
          </w:pPr>
          <w:r w:rsidRPr="3F4E59BB">
            <w:fldChar w:fldCharType="begin"/>
          </w:r>
          <w:r w:rsidR="00E83265">
            <w:instrText xml:space="preserve"> TOC \o "1-3" \h \z \u </w:instrText>
          </w:r>
          <w:r w:rsidRPr="3F4E59BB">
            <w:fldChar w:fldCharType="separate"/>
          </w:r>
          <w:hyperlink w:anchor="_Toc203057089" w:history="1">
            <w:r w:rsidRPr="00C9534D">
              <w:rPr>
                <w:rStyle w:val="Hyperlink"/>
                <w:rFonts w:eastAsiaTheme="majorEastAsia" w:cstheme="majorBidi"/>
                <w:noProof/>
                <w:lang w:val="en-GB"/>
              </w:rPr>
              <w:t>PHI Act Data Specifications – 2024-25 and 2025-26</w:t>
            </w:r>
            <w:r>
              <w:rPr>
                <w:noProof/>
                <w:webHidden/>
              </w:rPr>
              <w:tab/>
            </w:r>
            <w:r>
              <w:rPr>
                <w:noProof/>
                <w:webHidden/>
              </w:rPr>
              <w:fldChar w:fldCharType="begin"/>
            </w:r>
            <w:r>
              <w:rPr>
                <w:noProof/>
                <w:webHidden/>
              </w:rPr>
              <w:instrText xml:space="preserve"> PAGEREF _Toc203057089 \h </w:instrText>
            </w:r>
            <w:r>
              <w:rPr>
                <w:noProof/>
                <w:webHidden/>
              </w:rPr>
            </w:r>
            <w:r>
              <w:rPr>
                <w:noProof/>
                <w:webHidden/>
              </w:rPr>
              <w:fldChar w:fldCharType="separate"/>
            </w:r>
            <w:r w:rsidR="00766278">
              <w:rPr>
                <w:noProof/>
                <w:webHidden/>
              </w:rPr>
              <w:t>1</w:t>
            </w:r>
            <w:r>
              <w:rPr>
                <w:noProof/>
                <w:webHidden/>
              </w:rPr>
              <w:fldChar w:fldCharType="end"/>
            </w:r>
          </w:hyperlink>
        </w:p>
        <w:p w14:paraId="4774EDB9" w14:textId="138D4C50" w:rsidR="00A70C78" w:rsidRDefault="00A70C78">
          <w:pPr>
            <w:pStyle w:val="TOC3"/>
            <w:tabs>
              <w:tab w:val="left" w:pos="960"/>
              <w:tab w:val="right" w:leader="dot" w:pos="13992"/>
            </w:tabs>
            <w:rPr>
              <w:rFonts w:asciiTheme="minorHAnsi" w:eastAsiaTheme="minorEastAsia" w:hAnsiTheme="minorHAnsi" w:cstheme="minorBidi"/>
              <w:noProof/>
              <w:color w:val="auto"/>
              <w:kern w:val="2"/>
              <w:sz w:val="24"/>
              <w:lang w:eastAsia="en-AU"/>
              <w14:ligatures w14:val="standardContextual"/>
            </w:rPr>
          </w:pPr>
          <w:hyperlink w:anchor="_Toc203057090" w:history="1">
            <w:r w:rsidRPr="00C9534D">
              <w:rPr>
                <w:rStyle w:val="Hyperlink"/>
                <w:noProof/>
                <w:lang w:val="en-GB"/>
              </w:rPr>
              <w:t>1.</w:t>
            </w:r>
            <w:r>
              <w:rPr>
                <w:rFonts w:asciiTheme="minorHAnsi" w:eastAsiaTheme="minorEastAsia" w:hAnsiTheme="minorHAnsi" w:cstheme="minorBidi"/>
                <w:noProof/>
                <w:color w:val="auto"/>
                <w:kern w:val="2"/>
                <w:sz w:val="24"/>
                <w:lang w:eastAsia="en-AU"/>
                <w14:ligatures w14:val="standardContextual"/>
              </w:rPr>
              <w:tab/>
            </w:r>
            <w:r w:rsidRPr="00C9534D">
              <w:rPr>
                <w:rStyle w:val="Hyperlink"/>
                <w:noProof/>
                <w:lang w:val="en-GB"/>
              </w:rPr>
              <w:t>Implementation</w:t>
            </w:r>
            <w:r>
              <w:rPr>
                <w:noProof/>
                <w:webHidden/>
              </w:rPr>
              <w:tab/>
            </w:r>
            <w:r>
              <w:rPr>
                <w:noProof/>
                <w:webHidden/>
              </w:rPr>
              <w:fldChar w:fldCharType="begin"/>
            </w:r>
            <w:r>
              <w:rPr>
                <w:noProof/>
                <w:webHidden/>
              </w:rPr>
              <w:instrText xml:space="preserve"> PAGEREF _Toc203057090 \h </w:instrText>
            </w:r>
            <w:r>
              <w:rPr>
                <w:noProof/>
                <w:webHidden/>
              </w:rPr>
            </w:r>
            <w:r>
              <w:rPr>
                <w:noProof/>
                <w:webHidden/>
              </w:rPr>
              <w:fldChar w:fldCharType="separate"/>
            </w:r>
            <w:r w:rsidR="00766278">
              <w:rPr>
                <w:noProof/>
                <w:webHidden/>
              </w:rPr>
              <w:t>2</w:t>
            </w:r>
            <w:r>
              <w:rPr>
                <w:noProof/>
                <w:webHidden/>
              </w:rPr>
              <w:fldChar w:fldCharType="end"/>
            </w:r>
          </w:hyperlink>
        </w:p>
        <w:p w14:paraId="6BD0AF57" w14:textId="7CC4961C" w:rsidR="00A70C78" w:rsidRDefault="00A70C78">
          <w:pPr>
            <w:pStyle w:val="TOC3"/>
            <w:tabs>
              <w:tab w:val="left" w:pos="960"/>
              <w:tab w:val="right" w:leader="dot" w:pos="13992"/>
            </w:tabs>
            <w:rPr>
              <w:rFonts w:asciiTheme="minorHAnsi" w:eastAsiaTheme="minorEastAsia" w:hAnsiTheme="minorHAnsi" w:cstheme="minorBidi"/>
              <w:noProof/>
              <w:color w:val="auto"/>
              <w:kern w:val="2"/>
              <w:sz w:val="24"/>
              <w:lang w:eastAsia="en-AU"/>
              <w14:ligatures w14:val="standardContextual"/>
            </w:rPr>
          </w:pPr>
          <w:hyperlink w:anchor="_Toc203057091" w:history="1">
            <w:r w:rsidRPr="00C9534D">
              <w:rPr>
                <w:rStyle w:val="Hyperlink"/>
                <w:noProof/>
                <w:lang w:val="en-GB"/>
              </w:rPr>
              <w:t>2.</w:t>
            </w:r>
            <w:r>
              <w:rPr>
                <w:rFonts w:asciiTheme="minorHAnsi" w:eastAsiaTheme="minorEastAsia" w:hAnsiTheme="minorHAnsi" w:cstheme="minorBidi"/>
                <w:noProof/>
                <w:color w:val="auto"/>
                <w:kern w:val="2"/>
                <w:sz w:val="24"/>
                <w:lang w:eastAsia="en-AU"/>
                <w14:ligatures w14:val="standardContextual"/>
              </w:rPr>
              <w:tab/>
            </w:r>
            <w:r w:rsidRPr="00C9534D">
              <w:rPr>
                <w:rStyle w:val="Hyperlink"/>
                <w:noProof/>
                <w:lang w:val="en-GB"/>
              </w:rPr>
              <w:t xml:space="preserve">2024-25 </w:t>
            </w:r>
            <w:r w:rsidR="00A15AD0">
              <w:rPr>
                <w:rStyle w:val="Hyperlink"/>
                <w:noProof/>
                <w:lang w:val="en-GB"/>
              </w:rPr>
              <w:t>S</w:t>
            </w:r>
            <w:r w:rsidRPr="00C9534D">
              <w:rPr>
                <w:rStyle w:val="Hyperlink"/>
                <w:noProof/>
                <w:lang w:val="en-GB"/>
              </w:rPr>
              <w:t>ubmission with Practitioner Provider Number</w:t>
            </w:r>
            <w:r>
              <w:rPr>
                <w:noProof/>
                <w:webHidden/>
              </w:rPr>
              <w:tab/>
            </w:r>
            <w:r>
              <w:rPr>
                <w:noProof/>
                <w:webHidden/>
              </w:rPr>
              <w:fldChar w:fldCharType="begin"/>
            </w:r>
            <w:r>
              <w:rPr>
                <w:noProof/>
                <w:webHidden/>
              </w:rPr>
              <w:instrText xml:space="preserve"> PAGEREF _Toc203057091 \h </w:instrText>
            </w:r>
            <w:r>
              <w:rPr>
                <w:noProof/>
                <w:webHidden/>
              </w:rPr>
            </w:r>
            <w:r>
              <w:rPr>
                <w:noProof/>
                <w:webHidden/>
              </w:rPr>
              <w:fldChar w:fldCharType="separate"/>
            </w:r>
            <w:r w:rsidR="00766278">
              <w:rPr>
                <w:noProof/>
                <w:webHidden/>
              </w:rPr>
              <w:t>3</w:t>
            </w:r>
            <w:r>
              <w:rPr>
                <w:noProof/>
                <w:webHidden/>
              </w:rPr>
              <w:fldChar w:fldCharType="end"/>
            </w:r>
          </w:hyperlink>
        </w:p>
        <w:p w14:paraId="7F5C11F2" w14:textId="025F534C" w:rsidR="00A70C78" w:rsidRDefault="168BC611" w:rsidP="3F4E59BB">
          <w:pPr>
            <w:pStyle w:val="TOC3"/>
            <w:tabs>
              <w:tab w:val="left" w:pos="960"/>
              <w:tab w:val="right" w:leader="dot" w:pos="13992"/>
            </w:tabs>
            <w:rPr>
              <w:rFonts w:asciiTheme="minorHAnsi" w:eastAsiaTheme="minorEastAsia" w:hAnsiTheme="minorHAnsi" w:cstheme="minorBidi"/>
              <w:noProof/>
              <w:color w:val="auto"/>
              <w:sz w:val="24"/>
              <w:lang w:eastAsia="en-AU"/>
            </w:rPr>
          </w:pPr>
          <w:hyperlink w:anchor="_Toc203057092" w:history="1">
            <w:r w:rsidRPr="00C9534D">
              <w:rPr>
                <w:rStyle w:val="Hyperlink"/>
                <w:noProof/>
              </w:rPr>
              <w:t>3.</w:t>
            </w:r>
            <w:r w:rsidR="00A70C78">
              <w:rPr>
                <w:rFonts w:asciiTheme="minorHAnsi" w:eastAsiaTheme="minorEastAsia" w:hAnsiTheme="minorHAnsi" w:cstheme="minorBidi"/>
                <w:noProof/>
                <w:color w:val="auto"/>
                <w:kern w:val="2"/>
                <w:sz w:val="24"/>
                <w:lang w:eastAsia="en-AU"/>
                <w14:ligatures w14:val="standardContextual"/>
              </w:rPr>
              <w:tab/>
            </w:r>
            <w:r w:rsidRPr="00C9534D">
              <w:rPr>
                <w:rStyle w:val="Hyperlink"/>
                <w:noProof/>
                <w:lang w:val="en-GB"/>
              </w:rPr>
              <w:t>2025-26 Submission with Practitioner Provider Number</w:t>
            </w:r>
            <w:r w:rsidR="00A70C78">
              <w:rPr>
                <w:noProof/>
                <w:webHidden/>
              </w:rPr>
              <w:tab/>
            </w:r>
            <w:r w:rsidR="00A70C78">
              <w:rPr>
                <w:noProof/>
                <w:webHidden/>
              </w:rPr>
              <w:fldChar w:fldCharType="begin"/>
            </w:r>
            <w:r w:rsidR="00A70C78">
              <w:rPr>
                <w:noProof/>
                <w:webHidden/>
              </w:rPr>
              <w:instrText xml:space="preserve"> PAGEREF _Toc203057092 \h </w:instrText>
            </w:r>
            <w:r w:rsidR="00A70C78">
              <w:rPr>
                <w:noProof/>
                <w:webHidden/>
              </w:rPr>
            </w:r>
            <w:r w:rsidR="00A70C78">
              <w:rPr>
                <w:noProof/>
                <w:webHidden/>
              </w:rPr>
              <w:fldChar w:fldCharType="separate"/>
            </w:r>
            <w:r w:rsidR="00766278">
              <w:rPr>
                <w:noProof/>
                <w:webHidden/>
              </w:rPr>
              <w:t>5</w:t>
            </w:r>
            <w:r w:rsidR="00A70C78">
              <w:rPr>
                <w:noProof/>
                <w:webHidden/>
              </w:rPr>
              <w:fldChar w:fldCharType="end"/>
            </w:r>
          </w:hyperlink>
          <w:r w:rsidR="00A70C78" w:rsidRPr="3F4E59BB">
            <w:rPr>
              <w:b/>
              <w:bCs/>
              <w:noProof/>
            </w:rPr>
            <w:fldChar w:fldCharType="end"/>
          </w:r>
        </w:p>
      </w:sdtContent>
    </w:sdt>
    <w:p w14:paraId="4D4E81FD" w14:textId="0741D096" w:rsidR="00E83265" w:rsidRPr="00C21A8B" w:rsidRDefault="00E83265" w:rsidP="00C21A8B">
      <w:pPr>
        <w:pStyle w:val="Heading2"/>
      </w:pPr>
      <w:bookmarkStart w:id="1" w:name="_Toc203057090"/>
      <w:r>
        <w:lastRenderedPageBreak/>
        <w:t>Implementation</w:t>
      </w:r>
      <w:bookmarkEnd w:id="1"/>
    </w:p>
    <w:p w14:paraId="36A38020" w14:textId="26B03E1E" w:rsidR="00177AD2" w:rsidRPr="00C21A8B" w:rsidRDefault="00E83265" w:rsidP="00C21A8B">
      <w:pPr>
        <w:pStyle w:val="Tabletextleft"/>
        <w:rPr>
          <w:lang w:val="en-GB"/>
        </w:rPr>
      </w:pPr>
      <w:r w:rsidRPr="09762560">
        <w:rPr>
          <w:lang w:val="en-GB"/>
        </w:rPr>
        <w:t xml:space="preserve">These data specification updates are supplementary to previously </w:t>
      </w:r>
      <w:r w:rsidR="00FB3200">
        <w:t xml:space="preserve">published updates on the department's website </w:t>
      </w:r>
      <w:r w:rsidR="00FB3200" w:rsidRPr="09762560">
        <w:rPr>
          <w:lang w:val="en-GB"/>
        </w:rPr>
        <w:t xml:space="preserve">for </w:t>
      </w:r>
      <w:hyperlink r:id="rId12">
        <w:r w:rsidR="00FA2EFD" w:rsidRPr="09762560">
          <w:rPr>
            <w:rStyle w:val="Hyperlink"/>
            <w:lang w:val="en-GB"/>
          </w:rPr>
          <w:t>2024-25</w:t>
        </w:r>
      </w:hyperlink>
      <w:r w:rsidR="00FA2EFD" w:rsidRPr="09762560">
        <w:rPr>
          <w:lang w:val="en-GB"/>
        </w:rPr>
        <w:t xml:space="preserve"> and </w:t>
      </w:r>
      <w:hyperlink r:id="rId13">
        <w:r w:rsidR="00FA2EFD" w:rsidRPr="09762560">
          <w:rPr>
            <w:rStyle w:val="Hyperlink"/>
            <w:lang w:val="en-GB"/>
          </w:rPr>
          <w:t>2025-26</w:t>
        </w:r>
      </w:hyperlink>
      <w:r w:rsidR="00FA2EFD" w:rsidRPr="09762560">
        <w:rPr>
          <w:lang w:val="en-GB"/>
        </w:rPr>
        <w:t xml:space="preserve"> financial year</w:t>
      </w:r>
      <w:r w:rsidR="00FB3200" w:rsidRPr="09762560">
        <w:rPr>
          <w:lang w:val="en-GB"/>
        </w:rPr>
        <w:t xml:space="preserve">. </w:t>
      </w:r>
      <w:r w:rsidRPr="09762560">
        <w:rPr>
          <w:lang w:val="en-GB"/>
        </w:rPr>
        <w:t>They affect HCP1 reporting obligations from private health insurers and do not impact hospitals’ reporting obligations.</w:t>
      </w:r>
      <w:r w:rsidR="00FA2EFD" w:rsidRPr="09762560">
        <w:rPr>
          <w:lang w:val="en-GB"/>
        </w:rPr>
        <w:t xml:space="preserve"> </w:t>
      </w:r>
      <w:r w:rsidR="00820D04" w:rsidRPr="09762560">
        <w:rPr>
          <w:lang w:val="en-GB"/>
        </w:rPr>
        <w:t xml:space="preserve">Changes in this summary document are correspondingly indicated </w:t>
      </w:r>
      <w:r w:rsidR="00820D04" w:rsidRPr="09762560">
        <w:rPr>
          <w:color w:val="FF0000"/>
          <w:lang w:val="en-GB"/>
        </w:rPr>
        <w:t xml:space="preserve">IN RED </w:t>
      </w:r>
      <w:r w:rsidR="00820D04" w:rsidRPr="09762560">
        <w:rPr>
          <w:lang w:val="en-GB"/>
        </w:rPr>
        <w:t xml:space="preserve">in the associated </w:t>
      </w:r>
      <w:r w:rsidR="45AE525D" w:rsidRPr="09762560">
        <w:rPr>
          <w:lang w:val="en-GB"/>
        </w:rPr>
        <w:t xml:space="preserve">supplementary </w:t>
      </w:r>
      <w:r w:rsidR="00820D04" w:rsidRPr="09762560">
        <w:rPr>
          <w:lang w:val="en-GB"/>
        </w:rPr>
        <w:t xml:space="preserve">data specification </w:t>
      </w:r>
      <w:r w:rsidR="009E47AC" w:rsidRPr="09762560">
        <w:rPr>
          <w:lang w:val="en-GB"/>
        </w:rPr>
        <w:t>Excel workbook</w:t>
      </w:r>
      <w:r w:rsidR="00820D04" w:rsidRPr="09762560">
        <w:rPr>
          <w:lang w:val="en-GB"/>
        </w:rPr>
        <w:t xml:space="preserve"> for each financial year. </w:t>
      </w:r>
      <w:r w:rsidR="00FA2EFD" w:rsidRPr="09762560">
        <w:rPr>
          <w:lang w:val="en-GB"/>
        </w:rPr>
        <w:t xml:space="preserve">The timing, input file format, and edit rules are different between each financial year. </w:t>
      </w:r>
    </w:p>
    <w:p w14:paraId="397712CF" w14:textId="545F4577" w:rsidR="009040E9" w:rsidRPr="009040E9" w:rsidRDefault="00E83265" w:rsidP="009040E9">
      <w:pPr>
        <w:pStyle w:val="Tabletitle0"/>
        <w:rPr>
          <w:lang w:val="en-US"/>
        </w:rPr>
      </w:pPr>
      <w:r>
        <w:rPr>
          <w:lang w:val="en-US"/>
        </w:rPr>
        <w:t xml:space="preserve">Summary of </w:t>
      </w:r>
      <w:r w:rsidR="00820D04">
        <w:rPr>
          <w:lang w:val="en-US"/>
        </w:rPr>
        <w:t xml:space="preserve">new </w:t>
      </w:r>
      <w:r>
        <w:rPr>
          <w:lang w:val="en-US"/>
        </w:rPr>
        <w:t>reporting requirements:</w:t>
      </w:r>
    </w:p>
    <w:tbl>
      <w:tblPr>
        <w:tblStyle w:val="DepartmentofHealthtable"/>
        <w:tblW w:w="13750" w:type="dxa"/>
        <w:tblLook w:val="04A0" w:firstRow="1" w:lastRow="0" w:firstColumn="1" w:lastColumn="0" w:noHBand="0" w:noVBand="1"/>
        <w:tblDescription w:val="Add Alt Text describing the content of the table"/>
      </w:tblPr>
      <w:tblGrid>
        <w:gridCol w:w="3440"/>
        <w:gridCol w:w="3440"/>
        <w:gridCol w:w="6870"/>
      </w:tblGrid>
      <w:tr w:rsidR="00E83265" w:rsidRPr="009040E9" w14:paraId="529AD457" w14:textId="77777777" w:rsidTr="097625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40" w:type="dxa"/>
          </w:tcPr>
          <w:p w14:paraId="2819581B" w14:textId="6C2AD74F" w:rsidR="00E83265" w:rsidRPr="009040E9" w:rsidRDefault="00E83265" w:rsidP="009040E9">
            <w:pPr>
              <w:pStyle w:val="Tableheader0"/>
              <w:rPr>
                <w:rFonts w:eastAsia="Cambria"/>
                <w:lang w:val="en-US"/>
              </w:rPr>
            </w:pPr>
            <w:r>
              <w:rPr>
                <w:rFonts w:eastAsia="Cambria"/>
                <w:lang w:val="en-US"/>
              </w:rPr>
              <w:t>Financial year and collection</w:t>
            </w:r>
          </w:p>
        </w:tc>
        <w:tc>
          <w:tcPr>
            <w:tcW w:w="3440" w:type="dxa"/>
          </w:tcPr>
          <w:p w14:paraId="6F55D388" w14:textId="1C9ABD0A" w:rsidR="00E83265" w:rsidRPr="009040E9" w:rsidRDefault="00E83265" w:rsidP="009040E9">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Timing</w:t>
            </w:r>
          </w:p>
        </w:tc>
        <w:tc>
          <w:tcPr>
            <w:tcW w:w="6870" w:type="dxa"/>
          </w:tcPr>
          <w:p w14:paraId="4AA0EC6F" w14:textId="6421E2B8" w:rsidR="00E83265" w:rsidRPr="009040E9" w:rsidRDefault="002F2874" w:rsidP="009040E9">
            <w:pPr>
              <w:pStyle w:val="Tableheader0"/>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Input f</w:t>
            </w:r>
            <w:r w:rsidR="00E83265">
              <w:rPr>
                <w:rFonts w:eastAsia="Cambria"/>
                <w:lang w:val="en-US"/>
              </w:rPr>
              <w:t>ile format</w:t>
            </w:r>
          </w:p>
        </w:tc>
      </w:tr>
      <w:tr w:rsidR="00E83265" w:rsidRPr="009040E9" w14:paraId="30DCCB46" w14:textId="77777777" w:rsidTr="09762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Pr>
          <w:p w14:paraId="18D0E44D" w14:textId="729ECE88" w:rsidR="00E83265" w:rsidRPr="009040E9" w:rsidRDefault="00E83265" w:rsidP="00E83265">
            <w:pPr>
              <w:pStyle w:val="Tabletextleft"/>
            </w:pPr>
            <w:r w:rsidRPr="00396865">
              <w:t xml:space="preserve">2024-25 HCP1 </w:t>
            </w:r>
          </w:p>
        </w:tc>
        <w:tc>
          <w:tcPr>
            <w:tcW w:w="3440" w:type="dxa"/>
          </w:tcPr>
          <w:p w14:paraId="3A486206" w14:textId="7211AEEA" w:rsidR="09762560" w:rsidRDefault="09762560" w:rsidP="09762560">
            <w:pPr>
              <w:spacing w:before="60" w:after="60"/>
              <w:cnfStyle w:val="000000100000" w:firstRow="0" w:lastRow="0" w:firstColumn="0" w:lastColumn="0" w:oddVBand="0" w:evenVBand="0" w:oddHBand="1" w:evenHBand="0" w:firstRowFirstColumn="0" w:firstRowLastColumn="0" w:lastRowFirstColumn="0" w:lastRowLastColumn="0"/>
            </w:pPr>
            <w:r w:rsidRPr="09762560">
              <w:rPr>
                <w:rFonts w:eastAsia="Arial" w:cs="Arial"/>
                <w:sz w:val="21"/>
                <w:szCs w:val="21"/>
              </w:rPr>
              <w:t xml:space="preserve">All </w:t>
            </w:r>
            <w:r w:rsidR="00A15AD0">
              <w:rPr>
                <w:rFonts w:eastAsia="Arial" w:cs="Arial"/>
                <w:sz w:val="21"/>
                <w:szCs w:val="21"/>
              </w:rPr>
              <w:t>s</w:t>
            </w:r>
            <w:r w:rsidRPr="09762560">
              <w:rPr>
                <w:rFonts w:eastAsia="Arial" w:cs="Arial"/>
                <w:sz w:val="21"/>
                <w:szCs w:val="21"/>
              </w:rPr>
              <w:t xml:space="preserve">ubmissions provided </w:t>
            </w:r>
            <w:r w:rsidR="00D6338E">
              <w:rPr>
                <w:rFonts w:eastAsia="Arial" w:cs="Arial"/>
                <w:sz w:val="21"/>
                <w:szCs w:val="21"/>
              </w:rPr>
              <w:t>by the end of</w:t>
            </w:r>
            <w:r w:rsidRPr="09762560">
              <w:rPr>
                <w:rFonts w:eastAsia="Arial" w:cs="Arial"/>
                <w:sz w:val="21"/>
                <w:szCs w:val="21"/>
              </w:rPr>
              <w:t xml:space="preserve"> December 2025 unless an extension is provided in writing from the Department to the insurer.</w:t>
            </w:r>
          </w:p>
        </w:tc>
        <w:tc>
          <w:tcPr>
            <w:tcW w:w="6870" w:type="dxa"/>
          </w:tcPr>
          <w:p w14:paraId="7E31F4C4" w14:textId="00604EAA" w:rsidR="09762560" w:rsidRDefault="09762560" w:rsidP="09762560">
            <w:pPr>
              <w:spacing w:before="60" w:after="60"/>
              <w:cnfStyle w:val="000000100000" w:firstRow="0" w:lastRow="0" w:firstColumn="0" w:lastColumn="0" w:oddVBand="0" w:evenVBand="0" w:oddHBand="1" w:evenHBand="0" w:firstRowFirstColumn="0" w:firstRowLastColumn="0" w:lastRowFirstColumn="0" w:lastRowLastColumn="0"/>
            </w:pPr>
            <w:r w:rsidRPr="09762560">
              <w:rPr>
                <w:rFonts w:eastAsia="Arial" w:cs="Arial"/>
                <w:sz w:val="21"/>
                <w:szCs w:val="21"/>
              </w:rPr>
              <w:t>Full HCP1 file, as per the Supplementary - HCP Data Specifications HCP1 Insurer to Department 2024-25 Excel workbook.</w:t>
            </w:r>
          </w:p>
          <w:p w14:paraId="2D3CBDF3" w14:textId="3F20E5C7" w:rsidR="09762560" w:rsidRDefault="09762560" w:rsidP="09762560">
            <w:pPr>
              <w:spacing w:before="60" w:after="60"/>
              <w:cnfStyle w:val="000000100000" w:firstRow="0" w:lastRow="0" w:firstColumn="0" w:lastColumn="0" w:oddVBand="0" w:evenVBand="0" w:oddHBand="1" w:evenHBand="0" w:firstRowFirstColumn="0" w:firstRowLastColumn="0" w:lastRowFirstColumn="0" w:lastRowLastColumn="0"/>
            </w:pPr>
            <w:r w:rsidRPr="09762560">
              <w:rPr>
                <w:rFonts w:eastAsia="Arial" w:cs="Arial"/>
                <w:sz w:val="21"/>
                <w:szCs w:val="21"/>
              </w:rPr>
              <w:t xml:space="preserve"> </w:t>
            </w:r>
          </w:p>
          <w:p w14:paraId="4BEAEAB4" w14:textId="2E22B433" w:rsidR="09762560" w:rsidRDefault="09762560" w:rsidP="09762560">
            <w:pPr>
              <w:spacing w:before="60" w:after="60"/>
              <w:cnfStyle w:val="000000100000" w:firstRow="0" w:lastRow="0" w:firstColumn="0" w:lastColumn="0" w:oddVBand="0" w:evenVBand="0" w:oddHBand="1" w:evenHBand="0" w:firstRowFirstColumn="0" w:firstRowLastColumn="0" w:lastRowFirstColumn="0" w:lastRowLastColumn="0"/>
            </w:pPr>
            <w:r w:rsidRPr="09762560">
              <w:rPr>
                <w:rFonts w:eastAsia="Arial" w:cs="Arial"/>
                <w:sz w:val="21"/>
                <w:szCs w:val="21"/>
              </w:rPr>
              <w:t xml:space="preserve">Where this is not possible, please discuss alternative input file format options such as providing a medical table </w:t>
            </w:r>
            <w:r w:rsidR="004F2703">
              <w:rPr>
                <w:rFonts w:eastAsia="Arial" w:cs="Arial"/>
                <w:sz w:val="21"/>
                <w:szCs w:val="21"/>
              </w:rPr>
              <w:t>separately</w:t>
            </w:r>
            <w:r w:rsidRPr="09762560">
              <w:rPr>
                <w:rFonts w:eastAsia="Arial" w:cs="Arial"/>
                <w:sz w:val="21"/>
                <w:szCs w:val="21"/>
              </w:rPr>
              <w:t xml:space="preserve"> and/or full financial year in one file with </w:t>
            </w:r>
            <w:hyperlink r:id="rId14">
              <w:r w:rsidRPr="09762560">
                <w:rPr>
                  <w:rStyle w:val="Hyperlink"/>
                  <w:rFonts w:eastAsia="Arial" w:cs="Arial"/>
                  <w:color w:val="0000FF"/>
                  <w:sz w:val="21"/>
                  <w:szCs w:val="21"/>
                </w:rPr>
                <w:t>HCP@health.gov.au</w:t>
              </w:r>
            </w:hyperlink>
            <w:r w:rsidRPr="09762560">
              <w:rPr>
                <w:rFonts w:eastAsia="Arial" w:cs="Arial"/>
                <w:sz w:val="21"/>
                <w:szCs w:val="21"/>
              </w:rPr>
              <w:t xml:space="preserve">. </w:t>
            </w:r>
          </w:p>
        </w:tc>
      </w:tr>
      <w:tr w:rsidR="00E83265" w:rsidRPr="009040E9" w14:paraId="5CE17B5F" w14:textId="77777777" w:rsidTr="09762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Pr>
          <w:p w14:paraId="216EF77A" w14:textId="51662566" w:rsidR="00E83265" w:rsidRPr="009040E9" w:rsidRDefault="00E83265" w:rsidP="00E83265">
            <w:pPr>
              <w:pStyle w:val="Tabletextleft"/>
            </w:pPr>
            <w:r w:rsidRPr="00396865">
              <w:t>202</w:t>
            </w:r>
            <w:r>
              <w:t>5</w:t>
            </w:r>
            <w:r w:rsidRPr="00396865">
              <w:t>-2</w:t>
            </w:r>
            <w:r>
              <w:t>6</w:t>
            </w:r>
            <w:r w:rsidRPr="00396865">
              <w:t xml:space="preserve"> HCP1 </w:t>
            </w:r>
          </w:p>
        </w:tc>
        <w:tc>
          <w:tcPr>
            <w:tcW w:w="3440" w:type="dxa"/>
          </w:tcPr>
          <w:p w14:paraId="4D4F00A7" w14:textId="2E20A7B0" w:rsidR="09762560" w:rsidRDefault="09762560" w:rsidP="09762560">
            <w:pPr>
              <w:spacing w:before="60" w:after="60"/>
              <w:cnfStyle w:val="000000010000" w:firstRow="0" w:lastRow="0" w:firstColumn="0" w:lastColumn="0" w:oddVBand="0" w:evenVBand="0" w:oddHBand="0" w:evenHBand="1" w:firstRowFirstColumn="0" w:firstRowLastColumn="0" w:lastRowFirstColumn="0" w:lastRowLastColumn="0"/>
            </w:pPr>
            <w:r w:rsidRPr="09762560">
              <w:rPr>
                <w:rFonts w:eastAsia="Arial" w:cs="Arial"/>
                <w:sz w:val="21"/>
                <w:szCs w:val="21"/>
              </w:rPr>
              <w:t xml:space="preserve">Commence monthly submissions in January 2026 unless an extension is provided in writing from the Department to the insurer. Early submissions and/or testing will be accepted from </w:t>
            </w:r>
            <w:r w:rsidRPr="09762560">
              <w:rPr>
                <w:rFonts w:eastAsia="Arial" w:cs="Arial"/>
                <w:sz w:val="21"/>
                <w:szCs w:val="21"/>
                <w:lang w:val="en-GB"/>
              </w:rPr>
              <w:t xml:space="preserve">November 2025.  </w:t>
            </w:r>
          </w:p>
        </w:tc>
        <w:tc>
          <w:tcPr>
            <w:tcW w:w="6870" w:type="dxa"/>
          </w:tcPr>
          <w:p w14:paraId="272AC914" w14:textId="3893A713" w:rsidR="09762560" w:rsidRDefault="09762560" w:rsidP="09762560">
            <w:pPr>
              <w:spacing w:before="60" w:after="60"/>
              <w:cnfStyle w:val="000000010000" w:firstRow="0" w:lastRow="0" w:firstColumn="0" w:lastColumn="0" w:oddVBand="0" w:evenVBand="0" w:oddHBand="0" w:evenHBand="1" w:firstRowFirstColumn="0" w:firstRowLastColumn="0" w:lastRowFirstColumn="0" w:lastRowLastColumn="0"/>
            </w:pPr>
            <w:r w:rsidRPr="09762560">
              <w:rPr>
                <w:rFonts w:eastAsia="Arial" w:cs="Arial"/>
                <w:sz w:val="21"/>
                <w:szCs w:val="21"/>
              </w:rPr>
              <w:t>Full HCP1 file, as per the Supplementary - HCP Data Specifications HCP1 Insurer to Department 2025-26 Excel workbook.</w:t>
            </w:r>
          </w:p>
        </w:tc>
      </w:tr>
    </w:tbl>
    <w:p w14:paraId="3B5609AF" w14:textId="5BED6275" w:rsidR="00820D04" w:rsidRDefault="00820D04" w:rsidP="00195757">
      <w:pPr>
        <w:pStyle w:val="Heading2"/>
        <w:pageBreakBefore/>
        <w:ind w:left="714" w:hanging="357"/>
      </w:pPr>
      <w:bookmarkStart w:id="2" w:name="_Toc203057091"/>
      <w:r w:rsidRPr="00820D04">
        <w:lastRenderedPageBreak/>
        <w:t xml:space="preserve">2024-25 </w:t>
      </w:r>
      <w:r w:rsidR="00A15AD0">
        <w:t>S</w:t>
      </w:r>
      <w:r w:rsidR="00EA4B79">
        <w:t xml:space="preserve">ubmission with </w:t>
      </w:r>
      <w:r w:rsidRPr="00820D04">
        <w:t>Practitioner Provider Number</w:t>
      </w:r>
      <w:bookmarkEnd w:id="2"/>
    </w:p>
    <w:p w14:paraId="62E36935" w14:textId="7A01AC5D" w:rsidR="36262A18" w:rsidRDefault="36262A18" w:rsidP="00C21A8B">
      <w:pPr>
        <w:pStyle w:val="Heading3"/>
        <w:rPr>
          <w:i/>
        </w:rPr>
      </w:pPr>
      <w:r w:rsidRPr="3F4E59BB">
        <w:t>Reporting requirement</w:t>
      </w:r>
      <w:r w:rsidR="25034585" w:rsidRPr="3F4E59BB">
        <w:t>s</w:t>
      </w:r>
      <w:r w:rsidRPr="3F4E59BB">
        <w:t xml:space="preserve"> </w:t>
      </w:r>
      <w:r w:rsidR="00600331" w:rsidRPr="00600331">
        <w:t>(2024-25 only)</w:t>
      </w:r>
    </w:p>
    <w:p w14:paraId="734E0E51" w14:textId="77777777" w:rsidR="00BA1C54" w:rsidRPr="00BA1C54" w:rsidRDefault="00BA1C54" w:rsidP="00C21A8B">
      <w:pPr>
        <w:rPr>
          <w:sz w:val="4"/>
          <w:szCs w:val="6"/>
          <w:lang w:val="en-GB"/>
        </w:rPr>
      </w:pPr>
    </w:p>
    <w:tbl>
      <w:tblPr>
        <w:tblStyle w:val="TableGridLight"/>
        <w:tblW w:w="13755" w:type="dxa"/>
        <w:tblLook w:val="04A0" w:firstRow="1" w:lastRow="0" w:firstColumn="1" w:lastColumn="0" w:noHBand="0" w:noVBand="1"/>
      </w:tblPr>
      <w:tblGrid>
        <w:gridCol w:w="1757"/>
        <w:gridCol w:w="11998"/>
      </w:tblGrid>
      <w:tr w:rsidR="003B7796" w:rsidRPr="00A70C78" w14:paraId="580DC609" w14:textId="77777777" w:rsidTr="00C21A8B">
        <w:trPr>
          <w:trHeight w:hRule="exact" w:val="369"/>
        </w:trPr>
        <w:tc>
          <w:tcPr>
            <w:tcW w:w="1757" w:type="dxa"/>
          </w:tcPr>
          <w:p w14:paraId="4C752B3E" w14:textId="33B3A4AA" w:rsidR="003B7796" w:rsidRPr="00A70C78" w:rsidRDefault="5E8D6250" w:rsidP="00C21A8B">
            <w:pPr>
              <w:spacing w:beforeAutospacing="1"/>
              <w:rPr>
                <w:b/>
                <w:bCs/>
                <w:sz w:val="21"/>
                <w:szCs w:val="21"/>
              </w:rPr>
            </w:pPr>
            <w:r w:rsidRPr="3F4E59BB">
              <w:rPr>
                <w:b/>
                <w:bCs/>
                <w:sz w:val="21"/>
                <w:szCs w:val="21"/>
              </w:rPr>
              <w:t>Data item:</w:t>
            </w:r>
          </w:p>
        </w:tc>
        <w:tc>
          <w:tcPr>
            <w:tcW w:w="11998" w:type="dxa"/>
          </w:tcPr>
          <w:p w14:paraId="4608BB7F" w14:textId="07D321BA" w:rsidR="00137E17" w:rsidRPr="00A70C78" w:rsidRDefault="5E8D6250" w:rsidP="00C21A8B">
            <w:pPr>
              <w:spacing w:beforeAutospacing="1"/>
              <w:rPr>
                <w:sz w:val="21"/>
                <w:szCs w:val="21"/>
              </w:rPr>
            </w:pPr>
            <w:r w:rsidRPr="3F4E59BB">
              <w:rPr>
                <w:sz w:val="21"/>
                <w:szCs w:val="21"/>
              </w:rPr>
              <w:t xml:space="preserve">Explanatory notes </w:t>
            </w:r>
            <w:r w:rsidR="07D9DBD1" w:rsidRPr="3F4E59BB">
              <w:rPr>
                <w:sz w:val="21"/>
                <w:szCs w:val="21"/>
              </w:rPr>
              <w:t>–</w:t>
            </w:r>
            <w:r w:rsidRPr="3F4E59BB">
              <w:rPr>
                <w:sz w:val="21"/>
                <w:szCs w:val="21"/>
              </w:rPr>
              <w:t xml:space="preserve"> Reporting requirements </w:t>
            </w:r>
          </w:p>
        </w:tc>
      </w:tr>
      <w:tr w:rsidR="003B7796" w:rsidRPr="00A70C78" w14:paraId="6E3DE2E0" w14:textId="77777777" w:rsidTr="00C21A8B">
        <w:trPr>
          <w:trHeight w:hRule="exact" w:val="369"/>
        </w:trPr>
        <w:tc>
          <w:tcPr>
            <w:tcW w:w="1757" w:type="dxa"/>
          </w:tcPr>
          <w:p w14:paraId="23732B60" w14:textId="1D723F99" w:rsidR="003B7796" w:rsidRPr="00A70C78" w:rsidRDefault="5E8D6250" w:rsidP="00C21A8B">
            <w:pPr>
              <w:spacing w:beforeAutospacing="1"/>
              <w:rPr>
                <w:b/>
                <w:bCs/>
                <w:sz w:val="21"/>
                <w:szCs w:val="21"/>
              </w:rPr>
            </w:pPr>
            <w:r w:rsidRPr="3F4E59BB">
              <w:rPr>
                <w:b/>
                <w:bCs/>
                <w:sz w:val="21"/>
                <w:szCs w:val="21"/>
              </w:rPr>
              <w:t>Dataset:</w:t>
            </w:r>
          </w:p>
        </w:tc>
        <w:tc>
          <w:tcPr>
            <w:tcW w:w="11998" w:type="dxa"/>
          </w:tcPr>
          <w:p w14:paraId="1453CF21" w14:textId="33605A6C" w:rsidR="003B7796" w:rsidRPr="00A70C78" w:rsidRDefault="5E8D6250" w:rsidP="00C21A8B">
            <w:pPr>
              <w:spacing w:beforeAutospacing="1"/>
              <w:rPr>
                <w:sz w:val="21"/>
                <w:szCs w:val="21"/>
              </w:rPr>
            </w:pPr>
            <w:r w:rsidRPr="3F4E59BB">
              <w:rPr>
                <w:sz w:val="21"/>
                <w:szCs w:val="21"/>
              </w:rPr>
              <w:t>HCP1</w:t>
            </w:r>
            <w:r w:rsidR="25034585" w:rsidRPr="3F4E59BB">
              <w:rPr>
                <w:sz w:val="21"/>
                <w:szCs w:val="21"/>
              </w:rPr>
              <w:t xml:space="preserve"> (2024-25</w:t>
            </w:r>
            <w:r w:rsidR="0816F5E6" w:rsidRPr="3F4E59BB">
              <w:rPr>
                <w:sz w:val="21"/>
                <w:szCs w:val="21"/>
              </w:rPr>
              <w:t xml:space="preserve"> only</w:t>
            </w:r>
            <w:r w:rsidR="25034585" w:rsidRPr="3F4E59BB">
              <w:rPr>
                <w:sz w:val="21"/>
                <w:szCs w:val="21"/>
              </w:rPr>
              <w:t>)</w:t>
            </w:r>
          </w:p>
        </w:tc>
      </w:tr>
      <w:tr w:rsidR="003B7796" w:rsidRPr="00A70C78" w14:paraId="5B60B4E0" w14:textId="77777777" w:rsidTr="00C21A8B">
        <w:trPr>
          <w:trHeight w:val="300"/>
        </w:trPr>
        <w:tc>
          <w:tcPr>
            <w:tcW w:w="1757" w:type="dxa"/>
          </w:tcPr>
          <w:p w14:paraId="482C2E55" w14:textId="26BB4079" w:rsidR="003B7796" w:rsidRPr="00A70C78" w:rsidRDefault="5E8D6250" w:rsidP="00C21A8B">
            <w:pPr>
              <w:spacing w:beforeAutospacing="1"/>
              <w:rPr>
                <w:b/>
                <w:bCs/>
                <w:sz w:val="21"/>
                <w:szCs w:val="21"/>
              </w:rPr>
            </w:pPr>
            <w:r w:rsidRPr="3F4E59BB">
              <w:rPr>
                <w:b/>
                <w:bCs/>
                <w:sz w:val="21"/>
                <w:szCs w:val="21"/>
              </w:rPr>
              <w:t>Change</w:t>
            </w:r>
            <w:r w:rsidR="6C230CEB" w:rsidRPr="3F4E59BB">
              <w:rPr>
                <w:b/>
                <w:bCs/>
                <w:sz w:val="21"/>
                <w:szCs w:val="21"/>
              </w:rPr>
              <w:t>s</w:t>
            </w:r>
            <w:r w:rsidRPr="3F4E59BB">
              <w:rPr>
                <w:b/>
                <w:bCs/>
                <w:sz w:val="21"/>
                <w:szCs w:val="21"/>
              </w:rPr>
              <w:t>:</w:t>
            </w:r>
          </w:p>
        </w:tc>
        <w:tc>
          <w:tcPr>
            <w:tcW w:w="11998" w:type="dxa"/>
          </w:tcPr>
          <w:p w14:paraId="61FA5376" w14:textId="21B37453" w:rsidR="003B7796" w:rsidRPr="00A70C78" w:rsidRDefault="6C230CEB" w:rsidP="00C21A8B">
            <w:pPr>
              <w:spacing w:beforeAutospacing="1"/>
              <w:rPr>
                <w:sz w:val="21"/>
                <w:szCs w:val="21"/>
              </w:rPr>
            </w:pPr>
            <w:r w:rsidRPr="3F4E59BB">
              <w:rPr>
                <w:sz w:val="21"/>
                <w:szCs w:val="21"/>
              </w:rPr>
              <w:t>New reporting requirements added</w:t>
            </w:r>
          </w:p>
        </w:tc>
      </w:tr>
      <w:tr w:rsidR="00D008ED" w:rsidRPr="00A70C78" w14:paraId="6263951E" w14:textId="77777777" w:rsidTr="00C21A8B">
        <w:trPr>
          <w:trHeight w:hRule="exact" w:val="454"/>
        </w:trPr>
        <w:tc>
          <w:tcPr>
            <w:tcW w:w="1757" w:type="dxa"/>
          </w:tcPr>
          <w:p w14:paraId="253802DE" w14:textId="5C39E49E" w:rsidR="00D008ED" w:rsidRPr="00A70C78" w:rsidRDefault="6C230CEB" w:rsidP="00C21A8B">
            <w:pPr>
              <w:spacing w:beforeAutospacing="1"/>
              <w:rPr>
                <w:b/>
                <w:bCs/>
                <w:sz w:val="21"/>
                <w:szCs w:val="21"/>
              </w:rPr>
            </w:pPr>
            <w:r w:rsidRPr="3F4E59BB">
              <w:rPr>
                <w:b/>
                <w:bCs/>
                <w:sz w:val="21"/>
                <w:szCs w:val="21"/>
              </w:rPr>
              <w:t>Reason:</w:t>
            </w:r>
          </w:p>
        </w:tc>
        <w:tc>
          <w:tcPr>
            <w:tcW w:w="11998" w:type="dxa"/>
          </w:tcPr>
          <w:p w14:paraId="70D2CF32" w14:textId="58F9AC16" w:rsidR="00D008ED" w:rsidRPr="00A70C78" w:rsidRDefault="6C230CEB" w:rsidP="00C21A8B">
            <w:pPr>
              <w:spacing w:beforeAutospacing="1"/>
              <w:rPr>
                <w:sz w:val="21"/>
                <w:szCs w:val="21"/>
              </w:rPr>
            </w:pPr>
            <w:r w:rsidRPr="3F4E59BB">
              <w:rPr>
                <w:sz w:val="21"/>
                <w:szCs w:val="21"/>
              </w:rPr>
              <w:t xml:space="preserve">To set a new reporting requirement from the department </w:t>
            </w:r>
          </w:p>
        </w:tc>
      </w:tr>
    </w:tbl>
    <w:p w14:paraId="04B1263C" w14:textId="1094ABD8" w:rsidR="003B7796" w:rsidRPr="00A70C78" w:rsidRDefault="003B7796" w:rsidP="00C21A8B">
      <w:pPr>
        <w:ind w:left="720"/>
        <w:rPr>
          <w:color w:val="FF0000"/>
          <w:sz w:val="21"/>
          <w:szCs w:val="21"/>
          <w:lang w:val="en-GB"/>
        </w:rPr>
      </w:pPr>
      <w:r w:rsidRPr="00A70C78">
        <w:rPr>
          <w:strike/>
          <w:color w:val="FF0000"/>
          <w:sz w:val="21"/>
          <w:szCs w:val="21"/>
          <w:lang w:val="en-GB"/>
        </w:rPr>
        <w:t xml:space="preserve">The insurer will provide the Department with HCP data for separations by calendar month within 20 weeks of the month to which it relates. For example, data for separations during the month of July are to be submitted by no later than the middle of </w:t>
      </w:r>
      <w:proofErr w:type="gramStart"/>
      <w:r w:rsidRPr="00A70C78">
        <w:rPr>
          <w:strike/>
          <w:color w:val="FF0000"/>
          <w:sz w:val="21"/>
          <w:szCs w:val="21"/>
          <w:lang w:val="en-GB"/>
        </w:rPr>
        <w:t>December</w:t>
      </w:r>
      <w:r w:rsidRPr="00A70C78">
        <w:rPr>
          <w:color w:val="FF0000"/>
          <w:sz w:val="21"/>
          <w:szCs w:val="21"/>
          <w:lang w:val="en-GB"/>
        </w:rPr>
        <w:t xml:space="preserve"> .</w:t>
      </w:r>
      <w:proofErr w:type="gramEnd"/>
      <w:r w:rsidR="00820D04" w:rsidRPr="00A70C78">
        <w:rPr>
          <w:color w:val="FF0000"/>
          <w:sz w:val="21"/>
          <w:szCs w:val="21"/>
          <w:lang w:val="en-GB"/>
        </w:rPr>
        <w:tab/>
      </w:r>
    </w:p>
    <w:p w14:paraId="0695A6D5" w14:textId="79AB0619" w:rsidR="00EE62B6" w:rsidRDefault="00EE62B6" w:rsidP="00C21A8B">
      <w:pPr>
        <w:ind w:left="720"/>
        <w:rPr>
          <w:color w:val="FF0000"/>
          <w:sz w:val="21"/>
          <w:szCs w:val="21"/>
          <w:lang w:val="en-GB"/>
        </w:rPr>
      </w:pPr>
      <w:r w:rsidRPr="00EE62B6">
        <w:rPr>
          <w:color w:val="FF0000"/>
          <w:sz w:val="21"/>
          <w:szCs w:val="21"/>
          <w:lang w:val="en-GB"/>
        </w:rPr>
        <w:t xml:space="preserve">The insurer will provide the Department of Health, Disability and Ageing (the department) with </w:t>
      </w:r>
      <w:r w:rsidR="00DC739E">
        <w:rPr>
          <w:color w:val="FF0000"/>
          <w:sz w:val="21"/>
          <w:szCs w:val="21"/>
          <w:lang w:val="en-GB"/>
        </w:rPr>
        <w:t>s</w:t>
      </w:r>
      <w:r w:rsidRPr="00EE62B6">
        <w:rPr>
          <w:color w:val="FF0000"/>
          <w:sz w:val="21"/>
          <w:szCs w:val="21"/>
          <w:lang w:val="en-GB"/>
        </w:rPr>
        <w:t>ubmissions of HCP1 data for separations occurring in and between July 2024 and June 2025. The submissions are to be provided on or after 1 November 2025 and before the end of 31 December 2025 through the Data Submission Portal unless an extension is provided in writing from the department to the insurer before the end of 31 December 2025.</w:t>
      </w:r>
    </w:p>
    <w:p w14:paraId="3939157F" w14:textId="7B8B0BDA" w:rsidR="00B1291C" w:rsidRPr="00A70C78" w:rsidRDefault="00B1291C" w:rsidP="00C21A8B">
      <w:pPr>
        <w:pStyle w:val="Heading3"/>
        <w:rPr>
          <w:i/>
        </w:rPr>
      </w:pPr>
      <w:r w:rsidRPr="3F4E59BB">
        <w:t>Notes about the input file</w:t>
      </w:r>
      <w:r w:rsidR="00600331">
        <w:t xml:space="preserve"> </w:t>
      </w:r>
      <w:r w:rsidR="00600331" w:rsidRPr="00600331">
        <w:t>(2024-25 only)</w:t>
      </w:r>
    </w:p>
    <w:p w14:paraId="5DFA6F6B" w14:textId="77777777" w:rsidR="00B1291C" w:rsidRDefault="00B1291C" w:rsidP="00C21A8B">
      <w:pPr>
        <w:rPr>
          <w:sz w:val="2"/>
          <w:szCs w:val="2"/>
          <w:lang w:val="en-GB"/>
        </w:rPr>
      </w:pPr>
    </w:p>
    <w:tbl>
      <w:tblPr>
        <w:tblStyle w:val="TableGridLight"/>
        <w:tblW w:w="13774" w:type="dxa"/>
        <w:tblLook w:val="04A0" w:firstRow="1" w:lastRow="0" w:firstColumn="1" w:lastColumn="0" w:noHBand="0" w:noVBand="1"/>
      </w:tblPr>
      <w:tblGrid>
        <w:gridCol w:w="1759"/>
        <w:gridCol w:w="12015"/>
      </w:tblGrid>
      <w:tr w:rsidR="00B1291C" w:rsidRPr="00A70C78" w14:paraId="31A55590" w14:textId="77777777" w:rsidTr="00C21A8B">
        <w:trPr>
          <w:trHeight w:hRule="exact" w:val="336"/>
        </w:trPr>
        <w:tc>
          <w:tcPr>
            <w:tcW w:w="1759" w:type="dxa"/>
          </w:tcPr>
          <w:p w14:paraId="6B91443E" w14:textId="77777777" w:rsidR="00B1291C" w:rsidRPr="00A70C78" w:rsidRDefault="00B1291C" w:rsidP="00C21A8B">
            <w:pPr>
              <w:spacing w:beforeAutospacing="1"/>
              <w:rPr>
                <w:b/>
                <w:bCs/>
                <w:sz w:val="21"/>
                <w:szCs w:val="21"/>
              </w:rPr>
            </w:pPr>
            <w:r w:rsidRPr="3F4E59BB">
              <w:rPr>
                <w:b/>
                <w:bCs/>
                <w:sz w:val="21"/>
                <w:szCs w:val="21"/>
              </w:rPr>
              <w:t>Data item:</w:t>
            </w:r>
          </w:p>
        </w:tc>
        <w:tc>
          <w:tcPr>
            <w:tcW w:w="12015" w:type="dxa"/>
          </w:tcPr>
          <w:p w14:paraId="3EF3FFB3" w14:textId="77777777" w:rsidR="00B1291C" w:rsidRPr="00A70C78" w:rsidRDefault="00B1291C" w:rsidP="00C21A8B">
            <w:pPr>
              <w:spacing w:beforeAutospacing="1"/>
              <w:rPr>
                <w:sz w:val="21"/>
                <w:szCs w:val="21"/>
              </w:rPr>
            </w:pPr>
            <w:r w:rsidRPr="3F4E59BB">
              <w:rPr>
                <w:sz w:val="21"/>
                <w:szCs w:val="21"/>
              </w:rPr>
              <w:t xml:space="preserve">Explanatory notes – </w:t>
            </w:r>
            <w:r>
              <w:rPr>
                <w:sz w:val="21"/>
                <w:szCs w:val="21"/>
              </w:rPr>
              <w:t xml:space="preserve">Notes about the input file </w:t>
            </w:r>
            <w:r w:rsidRPr="3F4E59BB">
              <w:rPr>
                <w:sz w:val="21"/>
                <w:szCs w:val="21"/>
              </w:rPr>
              <w:t xml:space="preserve"> </w:t>
            </w:r>
          </w:p>
        </w:tc>
      </w:tr>
      <w:tr w:rsidR="00B1291C" w:rsidRPr="00A70C78" w14:paraId="2B6F0A59" w14:textId="77777777" w:rsidTr="00C21A8B">
        <w:trPr>
          <w:trHeight w:hRule="exact" w:val="336"/>
        </w:trPr>
        <w:tc>
          <w:tcPr>
            <w:tcW w:w="1759" w:type="dxa"/>
          </w:tcPr>
          <w:p w14:paraId="2ED03F7E" w14:textId="77777777" w:rsidR="00B1291C" w:rsidRPr="00A70C78" w:rsidRDefault="00B1291C" w:rsidP="00C21A8B">
            <w:pPr>
              <w:spacing w:beforeAutospacing="1"/>
              <w:rPr>
                <w:b/>
                <w:bCs/>
                <w:sz w:val="21"/>
                <w:szCs w:val="21"/>
              </w:rPr>
            </w:pPr>
            <w:r w:rsidRPr="3F4E59BB">
              <w:rPr>
                <w:b/>
                <w:bCs/>
                <w:sz w:val="21"/>
                <w:szCs w:val="21"/>
              </w:rPr>
              <w:t>Dataset:</w:t>
            </w:r>
          </w:p>
        </w:tc>
        <w:tc>
          <w:tcPr>
            <w:tcW w:w="12015" w:type="dxa"/>
          </w:tcPr>
          <w:p w14:paraId="062097DF" w14:textId="77777777" w:rsidR="00B1291C" w:rsidRPr="00A70C78" w:rsidRDefault="00B1291C" w:rsidP="00C21A8B">
            <w:pPr>
              <w:spacing w:beforeAutospacing="1"/>
              <w:rPr>
                <w:sz w:val="21"/>
                <w:szCs w:val="21"/>
              </w:rPr>
            </w:pPr>
            <w:r w:rsidRPr="3F4E59BB">
              <w:rPr>
                <w:sz w:val="21"/>
                <w:szCs w:val="21"/>
              </w:rPr>
              <w:t>HCP1 (2024-25 only)</w:t>
            </w:r>
          </w:p>
        </w:tc>
      </w:tr>
      <w:tr w:rsidR="00B1291C" w:rsidRPr="00A70C78" w14:paraId="465B40AA" w14:textId="77777777" w:rsidTr="00C21A8B">
        <w:trPr>
          <w:trHeight w:val="273"/>
        </w:trPr>
        <w:tc>
          <w:tcPr>
            <w:tcW w:w="1759" w:type="dxa"/>
          </w:tcPr>
          <w:p w14:paraId="5DECC4FB" w14:textId="77777777" w:rsidR="00B1291C" w:rsidRPr="00A70C78" w:rsidRDefault="00B1291C" w:rsidP="00C21A8B">
            <w:pPr>
              <w:spacing w:beforeAutospacing="1"/>
              <w:rPr>
                <w:b/>
                <w:bCs/>
                <w:sz w:val="21"/>
                <w:szCs w:val="21"/>
              </w:rPr>
            </w:pPr>
            <w:r w:rsidRPr="3F4E59BB">
              <w:rPr>
                <w:b/>
                <w:bCs/>
                <w:sz w:val="21"/>
                <w:szCs w:val="21"/>
              </w:rPr>
              <w:t>Changes:</w:t>
            </w:r>
          </w:p>
        </w:tc>
        <w:tc>
          <w:tcPr>
            <w:tcW w:w="12015" w:type="dxa"/>
          </w:tcPr>
          <w:p w14:paraId="5F4DCA6A" w14:textId="77777777" w:rsidR="00B1291C" w:rsidRPr="00A70C78" w:rsidRDefault="00B1291C" w:rsidP="00C21A8B">
            <w:pPr>
              <w:spacing w:beforeAutospacing="1"/>
              <w:rPr>
                <w:sz w:val="21"/>
                <w:szCs w:val="21"/>
              </w:rPr>
            </w:pPr>
            <w:r w:rsidRPr="001D7889">
              <w:rPr>
                <w:sz w:val="21"/>
                <w:szCs w:val="21"/>
              </w:rPr>
              <w:t>Updated notes about input file</w:t>
            </w:r>
          </w:p>
        </w:tc>
      </w:tr>
      <w:tr w:rsidR="00B1291C" w:rsidRPr="00A70C78" w14:paraId="7B8CD834" w14:textId="77777777" w:rsidTr="00C21A8B">
        <w:trPr>
          <w:trHeight w:hRule="exact" w:val="601"/>
        </w:trPr>
        <w:tc>
          <w:tcPr>
            <w:tcW w:w="1759" w:type="dxa"/>
          </w:tcPr>
          <w:p w14:paraId="35CC92C6" w14:textId="77777777" w:rsidR="00B1291C" w:rsidRPr="00A70C78" w:rsidRDefault="00B1291C" w:rsidP="00C21A8B">
            <w:pPr>
              <w:spacing w:beforeAutospacing="1"/>
              <w:rPr>
                <w:b/>
                <w:bCs/>
                <w:sz w:val="21"/>
                <w:szCs w:val="21"/>
              </w:rPr>
            </w:pPr>
            <w:r w:rsidRPr="3F4E59BB">
              <w:rPr>
                <w:b/>
                <w:bCs/>
                <w:sz w:val="21"/>
                <w:szCs w:val="21"/>
              </w:rPr>
              <w:t>Reason:</w:t>
            </w:r>
          </w:p>
        </w:tc>
        <w:tc>
          <w:tcPr>
            <w:tcW w:w="12015" w:type="dxa"/>
          </w:tcPr>
          <w:p w14:paraId="042787AE" w14:textId="77777777" w:rsidR="00B1291C" w:rsidRPr="00A70C78" w:rsidRDefault="00B1291C" w:rsidP="00C21A8B">
            <w:pPr>
              <w:spacing w:beforeAutospacing="1"/>
              <w:rPr>
                <w:sz w:val="21"/>
                <w:szCs w:val="21"/>
              </w:rPr>
            </w:pPr>
            <w:r w:rsidRPr="001D7889">
              <w:rPr>
                <w:sz w:val="21"/>
                <w:szCs w:val="21"/>
              </w:rPr>
              <w:t xml:space="preserve">To provide clarity on data submission notification from </w:t>
            </w:r>
            <w:hyperlink r:id="rId15" w:history="1">
              <w:r w:rsidRPr="00525372">
                <w:rPr>
                  <w:rStyle w:val="Hyperlink"/>
                  <w:sz w:val="21"/>
                  <w:szCs w:val="21"/>
                </w:rPr>
                <w:t>nhr.edw.system@health.gov.au</w:t>
              </w:r>
            </w:hyperlink>
            <w:r>
              <w:rPr>
                <w:sz w:val="21"/>
                <w:szCs w:val="21"/>
              </w:rPr>
              <w:t xml:space="preserve"> </w:t>
            </w:r>
            <w:r w:rsidRPr="001D7889">
              <w:rPr>
                <w:sz w:val="21"/>
                <w:szCs w:val="21"/>
              </w:rPr>
              <w:t>and provide insurers with flexibility to submit input files in alternative formats subject to consultation with the Department.</w:t>
            </w:r>
          </w:p>
        </w:tc>
      </w:tr>
    </w:tbl>
    <w:p w14:paraId="654F335B" w14:textId="77777777" w:rsidR="00B1291C" w:rsidRPr="00BA1C54" w:rsidRDefault="00B1291C" w:rsidP="00C21A8B">
      <w:pPr>
        <w:rPr>
          <w:sz w:val="2"/>
          <w:szCs w:val="2"/>
          <w:lang w:val="en-GB"/>
        </w:rPr>
      </w:pPr>
    </w:p>
    <w:p w14:paraId="2A721CA0" w14:textId="77777777" w:rsidR="00B1291C" w:rsidRPr="00A70C78" w:rsidRDefault="00B1291C" w:rsidP="00C21A8B">
      <w:pPr>
        <w:ind w:left="720"/>
        <w:rPr>
          <w:strike/>
          <w:color w:val="FF0000"/>
          <w:sz w:val="21"/>
          <w:szCs w:val="21"/>
          <w:lang w:val="en-GB"/>
        </w:rPr>
      </w:pPr>
      <w:r w:rsidRPr="00137E17">
        <w:rPr>
          <w:strike/>
          <w:color w:val="FF0000"/>
          <w:sz w:val="21"/>
          <w:szCs w:val="21"/>
          <w:lang w:val="en-GB"/>
        </w:rPr>
        <w:t>• If the input file is not structured as listed under Input File Format, it will be rejected.</w:t>
      </w:r>
    </w:p>
    <w:p w14:paraId="76C0F58C" w14:textId="2CFD20C8" w:rsidR="00B1291C" w:rsidRDefault="314AB938" w:rsidP="00C21A8B">
      <w:pPr>
        <w:ind w:left="720"/>
        <w:rPr>
          <w:color w:val="FF0000"/>
          <w:sz w:val="21"/>
          <w:szCs w:val="21"/>
          <w:lang w:val="en-GB"/>
        </w:rPr>
      </w:pPr>
      <w:r w:rsidRPr="344EB7AC">
        <w:rPr>
          <w:color w:val="FF0000"/>
          <w:sz w:val="21"/>
          <w:szCs w:val="21"/>
          <w:lang w:val="en-GB"/>
        </w:rPr>
        <w:t>•</w:t>
      </w:r>
      <w:r w:rsidR="48D62F68" w:rsidRPr="344EB7AC">
        <w:rPr>
          <w:color w:val="FF0000"/>
          <w:sz w:val="21"/>
          <w:szCs w:val="21"/>
          <w:lang w:val="en-GB"/>
        </w:rPr>
        <w:t xml:space="preserve"> </w:t>
      </w:r>
      <w:r w:rsidR="46A02E05" w:rsidRPr="344EB7AC">
        <w:rPr>
          <w:color w:val="FF0000"/>
          <w:sz w:val="21"/>
          <w:szCs w:val="21"/>
          <w:lang w:val="en-GB"/>
        </w:rPr>
        <w:t>The Data Submission Portal will</w:t>
      </w:r>
      <w:r w:rsidR="49D36429" w:rsidRPr="344EB7AC">
        <w:rPr>
          <w:color w:val="FF0000"/>
          <w:sz w:val="21"/>
          <w:szCs w:val="21"/>
          <w:lang w:val="en-GB"/>
        </w:rPr>
        <w:t xml:space="preserve"> </w:t>
      </w:r>
      <w:r w:rsidR="73DA9CCA" w:rsidRPr="344EB7AC">
        <w:rPr>
          <w:color w:val="FF0000"/>
          <w:sz w:val="21"/>
          <w:szCs w:val="21"/>
          <w:lang w:val="en-GB"/>
        </w:rPr>
        <w:t xml:space="preserve">validate </w:t>
      </w:r>
      <w:r w:rsidR="36773983" w:rsidRPr="344EB7AC">
        <w:rPr>
          <w:color w:val="FF0000"/>
          <w:sz w:val="21"/>
          <w:szCs w:val="21"/>
          <w:lang w:val="en-GB"/>
        </w:rPr>
        <w:t xml:space="preserve">both 1) </w:t>
      </w:r>
      <w:r w:rsidR="772DB8F6" w:rsidRPr="344EB7AC">
        <w:rPr>
          <w:color w:val="FF0000"/>
          <w:sz w:val="21"/>
          <w:szCs w:val="21"/>
          <w:lang w:val="en-GB"/>
        </w:rPr>
        <w:t xml:space="preserve">2024-25 </w:t>
      </w:r>
      <w:r w:rsidR="36773983" w:rsidRPr="344EB7AC">
        <w:rPr>
          <w:color w:val="FF0000"/>
          <w:sz w:val="21"/>
          <w:szCs w:val="21"/>
          <w:lang w:val="en-GB"/>
        </w:rPr>
        <w:t xml:space="preserve">HCP1 </w:t>
      </w:r>
      <w:r w:rsidR="73DA9CCA" w:rsidRPr="344EB7AC">
        <w:rPr>
          <w:color w:val="FF0000"/>
          <w:sz w:val="21"/>
          <w:szCs w:val="21"/>
          <w:lang w:val="en-GB"/>
        </w:rPr>
        <w:t xml:space="preserve">files with </w:t>
      </w:r>
      <w:r w:rsidR="0D2F4299" w:rsidRPr="344EB7AC">
        <w:rPr>
          <w:color w:val="FF0000"/>
          <w:sz w:val="21"/>
          <w:szCs w:val="21"/>
          <w:lang w:val="en-GB"/>
        </w:rPr>
        <w:t>the new data item in the medical table</w:t>
      </w:r>
      <w:r w:rsidR="36773983" w:rsidRPr="344EB7AC">
        <w:rPr>
          <w:color w:val="FF0000"/>
          <w:sz w:val="21"/>
          <w:szCs w:val="21"/>
          <w:lang w:val="en-GB"/>
        </w:rPr>
        <w:t xml:space="preserve"> and 2) </w:t>
      </w:r>
      <w:r w:rsidR="772DB8F6" w:rsidRPr="344EB7AC">
        <w:rPr>
          <w:color w:val="FF0000"/>
          <w:sz w:val="21"/>
          <w:szCs w:val="21"/>
          <w:lang w:val="en-GB"/>
        </w:rPr>
        <w:t xml:space="preserve">2024-25 </w:t>
      </w:r>
      <w:r w:rsidR="36773983" w:rsidRPr="344EB7AC">
        <w:rPr>
          <w:color w:val="FF0000"/>
          <w:sz w:val="21"/>
          <w:szCs w:val="21"/>
          <w:lang w:val="en-GB"/>
        </w:rPr>
        <w:t>HCP1 files without the new data item in the medical tabl</w:t>
      </w:r>
      <w:r w:rsidR="71B99B40" w:rsidRPr="344EB7AC">
        <w:rPr>
          <w:color w:val="FF0000"/>
          <w:sz w:val="21"/>
          <w:szCs w:val="21"/>
          <w:lang w:val="en-GB"/>
        </w:rPr>
        <w:t>e</w:t>
      </w:r>
      <w:r w:rsidR="36773983" w:rsidRPr="344EB7AC">
        <w:rPr>
          <w:color w:val="FF0000"/>
          <w:sz w:val="21"/>
          <w:szCs w:val="21"/>
          <w:lang w:val="en-GB"/>
        </w:rPr>
        <w:t xml:space="preserve">. </w:t>
      </w:r>
      <w:r w:rsidR="7118356F" w:rsidRPr="344EB7AC">
        <w:rPr>
          <w:color w:val="FF0000"/>
          <w:sz w:val="21"/>
          <w:szCs w:val="21"/>
          <w:lang w:val="en-GB"/>
        </w:rPr>
        <w:t xml:space="preserve">The continued ability to validate the latter is crucial for </w:t>
      </w:r>
      <w:r w:rsidR="63D533BD" w:rsidRPr="344EB7AC">
        <w:rPr>
          <w:color w:val="FF0000"/>
          <w:sz w:val="21"/>
          <w:szCs w:val="21"/>
          <w:lang w:val="en-GB"/>
        </w:rPr>
        <w:t>Private Health I</w:t>
      </w:r>
      <w:r w:rsidR="7118356F" w:rsidRPr="344EB7AC">
        <w:rPr>
          <w:color w:val="FF0000"/>
          <w:sz w:val="21"/>
          <w:szCs w:val="21"/>
          <w:lang w:val="en-GB"/>
        </w:rPr>
        <w:t>nsurers unable to make software changes to incorporate the new data item into the 2024-25 HCP1 files.</w:t>
      </w:r>
    </w:p>
    <w:p w14:paraId="7A39D34C" w14:textId="17D74229" w:rsidR="00FC1CFA" w:rsidRDefault="314AB938" w:rsidP="00C21A8B">
      <w:pPr>
        <w:ind w:left="720"/>
        <w:rPr>
          <w:color w:val="FF0000"/>
          <w:sz w:val="21"/>
          <w:szCs w:val="21"/>
          <w:lang w:val="en-GB"/>
        </w:rPr>
      </w:pPr>
      <w:r w:rsidRPr="344EB7AC">
        <w:rPr>
          <w:color w:val="FF0000"/>
          <w:sz w:val="21"/>
          <w:szCs w:val="21"/>
          <w:lang w:val="en-GB"/>
        </w:rPr>
        <w:lastRenderedPageBreak/>
        <w:t xml:space="preserve">• </w:t>
      </w:r>
      <w:r w:rsidR="468A2DB0" w:rsidRPr="344EB7AC">
        <w:rPr>
          <w:color w:val="FF0000"/>
          <w:sz w:val="21"/>
          <w:szCs w:val="21"/>
          <w:lang w:val="en-GB"/>
        </w:rPr>
        <w:t>Where it is not possible to include the additional data item in</w:t>
      </w:r>
      <w:r w:rsidR="09912AE6" w:rsidRPr="344EB7AC">
        <w:rPr>
          <w:color w:val="FF0000"/>
          <w:sz w:val="21"/>
          <w:szCs w:val="21"/>
          <w:lang w:val="en-GB"/>
        </w:rPr>
        <w:t>to</w:t>
      </w:r>
      <w:r w:rsidR="468A2DB0" w:rsidRPr="344EB7AC">
        <w:rPr>
          <w:color w:val="FF0000"/>
          <w:sz w:val="21"/>
          <w:szCs w:val="21"/>
          <w:lang w:val="en-GB"/>
        </w:rPr>
        <w:t xml:space="preserve"> </w:t>
      </w:r>
      <w:r w:rsidR="5C431F75" w:rsidRPr="344EB7AC">
        <w:rPr>
          <w:color w:val="FF0000"/>
          <w:sz w:val="21"/>
          <w:szCs w:val="21"/>
          <w:lang w:val="en-GB"/>
        </w:rPr>
        <w:t>a full HCP</w:t>
      </w:r>
      <w:r w:rsidR="35368465" w:rsidRPr="344EB7AC">
        <w:rPr>
          <w:color w:val="FF0000"/>
          <w:sz w:val="21"/>
          <w:szCs w:val="21"/>
          <w:lang w:val="en-GB"/>
        </w:rPr>
        <w:t>1</w:t>
      </w:r>
      <w:r w:rsidR="5C431F75" w:rsidRPr="344EB7AC">
        <w:rPr>
          <w:color w:val="FF0000"/>
          <w:sz w:val="21"/>
          <w:szCs w:val="21"/>
          <w:lang w:val="en-GB"/>
        </w:rPr>
        <w:t xml:space="preserve"> file, </w:t>
      </w:r>
      <w:r w:rsidR="4562C292" w:rsidRPr="344EB7AC">
        <w:rPr>
          <w:color w:val="FF0000"/>
          <w:sz w:val="21"/>
          <w:szCs w:val="21"/>
          <w:lang w:val="en-GB"/>
        </w:rPr>
        <w:t xml:space="preserve">Private Health Insurers </w:t>
      </w:r>
      <w:r w:rsidRPr="344EB7AC">
        <w:rPr>
          <w:color w:val="FF0000"/>
          <w:sz w:val="21"/>
          <w:szCs w:val="21"/>
          <w:lang w:val="en-GB"/>
        </w:rPr>
        <w:t xml:space="preserve">may provide input files in alternative formats subject to written approval from the department. </w:t>
      </w:r>
      <w:r w:rsidR="5C431F75" w:rsidRPr="344EB7AC">
        <w:rPr>
          <w:color w:val="FF0000"/>
          <w:sz w:val="21"/>
          <w:szCs w:val="21"/>
          <w:lang w:val="en-GB"/>
        </w:rPr>
        <w:t>An example of an alternative format is</w:t>
      </w:r>
      <w:r w:rsidR="4B6FBE7D" w:rsidRPr="344EB7AC">
        <w:rPr>
          <w:color w:val="FF0000"/>
          <w:sz w:val="21"/>
          <w:szCs w:val="21"/>
          <w:lang w:val="en-GB"/>
        </w:rPr>
        <w:t xml:space="preserve"> a </w:t>
      </w:r>
      <w:r w:rsidR="670CC520" w:rsidRPr="344EB7AC">
        <w:rPr>
          <w:color w:val="FF0000"/>
          <w:sz w:val="21"/>
          <w:szCs w:val="21"/>
          <w:lang w:val="en-GB"/>
        </w:rPr>
        <w:t xml:space="preserve">medical table </w:t>
      </w:r>
      <w:r w:rsidR="2F14637B" w:rsidRPr="344EB7AC">
        <w:rPr>
          <w:color w:val="FF0000"/>
          <w:sz w:val="21"/>
          <w:szCs w:val="21"/>
          <w:lang w:val="en-GB"/>
        </w:rPr>
        <w:t xml:space="preserve">only </w:t>
      </w:r>
      <w:r w:rsidR="670CC520" w:rsidRPr="344EB7AC">
        <w:rPr>
          <w:color w:val="FF0000"/>
          <w:sz w:val="21"/>
          <w:szCs w:val="21"/>
          <w:lang w:val="en-GB"/>
        </w:rPr>
        <w:t>with the additional data item</w:t>
      </w:r>
      <w:r w:rsidR="7B3771A8" w:rsidRPr="344EB7AC">
        <w:rPr>
          <w:color w:val="FF0000"/>
          <w:sz w:val="21"/>
          <w:szCs w:val="21"/>
          <w:lang w:val="en-GB"/>
        </w:rPr>
        <w:t>,</w:t>
      </w:r>
      <w:r w:rsidR="2F14637B" w:rsidRPr="344EB7AC">
        <w:rPr>
          <w:color w:val="FF0000"/>
          <w:sz w:val="21"/>
          <w:szCs w:val="21"/>
          <w:lang w:val="en-GB"/>
        </w:rPr>
        <w:t xml:space="preserve"> which should include t</w:t>
      </w:r>
      <w:r w:rsidR="670CC520" w:rsidRPr="344EB7AC">
        <w:rPr>
          <w:color w:val="FF0000"/>
          <w:sz w:val="21"/>
          <w:szCs w:val="21"/>
          <w:lang w:val="en-GB"/>
        </w:rPr>
        <w:t>he file header</w:t>
      </w:r>
      <w:r w:rsidR="2F14637B" w:rsidRPr="344EB7AC">
        <w:rPr>
          <w:color w:val="FF0000"/>
          <w:sz w:val="21"/>
          <w:szCs w:val="21"/>
          <w:lang w:val="en-GB"/>
        </w:rPr>
        <w:t xml:space="preserve">. </w:t>
      </w:r>
    </w:p>
    <w:p w14:paraId="73105868" w14:textId="6C6170D0" w:rsidR="00820D04" w:rsidRPr="00C21A8B" w:rsidRDefault="00820D04" w:rsidP="00C21A8B">
      <w:pPr>
        <w:pStyle w:val="Heading3"/>
      </w:pPr>
      <w:r w:rsidRPr="001B3617">
        <w:t xml:space="preserve">Data Specifications </w:t>
      </w:r>
      <w:r w:rsidR="00600331" w:rsidRPr="00600331">
        <w:t>(2024-25 onwards)</w:t>
      </w:r>
    </w:p>
    <w:p w14:paraId="3E17E0DA" w14:textId="77777777" w:rsidR="00A70C78" w:rsidRPr="00A70C78" w:rsidRDefault="00A70C78" w:rsidP="00A70C78">
      <w:pPr>
        <w:rPr>
          <w:sz w:val="2"/>
          <w:szCs w:val="2"/>
          <w:lang w:val="en-GB"/>
        </w:rPr>
      </w:pPr>
    </w:p>
    <w:tbl>
      <w:tblPr>
        <w:tblStyle w:val="TableGridLight"/>
        <w:tblW w:w="13755" w:type="dxa"/>
        <w:tblLook w:val="04A0" w:firstRow="1" w:lastRow="0" w:firstColumn="1" w:lastColumn="0" w:noHBand="0" w:noVBand="1"/>
      </w:tblPr>
      <w:tblGrid>
        <w:gridCol w:w="1757"/>
        <w:gridCol w:w="11998"/>
      </w:tblGrid>
      <w:tr w:rsidR="00EA51E5" w:rsidRPr="00A70C78" w14:paraId="072F6848" w14:textId="77777777" w:rsidTr="00C21A8B">
        <w:trPr>
          <w:trHeight w:hRule="exact" w:val="369"/>
        </w:trPr>
        <w:tc>
          <w:tcPr>
            <w:tcW w:w="1757" w:type="dxa"/>
          </w:tcPr>
          <w:p w14:paraId="33717E2D" w14:textId="77777777" w:rsidR="00EA51E5" w:rsidRPr="00A70C78" w:rsidRDefault="00EA51E5">
            <w:pPr>
              <w:rPr>
                <w:b/>
                <w:bCs/>
                <w:sz w:val="21"/>
                <w:szCs w:val="21"/>
              </w:rPr>
            </w:pPr>
            <w:r w:rsidRPr="00A70C78">
              <w:rPr>
                <w:b/>
                <w:bCs/>
                <w:sz w:val="21"/>
                <w:szCs w:val="21"/>
              </w:rPr>
              <w:t>Data item:</w:t>
            </w:r>
          </w:p>
        </w:tc>
        <w:tc>
          <w:tcPr>
            <w:tcW w:w="11998" w:type="dxa"/>
          </w:tcPr>
          <w:p w14:paraId="24024C22" w14:textId="77893077" w:rsidR="00EA51E5" w:rsidRPr="00A70C78" w:rsidRDefault="00EA51E5">
            <w:pPr>
              <w:rPr>
                <w:sz w:val="21"/>
                <w:szCs w:val="21"/>
              </w:rPr>
            </w:pPr>
            <w:r w:rsidRPr="00A70C78">
              <w:rPr>
                <w:sz w:val="21"/>
                <w:szCs w:val="21"/>
              </w:rPr>
              <w:t xml:space="preserve">Practitioner Provider Number </w:t>
            </w:r>
          </w:p>
        </w:tc>
      </w:tr>
      <w:tr w:rsidR="00EA51E5" w:rsidRPr="00A70C78" w14:paraId="1ABDC3F6" w14:textId="77777777" w:rsidTr="00C21A8B">
        <w:trPr>
          <w:trHeight w:hRule="exact" w:val="369"/>
        </w:trPr>
        <w:tc>
          <w:tcPr>
            <w:tcW w:w="1757" w:type="dxa"/>
          </w:tcPr>
          <w:p w14:paraId="40C040E9" w14:textId="77777777" w:rsidR="00EA51E5" w:rsidRPr="00A70C78" w:rsidRDefault="00EA51E5">
            <w:pPr>
              <w:rPr>
                <w:b/>
                <w:bCs/>
                <w:sz w:val="21"/>
                <w:szCs w:val="21"/>
              </w:rPr>
            </w:pPr>
            <w:r w:rsidRPr="00A70C78">
              <w:rPr>
                <w:b/>
                <w:bCs/>
                <w:sz w:val="21"/>
                <w:szCs w:val="21"/>
              </w:rPr>
              <w:t>Dataset:</w:t>
            </w:r>
          </w:p>
        </w:tc>
        <w:tc>
          <w:tcPr>
            <w:tcW w:w="11998" w:type="dxa"/>
          </w:tcPr>
          <w:p w14:paraId="2A8711AC" w14:textId="2DB2DA2D" w:rsidR="00EA51E5" w:rsidRPr="00A70C78" w:rsidRDefault="00EA51E5">
            <w:pPr>
              <w:rPr>
                <w:sz w:val="21"/>
                <w:szCs w:val="21"/>
              </w:rPr>
            </w:pPr>
            <w:r w:rsidRPr="00A70C78">
              <w:rPr>
                <w:sz w:val="21"/>
                <w:szCs w:val="21"/>
              </w:rPr>
              <w:t>HCP1 (</w:t>
            </w:r>
            <w:r w:rsidRPr="005D185D">
              <w:rPr>
                <w:sz w:val="21"/>
                <w:szCs w:val="21"/>
              </w:rPr>
              <w:t xml:space="preserve">2024-25 </w:t>
            </w:r>
            <w:r w:rsidR="008D6643" w:rsidRPr="005D185D">
              <w:rPr>
                <w:sz w:val="21"/>
                <w:szCs w:val="21"/>
              </w:rPr>
              <w:t>onwards</w:t>
            </w:r>
            <w:r w:rsidRPr="00A70C78">
              <w:rPr>
                <w:sz w:val="21"/>
                <w:szCs w:val="21"/>
              </w:rPr>
              <w:t>)</w:t>
            </w:r>
          </w:p>
        </w:tc>
      </w:tr>
      <w:tr w:rsidR="00EA51E5" w:rsidRPr="00A70C78" w14:paraId="2770ECE1" w14:textId="77777777" w:rsidTr="00C21A8B">
        <w:trPr>
          <w:trHeight w:hRule="exact" w:val="397"/>
        </w:trPr>
        <w:tc>
          <w:tcPr>
            <w:tcW w:w="1757" w:type="dxa"/>
          </w:tcPr>
          <w:p w14:paraId="7D136AFD" w14:textId="01FF0EA6" w:rsidR="00EA51E5" w:rsidRPr="00A70C78" w:rsidRDefault="00EA51E5">
            <w:pPr>
              <w:rPr>
                <w:b/>
                <w:bCs/>
                <w:sz w:val="21"/>
                <w:szCs w:val="21"/>
              </w:rPr>
            </w:pPr>
            <w:r w:rsidRPr="00A70C78">
              <w:rPr>
                <w:b/>
                <w:bCs/>
                <w:sz w:val="21"/>
                <w:szCs w:val="21"/>
              </w:rPr>
              <w:t>Change</w:t>
            </w:r>
            <w:r w:rsidR="004D5E64">
              <w:rPr>
                <w:b/>
                <w:bCs/>
                <w:sz w:val="21"/>
                <w:szCs w:val="21"/>
              </w:rPr>
              <w:t>s</w:t>
            </w:r>
            <w:r w:rsidRPr="00A70C78">
              <w:rPr>
                <w:b/>
                <w:bCs/>
                <w:sz w:val="21"/>
                <w:szCs w:val="21"/>
              </w:rPr>
              <w:t>:</w:t>
            </w:r>
          </w:p>
        </w:tc>
        <w:tc>
          <w:tcPr>
            <w:tcW w:w="11998" w:type="dxa"/>
          </w:tcPr>
          <w:p w14:paraId="6CFC55B5" w14:textId="7AD98F9F" w:rsidR="00EA51E5" w:rsidRPr="00A70C78" w:rsidRDefault="004D5E64">
            <w:pPr>
              <w:rPr>
                <w:sz w:val="21"/>
                <w:szCs w:val="21"/>
              </w:rPr>
            </w:pPr>
            <w:r>
              <w:rPr>
                <w:sz w:val="21"/>
                <w:szCs w:val="21"/>
              </w:rPr>
              <w:t xml:space="preserve">Add new data item in </w:t>
            </w:r>
            <w:r w:rsidR="003A6A61">
              <w:rPr>
                <w:sz w:val="21"/>
                <w:szCs w:val="21"/>
              </w:rPr>
              <w:t>the m</w:t>
            </w:r>
            <w:r>
              <w:rPr>
                <w:sz w:val="21"/>
                <w:szCs w:val="21"/>
              </w:rPr>
              <w:t xml:space="preserve">edical </w:t>
            </w:r>
            <w:r w:rsidR="003A6A61">
              <w:rPr>
                <w:sz w:val="21"/>
                <w:szCs w:val="21"/>
              </w:rPr>
              <w:t>table</w:t>
            </w:r>
          </w:p>
        </w:tc>
      </w:tr>
      <w:tr w:rsidR="004D5E64" w:rsidRPr="00A70C78" w14:paraId="36B7DDE8" w14:textId="77777777" w:rsidTr="00C21A8B">
        <w:trPr>
          <w:trHeight w:hRule="exact" w:val="454"/>
        </w:trPr>
        <w:tc>
          <w:tcPr>
            <w:tcW w:w="1757" w:type="dxa"/>
          </w:tcPr>
          <w:p w14:paraId="2FAD1D86" w14:textId="2C02C9A8" w:rsidR="004D5E64" w:rsidRPr="00A70C78" w:rsidRDefault="004D5E64">
            <w:pPr>
              <w:rPr>
                <w:b/>
                <w:bCs/>
                <w:sz w:val="21"/>
                <w:szCs w:val="21"/>
              </w:rPr>
            </w:pPr>
            <w:r>
              <w:rPr>
                <w:b/>
                <w:bCs/>
                <w:sz w:val="21"/>
                <w:szCs w:val="21"/>
              </w:rPr>
              <w:t>Reason:</w:t>
            </w:r>
          </w:p>
        </w:tc>
        <w:tc>
          <w:tcPr>
            <w:tcW w:w="11998" w:type="dxa"/>
          </w:tcPr>
          <w:p w14:paraId="1F52634A" w14:textId="1CC2E802" w:rsidR="004D5E64" w:rsidRPr="00A70C78" w:rsidRDefault="522584E2" w:rsidP="004D5E64">
            <w:pPr>
              <w:rPr>
                <w:sz w:val="21"/>
                <w:szCs w:val="21"/>
              </w:rPr>
            </w:pPr>
            <w:r w:rsidRPr="3F4E59BB">
              <w:rPr>
                <w:sz w:val="21"/>
                <w:szCs w:val="21"/>
              </w:rPr>
              <w:t xml:space="preserve">To enable improved accuracy of data suppression in reporting </w:t>
            </w:r>
          </w:p>
        </w:tc>
      </w:tr>
    </w:tbl>
    <w:p w14:paraId="41933E66" w14:textId="7AAA141D" w:rsidR="00EA51E5" w:rsidRDefault="00EA51E5" w:rsidP="00C21A8B">
      <w:pPr>
        <w:pStyle w:val="Heading3"/>
      </w:pPr>
      <w:r w:rsidRPr="00A70C78">
        <w:t xml:space="preserve">HCP1 – Medical – new field </w:t>
      </w:r>
    </w:p>
    <w:tbl>
      <w:tblPr>
        <w:tblStyle w:val="TableGrid"/>
        <w:tblW w:w="14742" w:type="dxa"/>
        <w:tblLayout w:type="fixed"/>
        <w:tblLook w:val="04A0" w:firstRow="1" w:lastRow="0" w:firstColumn="1" w:lastColumn="0" w:noHBand="0" w:noVBand="1"/>
      </w:tblPr>
      <w:tblGrid>
        <w:gridCol w:w="483"/>
        <w:gridCol w:w="1228"/>
        <w:gridCol w:w="1371"/>
        <w:gridCol w:w="1143"/>
        <w:gridCol w:w="1099"/>
        <w:gridCol w:w="843"/>
        <w:gridCol w:w="1873"/>
        <w:gridCol w:w="3017"/>
        <w:gridCol w:w="2410"/>
        <w:gridCol w:w="1275"/>
      </w:tblGrid>
      <w:tr w:rsidR="00311D00" w:rsidRPr="00523DDD" w14:paraId="6656B8C4" w14:textId="77777777" w:rsidTr="00C21A8B">
        <w:trPr>
          <w:trHeight w:val="510"/>
          <w:tblHeader/>
        </w:trPr>
        <w:tc>
          <w:tcPr>
            <w:tcW w:w="483" w:type="dxa"/>
            <w:hideMark/>
          </w:tcPr>
          <w:p w14:paraId="04D3C98F"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No</w:t>
            </w:r>
          </w:p>
        </w:tc>
        <w:tc>
          <w:tcPr>
            <w:tcW w:w="1228" w:type="dxa"/>
            <w:hideMark/>
          </w:tcPr>
          <w:p w14:paraId="4BE83795"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Data Item</w:t>
            </w:r>
          </w:p>
        </w:tc>
        <w:tc>
          <w:tcPr>
            <w:tcW w:w="1371" w:type="dxa"/>
            <w:hideMark/>
          </w:tcPr>
          <w:p w14:paraId="26A937A8"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Obligation</w:t>
            </w:r>
          </w:p>
        </w:tc>
        <w:tc>
          <w:tcPr>
            <w:tcW w:w="1143" w:type="dxa"/>
            <w:hideMark/>
          </w:tcPr>
          <w:p w14:paraId="44C8EA6B"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Position Start</w:t>
            </w:r>
          </w:p>
        </w:tc>
        <w:tc>
          <w:tcPr>
            <w:tcW w:w="1099" w:type="dxa"/>
            <w:hideMark/>
          </w:tcPr>
          <w:p w14:paraId="6AD5E229"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Position End</w:t>
            </w:r>
          </w:p>
        </w:tc>
        <w:tc>
          <w:tcPr>
            <w:tcW w:w="843" w:type="dxa"/>
            <w:hideMark/>
          </w:tcPr>
          <w:p w14:paraId="2A523030"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Type &amp; size</w:t>
            </w:r>
          </w:p>
        </w:tc>
        <w:tc>
          <w:tcPr>
            <w:tcW w:w="1873" w:type="dxa"/>
            <w:hideMark/>
          </w:tcPr>
          <w:p w14:paraId="2E0F6D7E"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Format</w:t>
            </w:r>
          </w:p>
        </w:tc>
        <w:tc>
          <w:tcPr>
            <w:tcW w:w="3017" w:type="dxa"/>
            <w:hideMark/>
          </w:tcPr>
          <w:p w14:paraId="20E83C43"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Coding description</w:t>
            </w:r>
          </w:p>
        </w:tc>
        <w:tc>
          <w:tcPr>
            <w:tcW w:w="2410" w:type="dxa"/>
            <w:hideMark/>
          </w:tcPr>
          <w:p w14:paraId="085CA6BE"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Edit Rules</w:t>
            </w:r>
          </w:p>
        </w:tc>
        <w:tc>
          <w:tcPr>
            <w:tcW w:w="1275" w:type="dxa"/>
            <w:hideMark/>
          </w:tcPr>
          <w:p w14:paraId="657576AD" w14:textId="77777777" w:rsidR="00311D00" w:rsidRPr="00523DDD" w:rsidRDefault="00311D00">
            <w:pPr>
              <w:spacing w:before="0" w:after="0" w:line="240" w:lineRule="auto"/>
              <w:rPr>
                <w:rFonts w:cs="Arial"/>
                <w:b/>
                <w:bCs/>
                <w:color w:val="auto"/>
                <w:sz w:val="20"/>
                <w:szCs w:val="20"/>
                <w:lang w:eastAsia="en-AU"/>
              </w:rPr>
            </w:pPr>
            <w:r w:rsidRPr="00523DDD">
              <w:rPr>
                <w:rFonts w:cs="Arial"/>
                <w:b/>
                <w:bCs/>
                <w:color w:val="auto"/>
                <w:sz w:val="20"/>
                <w:szCs w:val="20"/>
                <w:lang w:eastAsia="en-AU"/>
              </w:rPr>
              <w:t>Error code/s</w:t>
            </w:r>
          </w:p>
        </w:tc>
      </w:tr>
      <w:tr w:rsidR="008D6643" w:rsidRPr="00523DDD" w14:paraId="12D950F8" w14:textId="77777777" w:rsidTr="00C21A8B">
        <w:trPr>
          <w:trHeight w:val="794"/>
        </w:trPr>
        <w:tc>
          <w:tcPr>
            <w:tcW w:w="483" w:type="dxa"/>
            <w:hideMark/>
          </w:tcPr>
          <w:p w14:paraId="27FB22F4" w14:textId="77777777" w:rsidR="008D6643" w:rsidRPr="00523DDD" w:rsidRDefault="008D6643" w:rsidP="008D6643">
            <w:pPr>
              <w:spacing w:before="0" w:after="0" w:line="240" w:lineRule="auto"/>
              <w:rPr>
                <w:rFonts w:cs="Arial"/>
                <w:color w:val="FF0000"/>
                <w:sz w:val="20"/>
                <w:szCs w:val="20"/>
                <w:lang w:eastAsia="en-AU"/>
              </w:rPr>
            </w:pPr>
            <w:r w:rsidRPr="00523DDD">
              <w:rPr>
                <w:rFonts w:cs="Arial"/>
                <w:color w:val="FF0000"/>
                <w:sz w:val="20"/>
                <w:szCs w:val="20"/>
                <w:lang w:eastAsia="en-AU"/>
              </w:rPr>
              <w:t>11</w:t>
            </w:r>
          </w:p>
        </w:tc>
        <w:tc>
          <w:tcPr>
            <w:tcW w:w="1228" w:type="dxa"/>
            <w:hideMark/>
          </w:tcPr>
          <w:p w14:paraId="6878A5C2" w14:textId="77777777" w:rsidR="008D6643" w:rsidRPr="00523DDD" w:rsidRDefault="008D6643" w:rsidP="008D6643">
            <w:pPr>
              <w:spacing w:before="0" w:after="0" w:line="240" w:lineRule="auto"/>
              <w:rPr>
                <w:rFonts w:cs="Arial"/>
                <w:color w:val="FF0000"/>
                <w:sz w:val="20"/>
                <w:szCs w:val="20"/>
                <w:lang w:eastAsia="en-AU"/>
              </w:rPr>
            </w:pPr>
            <w:r w:rsidRPr="00523DDD">
              <w:rPr>
                <w:rFonts w:cs="Arial"/>
                <w:color w:val="FF0000"/>
                <w:sz w:val="20"/>
                <w:szCs w:val="20"/>
                <w:lang w:eastAsia="en-AU"/>
              </w:rPr>
              <w:t>Practitioner Provider Number</w:t>
            </w:r>
          </w:p>
        </w:tc>
        <w:tc>
          <w:tcPr>
            <w:tcW w:w="1371" w:type="dxa"/>
            <w:hideMark/>
          </w:tcPr>
          <w:p w14:paraId="777BE960" w14:textId="77777777" w:rsidR="008D6643" w:rsidRPr="00523DDD" w:rsidRDefault="008D6643" w:rsidP="008D6643">
            <w:pPr>
              <w:spacing w:before="0" w:after="0" w:line="240" w:lineRule="auto"/>
              <w:rPr>
                <w:rFonts w:cs="Arial"/>
                <w:color w:val="FF0000"/>
                <w:sz w:val="20"/>
                <w:szCs w:val="20"/>
                <w:lang w:eastAsia="en-AU"/>
              </w:rPr>
            </w:pPr>
            <w:r w:rsidRPr="00523DDD">
              <w:rPr>
                <w:rFonts w:cs="Arial"/>
                <w:color w:val="FF0000"/>
                <w:sz w:val="20"/>
                <w:szCs w:val="20"/>
                <w:lang w:eastAsia="en-AU"/>
              </w:rPr>
              <w:t> M</w:t>
            </w:r>
            <w:r>
              <w:rPr>
                <w:rFonts w:cs="Arial"/>
                <w:color w:val="FF0000"/>
                <w:sz w:val="20"/>
                <w:szCs w:val="20"/>
                <w:lang w:eastAsia="en-AU"/>
              </w:rPr>
              <w:t>AA</w:t>
            </w:r>
          </w:p>
        </w:tc>
        <w:tc>
          <w:tcPr>
            <w:tcW w:w="1143" w:type="dxa"/>
            <w:hideMark/>
          </w:tcPr>
          <w:p w14:paraId="67B50946" w14:textId="77777777" w:rsidR="008D6643" w:rsidRPr="00523DDD" w:rsidRDefault="008D6643" w:rsidP="008D6643">
            <w:pPr>
              <w:spacing w:before="0" w:after="0" w:line="240" w:lineRule="auto"/>
              <w:rPr>
                <w:rFonts w:cs="Arial"/>
                <w:color w:val="FF0000"/>
                <w:sz w:val="20"/>
                <w:szCs w:val="20"/>
                <w:lang w:eastAsia="en-AU"/>
              </w:rPr>
            </w:pPr>
            <w:r w:rsidRPr="00523DDD">
              <w:rPr>
                <w:rFonts w:cs="Arial"/>
                <w:color w:val="FF0000"/>
                <w:sz w:val="20"/>
                <w:szCs w:val="20"/>
                <w:lang w:eastAsia="en-AU"/>
              </w:rPr>
              <w:t>92</w:t>
            </w:r>
          </w:p>
        </w:tc>
        <w:tc>
          <w:tcPr>
            <w:tcW w:w="1099" w:type="dxa"/>
            <w:noWrap/>
            <w:hideMark/>
          </w:tcPr>
          <w:p w14:paraId="2731B6F2" w14:textId="77777777" w:rsidR="008D6643" w:rsidRPr="00523DDD" w:rsidRDefault="008D6643" w:rsidP="008D6643">
            <w:pPr>
              <w:spacing w:before="0" w:after="0" w:line="240" w:lineRule="auto"/>
              <w:rPr>
                <w:rFonts w:cs="Arial"/>
                <w:color w:val="FF0000"/>
                <w:sz w:val="20"/>
                <w:szCs w:val="20"/>
                <w:lang w:eastAsia="en-AU"/>
              </w:rPr>
            </w:pPr>
            <w:r w:rsidRPr="00523DDD">
              <w:rPr>
                <w:rFonts w:cs="Arial"/>
                <w:color w:val="FF0000"/>
                <w:sz w:val="20"/>
                <w:szCs w:val="20"/>
                <w:lang w:eastAsia="en-AU"/>
              </w:rPr>
              <w:t>9</w:t>
            </w:r>
            <w:r>
              <w:rPr>
                <w:rFonts w:cs="Arial"/>
                <w:color w:val="FF0000"/>
                <w:sz w:val="20"/>
                <w:szCs w:val="20"/>
                <w:lang w:eastAsia="en-AU"/>
              </w:rPr>
              <w:t>9</w:t>
            </w:r>
          </w:p>
        </w:tc>
        <w:tc>
          <w:tcPr>
            <w:tcW w:w="843" w:type="dxa"/>
            <w:hideMark/>
          </w:tcPr>
          <w:p w14:paraId="394426B3" w14:textId="77777777" w:rsidR="008D6643" w:rsidRPr="00523DDD" w:rsidRDefault="008D6643" w:rsidP="008D6643">
            <w:pPr>
              <w:spacing w:before="0" w:after="0" w:line="240" w:lineRule="auto"/>
              <w:rPr>
                <w:rFonts w:cs="Arial"/>
                <w:color w:val="FF0000"/>
                <w:sz w:val="20"/>
                <w:szCs w:val="20"/>
                <w:lang w:eastAsia="en-AU"/>
              </w:rPr>
            </w:pPr>
            <w:proofErr w:type="gramStart"/>
            <w:r w:rsidRPr="00523DDD">
              <w:rPr>
                <w:rFonts w:cs="Arial"/>
                <w:color w:val="FF0000"/>
                <w:sz w:val="20"/>
                <w:szCs w:val="20"/>
                <w:lang w:eastAsia="en-AU"/>
              </w:rPr>
              <w:t>A(</w:t>
            </w:r>
            <w:proofErr w:type="gramEnd"/>
            <w:r>
              <w:rPr>
                <w:rFonts w:cs="Arial"/>
                <w:color w:val="FF0000"/>
                <w:sz w:val="20"/>
                <w:szCs w:val="20"/>
                <w:lang w:eastAsia="en-AU"/>
              </w:rPr>
              <w:t>8</w:t>
            </w:r>
            <w:r w:rsidRPr="00523DDD">
              <w:rPr>
                <w:rFonts w:cs="Arial"/>
                <w:color w:val="FF0000"/>
                <w:sz w:val="20"/>
                <w:szCs w:val="20"/>
                <w:lang w:eastAsia="en-AU"/>
              </w:rPr>
              <w:t>)</w:t>
            </w:r>
          </w:p>
        </w:tc>
        <w:tc>
          <w:tcPr>
            <w:tcW w:w="1873" w:type="dxa"/>
            <w:hideMark/>
          </w:tcPr>
          <w:p w14:paraId="068D7121" w14:textId="4CAC171E" w:rsidR="008D6643" w:rsidRPr="002E4F30" w:rsidRDefault="008D6643" w:rsidP="008D6643">
            <w:pPr>
              <w:spacing w:before="0" w:after="0" w:line="240" w:lineRule="auto"/>
              <w:rPr>
                <w:rFonts w:cs="Arial"/>
                <w:color w:val="FF0000"/>
                <w:sz w:val="20"/>
                <w:szCs w:val="20"/>
                <w:lang w:eastAsia="en-AU"/>
              </w:rPr>
            </w:pPr>
            <w:r w:rsidRPr="002E4F30">
              <w:rPr>
                <w:rFonts w:cs="Arial"/>
                <w:color w:val="FF0000"/>
                <w:sz w:val="20"/>
                <w:szCs w:val="20"/>
                <w:lang w:eastAsia="en-AU"/>
              </w:rPr>
              <w:t>NNNNNNAA or NNNNNNAN</w:t>
            </w:r>
          </w:p>
          <w:p w14:paraId="33C1C413" w14:textId="77777777" w:rsidR="008D6643" w:rsidRPr="002E4F30" w:rsidRDefault="008D6643" w:rsidP="008D6643">
            <w:pPr>
              <w:spacing w:before="0" w:after="0" w:line="240" w:lineRule="auto"/>
              <w:rPr>
                <w:rFonts w:cs="Arial"/>
                <w:color w:val="FF0000"/>
                <w:sz w:val="20"/>
                <w:szCs w:val="20"/>
                <w:lang w:eastAsia="en-AU"/>
              </w:rPr>
            </w:pPr>
            <w:r w:rsidRPr="002E4F30">
              <w:rPr>
                <w:rFonts w:cs="Arial"/>
                <w:color w:val="FF0000"/>
                <w:sz w:val="20"/>
                <w:szCs w:val="20"/>
                <w:lang w:eastAsia="en-AU"/>
              </w:rPr>
              <w:t xml:space="preserve">Right justify </w:t>
            </w:r>
          </w:p>
          <w:p w14:paraId="7F2757A6" w14:textId="2B04AC67" w:rsidR="008D6643" w:rsidRPr="00523DDD" w:rsidRDefault="008D6643" w:rsidP="008D6643">
            <w:pPr>
              <w:spacing w:before="0" w:after="0" w:line="240" w:lineRule="auto"/>
              <w:rPr>
                <w:rFonts w:cs="Arial"/>
                <w:color w:val="FF0000"/>
                <w:sz w:val="20"/>
                <w:szCs w:val="20"/>
                <w:lang w:eastAsia="en-AU"/>
              </w:rPr>
            </w:pPr>
            <w:r w:rsidRPr="002E4F30">
              <w:rPr>
                <w:rFonts w:cs="Arial"/>
                <w:color w:val="FF0000"/>
                <w:sz w:val="20"/>
                <w:szCs w:val="20"/>
                <w:lang w:eastAsia="en-AU"/>
              </w:rPr>
              <w:t>6-digit stem, 1 location character, 1 check digit (uppercase or zero fill if not available)</w:t>
            </w:r>
          </w:p>
        </w:tc>
        <w:tc>
          <w:tcPr>
            <w:tcW w:w="3017" w:type="dxa"/>
            <w:hideMark/>
          </w:tcPr>
          <w:p w14:paraId="63B38513" w14:textId="0883B82A" w:rsidR="008D6643" w:rsidRPr="00523DDD" w:rsidRDefault="005C5791" w:rsidP="008D6643">
            <w:pPr>
              <w:spacing w:before="0" w:after="0" w:line="240" w:lineRule="auto"/>
              <w:rPr>
                <w:rFonts w:cs="Arial"/>
                <w:color w:val="FF0000"/>
                <w:sz w:val="20"/>
                <w:szCs w:val="20"/>
                <w:lang w:eastAsia="en-AU"/>
              </w:rPr>
            </w:pPr>
            <w:r w:rsidRPr="005C5791">
              <w:rPr>
                <w:rFonts w:cs="Arial"/>
                <w:color w:val="FF0000"/>
                <w:sz w:val="20"/>
                <w:szCs w:val="20"/>
                <w:lang w:eastAsia="en-AU"/>
              </w:rPr>
              <w:t xml:space="preserve">The Services Australia issued health professional provider number to identify a person, their health profession at the practice location/s where the persons </w:t>
            </w:r>
            <w:proofErr w:type="gramStart"/>
            <w:r w:rsidRPr="005C5791">
              <w:rPr>
                <w:rFonts w:cs="Arial"/>
                <w:color w:val="FF0000"/>
                <w:sz w:val="20"/>
                <w:szCs w:val="20"/>
                <w:lang w:eastAsia="en-AU"/>
              </w:rPr>
              <w:t>practises</w:t>
            </w:r>
            <w:proofErr w:type="gramEnd"/>
            <w:r w:rsidRPr="005C5791">
              <w:rPr>
                <w:rFonts w:cs="Arial"/>
                <w:color w:val="FF0000"/>
                <w:sz w:val="20"/>
                <w:szCs w:val="20"/>
                <w:lang w:eastAsia="en-AU"/>
              </w:rPr>
              <w:t xml:space="preserve"> their profession and check digit. The provider number stem of the person providing the MBS item service and the location character corresponding to where the service was provided. Zero fill check it digit if not available.</w:t>
            </w:r>
          </w:p>
        </w:tc>
        <w:tc>
          <w:tcPr>
            <w:tcW w:w="2410" w:type="dxa"/>
            <w:hideMark/>
          </w:tcPr>
          <w:p w14:paraId="790512E0" w14:textId="7D951515" w:rsidR="008D6643" w:rsidRPr="00523DDD" w:rsidRDefault="008D6643" w:rsidP="008D6643">
            <w:pPr>
              <w:spacing w:before="0" w:after="0" w:line="240" w:lineRule="auto"/>
              <w:rPr>
                <w:rFonts w:cs="Arial"/>
                <w:b/>
                <w:bCs/>
                <w:color w:val="FF0000"/>
                <w:sz w:val="20"/>
                <w:szCs w:val="20"/>
                <w:lang w:eastAsia="en-AU"/>
              </w:rPr>
            </w:pPr>
            <w:r>
              <w:rPr>
                <w:rFonts w:cs="Arial"/>
                <w:b/>
                <w:bCs/>
                <w:color w:val="FF0000"/>
                <w:sz w:val="20"/>
                <w:szCs w:val="20"/>
                <w:lang w:eastAsia="en-AU"/>
              </w:rPr>
              <w:t>Reject</w:t>
            </w:r>
            <w:r w:rsidRPr="00523DDD">
              <w:rPr>
                <w:rFonts w:cs="Arial"/>
                <w:b/>
                <w:bCs/>
                <w:color w:val="FF0000"/>
                <w:sz w:val="20"/>
                <w:szCs w:val="20"/>
                <w:lang w:eastAsia="en-AU"/>
              </w:rPr>
              <w:t xml:space="preserve"> </w:t>
            </w:r>
            <w:r w:rsidRPr="00EA18A1">
              <w:rPr>
                <w:rFonts w:cs="Arial"/>
                <w:color w:val="FF0000"/>
                <w:sz w:val="20"/>
                <w:szCs w:val="20"/>
                <w:lang w:eastAsia="en-AU"/>
              </w:rPr>
              <w:t>record</w:t>
            </w:r>
            <w:r>
              <w:rPr>
                <w:rFonts w:cs="Arial"/>
                <w:b/>
                <w:bCs/>
                <w:color w:val="FF0000"/>
                <w:sz w:val="20"/>
                <w:szCs w:val="20"/>
                <w:lang w:eastAsia="en-AU"/>
              </w:rPr>
              <w:t xml:space="preserve"> </w:t>
            </w:r>
            <w:r w:rsidRPr="00EA18A1">
              <w:rPr>
                <w:rFonts w:cs="Arial"/>
                <w:color w:val="FF0000"/>
                <w:sz w:val="20"/>
                <w:szCs w:val="20"/>
                <w:lang w:eastAsia="en-AU"/>
              </w:rPr>
              <w:t xml:space="preserve">if </w:t>
            </w:r>
            <w:r>
              <w:rPr>
                <w:rFonts w:cs="Arial"/>
                <w:color w:val="FF0000"/>
                <w:sz w:val="20"/>
                <w:szCs w:val="20"/>
                <w:lang w:eastAsia="en-AU"/>
              </w:rPr>
              <w:t xml:space="preserve">not a valid Practitioner Provider Number stem and practice ID in Service’s Australia </w:t>
            </w:r>
            <w:r w:rsidRPr="0045684D">
              <w:rPr>
                <w:rFonts w:cs="Arial"/>
                <w:color w:val="FF0000"/>
                <w:sz w:val="20"/>
                <w:szCs w:val="20"/>
                <w:lang w:eastAsia="en-AU"/>
              </w:rPr>
              <w:t>Provider Directory System</w:t>
            </w:r>
            <w:r>
              <w:rPr>
                <w:rFonts w:cs="Arial"/>
                <w:color w:val="FF0000"/>
                <w:sz w:val="20"/>
                <w:szCs w:val="20"/>
                <w:lang w:eastAsia="en-AU"/>
              </w:rPr>
              <w:t xml:space="preserve">. Check it digit will not be validated. </w:t>
            </w:r>
          </w:p>
        </w:tc>
        <w:tc>
          <w:tcPr>
            <w:tcW w:w="1275" w:type="dxa"/>
            <w:hideMark/>
          </w:tcPr>
          <w:p w14:paraId="52B20792" w14:textId="23F46077" w:rsidR="008D6643" w:rsidRPr="00523DDD" w:rsidRDefault="008D6643" w:rsidP="008D6643">
            <w:pPr>
              <w:spacing w:before="0" w:after="0" w:line="240" w:lineRule="auto"/>
              <w:rPr>
                <w:rFonts w:cs="Arial"/>
                <w:color w:val="FF0000"/>
                <w:sz w:val="20"/>
                <w:szCs w:val="20"/>
                <w:lang w:eastAsia="en-AU"/>
              </w:rPr>
            </w:pPr>
            <w:r>
              <w:rPr>
                <w:rFonts w:cs="Arial"/>
                <w:color w:val="FF0000"/>
                <w:sz w:val="20"/>
                <w:szCs w:val="20"/>
                <w:lang w:eastAsia="en-AU"/>
              </w:rPr>
              <w:t>ME011.0</w:t>
            </w:r>
          </w:p>
        </w:tc>
      </w:tr>
      <w:tr w:rsidR="00C21A8B" w:rsidRPr="00523DDD" w14:paraId="1CB82A61" w14:textId="77777777" w:rsidTr="00C21A8B">
        <w:trPr>
          <w:trHeight w:val="240"/>
        </w:trPr>
        <w:tc>
          <w:tcPr>
            <w:tcW w:w="14742" w:type="dxa"/>
            <w:gridSpan w:val="10"/>
          </w:tcPr>
          <w:p w14:paraId="0933A11A" w14:textId="6D375103" w:rsidR="00C21A8B" w:rsidRPr="00C21A8B" w:rsidRDefault="00C21A8B" w:rsidP="00C21A8B">
            <w:pPr>
              <w:spacing w:before="0" w:after="0" w:line="240" w:lineRule="auto"/>
              <w:rPr>
                <w:rFonts w:cs="Arial"/>
                <w:b/>
                <w:bCs/>
                <w:color w:val="auto"/>
                <w:sz w:val="20"/>
                <w:szCs w:val="20"/>
                <w:lang w:eastAsia="en-AU"/>
              </w:rPr>
            </w:pPr>
            <w:r w:rsidRPr="00523DDD">
              <w:rPr>
                <w:rFonts w:cs="Arial"/>
                <w:b/>
                <w:bCs/>
                <w:color w:val="auto"/>
                <w:sz w:val="20"/>
                <w:szCs w:val="20"/>
                <w:lang w:eastAsia="en-AU"/>
              </w:rPr>
              <w:t xml:space="preserve">Total record length = </w:t>
            </w:r>
            <w:r w:rsidRPr="004D16AB">
              <w:rPr>
                <w:rFonts w:cs="Arial"/>
                <w:b/>
                <w:bCs/>
                <w:strike/>
                <w:color w:val="FF0000"/>
                <w:sz w:val="20"/>
                <w:szCs w:val="20"/>
                <w:lang w:eastAsia="en-AU"/>
              </w:rPr>
              <w:t>92</w:t>
            </w:r>
            <w:r w:rsidRPr="00523DDD">
              <w:rPr>
                <w:rFonts w:cs="Arial"/>
                <w:b/>
                <w:bCs/>
                <w:color w:val="auto"/>
                <w:sz w:val="20"/>
                <w:szCs w:val="20"/>
                <w:lang w:eastAsia="en-AU"/>
              </w:rPr>
              <w:t xml:space="preserve"> </w:t>
            </w:r>
            <w:r w:rsidRPr="009E027A">
              <w:rPr>
                <w:rFonts w:cs="Arial"/>
                <w:b/>
                <w:bCs/>
                <w:color w:val="FF0000"/>
                <w:sz w:val="20"/>
                <w:szCs w:val="20"/>
                <w:lang w:eastAsia="en-AU"/>
              </w:rPr>
              <w:t>100</w:t>
            </w:r>
            <w:r w:rsidRPr="004D16AB">
              <w:rPr>
                <w:rFonts w:cs="Arial"/>
                <w:b/>
                <w:bCs/>
                <w:color w:val="FF0000"/>
                <w:sz w:val="20"/>
                <w:szCs w:val="20"/>
                <w:lang w:eastAsia="en-AU"/>
              </w:rPr>
              <w:t xml:space="preserve"> </w:t>
            </w:r>
            <w:r w:rsidRPr="00523DDD">
              <w:rPr>
                <w:rFonts w:cs="Arial"/>
                <w:b/>
                <w:bCs/>
                <w:color w:val="auto"/>
                <w:sz w:val="20"/>
                <w:szCs w:val="20"/>
                <w:lang w:eastAsia="en-AU"/>
              </w:rPr>
              <w:t xml:space="preserve">characters; record type of ‘M’ followed by </w:t>
            </w:r>
            <w:r w:rsidRPr="004D16AB">
              <w:rPr>
                <w:rFonts w:cs="Arial"/>
                <w:b/>
                <w:bCs/>
                <w:strike/>
                <w:color w:val="FF0000"/>
                <w:sz w:val="20"/>
                <w:szCs w:val="20"/>
                <w:lang w:eastAsia="en-AU"/>
              </w:rPr>
              <w:t>91</w:t>
            </w:r>
            <w:r>
              <w:rPr>
                <w:rFonts w:cs="Arial"/>
                <w:b/>
                <w:bCs/>
                <w:color w:val="auto"/>
                <w:sz w:val="20"/>
                <w:szCs w:val="20"/>
                <w:lang w:eastAsia="en-AU"/>
              </w:rPr>
              <w:t xml:space="preserve"> </w:t>
            </w:r>
            <w:proofErr w:type="gramStart"/>
            <w:r w:rsidRPr="004D16AB">
              <w:rPr>
                <w:rFonts w:cs="Arial"/>
                <w:b/>
                <w:bCs/>
                <w:color w:val="FF0000"/>
                <w:sz w:val="20"/>
                <w:szCs w:val="20"/>
                <w:lang w:eastAsia="en-AU"/>
              </w:rPr>
              <w:t>9</w:t>
            </w:r>
            <w:r>
              <w:rPr>
                <w:rFonts w:cs="Arial"/>
                <w:b/>
                <w:bCs/>
                <w:color w:val="FF0000"/>
                <w:sz w:val="20"/>
                <w:szCs w:val="20"/>
                <w:lang w:eastAsia="en-AU"/>
              </w:rPr>
              <w:t>9</w:t>
            </w:r>
            <w:r w:rsidRPr="00523DDD">
              <w:rPr>
                <w:rFonts w:cs="Arial"/>
                <w:b/>
                <w:bCs/>
                <w:color w:val="auto"/>
                <w:sz w:val="20"/>
                <w:szCs w:val="20"/>
                <w:lang w:eastAsia="en-AU"/>
              </w:rPr>
              <w:t xml:space="preserve"> character</w:t>
            </w:r>
            <w:proofErr w:type="gramEnd"/>
            <w:r w:rsidRPr="00523DDD">
              <w:rPr>
                <w:rFonts w:cs="Arial"/>
                <w:b/>
                <w:bCs/>
                <w:color w:val="auto"/>
                <w:sz w:val="20"/>
                <w:szCs w:val="20"/>
                <w:lang w:eastAsia="en-AU"/>
              </w:rPr>
              <w:t xml:space="preserve"> record</w:t>
            </w:r>
          </w:p>
        </w:tc>
      </w:tr>
    </w:tbl>
    <w:p w14:paraId="217D78DB" w14:textId="25E4EDB6" w:rsidR="00820D04" w:rsidRPr="00835C76" w:rsidRDefault="00820D04" w:rsidP="00195757">
      <w:pPr>
        <w:pStyle w:val="Heading2"/>
        <w:pageBreakBefore/>
        <w:ind w:left="714" w:hanging="357"/>
      </w:pPr>
      <w:bookmarkStart w:id="3" w:name="_Toc203057092"/>
      <w:r>
        <w:lastRenderedPageBreak/>
        <w:t>2025-2</w:t>
      </w:r>
      <w:r w:rsidR="004D16AB">
        <w:t>6</w:t>
      </w:r>
      <w:r>
        <w:t xml:space="preserve"> </w:t>
      </w:r>
      <w:r w:rsidR="00EA4B79">
        <w:t xml:space="preserve">Submission with </w:t>
      </w:r>
      <w:r w:rsidRPr="00820D04">
        <w:t>Practitioner Provider Number</w:t>
      </w:r>
      <w:bookmarkEnd w:id="3"/>
    </w:p>
    <w:p w14:paraId="170EFC52" w14:textId="2EE2CBCA" w:rsidR="00820D04" w:rsidRDefault="00820D04" w:rsidP="00C21A8B">
      <w:pPr>
        <w:pStyle w:val="Heading3"/>
        <w:rPr>
          <w:i/>
        </w:rPr>
      </w:pPr>
      <w:r w:rsidRPr="001B3617">
        <w:t>Reporting requirement</w:t>
      </w:r>
      <w:r w:rsidR="002F2874" w:rsidRPr="001B3617">
        <w:t>s</w:t>
      </w:r>
      <w:r w:rsidRPr="001B3617">
        <w:t xml:space="preserve"> </w:t>
      </w:r>
      <w:r w:rsidR="00600331" w:rsidRPr="00600331">
        <w:t>(2025-26 only)</w:t>
      </w:r>
    </w:p>
    <w:p w14:paraId="53C9424C" w14:textId="77777777" w:rsidR="00A70C78" w:rsidRPr="00A70C78" w:rsidRDefault="00A70C78" w:rsidP="00A70C78">
      <w:pPr>
        <w:rPr>
          <w:sz w:val="2"/>
          <w:szCs w:val="2"/>
          <w:lang w:val="en-GB"/>
        </w:rPr>
      </w:pPr>
    </w:p>
    <w:tbl>
      <w:tblPr>
        <w:tblStyle w:val="TableGridLight"/>
        <w:tblW w:w="13755" w:type="dxa"/>
        <w:tblLook w:val="04A0" w:firstRow="1" w:lastRow="0" w:firstColumn="1" w:lastColumn="0" w:noHBand="0" w:noVBand="1"/>
      </w:tblPr>
      <w:tblGrid>
        <w:gridCol w:w="1757"/>
        <w:gridCol w:w="11998"/>
      </w:tblGrid>
      <w:tr w:rsidR="004D16AB" w:rsidRPr="00A70C78" w14:paraId="43A41B26" w14:textId="77777777" w:rsidTr="00C21A8B">
        <w:trPr>
          <w:trHeight w:hRule="exact" w:val="369"/>
        </w:trPr>
        <w:tc>
          <w:tcPr>
            <w:tcW w:w="1757" w:type="dxa"/>
          </w:tcPr>
          <w:p w14:paraId="52EAF36F" w14:textId="77777777" w:rsidR="004D16AB" w:rsidRPr="00A70C78" w:rsidRDefault="004D16AB">
            <w:pPr>
              <w:rPr>
                <w:b/>
                <w:bCs/>
                <w:sz w:val="21"/>
                <w:szCs w:val="21"/>
              </w:rPr>
            </w:pPr>
            <w:r w:rsidRPr="00A70C78">
              <w:rPr>
                <w:b/>
                <w:bCs/>
                <w:sz w:val="21"/>
                <w:szCs w:val="21"/>
              </w:rPr>
              <w:t>Data item:</w:t>
            </w:r>
          </w:p>
        </w:tc>
        <w:tc>
          <w:tcPr>
            <w:tcW w:w="11998" w:type="dxa"/>
          </w:tcPr>
          <w:p w14:paraId="1A89C198" w14:textId="77777777" w:rsidR="004D16AB" w:rsidRPr="00A70C78" w:rsidRDefault="004D16AB">
            <w:pPr>
              <w:rPr>
                <w:sz w:val="21"/>
                <w:szCs w:val="21"/>
              </w:rPr>
            </w:pPr>
            <w:r w:rsidRPr="00A70C78">
              <w:rPr>
                <w:sz w:val="21"/>
                <w:szCs w:val="21"/>
              </w:rPr>
              <w:t xml:space="preserve">Explanatory notes – Reporting requirements </w:t>
            </w:r>
          </w:p>
          <w:p w14:paraId="31D496A6" w14:textId="77777777" w:rsidR="004D16AB" w:rsidRPr="00A70C78" w:rsidRDefault="004D16AB">
            <w:pPr>
              <w:rPr>
                <w:sz w:val="21"/>
                <w:szCs w:val="21"/>
              </w:rPr>
            </w:pPr>
          </w:p>
        </w:tc>
      </w:tr>
      <w:tr w:rsidR="004D16AB" w:rsidRPr="00A70C78" w14:paraId="7A60FDD9" w14:textId="77777777" w:rsidTr="00C21A8B">
        <w:trPr>
          <w:trHeight w:hRule="exact" w:val="369"/>
        </w:trPr>
        <w:tc>
          <w:tcPr>
            <w:tcW w:w="1757" w:type="dxa"/>
          </w:tcPr>
          <w:p w14:paraId="09B2472A" w14:textId="77777777" w:rsidR="004D16AB" w:rsidRPr="00A70C78" w:rsidRDefault="004D16AB">
            <w:pPr>
              <w:rPr>
                <w:b/>
                <w:bCs/>
                <w:sz w:val="21"/>
                <w:szCs w:val="21"/>
              </w:rPr>
            </w:pPr>
            <w:r w:rsidRPr="00A70C78">
              <w:rPr>
                <w:b/>
                <w:bCs/>
                <w:sz w:val="21"/>
                <w:szCs w:val="21"/>
              </w:rPr>
              <w:t>Dataset:</w:t>
            </w:r>
          </w:p>
        </w:tc>
        <w:tc>
          <w:tcPr>
            <w:tcW w:w="11998" w:type="dxa"/>
          </w:tcPr>
          <w:p w14:paraId="1760DF3E" w14:textId="7CD073E9" w:rsidR="004D16AB" w:rsidRPr="00A70C78" w:rsidRDefault="004D16AB">
            <w:pPr>
              <w:rPr>
                <w:sz w:val="21"/>
                <w:szCs w:val="21"/>
              </w:rPr>
            </w:pPr>
            <w:r w:rsidRPr="00A70C78">
              <w:rPr>
                <w:sz w:val="21"/>
                <w:szCs w:val="21"/>
              </w:rPr>
              <w:t>HCP1 (2025-26 only)</w:t>
            </w:r>
          </w:p>
        </w:tc>
      </w:tr>
      <w:tr w:rsidR="004D16AB" w:rsidRPr="00A70C78" w14:paraId="4B551829" w14:textId="77777777" w:rsidTr="00C21A8B">
        <w:trPr>
          <w:trHeight w:hRule="exact" w:val="680"/>
        </w:trPr>
        <w:tc>
          <w:tcPr>
            <w:tcW w:w="1757" w:type="dxa"/>
          </w:tcPr>
          <w:p w14:paraId="75F7741A" w14:textId="144965E7" w:rsidR="004D16AB" w:rsidRPr="00A70C78" w:rsidRDefault="004D16AB">
            <w:pPr>
              <w:rPr>
                <w:b/>
                <w:bCs/>
                <w:sz w:val="21"/>
                <w:szCs w:val="21"/>
              </w:rPr>
            </w:pPr>
            <w:r w:rsidRPr="00A70C78">
              <w:rPr>
                <w:b/>
                <w:bCs/>
                <w:sz w:val="21"/>
                <w:szCs w:val="21"/>
              </w:rPr>
              <w:t>Change</w:t>
            </w:r>
            <w:r w:rsidR="00443957">
              <w:rPr>
                <w:b/>
                <w:bCs/>
                <w:sz w:val="21"/>
                <w:szCs w:val="21"/>
              </w:rPr>
              <w:t>s</w:t>
            </w:r>
            <w:r w:rsidRPr="00A70C78">
              <w:rPr>
                <w:b/>
                <w:bCs/>
                <w:sz w:val="21"/>
                <w:szCs w:val="21"/>
              </w:rPr>
              <w:t>:</w:t>
            </w:r>
          </w:p>
        </w:tc>
        <w:tc>
          <w:tcPr>
            <w:tcW w:w="11998" w:type="dxa"/>
          </w:tcPr>
          <w:p w14:paraId="312DF678" w14:textId="2054E422" w:rsidR="004D16AB" w:rsidRPr="00A70C78" w:rsidRDefault="009C6A63">
            <w:pPr>
              <w:rPr>
                <w:sz w:val="21"/>
                <w:szCs w:val="21"/>
              </w:rPr>
            </w:pPr>
            <w:r w:rsidRPr="00A70C78">
              <w:rPr>
                <w:sz w:val="21"/>
                <w:szCs w:val="21"/>
              </w:rPr>
              <w:t>Providing an extension to insurers reporting requirements for 2025-26 HCP1 data</w:t>
            </w:r>
            <w:r w:rsidR="003F739E">
              <w:rPr>
                <w:sz w:val="21"/>
                <w:szCs w:val="21"/>
              </w:rPr>
              <w:t>, which</w:t>
            </w:r>
            <w:r w:rsidRPr="00A70C78">
              <w:rPr>
                <w:sz w:val="21"/>
                <w:szCs w:val="21"/>
              </w:rPr>
              <w:t xml:space="preserve"> will </w:t>
            </w:r>
            <w:r w:rsidR="003F739E" w:rsidRPr="00A70C78">
              <w:rPr>
                <w:sz w:val="21"/>
                <w:szCs w:val="21"/>
              </w:rPr>
              <w:t>revert</w:t>
            </w:r>
            <w:r w:rsidRPr="00A70C78">
              <w:rPr>
                <w:sz w:val="21"/>
                <w:szCs w:val="21"/>
              </w:rPr>
              <w:t xml:space="preserve"> to 20 weeks in subsequent data specifications. </w:t>
            </w:r>
          </w:p>
        </w:tc>
      </w:tr>
      <w:tr w:rsidR="00443957" w:rsidRPr="00A70C78" w14:paraId="49170C8D" w14:textId="77777777" w:rsidTr="00C21A8B">
        <w:trPr>
          <w:trHeight w:hRule="exact" w:val="680"/>
        </w:trPr>
        <w:tc>
          <w:tcPr>
            <w:tcW w:w="1757" w:type="dxa"/>
          </w:tcPr>
          <w:p w14:paraId="5BF9E4CE" w14:textId="78169EC9" w:rsidR="00443957" w:rsidRPr="00A70C78" w:rsidRDefault="00443957">
            <w:pPr>
              <w:rPr>
                <w:b/>
                <w:bCs/>
                <w:sz w:val="21"/>
                <w:szCs w:val="21"/>
              </w:rPr>
            </w:pPr>
            <w:r>
              <w:rPr>
                <w:b/>
                <w:bCs/>
                <w:sz w:val="21"/>
                <w:szCs w:val="21"/>
              </w:rPr>
              <w:t>Reason:</w:t>
            </w:r>
          </w:p>
        </w:tc>
        <w:tc>
          <w:tcPr>
            <w:tcW w:w="11998" w:type="dxa"/>
          </w:tcPr>
          <w:p w14:paraId="1CCB94C5" w14:textId="309CB4D3" w:rsidR="00443957" w:rsidRPr="00A70C78" w:rsidRDefault="00443957">
            <w:pPr>
              <w:rPr>
                <w:sz w:val="21"/>
                <w:szCs w:val="21"/>
              </w:rPr>
            </w:pPr>
            <w:r>
              <w:rPr>
                <w:sz w:val="21"/>
                <w:szCs w:val="21"/>
              </w:rPr>
              <w:t xml:space="preserve">To provide insurers with additional time to make required software changes </w:t>
            </w:r>
          </w:p>
        </w:tc>
      </w:tr>
    </w:tbl>
    <w:p w14:paraId="7777FDE8" w14:textId="77777777" w:rsidR="00A869EF" w:rsidRPr="00A869EF" w:rsidRDefault="00A869EF" w:rsidP="00A869EF">
      <w:pPr>
        <w:spacing w:before="0" w:after="0" w:line="240" w:lineRule="auto"/>
        <w:ind w:left="720"/>
        <w:rPr>
          <w:rFonts w:cs="Arial"/>
          <w:color w:val="auto"/>
          <w:sz w:val="21"/>
          <w:szCs w:val="21"/>
          <w:lang w:eastAsia="en-AU"/>
        </w:rPr>
      </w:pPr>
      <w:r w:rsidRPr="00A869EF">
        <w:rPr>
          <w:rFonts w:cs="Arial"/>
          <w:color w:val="000000"/>
          <w:sz w:val="21"/>
          <w:szCs w:val="21"/>
          <w:lang w:eastAsia="en-AU"/>
        </w:rPr>
        <w:t xml:space="preserve">The insurer will provide the Department with HCP data for separations by calendar month within </w:t>
      </w:r>
      <w:r w:rsidRPr="00A869EF">
        <w:rPr>
          <w:rFonts w:cs="Arial"/>
          <w:strike/>
          <w:color w:val="FF0000"/>
          <w:sz w:val="21"/>
          <w:szCs w:val="21"/>
          <w:lang w:eastAsia="en-AU"/>
        </w:rPr>
        <w:t>20</w:t>
      </w:r>
      <w:r w:rsidRPr="00A869EF">
        <w:rPr>
          <w:rFonts w:cs="Arial"/>
          <w:color w:val="FF0000"/>
          <w:sz w:val="21"/>
          <w:szCs w:val="21"/>
          <w:lang w:eastAsia="en-AU"/>
        </w:rPr>
        <w:t xml:space="preserve"> 26.5</w:t>
      </w:r>
      <w:r w:rsidRPr="00A869EF">
        <w:rPr>
          <w:rFonts w:cs="Arial"/>
          <w:color w:val="000000"/>
          <w:sz w:val="21"/>
          <w:szCs w:val="21"/>
          <w:lang w:eastAsia="en-AU"/>
        </w:rPr>
        <w:t xml:space="preserve"> weeks of the month to which it relates</w:t>
      </w:r>
      <w:r w:rsidRPr="00A869EF">
        <w:rPr>
          <w:rFonts w:cs="Arial"/>
          <w:color w:val="FF0000"/>
          <w:sz w:val="21"/>
          <w:szCs w:val="21"/>
          <w:lang w:eastAsia="en-AU"/>
        </w:rPr>
        <w:t>, unless an extension is provided in writing from the department to the insurer before the end of that period</w:t>
      </w:r>
      <w:r w:rsidRPr="00A869EF">
        <w:rPr>
          <w:rFonts w:cs="Arial"/>
          <w:color w:val="000000"/>
          <w:sz w:val="21"/>
          <w:szCs w:val="21"/>
          <w:lang w:eastAsia="en-AU"/>
        </w:rPr>
        <w:t xml:space="preserve">. For example, data for separations during the month of July </w:t>
      </w:r>
      <w:r w:rsidRPr="00A869EF">
        <w:rPr>
          <w:rFonts w:cs="Arial"/>
          <w:color w:val="FF0000"/>
          <w:sz w:val="21"/>
          <w:szCs w:val="21"/>
          <w:lang w:eastAsia="en-AU"/>
        </w:rPr>
        <w:t xml:space="preserve">2025 </w:t>
      </w:r>
      <w:r w:rsidRPr="00A869EF">
        <w:rPr>
          <w:rFonts w:cs="Arial"/>
          <w:color w:val="000000"/>
          <w:sz w:val="21"/>
          <w:szCs w:val="21"/>
          <w:lang w:eastAsia="en-AU"/>
        </w:rPr>
        <w:t xml:space="preserve">are to be submitted by no later than </w:t>
      </w:r>
      <w:r w:rsidRPr="00A869EF">
        <w:rPr>
          <w:rFonts w:cs="Arial"/>
          <w:strike/>
          <w:color w:val="FF0000"/>
          <w:sz w:val="21"/>
          <w:szCs w:val="21"/>
          <w:lang w:eastAsia="en-AU"/>
        </w:rPr>
        <w:t>the middle of December</w:t>
      </w:r>
      <w:r w:rsidRPr="00A869EF">
        <w:rPr>
          <w:rFonts w:cs="Arial"/>
          <w:color w:val="FF0000"/>
          <w:sz w:val="21"/>
          <w:szCs w:val="21"/>
          <w:lang w:eastAsia="en-AU"/>
        </w:rPr>
        <w:t xml:space="preserve"> 31 January 2026. Insurers may submit and validate 2025-26 HCP1 files including ‘Practitioner Provider Number’ from 1 November 2025 in the Data Submission Portal.</w:t>
      </w:r>
    </w:p>
    <w:sectPr w:rsidR="00A869EF" w:rsidRPr="00A869EF" w:rsidSect="00A70C78">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0C91" w14:textId="77777777" w:rsidR="009E691D" w:rsidRDefault="009E691D" w:rsidP="006B56BB">
      <w:r>
        <w:separator/>
      </w:r>
    </w:p>
    <w:p w14:paraId="56BDD444" w14:textId="77777777" w:rsidR="009E691D" w:rsidRDefault="009E691D"/>
  </w:endnote>
  <w:endnote w:type="continuationSeparator" w:id="0">
    <w:p w14:paraId="4C51E7BC" w14:textId="77777777" w:rsidR="009E691D" w:rsidRDefault="009E691D" w:rsidP="006B56BB">
      <w:r>
        <w:continuationSeparator/>
      </w:r>
    </w:p>
    <w:p w14:paraId="7D33F1BB" w14:textId="77777777" w:rsidR="009E691D" w:rsidRDefault="009E691D"/>
  </w:endnote>
  <w:endnote w:type="continuationNotice" w:id="1">
    <w:p w14:paraId="06F407A2" w14:textId="77777777" w:rsidR="009E691D" w:rsidRDefault="009E6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8C01" w14:textId="77777777" w:rsidR="00E83265" w:rsidRDefault="00E83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E5D" w14:textId="2FCE6025" w:rsidR="00D07414" w:rsidRPr="00765998" w:rsidRDefault="00016E30" w:rsidP="00765998">
    <w:pPr>
      <w:pStyle w:val="Footer"/>
      <w:tabs>
        <w:tab w:val="clear" w:pos="0"/>
        <w:tab w:val="clear" w:pos="9026"/>
        <w:tab w:val="right" w:pos="13948"/>
      </w:tabs>
      <w:jc w:val="left"/>
    </w:pPr>
    <w:r w:rsidRPr="00016E30">
      <w:t>Department of Health, Disability and Ageing</w:t>
    </w:r>
    <w:r w:rsidR="00FA5B36">
      <w:t xml:space="preserve"> </w:t>
    </w:r>
    <w:r w:rsidR="000D4FB1">
      <w:t>–</w:t>
    </w:r>
    <w:r w:rsidR="00765998">
      <w:t xml:space="preserve"> </w:t>
    </w:r>
    <w:r w:rsidR="00204DA5" w:rsidRPr="00E83265">
      <w:rPr>
        <w:lang w:val="en-GB"/>
      </w:rPr>
      <w:t>HCP1 data specifications – 1 July 2024 and 1 July 2025</w:t>
    </w:r>
    <w:r w:rsidR="00204DA5" w:rsidRPr="00E83265">
      <w:t> </w:t>
    </w:r>
    <w:sdt>
      <w:sdtPr>
        <w:id w:val="1988363087"/>
        <w:docPartObj>
          <w:docPartGallery w:val="Page Numbers (Bottom of Page)"/>
          <w:docPartUnique/>
        </w:docPartObj>
      </w:sdtPr>
      <w:sdtContent>
        <w:r w:rsidR="00765998">
          <w:tab/>
        </w:r>
        <w:r w:rsidR="00765998" w:rsidRPr="003D033A">
          <w:fldChar w:fldCharType="begin"/>
        </w:r>
        <w:r w:rsidR="00765998" w:rsidRPr="003D033A">
          <w:instrText xml:space="preserve"> PAGE   \* MERGEFORMAT </w:instrText>
        </w:r>
        <w:r w:rsidR="00765998" w:rsidRPr="003D033A">
          <w:fldChar w:fldCharType="separate"/>
        </w:r>
        <w:r w:rsidR="00765998">
          <w:t>1</w:t>
        </w:r>
        <w:r w:rsidR="00765998"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6D56" w14:textId="0FD98180" w:rsidR="00765998" w:rsidRDefault="00016E30" w:rsidP="00765998">
    <w:pPr>
      <w:pStyle w:val="Footer"/>
      <w:tabs>
        <w:tab w:val="clear" w:pos="0"/>
        <w:tab w:val="clear" w:pos="9026"/>
        <w:tab w:val="right" w:pos="13948"/>
      </w:tabs>
      <w:jc w:val="left"/>
    </w:pPr>
    <w:r w:rsidRPr="00016E30">
      <w:t>Department of Health, Disability and Ageing</w:t>
    </w:r>
    <w:r w:rsidR="0036794D">
      <w:t>–</w:t>
    </w:r>
    <w:r w:rsidR="00765998">
      <w:t xml:space="preserve"> </w:t>
    </w:r>
    <w:r w:rsidR="00E83265" w:rsidRPr="00E83265">
      <w:rPr>
        <w:lang w:val="en-GB"/>
      </w:rPr>
      <w:t>HCP1 data specifications – 1 July 2024 and 1 July 2025</w:t>
    </w:r>
    <w:r w:rsidR="00E83265" w:rsidRPr="00E83265">
      <w:t> </w:t>
    </w:r>
    <w:sdt>
      <w:sdtPr>
        <w:id w:val="-471054190"/>
        <w:docPartObj>
          <w:docPartGallery w:val="Page Numbers (Bottom of Page)"/>
          <w:docPartUnique/>
        </w:docPartObj>
      </w:sdtPr>
      <w:sdtContent>
        <w:r w:rsidR="00765998">
          <w:tab/>
        </w:r>
        <w:r w:rsidR="00765998" w:rsidRPr="003D033A">
          <w:fldChar w:fldCharType="begin"/>
        </w:r>
        <w:r w:rsidR="00765998" w:rsidRPr="003D033A">
          <w:instrText xml:space="preserve"> PAGE   \* MERGEFORMAT </w:instrText>
        </w:r>
        <w:r w:rsidR="00765998" w:rsidRPr="003D033A">
          <w:fldChar w:fldCharType="separate"/>
        </w:r>
        <w:r w:rsidR="00765998">
          <w:t>1</w:t>
        </w:r>
        <w:r w:rsidR="00765998"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949B" w14:textId="77777777" w:rsidR="009E691D" w:rsidRDefault="009E691D" w:rsidP="006B56BB">
      <w:r>
        <w:separator/>
      </w:r>
    </w:p>
    <w:p w14:paraId="0963D827" w14:textId="77777777" w:rsidR="009E691D" w:rsidRDefault="009E691D"/>
  </w:footnote>
  <w:footnote w:type="continuationSeparator" w:id="0">
    <w:p w14:paraId="6E2750B5" w14:textId="77777777" w:rsidR="009E691D" w:rsidRDefault="009E691D" w:rsidP="006B56BB">
      <w:r>
        <w:continuationSeparator/>
      </w:r>
    </w:p>
    <w:p w14:paraId="75502457" w14:textId="77777777" w:rsidR="009E691D" w:rsidRDefault="009E691D"/>
  </w:footnote>
  <w:footnote w:type="continuationNotice" w:id="1">
    <w:p w14:paraId="715AF842" w14:textId="77777777" w:rsidR="009E691D" w:rsidRDefault="009E6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B586" w14:textId="77777777" w:rsidR="00E83265" w:rsidRDefault="00E83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5C8D" w14:textId="358BFB9A"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90E8" w14:textId="77777777" w:rsidR="00765998" w:rsidRDefault="008B0752">
    <w:pPr>
      <w:pStyle w:val="Header"/>
    </w:pPr>
    <w:r>
      <w:rPr>
        <w:noProof/>
      </w:rPr>
      <w:drawing>
        <wp:inline distT="0" distB="0" distL="0" distR="0" wp14:anchorId="072504D5" wp14:editId="57F9994C">
          <wp:extent cx="8890000" cy="930384"/>
          <wp:effectExtent l="0" t="0" r="0" b="0"/>
          <wp:docPr id="214004548" name="Picture 214004548"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Health, Disability and Ageing"/>
                  <pic:cNvPicPr/>
                </pic:nvPicPr>
                <pic:blipFill>
                  <a:blip r:embed="rId1">
                    <a:extLst>
                      <a:ext uri="{28A0092B-C50C-407E-A947-70E740481C1C}">
                        <a14:useLocalDpi xmlns:a14="http://schemas.microsoft.com/office/drawing/2010/main" val="0"/>
                      </a:ext>
                    </a:extLst>
                  </a:blip>
                  <a:srcRect l="105" r="105"/>
                  <a:stretch>
                    <a:fillRect/>
                  </a:stretch>
                </pic:blipFill>
                <pic:spPr bwMode="auto">
                  <a:xfrm>
                    <a:off x="0" y="0"/>
                    <a:ext cx="8890000" cy="9303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1CC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7C13D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9D616E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742C45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A8B86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8342CF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374EFC3E"/>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26377D"/>
    <w:multiLevelType w:val="hybridMultilevel"/>
    <w:tmpl w:val="0024A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A434FF7"/>
    <w:multiLevelType w:val="hybridMultilevel"/>
    <w:tmpl w:val="BCC0AE6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CB1F1B"/>
    <w:multiLevelType w:val="hybridMultilevel"/>
    <w:tmpl w:val="6A525A68"/>
    <w:lvl w:ilvl="0" w:tplc="1BB4331A">
      <w:start w:val="1"/>
      <w:numFmt w:val="decimal"/>
      <w:pStyle w:val="Heading2"/>
      <w:lvlText w:val="%1."/>
      <w:lvlJc w:val="left"/>
      <w:pPr>
        <w:ind w:left="720" w:hanging="360"/>
      </w:pPr>
      <w:rPr>
        <w:rFonts w:hint="default"/>
        <w:color w:val="358189" w:themeColor="accent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64076A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084A60"/>
    <w:multiLevelType w:val="hybridMultilevel"/>
    <w:tmpl w:val="6D6E7B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7FF36E17"/>
    <w:multiLevelType w:val="hybridMultilevel"/>
    <w:tmpl w:val="6290C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9714951">
    <w:abstractNumId w:val="7"/>
  </w:num>
  <w:num w:numId="2" w16cid:durableId="978993025">
    <w:abstractNumId w:val="17"/>
  </w:num>
  <w:num w:numId="3" w16cid:durableId="2126190776">
    <w:abstractNumId w:val="20"/>
  </w:num>
  <w:num w:numId="4" w16cid:durableId="281958947">
    <w:abstractNumId w:val="8"/>
  </w:num>
  <w:num w:numId="5" w16cid:durableId="968315718">
    <w:abstractNumId w:val="8"/>
    <w:lvlOverride w:ilvl="0">
      <w:startOverride w:val="1"/>
    </w:lvlOverride>
  </w:num>
  <w:num w:numId="6" w16cid:durableId="540291909">
    <w:abstractNumId w:val="10"/>
  </w:num>
  <w:num w:numId="7" w16cid:durableId="688989805">
    <w:abstractNumId w:val="15"/>
  </w:num>
  <w:num w:numId="8" w16cid:durableId="1558396252">
    <w:abstractNumId w:val="19"/>
  </w:num>
  <w:num w:numId="9" w16cid:durableId="1228608924">
    <w:abstractNumId w:val="5"/>
  </w:num>
  <w:num w:numId="10" w16cid:durableId="772942754">
    <w:abstractNumId w:val="4"/>
  </w:num>
  <w:num w:numId="11" w16cid:durableId="667831207">
    <w:abstractNumId w:val="3"/>
  </w:num>
  <w:num w:numId="12" w16cid:durableId="1527404855">
    <w:abstractNumId w:val="2"/>
  </w:num>
  <w:num w:numId="13" w16cid:durableId="1902599416">
    <w:abstractNumId w:val="6"/>
  </w:num>
  <w:num w:numId="14" w16cid:durableId="561450091">
    <w:abstractNumId w:val="1"/>
  </w:num>
  <w:num w:numId="15" w16cid:durableId="1576089098">
    <w:abstractNumId w:val="0"/>
  </w:num>
  <w:num w:numId="16" w16cid:durableId="199324748">
    <w:abstractNumId w:val="22"/>
  </w:num>
  <w:num w:numId="17" w16cid:durableId="25446275">
    <w:abstractNumId w:val="11"/>
  </w:num>
  <w:num w:numId="18" w16cid:durableId="1281571126">
    <w:abstractNumId w:val="12"/>
  </w:num>
  <w:num w:numId="19" w16cid:durableId="763838685">
    <w:abstractNumId w:val="13"/>
  </w:num>
  <w:num w:numId="20" w16cid:durableId="1682660945">
    <w:abstractNumId w:val="11"/>
  </w:num>
  <w:num w:numId="21" w16cid:durableId="322897377">
    <w:abstractNumId w:val="13"/>
  </w:num>
  <w:num w:numId="22" w16cid:durableId="1593851851">
    <w:abstractNumId w:val="22"/>
  </w:num>
  <w:num w:numId="23" w16cid:durableId="663510714">
    <w:abstractNumId w:val="17"/>
  </w:num>
  <w:num w:numId="24" w16cid:durableId="194124381">
    <w:abstractNumId w:val="20"/>
  </w:num>
  <w:num w:numId="25" w16cid:durableId="429475986">
    <w:abstractNumId w:val="8"/>
  </w:num>
  <w:num w:numId="26" w16cid:durableId="1836649535">
    <w:abstractNumId w:val="16"/>
  </w:num>
  <w:num w:numId="27" w16cid:durableId="279579492">
    <w:abstractNumId w:val="21"/>
  </w:num>
  <w:num w:numId="28" w16cid:durableId="1993825712">
    <w:abstractNumId w:val="23"/>
  </w:num>
  <w:num w:numId="29" w16cid:durableId="782773063">
    <w:abstractNumId w:val="9"/>
  </w:num>
  <w:num w:numId="30" w16cid:durableId="1511791406">
    <w:abstractNumId w:val="14"/>
  </w:num>
  <w:num w:numId="31" w16cid:durableId="132138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30"/>
    <w:rsid w:val="00003743"/>
    <w:rsid w:val="000047B4"/>
    <w:rsid w:val="00004A29"/>
    <w:rsid w:val="00005712"/>
    <w:rsid w:val="00007FD8"/>
    <w:rsid w:val="000117F8"/>
    <w:rsid w:val="0001460F"/>
    <w:rsid w:val="00016E30"/>
    <w:rsid w:val="00022629"/>
    <w:rsid w:val="00024904"/>
    <w:rsid w:val="00026139"/>
    <w:rsid w:val="0002744D"/>
    <w:rsid w:val="00027601"/>
    <w:rsid w:val="00033321"/>
    <w:rsid w:val="000338E5"/>
    <w:rsid w:val="00033ECC"/>
    <w:rsid w:val="0003422F"/>
    <w:rsid w:val="000413B2"/>
    <w:rsid w:val="00046FF0"/>
    <w:rsid w:val="00050176"/>
    <w:rsid w:val="00052471"/>
    <w:rsid w:val="00054346"/>
    <w:rsid w:val="000549E4"/>
    <w:rsid w:val="00067456"/>
    <w:rsid w:val="00071506"/>
    <w:rsid w:val="0007154F"/>
    <w:rsid w:val="00081AB1"/>
    <w:rsid w:val="000872E4"/>
    <w:rsid w:val="00090316"/>
    <w:rsid w:val="00093981"/>
    <w:rsid w:val="00093CF8"/>
    <w:rsid w:val="000A5E88"/>
    <w:rsid w:val="000B067A"/>
    <w:rsid w:val="000B1540"/>
    <w:rsid w:val="000B1E53"/>
    <w:rsid w:val="000B1EB5"/>
    <w:rsid w:val="000B33FD"/>
    <w:rsid w:val="000B4ABA"/>
    <w:rsid w:val="000C0117"/>
    <w:rsid w:val="000C4B16"/>
    <w:rsid w:val="000C50C3"/>
    <w:rsid w:val="000C5E14"/>
    <w:rsid w:val="000C7F96"/>
    <w:rsid w:val="000D21F6"/>
    <w:rsid w:val="000D4500"/>
    <w:rsid w:val="000D4FB1"/>
    <w:rsid w:val="000D72AE"/>
    <w:rsid w:val="000D7AEA"/>
    <w:rsid w:val="000E2C66"/>
    <w:rsid w:val="000E4C1B"/>
    <w:rsid w:val="000F0A33"/>
    <w:rsid w:val="000F123C"/>
    <w:rsid w:val="000F2FED"/>
    <w:rsid w:val="000F3929"/>
    <w:rsid w:val="00100107"/>
    <w:rsid w:val="00101C1E"/>
    <w:rsid w:val="001060F0"/>
    <w:rsid w:val="0010616D"/>
    <w:rsid w:val="00110478"/>
    <w:rsid w:val="001157C6"/>
    <w:rsid w:val="0011711B"/>
    <w:rsid w:val="00117F8A"/>
    <w:rsid w:val="00121B9B"/>
    <w:rsid w:val="00122ADC"/>
    <w:rsid w:val="00127D29"/>
    <w:rsid w:val="00130F59"/>
    <w:rsid w:val="00133EC0"/>
    <w:rsid w:val="00134DC1"/>
    <w:rsid w:val="00137E17"/>
    <w:rsid w:val="00141CE5"/>
    <w:rsid w:val="001437D5"/>
    <w:rsid w:val="00144908"/>
    <w:rsid w:val="001571C7"/>
    <w:rsid w:val="00161094"/>
    <w:rsid w:val="00163390"/>
    <w:rsid w:val="0017477F"/>
    <w:rsid w:val="0017665C"/>
    <w:rsid w:val="00177AD2"/>
    <w:rsid w:val="001815A8"/>
    <w:rsid w:val="00183136"/>
    <w:rsid w:val="001840FA"/>
    <w:rsid w:val="001853FB"/>
    <w:rsid w:val="00187CEE"/>
    <w:rsid w:val="00190079"/>
    <w:rsid w:val="00195757"/>
    <w:rsid w:val="0019622E"/>
    <w:rsid w:val="001966A7"/>
    <w:rsid w:val="001A4627"/>
    <w:rsid w:val="001A4979"/>
    <w:rsid w:val="001B0C90"/>
    <w:rsid w:val="001B15D3"/>
    <w:rsid w:val="001B33D8"/>
    <w:rsid w:val="001B3443"/>
    <w:rsid w:val="001B3617"/>
    <w:rsid w:val="001C0326"/>
    <w:rsid w:val="001C192F"/>
    <w:rsid w:val="001C3C42"/>
    <w:rsid w:val="001D5023"/>
    <w:rsid w:val="001D7869"/>
    <w:rsid w:val="001D7889"/>
    <w:rsid w:val="001E36CD"/>
    <w:rsid w:val="002026CD"/>
    <w:rsid w:val="002033FC"/>
    <w:rsid w:val="002044BB"/>
    <w:rsid w:val="0020462F"/>
    <w:rsid w:val="00204DA5"/>
    <w:rsid w:val="002064A0"/>
    <w:rsid w:val="00210B09"/>
    <w:rsid w:val="00210C9E"/>
    <w:rsid w:val="00211840"/>
    <w:rsid w:val="00220E5F"/>
    <w:rsid w:val="002212B5"/>
    <w:rsid w:val="00224320"/>
    <w:rsid w:val="00226668"/>
    <w:rsid w:val="00233809"/>
    <w:rsid w:val="00233F3E"/>
    <w:rsid w:val="00235A2A"/>
    <w:rsid w:val="00240046"/>
    <w:rsid w:val="0024797F"/>
    <w:rsid w:val="0025119E"/>
    <w:rsid w:val="00251269"/>
    <w:rsid w:val="00252389"/>
    <w:rsid w:val="00252515"/>
    <w:rsid w:val="002535C0"/>
    <w:rsid w:val="00254F59"/>
    <w:rsid w:val="00256640"/>
    <w:rsid w:val="002579FE"/>
    <w:rsid w:val="0026311C"/>
    <w:rsid w:val="002644E5"/>
    <w:rsid w:val="0026668C"/>
    <w:rsid w:val="00266AC1"/>
    <w:rsid w:val="002672EE"/>
    <w:rsid w:val="0027178C"/>
    <w:rsid w:val="002719FA"/>
    <w:rsid w:val="00272668"/>
    <w:rsid w:val="00272BEB"/>
    <w:rsid w:val="0027330B"/>
    <w:rsid w:val="00274DCA"/>
    <w:rsid w:val="00274E7A"/>
    <w:rsid w:val="002803AD"/>
    <w:rsid w:val="00282052"/>
    <w:rsid w:val="00283B81"/>
    <w:rsid w:val="0028519E"/>
    <w:rsid w:val="002856A5"/>
    <w:rsid w:val="002872ED"/>
    <w:rsid w:val="002905C2"/>
    <w:rsid w:val="00295AF2"/>
    <w:rsid w:val="00295C91"/>
    <w:rsid w:val="00297151"/>
    <w:rsid w:val="002B20E6"/>
    <w:rsid w:val="002B42A3"/>
    <w:rsid w:val="002B6B39"/>
    <w:rsid w:val="002C0CDD"/>
    <w:rsid w:val="002C38C4"/>
    <w:rsid w:val="002C5A16"/>
    <w:rsid w:val="002D1D21"/>
    <w:rsid w:val="002E1A1D"/>
    <w:rsid w:val="002E3098"/>
    <w:rsid w:val="002E3EC9"/>
    <w:rsid w:val="002E4081"/>
    <w:rsid w:val="002E4F30"/>
    <w:rsid w:val="002E5B78"/>
    <w:rsid w:val="002F2874"/>
    <w:rsid w:val="002F3AE3"/>
    <w:rsid w:val="002F5A95"/>
    <w:rsid w:val="0030464B"/>
    <w:rsid w:val="0030786C"/>
    <w:rsid w:val="00311D00"/>
    <w:rsid w:val="0031610B"/>
    <w:rsid w:val="003233DE"/>
    <w:rsid w:val="0032466B"/>
    <w:rsid w:val="0032543E"/>
    <w:rsid w:val="003274CB"/>
    <w:rsid w:val="003330EB"/>
    <w:rsid w:val="0033398F"/>
    <w:rsid w:val="003415FD"/>
    <w:rsid w:val="003429F0"/>
    <w:rsid w:val="00345A82"/>
    <w:rsid w:val="00347E7E"/>
    <w:rsid w:val="0035097A"/>
    <w:rsid w:val="00353857"/>
    <w:rsid w:val="003540A4"/>
    <w:rsid w:val="00356704"/>
    <w:rsid w:val="00357BCC"/>
    <w:rsid w:val="00360E4E"/>
    <w:rsid w:val="0036794D"/>
    <w:rsid w:val="00370AAA"/>
    <w:rsid w:val="00375F77"/>
    <w:rsid w:val="00381BBE"/>
    <w:rsid w:val="00382903"/>
    <w:rsid w:val="003846FF"/>
    <w:rsid w:val="003857D4"/>
    <w:rsid w:val="00385AD4"/>
    <w:rsid w:val="00387924"/>
    <w:rsid w:val="00391D8A"/>
    <w:rsid w:val="0039384D"/>
    <w:rsid w:val="00395A09"/>
    <w:rsid w:val="00395C23"/>
    <w:rsid w:val="003A2E4F"/>
    <w:rsid w:val="003A34FA"/>
    <w:rsid w:val="003A4438"/>
    <w:rsid w:val="003A5013"/>
    <w:rsid w:val="003A5078"/>
    <w:rsid w:val="003A62DD"/>
    <w:rsid w:val="003A6A61"/>
    <w:rsid w:val="003A775A"/>
    <w:rsid w:val="003B01A8"/>
    <w:rsid w:val="003B1D51"/>
    <w:rsid w:val="003B213A"/>
    <w:rsid w:val="003B3F83"/>
    <w:rsid w:val="003B43AD"/>
    <w:rsid w:val="003B7796"/>
    <w:rsid w:val="003C0FEC"/>
    <w:rsid w:val="003C2AC8"/>
    <w:rsid w:val="003D033A"/>
    <w:rsid w:val="003D17F9"/>
    <w:rsid w:val="003D2D88"/>
    <w:rsid w:val="003D2DED"/>
    <w:rsid w:val="003D41EA"/>
    <w:rsid w:val="003D4850"/>
    <w:rsid w:val="003D535A"/>
    <w:rsid w:val="003E31C3"/>
    <w:rsid w:val="003E5265"/>
    <w:rsid w:val="003E6BDB"/>
    <w:rsid w:val="003F0955"/>
    <w:rsid w:val="003F5F4D"/>
    <w:rsid w:val="003F646F"/>
    <w:rsid w:val="003F739E"/>
    <w:rsid w:val="00400F00"/>
    <w:rsid w:val="00404F8B"/>
    <w:rsid w:val="00405256"/>
    <w:rsid w:val="00410031"/>
    <w:rsid w:val="00411BF9"/>
    <w:rsid w:val="00415AE5"/>
    <w:rsid w:val="00415C81"/>
    <w:rsid w:val="00432378"/>
    <w:rsid w:val="00440D65"/>
    <w:rsid w:val="004435E6"/>
    <w:rsid w:val="00443957"/>
    <w:rsid w:val="00447E31"/>
    <w:rsid w:val="00453923"/>
    <w:rsid w:val="00454B9B"/>
    <w:rsid w:val="00455DBB"/>
    <w:rsid w:val="0045684D"/>
    <w:rsid w:val="00457858"/>
    <w:rsid w:val="00460B0B"/>
    <w:rsid w:val="00461023"/>
    <w:rsid w:val="00462FAC"/>
    <w:rsid w:val="00464631"/>
    <w:rsid w:val="00464B79"/>
    <w:rsid w:val="00467BBF"/>
    <w:rsid w:val="0048593C"/>
    <w:rsid w:val="004867E2"/>
    <w:rsid w:val="004929A9"/>
    <w:rsid w:val="00495DD8"/>
    <w:rsid w:val="004A4E07"/>
    <w:rsid w:val="004A78D9"/>
    <w:rsid w:val="004A7A28"/>
    <w:rsid w:val="004B4CF8"/>
    <w:rsid w:val="004B6A78"/>
    <w:rsid w:val="004B7457"/>
    <w:rsid w:val="004C6BCF"/>
    <w:rsid w:val="004D02C1"/>
    <w:rsid w:val="004D16AB"/>
    <w:rsid w:val="004D58BF"/>
    <w:rsid w:val="004D5E64"/>
    <w:rsid w:val="004E4335"/>
    <w:rsid w:val="004F13EE"/>
    <w:rsid w:val="004F2022"/>
    <w:rsid w:val="004F2703"/>
    <w:rsid w:val="004F7C05"/>
    <w:rsid w:val="00501C94"/>
    <w:rsid w:val="00506432"/>
    <w:rsid w:val="0052051D"/>
    <w:rsid w:val="00523DDD"/>
    <w:rsid w:val="00533D97"/>
    <w:rsid w:val="00541E31"/>
    <w:rsid w:val="00545EE6"/>
    <w:rsid w:val="005550E7"/>
    <w:rsid w:val="005564FB"/>
    <w:rsid w:val="005572C7"/>
    <w:rsid w:val="005650ED"/>
    <w:rsid w:val="00565536"/>
    <w:rsid w:val="00575754"/>
    <w:rsid w:val="00581FBA"/>
    <w:rsid w:val="00591E20"/>
    <w:rsid w:val="00595408"/>
    <w:rsid w:val="00595E84"/>
    <w:rsid w:val="00595F81"/>
    <w:rsid w:val="005A0C59"/>
    <w:rsid w:val="005A0E40"/>
    <w:rsid w:val="005A48EB"/>
    <w:rsid w:val="005A6CFB"/>
    <w:rsid w:val="005C5791"/>
    <w:rsid w:val="005C5AEB"/>
    <w:rsid w:val="005D185D"/>
    <w:rsid w:val="005D5967"/>
    <w:rsid w:val="005E0A3F"/>
    <w:rsid w:val="005E4044"/>
    <w:rsid w:val="005E4F69"/>
    <w:rsid w:val="005E6883"/>
    <w:rsid w:val="005E772F"/>
    <w:rsid w:val="005F4895"/>
    <w:rsid w:val="005F4ECA"/>
    <w:rsid w:val="00600331"/>
    <w:rsid w:val="00601C77"/>
    <w:rsid w:val="006041BE"/>
    <w:rsid w:val="006043C7"/>
    <w:rsid w:val="00606579"/>
    <w:rsid w:val="0060760C"/>
    <w:rsid w:val="006125B6"/>
    <w:rsid w:val="00624B52"/>
    <w:rsid w:val="00630794"/>
    <w:rsid w:val="00631DF4"/>
    <w:rsid w:val="00634175"/>
    <w:rsid w:val="006408AC"/>
    <w:rsid w:val="006511B6"/>
    <w:rsid w:val="006515D8"/>
    <w:rsid w:val="00657FF8"/>
    <w:rsid w:val="00670D99"/>
    <w:rsid w:val="00670E2B"/>
    <w:rsid w:val="006734BB"/>
    <w:rsid w:val="00673859"/>
    <w:rsid w:val="0067697A"/>
    <w:rsid w:val="006821EB"/>
    <w:rsid w:val="00686C8D"/>
    <w:rsid w:val="0069076D"/>
    <w:rsid w:val="006B2286"/>
    <w:rsid w:val="006B2F11"/>
    <w:rsid w:val="006B56BB"/>
    <w:rsid w:val="006B6A86"/>
    <w:rsid w:val="006C77A8"/>
    <w:rsid w:val="006D4098"/>
    <w:rsid w:val="006D7681"/>
    <w:rsid w:val="006D7B2E"/>
    <w:rsid w:val="006E02EA"/>
    <w:rsid w:val="006E0968"/>
    <w:rsid w:val="006E0E0D"/>
    <w:rsid w:val="006E2AF6"/>
    <w:rsid w:val="006E69D8"/>
    <w:rsid w:val="006E7C38"/>
    <w:rsid w:val="006F67DB"/>
    <w:rsid w:val="00701275"/>
    <w:rsid w:val="00702EFE"/>
    <w:rsid w:val="00704015"/>
    <w:rsid w:val="00707F56"/>
    <w:rsid w:val="00713558"/>
    <w:rsid w:val="00715CB2"/>
    <w:rsid w:val="00720D08"/>
    <w:rsid w:val="007263B9"/>
    <w:rsid w:val="00730AB9"/>
    <w:rsid w:val="007334F8"/>
    <w:rsid w:val="007339CD"/>
    <w:rsid w:val="00733E5D"/>
    <w:rsid w:val="007359D8"/>
    <w:rsid w:val="007362D4"/>
    <w:rsid w:val="0074435F"/>
    <w:rsid w:val="00757D78"/>
    <w:rsid w:val="00765998"/>
    <w:rsid w:val="00766278"/>
    <w:rsid w:val="0076672A"/>
    <w:rsid w:val="00772442"/>
    <w:rsid w:val="00772AF9"/>
    <w:rsid w:val="00775E45"/>
    <w:rsid w:val="00776E74"/>
    <w:rsid w:val="00785169"/>
    <w:rsid w:val="007954AB"/>
    <w:rsid w:val="007972AF"/>
    <w:rsid w:val="007A14C5"/>
    <w:rsid w:val="007A4A10"/>
    <w:rsid w:val="007B008C"/>
    <w:rsid w:val="007B1760"/>
    <w:rsid w:val="007C1C5B"/>
    <w:rsid w:val="007C1FDC"/>
    <w:rsid w:val="007C6D9C"/>
    <w:rsid w:val="007C7DDB"/>
    <w:rsid w:val="007D2CC7"/>
    <w:rsid w:val="007D5760"/>
    <w:rsid w:val="007D673D"/>
    <w:rsid w:val="007E1EF3"/>
    <w:rsid w:val="007E40EE"/>
    <w:rsid w:val="007E4D09"/>
    <w:rsid w:val="007E77B3"/>
    <w:rsid w:val="007F2220"/>
    <w:rsid w:val="007F4B3E"/>
    <w:rsid w:val="007F6654"/>
    <w:rsid w:val="007F6B6A"/>
    <w:rsid w:val="008127AF"/>
    <w:rsid w:val="00812B46"/>
    <w:rsid w:val="00815700"/>
    <w:rsid w:val="0081656D"/>
    <w:rsid w:val="00820D04"/>
    <w:rsid w:val="00824C9B"/>
    <w:rsid w:val="00825323"/>
    <w:rsid w:val="008264EB"/>
    <w:rsid w:val="00826B8F"/>
    <w:rsid w:val="008318E5"/>
    <w:rsid w:val="00831C19"/>
    <w:rsid w:val="00831E8A"/>
    <w:rsid w:val="00835C76"/>
    <w:rsid w:val="008372BE"/>
    <w:rsid w:val="008376E2"/>
    <w:rsid w:val="00843049"/>
    <w:rsid w:val="00846A93"/>
    <w:rsid w:val="008500A5"/>
    <w:rsid w:val="0085209B"/>
    <w:rsid w:val="00856263"/>
    <w:rsid w:val="00856B66"/>
    <w:rsid w:val="008601AC"/>
    <w:rsid w:val="00861A5F"/>
    <w:rsid w:val="008644AD"/>
    <w:rsid w:val="00865735"/>
    <w:rsid w:val="00865DDB"/>
    <w:rsid w:val="00867538"/>
    <w:rsid w:val="008732B2"/>
    <w:rsid w:val="00873D90"/>
    <w:rsid w:val="00873FC8"/>
    <w:rsid w:val="00884C63"/>
    <w:rsid w:val="00885908"/>
    <w:rsid w:val="008864B7"/>
    <w:rsid w:val="00891770"/>
    <w:rsid w:val="00894635"/>
    <w:rsid w:val="0089677E"/>
    <w:rsid w:val="008A2BDD"/>
    <w:rsid w:val="008A7438"/>
    <w:rsid w:val="008B0752"/>
    <w:rsid w:val="008B1334"/>
    <w:rsid w:val="008B25C7"/>
    <w:rsid w:val="008B343A"/>
    <w:rsid w:val="008C0278"/>
    <w:rsid w:val="008C24E9"/>
    <w:rsid w:val="008C32E4"/>
    <w:rsid w:val="008D0533"/>
    <w:rsid w:val="008D0E2F"/>
    <w:rsid w:val="008D42CB"/>
    <w:rsid w:val="008D48C9"/>
    <w:rsid w:val="008D6381"/>
    <w:rsid w:val="008D6643"/>
    <w:rsid w:val="008D70AF"/>
    <w:rsid w:val="008E0C77"/>
    <w:rsid w:val="008E0D43"/>
    <w:rsid w:val="008E625F"/>
    <w:rsid w:val="008F1B25"/>
    <w:rsid w:val="008F264D"/>
    <w:rsid w:val="009040E9"/>
    <w:rsid w:val="009074E1"/>
    <w:rsid w:val="009112F7"/>
    <w:rsid w:val="009122AF"/>
    <w:rsid w:val="00912D54"/>
    <w:rsid w:val="0091389F"/>
    <w:rsid w:val="009208F7"/>
    <w:rsid w:val="00920E98"/>
    <w:rsid w:val="00921649"/>
    <w:rsid w:val="00922517"/>
    <w:rsid w:val="00922722"/>
    <w:rsid w:val="009261E6"/>
    <w:rsid w:val="009268E1"/>
    <w:rsid w:val="009344DE"/>
    <w:rsid w:val="0094081C"/>
    <w:rsid w:val="00944DC8"/>
    <w:rsid w:val="00945E7F"/>
    <w:rsid w:val="009557C1"/>
    <w:rsid w:val="00956E04"/>
    <w:rsid w:val="0096062C"/>
    <w:rsid w:val="00960D6E"/>
    <w:rsid w:val="009724B1"/>
    <w:rsid w:val="00972EB6"/>
    <w:rsid w:val="00972F31"/>
    <w:rsid w:val="00974B59"/>
    <w:rsid w:val="00980AFD"/>
    <w:rsid w:val="00981A8F"/>
    <w:rsid w:val="0098340B"/>
    <w:rsid w:val="00986830"/>
    <w:rsid w:val="009924C3"/>
    <w:rsid w:val="00993102"/>
    <w:rsid w:val="00993831"/>
    <w:rsid w:val="009B1570"/>
    <w:rsid w:val="009B3032"/>
    <w:rsid w:val="009C6A63"/>
    <w:rsid w:val="009C6F10"/>
    <w:rsid w:val="009D101B"/>
    <w:rsid w:val="009D148F"/>
    <w:rsid w:val="009D3D70"/>
    <w:rsid w:val="009E027A"/>
    <w:rsid w:val="009E47AC"/>
    <w:rsid w:val="009E691D"/>
    <w:rsid w:val="009E6F7E"/>
    <w:rsid w:val="009E7A57"/>
    <w:rsid w:val="009F4803"/>
    <w:rsid w:val="009F4F6A"/>
    <w:rsid w:val="00A13EB5"/>
    <w:rsid w:val="00A15AD0"/>
    <w:rsid w:val="00A16E36"/>
    <w:rsid w:val="00A2056A"/>
    <w:rsid w:val="00A24961"/>
    <w:rsid w:val="00A24B10"/>
    <w:rsid w:val="00A277EF"/>
    <w:rsid w:val="00A30E9B"/>
    <w:rsid w:val="00A44C1A"/>
    <w:rsid w:val="00A4512D"/>
    <w:rsid w:val="00A50244"/>
    <w:rsid w:val="00A627D7"/>
    <w:rsid w:val="00A656C7"/>
    <w:rsid w:val="00A705AF"/>
    <w:rsid w:val="00A70C78"/>
    <w:rsid w:val="00A72454"/>
    <w:rsid w:val="00A74628"/>
    <w:rsid w:val="00A77696"/>
    <w:rsid w:val="00A80557"/>
    <w:rsid w:val="00A8161B"/>
    <w:rsid w:val="00A81D33"/>
    <w:rsid w:val="00A8341C"/>
    <w:rsid w:val="00A858B7"/>
    <w:rsid w:val="00A869EF"/>
    <w:rsid w:val="00A90551"/>
    <w:rsid w:val="00A930AE"/>
    <w:rsid w:val="00AA1A95"/>
    <w:rsid w:val="00AA260F"/>
    <w:rsid w:val="00AB1EE7"/>
    <w:rsid w:val="00AB4B37"/>
    <w:rsid w:val="00AB5762"/>
    <w:rsid w:val="00AC2679"/>
    <w:rsid w:val="00AC4BE4"/>
    <w:rsid w:val="00AD05E6"/>
    <w:rsid w:val="00AD0D3F"/>
    <w:rsid w:val="00AD1B8F"/>
    <w:rsid w:val="00AD3139"/>
    <w:rsid w:val="00AD3AFB"/>
    <w:rsid w:val="00AE09F9"/>
    <w:rsid w:val="00AE1D7D"/>
    <w:rsid w:val="00AE2A8B"/>
    <w:rsid w:val="00AE3012"/>
    <w:rsid w:val="00AE3F64"/>
    <w:rsid w:val="00AE7480"/>
    <w:rsid w:val="00AF7386"/>
    <w:rsid w:val="00AF7934"/>
    <w:rsid w:val="00B00B81"/>
    <w:rsid w:val="00B04580"/>
    <w:rsid w:val="00B04B09"/>
    <w:rsid w:val="00B1291C"/>
    <w:rsid w:val="00B155CB"/>
    <w:rsid w:val="00B16A51"/>
    <w:rsid w:val="00B20399"/>
    <w:rsid w:val="00B32222"/>
    <w:rsid w:val="00B3618D"/>
    <w:rsid w:val="00B36233"/>
    <w:rsid w:val="00B36981"/>
    <w:rsid w:val="00B42851"/>
    <w:rsid w:val="00B45AC7"/>
    <w:rsid w:val="00B51660"/>
    <w:rsid w:val="00B5372F"/>
    <w:rsid w:val="00B55D3D"/>
    <w:rsid w:val="00B61129"/>
    <w:rsid w:val="00B64B76"/>
    <w:rsid w:val="00B65CF8"/>
    <w:rsid w:val="00B67C92"/>
    <w:rsid w:val="00B67E7F"/>
    <w:rsid w:val="00B839B2"/>
    <w:rsid w:val="00B94252"/>
    <w:rsid w:val="00B9715A"/>
    <w:rsid w:val="00BA14BE"/>
    <w:rsid w:val="00BA1C54"/>
    <w:rsid w:val="00BA2732"/>
    <w:rsid w:val="00BA293D"/>
    <w:rsid w:val="00BA49BC"/>
    <w:rsid w:val="00BA56B7"/>
    <w:rsid w:val="00BA5E28"/>
    <w:rsid w:val="00BA7A1E"/>
    <w:rsid w:val="00BB2F6C"/>
    <w:rsid w:val="00BB3875"/>
    <w:rsid w:val="00BB5860"/>
    <w:rsid w:val="00BB6AAD"/>
    <w:rsid w:val="00BC0FFB"/>
    <w:rsid w:val="00BC42CB"/>
    <w:rsid w:val="00BC4A19"/>
    <w:rsid w:val="00BC4E6D"/>
    <w:rsid w:val="00BD0617"/>
    <w:rsid w:val="00BD2E9B"/>
    <w:rsid w:val="00BD7FB2"/>
    <w:rsid w:val="00C00930"/>
    <w:rsid w:val="00C060AD"/>
    <w:rsid w:val="00C0617D"/>
    <w:rsid w:val="00C113BF"/>
    <w:rsid w:val="00C2176E"/>
    <w:rsid w:val="00C21A8B"/>
    <w:rsid w:val="00C23430"/>
    <w:rsid w:val="00C27D67"/>
    <w:rsid w:val="00C30C2E"/>
    <w:rsid w:val="00C3616E"/>
    <w:rsid w:val="00C41384"/>
    <w:rsid w:val="00C4400B"/>
    <w:rsid w:val="00C450B5"/>
    <w:rsid w:val="00C4631F"/>
    <w:rsid w:val="00C46F7D"/>
    <w:rsid w:val="00C47CDE"/>
    <w:rsid w:val="00C50E16"/>
    <w:rsid w:val="00C5237F"/>
    <w:rsid w:val="00C55258"/>
    <w:rsid w:val="00C57294"/>
    <w:rsid w:val="00C7475D"/>
    <w:rsid w:val="00C7503A"/>
    <w:rsid w:val="00C82EEB"/>
    <w:rsid w:val="00C868D4"/>
    <w:rsid w:val="00C971DC"/>
    <w:rsid w:val="00CA16B7"/>
    <w:rsid w:val="00CA62AE"/>
    <w:rsid w:val="00CB5B1A"/>
    <w:rsid w:val="00CC220B"/>
    <w:rsid w:val="00CC5C43"/>
    <w:rsid w:val="00CD02AE"/>
    <w:rsid w:val="00CD2A4F"/>
    <w:rsid w:val="00CD687C"/>
    <w:rsid w:val="00CE03CA"/>
    <w:rsid w:val="00CE22F1"/>
    <w:rsid w:val="00CE50F2"/>
    <w:rsid w:val="00CE6502"/>
    <w:rsid w:val="00CE6BFE"/>
    <w:rsid w:val="00CF7D3C"/>
    <w:rsid w:val="00D008ED"/>
    <w:rsid w:val="00D01F09"/>
    <w:rsid w:val="00D03AA0"/>
    <w:rsid w:val="00D07414"/>
    <w:rsid w:val="00D147EB"/>
    <w:rsid w:val="00D23862"/>
    <w:rsid w:val="00D24B08"/>
    <w:rsid w:val="00D322ED"/>
    <w:rsid w:val="00D34667"/>
    <w:rsid w:val="00D401E1"/>
    <w:rsid w:val="00D408B4"/>
    <w:rsid w:val="00D524C8"/>
    <w:rsid w:val="00D6338E"/>
    <w:rsid w:val="00D70E24"/>
    <w:rsid w:val="00D72B61"/>
    <w:rsid w:val="00D94899"/>
    <w:rsid w:val="00DA3D1D"/>
    <w:rsid w:val="00DB6286"/>
    <w:rsid w:val="00DB645F"/>
    <w:rsid w:val="00DB76E9"/>
    <w:rsid w:val="00DC0A67"/>
    <w:rsid w:val="00DC174D"/>
    <w:rsid w:val="00DC1D5E"/>
    <w:rsid w:val="00DC5220"/>
    <w:rsid w:val="00DC739E"/>
    <w:rsid w:val="00DD1C1C"/>
    <w:rsid w:val="00DD2061"/>
    <w:rsid w:val="00DD7907"/>
    <w:rsid w:val="00DD7DAB"/>
    <w:rsid w:val="00DE1E10"/>
    <w:rsid w:val="00DE3355"/>
    <w:rsid w:val="00DF0C60"/>
    <w:rsid w:val="00DF486F"/>
    <w:rsid w:val="00DF5B5B"/>
    <w:rsid w:val="00DF7619"/>
    <w:rsid w:val="00DF7ABA"/>
    <w:rsid w:val="00DF7C03"/>
    <w:rsid w:val="00E01BE1"/>
    <w:rsid w:val="00E042D8"/>
    <w:rsid w:val="00E07EE7"/>
    <w:rsid w:val="00E1103B"/>
    <w:rsid w:val="00E17B44"/>
    <w:rsid w:val="00E20F27"/>
    <w:rsid w:val="00E22443"/>
    <w:rsid w:val="00E27A9E"/>
    <w:rsid w:val="00E27FEA"/>
    <w:rsid w:val="00E300D1"/>
    <w:rsid w:val="00E324A7"/>
    <w:rsid w:val="00E4086F"/>
    <w:rsid w:val="00E43B3C"/>
    <w:rsid w:val="00E50188"/>
    <w:rsid w:val="00E50BB3"/>
    <w:rsid w:val="00E515CB"/>
    <w:rsid w:val="00E52260"/>
    <w:rsid w:val="00E5430C"/>
    <w:rsid w:val="00E639B6"/>
    <w:rsid w:val="00E640E8"/>
    <w:rsid w:val="00E6434B"/>
    <w:rsid w:val="00E6463D"/>
    <w:rsid w:val="00E66A2E"/>
    <w:rsid w:val="00E727DC"/>
    <w:rsid w:val="00E72E9B"/>
    <w:rsid w:val="00E83265"/>
    <w:rsid w:val="00E850C3"/>
    <w:rsid w:val="00E87DF2"/>
    <w:rsid w:val="00E944FD"/>
    <w:rsid w:val="00E9462E"/>
    <w:rsid w:val="00EA18A1"/>
    <w:rsid w:val="00EA470E"/>
    <w:rsid w:val="00EA47A7"/>
    <w:rsid w:val="00EA4B79"/>
    <w:rsid w:val="00EA51E5"/>
    <w:rsid w:val="00EA57EB"/>
    <w:rsid w:val="00EA7590"/>
    <w:rsid w:val="00EB1F93"/>
    <w:rsid w:val="00EB3226"/>
    <w:rsid w:val="00EB7FA3"/>
    <w:rsid w:val="00EC213A"/>
    <w:rsid w:val="00EC7744"/>
    <w:rsid w:val="00ED0DAD"/>
    <w:rsid w:val="00ED0F46"/>
    <w:rsid w:val="00ED2373"/>
    <w:rsid w:val="00ED4828"/>
    <w:rsid w:val="00EE3E8A"/>
    <w:rsid w:val="00EE62B6"/>
    <w:rsid w:val="00EF58B8"/>
    <w:rsid w:val="00EF6ECA"/>
    <w:rsid w:val="00F024E1"/>
    <w:rsid w:val="00F06C10"/>
    <w:rsid w:val="00F1096F"/>
    <w:rsid w:val="00F12589"/>
    <w:rsid w:val="00F12595"/>
    <w:rsid w:val="00F134D9"/>
    <w:rsid w:val="00F1403D"/>
    <w:rsid w:val="00F1463F"/>
    <w:rsid w:val="00F16361"/>
    <w:rsid w:val="00F21302"/>
    <w:rsid w:val="00F243BD"/>
    <w:rsid w:val="00F31FA1"/>
    <w:rsid w:val="00F321DE"/>
    <w:rsid w:val="00F33777"/>
    <w:rsid w:val="00F401B1"/>
    <w:rsid w:val="00F40648"/>
    <w:rsid w:val="00F44EDC"/>
    <w:rsid w:val="00F47DA2"/>
    <w:rsid w:val="00F518A4"/>
    <w:rsid w:val="00F519FC"/>
    <w:rsid w:val="00F51D04"/>
    <w:rsid w:val="00F529E0"/>
    <w:rsid w:val="00F6239D"/>
    <w:rsid w:val="00F64D2C"/>
    <w:rsid w:val="00F715D2"/>
    <w:rsid w:val="00F7274F"/>
    <w:rsid w:val="00F74E84"/>
    <w:rsid w:val="00F76FA8"/>
    <w:rsid w:val="00F80BA4"/>
    <w:rsid w:val="00F93F08"/>
    <w:rsid w:val="00F94224"/>
    <w:rsid w:val="00F94364"/>
    <w:rsid w:val="00F94CED"/>
    <w:rsid w:val="00FA02BB"/>
    <w:rsid w:val="00FA2CEE"/>
    <w:rsid w:val="00FA2EFD"/>
    <w:rsid w:val="00FA318C"/>
    <w:rsid w:val="00FA5B36"/>
    <w:rsid w:val="00FB03A4"/>
    <w:rsid w:val="00FB3200"/>
    <w:rsid w:val="00FB56A6"/>
    <w:rsid w:val="00FB6F92"/>
    <w:rsid w:val="00FC026E"/>
    <w:rsid w:val="00FC1CFA"/>
    <w:rsid w:val="00FC5124"/>
    <w:rsid w:val="00FD4731"/>
    <w:rsid w:val="00FD6768"/>
    <w:rsid w:val="00FD69EE"/>
    <w:rsid w:val="00FE5760"/>
    <w:rsid w:val="00FF0AB0"/>
    <w:rsid w:val="00FF28AC"/>
    <w:rsid w:val="00FF7F62"/>
    <w:rsid w:val="01D8B1F3"/>
    <w:rsid w:val="02432442"/>
    <w:rsid w:val="03632E0D"/>
    <w:rsid w:val="043ED5D9"/>
    <w:rsid w:val="051E5EEE"/>
    <w:rsid w:val="05B1E57C"/>
    <w:rsid w:val="0787C3CF"/>
    <w:rsid w:val="07D9DBD1"/>
    <w:rsid w:val="0816F5E6"/>
    <w:rsid w:val="09762560"/>
    <w:rsid w:val="09912AE6"/>
    <w:rsid w:val="0A271510"/>
    <w:rsid w:val="0AFDD9A3"/>
    <w:rsid w:val="0CAEB60A"/>
    <w:rsid w:val="0CD37CCE"/>
    <w:rsid w:val="0D2F4299"/>
    <w:rsid w:val="1117B438"/>
    <w:rsid w:val="11C482D5"/>
    <w:rsid w:val="11DF45F9"/>
    <w:rsid w:val="1208AAA2"/>
    <w:rsid w:val="12B7EE28"/>
    <w:rsid w:val="12F8B4BE"/>
    <w:rsid w:val="14FA5C8A"/>
    <w:rsid w:val="162EA803"/>
    <w:rsid w:val="163FE80A"/>
    <w:rsid w:val="168BC611"/>
    <w:rsid w:val="16F66592"/>
    <w:rsid w:val="189C8E86"/>
    <w:rsid w:val="18F3B14A"/>
    <w:rsid w:val="197E49C0"/>
    <w:rsid w:val="1BC8A783"/>
    <w:rsid w:val="1C5CD694"/>
    <w:rsid w:val="1CE51A3F"/>
    <w:rsid w:val="1DD2D497"/>
    <w:rsid w:val="1E2D6A73"/>
    <w:rsid w:val="2061FFD8"/>
    <w:rsid w:val="2280571D"/>
    <w:rsid w:val="239EB323"/>
    <w:rsid w:val="23B487A6"/>
    <w:rsid w:val="241FAF2C"/>
    <w:rsid w:val="24BCE7E1"/>
    <w:rsid w:val="24D67F2B"/>
    <w:rsid w:val="25034585"/>
    <w:rsid w:val="256A3397"/>
    <w:rsid w:val="25875A09"/>
    <w:rsid w:val="266FB79A"/>
    <w:rsid w:val="27038327"/>
    <w:rsid w:val="27244D5F"/>
    <w:rsid w:val="27562D9B"/>
    <w:rsid w:val="2774A63D"/>
    <w:rsid w:val="280C48D1"/>
    <w:rsid w:val="2A5D86A2"/>
    <w:rsid w:val="2BD64F1D"/>
    <w:rsid w:val="2C65F3A4"/>
    <w:rsid w:val="2D6ADF09"/>
    <w:rsid w:val="2D75D6D8"/>
    <w:rsid w:val="2D8F31BE"/>
    <w:rsid w:val="2F14637B"/>
    <w:rsid w:val="314AB938"/>
    <w:rsid w:val="31B4DDE1"/>
    <w:rsid w:val="31E2B080"/>
    <w:rsid w:val="322338B3"/>
    <w:rsid w:val="335E6516"/>
    <w:rsid w:val="34237067"/>
    <w:rsid w:val="344EB7AC"/>
    <w:rsid w:val="35368465"/>
    <w:rsid w:val="36262A18"/>
    <w:rsid w:val="36773983"/>
    <w:rsid w:val="38888509"/>
    <w:rsid w:val="391B5FAB"/>
    <w:rsid w:val="3953E205"/>
    <w:rsid w:val="3ADA8C55"/>
    <w:rsid w:val="3B6F31D3"/>
    <w:rsid w:val="3DCEACDA"/>
    <w:rsid w:val="3F4E59BB"/>
    <w:rsid w:val="419627FA"/>
    <w:rsid w:val="41ACF053"/>
    <w:rsid w:val="41C53118"/>
    <w:rsid w:val="42A4855D"/>
    <w:rsid w:val="44EBF250"/>
    <w:rsid w:val="4562C292"/>
    <w:rsid w:val="45AE525D"/>
    <w:rsid w:val="468A2DB0"/>
    <w:rsid w:val="46A02E05"/>
    <w:rsid w:val="486F8EC8"/>
    <w:rsid w:val="48D62F68"/>
    <w:rsid w:val="49D36429"/>
    <w:rsid w:val="4A599AEF"/>
    <w:rsid w:val="4B6FBE7D"/>
    <w:rsid w:val="4BD1D092"/>
    <w:rsid w:val="4D1664C1"/>
    <w:rsid w:val="4D677AF2"/>
    <w:rsid w:val="512A3A85"/>
    <w:rsid w:val="522584E2"/>
    <w:rsid w:val="525AEBE0"/>
    <w:rsid w:val="527F33D1"/>
    <w:rsid w:val="5333D147"/>
    <w:rsid w:val="58A5596C"/>
    <w:rsid w:val="59238D49"/>
    <w:rsid w:val="59FF557D"/>
    <w:rsid w:val="5C431F75"/>
    <w:rsid w:val="5CBAB183"/>
    <w:rsid w:val="5E812E42"/>
    <w:rsid w:val="5E8D6250"/>
    <w:rsid w:val="604F2166"/>
    <w:rsid w:val="60E3AF6F"/>
    <w:rsid w:val="6117C18D"/>
    <w:rsid w:val="63D533BD"/>
    <w:rsid w:val="66E173AD"/>
    <w:rsid w:val="670CC520"/>
    <w:rsid w:val="688AA4CC"/>
    <w:rsid w:val="69913BF9"/>
    <w:rsid w:val="6A820B36"/>
    <w:rsid w:val="6A964C7D"/>
    <w:rsid w:val="6C230CEB"/>
    <w:rsid w:val="7021BB07"/>
    <w:rsid w:val="70A3F01B"/>
    <w:rsid w:val="7118356F"/>
    <w:rsid w:val="71B99B40"/>
    <w:rsid w:val="7240EDDB"/>
    <w:rsid w:val="72730D15"/>
    <w:rsid w:val="72CD2B3D"/>
    <w:rsid w:val="73DA9CCA"/>
    <w:rsid w:val="752DE752"/>
    <w:rsid w:val="769A504C"/>
    <w:rsid w:val="772DB8F6"/>
    <w:rsid w:val="787BCD5A"/>
    <w:rsid w:val="79903FC6"/>
    <w:rsid w:val="7A07F6E5"/>
    <w:rsid w:val="7B231A22"/>
    <w:rsid w:val="7B3771A8"/>
    <w:rsid w:val="7C05571D"/>
    <w:rsid w:val="7DA2DE10"/>
    <w:rsid w:val="7F0C4C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AB183"/>
  <w15:docId w15:val="{E5C108B3-15F7-40F2-AD8F-DC359D5E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21A8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64B7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C21A8B"/>
    <w:pPr>
      <w:keepNext/>
      <w:numPr>
        <w:numId w:val="31"/>
      </w:numPr>
      <w:spacing w:before="240" w:after="60"/>
      <w:outlineLvl w:val="1"/>
    </w:pPr>
    <w:rPr>
      <w:rFonts w:ascii="Arial" w:hAnsi="Arial" w:cs="Arial"/>
      <w:b/>
      <w:bCs/>
      <w:iCs/>
      <w:color w:val="358189"/>
      <w:sz w:val="36"/>
      <w:szCs w:val="28"/>
      <w:lang w:val="en-GB" w:eastAsia="en-US"/>
    </w:rPr>
  </w:style>
  <w:style w:type="paragraph" w:styleId="Heading3">
    <w:name w:val="heading 3"/>
    <w:next w:val="Normal"/>
    <w:qFormat/>
    <w:rsid w:val="00C21A8B"/>
    <w:pPr>
      <w:keepNext/>
      <w:spacing w:before="180" w:after="60"/>
      <w:outlineLvl w:val="2"/>
    </w:pPr>
    <w:rPr>
      <w:rFonts w:ascii="Arial" w:hAnsi="Arial" w:cs="Arial"/>
      <w:b/>
      <w:bCs/>
      <w:iCs/>
      <w:sz w:val="24"/>
      <w:szCs w:val="24"/>
      <w:lang w:val="en-GB" w:eastAsia="en-US"/>
    </w:rPr>
  </w:style>
  <w:style w:type="paragraph" w:styleId="Heading4">
    <w:name w:val="heading 4"/>
    <w:next w:val="Normal"/>
    <w:qFormat/>
    <w:rsid w:val="00B64B7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64B7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64B7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64B7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64B76"/>
    <w:rPr>
      <w:i/>
      <w:iCs/>
    </w:rPr>
  </w:style>
  <w:style w:type="character" w:styleId="Strong">
    <w:name w:val="Strong"/>
    <w:basedOn w:val="DefaultParagraphFont"/>
    <w:rsid w:val="00B64B76"/>
    <w:rPr>
      <w:b/>
      <w:bCs/>
    </w:rPr>
  </w:style>
  <w:style w:type="paragraph" w:styleId="Subtitle">
    <w:name w:val="Subtitle"/>
    <w:next w:val="Normal"/>
    <w:link w:val="SubtitleChar"/>
    <w:qFormat/>
    <w:rsid w:val="00B64B7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64B7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64B76"/>
    <w:pPr>
      <w:spacing w:before="480" w:after="120"/>
      <w:contextualSpacing/>
    </w:pPr>
    <w:rPr>
      <w:rFonts w:ascii="Arial" w:eastAsiaTheme="majorEastAsia" w:hAnsi="Arial" w:cstheme="majorBidi"/>
      <w:b/>
      <w:color w:val="3F4A75"/>
      <w:kern w:val="28"/>
      <w:sz w:val="52"/>
      <w:szCs w:val="52"/>
      <w:lang w:eastAsia="en-US"/>
    </w:rPr>
  </w:style>
  <w:style w:type="character" w:customStyle="1" w:styleId="TitleChar">
    <w:name w:val="Title Char"/>
    <w:basedOn w:val="DefaultParagraphFont"/>
    <w:link w:val="Title"/>
    <w:rsid w:val="00B64B76"/>
    <w:rPr>
      <w:rFonts w:ascii="Arial" w:eastAsiaTheme="majorEastAsia" w:hAnsi="Arial" w:cstheme="majorBidi"/>
      <w:b/>
      <w:color w:val="3F4A75"/>
      <w:kern w:val="28"/>
      <w:sz w:val="52"/>
      <w:szCs w:val="52"/>
      <w:lang w:eastAsia="en-US"/>
    </w:rPr>
  </w:style>
  <w:style w:type="paragraph" w:customStyle="1" w:styleId="Boxheading">
    <w:name w:val="Box heading"/>
    <w:basedOn w:val="Boxtype"/>
    <w:qFormat/>
    <w:rsid w:val="00B64B76"/>
    <w:pPr>
      <w:spacing w:before="240"/>
    </w:pPr>
    <w:rPr>
      <w:rFonts w:cs="Times New Roman"/>
      <w:b/>
      <w:bCs/>
      <w:caps/>
      <w:color w:val="358189"/>
      <w:szCs w:val="20"/>
    </w:rPr>
  </w:style>
  <w:style w:type="character" w:styleId="SubtleEmphasis">
    <w:name w:val="Subtle Emphasis"/>
    <w:basedOn w:val="DefaultParagraphFont"/>
    <w:uiPriority w:val="19"/>
    <w:rsid w:val="00B64B76"/>
    <w:rPr>
      <w:i/>
      <w:iCs/>
      <w:color w:val="808080" w:themeColor="text1" w:themeTint="7F"/>
    </w:rPr>
  </w:style>
  <w:style w:type="character" w:styleId="IntenseEmphasis">
    <w:name w:val="Intense Emphasis"/>
    <w:basedOn w:val="DefaultParagraphFont"/>
    <w:uiPriority w:val="21"/>
    <w:rsid w:val="00B64B76"/>
    <w:rPr>
      <w:b/>
      <w:bCs/>
      <w:i/>
      <w:iCs/>
      <w:color w:val="3F4A75" w:themeColor="accent1"/>
    </w:rPr>
  </w:style>
  <w:style w:type="paragraph" w:styleId="Quote">
    <w:name w:val="Quote"/>
    <w:next w:val="Normal"/>
    <w:link w:val="QuoteChar"/>
    <w:uiPriority w:val="29"/>
    <w:qFormat/>
    <w:rsid w:val="00B64B7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64B7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64B7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64B7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64B76"/>
    <w:rPr>
      <w:smallCaps/>
      <w:color w:val="358189" w:themeColor="accent2"/>
      <w:u w:val="single"/>
    </w:rPr>
  </w:style>
  <w:style w:type="character" w:styleId="IntenseReference">
    <w:name w:val="Intense Reference"/>
    <w:basedOn w:val="DefaultParagraphFont"/>
    <w:uiPriority w:val="32"/>
    <w:rsid w:val="00B64B76"/>
    <w:rPr>
      <w:b/>
      <w:bCs/>
      <w:i/>
      <w:smallCaps/>
      <w:color w:val="358189" w:themeColor="accent2"/>
      <w:spacing w:val="5"/>
      <w:u w:val="none"/>
    </w:rPr>
  </w:style>
  <w:style w:type="paragraph" w:styleId="ListBullet2">
    <w:name w:val="List Bullet 2"/>
    <w:basedOn w:val="ListNumber2"/>
    <w:rsid w:val="00B64B76"/>
    <w:pPr>
      <w:numPr>
        <w:numId w:val="22"/>
      </w:numPr>
    </w:pPr>
  </w:style>
  <w:style w:type="paragraph" w:styleId="ListNumber2">
    <w:name w:val="List Number 2"/>
    <w:basedOn w:val="ListBullet"/>
    <w:qFormat/>
    <w:rsid w:val="00B64B76"/>
    <w:pPr>
      <w:numPr>
        <w:numId w:val="21"/>
      </w:numPr>
    </w:pPr>
  </w:style>
  <w:style w:type="paragraph" w:styleId="ListBullet">
    <w:name w:val="List Bullet"/>
    <w:basedOn w:val="Normal"/>
    <w:qFormat/>
    <w:rsid w:val="00B64B76"/>
    <w:pPr>
      <w:numPr>
        <w:numId w:val="20"/>
      </w:numPr>
      <w:tabs>
        <w:tab w:val="left" w:pos="340"/>
        <w:tab w:val="left" w:pos="680"/>
      </w:tabs>
      <w:spacing w:before="60" w:after="60"/>
    </w:pPr>
  </w:style>
  <w:style w:type="paragraph" w:styleId="ListParagraph">
    <w:name w:val="List Paragraph"/>
    <w:basedOn w:val="Normal"/>
    <w:uiPriority w:val="34"/>
    <w:rsid w:val="00B64B76"/>
    <w:pPr>
      <w:ind w:left="720"/>
      <w:contextualSpacing/>
    </w:pPr>
  </w:style>
  <w:style w:type="paragraph" w:styleId="ListNumber3">
    <w:name w:val="List Number 3"/>
    <w:aliases w:val="List Third Level"/>
    <w:basedOn w:val="ListNumber2"/>
    <w:rsid w:val="00B64B76"/>
    <w:pPr>
      <w:numPr>
        <w:numId w:val="23"/>
      </w:numPr>
      <w:tabs>
        <w:tab w:val="num" w:pos="1440"/>
      </w:tabs>
    </w:pPr>
    <w:rPr>
      <w:rFonts w:eastAsia="Cambria"/>
      <w:color w:val="auto"/>
      <w:szCs w:val="22"/>
      <w:lang w:val="en-US"/>
    </w:rPr>
  </w:style>
  <w:style w:type="paragraph" w:customStyle="1" w:styleId="ImageTitle">
    <w:name w:val="Image Title"/>
    <w:locked/>
    <w:rsid w:val="00B64B7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B64B76"/>
  </w:style>
  <w:style w:type="character" w:customStyle="1" w:styleId="BodyTextChar">
    <w:name w:val="Body Text Char"/>
    <w:basedOn w:val="DefaultParagraphFont"/>
    <w:link w:val="BodyText"/>
    <w:semiHidden/>
    <w:rsid w:val="00B64B76"/>
    <w:rPr>
      <w:rFonts w:ascii="Arial" w:hAnsi="Arial"/>
      <w:color w:val="000000" w:themeColor="text1"/>
      <w:sz w:val="22"/>
      <w:szCs w:val="24"/>
      <w:lang w:eastAsia="en-US"/>
    </w:rPr>
  </w:style>
  <w:style w:type="table" w:styleId="TableGrid">
    <w:name w:val="Table Grid"/>
    <w:basedOn w:val="TableNormal"/>
    <w:locked/>
    <w:rsid w:val="00B6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64B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B64B7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64B7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64B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64B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64B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64B76"/>
    <w:pPr>
      <w:spacing w:before="120" w:after="120"/>
    </w:pPr>
    <w:rPr>
      <w:rFonts w:ascii="Arial" w:hAnsi="Arial"/>
      <w:b/>
      <w:color w:val="000000" w:themeColor="text1"/>
      <w:sz w:val="22"/>
      <w:szCs w:val="24"/>
      <w:lang w:val="en-US" w:eastAsia="en-US"/>
    </w:rPr>
  </w:style>
  <w:style w:type="paragraph" w:styleId="Header">
    <w:name w:val="header"/>
    <w:link w:val="HeaderChar"/>
    <w:qFormat/>
    <w:rsid w:val="00B64B7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64B76"/>
    <w:rPr>
      <w:rFonts w:ascii="Arial" w:hAnsi="Arial"/>
      <w:sz w:val="22"/>
      <w:szCs w:val="24"/>
      <w:lang w:eastAsia="en-US"/>
    </w:rPr>
  </w:style>
  <w:style w:type="paragraph" w:styleId="Footer">
    <w:name w:val="footer"/>
    <w:link w:val="FooterChar"/>
    <w:uiPriority w:val="99"/>
    <w:qFormat/>
    <w:rsid w:val="00B64B7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64B76"/>
    <w:rPr>
      <w:rFonts w:ascii="Arial" w:hAnsi="Arial"/>
      <w:szCs w:val="24"/>
      <w:lang w:eastAsia="en-US"/>
    </w:rPr>
  </w:style>
  <w:style w:type="paragraph" w:customStyle="1" w:styleId="TableHeaderWhite">
    <w:name w:val="Table Header White"/>
    <w:basedOn w:val="Normal"/>
    <w:next w:val="Tabletextleft"/>
    <w:qFormat/>
    <w:rsid w:val="00B64B76"/>
    <w:pPr>
      <w:spacing w:before="80" w:after="80"/>
    </w:pPr>
    <w:rPr>
      <w:rFonts w:eastAsia="Cambria"/>
      <w:b/>
      <w:color w:val="FFFFFF" w:themeColor="background1"/>
      <w:szCs w:val="22"/>
      <w:lang w:val="en-US"/>
    </w:rPr>
  </w:style>
  <w:style w:type="table" w:styleId="TableGrid7">
    <w:name w:val="Table Grid 7"/>
    <w:basedOn w:val="TableNormal"/>
    <w:locked/>
    <w:rsid w:val="00B64B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64B76"/>
    <w:pPr>
      <w:spacing w:before="60"/>
    </w:pPr>
    <w:rPr>
      <w:rFonts w:cs="Arial"/>
      <w:b/>
      <w:sz w:val="20"/>
    </w:rPr>
  </w:style>
  <w:style w:type="paragraph" w:customStyle="1" w:styleId="FigureTitle">
    <w:name w:val="Figure Title"/>
    <w:next w:val="Normal"/>
    <w:qFormat/>
    <w:rsid w:val="00B64B7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B64B76"/>
    <w:pPr>
      <w:jc w:val="right"/>
    </w:pPr>
    <w:rPr>
      <w:rFonts w:ascii="Arial" w:hAnsi="Arial"/>
      <w:szCs w:val="24"/>
      <w:lang w:eastAsia="en-US"/>
    </w:rPr>
  </w:style>
  <w:style w:type="character" w:styleId="Hyperlink">
    <w:name w:val="Hyperlink"/>
    <w:basedOn w:val="DefaultParagraphFont"/>
    <w:uiPriority w:val="99"/>
    <w:qFormat/>
    <w:rsid w:val="00B64B76"/>
    <w:rPr>
      <w:color w:val="0000FF" w:themeColor="hyperlink"/>
      <w:u w:val="single"/>
    </w:rPr>
  </w:style>
  <w:style w:type="table" w:customStyle="1" w:styleId="PHNGreyTable">
    <w:name w:val="PHN Grey Table"/>
    <w:basedOn w:val="TableNormal"/>
    <w:uiPriority w:val="99"/>
    <w:rsid w:val="00B64B7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64B76"/>
    <w:pPr>
      <w:numPr>
        <w:numId w:val="24"/>
      </w:numPr>
    </w:pPr>
    <w:rPr>
      <w:szCs w:val="20"/>
    </w:rPr>
  </w:style>
  <w:style w:type="paragraph" w:customStyle="1" w:styleId="Tablelistnumber">
    <w:name w:val="Table list number"/>
    <w:basedOn w:val="Tabletextleft"/>
    <w:qFormat/>
    <w:rsid w:val="00B64B76"/>
    <w:pPr>
      <w:numPr>
        <w:numId w:val="25"/>
      </w:numPr>
    </w:pPr>
    <w:rPr>
      <w:bCs/>
      <w14:numSpacing w14:val="proportional"/>
    </w:rPr>
  </w:style>
  <w:style w:type="paragraph" w:customStyle="1" w:styleId="TableHeader">
    <w:name w:val="Table Header"/>
    <w:basedOn w:val="Normal"/>
    <w:next w:val="Tabletextleft"/>
    <w:qFormat/>
    <w:rsid w:val="00B64B7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64B76"/>
    <w:rPr>
      <w:szCs w:val="32"/>
    </w:rPr>
  </w:style>
  <w:style w:type="paragraph" w:styleId="FootnoteText">
    <w:name w:val="footnote text"/>
    <w:link w:val="FootnoteTextChar"/>
    <w:rsid w:val="00B64B76"/>
    <w:rPr>
      <w:rFonts w:ascii="Arial" w:hAnsi="Arial"/>
      <w:lang w:eastAsia="en-US"/>
    </w:rPr>
  </w:style>
  <w:style w:type="character" w:customStyle="1" w:styleId="FootnoteTextChar">
    <w:name w:val="Footnote Text Char"/>
    <w:basedOn w:val="DefaultParagraphFont"/>
    <w:link w:val="FootnoteText"/>
    <w:rsid w:val="00B64B76"/>
    <w:rPr>
      <w:rFonts w:ascii="Arial" w:hAnsi="Arial"/>
      <w:lang w:eastAsia="en-US"/>
    </w:rPr>
  </w:style>
  <w:style w:type="paragraph" w:customStyle="1" w:styleId="VisionBox">
    <w:name w:val="VisionBox"/>
    <w:basedOn w:val="Normal"/>
    <w:qFormat/>
    <w:rsid w:val="00B64B7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B64B7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64B7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B64B7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B64B7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B64B7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B64B76"/>
    <w:pPr>
      <w:jc w:val="right"/>
    </w:pPr>
  </w:style>
  <w:style w:type="paragraph" w:styleId="BalloonText">
    <w:name w:val="Balloon Text"/>
    <w:basedOn w:val="Normal"/>
    <w:link w:val="BalloonTextChar"/>
    <w:rsid w:val="00B64B76"/>
    <w:rPr>
      <w:rFonts w:ascii="Tahoma" w:hAnsi="Tahoma" w:cs="Tahoma"/>
      <w:sz w:val="16"/>
      <w:szCs w:val="16"/>
    </w:rPr>
  </w:style>
  <w:style w:type="character" w:customStyle="1" w:styleId="BalloonTextChar">
    <w:name w:val="Balloon Text Char"/>
    <w:basedOn w:val="DefaultParagraphFont"/>
    <w:link w:val="BalloonText"/>
    <w:rsid w:val="00B64B76"/>
    <w:rPr>
      <w:rFonts w:ascii="Tahoma" w:hAnsi="Tahoma" w:cs="Tahoma"/>
      <w:color w:val="000000" w:themeColor="text1"/>
      <w:sz w:val="16"/>
      <w:szCs w:val="16"/>
      <w:lang w:eastAsia="en-US"/>
    </w:rPr>
  </w:style>
  <w:style w:type="paragraph" w:styleId="Caption">
    <w:name w:val="caption"/>
    <w:basedOn w:val="Normal"/>
    <w:next w:val="Normal"/>
    <w:unhideWhenUsed/>
    <w:rsid w:val="00B64B76"/>
    <w:pPr>
      <w:spacing w:after="200"/>
    </w:pPr>
    <w:rPr>
      <w:b/>
      <w:bCs/>
      <w:color w:val="3F4A75" w:themeColor="accent1"/>
      <w:sz w:val="18"/>
      <w:szCs w:val="18"/>
    </w:rPr>
  </w:style>
  <w:style w:type="paragraph" w:customStyle="1" w:styleId="Footerrightpage">
    <w:name w:val="Footer right page"/>
    <w:basedOn w:val="Footer"/>
    <w:rsid w:val="00B64B76"/>
  </w:style>
  <w:style w:type="character" w:customStyle="1" w:styleId="Heading7Char">
    <w:name w:val="Heading 7 Char"/>
    <w:basedOn w:val="DefaultParagraphFont"/>
    <w:link w:val="Heading7"/>
    <w:semiHidden/>
    <w:rsid w:val="00B64B7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B64B76"/>
    <w:rPr>
      <w:sz w:val="24"/>
      <w:szCs w:val="24"/>
      <w:lang w:eastAsia="en-US"/>
    </w:rPr>
  </w:style>
  <w:style w:type="paragraph" w:styleId="NormalWeb">
    <w:name w:val="Normal (Web)"/>
    <w:basedOn w:val="Normal"/>
    <w:uiPriority w:val="99"/>
    <w:unhideWhenUsed/>
    <w:rsid w:val="00B64B76"/>
    <w:pPr>
      <w:spacing w:before="100" w:beforeAutospacing="1" w:after="100" w:afterAutospacing="1"/>
    </w:pPr>
    <w:rPr>
      <w:rFonts w:ascii="Times New Roman" w:hAnsi="Times New Roman"/>
      <w:sz w:val="24"/>
      <w:lang w:eastAsia="en-AU"/>
    </w:rPr>
  </w:style>
  <w:style w:type="paragraph" w:customStyle="1" w:styleId="Style1">
    <w:name w:val="Style1"/>
    <w:next w:val="Normal"/>
    <w:rsid w:val="00B64B7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B64B76"/>
    <w:pPr>
      <w:jc w:val="center"/>
    </w:pPr>
  </w:style>
  <w:style w:type="paragraph" w:customStyle="1" w:styleId="TableTextright1">
    <w:name w:val="Table Text right"/>
    <w:basedOn w:val="Tabletextleft"/>
    <w:rsid w:val="00B64B76"/>
    <w:pPr>
      <w:jc w:val="right"/>
    </w:pPr>
  </w:style>
  <w:style w:type="character" w:customStyle="1" w:styleId="TableTitleChar">
    <w:name w:val="Table Title Char"/>
    <w:basedOn w:val="DefaultParagraphFont"/>
    <w:link w:val="TableTitle"/>
    <w:rsid w:val="00B64B76"/>
    <w:rPr>
      <w:rFonts w:ascii="Arial" w:hAnsi="Arial"/>
      <w:b/>
      <w:color w:val="000000" w:themeColor="text1"/>
      <w:sz w:val="22"/>
      <w:szCs w:val="24"/>
      <w:lang w:val="en-US" w:eastAsia="en-US"/>
    </w:rPr>
  </w:style>
  <w:style w:type="paragraph" w:customStyle="1" w:styleId="URL">
    <w:name w:val="URL"/>
    <w:basedOn w:val="Normal"/>
    <w:rsid w:val="00B64B76"/>
    <w:pPr>
      <w:spacing w:before="3120"/>
      <w:jc w:val="center"/>
    </w:pPr>
    <w:rPr>
      <w:b/>
      <w:bCs/>
      <w:sz w:val="24"/>
      <w:szCs w:val="20"/>
    </w:rPr>
  </w:style>
  <w:style w:type="character" w:styleId="UnresolvedMention">
    <w:name w:val="Unresolved Mention"/>
    <w:basedOn w:val="DefaultParagraphFont"/>
    <w:uiPriority w:val="99"/>
    <w:semiHidden/>
    <w:unhideWhenUsed/>
    <w:rsid w:val="00E83265"/>
    <w:rPr>
      <w:color w:val="605E5C"/>
      <w:shd w:val="clear" w:color="auto" w:fill="E1DFDD"/>
    </w:rPr>
  </w:style>
  <w:style w:type="paragraph" w:styleId="TOCHeading">
    <w:name w:val="TOC Heading"/>
    <w:basedOn w:val="Heading1"/>
    <w:next w:val="Normal"/>
    <w:uiPriority w:val="39"/>
    <w:unhideWhenUsed/>
    <w:qFormat/>
    <w:rsid w:val="00E83265"/>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E83265"/>
    <w:pPr>
      <w:spacing w:after="100"/>
    </w:pPr>
  </w:style>
  <w:style w:type="paragraph" w:styleId="TOC3">
    <w:name w:val="toc 3"/>
    <w:basedOn w:val="Normal"/>
    <w:next w:val="Normal"/>
    <w:autoRedefine/>
    <w:uiPriority w:val="39"/>
    <w:unhideWhenUsed/>
    <w:rsid w:val="00E83265"/>
    <w:pPr>
      <w:spacing w:after="100"/>
      <w:ind w:left="440"/>
    </w:pPr>
  </w:style>
  <w:style w:type="character" w:styleId="CommentReference">
    <w:name w:val="annotation reference"/>
    <w:basedOn w:val="DefaultParagraphFont"/>
    <w:semiHidden/>
    <w:unhideWhenUsed/>
    <w:rsid w:val="00C30C2E"/>
    <w:rPr>
      <w:sz w:val="16"/>
      <w:szCs w:val="16"/>
    </w:rPr>
  </w:style>
  <w:style w:type="paragraph" w:styleId="CommentText">
    <w:name w:val="annotation text"/>
    <w:basedOn w:val="Normal"/>
    <w:link w:val="CommentTextChar"/>
    <w:unhideWhenUsed/>
    <w:rsid w:val="00C30C2E"/>
    <w:pPr>
      <w:spacing w:line="240" w:lineRule="auto"/>
    </w:pPr>
    <w:rPr>
      <w:sz w:val="20"/>
      <w:szCs w:val="20"/>
    </w:rPr>
  </w:style>
  <w:style w:type="character" w:customStyle="1" w:styleId="CommentTextChar">
    <w:name w:val="Comment Text Char"/>
    <w:basedOn w:val="DefaultParagraphFont"/>
    <w:link w:val="CommentText"/>
    <w:rsid w:val="00C30C2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30C2E"/>
    <w:rPr>
      <w:b/>
      <w:bCs/>
    </w:rPr>
  </w:style>
  <w:style w:type="character" w:customStyle="1" w:styleId="CommentSubjectChar">
    <w:name w:val="Comment Subject Char"/>
    <w:basedOn w:val="CommentTextChar"/>
    <w:link w:val="CommentSubject"/>
    <w:semiHidden/>
    <w:rsid w:val="00C30C2E"/>
    <w:rPr>
      <w:rFonts w:ascii="Arial" w:hAnsi="Arial"/>
      <w:b/>
      <w:bCs/>
      <w:color w:val="000000" w:themeColor="text1"/>
      <w:lang w:eastAsia="en-US"/>
    </w:rPr>
  </w:style>
  <w:style w:type="paragraph" w:styleId="Revision">
    <w:name w:val="Revision"/>
    <w:hidden/>
    <w:uiPriority w:val="99"/>
    <w:semiHidden/>
    <w:rsid w:val="00704015"/>
    <w:rPr>
      <w:rFonts w:ascii="Arial" w:hAnsi="Arial"/>
      <w:color w:val="000000" w:themeColor="text1"/>
      <w:sz w:val="22"/>
      <w:szCs w:val="24"/>
      <w:lang w:eastAsia="en-US"/>
    </w:rPr>
  </w:style>
  <w:style w:type="table" w:styleId="TableGridLight">
    <w:name w:val="Grid Table Light"/>
    <w:basedOn w:val="TableNormal"/>
    <w:uiPriority w:val="40"/>
    <w:rsid w:val="00C21A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0389">
      <w:bodyDiv w:val="1"/>
      <w:marLeft w:val="0"/>
      <w:marRight w:val="0"/>
      <w:marTop w:val="0"/>
      <w:marBottom w:val="0"/>
      <w:divBdr>
        <w:top w:val="none" w:sz="0" w:space="0" w:color="auto"/>
        <w:left w:val="none" w:sz="0" w:space="0" w:color="auto"/>
        <w:bottom w:val="none" w:sz="0" w:space="0" w:color="auto"/>
        <w:right w:val="none" w:sz="0" w:space="0" w:color="auto"/>
      </w:divBdr>
      <w:divsChild>
        <w:div w:id="824321239">
          <w:marLeft w:val="0"/>
          <w:marRight w:val="0"/>
          <w:marTop w:val="0"/>
          <w:marBottom w:val="0"/>
          <w:divBdr>
            <w:top w:val="none" w:sz="0" w:space="0" w:color="auto"/>
            <w:left w:val="none" w:sz="0" w:space="0" w:color="auto"/>
            <w:bottom w:val="none" w:sz="0" w:space="0" w:color="auto"/>
            <w:right w:val="none" w:sz="0" w:space="0" w:color="auto"/>
          </w:divBdr>
        </w:div>
        <w:div w:id="1285580317">
          <w:marLeft w:val="0"/>
          <w:marRight w:val="0"/>
          <w:marTop w:val="0"/>
          <w:marBottom w:val="0"/>
          <w:divBdr>
            <w:top w:val="none" w:sz="0" w:space="0" w:color="auto"/>
            <w:left w:val="none" w:sz="0" w:space="0" w:color="auto"/>
            <w:bottom w:val="none" w:sz="0" w:space="0" w:color="auto"/>
            <w:right w:val="none" w:sz="0" w:space="0" w:color="auto"/>
          </w:divBdr>
        </w:div>
        <w:div w:id="1646668321">
          <w:marLeft w:val="0"/>
          <w:marRight w:val="0"/>
          <w:marTop w:val="0"/>
          <w:marBottom w:val="0"/>
          <w:divBdr>
            <w:top w:val="none" w:sz="0" w:space="0" w:color="auto"/>
            <w:left w:val="none" w:sz="0" w:space="0" w:color="auto"/>
            <w:bottom w:val="none" w:sz="0" w:space="0" w:color="auto"/>
            <w:right w:val="none" w:sz="0" w:space="0" w:color="auto"/>
          </w:divBdr>
        </w:div>
      </w:divsChild>
    </w:div>
    <w:div w:id="2408682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6588920">
      <w:bodyDiv w:val="1"/>
      <w:marLeft w:val="0"/>
      <w:marRight w:val="0"/>
      <w:marTop w:val="0"/>
      <w:marBottom w:val="0"/>
      <w:divBdr>
        <w:top w:val="none" w:sz="0" w:space="0" w:color="auto"/>
        <w:left w:val="none" w:sz="0" w:space="0" w:color="auto"/>
        <w:bottom w:val="none" w:sz="0" w:space="0" w:color="auto"/>
        <w:right w:val="none" w:sz="0" w:space="0" w:color="auto"/>
      </w:divBdr>
      <w:divsChild>
        <w:div w:id="470170671">
          <w:marLeft w:val="0"/>
          <w:marRight w:val="0"/>
          <w:marTop w:val="0"/>
          <w:marBottom w:val="0"/>
          <w:divBdr>
            <w:top w:val="none" w:sz="0" w:space="0" w:color="auto"/>
            <w:left w:val="none" w:sz="0" w:space="0" w:color="auto"/>
            <w:bottom w:val="none" w:sz="0" w:space="0" w:color="auto"/>
            <w:right w:val="none" w:sz="0" w:space="0" w:color="auto"/>
          </w:divBdr>
        </w:div>
        <w:div w:id="1746995371">
          <w:marLeft w:val="0"/>
          <w:marRight w:val="0"/>
          <w:marTop w:val="0"/>
          <w:marBottom w:val="0"/>
          <w:divBdr>
            <w:top w:val="none" w:sz="0" w:space="0" w:color="auto"/>
            <w:left w:val="none" w:sz="0" w:space="0" w:color="auto"/>
            <w:bottom w:val="none" w:sz="0" w:space="0" w:color="auto"/>
            <w:right w:val="none" w:sz="0" w:space="0" w:color="auto"/>
          </w:divBdr>
        </w:div>
        <w:div w:id="1752892429">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81141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752813">
      <w:bodyDiv w:val="1"/>
      <w:marLeft w:val="0"/>
      <w:marRight w:val="0"/>
      <w:marTop w:val="0"/>
      <w:marBottom w:val="0"/>
      <w:divBdr>
        <w:top w:val="none" w:sz="0" w:space="0" w:color="auto"/>
        <w:left w:val="none" w:sz="0" w:space="0" w:color="auto"/>
        <w:bottom w:val="none" w:sz="0" w:space="0" w:color="auto"/>
        <w:right w:val="none" w:sz="0" w:space="0" w:color="auto"/>
      </w:divBdr>
      <w:divsChild>
        <w:div w:id="118766195">
          <w:marLeft w:val="0"/>
          <w:marRight w:val="0"/>
          <w:marTop w:val="0"/>
          <w:marBottom w:val="0"/>
          <w:divBdr>
            <w:top w:val="none" w:sz="0" w:space="0" w:color="auto"/>
            <w:left w:val="none" w:sz="0" w:space="0" w:color="auto"/>
            <w:bottom w:val="none" w:sz="0" w:space="0" w:color="auto"/>
            <w:right w:val="none" w:sz="0" w:space="0" w:color="auto"/>
          </w:divBdr>
        </w:div>
        <w:div w:id="1019241356">
          <w:marLeft w:val="0"/>
          <w:marRight w:val="0"/>
          <w:marTop w:val="0"/>
          <w:marBottom w:val="0"/>
          <w:divBdr>
            <w:top w:val="none" w:sz="0" w:space="0" w:color="auto"/>
            <w:left w:val="none" w:sz="0" w:space="0" w:color="auto"/>
            <w:bottom w:val="none" w:sz="0" w:space="0" w:color="auto"/>
            <w:right w:val="none" w:sz="0" w:space="0" w:color="auto"/>
          </w:divBdr>
        </w:div>
        <w:div w:id="1564438957">
          <w:marLeft w:val="0"/>
          <w:marRight w:val="0"/>
          <w:marTop w:val="0"/>
          <w:marBottom w:val="0"/>
          <w:divBdr>
            <w:top w:val="none" w:sz="0" w:space="0" w:color="auto"/>
            <w:left w:val="none" w:sz="0" w:space="0" w:color="auto"/>
            <w:bottom w:val="none" w:sz="0" w:space="0" w:color="auto"/>
            <w:right w:val="none" w:sz="0" w:space="0" w:color="auto"/>
          </w:divBdr>
        </w:div>
      </w:divsChild>
    </w:div>
    <w:div w:id="1028869502">
      <w:bodyDiv w:val="1"/>
      <w:marLeft w:val="0"/>
      <w:marRight w:val="0"/>
      <w:marTop w:val="0"/>
      <w:marBottom w:val="0"/>
      <w:divBdr>
        <w:top w:val="none" w:sz="0" w:space="0" w:color="auto"/>
        <w:left w:val="none" w:sz="0" w:space="0" w:color="auto"/>
        <w:bottom w:val="none" w:sz="0" w:space="0" w:color="auto"/>
        <w:right w:val="none" w:sz="0" w:space="0" w:color="auto"/>
      </w:divBdr>
    </w:div>
    <w:div w:id="11154448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2113378">
      <w:bodyDiv w:val="1"/>
      <w:marLeft w:val="0"/>
      <w:marRight w:val="0"/>
      <w:marTop w:val="0"/>
      <w:marBottom w:val="0"/>
      <w:divBdr>
        <w:top w:val="none" w:sz="0" w:space="0" w:color="auto"/>
        <w:left w:val="none" w:sz="0" w:space="0" w:color="auto"/>
        <w:bottom w:val="none" w:sz="0" w:space="0" w:color="auto"/>
        <w:right w:val="none" w:sz="0" w:space="0" w:color="auto"/>
      </w:divBdr>
    </w:div>
    <w:div w:id="1710494980">
      <w:bodyDiv w:val="1"/>
      <w:marLeft w:val="0"/>
      <w:marRight w:val="0"/>
      <w:marTop w:val="0"/>
      <w:marBottom w:val="0"/>
      <w:divBdr>
        <w:top w:val="none" w:sz="0" w:space="0" w:color="auto"/>
        <w:left w:val="none" w:sz="0" w:space="0" w:color="auto"/>
        <w:bottom w:val="none" w:sz="0" w:space="0" w:color="auto"/>
        <w:right w:val="none" w:sz="0" w:space="0" w:color="auto"/>
      </w:divBdr>
    </w:div>
    <w:div w:id="1801338971">
      <w:bodyDiv w:val="1"/>
      <w:marLeft w:val="0"/>
      <w:marRight w:val="0"/>
      <w:marTop w:val="0"/>
      <w:marBottom w:val="0"/>
      <w:divBdr>
        <w:top w:val="none" w:sz="0" w:space="0" w:color="auto"/>
        <w:left w:val="none" w:sz="0" w:space="0" w:color="auto"/>
        <w:bottom w:val="none" w:sz="0" w:space="0" w:color="auto"/>
        <w:right w:val="none" w:sz="0" w:space="0" w:color="auto"/>
      </w:divBdr>
    </w:div>
    <w:div w:id="1915622214">
      <w:bodyDiv w:val="1"/>
      <w:marLeft w:val="0"/>
      <w:marRight w:val="0"/>
      <w:marTop w:val="0"/>
      <w:marBottom w:val="0"/>
      <w:divBdr>
        <w:top w:val="none" w:sz="0" w:space="0" w:color="auto"/>
        <w:left w:val="none" w:sz="0" w:space="0" w:color="auto"/>
        <w:bottom w:val="none" w:sz="0" w:space="0" w:color="auto"/>
        <w:right w:val="none" w:sz="0" w:space="0" w:color="auto"/>
      </w:divBdr>
      <w:divsChild>
        <w:div w:id="556937869">
          <w:marLeft w:val="0"/>
          <w:marRight w:val="0"/>
          <w:marTop w:val="0"/>
          <w:marBottom w:val="0"/>
          <w:divBdr>
            <w:top w:val="none" w:sz="0" w:space="0" w:color="auto"/>
            <w:left w:val="none" w:sz="0" w:space="0" w:color="auto"/>
            <w:bottom w:val="none" w:sz="0" w:space="0" w:color="auto"/>
            <w:right w:val="none" w:sz="0" w:space="0" w:color="auto"/>
          </w:divBdr>
        </w:div>
        <w:div w:id="728502264">
          <w:marLeft w:val="0"/>
          <w:marRight w:val="0"/>
          <w:marTop w:val="0"/>
          <w:marBottom w:val="0"/>
          <w:divBdr>
            <w:top w:val="none" w:sz="0" w:space="0" w:color="auto"/>
            <w:left w:val="none" w:sz="0" w:space="0" w:color="auto"/>
            <w:bottom w:val="none" w:sz="0" w:space="0" w:color="auto"/>
            <w:right w:val="none" w:sz="0" w:space="0" w:color="auto"/>
          </w:divBdr>
        </w:div>
        <w:div w:id="1550603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hcp-data-specifications-hcp1-insurer-to-department-2025-26?language=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resources/publications/hcp-data-specifications-hcp1-insurer-to-department-2024-25?language=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mo003" TargetMode="External"/><Relationship Id="rId5" Type="http://schemas.openxmlformats.org/officeDocument/2006/relationships/numbering" Target="numbering.xml"/><Relationship Id="rId15" Type="http://schemas.openxmlformats.org/officeDocument/2006/relationships/hyperlink" Target="mailto:nhr.edw.system@health.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CP@health.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4DD089086E54081DA8A0B05B09261" ma:contentTypeVersion="15" ma:contentTypeDescription="Create a new document." ma:contentTypeScope="" ma:versionID="b01817a29faef5357f3b32ba3cd4d9e3">
  <xsd:schema xmlns:xsd="http://www.w3.org/2001/XMLSchema" xmlns:xs="http://www.w3.org/2001/XMLSchema" xmlns:p="http://schemas.microsoft.com/office/2006/metadata/properties" xmlns:ns2="3797bb95-ae5a-418a-8ddb-48b15dfc5543" xmlns:ns3="3fa5e915-27ce-4ef5-a7b5-cb49c3aef0d2" targetNamespace="http://schemas.microsoft.com/office/2006/metadata/properties" ma:root="true" ma:fieldsID="79b7425288b2827f2fe773427ab14b52" ns2:_="" ns3:_="">
    <xsd:import namespace="3797bb95-ae5a-418a-8ddb-48b15dfc5543"/>
    <xsd:import namespace="3fa5e915-27ce-4ef5-a7b5-cb49c3aef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Comme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b95-ae5a-418a-8ddb-48b15dfc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scription="Where is the status of the file" ma:format="Dropdown" ma:internalName="Status">
      <xsd:simpleType>
        <xsd:union memberTypes="dms:Text">
          <xsd:simpleType>
            <xsd:restriction base="dms:Choice">
              <xsd:enumeration value="Finalised"/>
              <xsd:enumeration value="In Progress"/>
              <xsd:enumeration value="Temp"/>
              <xsd:enumeration value="Deprecated/Superseded"/>
              <xsd:enumeration value="Archive"/>
            </xsd:restriction>
          </xsd:simpleType>
        </xsd:union>
      </xsd:simpleType>
    </xsd:element>
    <xsd:element name="Comment" ma:index="13" nillable="true" ma:displayName="Comment" ma:format="Dropdown" ma:internalName="Comm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description="Notes to the team staff on the docume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5e915-27ce-4ef5-a7b5-cb49c3aef0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d15cfe-245f-4bbe-8a2b-044be18b3913}" ma:internalName="TaxCatchAll" ma:showField="CatchAllData" ma:web="3fa5e915-27ce-4ef5-a7b5-cb49c3aef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a5e915-27ce-4ef5-a7b5-cb49c3aef0d2" xsi:nil="true"/>
    <lcf76f155ced4ddcb4097134ff3c332f xmlns="3797bb95-ae5a-418a-8ddb-48b15dfc5543">
      <Terms xmlns="http://schemas.microsoft.com/office/infopath/2007/PartnerControls"/>
    </lcf76f155ced4ddcb4097134ff3c332f>
    <Comment xmlns="3797bb95-ae5a-418a-8ddb-48b15dfc5543" xsi:nil="true"/>
    <Notes xmlns="3797bb95-ae5a-418a-8ddb-48b15dfc5543" xsi:nil="true"/>
    <Status xmlns="3797bb95-ae5a-418a-8ddb-48b15dfc55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6E6FA-2808-48E3-B637-F5AFD1F7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b95-ae5a-418a-8ddb-48b15dfc5543"/>
    <ds:schemaRef ds:uri="3fa5e915-27ce-4ef5-a7b5-cb49c3ae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fa5e915-27ce-4ef5-a7b5-cb49c3aef0d2"/>
    <ds:schemaRef ds:uri="3797bb95-ae5a-418a-8ddb-48b15dfc5543"/>
  </ds:schemaRefs>
</ds:datastoreItem>
</file>

<file path=customXml/itemProps3.xml><?xml version="1.0" encoding="utf-8"?>
<ds:datastoreItem xmlns:ds="http://schemas.openxmlformats.org/officeDocument/2006/customXml" ds:itemID="{CFC302A5-2A8A-4052-A27B-A6924B27E8D7}">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1117</Words>
  <Characters>6234</Characters>
  <Application>Microsoft Office Word</Application>
  <DocSecurity>0</DocSecurity>
  <Lines>167</Lines>
  <Paragraphs>89</Paragraphs>
  <ScaleCrop>false</ScaleCrop>
  <HeadingPairs>
    <vt:vector size="2" baseType="variant">
      <vt:variant>
        <vt:lpstr>Title</vt:lpstr>
      </vt:variant>
      <vt:variant>
        <vt:i4>1</vt:i4>
      </vt:variant>
    </vt:vector>
  </HeadingPairs>
  <TitlesOfParts>
    <vt:vector size="1" baseType="lpstr">
      <vt:lpstr>Summary of supplementary changes in HCP1 data specifications - 2024-25 and 2025-26</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Act Data Specifications – 2024-25 and 2025-26</dc:title>
  <dc:subject>Private health insurance</dc:subject>
  <dc:creator>Australian Government Department of Health, Disability and Ageing</dc:creator>
  <cp:keywords>PHI, Private health insurance, data</cp:keywords>
  <cp:lastModifiedBy>MASCHKE, Elvia</cp:lastModifiedBy>
  <cp:revision>125</cp:revision>
  <cp:lastPrinted>2025-10-22T09:59:00Z</cp:lastPrinted>
  <dcterms:created xsi:type="dcterms:W3CDTF">2025-07-22T23:03:00Z</dcterms:created>
  <dcterms:modified xsi:type="dcterms:W3CDTF">2025-10-22T09:59:00Z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0x01010097E4DD089086E54081DA8A0B05B09261</vt:lpwstr>
  </property>
  <property fmtid="{D5CDD505-2E9C-101B-9397-08002B2CF9AE}" pid="5" name="Section">
    <vt:lpwstr>5;#PCPD CC Corporate Communication SN|73cff0d0-7b20-43e0-ad96-75a3b55de641</vt:lpwstr>
  </property>
  <property fmtid="{D5CDD505-2E9C-101B-9397-08002B2CF9AE}" pid="6" name="_dlc_DocIdItemGuid">
    <vt:lpwstr>51fd6265-6544-4238-b880-a78f6dafdbf9</vt:lpwstr>
  </property>
  <property fmtid="{D5CDD505-2E9C-101B-9397-08002B2CF9AE}" pid="7" name="Keywords1">
    <vt:lpwstr>45;#Factsheet|e6399178-8246-423e-9818-2fbb787c959a;#4;#Visual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ies>
</file>