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28F1" w14:textId="3060948A" w:rsidR="00921B1B" w:rsidRPr="00921B1B" w:rsidRDefault="0079202D" w:rsidP="00314CA1">
      <w:pPr>
        <w:pStyle w:val="Heading1"/>
        <w:spacing w:before="480" w:line="252" w:lineRule="auto"/>
      </w:pPr>
      <w:r>
        <w:t xml:space="preserve">Statement of Rights practice alignment tool </w:t>
      </w:r>
    </w:p>
    <w:p w14:paraId="36FA9CF2" w14:textId="1DF21390" w:rsidR="00745010" w:rsidRPr="00E11D3F" w:rsidRDefault="00D25F6C" w:rsidP="00E11D3F">
      <w:pPr>
        <w:pStyle w:val="Quote"/>
      </w:pPr>
      <w:r>
        <w:t>T</w:t>
      </w:r>
      <w:r w:rsidRPr="00D25F6C">
        <w:t xml:space="preserve">he Statement of Rights </w:t>
      </w:r>
      <w:r w:rsidR="00FC1AC3">
        <w:t>need to be</w:t>
      </w:r>
      <w:r w:rsidRPr="00D25F6C">
        <w:t xml:space="preserve"> reflected in the way we work every day</w:t>
      </w:r>
      <w:r>
        <w:t>,</w:t>
      </w:r>
      <w:r w:rsidRPr="00D25F6C">
        <w:t xml:space="preserve"> in</w:t>
      </w:r>
      <w:r w:rsidR="001D4419">
        <w:t> </w:t>
      </w:r>
      <w:r w:rsidRPr="00D25F6C">
        <w:t>our policies, our systems, and our actions.</w:t>
      </w:r>
    </w:p>
    <w:p w14:paraId="6042F36B" w14:textId="6BF64E75" w:rsidR="00D82E89" w:rsidRPr="00D82E89" w:rsidRDefault="00D82E89" w:rsidP="0065204A">
      <w:pPr>
        <w:pStyle w:val="Heading3"/>
      </w:pPr>
      <w:r>
        <w:t>Purpose</w:t>
      </w:r>
    </w:p>
    <w:p w14:paraId="0E6F721E" w14:textId="5E025EFF" w:rsidR="006C6453" w:rsidRDefault="006C6453" w:rsidP="00116E54">
      <w:r w:rsidRPr="006C6453">
        <w:t>The Statement of Rights</w:t>
      </w:r>
      <w:r w:rsidR="004F29A8">
        <w:t xml:space="preserve"> (the Rights)</w:t>
      </w:r>
      <w:r w:rsidRPr="006C6453">
        <w:t xml:space="preserve"> sets out what every older person can expect from aged care. As a</w:t>
      </w:r>
      <w:r w:rsidR="00A43FED">
        <w:t>n</w:t>
      </w:r>
      <w:r w:rsidRPr="006C6453">
        <w:t xml:space="preserve"> </w:t>
      </w:r>
      <w:r w:rsidR="00A43FED">
        <w:t xml:space="preserve">aged care </w:t>
      </w:r>
      <w:r w:rsidRPr="006C6453">
        <w:t>worker, you play a vital role in bringing these rights to life through your daily actions and decisions.</w:t>
      </w:r>
      <w:r>
        <w:t xml:space="preserve"> </w:t>
      </w:r>
      <w:r w:rsidR="008165E0" w:rsidRPr="008165E0">
        <w:t xml:space="preserve">This tool helps you reflect on your everyday practices and identify what you may need to change or strengthen to align with </w:t>
      </w:r>
      <w:r w:rsidR="000F478F">
        <w:t>the Rights</w:t>
      </w:r>
      <w:r w:rsidR="008165E0" w:rsidRPr="008165E0">
        <w:t>.</w:t>
      </w:r>
    </w:p>
    <w:p w14:paraId="1EB86430" w14:textId="4879D5EE" w:rsidR="00C53E89" w:rsidRDefault="00C53E89" w:rsidP="00116E54">
      <w:pPr>
        <w:rPr>
          <w:b/>
        </w:rPr>
      </w:pPr>
      <w:r>
        <w:t xml:space="preserve">It </w:t>
      </w:r>
      <w:r w:rsidR="00155061">
        <w:t>i</w:t>
      </w:r>
      <w:r>
        <w:t>s</w:t>
      </w:r>
      <w:r w:rsidR="00155061">
        <w:t xml:space="preserve"> </w:t>
      </w:r>
      <w:r>
        <w:t xml:space="preserve">also encouraged </w:t>
      </w:r>
      <w:r w:rsidR="00155061">
        <w:t>that</w:t>
      </w:r>
      <w:r>
        <w:t xml:space="preserve"> you use this document to </w:t>
      </w:r>
      <w:r w:rsidR="0039672F">
        <w:t xml:space="preserve">talk with your </w:t>
      </w:r>
      <w:r w:rsidR="00692329">
        <w:t xml:space="preserve">team about examples that have worked well or to understand </w:t>
      </w:r>
      <w:r w:rsidR="00164AA0">
        <w:t>if they have advice on how to navigate similar exper</w:t>
      </w:r>
      <w:r w:rsidR="00404CAE">
        <w:t>iences</w:t>
      </w:r>
      <w:r w:rsidR="00155061">
        <w:t>.</w:t>
      </w:r>
      <w:r w:rsidR="00404CAE">
        <w:t xml:space="preserve"> </w:t>
      </w:r>
    </w:p>
    <w:p w14:paraId="10B6E788" w14:textId="5708FA19" w:rsidR="00D82E89" w:rsidRDefault="00D82E89" w:rsidP="0065204A">
      <w:pPr>
        <w:pStyle w:val="Heading3"/>
      </w:pPr>
      <w:r>
        <w:t>Instructions</w:t>
      </w:r>
    </w:p>
    <w:p w14:paraId="1DFE4926" w14:textId="77777777" w:rsidR="00E53E40" w:rsidRPr="00E53E40" w:rsidRDefault="005844D3" w:rsidP="00BE2A15">
      <w:pPr>
        <w:pStyle w:val="Bullet"/>
        <w:numPr>
          <w:ilvl w:val="0"/>
          <w:numId w:val="33"/>
        </w:numPr>
        <w:ind w:left="284" w:hanging="284"/>
        <w:rPr>
          <w:b/>
          <w:bCs/>
        </w:rPr>
      </w:pPr>
      <w:r>
        <w:t xml:space="preserve">read each </w:t>
      </w:r>
      <w:r w:rsidR="00EB3BE7">
        <w:t>of the Rights</w:t>
      </w:r>
      <w:r w:rsidR="00386ECA">
        <w:t xml:space="preserve"> in </w:t>
      </w:r>
      <w:r w:rsidR="00386ECA" w:rsidRPr="00E53E40">
        <w:rPr>
          <w:i/>
          <w:iCs/>
        </w:rPr>
        <w:t xml:space="preserve">the </w:t>
      </w:r>
      <w:r w:rsidR="0035495A" w:rsidRPr="00E53E40">
        <w:rPr>
          <w:i/>
          <w:iCs/>
        </w:rPr>
        <w:t>Statement of Rights</w:t>
      </w:r>
      <w:r w:rsidR="0035495A">
        <w:t xml:space="preserve"> </w:t>
      </w:r>
      <w:r w:rsidR="00386ECA">
        <w:t>table below</w:t>
      </w:r>
    </w:p>
    <w:p w14:paraId="45C9426E" w14:textId="407D3245" w:rsidR="005844D3" w:rsidRPr="00E53E40" w:rsidRDefault="37614D98" w:rsidP="00BE2A15">
      <w:pPr>
        <w:pStyle w:val="Bullet"/>
        <w:numPr>
          <w:ilvl w:val="0"/>
          <w:numId w:val="33"/>
        </w:numPr>
        <w:ind w:left="284" w:hanging="284"/>
        <w:rPr>
          <w:b/>
          <w:bCs/>
        </w:rPr>
      </w:pPr>
      <w:r>
        <w:t>u</w:t>
      </w:r>
      <w:r w:rsidR="706B0E59">
        <w:t xml:space="preserve">se the </w:t>
      </w:r>
      <w:r w:rsidRPr="00E53E40">
        <w:rPr>
          <w:i/>
          <w:iCs/>
        </w:rPr>
        <w:t>Statement of Rights practice alignment tool</w:t>
      </w:r>
      <w:r>
        <w:t xml:space="preserve"> and</w:t>
      </w:r>
      <w:r w:rsidRPr="00E53E40">
        <w:rPr>
          <w:b/>
          <w:bCs/>
        </w:rPr>
        <w:t xml:space="preserve"> </w:t>
      </w:r>
      <w:r w:rsidR="701D0F36">
        <w:t xml:space="preserve">consider the examples of what </w:t>
      </w:r>
      <w:r w:rsidR="4CF33B07">
        <w:t>best</w:t>
      </w:r>
      <w:r w:rsidR="701D0F36">
        <w:t xml:space="preserve"> practice looks like</w:t>
      </w:r>
    </w:p>
    <w:p w14:paraId="69DF7274" w14:textId="3849AA66" w:rsidR="009F6DC9" w:rsidRDefault="005844D3" w:rsidP="0065204A">
      <w:pPr>
        <w:pStyle w:val="Bullet"/>
        <w:numPr>
          <w:ilvl w:val="0"/>
          <w:numId w:val="33"/>
        </w:numPr>
        <w:ind w:left="284" w:hanging="284"/>
      </w:pPr>
      <w:r>
        <w:t>reflect</w:t>
      </w:r>
      <w:r w:rsidR="00BD5461">
        <w:t xml:space="preserve"> and capture</w:t>
      </w:r>
      <w:r>
        <w:t>: how am I supporting th</w:t>
      </w:r>
      <w:r w:rsidR="00C65A84">
        <w:t>e Rights</w:t>
      </w:r>
      <w:r w:rsidR="009F6DC9">
        <w:t xml:space="preserve"> in my daily work? </w:t>
      </w:r>
      <w:r w:rsidR="00EF61E0">
        <w:t>Identify opportunities to improve</w:t>
      </w:r>
    </w:p>
    <w:p w14:paraId="3AC8815F" w14:textId="06C5F518" w:rsidR="00103519" w:rsidRDefault="009F6DC9" w:rsidP="00A73E35">
      <w:pPr>
        <w:pStyle w:val="Bullet"/>
        <w:numPr>
          <w:ilvl w:val="0"/>
          <w:numId w:val="33"/>
        </w:numPr>
        <w:spacing w:after="240"/>
        <w:ind w:left="284" w:hanging="284"/>
      </w:pPr>
      <w:r>
        <w:t xml:space="preserve">record practical actions </w:t>
      </w:r>
      <w:r w:rsidR="00982ECB">
        <w:t xml:space="preserve">to </w:t>
      </w:r>
      <w:r w:rsidR="001224EC">
        <w:t>use</w:t>
      </w:r>
      <w:r w:rsidR="00B26A51">
        <w:t xml:space="preserve"> in </w:t>
      </w:r>
      <w:r w:rsidR="00BB47A1">
        <w:t xml:space="preserve">your </w:t>
      </w:r>
      <w:r w:rsidR="00AD2DA1">
        <w:t xml:space="preserve">daily </w:t>
      </w:r>
      <w:r w:rsidR="00A345FE">
        <w:t xml:space="preserve">care </w:t>
      </w:r>
      <w:r w:rsidR="00BB47A1">
        <w:t>practices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shd w:val="clear" w:color="auto" w:fill="D1F2F4" w:themeFill="accent1" w:themeFillTint="3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9931"/>
        <w:gridCol w:w="139"/>
      </w:tblGrid>
      <w:tr w:rsidR="00314CA1" w:rsidRPr="00C01809" w14:paraId="4AB711B0" w14:textId="5BC2C6B5" w:rsidTr="1513D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" w:type="dxa"/>
            <w:shd w:val="clear" w:color="auto" w:fill="D1F2F4" w:themeFill="accent1" w:themeFillTint="33"/>
          </w:tcPr>
          <w:p w14:paraId="4CC2462A" w14:textId="77777777" w:rsidR="00314CA1" w:rsidRPr="00C01809" w:rsidRDefault="00314CA1" w:rsidP="00B82BC0">
            <w:pPr>
              <w:pStyle w:val="Heading3"/>
              <w:jc w:val="center"/>
              <w:rPr>
                <w:b/>
                <w:bCs/>
                <w:sz w:val="32"/>
                <w:szCs w:val="28"/>
              </w:rPr>
            </w:pPr>
          </w:p>
        </w:tc>
        <w:tc>
          <w:tcPr>
            <w:tcW w:w="9931" w:type="dxa"/>
            <w:shd w:val="clear" w:color="auto" w:fill="D1F2F4" w:themeFill="accent1" w:themeFillTint="33"/>
          </w:tcPr>
          <w:p w14:paraId="23BAA776" w14:textId="7F006226" w:rsidR="00314CA1" w:rsidRPr="00C01809" w:rsidRDefault="00314CA1" w:rsidP="00B82BC0">
            <w:pPr>
              <w:pStyle w:val="Heading3"/>
              <w:jc w:val="center"/>
              <w:rPr>
                <w:b/>
                <w:bCs/>
              </w:rPr>
            </w:pPr>
            <w:r w:rsidRPr="00C01809">
              <w:rPr>
                <w:b/>
                <w:bCs/>
                <w:sz w:val="32"/>
                <w:szCs w:val="28"/>
              </w:rPr>
              <w:t>The Statement of Rights</w:t>
            </w:r>
          </w:p>
        </w:tc>
        <w:tc>
          <w:tcPr>
            <w:tcW w:w="139" w:type="dxa"/>
            <w:shd w:val="clear" w:color="auto" w:fill="D1F2F4" w:themeFill="accent1" w:themeFillTint="33"/>
          </w:tcPr>
          <w:p w14:paraId="5A4DE26C" w14:textId="77777777" w:rsidR="00314CA1" w:rsidRPr="00C01809" w:rsidRDefault="00314CA1" w:rsidP="00B82BC0">
            <w:pPr>
              <w:pStyle w:val="Heading3"/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314CA1" w:rsidRPr="00C01809" w14:paraId="4D03FCA0" w14:textId="1557E395" w:rsidTr="1513DCD0">
        <w:trPr>
          <w:trHeight w:val="20"/>
        </w:trPr>
        <w:tc>
          <w:tcPr>
            <w:tcW w:w="134" w:type="dxa"/>
            <w:shd w:val="clear" w:color="auto" w:fill="D1F2F4" w:themeFill="accent1" w:themeFillTint="33"/>
          </w:tcPr>
          <w:p w14:paraId="2713DBC1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  <w:tc>
          <w:tcPr>
            <w:tcW w:w="9931" w:type="dxa"/>
            <w:tcBorders>
              <w:bottom w:val="single" w:sz="4" w:space="0" w:color="2AB1BB" w:themeColor="accent1"/>
            </w:tcBorders>
            <w:shd w:val="clear" w:color="auto" w:fill="D1F2F4" w:themeFill="accent1" w:themeFillTint="33"/>
            <w:vAlign w:val="center"/>
          </w:tcPr>
          <w:p w14:paraId="6C2E7323" w14:textId="1545456C" w:rsidR="00314CA1" w:rsidRPr="00C01809" w:rsidRDefault="00314CA1" w:rsidP="00C01809">
            <w:pPr>
              <w:rPr>
                <w:b/>
                <w:bCs/>
              </w:rPr>
            </w:pPr>
            <w:r w:rsidRPr="00C01809">
              <w:rPr>
                <w:b/>
                <w:bCs/>
              </w:rPr>
              <w:t xml:space="preserve">Independence and choice: </w:t>
            </w:r>
            <w:r w:rsidRPr="00C01809">
              <w:t>Older people have the right to independence, autonomy, empowerment, and freedom of choice.</w:t>
            </w:r>
          </w:p>
        </w:tc>
        <w:tc>
          <w:tcPr>
            <w:tcW w:w="139" w:type="dxa"/>
            <w:shd w:val="clear" w:color="auto" w:fill="D1F2F4" w:themeFill="accent1" w:themeFillTint="33"/>
          </w:tcPr>
          <w:p w14:paraId="67C27D54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</w:tr>
      <w:tr w:rsidR="00314CA1" w:rsidRPr="00C01809" w14:paraId="5D9846D0" w14:textId="3592792E" w:rsidTr="1513DCD0">
        <w:trPr>
          <w:trHeight w:val="20"/>
        </w:trPr>
        <w:tc>
          <w:tcPr>
            <w:tcW w:w="134" w:type="dxa"/>
            <w:shd w:val="clear" w:color="auto" w:fill="D1F2F4" w:themeFill="accent1" w:themeFillTint="33"/>
          </w:tcPr>
          <w:p w14:paraId="2DD1EA60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  <w:tc>
          <w:tcPr>
            <w:tcW w:w="9931" w:type="dxa"/>
            <w:tcBorders>
              <w:top w:val="single" w:sz="4" w:space="0" w:color="2AB1BB" w:themeColor="accent1"/>
              <w:bottom w:val="single" w:sz="4" w:space="0" w:color="2AB1BB" w:themeColor="accent1"/>
            </w:tcBorders>
            <w:shd w:val="clear" w:color="auto" w:fill="D1F2F4" w:themeFill="accent1" w:themeFillTint="33"/>
            <w:vAlign w:val="center"/>
          </w:tcPr>
          <w:p w14:paraId="2CFF6A28" w14:textId="0AA317BA" w:rsidR="00314CA1" w:rsidRPr="00C01809" w:rsidRDefault="00314CA1" w:rsidP="00C01809">
            <w:pPr>
              <w:rPr>
                <w:b/>
                <w:bCs/>
              </w:rPr>
            </w:pPr>
            <w:r w:rsidRPr="00C01809">
              <w:rPr>
                <w:b/>
                <w:bCs/>
              </w:rPr>
              <w:t xml:space="preserve">Access to care: </w:t>
            </w:r>
            <w:r w:rsidRPr="00C01809">
              <w:t>Older people have the right to equitable access to care.</w:t>
            </w:r>
          </w:p>
        </w:tc>
        <w:tc>
          <w:tcPr>
            <w:tcW w:w="139" w:type="dxa"/>
            <w:shd w:val="clear" w:color="auto" w:fill="D1F2F4" w:themeFill="accent1" w:themeFillTint="33"/>
          </w:tcPr>
          <w:p w14:paraId="4F3FBAF8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</w:tr>
      <w:tr w:rsidR="00314CA1" w:rsidRPr="00C01809" w14:paraId="2742AF01" w14:textId="066BE96F" w:rsidTr="1513DCD0">
        <w:trPr>
          <w:trHeight w:val="20"/>
        </w:trPr>
        <w:tc>
          <w:tcPr>
            <w:tcW w:w="134" w:type="dxa"/>
            <w:shd w:val="clear" w:color="auto" w:fill="D1F2F4" w:themeFill="accent1" w:themeFillTint="33"/>
          </w:tcPr>
          <w:p w14:paraId="2235416B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  <w:tc>
          <w:tcPr>
            <w:tcW w:w="9931" w:type="dxa"/>
            <w:tcBorders>
              <w:top w:val="single" w:sz="4" w:space="0" w:color="2AB1BB" w:themeColor="accent1"/>
              <w:bottom w:val="single" w:sz="4" w:space="0" w:color="2AB1BB" w:themeColor="accent1"/>
            </w:tcBorders>
            <w:shd w:val="clear" w:color="auto" w:fill="D1F2F4" w:themeFill="accent1" w:themeFillTint="33"/>
            <w:vAlign w:val="center"/>
          </w:tcPr>
          <w:p w14:paraId="35E181F0" w14:textId="1F852F98" w:rsidR="00314CA1" w:rsidRPr="00314CA1" w:rsidRDefault="00314CA1" w:rsidP="00C01809">
            <w:pPr>
              <w:rPr>
                <w:b/>
                <w:bCs/>
              </w:rPr>
            </w:pPr>
            <w:r w:rsidRPr="00C01809">
              <w:rPr>
                <w:b/>
                <w:bCs/>
              </w:rPr>
              <w:t xml:space="preserve">Quality and safety: </w:t>
            </w:r>
            <w:r w:rsidRPr="00C01809">
              <w:t>Older people are entitled to quality and safe aged care services.</w:t>
            </w:r>
          </w:p>
        </w:tc>
        <w:tc>
          <w:tcPr>
            <w:tcW w:w="139" w:type="dxa"/>
            <w:shd w:val="clear" w:color="auto" w:fill="D1F2F4" w:themeFill="accent1" w:themeFillTint="33"/>
          </w:tcPr>
          <w:p w14:paraId="74E6E96A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</w:tr>
      <w:tr w:rsidR="00314CA1" w:rsidRPr="00C01809" w14:paraId="7776BBF2" w14:textId="686E9A8F" w:rsidTr="1513DCD0">
        <w:trPr>
          <w:trHeight w:val="20"/>
        </w:trPr>
        <w:tc>
          <w:tcPr>
            <w:tcW w:w="134" w:type="dxa"/>
            <w:shd w:val="clear" w:color="auto" w:fill="D1F2F4" w:themeFill="accent1" w:themeFillTint="33"/>
          </w:tcPr>
          <w:p w14:paraId="6C4F9DE0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  <w:tc>
          <w:tcPr>
            <w:tcW w:w="9931" w:type="dxa"/>
            <w:tcBorders>
              <w:top w:val="single" w:sz="4" w:space="0" w:color="2AB1BB" w:themeColor="accent1"/>
              <w:bottom w:val="single" w:sz="4" w:space="0" w:color="2AB1BB" w:themeColor="accent1"/>
            </w:tcBorders>
            <w:shd w:val="clear" w:color="auto" w:fill="D1F2F4" w:themeFill="accent1" w:themeFillTint="33"/>
            <w:vAlign w:val="center"/>
          </w:tcPr>
          <w:p w14:paraId="44407289" w14:textId="3E0FAE4C" w:rsidR="00314CA1" w:rsidRPr="00314CA1" w:rsidRDefault="00314CA1" w:rsidP="00C01809">
            <w:pPr>
              <w:rPr>
                <w:b/>
                <w:bCs/>
              </w:rPr>
            </w:pPr>
            <w:r w:rsidRPr="00C01809">
              <w:rPr>
                <w:b/>
                <w:bCs/>
              </w:rPr>
              <w:t xml:space="preserve">Privacy: </w:t>
            </w:r>
            <w:r w:rsidRPr="00C01809">
              <w:t>Older people’s privacy, and access to their information, must be respected.</w:t>
            </w:r>
          </w:p>
        </w:tc>
        <w:tc>
          <w:tcPr>
            <w:tcW w:w="139" w:type="dxa"/>
            <w:shd w:val="clear" w:color="auto" w:fill="D1F2F4" w:themeFill="accent1" w:themeFillTint="33"/>
          </w:tcPr>
          <w:p w14:paraId="762C5D73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</w:tr>
      <w:tr w:rsidR="00314CA1" w:rsidRPr="00C01809" w14:paraId="44542349" w14:textId="6D934D0F" w:rsidTr="1513DCD0">
        <w:trPr>
          <w:trHeight w:val="20"/>
        </w:trPr>
        <w:tc>
          <w:tcPr>
            <w:tcW w:w="134" w:type="dxa"/>
            <w:shd w:val="clear" w:color="auto" w:fill="D1F2F4" w:themeFill="accent1" w:themeFillTint="33"/>
          </w:tcPr>
          <w:p w14:paraId="652E8649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  <w:tc>
          <w:tcPr>
            <w:tcW w:w="9931" w:type="dxa"/>
            <w:tcBorders>
              <w:top w:val="single" w:sz="4" w:space="0" w:color="2AB1BB" w:themeColor="accent1"/>
              <w:bottom w:val="single" w:sz="4" w:space="0" w:color="2AB1BB" w:themeColor="accent1"/>
            </w:tcBorders>
            <w:shd w:val="clear" w:color="auto" w:fill="D1F2F4" w:themeFill="accent1" w:themeFillTint="33"/>
            <w:vAlign w:val="center"/>
          </w:tcPr>
          <w:p w14:paraId="69EAF762" w14:textId="2E406092" w:rsidR="00314CA1" w:rsidRPr="00C01809" w:rsidRDefault="4B21150E" w:rsidP="00C01809">
            <w:pPr>
              <w:rPr>
                <w:b/>
                <w:bCs/>
              </w:rPr>
            </w:pPr>
            <w:r w:rsidRPr="1513DCD0">
              <w:rPr>
                <w:b/>
                <w:bCs/>
              </w:rPr>
              <w:t xml:space="preserve">Communication and feedback: </w:t>
            </w:r>
            <w:r>
              <w:t>Communications should be person</w:t>
            </w:r>
            <w:r w:rsidR="003364BB">
              <w:t>-</w:t>
            </w:r>
            <w:r>
              <w:t>centr</w:t>
            </w:r>
            <w:r w:rsidR="18173B0C">
              <w:t>ed</w:t>
            </w:r>
            <w:r>
              <w:t>, and older people should be able to communicate and raise issues without fear of reprisal.</w:t>
            </w:r>
          </w:p>
        </w:tc>
        <w:tc>
          <w:tcPr>
            <w:tcW w:w="139" w:type="dxa"/>
            <w:shd w:val="clear" w:color="auto" w:fill="D1F2F4" w:themeFill="accent1" w:themeFillTint="33"/>
          </w:tcPr>
          <w:p w14:paraId="47003641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</w:tr>
      <w:tr w:rsidR="00314CA1" w:rsidRPr="00C01809" w14:paraId="5AB2E2D4" w14:textId="6FD23243" w:rsidTr="1513DCD0">
        <w:trPr>
          <w:trHeight w:val="20"/>
        </w:trPr>
        <w:tc>
          <w:tcPr>
            <w:tcW w:w="134" w:type="dxa"/>
            <w:shd w:val="clear" w:color="auto" w:fill="D1F2F4" w:themeFill="accent1" w:themeFillTint="33"/>
          </w:tcPr>
          <w:p w14:paraId="1B670B64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  <w:tc>
          <w:tcPr>
            <w:tcW w:w="9931" w:type="dxa"/>
            <w:tcBorders>
              <w:top w:val="single" w:sz="4" w:space="0" w:color="2AB1BB" w:themeColor="accent1"/>
            </w:tcBorders>
            <w:shd w:val="clear" w:color="auto" w:fill="D1F2F4" w:themeFill="accent1" w:themeFillTint="33"/>
            <w:vAlign w:val="center"/>
          </w:tcPr>
          <w:p w14:paraId="0B4013C4" w14:textId="64AAB3D0" w:rsidR="00314CA1" w:rsidRPr="00C01809" w:rsidRDefault="00314CA1" w:rsidP="00C01809">
            <w:pPr>
              <w:rPr>
                <w:b/>
                <w:bCs/>
              </w:rPr>
            </w:pPr>
            <w:r w:rsidRPr="00C01809">
              <w:rPr>
                <w:b/>
                <w:bCs/>
              </w:rPr>
              <w:t xml:space="preserve">Support and advocacy: </w:t>
            </w:r>
            <w:r w:rsidRPr="00C01809">
              <w:t xml:space="preserve">Older people have the right to access and be supported by </w:t>
            </w:r>
            <w:r w:rsidR="003364BB">
              <w:t xml:space="preserve">a registered supporter, </w:t>
            </w:r>
            <w:r w:rsidRPr="00C01809">
              <w:t>advocate,</w:t>
            </w:r>
            <w:r w:rsidR="00435EDF">
              <w:t xml:space="preserve"> family, friends</w:t>
            </w:r>
            <w:r w:rsidRPr="00C01809">
              <w:t xml:space="preserve"> and social connections.</w:t>
            </w:r>
          </w:p>
        </w:tc>
        <w:tc>
          <w:tcPr>
            <w:tcW w:w="139" w:type="dxa"/>
            <w:shd w:val="clear" w:color="auto" w:fill="D1F2F4" w:themeFill="accent1" w:themeFillTint="33"/>
          </w:tcPr>
          <w:p w14:paraId="6DDF2481" w14:textId="77777777" w:rsidR="00314CA1" w:rsidRPr="00C01809" w:rsidRDefault="00314CA1" w:rsidP="00C01809">
            <w:pPr>
              <w:rPr>
                <w:b/>
                <w:bCs/>
              </w:rPr>
            </w:pPr>
          </w:p>
        </w:tc>
      </w:tr>
    </w:tbl>
    <w:p w14:paraId="24107C4B" w14:textId="01C9100E" w:rsidR="008909FA" w:rsidRPr="00103519" w:rsidRDefault="00DE144A" w:rsidP="00DE144A">
      <w:pPr>
        <w:tabs>
          <w:tab w:val="left" w:pos="1240"/>
        </w:tabs>
        <w:sectPr w:rsidR="008909FA" w:rsidRPr="00103519" w:rsidSect="002220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6" w:right="851" w:bottom="856" w:left="851" w:header="1066" w:footer="709" w:gutter="0"/>
          <w:cols w:space="708"/>
          <w:titlePg/>
          <w:docGrid w:linePitch="360"/>
        </w:sectPr>
      </w:pPr>
      <w:r>
        <w:tab/>
      </w:r>
    </w:p>
    <w:p w14:paraId="5343AC84" w14:textId="77777777" w:rsidR="007538E4" w:rsidRDefault="007538E4" w:rsidP="00B82535">
      <w:pPr>
        <w:pStyle w:val="Heading2"/>
      </w:pPr>
      <w:r>
        <w:lastRenderedPageBreak/>
        <w:t xml:space="preserve">Statement of Rights practice alignment tool </w:t>
      </w:r>
    </w:p>
    <w:tbl>
      <w:tblPr>
        <w:tblStyle w:val="TableGrid"/>
        <w:tblW w:w="5000" w:type="pct"/>
        <w:tblBorders>
          <w:left w:val="single" w:sz="4" w:space="0" w:color="2AB1BB" w:themeColor="accent1"/>
          <w:right w:val="single" w:sz="4" w:space="0" w:color="2AB1BB" w:themeColor="accent1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829"/>
        <w:gridCol w:w="10066"/>
        <w:gridCol w:w="3686"/>
        <w:gridCol w:w="4530"/>
      </w:tblGrid>
      <w:tr w:rsidR="00B82535" w:rsidRPr="00BA66CA" w14:paraId="6AEDEFD9" w14:textId="77777777" w:rsidTr="00997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0" w:type="pct"/>
            <w:shd w:val="clear" w:color="auto" w:fill="2AB1BB" w:themeFill="accent1"/>
            <w:vAlign w:val="center"/>
            <w:hideMark/>
          </w:tcPr>
          <w:p w14:paraId="63179D37" w14:textId="77777777" w:rsidR="00B82535" w:rsidRPr="00BA66CA" w:rsidRDefault="00B82535" w:rsidP="00B82BC0">
            <w:pPr>
              <w:rPr>
                <w:bCs/>
              </w:rPr>
            </w:pPr>
            <w:r>
              <w:rPr>
                <w:bCs/>
              </w:rPr>
              <w:t xml:space="preserve">Right </w:t>
            </w:r>
          </w:p>
        </w:tc>
        <w:tc>
          <w:tcPr>
            <w:tcW w:w="2384" w:type="pct"/>
            <w:shd w:val="clear" w:color="auto" w:fill="2AB1BB" w:themeFill="accent1"/>
            <w:vAlign w:val="center"/>
            <w:hideMark/>
          </w:tcPr>
          <w:p w14:paraId="1BF73880" w14:textId="77777777" w:rsidR="00B82535" w:rsidRPr="00BA66CA" w:rsidRDefault="00B82535" w:rsidP="00B82BC0">
            <w:pPr>
              <w:rPr>
                <w:bCs/>
              </w:rPr>
            </w:pPr>
            <w:r>
              <w:rPr>
                <w:bCs/>
              </w:rPr>
              <w:t xml:space="preserve">Practices to consider  </w:t>
            </w:r>
          </w:p>
        </w:tc>
        <w:tc>
          <w:tcPr>
            <w:tcW w:w="873" w:type="pct"/>
            <w:shd w:val="clear" w:color="auto" w:fill="2AB1BB" w:themeFill="accent1"/>
            <w:vAlign w:val="center"/>
            <w:hideMark/>
          </w:tcPr>
          <w:p w14:paraId="763F4117" w14:textId="77777777" w:rsidR="00B82535" w:rsidRPr="00BA66CA" w:rsidRDefault="00B82535" w:rsidP="00B82BC0">
            <w:pPr>
              <w:rPr>
                <w:bCs/>
              </w:rPr>
            </w:pPr>
            <w:r>
              <w:rPr>
                <w:bCs/>
              </w:rPr>
              <w:t xml:space="preserve">How am I supporting this right in my daily work? Where could I improve? </w:t>
            </w:r>
          </w:p>
        </w:tc>
        <w:tc>
          <w:tcPr>
            <w:tcW w:w="1073" w:type="pct"/>
            <w:shd w:val="clear" w:color="auto" w:fill="2AB1BB" w:themeFill="accent1"/>
            <w:vAlign w:val="center"/>
            <w:hideMark/>
          </w:tcPr>
          <w:p w14:paraId="73B11134" w14:textId="77777777" w:rsidR="00B82535" w:rsidRPr="00BA66CA" w:rsidRDefault="00B82535" w:rsidP="00B82BC0">
            <w:pPr>
              <w:rPr>
                <w:bCs/>
              </w:rPr>
            </w:pPr>
            <w:r>
              <w:rPr>
                <w:bCs/>
              </w:rPr>
              <w:t xml:space="preserve">Practical actions I can take </w:t>
            </w:r>
          </w:p>
        </w:tc>
      </w:tr>
      <w:tr w:rsidR="00B82535" w:rsidRPr="00BA66CA" w14:paraId="70E60B09" w14:textId="77777777" w:rsidTr="00997212">
        <w:tc>
          <w:tcPr>
            <w:tcW w:w="670" w:type="pct"/>
            <w:shd w:val="clear" w:color="auto" w:fill="D8DBDB" w:themeFill="background1" w:themeFillShade="E6"/>
            <w:hideMark/>
          </w:tcPr>
          <w:p w14:paraId="451750B1" w14:textId="77777777" w:rsidR="00B82535" w:rsidRPr="00CF57F9" w:rsidRDefault="00B82535" w:rsidP="00B82BC0">
            <w:pPr>
              <w:rPr>
                <w:b/>
                <w:bCs/>
              </w:rPr>
            </w:pPr>
            <w:r w:rsidRPr="00CF57F9">
              <w:rPr>
                <w:b/>
                <w:bCs/>
              </w:rPr>
              <w:t>Independence, autonomy, empowerment and freedom of choice</w:t>
            </w:r>
            <w:r w:rsidRPr="00CF57F9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84" w:type="pct"/>
            <w:shd w:val="clear" w:color="auto" w:fill="F1F2F2" w:themeFill="background2"/>
          </w:tcPr>
          <w:p w14:paraId="2A7F6FB1" w14:textId="77777777" w:rsidR="00B82535" w:rsidRPr="007F364C" w:rsidRDefault="00B82535" w:rsidP="00B82BC0">
            <w:pPr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Some examples: </w:t>
            </w:r>
          </w:p>
          <w:p w14:paraId="75ECA786" w14:textId="77777777" w:rsidR="00B82535" w:rsidRPr="001D4419" w:rsidRDefault="00B82535" w:rsidP="00B82BC0">
            <w:pPr>
              <w:pStyle w:val="Bullet"/>
              <w:ind w:left="242" w:hanging="242"/>
              <w:rPr>
                <w:i/>
                <w:iCs/>
              </w:rPr>
            </w:pPr>
            <w:r w:rsidRPr="001D4419">
              <w:rPr>
                <w:i/>
                <w:iCs/>
              </w:rPr>
              <w:t>Ask for preferences and offer real choices in routines (meals, activities, timing of care)</w:t>
            </w:r>
          </w:p>
          <w:p w14:paraId="12E3B1CC" w14:textId="77777777" w:rsidR="00B82535" w:rsidRPr="001D4419" w:rsidRDefault="00B82535" w:rsidP="00B82BC0">
            <w:pPr>
              <w:pStyle w:val="Bullet"/>
              <w:ind w:left="242" w:hanging="242"/>
              <w:rPr>
                <w:i/>
                <w:iCs/>
              </w:rPr>
            </w:pPr>
            <w:r w:rsidRPr="001D4419">
              <w:rPr>
                <w:i/>
                <w:iCs/>
              </w:rPr>
              <w:t>Support decision-making, even if choices are different to what I think is best</w:t>
            </w:r>
          </w:p>
          <w:p w14:paraId="4428AB29" w14:textId="77777777" w:rsidR="00B82535" w:rsidRPr="007F364C" w:rsidRDefault="00B82535" w:rsidP="00B82BC0">
            <w:pPr>
              <w:pStyle w:val="Bullet"/>
              <w:ind w:left="242" w:hanging="242"/>
            </w:pPr>
            <w:r w:rsidRPr="001D4419">
              <w:rPr>
                <w:i/>
                <w:iCs/>
              </w:rPr>
              <w:t>Give time and information for decisions</w:t>
            </w:r>
            <w:r w:rsidRPr="007F364C">
              <w:t xml:space="preserve"> </w:t>
            </w:r>
          </w:p>
        </w:tc>
        <w:tc>
          <w:tcPr>
            <w:tcW w:w="873" w:type="pct"/>
          </w:tcPr>
          <w:p w14:paraId="673B2BBE" w14:textId="77777777" w:rsidR="00B82535" w:rsidRPr="00BA66CA" w:rsidRDefault="00B82535" w:rsidP="00B82BC0">
            <w:pPr>
              <w:rPr>
                <w:i/>
                <w:iCs/>
              </w:rPr>
            </w:pPr>
          </w:p>
        </w:tc>
        <w:tc>
          <w:tcPr>
            <w:tcW w:w="1073" w:type="pct"/>
          </w:tcPr>
          <w:p w14:paraId="640A0EC8" w14:textId="77777777" w:rsidR="00B82535" w:rsidRPr="00BA66CA" w:rsidRDefault="00B82535" w:rsidP="00B82BC0">
            <w:pPr>
              <w:rPr>
                <w:i/>
                <w:iCs/>
              </w:rPr>
            </w:pPr>
          </w:p>
        </w:tc>
      </w:tr>
      <w:tr w:rsidR="00B82535" w:rsidRPr="00BA66CA" w14:paraId="19AC1949" w14:textId="77777777" w:rsidTr="00997212">
        <w:tc>
          <w:tcPr>
            <w:tcW w:w="670" w:type="pct"/>
            <w:shd w:val="clear" w:color="auto" w:fill="D8DBDB" w:themeFill="background1" w:themeFillShade="E6"/>
            <w:hideMark/>
          </w:tcPr>
          <w:p w14:paraId="44424630" w14:textId="77777777" w:rsidR="00B82535" w:rsidRPr="00CF57F9" w:rsidRDefault="00B82535" w:rsidP="00B82BC0">
            <w:pPr>
              <w:rPr>
                <w:b/>
                <w:bCs/>
              </w:rPr>
            </w:pPr>
            <w:r w:rsidRPr="00CF57F9">
              <w:rPr>
                <w:b/>
                <w:bCs/>
              </w:rPr>
              <w:t>Equitable access</w:t>
            </w:r>
          </w:p>
        </w:tc>
        <w:tc>
          <w:tcPr>
            <w:tcW w:w="2384" w:type="pct"/>
            <w:shd w:val="clear" w:color="auto" w:fill="F1F2F2" w:themeFill="background2"/>
            <w:hideMark/>
          </w:tcPr>
          <w:p w14:paraId="3D8B8B43" w14:textId="77777777" w:rsidR="00B82535" w:rsidRPr="007F364C" w:rsidRDefault="00B82535" w:rsidP="00B82BC0">
            <w:pPr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Some examples: </w:t>
            </w:r>
          </w:p>
          <w:p w14:paraId="2D6A4B6E" w14:textId="77777777" w:rsidR="00B82535" w:rsidRPr="00777EBA" w:rsidRDefault="00B82535" w:rsidP="00B82BC0">
            <w:pPr>
              <w:pStyle w:val="Bullet"/>
              <w:ind w:left="284" w:hanging="284"/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Use communication techniques that are sensitive to cultural differences </w:t>
            </w:r>
            <w:r>
              <w:rPr>
                <w:i/>
                <w:iCs/>
              </w:rPr>
              <w:t>(for example, use</w:t>
            </w:r>
            <w:r w:rsidRPr="00777EBA">
              <w:rPr>
                <w:i/>
                <w:iCs/>
              </w:rPr>
              <w:t xml:space="preserve"> interpreters or translated materials</w:t>
            </w:r>
            <w:r>
              <w:rPr>
                <w:i/>
                <w:iCs/>
              </w:rPr>
              <w:t>)</w:t>
            </w:r>
          </w:p>
          <w:p w14:paraId="61DC7661" w14:textId="2FEE6521" w:rsidR="00B82535" w:rsidRPr="007F364C" w:rsidRDefault="00B82535" w:rsidP="00B82BC0">
            <w:pPr>
              <w:pStyle w:val="Bullet"/>
              <w:ind w:left="284" w:hanging="284"/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Ask </w:t>
            </w:r>
            <w:r w:rsidR="00174C4B">
              <w:rPr>
                <w:i/>
                <w:iCs/>
              </w:rPr>
              <w:t xml:space="preserve">respectfully and openly </w:t>
            </w:r>
            <w:r w:rsidRPr="007F364C">
              <w:rPr>
                <w:i/>
                <w:iCs/>
              </w:rPr>
              <w:t xml:space="preserve">about potentially relevant traditions and </w:t>
            </w:r>
            <w:r w:rsidR="00BB30CD">
              <w:rPr>
                <w:i/>
                <w:iCs/>
              </w:rPr>
              <w:t xml:space="preserve">important </w:t>
            </w:r>
            <w:r w:rsidRPr="007F364C">
              <w:rPr>
                <w:i/>
                <w:iCs/>
              </w:rPr>
              <w:t>customs of the older person</w:t>
            </w:r>
            <w:r w:rsidR="00585DB7">
              <w:rPr>
                <w:i/>
                <w:iCs/>
              </w:rPr>
              <w:t xml:space="preserve">. </w:t>
            </w:r>
          </w:p>
        </w:tc>
        <w:tc>
          <w:tcPr>
            <w:tcW w:w="873" w:type="pct"/>
            <w:hideMark/>
          </w:tcPr>
          <w:p w14:paraId="61B642A6" w14:textId="77777777" w:rsidR="00B82535" w:rsidRPr="00BA66CA" w:rsidRDefault="00B82535" w:rsidP="00B82BC0"/>
        </w:tc>
        <w:tc>
          <w:tcPr>
            <w:tcW w:w="1073" w:type="pct"/>
            <w:hideMark/>
          </w:tcPr>
          <w:p w14:paraId="2827CB39" w14:textId="77777777" w:rsidR="00B82535" w:rsidRPr="00BA66CA" w:rsidRDefault="00B82535" w:rsidP="00B82BC0"/>
        </w:tc>
      </w:tr>
      <w:tr w:rsidR="00B82535" w:rsidRPr="00BA66CA" w14:paraId="17405C2D" w14:textId="77777777" w:rsidTr="00997212">
        <w:tc>
          <w:tcPr>
            <w:tcW w:w="670" w:type="pct"/>
            <w:shd w:val="clear" w:color="auto" w:fill="D8DBDB" w:themeFill="background1" w:themeFillShade="E6"/>
            <w:hideMark/>
          </w:tcPr>
          <w:p w14:paraId="7A52B53F" w14:textId="77777777" w:rsidR="00B82535" w:rsidRPr="00CF57F9" w:rsidRDefault="00B82535" w:rsidP="00B82BC0">
            <w:pPr>
              <w:rPr>
                <w:b/>
                <w:bCs/>
              </w:rPr>
            </w:pPr>
            <w:r w:rsidRPr="00CF57F9">
              <w:rPr>
                <w:b/>
                <w:bCs/>
              </w:rPr>
              <w:t>Quality and safe funded aged care services</w:t>
            </w:r>
          </w:p>
        </w:tc>
        <w:tc>
          <w:tcPr>
            <w:tcW w:w="2384" w:type="pct"/>
            <w:shd w:val="clear" w:color="auto" w:fill="F1F2F2" w:themeFill="background2"/>
            <w:hideMark/>
          </w:tcPr>
          <w:p w14:paraId="520026C6" w14:textId="77777777" w:rsidR="00B82535" w:rsidRPr="007F364C" w:rsidRDefault="00B82535" w:rsidP="00B82BC0">
            <w:pPr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Some examples: </w:t>
            </w:r>
          </w:p>
          <w:p w14:paraId="6ADC618E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Take time to get to know the older person</w:t>
            </w:r>
          </w:p>
          <w:p w14:paraId="23976672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Look out for changes in an older person’s health, mood or thinking and report </w:t>
            </w:r>
            <w:r>
              <w:rPr>
                <w:i/>
                <w:iCs/>
              </w:rPr>
              <w:t xml:space="preserve">risks or </w:t>
            </w:r>
            <w:r w:rsidRPr="007F364C">
              <w:rPr>
                <w:i/>
                <w:iCs/>
              </w:rPr>
              <w:t xml:space="preserve">concerns quickly </w:t>
            </w:r>
          </w:p>
          <w:p w14:paraId="0241DF70" w14:textId="77777777" w:rsidR="00B82535" w:rsidRPr="00B04A3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Offer a positive dining experience that supports wellbeing and a sense of belonging </w:t>
            </w:r>
          </w:p>
        </w:tc>
        <w:tc>
          <w:tcPr>
            <w:tcW w:w="873" w:type="pct"/>
            <w:hideMark/>
          </w:tcPr>
          <w:p w14:paraId="34256BC2" w14:textId="77777777" w:rsidR="00B82535" w:rsidRPr="00BA66CA" w:rsidRDefault="00B82535" w:rsidP="00B82BC0"/>
        </w:tc>
        <w:tc>
          <w:tcPr>
            <w:tcW w:w="1073" w:type="pct"/>
            <w:hideMark/>
          </w:tcPr>
          <w:p w14:paraId="1AA3C16E" w14:textId="77777777" w:rsidR="00B82535" w:rsidRPr="00BA66CA" w:rsidRDefault="00B82535" w:rsidP="00B82BC0"/>
        </w:tc>
      </w:tr>
      <w:tr w:rsidR="00B82535" w:rsidRPr="00BA66CA" w14:paraId="706A289B" w14:textId="77777777" w:rsidTr="00997212">
        <w:tc>
          <w:tcPr>
            <w:tcW w:w="670" w:type="pct"/>
            <w:shd w:val="clear" w:color="auto" w:fill="D8DBDB" w:themeFill="background1" w:themeFillShade="E6"/>
            <w:hideMark/>
          </w:tcPr>
          <w:p w14:paraId="1B1CDB34" w14:textId="77777777" w:rsidR="00B82535" w:rsidRPr="00CF57F9" w:rsidRDefault="00B82535" w:rsidP="00B82BC0">
            <w:pPr>
              <w:rPr>
                <w:b/>
                <w:bCs/>
              </w:rPr>
            </w:pPr>
            <w:r w:rsidRPr="00CF57F9">
              <w:rPr>
                <w:b/>
                <w:bCs/>
              </w:rPr>
              <w:t>Respect for privacy and information</w:t>
            </w:r>
          </w:p>
        </w:tc>
        <w:tc>
          <w:tcPr>
            <w:tcW w:w="2384" w:type="pct"/>
            <w:shd w:val="clear" w:color="auto" w:fill="F1F2F2" w:themeFill="background2"/>
            <w:hideMark/>
          </w:tcPr>
          <w:p w14:paraId="3D121DDA" w14:textId="77777777" w:rsidR="00B82535" w:rsidRPr="007F364C" w:rsidRDefault="00B82535" w:rsidP="00B82BC0">
            <w:pPr>
              <w:rPr>
                <w:i/>
                <w:iCs/>
              </w:rPr>
            </w:pPr>
            <w:r w:rsidRPr="007F364C">
              <w:rPr>
                <w:i/>
                <w:iCs/>
              </w:rPr>
              <w:t>Some examples:</w:t>
            </w:r>
          </w:p>
          <w:p w14:paraId="7B10045E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Knock before entering rooms</w:t>
            </w:r>
          </w:p>
          <w:p w14:paraId="308471A0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Hold conversations privately</w:t>
            </w:r>
          </w:p>
          <w:p w14:paraId="6407DB1E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Protect personal information and only share with consent or when necessary for care</w:t>
            </w:r>
          </w:p>
        </w:tc>
        <w:tc>
          <w:tcPr>
            <w:tcW w:w="873" w:type="pct"/>
            <w:hideMark/>
          </w:tcPr>
          <w:p w14:paraId="1C6DFF7E" w14:textId="77777777" w:rsidR="00B82535" w:rsidRPr="00BA66CA" w:rsidRDefault="00B82535" w:rsidP="00B82BC0"/>
        </w:tc>
        <w:tc>
          <w:tcPr>
            <w:tcW w:w="1073" w:type="pct"/>
            <w:hideMark/>
          </w:tcPr>
          <w:p w14:paraId="42EF4656" w14:textId="77777777" w:rsidR="00B82535" w:rsidRPr="00BA66CA" w:rsidRDefault="00B82535" w:rsidP="00B82BC0"/>
        </w:tc>
      </w:tr>
      <w:tr w:rsidR="00B82535" w:rsidRPr="00BA66CA" w14:paraId="1191B576" w14:textId="77777777" w:rsidTr="00997212">
        <w:tc>
          <w:tcPr>
            <w:tcW w:w="670" w:type="pct"/>
            <w:shd w:val="clear" w:color="auto" w:fill="D8DBDB" w:themeFill="background1" w:themeFillShade="E6"/>
            <w:hideMark/>
          </w:tcPr>
          <w:p w14:paraId="33A4BA92" w14:textId="77777777" w:rsidR="00B82535" w:rsidRPr="00CF57F9" w:rsidRDefault="00B82535" w:rsidP="00B82BC0">
            <w:pPr>
              <w:rPr>
                <w:b/>
                <w:bCs/>
              </w:rPr>
            </w:pPr>
            <w:r w:rsidRPr="00CF57F9">
              <w:rPr>
                <w:b/>
                <w:bCs/>
              </w:rPr>
              <w:t>Person-centred communication and ability to raise issues without reprisal</w:t>
            </w:r>
          </w:p>
        </w:tc>
        <w:tc>
          <w:tcPr>
            <w:tcW w:w="2384" w:type="pct"/>
            <w:shd w:val="clear" w:color="auto" w:fill="F1F2F2" w:themeFill="background2"/>
            <w:hideMark/>
          </w:tcPr>
          <w:p w14:paraId="51963B0B" w14:textId="77777777" w:rsidR="00B82535" w:rsidRPr="007F364C" w:rsidRDefault="00B82535" w:rsidP="00B82BC0">
            <w:pPr>
              <w:rPr>
                <w:i/>
                <w:iCs/>
              </w:rPr>
            </w:pPr>
            <w:r w:rsidRPr="007F364C">
              <w:rPr>
                <w:i/>
                <w:iCs/>
              </w:rPr>
              <w:t>Some examples:</w:t>
            </w:r>
          </w:p>
          <w:p w14:paraId="0B640431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Understand and respect communication preferences</w:t>
            </w:r>
          </w:p>
          <w:p w14:paraId="1701948F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Encourage feedback and response respectfully</w:t>
            </w:r>
          </w:p>
          <w:p w14:paraId="28F30980" w14:textId="77777777" w:rsidR="00B82535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Don't dismiss concerns or make someone feel unsafe to speak up</w:t>
            </w:r>
          </w:p>
          <w:p w14:paraId="32ACF3BD" w14:textId="7037A718" w:rsidR="00066A61" w:rsidRPr="007F364C" w:rsidRDefault="00066A61" w:rsidP="00B82BC0">
            <w:pPr>
              <w:pStyle w:val="Bullet"/>
              <w:ind w:left="310" w:hanging="283"/>
              <w:rPr>
                <w:i/>
                <w:iCs/>
              </w:rPr>
            </w:pPr>
            <w:r>
              <w:rPr>
                <w:i/>
                <w:iCs/>
              </w:rPr>
              <w:t xml:space="preserve">If a complaint is raised, </w:t>
            </w:r>
            <w:r w:rsidR="00445520">
              <w:rPr>
                <w:i/>
                <w:iCs/>
              </w:rPr>
              <w:t xml:space="preserve">ensure the older person receives </w:t>
            </w:r>
            <w:r w:rsidR="006827D6">
              <w:rPr>
                <w:i/>
                <w:iCs/>
              </w:rPr>
              <w:t>information about the outcome</w:t>
            </w:r>
          </w:p>
        </w:tc>
        <w:tc>
          <w:tcPr>
            <w:tcW w:w="873" w:type="pct"/>
            <w:hideMark/>
          </w:tcPr>
          <w:p w14:paraId="300F5F92" w14:textId="77777777" w:rsidR="00B82535" w:rsidRPr="00BA66CA" w:rsidRDefault="00B82535" w:rsidP="00B82BC0"/>
        </w:tc>
        <w:tc>
          <w:tcPr>
            <w:tcW w:w="1073" w:type="pct"/>
            <w:hideMark/>
          </w:tcPr>
          <w:p w14:paraId="58D22992" w14:textId="77777777" w:rsidR="00B82535" w:rsidRPr="00BA66CA" w:rsidRDefault="00B82535" w:rsidP="00B82BC0"/>
        </w:tc>
      </w:tr>
      <w:tr w:rsidR="00B82535" w:rsidRPr="00BA66CA" w14:paraId="14A1AD9C" w14:textId="77777777" w:rsidTr="00997212">
        <w:tc>
          <w:tcPr>
            <w:tcW w:w="670" w:type="pct"/>
            <w:shd w:val="clear" w:color="auto" w:fill="D8DBDB" w:themeFill="background1" w:themeFillShade="E6"/>
            <w:hideMark/>
          </w:tcPr>
          <w:p w14:paraId="1DEB272B" w14:textId="77777777" w:rsidR="00B82535" w:rsidRPr="00CF57F9" w:rsidRDefault="00B82535" w:rsidP="00B82BC0">
            <w:pPr>
              <w:rPr>
                <w:b/>
                <w:bCs/>
              </w:rPr>
            </w:pPr>
            <w:r w:rsidRPr="00CF57F9">
              <w:rPr>
                <w:b/>
                <w:bCs/>
              </w:rPr>
              <w:t>Advocates, significant persons and social connections</w:t>
            </w:r>
          </w:p>
        </w:tc>
        <w:tc>
          <w:tcPr>
            <w:tcW w:w="2384" w:type="pct"/>
            <w:shd w:val="clear" w:color="auto" w:fill="F1F2F2" w:themeFill="background2"/>
            <w:hideMark/>
          </w:tcPr>
          <w:p w14:paraId="614A520B" w14:textId="77777777" w:rsidR="00B82535" w:rsidRPr="007F364C" w:rsidRDefault="00B82535" w:rsidP="00B82BC0">
            <w:pPr>
              <w:rPr>
                <w:i/>
                <w:iCs/>
              </w:rPr>
            </w:pPr>
            <w:r w:rsidRPr="007F364C">
              <w:rPr>
                <w:i/>
                <w:iCs/>
              </w:rPr>
              <w:t>Some examples:</w:t>
            </w:r>
          </w:p>
          <w:p w14:paraId="7B3A5D63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>Welcome family, friends, advocates and pets into care settings</w:t>
            </w:r>
          </w:p>
          <w:p w14:paraId="091DA6AA" w14:textId="77777777" w:rsidR="00B82535" w:rsidRPr="007F364C" w:rsidRDefault="00B82535" w:rsidP="00B82BC0">
            <w:pPr>
              <w:pStyle w:val="Bullet"/>
              <w:ind w:left="310" w:hanging="283"/>
              <w:rPr>
                <w:i/>
                <w:iCs/>
              </w:rPr>
            </w:pPr>
            <w:r w:rsidRPr="007F364C">
              <w:rPr>
                <w:i/>
                <w:iCs/>
              </w:rPr>
              <w:t xml:space="preserve">Support the older person to connect with community, culture and spirituality </w:t>
            </w:r>
          </w:p>
        </w:tc>
        <w:tc>
          <w:tcPr>
            <w:tcW w:w="873" w:type="pct"/>
            <w:hideMark/>
          </w:tcPr>
          <w:p w14:paraId="518F796F" w14:textId="77777777" w:rsidR="00B82535" w:rsidRPr="00BA66CA" w:rsidRDefault="00B82535" w:rsidP="00B82BC0"/>
        </w:tc>
        <w:tc>
          <w:tcPr>
            <w:tcW w:w="1073" w:type="pct"/>
            <w:hideMark/>
          </w:tcPr>
          <w:p w14:paraId="08328194" w14:textId="77777777" w:rsidR="00B82535" w:rsidRPr="00BA66CA" w:rsidRDefault="00B82535" w:rsidP="00B82BC0"/>
        </w:tc>
      </w:tr>
    </w:tbl>
    <w:p w14:paraId="6CC961AA" w14:textId="77777777" w:rsidR="00F14E89" w:rsidRPr="00AB4513" w:rsidRDefault="00F14E89"/>
    <w:sectPr w:rsidR="00F14E89" w:rsidRPr="00AB4513" w:rsidSect="002A5314">
      <w:headerReference w:type="first" r:id="rId17"/>
      <w:pgSz w:w="23811" w:h="16838" w:orient="landscape"/>
      <w:pgMar w:top="851" w:right="1274" w:bottom="851" w:left="1416" w:header="10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92EB" w14:textId="77777777" w:rsidR="004A7E52" w:rsidRDefault="004A7E52" w:rsidP="0076491B">
      <w:pPr>
        <w:spacing w:before="0" w:after="0" w:line="240" w:lineRule="auto"/>
      </w:pPr>
      <w:r>
        <w:separator/>
      </w:r>
    </w:p>
  </w:endnote>
  <w:endnote w:type="continuationSeparator" w:id="0">
    <w:p w14:paraId="0118ABC4" w14:textId="77777777" w:rsidR="004A7E52" w:rsidRDefault="004A7E52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5E3D42F4" w14:textId="77777777" w:rsidR="004A7E52" w:rsidRDefault="004A7E5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2D7F" w14:textId="75265EF9" w:rsidR="005D252D" w:rsidRDefault="004777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C165E02" wp14:editId="1E8E97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05944172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655FA" w14:textId="5BED05AD" w:rsidR="004777CF" w:rsidRPr="004777CF" w:rsidRDefault="004777CF" w:rsidP="00477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77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65E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37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081655FA" w14:textId="5BED05AD" w:rsidR="004777CF" w:rsidRPr="004777CF" w:rsidRDefault="004777CF" w:rsidP="00477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777C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820E" w14:textId="3DDBAC62" w:rsidR="00EC62DA" w:rsidRDefault="004777CF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711121" wp14:editId="02FD7E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17350558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67E70" w14:textId="5D6D7483" w:rsidR="004777CF" w:rsidRPr="004777CF" w:rsidRDefault="004777CF" w:rsidP="00477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77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11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3.45pt;height:37.8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5A467E70" w14:textId="5D6D7483" w:rsidR="004777CF" w:rsidRPr="004777CF" w:rsidRDefault="004777CF" w:rsidP="00477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777C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731772383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7BF152FA" w14:textId="4C566AE4" w:rsidR="2566EFA4" w:rsidRPr="00EC62DA" w:rsidRDefault="00314CA1" w:rsidP="00314CA1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314CA1">
      <w:t>Statement of Rights practice alignment tool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40F9" w14:textId="2EFB600E" w:rsidR="00EC62DA" w:rsidRDefault="004777CF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A0B94C" wp14:editId="34561FED">
              <wp:simplePos x="69342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981183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E5CE1" w14:textId="45BE24FD" w:rsidR="004777CF" w:rsidRPr="004777CF" w:rsidRDefault="004777CF" w:rsidP="00477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77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0B9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MzDQ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" filled="f" stroked="f">
              <v:textbox style="mso-fit-shape-to-text:t" inset="0,0,0,15pt">
                <w:txbxContent>
                  <w:p w14:paraId="777E5CE1" w14:textId="45BE24FD" w:rsidR="004777CF" w:rsidRPr="004777CF" w:rsidRDefault="004777CF" w:rsidP="00477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777C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573860837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47EF9F2F" w14:textId="602E4500" w:rsidR="2566EFA4" w:rsidRPr="00EC62DA" w:rsidRDefault="00314CA1" w:rsidP="00B82FB5">
    <w:pPr>
      <w:pStyle w:val="Header"/>
      <w:tabs>
        <w:tab w:val="clear" w:pos="4513"/>
        <w:tab w:val="clear" w:pos="9026"/>
        <w:tab w:val="center" w:pos="3508"/>
        <w:tab w:val="right" w:pos="6908"/>
      </w:tabs>
      <w:ind w:right="-115"/>
    </w:pPr>
    <w:r w:rsidRPr="00314CA1">
      <w:t>Statement of Rights practice alignment tool</w:t>
    </w:r>
    <w:r w:rsidR="00EC62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8E07" w14:textId="77777777" w:rsidR="004A7E52" w:rsidRDefault="004A7E52" w:rsidP="0076491B">
      <w:pPr>
        <w:spacing w:before="0" w:after="0" w:line="240" w:lineRule="auto"/>
      </w:pPr>
      <w:r>
        <w:separator/>
      </w:r>
    </w:p>
  </w:footnote>
  <w:footnote w:type="continuationSeparator" w:id="0">
    <w:p w14:paraId="5305E571" w14:textId="77777777" w:rsidR="004A7E52" w:rsidRDefault="004A7E52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44D2B7F7" w14:textId="77777777" w:rsidR="004A7E52" w:rsidRDefault="004A7E5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7973" w14:textId="1941303D" w:rsidR="005D252D" w:rsidRDefault="004777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E447C8" wp14:editId="1A09D2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1300740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B9A44" w14:textId="02A9EE63" w:rsidR="004777CF" w:rsidRPr="004777CF" w:rsidRDefault="004777CF" w:rsidP="00477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77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447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2C8B9A44" w14:textId="02A9EE63" w:rsidR="004777CF" w:rsidRPr="004777CF" w:rsidRDefault="004777CF" w:rsidP="00477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777C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54BF" w14:textId="02B3C489" w:rsidR="005D252D" w:rsidRDefault="004777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877D7B" wp14:editId="742A24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0098178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E9ECE" w14:textId="7ADF0E7D" w:rsidR="004777CF" w:rsidRPr="004777CF" w:rsidRDefault="004777CF" w:rsidP="00477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77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77D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7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1BBE9ECE" w14:textId="7ADF0E7D" w:rsidR="004777CF" w:rsidRPr="004777CF" w:rsidRDefault="004777CF" w:rsidP="00477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777C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9720" w14:textId="5F1E220C" w:rsidR="0076491B" w:rsidRDefault="00746B3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ED6B78" wp14:editId="220D0E4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515865768" name="Picture 515865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60000" cy="211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BACD" w14:textId="1396DDEF" w:rsidR="004741FD" w:rsidRDefault="00474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539D6"/>
    <w:multiLevelType w:val="hybridMultilevel"/>
    <w:tmpl w:val="1D3E37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F787C"/>
    <w:multiLevelType w:val="hybridMultilevel"/>
    <w:tmpl w:val="4050A7AA"/>
    <w:lvl w:ilvl="0" w:tplc="9900FD12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2AB1BB" w:themeColor="accent1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510AD"/>
    <w:multiLevelType w:val="hybridMultilevel"/>
    <w:tmpl w:val="65C6D310"/>
    <w:lvl w:ilvl="0" w:tplc="A8BA9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0030"/>
    <w:multiLevelType w:val="hybridMultilevel"/>
    <w:tmpl w:val="789677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5B74C4"/>
    <w:multiLevelType w:val="hybridMultilevel"/>
    <w:tmpl w:val="CA524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6AD1"/>
    <w:multiLevelType w:val="hybridMultilevel"/>
    <w:tmpl w:val="25301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F7B02"/>
    <w:multiLevelType w:val="hybridMultilevel"/>
    <w:tmpl w:val="3190E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AAE1F1B"/>
    <w:multiLevelType w:val="hybridMultilevel"/>
    <w:tmpl w:val="FD928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87100E"/>
    <w:multiLevelType w:val="hybridMultilevel"/>
    <w:tmpl w:val="3ACE56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53471"/>
    <w:multiLevelType w:val="hybridMultilevel"/>
    <w:tmpl w:val="11BCB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3233E"/>
    <w:multiLevelType w:val="hybridMultilevel"/>
    <w:tmpl w:val="561C0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F199B"/>
    <w:multiLevelType w:val="hybridMultilevel"/>
    <w:tmpl w:val="1236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F6817"/>
    <w:multiLevelType w:val="hybridMultilevel"/>
    <w:tmpl w:val="069877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2E32"/>
    <w:multiLevelType w:val="hybridMultilevel"/>
    <w:tmpl w:val="F20C692A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53504044">
    <w:abstractNumId w:val="30"/>
  </w:num>
  <w:num w:numId="2" w16cid:durableId="887882813">
    <w:abstractNumId w:val="5"/>
  </w:num>
  <w:num w:numId="3" w16cid:durableId="2099326521">
    <w:abstractNumId w:val="25"/>
  </w:num>
  <w:num w:numId="4" w16cid:durableId="1547790336">
    <w:abstractNumId w:val="26"/>
  </w:num>
  <w:num w:numId="5" w16cid:durableId="1860000748">
    <w:abstractNumId w:val="12"/>
  </w:num>
  <w:num w:numId="6" w16cid:durableId="387412051">
    <w:abstractNumId w:val="2"/>
  </w:num>
  <w:num w:numId="7" w16cid:durableId="1549995288">
    <w:abstractNumId w:val="20"/>
  </w:num>
  <w:num w:numId="8" w16cid:durableId="990331736">
    <w:abstractNumId w:val="17"/>
  </w:num>
  <w:num w:numId="9" w16cid:durableId="1218394114">
    <w:abstractNumId w:val="23"/>
  </w:num>
  <w:num w:numId="10" w16cid:durableId="962155908">
    <w:abstractNumId w:val="0"/>
  </w:num>
  <w:num w:numId="11" w16cid:durableId="440883028">
    <w:abstractNumId w:val="32"/>
  </w:num>
  <w:num w:numId="12" w16cid:durableId="1027488482">
    <w:abstractNumId w:val="7"/>
  </w:num>
  <w:num w:numId="13" w16cid:durableId="112018218">
    <w:abstractNumId w:val="16"/>
  </w:num>
  <w:num w:numId="14" w16cid:durableId="1703019049">
    <w:abstractNumId w:val="1"/>
  </w:num>
  <w:num w:numId="15" w16cid:durableId="1166283392">
    <w:abstractNumId w:val="9"/>
  </w:num>
  <w:num w:numId="16" w16cid:durableId="2041929339">
    <w:abstractNumId w:val="13"/>
  </w:num>
  <w:num w:numId="17" w16cid:durableId="480653444">
    <w:abstractNumId w:val="21"/>
  </w:num>
  <w:num w:numId="18" w16cid:durableId="1440756137">
    <w:abstractNumId w:val="15"/>
  </w:num>
  <w:num w:numId="19" w16cid:durableId="305211232">
    <w:abstractNumId w:val="6"/>
  </w:num>
  <w:num w:numId="20" w16cid:durableId="889804405">
    <w:abstractNumId w:val="8"/>
  </w:num>
  <w:num w:numId="21" w16cid:durableId="324671036">
    <w:abstractNumId w:val="4"/>
  </w:num>
  <w:num w:numId="22" w16cid:durableId="169026705">
    <w:abstractNumId w:val="29"/>
  </w:num>
  <w:num w:numId="23" w16cid:durableId="1308780663">
    <w:abstractNumId w:val="22"/>
  </w:num>
  <w:num w:numId="24" w16cid:durableId="1264996269">
    <w:abstractNumId w:val="27"/>
  </w:num>
  <w:num w:numId="25" w16cid:durableId="1159349974">
    <w:abstractNumId w:val="14"/>
  </w:num>
  <w:num w:numId="26" w16cid:durableId="669527935">
    <w:abstractNumId w:val="18"/>
  </w:num>
  <w:num w:numId="27" w16cid:durableId="1240142320">
    <w:abstractNumId w:val="4"/>
  </w:num>
  <w:num w:numId="28" w16cid:durableId="328599015">
    <w:abstractNumId w:val="4"/>
  </w:num>
  <w:num w:numId="29" w16cid:durableId="1552187220">
    <w:abstractNumId w:val="4"/>
  </w:num>
  <w:num w:numId="30" w16cid:durableId="1858150191">
    <w:abstractNumId w:val="4"/>
  </w:num>
  <w:num w:numId="31" w16cid:durableId="572736522">
    <w:abstractNumId w:val="33"/>
  </w:num>
  <w:num w:numId="32" w16cid:durableId="104622594">
    <w:abstractNumId w:val="3"/>
  </w:num>
  <w:num w:numId="33" w16cid:durableId="2067797363">
    <w:abstractNumId w:val="10"/>
  </w:num>
  <w:num w:numId="34" w16cid:durableId="1102452916">
    <w:abstractNumId w:val="19"/>
  </w:num>
  <w:num w:numId="35" w16cid:durableId="602569258">
    <w:abstractNumId w:val="24"/>
  </w:num>
  <w:num w:numId="36" w16cid:durableId="1905214774">
    <w:abstractNumId w:val="31"/>
  </w:num>
  <w:num w:numId="37" w16cid:durableId="1433670186">
    <w:abstractNumId w:val="28"/>
  </w:num>
  <w:num w:numId="38" w16cid:durableId="1178231028">
    <w:abstractNumId w:val="11"/>
  </w:num>
  <w:num w:numId="39" w16cid:durableId="103574901">
    <w:abstractNumId w:val="4"/>
  </w:num>
  <w:num w:numId="40" w16cid:durableId="346949678">
    <w:abstractNumId w:val="4"/>
  </w:num>
  <w:num w:numId="41" w16cid:durableId="1234774793">
    <w:abstractNumId w:val="4"/>
  </w:num>
  <w:num w:numId="42" w16cid:durableId="1578438352">
    <w:abstractNumId w:val="4"/>
  </w:num>
  <w:num w:numId="43" w16cid:durableId="1954050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A"/>
    <w:rsid w:val="00022CF3"/>
    <w:rsid w:val="0002516D"/>
    <w:rsid w:val="000306EF"/>
    <w:rsid w:val="000401D2"/>
    <w:rsid w:val="00040E26"/>
    <w:rsid w:val="00047023"/>
    <w:rsid w:val="00054091"/>
    <w:rsid w:val="00061770"/>
    <w:rsid w:val="00066A61"/>
    <w:rsid w:val="0007163F"/>
    <w:rsid w:val="000931CA"/>
    <w:rsid w:val="000A6897"/>
    <w:rsid w:val="000B3305"/>
    <w:rsid w:val="000C6856"/>
    <w:rsid w:val="000E4A6D"/>
    <w:rsid w:val="000E5E16"/>
    <w:rsid w:val="000F0DB9"/>
    <w:rsid w:val="000F478F"/>
    <w:rsid w:val="000F4B81"/>
    <w:rsid w:val="000F521B"/>
    <w:rsid w:val="000F7C7A"/>
    <w:rsid w:val="00103519"/>
    <w:rsid w:val="001155EC"/>
    <w:rsid w:val="00116E54"/>
    <w:rsid w:val="001224EC"/>
    <w:rsid w:val="0013355D"/>
    <w:rsid w:val="00137056"/>
    <w:rsid w:val="00137851"/>
    <w:rsid w:val="00154B23"/>
    <w:rsid w:val="00154CF5"/>
    <w:rsid w:val="00155061"/>
    <w:rsid w:val="00160057"/>
    <w:rsid w:val="00164AA0"/>
    <w:rsid w:val="00170504"/>
    <w:rsid w:val="00173888"/>
    <w:rsid w:val="00173E25"/>
    <w:rsid w:val="00174C4B"/>
    <w:rsid w:val="00175506"/>
    <w:rsid w:val="00184A53"/>
    <w:rsid w:val="0018537B"/>
    <w:rsid w:val="00187ABC"/>
    <w:rsid w:val="001C6132"/>
    <w:rsid w:val="001D3838"/>
    <w:rsid w:val="001D4419"/>
    <w:rsid w:val="001D4C27"/>
    <w:rsid w:val="001E1055"/>
    <w:rsid w:val="001E75C2"/>
    <w:rsid w:val="001F33D5"/>
    <w:rsid w:val="002007B7"/>
    <w:rsid w:val="002009DB"/>
    <w:rsid w:val="00210366"/>
    <w:rsid w:val="002220EB"/>
    <w:rsid w:val="00224434"/>
    <w:rsid w:val="00233F28"/>
    <w:rsid w:val="0023518D"/>
    <w:rsid w:val="002415D6"/>
    <w:rsid w:val="00243FFD"/>
    <w:rsid w:val="002543E8"/>
    <w:rsid w:val="0027211D"/>
    <w:rsid w:val="0027591C"/>
    <w:rsid w:val="00276AEB"/>
    <w:rsid w:val="002841D6"/>
    <w:rsid w:val="00291B93"/>
    <w:rsid w:val="00292546"/>
    <w:rsid w:val="002947B8"/>
    <w:rsid w:val="002A13FC"/>
    <w:rsid w:val="002A5314"/>
    <w:rsid w:val="002A6EB7"/>
    <w:rsid w:val="002A7901"/>
    <w:rsid w:val="002C2D46"/>
    <w:rsid w:val="002C465A"/>
    <w:rsid w:val="002C57FC"/>
    <w:rsid w:val="002D1244"/>
    <w:rsid w:val="0030015C"/>
    <w:rsid w:val="00302D80"/>
    <w:rsid w:val="00305030"/>
    <w:rsid w:val="003105BF"/>
    <w:rsid w:val="00314CA1"/>
    <w:rsid w:val="00324CF5"/>
    <w:rsid w:val="003364BB"/>
    <w:rsid w:val="00336AD0"/>
    <w:rsid w:val="00343350"/>
    <w:rsid w:val="00344DFD"/>
    <w:rsid w:val="00353392"/>
    <w:rsid w:val="0035495A"/>
    <w:rsid w:val="00357410"/>
    <w:rsid w:val="00360A1E"/>
    <w:rsid w:val="00360B34"/>
    <w:rsid w:val="003619F4"/>
    <w:rsid w:val="00362FC1"/>
    <w:rsid w:val="0037137D"/>
    <w:rsid w:val="00374679"/>
    <w:rsid w:val="003748F8"/>
    <w:rsid w:val="00381A6C"/>
    <w:rsid w:val="0038616D"/>
    <w:rsid w:val="00386ECA"/>
    <w:rsid w:val="00396377"/>
    <w:rsid w:val="0039672F"/>
    <w:rsid w:val="003D03B0"/>
    <w:rsid w:val="003D61A0"/>
    <w:rsid w:val="003E2754"/>
    <w:rsid w:val="003F4C22"/>
    <w:rsid w:val="00404CAE"/>
    <w:rsid w:val="00405077"/>
    <w:rsid w:val="0041616C"/>
    <w:rsid w:val="00422631"/>
    <w:rsid w:val="00435EDF"/>
    <w:rsid w:val="00441B78"/>
    <w:rsid w:val="00445520"/>
    <w:rsid w:val="004557A0"/>
    <w:rsid w:val="00457B16"/>
    <w:rsid w:val="004741FD"/>
    <w:rsid w:val="004777CF"/>
    <w:rsid w:val="0048036A"/>
    <w:rsid w:val="0048164A"/>
    <w:rsid w:val="00483D34"/>
    <w:rsid w:val="004979CE"/>
    <w:rsid w:val="00497FCC"/>
    <w:rsid w:val="004A55F1"/>
    <w:rsid w:val="004A7E52"/>
    <w:rsid w:val="004B2A9C"/>
    <w:rsid w:val="004B306B"/>
    <w:rsid w:val="004B479D"/>
    <w:rsid w:val="004C11EB"/>
    <w:rsid w:val="004C2670"/>
    <w:rsid w:val="004C40C2"/>
    <w:rsid w:val="004E409B"/>
    <w:rsid w:val="004E6FB9"/>
    <w:rsid w:val="004F293A"/>
    <w:rsid w:val="004F29A8"/>
    <w:rsid w:val="004F7E50"/>
    <w:rsid w:val="00503283"/>
    <w:rsid w:val="005035B6"/>
    <w:rsid w:val="00510632"/>
    <w:rsid w:val="00514F94"/>
    <w:rsid w:val="0051754F"/>
    <w:rsid w:val="00517E39"/>
    <w:rsid w:val="00532EAC"/>
    <w:rsid w:val="00546737"/>
    <w:rsid w:val="005626EF"/>
    <w:rsid w:val="00583E63"/>
    <w:rsid w:val="005844D3"/>
    <w:rsid w:val="00585DB7"/>
    <w:rsid w:val="005A38A6"/>
    <w:rsid w:val="005C5E13"/>
    <w:rsid w:val="005C6658"/>
    <w:rsid w:val="005D252D"/>
    <w:rsid w:val="005F41E1"/>
    <w:rsid w:val="00606638"/>
    <w:rsid w:val="006077E5"/>
    <w:rsid w:val="00610FFC"/>
    <w:rsid w:val="00612790"/>
    <w:rsid w:val="006273DF"/>
    <w:rsid w:val="00633DB4"/>
    <w:rsid w:val="006370AD"/>
    <w:rsid w:val="006376C5"/>
    <w:rsid w:val="00641DA4"/>
    <w:rsid w:val="00644948"/>
    <w:rsid w:val="0065204A"/>
    <w:rsid w:val="00654A24"/>
    <w:rsid w:val="00677BC9"/>
    <w:rsid w:val="006827D6"/>
    <w:rsid w:val="006841D0"/>
    <w:rsid w:val="00692329"/>
    <w:rsid w:val="00697BE3"/>
    <w:rsid w:val="006A276D"/>
    <w:rsid w:val="006B1332"/>
    <w:rsid w:val="006B57F6"/>
    <w:rsid w:val="006C07D3"/>
    <w:rsid w:val="006C215D"/>
    <w:rsid w:val="006C6453"/>
    <w:rsid w:val="006D7078"/>
    <w:rsid w:val="006E4B26"/>
    <w:rsid w:val="006F12CD"/>
    <w:rsid w:val="006F6B35"/>
    <w:rsid w:val="00711DBE"/>
    <w:rsid w:val="00712D8C"/>
    <w:rsid w:val="00722AC8"/>
    <w:rsid w:val="00726939"/>
    <w:rsid w:val="00735062"/>
    <w:rsid w:val="0073522F"/>
    <w:rsid w:val="00735478"/>
    <w:rsid w:val="00745010"/>
    <w:rsid w:val="00746B36"/>
    <w:rsid w:val="00747508"/>
    <w:rsid w:val="00747E45"/>
    <w:rsid w:val="007538E4"/>
    <w:rsid w:val="00757429"/>
    <w:rsid w:val="00761419"/>
    <w:rsid w:val="0076491B"/>
    <w:rsid w:val="0076709D"/>
    <w:rsid w:val="00773962"/>
    <w:rsid w:val="00777594"/>
    <w:rsid w:val="00777EBA"/>
    <w:rsid w:val="007822AE"/>
    <w:rsid w:val="00787030"/>
    <w:rsid w:val="0079202D"/>
    <w:rsid w:val="00793CF3"/>
    <w:rsid w:val="007A16E1"/>
    <w:rsid w:val="007A6A1F"/>
    <w:rsid w:val="007B030A"/>
    <w:rsid w:val="007B448B"/>
    <w:rsid w:val="007C63CE"/>
    <w:rsid w:val="007E07B1"/>
    <w:rsid w:val="007E22C9"/>
    <w:rsid w:val="007E444A"/>
    <w:rsid w:val="007E461D"/>
    <w:rsid w:val="007E5641"/>
    <w:rsid w:val="007F364C"/>
    <w:rsid w:val="008165E0"/>
    <w:rsid w:val="00821BBF"/>
    <w:rsid w:val="008248C5"/>
    <w:rsid w:val="00824CA9"/>
    <w:rsid w:val="00826AFB"/>
    <w:rsid w:val="008326C3"/>
    <w:rsid w:val="00833A28"/>
    <w:rsid w:val="0083661E"/>
    <w:rsid w:val="008455B9"/>
    <w:rsid w:val="0085508C"/>
    <w:rsid w:val="00855D61"/>
    <w:rsid w:val="00856E76"/>
    <w:rsid w:val="008728A0"/>
    <w:rsid w:val="008738CF"/>
    <w:rsid w:val="00882FAF"/>
    <w:rsid w:val="00883E04"/>
    <w:rsid w:val="00886FBA"/>
    <w:rsid w:val="008909FA"/>
    <w:rsid w:val="008A0D34"/>
    <w:rsid w:val="008A13BE"/>
    <w:rsid w:val="008A6F44"/>
    <w:rsid w:val="008B1892"/>
    <w:rsid w:val="008B424B"/>
    <w:rsid w:val="008C0337"/>
    <w:rsid w:val="008C34DB"/>
    <w:rsid w:val="008D0D3F"/>
    <w:rsid w:val="008D37AF"/>
    <w:rsid w:val="008D4993"/>
    <w:rsid w:val="008D56B8"/>
    <w:rsid w:val="008E0552"/>
    <w:rsid w:val="008F467F"/>
    <w:rsid w:val="00903E3A"/>
    <w:rsid w:val="00907EFD"/>
    <w:rsid w:val="00911096"/>
    <w:rsid w:val="00917667"/>
    <w:rsid w:val="00921B1B"/>
    <w:rsid w:val="00925BA7"/>
    <w:rsid w:val="009346B6"/>
    <w:rsid w:val="009403A2"/>
    <w:rsid w:val="00941F59"/>
    <w:rsid w:val="00955B54"/>
    <w:rsid w:val="00965C6D"/>
    <w:rsid w:val="00982AC2"/>
    <w:rsid w:val="00982ECB"/>
    <w:rsid w:val="00997212"/>
    <w:rsid w:val="009B0645"/>
    <w:rsid w:val="009B2828"/>
    <w:rsid w:val="009C12B4"/>
    <w:rsid w:val="009C4222"/>
    <w:rsid w:val="009C63A4"/>
    <w:rsid w:val="009E3C7E"/>
    <w:rsid w:val="009E7194"/>
    <w:rsid w:val="009F216C"/>
    <w:rsid w:val="009F6DC9"/>
    <w:rsid w:val="00A00654"/>
    <w:rsid w:val="00A04105"/>
    <w:rsid w:val="00A10993"/>
    <w:rsid w:val="00A11EB8"/>
    <w:rsid w:val="00A1449A"/>
    <w:rsid w:val="00A25DC3"/>
    <w:rsid w:val="00A27F9A"/>
    <w:rsid w:val="00A31F64"/>
    <w:rsid w:val="00A345FE"/>
    <w:rsid w:val="00A43FED"/>
    <w:rsid w:val="00A53DCE"/>
    <w:rsid w:val="00A5495A"/>
    <w:rsid w:val="00A57FB3"/>
    <w:rsid w:val="00A628CB"/>
    <w:rsid w:val="00A73797"/>
    <w:rsid w:val="00A73E35"/>
    <w:rsid w:val="00A757E7"/>
    <w:rsid w:val="00A81ACB"/>
    <w:rsid w:val="00A83E3D"/>
    <w:rsid w:val="00A854F1"/>
    <w:rsid w:val="00A91FFE"/>
    <w:rsid w:val="00A95241"/>
    <w:rsid w:val="00AA4768"/>
    <w:rsid w:val="00AA4D36"/>
    <w:rsid w:val="00AA70AD"/>
    <w:rsid w:val="00AB032A"/>
    <w:rsid w:val="00AB2493"/>
    <w:rsid w:val="00AB4513"/>
    <w:rsid w:val="00AC04A6"/>
    <w:rsid w:val="00AC4AB6"/>
    <w:rsid w:val="00AD2DA1"/>
    <w:rsid w:val="00AF3EEB"/>
    <w:rsid w:val="00B01D16"/>
    <w:rsid w:val="00B03CB3"/>
    <w:rsid w:val="00B04A3C"/>
    <w:rsid w:val="00B13EC5"/>
    <w:rsid w:val="00B2152E"/>
    <w:rsid w:val="00B22687"/>
    <w:rsid w:val="00B26A51"/>
    <w:rsid w:val="00B31366"/>
    <w:rsid w:val="00B34F81"/>
    <w:rsid w:val="00B3791D"/>
    <w:rsid w:val="00B561D7"/>
    <w:rsid w:val="00B57556"/>
    <w:rsid w:val="00B60893"/>
    <w:rsid w:val="00B7689A"/>
    <w:rsid w:val="00B82535"/>
    <w:rsid w:val="00B82BC0"/>
    <w:rsid w:val="00B82FB5"/>
    <w:rsid w:val="00B83468"/>
    <w:rsid w:val="00B878EA"/>
    <w:rsid w:val="00B9305B"/>
    <w:rsid w:val="00B9418F"/>
    <w:rsid w:val="00BA2EA4"/>
    <w:rsid w:val="00BA66CA"/>
    <w:rsid w:val="00BB109B"/>
    <w:rsid w:val="00BB30CD"/>
    <w:rsid w:val="00BB47A1"/>
    <w:rsid w:val="00BD5461"/>
    <w:rsid w:val="00BD577C"/>
    <w:rsid w:val="00BE3560"/>
    <w:rsid w:val="00BF0B08"/>
    <w:rsid w:val="00BF1EAF"/>
    <w:rsid w:val="00BF278D"/>
    <w:rsid w:val="00C01809"/>
    <w:rsid w:val="00C066B4"/>
    <w:rsid w:val="00C074CB"/>
    <w:rsid w:val="00C24B45"/>
    <w:rsid w:val="00C36AF7"/>
    <w:rsid w:val="00C36DF0"/>
    <w:rsid w:val="00C42290"/>
    <w:rsid w:val="00C42EDB"/>
    <w:rsid w:val="00C46331"/>
    <w:rsid w:val="00C50529"/>
    <w:rsid w:val="00C53E89"/>
    <w:rsid w:val="00C65A84"/>
    <w:rsid w:val="00C76B54"/>
    <w:rsid w:val="00C9187A"/>
    <w:rsid w:val="00C93900"/>
    <w:rsid w:val="00C9641B"/>
    <w:rsid w:val="00C96521"/>
    <w:rsid w:val="00CA0CFC"/>
    <w:rsid w:val="00CA6FCA"/>
    <w:rsid w:val="00CB15A4"/>
    <w:rsid w:val="00CB2987"/>
    <w:rsid w:val="00CF37F9"/>
    <w:rsid w:val="00CF57F9"/>
    <w:rsid w:val="00D00472"/>
    <w:rsid w:val="00D05676"/>
    <w:rsid w:val="00D066D5"/>
    <w:rsid w:val="00D1616F"/>
    <w:rsid w:val="00D22023"/>
    <w:rsid w:val="00D25F6C"/>
    <w:rsid w:val="00D32FD5"/>
    <w:rsid w:val="00D34148"/>
    <w:rsid w:val="00D52CC5"/>
    <w:rsid w:val="00D54CA8"/>
    <w:rsid w:val="00D55EA4"/>
    <w:rsid w:val="00D620EC"/>
    <w:rsid w:val="00D660B5"/>
    <w:rsid w:val="00D71294"/>
    <w:rsid w:val="00D81B82"/>
    <w:rsid w:val="00D82E89"/>
    <w:rsid w:val="00D902C7"/>
    <w:rsid w:val="00D90789"/>
    <w:rsid w:val="00D91D62"/>
    <w:rsid w:val="00DA3510"/>
    <w:rsid w:val="00DB7E87"/>
    <w:rsid w:val="00DD478C"/>
    <w:rsid w:val="00DE019C"/>
    <w:rsid w:val="00DE144A"/>
    <w:rsid w:val="00DE4743"/>
    <w:rsid w:val="00DF0D78"/>
    <w:rsid w:val="00DF6D40"/>
    <w:rsid w:val="00E02AEA"/>
    <w:rsid w:val="00E04145"/>
    <w:rsid w:val="00E06FEE"/>
    <w:rsid w:val="00E11A34"/>
    <w:rsid w:val="00E11D3F"/>
    <w:rsid w:val="00E158B5"/>
    <w:rsid w:val="00E171D0"/>
    <w:rsid w:val="00E21B76"/>
    <w:rsid w:val="00E22AD5"/>
    <w:rsid w:val="00E2489B"/>
    <w:rsid w:val="00E25F9A"/>
    <w:rsid w:val="00E3515D"/>
    <w:rsid w:val="00E5258F"/>
    <w:rsid w:val="00E53E40"/>
    <w:rsid w:val="00E653CC"/>
    <w:rsid w:val="00E73AA0"/>
    <w:rsid w:val="00E76C5A"/>
    <w:rsid w:val="00E84448"/>
    <w:rsid w:val="00E91CEE"/>
    <w:rsid w:val="00EB3BE7"/>
    <w:rsid w:val="00EB48A5"/>
    <w:rsid w:val="00EC62DA"/>
    <w:rsid w:val="00EE0649"/>
    <w:rsid w:val="00EE2FB2"/>
    <w:rsid w:val="00EE6A8A"/>
    <w:rsid w:val="00EE6C1B"/>
    <w:rsid w:val="00EE7F7C"/>
    <w:rsid w:val="00EF0FAC"/>
    <w:rsid w:val="00EF1F97"/>
    <w:rsid w:val="00EF5FCB"/>
    <w:rsid w:val="00EF61E0"/>
    <w:rsid w:val="00F14E89"/>
    <w:rsid w:val="00F20262"/>
    <w:rsid w:val="00F23374"/>
    <w:rsid w:val="00F37348"/>
    <w:rsid w:val="00F50AE1"/>
    <w:rsid w:val="00F53587"/>
    <w:rsid w:val="00F56CAE"/>
    <w:rsid w:val="00F56EB4"/>
    <w:rsid w:val="00F57322"/>
    <w:rsid w:val="00F5753E"/>
    <w:rsid w:val="00F57EC4"/>
    <w:rsid w:val="00F61253"/>
    <w:rsid w:val="00F623A5"/>
    <w:rsid w:val="00F65132"/>
    <w:rsid w:val="00F76B45"/>
    <w:rsid w:val="00F818B0"/>
    <w:rsid w:val="00F82AB2"/>
    <w:rsid w:val="00F86D65"/>
    <w:rsid w:val="00F9074D"/>
    <w:rsid w:val="00FA22DD"/>
    <w:rsid w:val="00FA53C6"/>
    <w:rsid w:val="00FA5DB8"/>
    <w:rsid w:val="00FB196F"/>
    <w:rsid w:val="00FB322C"/>
    <w:rsid w:val="00FB7338"/>
    <w:rsid w:val="00FC1AC3"/>
    <w:rsid w:val="00FD5D09"/>
    <w:rsid w:val="00FD7C32"/>
    <w:rsid w:val="00FE69E5"/>
    <w:rsid w:val="00FE77EC"/>
    <w:rsid w:val="00FF1908"/>
    <w:rsid w:val="00FF7919"/>
    <w:rsid w:val="1513DCD0"/>
    <w:rsid w:val="18173B0C"/>
    <w:rsid w:val="2566EFA4"/>
    <w:rsid w:val="37614D98"/>
    <w:rsid w:val="4B21150E"/>
    <w:rsid w:val="4CF33B07"/>
    <w:rsid w:val="701D0F36"/>
    <w:rsid w:val="706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EE25"/>
  <w15:chartTrackingRefBased/>
  <w15:docId w15:val="{2D13946E-D3DD-42FA-90FC-C341C1D9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A8A"/>
    <w:pPr>
      <w:keepNext/>
      <w:keepLines/>
      <w:spacing w:before="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8A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ullet">
    <w:name w:val="Bullet"/>
    <w:basedOn w:val="ListParagraph"/>
    <w:rsid w:val="00B34F81"/>
    <w:pPr>
      <w:numPr>
        <w:numId w:val="21"/>
      </w:numPr>
      <w:contextualSpacing w:val="0"/>
    </w:pPr>
    <w:rPr>
      <w:rFonts w:eastAsia="Times New Roman" w:cs="Times New Roman"/>
      <w:color w:val="1E1544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EC62DA"/>
  </w:style>
  <w:style w:type="character" w:styleId="CommentReference">
    <w:name w:val="annotation reference"/>
    <w:basedOn w:val="DefaultParagraphFont"/>
    <w:uiPriority w:val="99"/>
    <w:semiHidden/>
    <w:unhideWhenUsed/>
    <w:rsid w:val="0020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7B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B7"/>
    <w:rPr>
      <w:rFonts w:ascii="Arial" w:hAnsi="Arial"/>
      <w:b/>
      <w:b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03519"/>
    <w:rPr>
      <w:b/>
      <w:bCs/>
      <w:smallCaps/>
      <w:color w:val="2AB1BB" w:themeColor="accent1"/>
      <w:spacing w:val="5"/>
    </w:rPr>
  </w:style>
  <w:style w:type="paragraph" w:styleId="Revision">
    <w:name w:val="Revision"/>
    <w:hidden/>
    <w:uiPriority w:val="99"/>
    <w:semiHidden/>
    <w:rsid w:val="00A43FE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85F36FEBE614FA7F0E9B7930440E6" ma:contentTypeVersion="11" ma:contentTypeDescription="Create a new document." ma:contentTypeScope="" ma:versionID="ee9b899459fa9d16db247588287584c6">
  <xsd:schema xmlns:xsd="http://www.w3.org/2001/XMLSchema" xmlns:xs="http://www.w3.org/2001/XMLSchema" xmlns:p="http://schemas.microsoft.com/office/2006/metadata/properties" xmlns:ns2="45fc1777-5182-4729-9953-61f7a22856aa" xmlns:ns3="3e45b5c5-9cc5-4922-88cd-354a7829f0bf" targetNamespace="http://schemas.microsoft.com/office/2006/metadata/properties" ma:root="true" ma:fieldsID="dbee740ec75ef82bc91bdfec974436ab" ns2:_="" ns3:_="">
    <xsd:import namespace="45fc1777-5182-4729-9953-61f7a22856aa"/>
    <xsd:import namespace="3e45b5c5-9cc5-4922-88cd-354a7829f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1777-5182-4729-9953-61f7a228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5b5c5-9cc5-4922-88cd-354a7829f0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00ac1a-59bc-4f58-98a9-be3d91b441c4}" ma:internalName="TaxCatchAll" ma:showField="CatchAllData" ma:web="3e45b5c5-9cc5-4922-88cd-354a7829f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5b5c5-9cc5-4922-88cd-354a7829f0bf" xsi:nil="true"/>
    <lcf76f155ced4ddcb4097134ff3c332f xmlns="45fc1777-5182-4729-9953-61f7a22856aa">
      <Terms xmlns="http://schemas.microsoft.com/office/infopath/2007/PartnerControls"/>
    </lcf76f155ced4ddcb4097134ff3c332f>
    <MediaLengthInSeconds xmlns="45fc1777-5182-4729-9953-61f7a22856aa" xsi:nil="true"/>
  </documentManagement>
</p:properties>
</file>

<file path=customXml/itemProps1.xml><?xml version="1.0" encoding="utf-8"?>
<ds:datastoreItem xmlns:ds="http://schemas.openxmlformats.org/officeDocument/2006/customXml" ds:itemID="{D59EB49A-E6B4-4F71-9BF2-B1296F931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c1777-5182-4729-9953-61f7a22856aa"/>
    <ds:schemaRef ds:uri="3e45b5c5-9cc5-4922-88cd-354a7829f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3e45b5c5-9cc5-4922-88cd-354a7829f0bf"/>
    <ds:schemaRef ds:uri="45fc1777-5182-4729-9953-61f7a2285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Rights Practice alignment tool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Rights Practice alignment tool</dc:title>
  <dc:subject/>
  <dc:creator>Australian Government Department of Health;Disability and Ageing</dc:creator>
  <cp:keywords>Aged Care, Senior Australians</cp:keywords>
  <dc:description/>
  <dcterms:created xsi:type="dcterms:W3CDTF">2025-08-01T13:58:00Z</dcterms:created>
  <dcterms:modified xsi:type="dcterms:W3CDTF">2025-10-29T05:25:00Z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0x01010060285F36FEBE614FA7F0E9B7930440E6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7009703e,435b8fe3,3c3098d5,76414b5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5d92abc,3f25cc39,45f24632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2025-09-29T04:18:45Z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d98325ef-ba36-4d91-9dd2-251f495878ba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