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0B72" w14:textId="0B8A4D18" w:rsidR="00245DB6" w:rsidRDefault="00245DB6" w:rsidP="00245DB6">
      <w:pPr>
        <w:pStyle w:val="Heading2"/>
        <w:spacing w:before="120" w:after="120"/>
        <w:rPr>
          <w:rFonts w:ascii="Gotham Book" w:hAnsi="Gotham Book"/>
          <w:kern w:val="36"/>
          <w:sz w:val="48"/>
          <w:szCs w:val="48"/>
        </w:rPr>
      </w:pPr>
      <w:r w:rsidRPr="00245DB6">
        <w:rPr>
          <w:rFonts w:ascii="Gotham Book" w:hAnsi="Gotham Book"/>
          <w:kern w:val="36"/>
          <w:sz w:val="48"/>
          <w:szCs w:val="48"/>
        </w:rPr>
        <w:t>Resources for considering sex, gender, variations of sex characteristic and sexual orientation in health and medical research</w:t>
      </w:r>
    </w:p>
    <w:p w14:paraId="4FD2722B" w14:textId="1A84A0EB" w:rsidR="00FB06D0" w:rsidRPr="009769CE" w:rsidRDefault="00FB06D0" w:rsidP="00573BFE">
      <w:pPr>
        <w:pStyle w:val="Heading2"/>
        <w:spacing w:after="120"/>
      </w:pPr>
      <w:r w:rsidRPr="009769CE">
        <w:t>NHMRC and MRFF Resources</w:t>
      </w:r>
    </w:p>
    <w:p w14:paraId="5D501685" w14:textId="778533F2" w:rsidR="009769CE" w:rsidRPr="00D93F1B" w:rsidRDefault="009769CE" w:rsidP="009769CE">
      <w:pPr>
        <w:pStyle w:val="ListParagraph"/>
        <w:numPr>
          <w:ilvl w:val="0"/>
          <w:numId w:val="37"/>
        </w:numPr>
        <w:spacing w:before="0" w:after="160" w:line="259" w:lineRule="auto"/>
      </w:pPr>
      <w:r w:rsidRPr="00D93F1B">
        <w:t xml:space="preserve">The </w:t>
      </w:r>
      <w:hyperlink r:id="rId11">
        <w:r w:rsidRPr="00D93F1B">
          <w:rPr>
            <w:rStyle w:val="Hyperlink"/>
            <w:i/>
            <w:iCs/>
          </w:rPr>
          <w:t>Statement on Sex, Gender, Variations of Sex Characteristics and Sexual Orientation in Health and Medical Research</w:t>
        </w:r>
      </w:hyperlink>
      <w:r w:rsidRPr="00D93F1B">
        <w:t xml:space="preserve"> provides a guide for researchers and their supporting stakeholders to consider the Variables at all stages of their research project, including key definitions and better practice prompts.</w:t>
      </w:r>
    </w:p>
    <w:p w14:paraId="647CD477" w14:textId="77777777" w:rsidR="009769CE" w:rsidRPr="00D93F1B" w:rsidRDefault="009769CE" w:rsidP="009769CE">
      <w:pPr>
        <w:pStyle w:val="ListParagraph"/>
        <w:numPr>
          <w:ilvl w:val="0"/>
          <w:numId w:val="37"/>
        </w:numPr>
        <w:spacing w:before="0" w:after="160" w:line="259" w:lineRule="auto"/>
      </w:pPr>
      <w:r w:rsidRPr="00D93F1B">
        <w:t>Responses to frequently asked questions (FAQs) on appropriately integrating the Variables in research and the new requirement in the NHMRC and MRFF grant programs are in the ‘FAQs’ tab on this webpage.</w:t>
      </w:r>
    </w:p>
    <w:p w14:paraId="23EFC581" w14:textId="4C26B816" w:rsidR="009769CE" w:rsidRPr="00D93F1B" w:rsidRDefault="009769CE" w:rsidP="009769CE">
      <w:pPr>
        <w:pStyle w:val="ListParagraph"/>
        <w:numPr>
          <w:ilvl w:val="0"/>
          <w:numId w:val="37"/>
        </w:numPr>
        <w:spacing w:before="0" w:after="160" w:line="259" w:lineRule="auto"/>
      </w:pPr>
      <w:r w:rsidRPr="00D93F1B">
        <w:t xml:space="preserve">Grant opportunity guidelines and peer review guidelines are available on </w:t>
      </w:r>
      <w:hyperlink r:id="rId12">
        <w:r w:rsidRPr="00D93F1B">
          <w:rPr>
            <w:rStyle w:val="Hyperlink"/>
          </w:rPr>
          <w:t>GrantConnect</w:t>
        </w:r>
      </w:hyperlink>
      <w:r w:rsidRPr="00D93F1B">
        <w:t>.</w:t>
      </w:r>
    </w:p>
    <w:p w14:paraId="582ACC5F" w14:textId="7DEBB109" w:rsidR="009769CE" w:rsidRPr="009769CE" w:rsidRDefault="009769CE" w:rsidP="00573BFE">
      <w:pPr>
        <w:pStyle w:val="Heading2"/>
      </w:pPr>
      <w:r>
        <w:t>Other</w:t>
      </w:r>
      <w:r w:rsidRPr="009769CE">
        <w:t xml:space="preserve"> </w:t>
      </w:r>
      <w:r w:rsidRPr="00573BFE">
        <w:t>Resources</w:t>
      </w:r>
    </w:p>
    <w:p w14:paraId="289FA2A0" w14:textId="77777777" w:rsidR="00A70154" w:rsidRPr="00D93F1B" w:rsidRDefault="00A70154" w:rsidP="00336191">
      <w:pPr>
        <w:spacing w:after="240"/>
      </w:pPr>
      <w:r w:rsidRPr="00D93F1B">
        <w:t>There are a range of online resources to help researchers learn more about how to consider sex, gender, variations of sex characteristics and sexual orientation in research. Please find below a list of resources and descriptions of what they contain, which are grouped by theme. Please note that the requirements for NHMRC and MRFF applicants and reviewers to consider the Variables may differ from those of other funding agencies.</w:t>
      </w:r>
    </w:p>
    <w:tbl>
      <w:tblPr>
        <w:tblStyle w:val="TableGrid"/>
        <w:tblW w:w="0" w:type="auto"/>
        <w:tblLook w:val="04A0" w:firstRow="1" w:lastRow="0" w:firstColumn="1" w:lastColumn="0" w:noHBand="0" w:noVBand="1"/>
      </w:tblPr>
      <w:tblGrid>
        <w:gridCol w:w="4508"/>
        <w:gridCol w:w="4508"/>
      </w:tblGrid>
      <w:tr w:rsidR="004317F9" w14:paraId="3599DC7B" w14:textId="77777777" w:rsidTr="00336191">
        <w:trPr>
          <w:tblHeader/>
        </w:trPr>
        <w:tc>
          <w:tcPr>
            <w:tcW w:w="4508" w:type="dxa"/>
            <w:vAlign w:val="center"/>
          </w:tcPr>
          <w:p w14:paraId="301C702F" w14:textId="41B09DC2" w:rsidR="004317F9" w:rsidRPr="00266F50" w:rsidRDefault="00955280" w:rsidP="00336191">
            <w:pPr>
              <w:spacing w:before="0" w:after="0"/>
              <w:rPr>
                <w:rFonts w:eastAsia="Calibri" w:cs="Calibri"/>
                <w:b/>
                <w:bCs/>
                <w:sz w:val="28"/>
                <w:szCs w:val="28"/>
              </w:rPr>
            </w:pPr>
            <w:r w:rsidRPr="00266F50">
              <w:rPr>
                <w:rFonts w:eastAsia="Calibri" w:cs="Calibri"/>
                <w:b/>
                <w:bCs/>
                <w:sz w:val="28"/>
                <w:szCs w:val="28"/>
              </w:rPr>
              <w:t>Resource</w:t>
            </w:r>
          </w:p>
        </w:tc>
        <w:tc>
          <w:tcPr>
            <w:tcW w:w="4508" w:type="dxa"/>
            <w:vAlign w:val="center"/>
          </w:tcPr>
          <w:p w14:paraId="4E0875BE" w14:textId="1611D5C7" w:rsidR="004317F9" w:rsidRPr="00266F50" w:rsidRDefault="00955280" w:rsidP="00336191">
            <w:pPr>
              <w:spacing w:before="0" w:after="0"/>
              <w:rPr>
                <w:rFonts w:eastAsia="Calibri" w:cs="Calibri"/>
                <w:b/>
                <w:bCs/>
                <w:sz w:val="28"/>
                <w:szCs w:val="28"/>
              </w:rPr>
            </w:pPr>
            <w:r w:rsidRPr="00266F50">
              <w:rPr>
                <w:rFonts w:eastAsia="Calibri" w:cs="Calibri"/>
                <w:b/>
                <w:bCs/>
                <w:sz w:val="28"/>
                <w:szCs w:val="28"/>
              </w:rPr>
              <w:t>Description</w:t>
            </w:r>
          </w:p>
        </w:tc>
      </w:tr>
      <w:tr w:rsidR="005162FE" w14:paraId="79590F02" w14:textId="77777777" w:rsidTr="00336191">
        <w:tc>
          <w:tcPr>
            <w:tcW w:w="4508" w:type="dxa"/>
            <w:tcBorders>
              <w:right w:val="single" w:sz="4" w:space="0" w:color="FFFFFF" w:themeColor="background1"/>
            </w:tcBorders>
            <w:vAlign w:val="center"/>
          </w:tcPr>
          <w:p w14:paraId="34AF6AE8" w14:textId="77777777" w:rsidR="005162FE" w:rsidRPr="00266F50" w:rsidRDefault="005162FE" w:rsidP="00336191">
            <w:pPr>
              <w:spacing w:before="0" w:after="0"/>
              <w:rPr>
                <w:rFonts w:eastAsia="Calibri" w:cs="Calibri"/>
                <w:b/>
                <w:bCs/>
              </w:rPr>
            </w:pPr>
            <w:r w:rsidRPr="00266F50">
              <w:rPr>
                <w:rFonts w:eastAsia="Calibri" w:cs="Calibri"/>
                <w:b/>
                <w:bCs/>
                <w:i/>
                <w:iCs/>
              </w:rPr>
              <w:t>General</w:t>
            </w:r>
          </w:p>
        </w:tc>
        <w:tc>
          <w:tcPr>
            <w:tcW w:w="4508" w:type="dxa"/>
            <w:tcBorders>
              <w:left w:val="single" w:sz="4" w:space="0" w:color="FFFFFF" w:themeColor="background1"/>
            </w:tcBorders>
            <w:vAlign w:val="center"/>
          </w:tcPr>
          <w:p w14:paraId="6ADB47A9" w14:textId="088A1760" w:rsidR="005162FE" w:rsidRPr="00266F50" w:rsidRDefault="005162FE" w:rsidP="00336191">
            <w:pPr>
              <w:spacing w:after="0"/>
              <w:rPr>
                <w:rFonts w:eastAsia="Calibri" w:cs="Calibri"/>
                <w:b/>
                <w:bCs/>
              </w:rPr>
            </w:pPr>
          </w:p>
        </w:tc>
      </w:tr>
      <w:tr w:rsidR="00E272B2" w14:paraId="06220E3D" w14:textId="77777777" w:rsidTr="004317F9">
        <w:tc>
          <w:tcPr>
            <w:tcW w:w="4508" w:type="dxa"/>
          </w:tcPr>
          <w:p w14:paraId="763A6C00" w14:textId="77777777" w:rsidR="00E272B2" w:rsidRPr="00266F50" w:rsidRDefault="00E272B2" w:rsidP="00E272B2">
            <w:r w:rsidRPr="00266F50">
              <w:t>Australian Centre for Sex and Gender Equity in Health and Medicine:</w:t>
            </w:r>
          </w:p>
          <w:p w14:paraId="6AAC2815" w14:textId="3A4E2247" w:rsidR="00E272B2" w:rsidRPr="00266F50" w:rsidRDefault="00E272B2" w:rsidP="00E272B2">
            <w:pPr>
              <w:spacing w:after="0"/>
              <w:rPr>
                <w:rFonts w:eastAsia="Calibri"/>
              </w:rPr>
            </w:pPr>
            <w:hyperlink r:id="rId13">
              <w:r w:rsidRPr="00266F50">
                <w:rPr>
                  <w:rStyle w:val="Hyperlink"/>
                </w:rPr>
                <w:t>Resources</w:t>
              </w:r>
            </w:hyperlink>
          </w:p>
        </w:tc>
        <w:tc>
          <w:tcPr>
            <w:tcW w:w="4508" w:type="dxa"/>
          </w:tcPr>
          <w:p w14:paraId="698A9FD1" w14:textId="6285D562" w:rsidR="00E272B2" w:rsidRPr="00266F50" w:rsidRDefault="00E272B2" w:rsidP="00E272B2">
            <w:pPr>
              <w:spacing w:after="0"/>
              <w:rPr>
                <w:rFonts w:eastAsia="Calibri"/>
              </w:rPr>
            </w:pPr>
            <w:r w:rsidRPr="00266F50">
              <w:t xml:space="preserve">The Centre aims to provide </w:t>
            </w:r>
            <w:r w:rsidRPr="00336191">
              <w:rPr>
                <w:rStyle w:val="Strong"/>
              </w:rPr>
              <w:t>resources</w:t>
            </w:r>
            <w:r w:rsidRPr="00266F50">
              <w:t xml:space="preserve"> that detail contemporary thinking about incorporating sex and gender in health and medicine and that give practical guidance to help you implement these recommendations into your own practice.</w:t>
            </w:r>
          </w:p>
        </w:tc>
      </w:tr>
      <w:tr w:rsidR="00E272B2" w14:paraId="5C1F9A97" w14:textId="77777777" w:rsidTr="004317F9">
        <w:tc>
          <w:tcPr>
            <w:tcW w:w="4508" w:type="dxa"/>
          </w:tcPr>
          <w:p w14:paraId="4357F767" w14:textId="77777777" w:rsidR="00E272B2" w:rsidRPr="00266F50" w:rsidRDefault="00E272B2" w:rsidP="00E272B2">
            <w:r w:rsidRPr="00266F50">
              <w:lastRenderedPageBreak/>
              <w:t>Canadian Institutes of Health Research (CIHR):</w:t>
            </w:r>
          </w:p>
          <w:p w14:paraId="20BB0C5A" w14:textId="29737350" w:rsidR="00E272B2" w:rsidRPr="00266F50" w:rsidRDefault="00E272B2" w:rsidP="00E272B2">
            <w:hyperlink r:id="rId14">
              <w:r w:rsidRPr="00266F50">
                <w:rPr>
                  <w:rStyle w:val="Hyperlink"/>
                </w:rPr>
                <w:t>How to Integrate Sex and Gender in Research</w:t>
              </w:r>
            </w:hyperlink>
          </w:p>
          <w:p w14:paraId="6388F08E" w14:textId="334EC3D9" w:rsidR="00E272B2" w:rsidRPr="00573BFE" w:rsidRDefault="00E272B2" w:rsidP="00573BFE">
            <w:hyperlink r:id="rId15">
              <w:r w:rsidRPr="00266F50">
                <w:rPr>
                  <w:rStyle w:val="Hyperlink"/>
                </w:rPr>
                <w:t>Online training modules</w:t>
              </w:r>
            </w:hyperlink>
          </w:p>
        </w:tc>
        <w:tc>
          <w:tcPr>
            <w:tcW w:w="4508" w:type="dxa"/>
          </w:tcPr>
          <w:p w14:paraId="178172D9" w14:textId="36F328DD" w:rsidR="00E272B2" w:rsidRPr="00266F50" w:rsidRDefault="00E272B2" w:rsidP="00E272B2">
            <w:pPr>
              <w:spacing w:after="0"/>
              <w:rPr>
                <w:rFonts w:eastAsia="Calibri"/>
              </w:rPr>
            </w:pPr>
            <w:r w:rsidRPr="00266F50">
              <w:t xml:space="preserve">CIHR provide links to a range of </w:t>
            </w:r>
            <w:r w:rsidRPr="00336191">
              <w:rPr>
                <w:rStyle w:val="Strong"/>
              </w:rPr>
              <w:t>resources</w:t>
            </w:r>
            <w:r w:rsidRPr="00266F50">
              <w:t xml:space="preserve"> produced by them and others for both applicants and peer reviewers. Guidance and key </w:t>
            </w:r>
            <w:r w:rsidRPr="00336191">
              <w:rPr>
                <w:rStyle w:val="Strong"/>
              </w:rPr>
              <w:t>articles</w:t>
            </w:r>
            <w:r w:rsidRPr="00266F50">
              <w:t xml:space="preserve"> are also provided for different areas of health and medical research. Anyone can register to take their </w:t>
            </w:r>
            <w:r w:rsidRPr="00336191">
              <w:rPr>
                <w:rStyle w:val="Strong"/>
              </w:rPr>
              <w:t>online training modules</w:t>
            </w:r>
            <w:r w:rsidRPr="00266F50">
              <w:t>, with separate courses on sex and gender in biomedical research, primary data collection with human participants and analysis of secondary data from human participants.</w:t>
            </w:r>
          </w:p>
        </w:tc>
      </w:tr>
      <w:tr w:rsidR="00E272B2" w14:paraId="0101DA43" w14:textId="77777777" w:rsidTr="004317F9">
        <w:tc>
          <w:tcPr>
            <w:tcW w:w="4508" w:type="dxa"/>
          </w:tcPr>
          <w:p w14:paraId="13BFB6CA" w14:textId="16DEC70B" w:rsidR="00E272B2" w:rsidRPr="00266F50" w:rsidRDefault="00E272B2" w:rsidP="00E272B2">
            <w:r w:rsidRPr="00266F50">
              <w:t>Medical Science Sex and Gender Equity (MESSAGE):</w:t>
            </w:r>
          </w:p>
          <w:p w14:paraId="3CD4326F" w14:textId="77777777" w:rsidR="00E272B2" w:rsidRPr="00266F50" w:rsidRDefault="00E272B2" w:rsidP="00E272B2">
            <w:pPr>
              <w:rPr>
                <w:rFonts w:eastAsia="Gotham Book"/>
              </w:rPr>
            </w:pPr>
            <w:hyperlink r:id="rId16">
              <w:r w:rsidRPr="00266F50">
                <w:rPr>
                  <w:rStyle w:val="Hyperlink"/>
                  <w:rFonts w:eastAsia="Gotham Book"/>
                </w:rPr>
                <w:t>Policy Framework</w:t>
              </w:r>
            </w:hyperlink>
          </w:p>
          <w:p w14:paraId="437A6FB1" w14:textId="1AE7A5F4" w:rsidR="00E272B2" w:rsidRPr="00573BFE" w:rsidRDefault="00E272B2" w:rsidP="00573BFE">
            <w:pPr>
              <w:rPr>
                <w:rFonts w:eastAsia="Gotham Book"/>
              </w:rPr>
            </w:pPr>
            <w:hyperlink r:id="rId17">
              <w:r w:rsidRPr="00266F50">
                <w:rPr>
                  <w:rStyle w:val="Hyperlink"/>
                  <w:rFonts w:eastAsia="Gotham Book"/>
                </w:rPr>
                <w:t>Academic Resources</w:t>
              </w:r>
            </w:hyperlink>
          </w:p>
        </w:tc>
        <w:tc>
          <w:tcPr>
            <w:tcW w:w="4508" w:type="dxa"/>
          </w:tcPr>
          <w:p w14:paraId="4B1BB52A" w14:textId="67BF74DD" w:rsidR="00E272B2" w:rsidRPr="00266F50" w:rsidRDefault="00E272B2" w:rsidP="00E272B2">
            <w:pPr>
              <w:spacing w:after="0"/>
              <w:rPr>
                <w:rFonts w:eastAsia="Calibri"/>
              </w:rPr>
            </w:pPr>
            <w:r w:rsidRPr="00266F50">
              <w:t xml:space="preserve">Whilst the MESSAGE project </w:t>
            </w:r>
            <w:r w:rsidRPr="00336191">
              <w:rPr>
                <w:rStyle w:val="Strong"/>
              </w:rPr>
              <w:t>policy framework</w:t>
            </w:r>
            <w:r w:rsidRPr="00266F50">
              <w:t xml:space="preserve"> on accounting for sex and gender in biomedical, health and care research is intended for research funders, it also provides helpful guidance for researchers. The website links to an informative </w:t>
            </w:r>
            <w:r w:rsidRPr="00336191">
              <w:rPr>
                <w:rStyle w:val="Strong"/>
              </w:rPr>
              <w:t>webinar</w:t>
            </w:r>
            <w:r w:rsidRPr="00266F50">
              <w:rPr>
                <w:b/>
                <w:bCs/>
              </w:rPr>
              <w:t xml:space="preserve"> </w:t>
            </w:r>
            <w:r w:rsidRPr="00266F50">
              <w:t xml:space="preserve">about the framework and provides a </w:t>
            </w:r>
            <w:r w:rsidRPr="00336191">
              <w:rPr>
                <w:rStyle w:val="Strong"/>
              </w:rPr>
              <w:t>database of academic resources</w:t>
            </w:r>
            <w:r w:rsidRPr="00266F50">
              <w:t>.</w:t>
            </w:r>
          </w:p>
        </w:tc>
      </w:tr>
      <w:tr w:rsidR="00E272B2" w14:paraId="207BCD85" w14:textId="77777777" w:rsidTr="004317F9">
        <w:tc>
          <w:tcPr>
            <w:tcW w:w="4508" w:type="dxa"/>
          </w:tcPr>
          <w:p w14:paraId="0F63141A" w14:textId="7B86AFB5" w:rsidR="00E272B2" w:rsidRPr="00266F50" w:rsidRDefault="00E272B2" w:rsidP="00E272B2">
            <w:r w:rsidRPr="00266F50">
              <w:t>Gendered Innovations:</w:t>
            </w:r>
          </w:p>
          <w:p w14:paraId="6706DC3F" w14:textId="77777777" w:rsidR="00E272B2" w:rsidRPr="00266F50" w:rsidRDefault="00E272B2" w:rsidP="00E272B2">
            <w:hyperlink r:id="rId18">
              <w:r w:rsidRPr="00266F50">
                <w:rPr>
                  <w:rStyle w:val="Hyperlink"/>
                </w:rPr>
                <w:t>Methods of Sex, Gender, and Intersectional Analysis</w:t>
              </w:r>
            </w:hyperlink>
          </w:p>
          <w:p w14:paraId="3F1EF330" w14:textId="0D3C3C93" w:rsidR="00E272B2" w:rsidRPr="00266F50" w:rsidRDefault="00E272B2" w:rsidP="00E272B2">
            <w:pPr>
              <w:spacing w:after="0"/>
              <w:rPr>
                <w:rFonts w:eastAsia="Calibri"/>
              </w:rPr>
            </w:pPr>
            <w:hyperlink r:id="rId19">
              <w:r w:rsidRPr="00266F50">
                <w:rPr>
                  <w:rStyle w:val="Hyperlink"/>
                </w:rPr>
                <w:t>Case studies</w:t>
              </w:r>
            </w:hyperlink>
          </w:p>
        </w:tc>
        <w:tc>
          <w:tcPr>
            <w:tcW w:w="4508" w:type="dxa"/>
          </w:tcPr>
          <w:p w14:paraId="216450C8" w14:textId="5AEC8527" w:rsidR="00E272B2" w:rsidRPr="00266F50" w:rsidRDefault="00E272B2" w:rsidP="00E272B2">
            <w:pPr>
              <w:spacing w:after="0"/>
              <w:rPr>
                <w:rFonts w:eastAsia="Calibri"/>
              </w:rPr>
            </w:pPr>
            <w:r w:rsidRPr="00266F50">
              <w:t xml:space="preserve">Gendered Innovations provide guidance on general and specific </w:t>
            </w:r>
            <w:r w:rsidRPr="00336191">
              <w:rPr>
                <w:rStyle w:val="Strong"/>
              </w:rPr>
              <w:t>methods</w:t>
            </w:r>
            <w:r w:rsidRPr="00266F50">
              <w:t xml:space="preserve"> of sex, gender and intersectional analysis and a variety of </w:t>
            </w:r>
            <w:r w:rsidRPr="00336191">
              <w:rPr>
                <w:rStyle w:val="Strong"/>
              </w:rPr>
              <w:t>case studies</w:t>
            </w:r>
            <w:r w:rsidRPr="00266F50">
              <w:t xml:space="preserve"> on how methods of sex, gender and intersectional analysis lead to discovery and innovation.</w:t>
            </w:r>
          </w:p>
        </w:tc>
      </w:tr>
      <w:tr w:rsidR="00AA56CD" w:rsidRPr="00336191" w14:paraId="1AF6D7E4" w14:textId="77777777" w:rsidTr="00AB075C">
        <w:trPr>
          <w:cantSplit/>
        </w:trPr>
        <w:tc>
          <w:tcPr>
            <w:tcW w:w="4508" w:type="dxa"/>
          </w:tcPr>
          <w:p w14:paraId="6ACEB71B" w14:textId="77777777" w:rsidR="00AA56CD" w:rsidRPr="00336191" w:rsidRDefault="00AA56CD" w:rsidP="00AA56CD">
            <w:r w:rsidRPr="00336191">
              <w:t>The Netherlands Organisation for Health Research and Development (ZonMw)</w:t>
            </w:r>
          </w:p>
          <w:p w14:paraId="5129C415" w14:textId="2A8BEF8B" w:rsidR="00AA56CD" w:rsidRPr="00336191" w:rsidRDefault="00AA56CD" w:rsidP="00AA56CD">
            <w:hyperlink r:id="rId20" w:history="1">
              <w:r w:rsidRPr="00336191">
                <w:rPr>
                  <w:rStyle w:val="Hyperlink"/>
                </w:rPr>
                <w:t>FAQ sex and gender in research</w:t>
              </w:r>
            </w:hyperlink>
          </w:p>
        </w:tc>
        <w:tc>
          <w:tcPr>
            <w:tcW w:w="4508" w:type="dxa"/>
          </w:tcPr>
          <w:p w14:paraId="4A54315F" w14:textId="4AAF9E21" w:rsidR="00AA56CD" w:rsidRPr="00336191" w:rsidRDefault="00AA56CD" w:rsidP="00AA56CD">
            <w:pPr>
              <w:spacing w:after="0"/>
            </w:pPr>
            <w:r w:rsidRPr="00336191">
              <w:t xml:space="preserve">ZonMw provide guidance on how to integrate sex and gender into your research at all stages of research projects. They have developed </w:t>
            </w:r>
            <w:r w:rsidRPr="00336191">
              <w:rPr>
                <w:rStyle w:val="Strong"/>
              </w:rPr>
              <w:t>useful e-books</w:t>
            </w:r>
            <w:r w:rsidRPr="00336191">
              <w:t xml:space="preserve"> for applicants and assessors and have published </w:t>
            </w:r>
            <w:r w:rsidRPr="00336191">
              <w:rPr>
                <w:rStyle w:val="Strong"/>
              </w:rPr>
              <w:t>recordings of lectures</w:t>
            </w:r>
            <w:r w:rsidRPr="00336191">
              <w:t xml:space="preserve"> made for the annual Gender in Health summer school.</w:t>
            </w:r>
          </w:p>
        </w:tc>
      </w:tr>
      <w:tr w:rsidR="00E272B2" w14:paraId="59FA7A5E" w14:textId="77777777" w:rsidTr="004317F9">
        <w:tc>
          <w:tcPr>
            <w:tcW w:w="4508" w:type="dxa"/>
          </w:tcPr>
          <w:p w14:paraId="3EBD1A63" w14:textId="77777777" w:rsidR="00E272B2" w:rsidRPr="00266F50" w:rsidRDefault="00E272B2" w:rsidP="00E272B2">
            <w:r w:rsidRPr="00266F50">
              <w:lastRenderedPageBreak/>
              <w:t>Centre for Gender &amp; Sexual Health Equity (Canada):</w:t>
            </w:r>
          </w:p>
          <w:p w14:paraId="513603CE" w14:textId="55717EF0" w:rsidR="00E272B2" w:rsidRPr="00266F50" w:rsidRDefault="00E272B2" w:rsidP="00E272B2">
            <w:pPr>
              <w:spacing w:after="0"/>
              <w:rPr>
                <w:rFonts w:eastAsia="Calibri"/>
              </w:rPr>
            </w:pPr>
            <w:hyperlink r:id="rId21">
              <w:r w:rsidRPr="00266F50">
                <w:rPr>
                  <w:rStyle w:val="Hyperlink"/>
                </w:rPr>
                <w:t>Gender &amp; Sex in Methods &amp; Measurement Toolkit</w:t>
              </w:r>
            </w:hyperlink>
          </w:p>
        </w:tc>
        <w:tc>
          <w:tcPr>
            <w:tcW w:w="4508" w:type="dxa"/>
          </w:tcPr>
          <w:p w14:paraId="203CDD17" w14:textId="5C385268" w:rsidR="00E272B2" w:rsidRPr="00266F50" w:rsidRDefault="00E272B2" w:rsidP="00E272B2">
            <w:pPr>
              <w:spacing w:after="0"/>
            </w:pPr>
            <w:r w:rsidRPr="00266F50">
              <w:t xml:space="preserve">This </w:t>
            </w:r>
            <w:r w:rsidRPr="00336191">
              <w:rPr>
                <w:rStyle w:val="Strong"/>
              </w:rPr>
              <w:t>toolkit</w:t>
            </w:r>
            <w:r w:rsidRPr="00266F50">
              <w:rPr>
                <w:b/>
                <w:bCs/>
              </w:rPr>
              <w:t xml:space="preserve"> </w:t>
            </w:r>
            <w:r w:rsidRPr="00266F50">
              <w:t>provides guidance to address the erasure in research of people marginalised on the basis of their genders, sexes and sexualities, including intersex, trans and non-binary people. The toolkit helps researchers to achieve accurate and actionable findings by considering eligibility criteria, recruitment, sample size, stratification and survey design.</w:t>
            </w:r>
          </w:p>
        </w:tc>
      </w:tr>
      <w:tr w:rsidR="00E272B2" w14:paraId="68F184E7" w14:textId="77777777" w:rsidTr="004317F9">
        <w:tc>
          <w:tcPr>
            <w:tcW w:w="4508" w:type="dxa"/>
          </w:tcPr>
          <w:p w14:paraId="51DF99FA" w14:textId="7E1F960D" w:rsidR="00E272B2" w:rsidRPr="00266F50" w:rsidRDefault="00E272B2" w:rsidP="00E272B2">
            <w:hyperlink r:id="rId22">
              <w:r w:rsidRPr="00266F50">
                <w:rPr>
                  <w:rStyle w:val="Hyperlink"/>
                </w:rPr>
                <w:t>Sex and Gender Equity in Research (SAGER) Guidelines</w:t>
              </w:r>
            </w:hyperlink>
          </w:p>
          <w:p w14:paraId="4FE1D9D2" w14:textId="725DE681" w:rsidR="00E272B2" w:rsidRPr="00573BFE" w:rsidRDefault="00E272B2" w:rsidP="00573BFE">
            <w:hyperlink r:id="rId23">
              <w:r w:rsidRPr="00266F50">
                <w:rPr>
                  <w:rStyle w:val="Hyperlink"/>
                </w:rPr>
                <w:t>SAGER guidelines checklist</w:t>
              </w:r>
            </w:hyperlink>
          </w:p>
        </w:tc>
        <w:tc>
          <w:tcPr>
            <w:tcW w:w="4508" w:type="dxa"/>
          </w:tcPr>
          <w:p w14:paraId="266E1A3E" w14:textId="77F1943A" w:rsidR="00E272B2" w:rsidRPr="00266F50" w:rsidRDefault="00E272B2" w:rsidP="00E272B2">
            <w:pPr>
              <w:spacing w:after="0"/>
            </w:pPr>
            <w:r w:rsidRPr="00266F50">
              <w:t xml:space="preserve">The SAGER guidelines are a comprehensive </w:t>
            </w:r>
            <w:r w:rsidRPr="00336191">
              <w:rPr>
                <w:rStyle w:val="Strong"/>
              </w:rPr>
              <w:t>procedure for reporting</w:t>
            </w:r>
            <w:r w:rsidRPr="00266F50">
              <w:t xml:space="preserve"> of sex and gender information in study design, data analyses, results and interpretation of findings. They are designed primarily to guide authors in preparing their manuscripts but are also helpful to consider at the project conception stage.</w:t>
            </w:r>
          </w:p>
        </w:tc>
      </w:tr>
      <w:tr w:rsidR="00E272B2" w14:paraId="0D1CE9C0" w14:textId="77777777" w:rsidTr="002C13AF">
        <w:tc>
          <w:tcPr>
            <w:tcW w:w="4508" w:type="dxa"/>
            <w:tcBorders>
              <w:right w:val="single" w:sz="4" w:space="0" w:color="FFFFFF" w:themeColor="background1"/>
            </w:tcBorders>
            <w:vAlign w:val="center"/>
          </w:tcPr>
          <w:p w14:paraId="37303C43" w14:textId="0359CA61" w:rsidR="00E272B2" w:rsidRPr="004F2C97" w:rsidRDefault="00266F50" w:rsidP="002C13AF">
            <w:pPr>
              <w:spacing w:before="0" w:after="0"/>
              <w:rPr>
                <w:b/>
                <w:bCs/>
                <w:i/>
                <w:iCs/>
              </w:rPr>
            </w:pPr>
            <w:r w:rsidRPr="004F2C97">
              <w:rPr>
                <w:b/>
                <w:bCs/>
                <w:i/>
                <w:iCs/>
              </w:rPr>
              <w:t>Animal Studies</w:t>
            </w:r>
          </w:p>
        </w:tc>
        <w:tc>
          <w:tcPr>
            <w:tcW w:w="4508" w:type="dxa"/>
            <w:tcBorders>
              <w:left w:val="single" w:sz="4" w:space="0" w:color="FFFFFF" w:themeColor="background1"/>
            </w:tcBorders>
          </w:tcPr>
          <w:p w14:paraId="5084AE3B" w14:textId="77777777" w:rsidR="00E272B2" w:rsidRPr="67395FF2" w:rsidRDefault="00E272B2" w:rsidP="00E272B2">
            <w:pPr>
              <w:spacing w:after="0"/>
              <w:rPr>
                <w:rFonts w:ascii="Gotham Book" w:hAnsi="Gotham Book"/>
              </w:rPr>
            </w:pPr>
          </w:p>
        </w:tc>
      </w:tr>
      <w:tr w:rsidR="00266F50" w14:paraId="49D8C717" w14:textId="77777777" w:rsidTr="004317F9">
        <w:tc>
          <w:tcPr>
            <w:tcW w:w="4508" w:type="dxa"/>
          </w:tcPr>
          <w:p w14:paraId="73D453B1" w14:textId="77777777" w:rsidR="00266F50" w:rsidRPr="004F2C97" w:rsidRDefault="00266F50" w:rsidP="00266F50">
            <w:r w:rsidRPr="004F2C97">
              <w:t>National Centre for the Replacement Refinement and Reduction of Animals in Research (NC3Rs)</w:t>
            </w:r>
          </w:p>
          <w:p w14:paraId="339B98F9" w14:textId="77777777" w:rsidR="00266F50" w:rsidRPr="004F2C97" w:rsidRDefault="00266F50" w:rsidP="00266F50">
            <w:hyperlink r:id="rId24">
              <w:r w:rsidRPr="004F2C97">
                <w:rPr>
                  <w:rStyle w:val="Hyperlink"/>
                </w:rPr>
                <w:t>Experimental Design Assistant</w:t>
              </w:r>
            </w:hyperlink>
          </w:p>
          <w:p w14:paraId="66C00817" w14:textId="5648E5FB" w:rsidR="00266F50" w:rsidRPr="004F2C97" w:rsidRDefault="00266F50" w:rsidP="00266F50">
            <w:hyperlink r:id="rId25">
              <w:r w:rsidRPr="004F2C97">
                <w:rPr>
                  <w:rStyle w:val="Hyperlink"/>
                </w:rPr>
                <w:t>MRC/NC3Rs webinar: Using both sexes in animal experiments</w:t>
              </w:r>
            </w:hyperlink>
          </w:p>
        </w:tc>
        <w:tc>
          <w:tcPr>
            <w:tcW w:w="4508" w:type="dxa"/>
          </w:tcPr>
          <w:p w14:paraId="70034E1E" w14:textId="78942E41" w:rsidR="00266F50" w:rsidRPr="004F2C97" w:rsidRDefault="00266F50" w:rsidP="00266F50">
            <w:pPr>
              <w:spacing w:after="0"/>
            </w:pPr>
            <w:r w:rsidRPr="004F2C97">
              <w:t xml:space="preserve">The NC3Rs’ </w:t>
            </w:r>
            <w:r w:rsidRPr="00336191">
              <w:rPr>
                <w:rStyle w:val="Strong"/>
              </w:rPr>
              <w:t>Experimental Design Assistant</w:t>
            </w:r>
            <w:r w:rsidRPr="004F2C97">
              <w:t xml:space="preserve"> is a free resource that has been used by thousands of researchers to help </w:t>
            </w:r>
            <w:r w:rsidRPr="00336191">
              <w:rPr>
                <w:rStyle w:val="Strong"/>
              </w:rPr>
              <w:t>design robust animal experiments</w:t>
            </w:r>
            <w:r w:rsidRPr="004F2C97">
              <w:t xml:space="preserve"> and provides guidance for </w:t>
            </w:r>
            <w:r w:rsidRPr="00336191">
              <w:rPr>
                <w:rStyle w:val="Strong"/>
              </w:rPr>
              <w:t>considering sex when designing your studies</w:t>
            </w:r>
            <w:r w:rsidRPr="004F2C97">
              <w:t xml:space="preserve">. A joint </w:t>
            </w:r>
            <w:r w:rsidRPr="00336191">
              <w:rPr>
                <w:rStyle w:val="Strong"/>
              </w:rPr>
              <w:t>webinar</w:t>
            </w:r>
            <w:r w:rsidRPr="004F2C97">
              <w:t xml:space="preserve"> from the NC3Rs and the UK Medical Research Council explores how to address common challenges when planning, conducting and analysing animal experiments that appropriately integrate sex.</w:t>
            </w:r>
          </w:p>
        </w:tc>
      </w:tr>
      <w:tr w:rsidR="00266F50" w14:paraId="420BF991" w14:textId="77777777" w:rsidTr="00245DB6">
        <w:trPr>
          <w:cantSplit/>
        </w:trPr>
        <w:tc>
          <w:tcPr>
            <w:tcW w:w="4508" w:type="dxa"/>
          </w:tcPr>
          <w:p w14:paraId="5901A91C" w14:textId="77777777" w:rsidR="00266F50" w:rsidRPr="004F2C97" w:rsidRDefault="00266F50" w:rsidP="00266F50">
            <w:r w:rsidRPr="004F2C97">
              <w:lastRenderedPageBreak/>
              <w:t>Sex Inclusive Research Framework (SIRF):</w:t>
            </w:r>
          </w:p>
          <w:p w14:paraId="1DC29042" w14:textId="0BCF21FD" w:rsidR="00266F50" w:rsidRPr="004F2C97" w:rsidRDefault="00266F50" w:rsidP="00266F50">
            <w:hyperlink r:id="rId26">
              <w:r w:rsidRPr="004F2C97">
                <w:rPr>
                  <w:rStyle w:val="Hyperlink"/>
                </w:rPr>
                <w:t>Online version</w:t>
              </w:r>
            </w:hyperlink>
          </w:p>
        </w:tc>
        <w:tc>
          <w:tcPr>
            <w:tcW w:w="4508" w:type="dxa"/>
          </w:tcPr>
          <w:p w14:paraId="4C24FD08" w14:textId="2F3B222C" w:rsidR="00266F50" w:rsidRPr="004F2C97" w:rsidRDefault="00266F50" w:rsidP="00266F50">
            <w:pPr>
              <w:spacing w:after="0"/>
            </w:pPr>
            <w:r w:rsidRPr="004F2C97">
              <w:t xml:space="preserve">The </w:t>
            </w:r>
            <w:r w:rsidRPr="00336191">
              <w:rPr>
                <w:rStyle w:val="Strong"/>
              </w:rPr>
              <w:t>SIRF tool</w:t>
            </w:r>
            <w:r w:rsidRPr="004F2C97">
              <w:rPr>
                <w:b/>
                <w:bCs/>
              </w:rPr>
              <w:t xml:space="preserve"> </w:t>
            </w:r>
            <w:r w:rsidRPr="004F2C97">
              <w:t xml:space="preserve">provides guidance to researchers in </w:t>
            </w:r>
            <w:r w:rsidRPr="00576DD8">
              <w:rPr>
                <w:rStyle w:val="Strong"/>
              </w:rPr>
              <w:t>designing preclinical research</w:t>
            </w:r>
            <w:r w:rsidRPr="004F2C97">
              <w:t xml:space="preserve"> aligned with a sex-inclusive research philosophy. The Framework consists of an </w:t>
            </w:r>
            <w:r w:rsidRPr="00576DD8">
              <w:rPr>
                <w:rStyle w:val="Strong"/>
              </w:rPr>
              <w:t xml:space="preserve">easy-to-use decision tree </w:t>
            </w:r>
            <w:r w:rsidRPr="004F2C97">
              <w:t xml:space="preserve">with supporting guidance and is available in both </w:t>
            </w:r>
            <w:r w:rsidRPr="00576DD8">
              <w:rPr>
                <w:rStyle w:val="Strong"/>
              </w:rPr>
              <w:t>downloadable and interactive</w:t>
            </w:r>
            <w:r w:rsidRPr="004F2C97">
              <w:t xml:space="preserve"> versions.</w:t>
            </w:r>
          </w:p>
        </w:tc>
      </w:tr>
      <w:tr w:rsidR="00266F50" w14:paraId="7E0BD90F" w14:textId="77777777" w:rsidTr="004317F9">
        <w:tc>
          <w:tcPr>
            <w:tcW w:w="4508" w:type="dxa"/>
          </w:tcPr>
          <w:p w14:paraId="0A9AB6FF" w14:textId="77777777" w:rsidR="00266F50" w:rsidRPr="004F2C97" w:rsidRDefault="00266F50" w:rsidP="00266F50">
            <w:r w:rsidRPr="004F2C97">
              <w:t>National Centre for the Replacement Refinement and Reduction of Animals in Research (NC3Rs)</w:t>
            </w:r>
          </w:p>
          <w:p w14:paraId="6C6B1346" w14:textId="77777777" w:rsidR="00266F50" w:rsidRPr="004F2C97" w:rsidRDefault="00266F50" w:rsidP="00266F50">
            <w:hyperlink r:id="rId27">
              <w:r w:rsidRPr="004F2C97">
                <w:rPr>
                  <w:rStyle w:val="Hyperlink"/>
                </w:rPr>
                <w:t>Experimental Design Assistant</w:t>
              </w:r>
            </w:hyperlink>
          </w:p>
          <w:p w14:paraId="7D4EA451" w14:textId="74ECFE28" w:rsidR="00266F50" w:rsidRPr="004F2C97" w:rsidRDefault="00266F50" w:rsidP="00266F50">
            <w:hyperlink r:id="rId28">
              <w:r w:rsidRPr="004F2C97">
                <w:rPr>
                  <w:rStyle w:val="Hyperlink"/>
                </w:rPr>
                <w:t>MRC/NC3Rs webinar: Using both sexes in animal experiments</w:t>
              </w:r>
            </w:hyperlink>
          </w:p>
        </w:tc>
        <w:tc>
          <w:tcPr>
            <w:tcW w:w="4508" w:type="dxa"/>
          </w:tcPr>
          <w:p w14:paraId="4D02C351" w14:textId="382A5030" w:rsidR="00266F50" w:rsidRPr="004F2C97" w:rsidRDefault="00266F50" w:rsidP="00266F50">
            <w:pPr>
              <w:spacing w:after="0"/>
            </w:pPr>
            <w:r w:rsidRPr="004F2C97">
              <w:t xml:space="preserve">The NC3Rs’ </w:t>
            </w:r>
            <w:r w:rsidRPr="00576DD8">
              <w:rPr>
                <w:rStyle w:val="Strong"/>
              </w:rPr>
              <w:t>Experimental Design Assistant</w:t>
            </w:r>
            <w:r w:rsidRPr="004F2C97">
              <w:t xml:space="preserve"> is a free resource that has been used by thousands of researchers to help </w:t>
            </w:r>
            <w:r w:rsidRPr="00576DD8">
              <w:rPr>
                <w:rStyle w:val="Strong"/>
              </w:rPr>
              <w:t>design robust animal experiments</w:t>
            </w:r>
            <w:r w:rsidRPr="004F2C97">
              <w:t xml:space="preserve"> and provides guidance for </w:t>
            </w:r>
            <w:r w:rsidRPr="00576DD8">
              <w:rPr>
                <w:rStyle w:val="Strong"/>
              </w:rPr>
              <w:t>considering sex when designing your studies</w:t>
            </w:r>
            <w:r w:rsidRPr="004F2C97">
              <w:t xml:space="preserve">. A joint </w:t>
            </w:r>
            <w:r w:rsidRPr="00576DD8">
              <w:rPr>
                <w:rStyle w:val="Strong"/>
              </w:rPr>
              <w:t>webinar</w:t>
            </w:r>
            <w:r w:rsidRPr="004F2C97">
              <w:t xml:space="preserve"> from the NC3Rs and the UK Medical Research Council explores how to address common challenges when planning, conducting and analysing animal experiments that appropriately integrate sex.</w:t>
            </w:r>
          </w:p>
        </w:tc>
      </w:tr>
      <w:tr w:rsidR="005162FE" w14:paraId="2AB84488" w14:textId="77777777" w:rsidTr="002C13AF">
        <w:tc>
          <w:tcPr>
            <w:tcW w:w="4508" w:type="dxa"/>
            <w:tcBorders>
              <w:right w:val="single" w:sz="4" w:space="0" w:color="FFFFFF" w:themeColor="background1"/>
            </w:tcBorders>
            <w:vAlign w:val="center"/>
          </w:tcPr>
          <w:p w14:paraId="6E75C7FF" w14:textId="77777777" w:rsidR="005162FE" w:rsidRPr="004F2C97" w:rsidRDefault="005162FE" w:rsidP="002C13AF">
            <w:pPr>
              <w:spacing w:before="0" w:after="0"/>
            </w:pPr>
            <w:r w:rsidRPr="0000068B">
              <w:rPr>
                <w:b/>
                <w:bCs/>
                <w:i/>
                <w:iCs/>
              </w:rPr>
              <w:t>Other</w:t>
            </w:r>
          </w:p>
        </w:tc>
        <w:tc>
          <w:tcPr>
            <w:tcW w:w="4508" w:type="dxa"/>
            <w:tcBorders>
              <w:left w:val="single" w:sz="4" w:space="0" w:color="FFFFFF" w:themeColor="background1"/>
            </w:tcBorders>
          </w:tcPr>
          <w:p w14:paraId="135B2572" w14:textId="6E31256D" w:rsidR="005162FE" w:rsidRPr="004F2C97" w:rsidRDefault="005162FE" w:rsidP="00266F50">
            <w:pPr>
              <w:spacing w:after="0"/>
            </w:pPr>
          </w:p>
        </w:tc>
      </w:tr>
      <w:tr w:rsidR="0000068B" w14:paraId="21B73ABD" w14:textId="77777777" w:rsidTr="004317F9">
        <w:tc>
          <w:tcPr>
            <w:tcW w:w="4508" w:type="dxa"/>
          </w:tcPr>
          <w:p w14:paraId="41C2407C" w14:textId="77777777" w:rsidR="0000068B" w:rsidRPr="0000068B" w:rsidRDefault="0000068B" w:rsidP="0000068B">
            <w:r w:rsidRPr="0000068B">
              <w:t>Australian Women’s Health Alliance:</w:t>
            </w:r>
          </w:p>
          <w:p w14:paraId="16C258C0" w14:textId="5F3CD28A" w:rsidR="0000068B" w:rsidRPr="00576DD8" w:rsidRDefault="0000068B" w:rsidP="0000068B">
            <w:pPr>
              <w:rPr>
                <w:rFonts w:eastAsia="Gotham Book"/>
              </w:rPr>
            </w:pPr>
            <w:hyperlink r:id="rId29">
              <w:r w:rsidRPr="0000068B">
                <w:rPr>
                  <w:rStyle w:val="Hyperlink"/>
                  <w:rFonts w:eastAsia="Gotham Book"/>
                </w:rPr>
                <w:t>E-Learning Course: Introduction to Gender-Responsive Health</w:t>
              </w:r>
            </w:hyperlink>
          </w:p>
        </w:tc>
        <w:tc>
          <w:tcPr>
            <w:tcW w:w="4508" w:type="dxa"/>
          </w:tcPr>
          <w:p w14:paraId="38D36ADC" w14:textId="3F405BEA" w:rsidR="0000068B" w:rsidRPr="0000068B" w:rsidRDefault="0000068B" w:rsidP="0000068B">
            <w:pPr>
              <w:spacing w:after="0"/>
            </w:pPr>
            <w:r w:rsidRPr="0000068B">
              <w:rPr>
                <w:rFonts w:eastAsia="Gotham Book"/>
                <w:color w:val="0C0C0C"/>
              </w:rPr>
              <w:t xml:space="preserve">This </w:t>
            </w:r>
            <w:r w:rsidRPr="00576DD8">
              <w:rPr>
                <w:rStyle w:val="Strong"/>
              </w:rPr>
              <w:t>online course</w:t>
            </w:r>
            <w:r w:rsidRPr="0000068B">
              <w:rPr>
                <w:rFonts w:eastAsia="Gotham Book"/>
                <w:color w:val="0C0C0C"/>
              </w:rPr>
              <w:t xml:space="preserve"> is for individuals wanting to learn more about </w:t>
            </w:r>
            <w:r w:rsidRPr="00576DD8">
              <w:rPr>
                <w:rStyle w:val="Strong"/>
              </w:rPr>
              <w:t>gender-responsive health</w:t>
            </w:r>
            <w:r w:rsidRPr="0000068B">
              <w:rPr>
                <w:rFonts w:eastAsia="Gotham Book"/>
                <w:color w:val="0C0C0C"/>
              </w:rPr>
              <w:t xml:space="preserve">, including health professionals, researchers, policy makers and students. </w:t>
            </w:r>
            <w:r w:rsidRPr="0000068B">
              <w:rPr>
                <w:rFonts w:eastAsia="Gotham Book"/>
              </w:rPr>
              <w:t xml:space="preserve">This course is evidence-based, free, flexible and highly accessible. </w:t>
            </w:r>
            <w:r w:rsidRPr="0000068B">
              <w:rPr>
                <w:rFonts w:eastAsia="Gotham Book"/>
                <w:color w:val="0C0C0C"/>
              </w:rPr>
              <w:t>It</w:t>
            </w:r>
            <w:r w:rsidRPr="0000068B">
              <w:rPr>
                <w:rFonts w:eastAsia="Gotham Book"/>
              </w:rPr>
              <w:t xml:space="preserve"> was co-developed with health experts and people with lived experience.</w:t>
            </w:r>
          </w:p>
        </w:tc>
      </w:tr>
      <w:tr w:rsidR="0000068B" w14:paraId="7E088137" w14:textId="77777777" w:rsidTr="00032EE5">
        <w:trPr>
          <w:cantSplit/>
        </w:trPr>
        <w:tc>
          <w:tcPr>
            <w:tcW w:w="4508" w:type="dxa"/>
          </w:tcPr>
          <w:p w14:paraId="7B407742" w14:textId="52834AAF" w:rsidR="0000068B" w:rsidRPr="0000068B" w:rsidRDefault="0000068B" w:rsidP="0000068B">
            <w:hyperlink r:id="rId30">
              <w:r w:rsidRPr="0000068B">
                <w:rPr>
                  <w:rStyle w:val="Hyperlink"/>
                  <w:i/>
                  <w:iCs/>
                </w:rPr>
                <w:t>Cell</w:t>
              </w:r>
              <w:r w:rsidRPr="0000068B">
                <w:rPr>
                  <w:rStyle w:val="Hyperlink"/>
                </w:rPr>
                <w:t xml:space="preserve"> focus issue on sex and gender in science</w:t>
              </w:r>
            </w:hyperlink>
          </w:p>
        </w:tc>
        <w:tc>
          <w:tcPr>
            <w:tcW w:w="4508" w:type="dxa"/>
          </w:tcPr>
          <w:p w14:paraId="732C1AAE" w14:textId="4F121715" w:rsidR="0000068B" w:rsidRPr="0000068B" w:rsidRDefault="0000068B" w:rsidP="0000068B">
            <w:pPr>
              <w:spacing w:after="0"/>
            </w:pPr>
            <w:r w:rsidRPr="0000068B">
              <w:rPr>
                <w:rFonts w:eastAsia="Aptos"/>
              </w:rPr>
              <w:t xml:space="preserve">Following the </w:t>
            </w:r>
            <w:hyperlink r:id="rId31">
              <w:r w:rsidRPr="0000068B">
                <w:rPr>
                  <w:rStyle w:val="Hyperlink"/>
                  <w:rFonts w:eastAsia="Aptos"/>
                </w:rPr>
                <w:t>rollout of guidelines</w:t>
              </w:r>
            </w:hyperlink>
            <w:r w:rsidRPr="0000068B">
              <w:rPr>
                <w:rFonts w:eastAsia="Aptos"/>
              </w:rPr>
              <w:t xml:space="preserve"> for reporting sex- and gender-based analyses across all Cell Press journals, the journal </w:t>
            </w:r>
            <w:r w:rsidRPr="0000068B">
              <w:rPr>
                <w:i/>
                <w:iCs/>
              </w:rPr>
              <w:t>Cell</w:t>
            </w:r>
            <w:r w:rsidRPr="0000068B">
              <w:t xml:space="preserve"> published a focus issue on </w:t>
            </w:r>
            <w:r w:rsidRPr="00576DD8">
              <w:rPr>
                <w:rStyle w:val="Strong"/>
              </w:rPr>
              <w:t>sex and gender in science</w:t>
            </w:r>
            <w:r w:rsidRPr="0000068B">
              <w:t xml:space="preserve">, exploring how more accurate, precise and inclusive approaches can lead to more rigorous scientific research. It includes an </w:t>
            </w:r>
            <w:r w:rsidRPr="00576DD8">
              <w:rPr>
                <w:rStyle w:val="Strong"/>
              </w:rPr>
              <w:t>article</w:t>
            </w:r>
            <w:r w:rsidRPr="0000068B">
              <w:t xml:space="preserve"> focusing on </w:t>
            </w:r>
            <w:r w:rsidRPr="00576DD8">
              <w:rPr>
                <w:rStyle w:val="Strong"/>
              </w:rPr>
              <w:t>methodology</w:t>
            </w:r>
            <w:r w:rsidRPr="0000068B">
              <w:t xml:space="preserve"> for integrating sex in laboratory research and </w:t>
            </w:r>
            <w:r w:rsidRPr="00576DD8">
              <w:rPr>
                <w:rStyle w:val="Strong"/>
              </w:rPr>
              <w:t>Q&amp;A</w:t>
            </w:r>
            <w:r w:rsidRPr="0000068B">
              <w:t xml:space="preserve"> with experts in the field.</w:t>
            </w:r>
          </w:p>
        </w:tc>
      </w:tr>
      <w:tr w:rsidR="0000068B" w14:paraId="1C4A6080" w14:textId="77777777" w:rsidTr="004317F9">
        <w:tc>
          <w:tcPr>
            <w:tcW w:w="4508" w:type="dxa"/>
          </w:tcPr>
          <w:p w14:paraId="2588DF97" w14:textId="040C6E07" w:rsidR="0000068B" w:rsidRPr="0000068B" w:rsidRDefault="0000068B" w:rsidP="0000068B">
            <w:hyperlink r:id="rId32">
              <w:r w:rsidRPr="0000068B">
                <w:rPr>
                  <w:rStyle w:val="Hyperlink"/>
                  <w:i/>
                  <w:iCs/>
                </w:rPr>
                <w:t>Nature</w:t>
              </w:r>
              <w:r w:rsidRPr="0000068B">
                <w:rPr>
                  <w:rStyle w:val="Hyperlink"/>
                </w:rPr>
                <w:t xml:space="preserve"> special collection on sex and gender in science</w:t>
              </w:r>
            </w:hyperlink>
          </w:p>
        </w:tc>
        <w:tc>
          <w:tcPr>
            <w:tcW w:w="4508" w:type="dxa"/>
          </w:tcPr>
          <w:p w14:paraId="0EF65C94" w14:textId="78011BF6" w:rsidR="0000068B" w:rsidRPr="0000068B" w:rsidRDefault="0000068B" w:rsidP="0000068B">
            <w:pPr>
              <w:spacing w:after="0"/>
            </w:pPr>
            <w:r w:rsidRPr="0000068B">
              <w:t xml:space="preserve">Nature launched a collection of </w:t>
            </w:r>
            <w:r w:rsidRPr="00576DD8">
              <w:rPr>
                <w:rStyle w:val="Strong"/>
              </w:rPr>
              <w:t>opinion articles</w:t>
            </w:r>
            <w:r w:rsidRPr="0000068B">
              <w:t xml:space="preserve"> highlighting the necessity and challenges of studying sex and gender in research. Nearly 20 researchers from diverse fields have contributed to the series.</w:t>
            </w:r>
          </w:p>
        </w:tc>
      </w:tr>
    </w:tbl>
    <w:p w14:paraId="11F2D171" w14:textId="77777777" w:rsidR="0000068B" w:rsidRDefault="0000068B" w:rsidP="002F2B32">
      <w:pPr>
        <w:spacing w:after="0"/>
        <w:rPr>
          <w:rFonts w:eastAsia="Calibri" w:cs="Calibri"/>
        </w:rPr>
      </w:pPr>
    </w:p>
    <w:sectPr w:rsidR="0000068B" w:rsidSect="00E538B9">
      <w:headerReference w:type="even" r:id="rId33"/>
      <w:footerReference w:type="even" r:id="rId34"/>
      <w:footerReference w:type="default" r:id="rId35"/>
      <w:headerReference w:type="first" r:id="rId36"/>
      <w:footerReference w:type="first" r:id="rId37"/>
      <w:pgSz w:w="11906" w:h="16838"/>
      <w:pgMar w:top="851" w:right="1440" w:bottom="2836" w:left="1440" w:header="1388" w:footer="708" w:gutter="0"/>
      <w:pgBorders w:offsetFrom="page">
        <w:top w:val="single" w:sz="8" w:space="20" w:color="767171" w:themeColor="background2" w:themeShade="80"/>
        <w:left w:val="single" w:sz="8" w:space="20" w:color="767171" w:themeColor="background2" w:themeShade="80"/>
        <w:bottom w:val="single" w:sz="8" w:space="20" w:color="767171" w:themeColor="background2" w:themeShade="80"/>
        <w:right w:val="single" w:sz="8" w:space="20" w:color="767171" w:themeColor="background2"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6D88" w14:textId="77777777" w:rsidR="00956F3F" w:rsidRDefault="00956F3F" w:rsidP="00B25856">
      <w:r>
        <w:separator/>
      </w:r>
    </w:p>
  </w:endnote>
  <w:endnote w:type="continuationSeparator" w:id="0">
    <w:p w14:paraId="45C3FFFB" w14:textId="77777777" w:rsidR="00956F3F" w:rsidRDefault="00956F3F" w:rsidP="00B2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74B6" w14:textId="2BB88DC0" w:rsidR="00EE3837" w:rsidRDefault="00EE3837">
    <w:pPr>
      <w:pStyle w:val="Footer"/>
    </w:pPr>
    <w:r>
      <w:rPr>
        <w:noProof/>
      </w:rPr>
      <mc:AlternateContent>
        <mc:Choice Requires="wps">
          <w:drawing>
            <wp:anchor distT="0" distB="0" distL="0" distR="0" simplePos="0" relativeHeight="251840000" behindDoc="0" locked="0" layoutInCell="1" allowOverlap="1" wp14:anchorId="6222CD20" wp14:editId="4D7D43D4">
              <wp:simplePos x="635" y="635"/>
              <wp:positionH relativeFrom="page">
                <wp:align>center</wp:align>
              </wp:positionH>
              <wp:positionV relativeFrom="page">
                <wp:align>bottom</wp:align>
              </wp:positionV>
              <wp:extent cx="551815" cy="452755"/>
              <wp:effectExtent l="0" t="0" r="635" b="0"/>
              <wp:wrapNone/>
              <wp:docPr id="14116030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9EA7F87" w14:textId="542B2B85" w:rsidR="00EE3837" w:rsidRPr="00EE3837" w:rsidRDefault="00EE3837" w:rsidP="00EE3837">
                          <w:pPr>
                            <w:spacing w:after="0"/>
                            <w:rPr>
                              <w:rFonts w:ascii="Calibri" w:eastAsia="Calibri" w:hAnsi="Calibri" w:cs="Calibri"/>
                              <w:noProof/>
                              <w:color w:val="FF0000"/>
                            </w:rPr>
                          </w:pPr>
                          <w:r w:rsidRPr="00EE383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22CD20"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8400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19EA7F87" w14:textId="542B2B85" w:rsidR="00EE3837" w:rsidRPr="00EE3837" w:rsidRDefault="00EE3837" w:rsidP="00EE3837">
                    <w:pPr>
                      <w:spacing w:after="0"/>
                      <w:rPr>
                        <w:rFonts w:ascii="Calibri" w:eastAsia="Calibri" w:hAnsi="Calibri" w:cs="Calibri"/>
                        <w:noProof/>
                        <w:color w:val="FF0000"/>
                      </w:rPr>
                    </w:pPr>
                    <w:r w:rsidRPr="00EE383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81F" w14:textId="233A1C07" w:rsidR="008B73C6" w:rsidRPr="008B73C6" w:rsidRDefault="00945BAD" w:rsidP="008B73C6">
    <w:pPr>
      <w:spacing w:before="100" w:beforeAutospacing="1" w:after="100" w:afterAutospacing="1"/>
      <w:rPr>
        <w:rFonts w:ascii="Times New Roman" w:eastAsia="Times New Roman" w:hAnsi="Times New Roman" w:cs="Times New Roman"/>
        <w:color w:val="auto"/>
        <w:lang w:eastAsia="en-AU"/>
      </w:rPr>
    </w:pPr>
    <w:r w:rsidRPr="008B73C6">
      <w:rPr>
        <w:rFonts w:ascii="Times New Roman" w:eastAsia="Times New Roman" w:hAnsi="Times New Roman" w:cs="Times New Roman"/>
        <w:noProof/>
        <w:color w:val="auto"/>
        <w:lang w:eastAsia="en-AU"/>
      </w:rPr>
      <w:drawing>
        <wp:anchor distT="0" distB="0" distL="114300" distR="114300" simplePos="0" relativeHeight="251833856" behindDoc="0" locked="0" layoutInCell="1" allowOverlap="1" wp14:anchorId="47B2F5F4" wp14:editId="0752074C">
          <wp:simplePos x="0" y="0"/>
          <wp:positionH relativeFrom="column">
            <wp:posOffset>-460375</wp:posOffset>
          </wp:positionH>
          <wp:positionV relativeFrom="paragraph">
            <wp:posOffset>-114935</wp:posOffset>
          </wp:positionV>
          <wp:extent cx="2327910" cy="609600"/>
          <wp:effectExtent l="0" t="0" r="0" b="0"/>
          <wp:wrapNone/>
          <wp:docPr id="1086385806" name="Picture 10863858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791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34ED">
      <w:rPr>
        <w:rFonts w:ascii="Times New Roman" w:eastAsia="Times New Roman" w:hAnsi="Times New Roman" w:cs="Times New Roman"/>
        <w:noProof/>
        <w:color w:val="auto"/>
        <w:lang w:eastAsia="en-AU"/>
      </w:rPr>
      <w:drawing>
        <wp:anchor distT="0" distB="0" distL="114300" distR="114300" simplePos="0" relativeHeight="251832832" behindDoc="0" locked="0" layoutInCell="1" allowOverlap="1" wp14:anchorId="2DE8B867" wp14:editId="5232442B">
          <wp:simplePos x="0" y="0"/>
          <wp:positionH relativeFrom="column">
            <wp:posOffset>4765675</wp:posOffset>
          </wp:positionH>
          <wp:positionV relativeFrom="paragraph">
            <wp:posOffset>-156845</wp:posOffset>
          </wp:positionV>
          <wp:extent cx="1444625" cy="701675"/>
          <wp:effectExtent l="0" t="0" r="3175" b="3175"/>
          <wp:wrapNone/>
          <wp:docPr id="1030864461" name="Picture 1030864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462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B2C447" w14:textId="76A992A8" w:rsidR="00532FE8" w:rsidRDefault="00532F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F8D9" w14:textId="4BD4CC19" w:rsidR="005A0238" w:rsidRDefault="00945BAD" w:rsidP="00B25856">
    <w:pPr>
      <w:pStyle w:val="Footer"/>
    </w:pPr>
    <w:r w:rsidRPr="008B73C6">
      <w:rPr>
        <w:rFonts w:ascii="Times New Roman" w:eastAsia="Times New Roman" w:hAnsi="Times New Roman" w:cs="Times New Roman"/>
        <w:noProof/>
        <w:color w:val="auto"/>
        <w:lang w:eastAsia="en-AU"/>
      </w:rPr>
      <w:drawing>
        <wp:anchor distT="0" distB="0" distL="114300" distR="114300" simplePos="0" relativeHeight="251830784" behindDoc="0" locked="0" layoutInCell="1" allowOverlap="1" wp14:anchorId="7377246A" wp14:editId="3DA6AD21">
          <wp:simplePos x="0" y="0"/>
          <wp:positionH relativeFrom="column">
            <wp:posOffset>-468630</wp:posOffset>
          </wp:positionH>
          <wp:positionV relativeFrom="paragraph">
            <wp:posOffset>-375920</wp:posOffset>
          </wp:positionV>
          <wp:extent cx="2327910" cy="609600"/>
          <wp:effectExtent l="0" t="0" r="0" b="0"/>
          <wp:wrapNone/>
          <wp:docPr id="270965831" name="Picture 270965831" descr="Medical Research Future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dical Research Future Fu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791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34ED">
      <w:rPr>
        <w:rFonts w:ascii="Times New Roman" w:eastAsia="Times New Roman" w:hAnsi="Times New Roman" w:cs="Times New Roman"/>
        <w:noProof/>
        <w:color w:val="auto"/>
        <w:lang w:eastAsia="en-AU"/>
      </w:rPr>
      <w:drawing>
        <wp:anchor distT="0" distB="0" distL="114300" distR="114300" simplePos="0" relativeHeight="251602432" behindDoc="0" locked="0" layoutInCell="1" allowOverlap="1" wp14:anchorId="0C27C19F" wp14:editId="02E7CECF">
          <wp:simplePos x="0" y="0"/>
          <wp:positionH relativeFrom="column">
            <wp:posOffset>4758690</wp:posOffset>
          </wp:positionH>
          <wp:positionV relativeFrom="paragraph">
            <wp:posOffset>-418465</wp:posOffset>
          </wp:positionV>
          <wp:extent cx="1444625" cy="701675"/>
          <wp:effectExtent l="0" t="0" r="3175" b="3175"/>
          <wp:wrapNone/>
          <wp:docPr id="511173181" name="Picture 511173181" descr="NH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NHMR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462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E1E33" w14:textId="77777777" w:rsidR="00956F3F" w:rsidRDefault="00956F3F" w:rsidP="00B25856">
      <w:r>
        <w:separator/>
      </w:r>
    </w:p>
  </w:footnote>
  <w:footnote w:type="continuationSeparator" w:id="0">
    <w:p w14:paraId="1CDC5CEE" w14:textId="77777777" w:rsidR="00956F3F" w:rsidRDefault="00956F3F" w:rsidP="00B25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313B" w14:textId="3E9A1B74" w:rsidR="00EE3837" w:rsidRDefault="00EE3837">
    <w:pPr>
      <w:pStyle w:val="Header"/>
    </w:pPr>
    <w:r>
      <w:rPr>
        <w:noProof/>
      </w:rPr>
      <mc:AlternateContent>
        <mc:Choice Requires="wps">
          <w:drawing>
            <wp:anchor distT="0" distB="0" distL="0" distR="0" simplePos="0" relativeHeight="251836928" behindDoc="0" locked="0" layoutInCell="1" allowOverlap="1" wp14:anchorId="391C0669" wp14:editId="1C4126B4">
              <wp:simplePos x="635" y="635"/>
              <wp:positionH relativeFrom="page">
                <wp:align>center</wp:align>
              </wp:positionH>
              <wp:positionV relativeFrom="page">
                <wp:align>top</wp:align>
              </wp:positionV>
              <wp:extent cx="551815" cy="452755"/>
              <wp:effectExtent l="0" t="0" r="635" b="4445"/>
              <wp:wrapNone/>
              <wp:docPr id="16213055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3FF6E22" w14:textId="5931081C" w:rsidR="00EE3837" w:rsidRPr="00EE3837" w:rsidRDefault="00EE3837" w:rsidP="00EE3837">
                          <w:pPr>
                            <w:spacing w:after="0"/>
                            <w:rPr>
                              <w:rFonts w:ascii="Calibri" w:eastAsia="Calibri" w:hAnsi="Calibri" w:cs="Calibri"/>
                              <w:noProof/>
                              <w:color w:val="FF0000"/>
                            </w:rPr>
                          </w:pPr>
                          <w:r w:rsidRPr="00EE383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1C0669"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8369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63FF6E22" w14:textId="5931081C" w:rsidR="00EE3837" w:rsidRPr="00EE3837" w:rsidRDefault="00EE3837" w:rsidP="00EE3837">
                    <w:pPr>
                      <w:spacing w:after="0"/>
                      <w:rPr>
                        <w:rFonts w:ascii="Calibri" w:eastAsia="Calibri" w:hAnsi="Calibri" w:cs="Calibri"/>
                        <w:noProof/>
                        <w:color w:val="FF0000"/>
                      </w:rPr>
                    </w:pPr>
                    <w:r w:rsidRPr="00EE383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BCCB" w14:textId="2E204CDE" w:rsidR="00AC507B" w:rsidRPr="00AC507B" w:rsidRDefault="00AC507B" w:rsidP="00AC507B">
    <w:pPr>
      <w:rPr>
        <w:rFonts w:ascii="Times New Roman" w:eastAsia="Times New Roman" w:hAnsi="Times New Roman" w:cs="Times New Roman"/>
        <w:color w:val="auto"/>
        <w:lang w:eastAsia="en-AU"/>
      </w:rPr>
    </w:pPr>
    <w:r w:rsidRPr="00AC507B">
      <w:rPr>
        <w:rFonts w:ascii="Times New Roman" w:eastAsia="Times New Roman" w:hAnsi="Times New Roman" w:cs="Times New Roman"/>
        <w:noProof/>
        <w:color w:val="auto"/>
        <w:lang w:eastAsia="en-AU"/>
      </w:rPr>
      <w:drawing>
        <wp:anchor distT="0" distB="0" distL="114300" distR="114300" simplePos="0" relativeHeight="251834880" behindDoc="0" locked="0" layoutInCell="1" allowOverlap="1" wp14:anchorId="0FB299D2" wp14:editId="2831BBFD">
          <wp:simplePos x="0" y="0"/>
          <wp:positionH relativeFrom="column">
            <wp:posOffset>-57150</wp:posOffset>
          </wp:positionH>
          <wp:positionV relativeFrom="paragraph">
            <wp:posOffset>-481331</wp:posOffset>
          </wp:positionV>
          <wp:extent cx="3038475" cy="775273"/>
          <wp:effectExtent l="0" t="0" r="0" b="6350"/>
          <wp:wrapNone/>
          <wp:docPr id="1845863775" name="Picture 2" descr="Australian Government Department of Health, Disability and Ageing and National Health and Medical Research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83654" name="Picture 2" descr="Australian Government Department of Health, Disability and Ageing and National Health and Medical Research Council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999" cy="7794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B176E9" w14:textId="728F2CC4" w:rsidR="001834ED" w:rsidRPr="001834ED" w:rsidRDefault="001834ED" w:rsidP="00B25856">
    <w:pPr>
      <w:rPr>
        <w:rFonts w:ascii="Times New Roman" w:eastAsia="Times New Roman" w:hAnsi="Times New Roman" w:cs="Times New Roman"/>
        <w:color w:val="auto"/>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C15"/>
    <w:multiLevelType w:val="hybridMultilevel"/>
    <w:tmpl w:val="5A48E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12B42"/>
    <w:multiLevelType w:val="hybridMultilevel"/>
    <w:tmpl w:val="24762378"/>
    <w:lvl w:ilvl="0" w:tplc="0974ED74">
      <w:numFmt w:val="bullet"/>
      <w:lvlText w:val="•"/>
      <w:lvlJc w:val="left"/>
      <w:pPr>
        <w:ind w:left="360" w:hanging="360"/>
      </w:pPr>
      <w:rPr>
        <w:rFonts w:ascii="Segoe UI" w:eastAsiaTheme="minorHAnsi" w:hAnsi="Segoe UI" w:cs="Segoe UI"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F9754D"/>
    <w:multiLevelType w:val="hybridMultilevel"/>
    <w:tmpl w:val="C0482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8B3860"/>
    <w:multiLevelType w:val="hybridMultilevel"/>
    <w:tmpl w:val="771CCC9E"/>
    <w:lvl w:ilvl="0" w:tplc="B110363A">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F87DE2"/>
    <w:multiLevelType w:val="hybridMultilevel"/>
    <w:tmpl w:val="2CDC62F4"/>
    <w:lvl w:ilvl="0" w:tplc="1AFCBFF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3219BD"/>
    <w:multiLevelType w:val="hybridMultilevel"/>
    <w:tmpl w:val="91A4A4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21A28F0"/>
    <w:multiLevelType w:val="hybridMultilevel"/>
    <w:tmpl w:val="1902C8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2F8670A"/>
    <w:multiLevelType w:val="hybridMultilevel"/>
    <w:tmpl w:val="46A45C60"/>
    <w:lvl w:ilvl="0" w:tplc="AF3E725A">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BE0554"/>
    <w:multiLevelType w:val="hybridMultilevel"/>
    <w:tmpl w:val="4F46A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662E78"/>
    <w:multiLevelType w:val="hybridMultilevel"/>
    <w:tmpl w:val="3EB07606"/>
    <w:lvl w:ilvl="0" w:tplc="62EA2ED0">
      <w:numFmt w:val="bullet"/>
      <w:lvlText w:val="•"/>
      <w:lvlJc w:val="left"/>
      <w:pPr>
        <w:ind w:left="1080" w:hanging="72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CB7413"/>
    <w:multiLevelType w:val="hybridMultilevel"/>
    <w:tmpl w:val="AA4A4E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50B48FE"/>
    <w:multiLevelType w:val="hybridMultilevel"/>
    <w:tmpl w:val="167CF736"/>
    <w:lvl w:ilvl="0" w:tplc="62EA2ED0">
      <w:numFmt w:val="bullet"/>
      <w:lvlText w:val="•"/>
      <w:lvlJc w:val="left"/>
      <w:pPr>
        <w:ind w:left="1080" w:hanging="72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646203"/>
    <w:multiLevelType w:val="multilevel"/>
    <w:tmpl w:val="9CA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66824"/>
    <w:multiLevelType w:val="hybridMultilevel"/>
    <w:tmpl w:val="D69C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BD1D75"/>
    <w:multiLevelType w:val="hybridMultilevel"/>
    <w:tmpl w:val="B6848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DD1B93"/>
    <w:multiLevelType w:val="hybridMultilevel"/>
    <w:tmpl w:val="FAF06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3D52B3"/>
    <w:multiLevelType w:val="hybridMultilevel"/>
    <w:tmpl w:val="94DC2136"/>
    <w:lvl w:ilvl="0" w:tplc="796A4172">
      <w:start w:val="1"/>
      <w:numFmt w:val="bullet"/>
      <w:lvlText w:val=""/>
      <w:lvlJc w:val="left"/>
      <w:pPr>
        <w:ind w:left="720" w:hanging="360"/>
      </w:pPr>
      <w:rPr>
        <w:rFonts w:ascii="Symbol" w:hAnsi="Symbol" w:hint="default"/>
      </w:rPr>
    </w:lvl>
    <w:lvl w:ilvl="1" w:tplc="08F29DCE">
      <w:start w:val="1"/>
      <w:numFmt w:val="bullet"/>
      <w:lvlText w:val="o"/>
      <w:lvlJc w:val="left"/>
      <w:pPr>
        <w:ind w:left="1440" w:hanging="360"/>
      </w:pPr>
      <w:rPr>
        <w:rFonts w:ascii="Courier New" w:hAnsi="Courier New" w:cs="Times New Roman" w:hint="default"/>
      </w:rPr>
    </w:lvl>
    <w:lvl w:ilvl="2" w:tplc="50AA10C2">
      <w:start w:val="1"/>
      <w:numFmt w:val="bullet"/>
      <w:lvlText w:val=""/>
      <w:lvlJc w:val="left"/>
      <w:pPr>
        <w:ind w:left="2160" w:hanging="360"/>
      </w:pPr>
      <w:rPr>
        <w:rFonts w:ascii="Wingdings" w:hAnsi="Wingdings" w:hint="default"/>
      </w:rPr>
    </w:lvl>
    <w:lvl w:ilvl="3" w:tplc="4ADA1D78">
      <w:start w:val="1"/>
      <w:numFmt w:val="bullet"/>
      <w:lvlText w:val=""/>
      <w:lvlJc w:val="left"/>
      <w:pPr>
        <w:ind w:left="2880" w:hanging="360"/>
      </w:pPr>
      <w:rPr>
        <w:rFonts w:ascii="Symbol" w:hAnsi="Symbol" w:hint="default"/>
      </w:rPr>
    </w:lvl>
    <w:lvl w:ilvl="4" w:tplc="D20CD496">
      <w:start w:val="1"/>
      <w:numFmt w:val="bullet"/>
      <w:lvlText w:val="o"/>
      <w:lvlJc w:val="left"/>
      <w:pPr>
        <w:ind w:left="3600" w:hanging="360"/>
      </w:pPr>
      <w:rPr>
        <w:rFonts w:ascii="Courier New" w:hAnsi="Courier New" w:cs="Times New Roman" w:hint="default"/>
      </w:rPr>
    </w:lvl>
    <w:lvl w:ilvl="5" w:tplc="3EBACC9E">
      <w:start w:val="1"/>
      <w:numFmt w:val="bullet"/>
      <w:lvlText w:val=""/>
      <w:lvlJc w:val="left"/>
      <w:pPr>
        <w:ind w:left="4320" w:hanging="360"/>
      </w:pPr>
      <w:rPr>
        <w:rFonts w:ascii="Wingdings" w:hAnsi="Wingdings" w:hint="default"/>
      </w:rPr>
    </w:lvl>
    <w:lvl w:ilvl="6" w:tplc="5AAE3AAE">
      <w:start w:val="1"/>
      <w:numFmt w:val="bullet"/>
      <w:lvlText w:val=""/>
      <w:lvlJc w:val="left"/>
      <w:pPr>
        <w:ind w:left="5040" w:hanging="360"/>
      </w:pPr>
      <w:rPr>
        <w:rFonts w:ascii="Symbol" w:hAnsi="Symbol" w:hint="default"/>
      </w:rPr>
    </w:lvl>
    <w:lvl w:ilvl="7" w:tplc="9C3644E4">
      <w:start w:val="1"/>
      <w:numFmt w:val="bullet"/>
      <w:lvlText w:val="o"/>
      <w:lvlJc w:val="left"/>
      <w:pPr>
        <w:ind w:left="5760" w:hanging="360"/>
      </w:pPr>
      <w:rPr>
        <w:rFonts w:ascii="Courier New" w:hAnsi="Courier New" w:cs="Times New Roman" w:hint="default"/>
      </w:rPr>
    </w:lvl>
    <w:lvl w:ilvl="8" w:tplc="415279E4">
      <w:start w:val="1"/>
      <w:numFmt w:val="bullet"/>
      <w:lvlText w:val=""/>
      <w:lvlJc w:val="left"/>
      <w:pPr>
        <w:ind w:left="6480" w:hanging="360"/>
      </w:pPr>
      <w:rPr>
        <w:rFonts w:ascii="Wingdings" w:hAnsi="Wingdings" w:hint="default"/>
      </w:rPr>
    </w:lvl>
  </w:abstractNum>
  <w:abstractNum w:abstractNumId="17" w15:restartNumberingAfterBreak="0">
    <w:nsid w:val="39830BA0"/>
    <w:multiLevelType w:val="multilevel"/>
    <w:tmpl w:val="399E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E85E69"/>
    <w:multiLevelType w:val="hybridMultilevel"/>
    <w:tmpl w:val="5F8AA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5703E3"/>
    <w:multiLevelType w:val="hybridMultilevel"/>
    <w:tmpl w:val="8F52DB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CE4119"/>
    <w:multiLevelType w:val="hybridMultilevel"/>
    <w:tmpl w:val="32E0250E"/>
    <w:lvl w:ilvl="0" w:tplc="0A62C4E4">
      <w:start w:val="1"/>
      <w:numFmt w:val="bullet"/>
      <w:lvlText w:val=""/>
      <w:lvlJc w:val="left"/>
      <w:pPr>
        <w:ind w:left="767" w:hanging="360"/>
      </w:pPr>
      <w:rPr>
        <w:rFonts w:ascii="Symbol" w:hAnsi="Symbol" w:hint="default"/>
        <w:sz w:val="22"/>
        <w:szCs w:val="22"/>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21" w15:restartNumberingAfterBreak="0">
    <w:nsid w:val="4BA713AD"/>
    <w:multiLevelType w:val="multilevel"/>
    <w:tmpl w:val="347A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435CD7"/>
    <w:multiLevelType w:val="hybridMultilevel"/>
    <w:tmpl w:val="C04C9E78"/>
    <w:lvl w:ilvl="0" w:tplc="0C090001">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59F76B9"/>
    <w:multiLevelType w:val="multilevel"/>
    <w:tmpl w:val="ED70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CF3317"/>
    <w:multiLevelType w:val="hybridMultilevel"/>
    <w:tmpl w:val="785E2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AC5961"/>
    <w:multiLevelType w:val="multilevel"/>
    <w:tmpl w:val="6AEC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8B06B3"/>
    <w:multiLevelType w:val="multilevel"/>
    <w:tmpl w:val="7BDE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CA2ACA"/>
    <w:multiLevelType w:val="multilevel"/>
    <w:tmpl w:val="8E6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A83C4E"/>
    <w:multiLevelType w:val="hybridMultilevel"/>
    <w:tmpl w:val="841CB8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5083331"/>
    <w:multiLevelType w:val="hybridMultilevel"/>
    <w:tmpl w:val="19505BE8"/>
    <w:lvl w:ilvl="0" w:tplc="AF3E725A">
      <w:numFmt w:val="bullet"/>
      <w:lvlText w:val="•"/>
      <w:lvlJc w:val="left"/>
      <w:pPr>
        <w:ind w:left="1080" w:hanging="360"/>
      </w:pPr>
      <w:rPr>
        <w:rFonts w:ascii="Segoe UI" w:eastAsiaTheme="minorHAnsi" w:hAnsi="Segoe UI" w:cs="Segoe U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6075925"/>
    <w:multiLevelType w:val="hybridMultilevel"/>
    <w:tmpl w:val="5F56C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874F4D"/>
    <w:multiLevelType w:val="hybridMultilevel"/>
    <w:tmpl w:val="E67A5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232FC6"/>
    <w:multiLevelType w:val="hybridMultilevel"/>
    <w:tmpl w:val="D2E40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D77F21"/>
    <w:multiLevelType w:val="hybridMultilevel"/>
    <w:tmpl w:val="B1A21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172AA8"/>
    <w:multiLevelType w:val="multilevel"/>
    <w:tmpl w:val="6AEE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B83103"/>
    <w:multiLevelType w:val="hybridMultilevel"/>
    <w:tmpl w:val="10C22008"/>
    <w:lvl w:ilvl="0" w:tplc="0C090003">
      <w:start w:val="1"/>
      <w:numFmt w:val="bullet"/>
      <w:lvlText w:val="o"/>
      <w:lvlJc w:val="left"/>
      <w:pPr>
        <w:ind w:left="717" w:hanging="360"/>
      </w:pPr>
      <w:rPr>
        <w:rFonts w:ascii="Courier New" w:hAnsi="Courier New" w:cs="Courier New" w:hint="default"/>
      </w:rPr>
    </w:lvl>
    <w:lvl w:ilvl="1" w:tplc="0C090003">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6" w15:restartNumberingAfterBreak="0">
    <w:nsid w:val="7D631CA8"/>
    <w:multiLevelType w:val="hybridMultilevel"/>
    <w:tmpl w:val="15781E8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num w:numId="1" w16cid:durableId="1606305023">
    <w:abstractNumId w:val="25"/>
  </w:num>
  <w:num w:numId="2" w16cid:durableId="525337619">
    <w:abstractNumId w:val="21"/>
  </w:num>
  <w:num w:numId="3" w16cid:durableId="968978573">
    <w:abstractNumId w:val="12"/>
  </w:num>
  <w:num w:numId="4" w16cid:durableId="455485952">
    <w:abstractNumId w:val="26"/>
  </w:num>
  <w:num w:numId="5" w16cid:durableId="1520048045">
    <w:abstractNumId w:val="34"/>
  </w:num>
  <w:num w:numId="6" w16cid:durableId="1508253924">
    <w:abstractNumId w:val="23"/>
  </w:num>
  <w:num w:numId="7" w16cid:durableId="2099401964">
    <w:abstractNumId w:val="0"/>
  </w:num>
  <w:num w:numId="8" w16cid:durableId="1158157111">
    <w:abstractNumId w:val="4"/>
  </w:num>
  <w:num w:numId="9" w16cid:durableId="179663461">
    <w:abstractNumId w:val="24"/>
  </w:num>
  <w:num w:numId="10" w16cid:durableId="1580479553">
    <w:abstractNumId w:val="27"/>
  </w:num>
  <w:num w:numId="11" w16cid:durableId="692346890">
    <w:abstractNumId w:val="17"/>
  </w:num>
  <w:num w:numId="12" w16cid:durableId="1596401200">
    <w:abstractNumId w:val="35"/>
  </w:num>
  <w:num w:numId="13" w16cid:durableId="502554851">
    <w:abstractNumId w:val="28"/>
  </w:num>
  <w:num w:numId="14" w16cid:durableId="1904294553">
    <w:abstractNumId w:val="18"/>
  </w:num>
  <w:num w:numId="15" w16cid:durableId="1017119125">
    <w:abstractNumId w:val="6"/>
  </w:num>
  <w:num w:numId="16" w16cid:durableId="370689327">
    <w:abstractNumId w:val="20"/>
  </w:num>
  <w:num w:numId="17" w16cid:durableId="2099399875">
    <w:abstractNumId w:val="33"/>
  </w:num>
  <w:num w:numId="18" w16cid:durableId="415827386">
    <w:abstractNumId w:val="3"/>
  </w:num>
  <w:num w:numId="19" w16cid:durableId="567154611">
    <w:abstractNumId w:val="1"/>
  </w:num>
  <w:num w:numId="20" w16cid:durableId="219950025">
    <w:abstractNumId w:val="31"/>
  </w:num>
  <w:num w:numId="21" w16cid:durableId="1741320390">
    <w:abstractNumId w:val="7"/>
  </w:num>
  <w:num w:numId="22" w16cid:durableId="1163931234">
    <w:abstractNumId w:val="29"/>
  </w:num>
  <w:num w:numId="23" w16cid:durableId="1022709099">
    <w:abstractNumId w:val="22"/>
  </w:num>
  <w:num w:numId="24" w16cid:durableId="527059612">
    <w:abstractNumId w:val="32"/>
  </w:num>
  <w:num w:numId="25" w16cid:durableId="544877889">
    <w:abstractNumId w:val="5"/>
  </w:num>
  <w:num w:numId="26" w16cid:durableId="255401301">
    <w:abstractNumId w:val="10"/>
  </w:num>
  <w:num w:numId="27" w16cid:durableId="2147307857">
    <w:abstractNumId w:val="14"/>
  </w:num>
  <w:num w:numId="28" w16cid:durableId="10034838">
    <w:abstractNumId w:val="13"/>
  </w:num>
  <w:num w:numId="29" w16cid:durableId="17506647">
    <w:abstractNumId w:val="9"/>
  </w:num>
  <w:num w:numId="30" w16cid:durableId="341780236">
    <w:abstractNumId w:val="11"/>
  </w:num>
  <w:num w:numId="31" w16cid:durableId="617182781">
    <w:abstractNumId w:val="30"/>
  </w:num>
  <w:num w:numId="32" w16cid:durableId="1445003935">
    <w:abstractNumId w:val="19"/>
  </w:num>
  <w:num w:numId="33" w16cid:durableId="466970250">
    <w:abstractNumId w:val="2"/>
  </w:num>
  <w:num w:numId="34" w16cid:durableId="1683236483">
    <w:abstractNumId w:val="15"/>
  </w:num>
  <w:num w:numId="35" w16cid:durableId="374163739">
    <w:abstractNumId w:val="36"/>
  </w:num>
  <w:num w:numId="36" w16cid:durableId="534662172">
    <w:abstractNumId w:val="16"/>
  </w:num>
  <w:num w:numId="37" w16cid:durableId="4783042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2E"/>
    <w:rsid w:val="0000068B"/>
    <w:rsid w:val="00001419"/>
    <w:rsid w:val="00004129"/>
    <w:rsid w:val="00010CD1"/>
    <w:rsid w:val="000115CA"/>
    <w:rsid w:val="00012C44"/>
    <w:rsid w:val="00015174"/>
    <w:rsid w:val="00021C93"/>
    <w:rsid w:val="000238D4"/>
    <w:rsid w:val="000250DE"/>
    <w:rsid w:val="00032EE5"/>
    <w:rsid w:val="000374EB"/>
    <w:rsid w:val="000404B5"/>
    <w:rsid w:val="000474CB"/>
    <w:rsid w:val="00047F1F"/>
    <w:rsid w:val="00051454"/>
    <w:rsid w:val="00051E95"/>
    <w:rsid w:val="0005241E"/>
    <w:rsid w:val="0005444A"/>
    <w:rsid w:val="00057E6F"/>
    <w:rsid w:val="00071042"/>
    <w:rsid w:val="00072475"/>
    <w:rsid w:val="000737E1"/>
    <w:rsid w:val="000738A7"/>
    <w:rsid w:val="00074081"/>
    <w:rsid w:val="00081277"/>
    <w:rsid w:val="0008531A"/>
    <w:rsid w:val="000906D1"/>
    <w:rsid w:val="00094F60"/>
    <w:rsid w:val="000961DB"/>
    <w:rsid w:val="000A168B"/>
    <w:rsid w:val="000A7239"/>
    <w:rsid w:val="000C1D12"/>
    <w:rsid w:val="000C334A"/>
    <w:rsid w:val="000D01B7"/>
    <w:rsid w:val="000D2CAC"/>
    <w:rsid w:val="000E4B86"/>
    <w:rsid w:val="000F5180"/>
    <w:rsid w:val="000F6521"/>
    <w:rsid w:val="000F7062"/>
    <w:rsid w:val="000F77D3"/>
    <w:rsid w:val="00101F0C"/>
    <w:rsid w:val="001046A4"/>
    <w:rsid w:val="001162B8"/>
    <w:rsid w:val="0012184D"/>
    <w:rsid w:val="00126B94"/>
    <w:rsid w:val="0012759D"/>
    <w:rsid w:val="001335DF"/>
    <w:rsid w:val="0013575A"/>
    <w:rsid w:val="00137FA4"/>
    <w:rsid w:val="00140C27"/>
    <w:rsid w:val="00143184"/>
    <w:rsid w:val="00152DD2"/>
    <w:rsid w:val="001678D7"/>
    <w:rsid w:val="00173BFC"/>
    <w:rsid w:val="00176471"/>
    <w:rsid w:val="001834ED"/>
    <w:rsid w:val="00190C2F"/>
    <w:rsid w:val="00193AA3"/>
    <w:rsid w:val="00195007"/>
    <w:rsid w:val="00197948"/>
    <w:rsid w:val="001A0AAD"/>
    <w:rsid w:val="001A45E3"/>
    <w:rsid w:val="001A74B8"/>
    <w:rsid w:val="001B1085"/>
    <w:rsid w:val="001B4F1C"/>
    <w:rsid w:val="001C4AAC"/>
    <w:rsid w:val="001C5EB4"/>
    <w:rsid w:val="001D69EC"/>
    <w:rsid w:val="00214E86"/>
    <w:rsid w:val="002175A7"/>
    <w:rsid w:val="00220EFA"/>
    <w:rsid w:val="00245DB6"/>
    <w:rsid w:val="002475A1"/>
    <w:rsid w:val="00253CEF"/>
    <w:rsid w:val="0026547C"/>
    <w:rsid w:val="00266F50"/>
    <w:rsid w:val="00274F5D"/>
    <w:rsid w:val="00280050"/>
    <w:rsid w:val="002820EE"/>
    <w:rsid w:val="00282B6C"/>
    <w:rsid w:val="002B0C10"/>
    <w:rsid w:val="002B2436"/>
    <w:rsid w:val="002B25A2"/>
    <w:rsid w:val="002B66D7"/>
    <w:rsid w:val="002B7989"/>
    <w:rsid w:val="002C13AF"/>
    <w:rsid w:val="002D6271"/>
    <w:rsid w:val="002E1A2A"/>
    <w:rsid w:val="002E4751"/>
    <w:rsid w:val="002F2B32"/>
    <w:rsid w:val="002F5A38"/>
    <w:rsid w:val="002F7392"/>
    <w:rsid w:val="00307623"/>
    <w:rsid w:val="00310A86"/>
    <w:rsid w:val="00316616"/>
    <w:rsid w:val="0032417F"/>
    <w:rsid w:val="00331463"/>
    <w:rsid w:val="00336191"/>
    <w:rsid w:val="00346B14"/>
    <w:rsid w:val="00353FCC"/>
    <w:rsid w:val="00355760"/>
    <w:rsid w:val="00367A93"/>
    <w:rsid w:val="0037013A"/>
    <w:rsid w:val="00371CDB"/>
    <w:rsid w:val="00374515"/>
    <w:rsid w:val="00390C89"/>
    <w:rsid w:val="00394203"/>
    <w:rsid w:val="003944D4"/>
    <w:rsid w:val="00397AE8"/>
    <w:rsid w:val="003A32A8"/>
    <w:rsid w:val="003A4778"/>
    <w:rsid w:val="003B0FAC"/>
    <w:rsid w:val="003C0B49"/>
    <w:rsid w:val="003C1957"/>
    <w:rsid w:val="003C4E6F"/>
    <w:rsid w:val="003D311B"/>
    <w:rsid w:val="003D52A7"/>
    <w:rsid w:val="003E5797"/>
    <w:rsid w:val="003E6CF4"/>
    <w:rsid w:val="003E774C"/>
    <w:rsid w:val="003F20EE"/>
    <w:rsid w:val="003F4A79"/>
    <w:rsid w:val="003F6873"/>
    <w:rsid w:val="0040219D"/>
    <w:rsid w:val="00405D4D"/>
    <w:rsid w:val="004132BC"/>
    <w:rsid w:val="0042760D"/>
    <w:rsid w:val="004317F9"/>
    <w:rsid w:val="004325C8"/>
    <w:rsid w:val="0043774C"/>
    <w:rsid w:val="004428FF"/>
    <w:rsid w:val="00442A1C"/>
    <w:rsid w:val="00452E60"/>
    <w:rsid w:val="00456A4B"/>
    <w:rsid w:val="00461A90"/>
    <w:rsid w:val="00464D67"/>
    <w:rsid w:val="004869C5"/>
    <w:rsid w:val="004A5C87"/>
    <w:rsid w:val="004B2085"/>
    <w:rsid w:val="004B22ED"/>
    <w:rsid w:val="004B787D"/>
    <w:rsid w:val="004C5239"/>
    <w:rsid w:val="004C5AE4"/>
    <w:rsid w:val="004D52F9"/>
    <w:rsid w:val="004F2C97"/>
    <w:rsid w:val="005060C7"/>
    <w:rsid w:val="005162FE"/>
    <w:rsid w:val="005163AC"/>
    <w:rsid w:val="00526C03"/>
    <w:rsid w:val="00532B18"/>
    <w:rsid w:val="00532FE8"/>
    <w:rsid w:val="00535628"/>
    <w:rsid w:val="00541D0C"/>
    <w:rsid w:val="005553BD"/>
    <w:rsid w:val="005557D5"/>
    <w:rsid w:val="00571F3E"/>
    <w:rsid w:val="00573BFE"/>
    <w:rsid w:val="00576DD8"/>
    <w:rsid w:val="00591356"/>
    <w:rsid w:val="00591554"/>
    <w:rsid w:val="0059353C"/>
    <w:rsid w:val="005A01CF"/>
    <w:rsid w:val="005A0238"/>
    <w:rsid w:val="005A0D28"/>
    <w:rsid w:val="005A4D9C"/>
    <w:rsid w:val="005C056D"/>
    <w:rsid w:val="005C0FF9"/>
    <w:rsid w:val="005C2F42"/>
    <w:rsid w:val="005C6712"/>
    <w:rsid w:val="005D2800"/>
    <w:rsid w:val="005D67C0"/>
    <w:rsid w:val="005F1BD6"/>
    <w:rsid w:val="005F2D4F"/>
    <w:rsid w:val="005F324F"/>
    <w:rsid w:val="005F4175"/>
    <w:rsid w:val="005F4654"/>
    <w:rsid w:val="005F4A2D"/>
    <w:rsid w:val="00607937"/>
    <w:rsid w:val="00624942"/>
    <w:rsid w:val="00635C2D"/>
    <w:rsid w:val="006372F3"/>
    <w:rsid w:val="00642072"/>
    <w:rsid w:val="00646894"/>
    <w:rsid w:val="00646F4C"/>
    <w:rsid w:val="00654E36"/>
    <w:rsid w:val="006561B1"/>
    <w:rsid w:val="006722D0"/>
    <w:rsid w:val="00674361"/>
    <w:rsid w:val="006778E8"/>
    <w:rsid w:val="006816B4"/>
    <w:rsid w:val="006851D9"/>
    <w:rsid w:val="00685227"/>
    <w:rsid w:val="00695C2D"/>
    <w:rsid w:val="00695DEC"/>
    <w:rsid w:val="006B0F2C"/>
    <w:rsid w:val="006B2F09"/>
    <w:rsid w:val="006B3F03"/>
    <w:rsid w:val="006B650E"/>
    <w:rsid w:val="006C0F3E"/>
    <w:rsid w:val="006C3775"/>
    <w:rsid w:val="006C7595"/>
    <w:rsid w:val="006D21A5"/>
    <w:rsid w:val="006E383D"/>
    <w:rsid w:val="006E7A44"/>
    <w:rsid w:val="006F0222"/>
    <w:rsid w:val="006F324E"/>
    <w:rsid w:val="00713C6E"/>
    <w:rsid w:val="0071406E"/>
    <w:rsid w:val="007156F7"/>
    <w:rsid w:val="00721D3F"/>
    <w:rsid w:val="007225D6"/>
    <w:rsid w:val="00724AA5"/>
    <w:rsid w:val="00725443"/>
    <w:rsid w:val="00725BB1"/>
    <w:rsid w:val="0073275B"/>
    <w:rsid w:val="00740029"/>
    <w:rsid w:val="00740D46"/>
    <w:rsid w:val="0074426A"/>
    <w:rsid w:val="00751FC0"/>
    <w:rsid w:val="00755A45"/>
    <w:rsid w:val="007577BF"/>
    <w:rsid w:val="007604DE"/>
    <w:rsid w:val="007701B5"/>
    <w:rsid w:val="0077044C"/>
    <w:rsid w:val="007711CB"/>
    <w:rsid w:val="00775692"/>
    <w:rsid w:val="00776A37"/>
    <w:rsid w:val="00795B03"/>
    <w:rsid w:val="00797FFA"/>
    <w:rsid w:val="007A3810"/>
    <w:rsid w:val="007A5297"/>
    <w:rsid w:val="007B482C"/>
    <w:rsid w:val="007B4CC9"/>
    <w:rsid w:val="007B5082"/>
    <w:rsid w:val="007C3A33"/>
    <w:rsid w:val="007C5922"/>
    <w:rsid w:val="007D4AA4"/>
    <w:rsid w:val="007F29A6"/>
    <w:rsid w:val="007F59A4"/>
    <w:rsid w:val="00803B3A"/>
    <w:rsid w:val="00804EFC"/>
    <w:rsid w:val="0081734A"/>
    <w:rsid w:val="00822820"/>
    <w:rsid w:val="0082782F"/>
    <w:rsid w:val="00827C11"/>
    <w:rsid w:val="00830440"/>
    <w:rsid w:val="00830BC9"/>
    <w:rsid w:val="00833177"/>
    <w:rsid w:val="008377F7"/>
    <w:rsid w:val="008379B2"/>
    <w:rsid w:val="00837D29"/>
    <w:rsid w:val="00842447"/>
    <w:rsid w:val="00843E20"/>
    <w:rsid w:val="00863B38"/>
    <w:rsid w:val="00866A1B"/>
    <w:rsid w:val="00867D8D"/>
    <w:rsid w:val="008751FF"/>
    <w:rsid w:val="00876BC9"/>
    <w:rsid w:val="00886CBA"/>
    <w:rsid w:val="00890A8F"/>
    <w:rsid w:val="0089522F"/>
    <w:rsid w:val="008B1A67"/>
    <w:rsid w:val="008B5CF2"/>
    <w:rsid w:val="008B6EA4"/>
    <w:rsid w:val="008B73C6"/>
    <w:rsid w:val="008C4B02"/>
    <w:rsid w:val="008E0BB5"/>
    <w:rsid w:val="008E3064"/>
    <w:rsid w:val="008E3D66"/>
    <w:rsid w:val="008F3239"/>
    <w:rsid w:val="008F69E6"/>
    <w:rsid w:val="008F7CCC"/>
    <w:rsid w:val="00900869"/>
    <w:rsid w:val="00907896"/>
    <w:rsid w:val="0091728B"/>
    <w:rsid w:val="00922E45"/>
    <w:rsid w:val="00925B8D"/>
    <w:rsid w:val="00930702"/>
    <w:rsid w:val="00931A86"/>
    <w:rsid w:val="00933027"/>
    <w:rsid w:val="0093503A"/>
    <w:rsid w:val="00944F2A"/>
    <w:rsid w:val="00945BAD"/>
    <w:rsid w:val="009507A9"/>
    <w:rsid w:val="00952ADE"/>
    <w:rsid w:val="00953DCA"/>
    <w:rsid w:val="00955280"/>
    <w:rsid w:val="00955D92"/>
    <w:rsid w:val="00956F3F"/>
    <w:rsid w:val="00960763"/>
    <w:rsid w:val="0096126E"/>
    <w:rsid w:val="0096142F"/>
    <w:rsid w:val="00962B01"/>
    <w:rsid w:val="00967C77"/>
    <w:rsid w:val="009769CE"/>
    <w:rsid w:val="00985D55"/>
    <w:rsid w:val="009A46E7"/>
    <w:rsid w:val="009A7A15"/>
    <w:rsid w:val="009B4460"/>
    <w:rsid w:val="009B4A03"/>
    <w:rsid w:val="009C031D"/>
    <w:rsid w:val="009C19B8"/>
    <w:rsid w:val="009D06A2"/>
    <w:rsid w:val="009D1DEA"/>
    <w:rsid w:val="009D3083"/>
    <w:rsid w:val="009E3502"/>
    <w:rsid w:val="009F0C60"/>
    <w:rsid w:val="00A058C9"/>
    <w:rsid w:val="00A07851"/>
    <w:rsid w:val="00A15B31"/>
    <w:rsid w:val="00A24502"/>
    <w:rsid w:val="00A25E48"/>
    <w:rsid w:val="00A27D25"/>
    <w:rsid w:val="00A314BF"/>
    <w:rsid w:val="00A330C3"/>
    <w:rsid w:val="00A426E4"/>
    <w:rsid w:val="00A57521"/>
    <w:rsid w:val="00A60108"/>
    <w:rsid w:val="00A629AF"/>
    <w:rsid w:val="00A630BE"/>
    <w:rsid w:val="00A64754"/>
    <w:rsid w:val="00A64DCF"/>
    <w:rsid w:val="00A663D3"/>
    <w:rsid w:val="00A671B8"/>
    <w:rsid w:val="00A70154"/>
    <w:rsid w:val="00A77063"/>
    <w:rsid w:val="00A823AA"/>
    <w:rsid w:val="00A944E5"/>
    <w:rsid w:val="00A95DE1"/>
    <w:rsid w:val="00AA00DC"/>
    <w:rsid w:val="00AA24B7"/>
    <w:rsid w:val="00AA56CD"/>
    <w:rsid w:val="00AA6E89"/>
    <w:rsid w:val="00AB075C"/>
    <w:rsid w:val="00AB679E"/>
    <w:rsid w:val="00AC4750"/>
    <w:rsid w:val="00AC507B"/>
    <w:rsid w:val="00AD3672"/>
    <w:rsid w:val="00AD522B"/>
    <w:rsid w:val="00AE1676"/>
    <w:rsid w:val="00AE1C7F"/>
    <w:rsid w:val="00AE4F99"/>
    <w:rsid w:val="00AE5778"/>
    <w:rsid w:val="00AE585E"/>
    <w:rsid w:val="00AE75E3"/>
    <w:rsid w:val="00AF0A77"/>
    <w:rsid w:val="00AF3BE7"/>
    <w:rsid w:val="00AF5826"/>
    <w:rsid w:val="00B01E2E"/>
    <w:rsid w:val="00B15A02"/>
    <w:rsid w:val="00B2130C"/>
    <w:rsid w:val="00B25856"/>
    <w:rsid w:val="00B27F54"/>
    <w:rsid w:val="00B30BF6"/>
    <w:rsid w:val="00B32499"/>
    <w:rsid w:val="00B44A7B"/>
    <w:rsid w:val="00B47844"/>
    <w:rsid w:val="00B51FFB"/>
    <w:rsid w:val="00B564ED"/>
    <w:rsid w:val="00B621E3"/>
    <w:rsid w:val="00B67ED2"/>
    <w:rsid w:val="00B7786E"/>
    <w:rsid w:val="00B85228"/>
    <w:rsid w:val="00B9269B"/>
    <w:rsid w:val="00B92C24"/>
    <w:rsid w:val="00B93B68"/>
    <w:rsid w:val="00B949D0"/>
    <w:rsid w:val="00BC4D32"/>
    <w:rsid w:val="00BC75AD"/>
    <w:rsid w:val="00BD242E"/>
    <w:rsid w:val="00BD584A"/>
    <w:rsid w:val="00BE574B"/>
    <w:rsid w:val="00BE6AC7"/>
    <w:rsid w:val="00BE79F1"/>
    <w:rsid w:val="00BF1216"/>
    <w:rsid w:val="00BF692A"/>
    <w:rsid w:val="00C05490"/>
    <w:rsid w:val="00C05941"/>
    <w:rsid w:val="00C1043E"/>
    <w:rsid w:val="00C10C34"/>
    <w:rsid w:val="00C32DCE"/>
    <w:rsid w:val="00C36BAC"/>
    <w:rsid w:val="00C40508"/>
    <w:rsid w:val="00C43BCC"/>
    <w:rsid w:val="00C47089"/>
    <w:rsid w:val="00C665F6"/>
    <w:rsid w:val="00C82E1D"/>
    <w:rsid w:val="00C84259"/>
    <w:rsid w:val="00C92A31"/>
    <w:rsid w:val="00C9498B"/>
    <w:rsid w:val="00CA7F33"/>
    <w:rsid w:val="00CB53BD"/>
    <w:rsid w:val="00CB7D6F"/>
    <w:rsid w:val="00CC3F04"/>
    <w:rsid w:val="00CD3DF2"/>
    <w:rsid w:val="00CD6FF1"/>
    <w:rsid w:val="00CE00BA"/>
    <w:rsid w:val="00CE3002"/>
    <w:rsid w:val="00CF2A5C"/>
    <w:rsid w:val="00CF58FE"/>
    <w:rsid w:val="00CF70EC"/>
    <w:rsid w:val="00CF78B8"/>
    <w:rsid w:val="00D013FF"/>
    <w:rsid w:val="00D25A96"/>
    <w:rsid w:val="00D307CE"/>
    <w:rsid w:val="00D31BE3"/>
    <w:rsid w:val="00D35A63"/>
    <w:rsid w:val="00D41015"/>
    <w:rsid w:val="00D50D52"/>
    <w:rsid w:val="00D51CF3"/>
    <w:rsid w:val="00D558A1"/>
    <w:rsid w:val="00D57F1B"/>
    <w:rsid w:val="00D65070"/>
    <w:rsid w:val="00D653A4"/>
    <w:rsid w:val="00D6742A"/>
    <w:rsid w:val="00D701AC"/>
    <w:rsid w:val="00D738A2"/>
    <w:rsid w:val="00D7466A"/>
    <w:rsid w:val="00D83B61"/>
    <w:rsid w:val="00D87891"/>
    <w:rsid w:val="00D910E2"/>
    <w:rsid w:val="00D93F1B"/>
    <w:rsid w:val="00DA1A8C"/>
    <w:rsid w:val="00DA57F4"/>
    <w:rsid w:val="00DB377A"/>
    <w:rsid w:val="00DC29E2"/>
    <w:rsid w:val="00DD1AF4"/>
    <w:rsid w:val="00DD213F"/>
    <w:rsid w:val="00DD5774"/>
    <w:rsid w:val="00DE45AC"/>
    <w:rsid w:val="00DE63AC"/>
    <w:rsid w:val="00DF0B53"/>
    <w:rsid w:val="00DF193B"/>
    <w:rsid w:val="00DF2F1F"/>
    <w:rsid w:val="00E038FF"/>
    <w:rsid w:val="00E10709"/>
    <w:rsid w:val="00E209C7"/>
    <w:rsid w:val="00E272B2"/>
    <w:rsid w:val="00E32B92"/>
    <w:rsid w:val="00E37FDB"/>
    <w:rsid w:val="00E46C36"/>
    <w:rsid w:val="00E53640"/>
    <w:rsid w:val="00E538B9"/>
    <w:rsid w:val="00E5518D"/>
    <w:rsid w:val="00E7666C"/>
    <w:rsid w:val="00E833E4"/>
    <w:rsid w:val="00E83BE1"/>
    <w:rsid w:val="00E85DE9"/>
    <w:rsid w:val="00E85FBA"/>
    <w:rsid w:val="00E86948"/>
    <w:rsid w:val="00E8705B"/>
    <w:rsid w:val="00E91573"/>
    <w:rsid w:val="00E936BE"/>
    <w:rsid w:val="00E9643E"/>
    <w:rsid w:val="00EA59C3"/>
    <w:rsid w:val="00EB2D59"/>
    <w:rsid w:val="00EB591B"/>
    <w:rsid w:val="00EC4DE0"/>
    <w:rsid w:val="00ED0A10"/>
    <w:rsid w:val="00ED0A2B"/>
    <w:rsid w:val="00ED3D16"/>
    <w:rsid w:val="00EE3837"/>
    <w:rsid w:val="00EE4621"/>
    <w:rsid w:val="00EF46F4"/>
    <w:rsid w:val="00F00631"/>
    <w:rsid w:val="00F07DAD"/>
    <w:rsid w:val="00F111DF"/>
    <w:rsid w:val="00F14BF1"/>
    <w:rsid w:val="00F14D6C"/>
    <w:rsid w:val="00F1552E"/>
    <w:rsid w:val="00F178BE"/>
    <w:rsid w:val="00F30B58"/>
    <w:rsid w:val="00F30EB7"/>
    <w:rsid w:val="00F34834"/>
    <w:rsid w:val="00F357D5"/>
    <w:rsid w:val="00F36E3E"/>
    <w:rsid w:val="00F42642"/>
    <w:rsid w:val="00F44AA6"/>
    <w:rsid w:val="00F61C29"/>
    <w:rsid w:val="00F67D6A"/>
    <w:rsid w:val="00F763A0"/>
    <w:rsid w:val="00F83C64"/>
    <w:rsid w:val="00F86D24"/>
    <w:rsid w:val="00F87CA5"/>
    <w:rsid w:val="00F907A5"/>
    <w:rsid w:val="00FA3065"/>
    <w:rsid w:val="00FA3B67"/>
    <w:rsid w:val="00FA5E4F"/>
    <w:rsid w:val="00FB06D0"/>
    <w:rsid w:val="00FB2DB7"/>
    <w:rsid w:val="00FC125D"/>
    <w:rsid w:val="00FC6BF4"/>
    <w:rsid w:val="00FE4150"/>
    <w:rsid w:val="00FF195D"/>
    <w:rsid w:val="00FF7D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CFDE5"/>
  <w15:chartTrackingRefBased/>
  <w15:docId w15:val="{E24E7178-0BEF-4D26-BDBC-313A2719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191"/>
    <w:pPr>
      <w:spacing w:before="120" w:after="120" w:line="240" w:lineRule="auto"/>
    </w:pPr>
    <w:rPr>
      <w:rFonts w:ascii="Segoe UI" w:hAnsi="Segoe UI" w:cs="Segoe UI"/>
      <w:color w:val="313131"/>
    </w:rPr>
  </w:style>
  <w:style w:type="paragraph" w:styleId="Heading1">
    <w:name w:val="heading 1"/>
    <w:basedOn w:val="Normal"/>
    <w:next w:val="Normal"/>
    <w:link w:val="Heading1Char"/>
    <w:uiPriority w:val="9"/>
    <w:qFormat/>
    <w:rsid w:val="00886CBA"/>
    <w:pPr>
      <w:spacing w:before="240"/>
      <w:outlineLvl w:val="0"/>
    </w:pPr>
    <w:rPr>
      <w:b/>
      <w:bCs/>
      <w:kern w:val="36"/>
      <w:sz w:val="48"/>
      <w:szCs w:val="48"/>
    </w:rPr>
  </w:style>
  <w:style w:type="paragraph" w:styleId="Heading2">
    <w:name w:val="heading 2"/>
    <w:basedOn w:val="Normal"/>
    <w:next w:val="Normal"/>
    <w:link w:val="Heading2Char"/>
    <w:uiPriority w:val="9"/>
    <w:qFormat/>
    <w:rsid w:val="00573BFE"/>
    <w:pPr>
      <w:spacing w:before="240" w:after="0"/>
      <w:outlineLvl w:val="1"/>
    </w:pPr>
    <w:rPr>
      <w:b/>
      <w:bCs/>
    </w:rPr>
  </w:style>
  <w:style w:type="paragraph" w:styleId="Heading3">
    <w:name w:val="heading 3"/>
    <w:basedOn w:val="Normal"/>
    <w:next w:val="Normal"/>
    <w:link w:val="Heading3Char"/>
    <w:uiPriority w:val="9"/>
    <w:qFormat/>
    <w:rsid w:val="00057E6F"/>
    <w:pPr>
      <w:shd w:val="clear" w:color="auto" w:fill="FFFFFF"/>
      <w:outlineLvl w:val="2"/>
    </w:pPr>
    <w:rPr>
      <w:b/>
      <w:bCs/>
      <w:sz w:val="27"/>
      <w:szCs w:val="27"/>
    </w:rPr>
  </w:style>
  <w:style w:type="paragraph" w:styleId="Heading4">
    <w:name w:val="heading 4"/>
    <w:basedOn w:val="Heading3"/>
    <w:next w:val="Normal"/>
    <w:link w:val="Heading4Char"/>
    <w:uiPriority w:val="9"/>
    <w:unhideWhenUsed/>
    <w:qFormat/>
    <w:rsid w:val="00803B3A"/>
    <w:pPr>
      <w:keepNext/>
      <w:outlineLvl w:val="3"/>
    </w:pPr>
    <w:rPr>
      <w:b w:val="0"/>
      <w:bCs w:val="0"/>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CBA"/>
    <w:rPr>
      <w:rFonts w:ascii="Segoe UI" w:hAnsi="Segoe UI" w:cs="Segoe UI"/>
      <w:b/>
      <w:bCs/>
      <w:color w:val="313131"/>
      <w:kern w:val="36"/>
      <w:sz w:val="48"/>
      <w:szCs w:val="48"/>
    </w:rPr>
  </w:style>
  <w:style w:type="character" w:customStyle="1" w:styleId="Heading2Char">
    <w:name w:val="Heading 2 Char"/>
    <w:basedOn w:val="DefaultParagraphFont"/>
    <w:link w:val="Heading2"/>
    <w:uiPriority w:val="9"/>
    <w:rsid w:val="00573BFE"/>
    <w:rPr>
      <w:rFonts w:ascii="Segoe UI" w:hAnsi="Segoe UI" w:cs="Segoe UI"/>
      <w:b/>
      <w:bCs/>
      <w:color w:val="313131"/>
    </w:rPr>
  </w:style>
  <w:style w:type="character" w:customStyle="1" w:styleId="Heading3Char">
    <w:name w:val="Heading 3 Char"/>
    <w:basedOn w:val="DefaultParagraphFont"/>
    <w:link w:val="Heading3"/>
    <w:uiPriority w:val="9"/>
    <w:rsid w:val="00057E6F"/>
    <w:rPr>
      <w:rFonts w:ascii="Segoe UI" w:eastAsia="Times New Roman" w:hAnsi="Segoe UI" w:cs="Segoe UI"/>
      <w:b/>
      <w:bCs/>
      <w:color w:val="313131"/>
      <w:sz w:val="27"/>
      <w:szCs w:val="27"/>
      <w:shd w:val="clear" w:color="auto" w:fill="FFFFFF"/>
      <w:lang w:eastAsia="en-AU"/>
    </w:rPr>
  </w:style>
  <w:style w:type="character" w:styleId="Hyperlink">
    <w:name w:val="Hyperlink"/>
    <w:basedOn w:val="DefaultParagraphFont"/>
    <w:uiPriority w:val="99"/>
    <w:unhideWhenUsed/>
    <w:rsid w:val="00057E6F"/>
    <w:rPr>
      <w:color w:val="0000FF"/>
      <w:u w:val="single"/>
    </w:rPr>
  </w:style>
  <w:style w:type="paragraph" w:styleId="NormalWeb">
    <w:name w:val="Normal (Web)"/>
    <w:basedOn w:val="Normal"/>
    <w:uiPriority w:val="99"/>
    <w:unhideWhenUsed/>
    <w:rsid w:val="00057E6F"/>
  </w:style>
  <w:style w:type="character" w:styleId="Strong">
    <w:name w:val="Strong"/>
    <w:basedOn w:val="DefaultParagraphFont"/>
    <w:uiPriority w:val="22"/>
    <w:qFormat/>
    <w:rsid w:val="00057E6F"/>
    <w:rPr>
      <w:b/>
      <w:bCs/>
    </w:rPr>
  </w:style>
  <w:style w:type="character" w:customStyle="1" w:styleId="Heading4Char">
    <w:name w:val="Heading 4 Char"/>
    <w:basedOn w:val="DefaultParagraphFont"/>
    <w:link w:val="Heading4"/>
    <w:uiPriority w:val="9"/>
    <w:rsid w:val="00803B3A"/>
    <w:rPr>
      <w:rFonts w:ascii="Segoe UI" w:hAnsi="Segoe UI" w:cs="Segoe UI"/>
      <w:i/>
      <w:iCs/>
      <w:color w:val="313131"/>
      <w:sz w:val="22"/>
      <w:szCs w:val="22"/>
      <w:shd w:val="clear" w:color="auto" w:fill="FFFFFF"/>
    </w:rPr>
  </w:style>
  <w:style w:type="paragraph" w:styleId="ListParagraph">
    <w:name w:val="List Paragraph"/>
    <w:basedOn w:val="Normal"/>
    <w:uiPriority w:val="34"/>
    <w:qFormat/>
    <w:rsid w:val="00057E6F"/>
    <w:pPr>
      <w:ind w:left="720"/>
      <w:contextualSpacing/>
    </w:pPr>
  </w:style>
  <w:style w:type="character" w:styleId="CommentReference">
    <w:name w:val="annotation reference"/>
    <w:basedOn w:val="DefaultParagraphFont"/>
    <w:uiPriority w:val="99"/>
    <w:semiHidden/>
    <w:unhideWhenUsed/>
    <w:rsid w:val="00BD584A"/>
    <w:rPr>
      <w:sz w:val="16"/>
      <w:szCs w:val="16"/>
    </w:rPr>
  </w:style>
  <w:style w:type="paragraph" w:styleId="CommentText">
    <w:name w:val="annotation text"/>
    <w:basedOn w:val="Normal"/>
    <w:link w:val="CommentTextChar"/>
    <w:uiPriority w:val="99"/>
    <w:unhideWhenUsed/>
    <w:rsid w:val="00BD584A"/>
    <w:rPr>
      <w:sz w:val="20"/>
      <w:szCs w:val="20"/>
    </w:rPr>
  </w:style>
  <w:style w:type="character" w:customStyle="1" w:styleId="CommentTextChar">
    <w:name w:val="Comment Text Char"/>
    <w:basedOn w:val="DefaultParagraphFont"/>
    <w:link w:val="CommentText"/>
    <w:uiPriority w:val="99"/>
    <w:rsid w:val="00BD584A"/>
    <w:rPr>
      <w:rFonts w:ascii="Segoe UI" w:eastAsia="Times New Roman" w:hAnsi="Segoe UI" w:cs="Segoe UI"/>
      <w:color w:val="313131"/>
      <w:sz w:val="20"/>
      <w:szCs w:val="20"/>
      <w:lang w:eastAsia="en-AU"/>
    </w:rPr>
  </w:style>
  <w:style w:type="paragraph" w:styleId="CommentSubject">
    <w:name w:val="annotation subject"/>
    <w:basedOn w:val="CommentText"/>
    <w:next w:val="CommentText"/>
    <w:link w:val="CommentSubjectChar"/>
    <w:uiPriority w:val="99"/>
    <w:semiHidden/>
    <w:unhideWhenUsed/>
    <w:rsid w:val="00BD584A"/>
    <w:rPr>
      <w:b/>
      <w:bCs/>
    </w:rPr>
  </w:style>
  <w:style w:type="character" w:customStyle="1" w:styleId="CommentSubjectChar">
    <w:name w:val="Comment Subject Char"/>
    <w:basedOn w:val="CommentTextChar"/>
    <w:link w:val="CommentSubject"/>
    <w:uiPriority w:val="99"/>
    <w:semiHidden/>
    <w:rsid w:val="00BD584A"/>
    <w:rPr>
      <w:rFonts w:ascii="Segoe UI" w:eastAsia="Times New Roman" w:hAnsi="Segoe UI" w:cs="Segoe UI"/>
      <w:b/>
      <w:bCs/>
      <w:color w:val="313131"/>
      <w:sz w:val="20"/>
      <w:szCs w:val="20"/>
      <w:lang w:eastAsia="en-AU"/>
    </w:rPr>
  </w:style>
  <w:style w:type="paragraph" w:styleId="BalloonText">
    <w:name w:val="Balloon Text"/>
    <w:basedOn w:val="Normal"/>
    <w:link w:val="BalloonTextChar"/>
    <w:uiPriority w:val="99"/>
    <w:semiHidden/>
    <w:unhideWhenUsed/>
    <w:rsid w:val="00BD584A"/>
    <w:pPr>
      <w:spacing w:after="0"/>
    </w:pPr>
    <w:rPr>
      <w:sz w:val="18"/>
      <w:szCs w:val="18"/>
    </w:rPr>
  </w:style>
  <w:style w:type="character" w:customStyle="1" w:styleId="BalloonTextChar">
    <w:name w:val="Balloon Text Char"/>
    <w:basedOn w:val="DefaultParagraphFont"/>
    <w:link w:val="BalloonText"/>
    <w:uiPriority w:val="99"/>
    <w:semiHidden/>
    <w:rsid w:val="00BD584A"/>
    <w:rPr>
      <w:rFonts w:ascii="Segoe UI" w:eastAsia="Times New Roman" w:hAnsi="Segoe UI" w:cs="Segoe UI"/>
      <w:color w:val="313131"/>
      <w:sz w:val="18"/>
      <w:szCs w:val="18"/>
      <w:lang w:eastAsia="en-AU"/>
    </w:rPr>
  </w:style>
  <w:style w:type="paragraph" w:customStyle="1" w:styleId="Onthispagemenuitem">
    <w:name w:val="On this page menu item"/>
    <w:basedOn w:val="NoSpacing"/>
    <w:rsid w:val="00962B01"/>
    <w:pPr>
      <w:pBdr>
        <w:left w:val="single" w:sz="24" w:space="5" w:color="2E74B5" w:themeColor="accent1" w:themeShade="BF"/>
      </w:pBdr>
      <w:spacing w:before="100" w:after="100"/>
      <w:contextualSpacing/>
    </w:pPr>
  </w:style>
  <w:style w:type="paragraph" w:styleId="NoSpacing">
    <w:name w:val="No Spacing"/>
    <w:uiPriority w:val="1"/>
    <w:qFormat/>
    <w:rsid w:val="00962B01"/>
    <w:pPr>
      <w:spacing w:beforeAutospacing="1" w:after="0" w:afterAutospacing="1" w:line="240" w:lineRule="auto"/>
    </w:pPr>
    <w:rPr>
      <w:rFonts w:ascii="Segoe UI" w:eastAsia="Times New Roman" w:hAnsi="Segoe UI" w:cs="Segoe UI"/>
      <w:color w:val="313131"/>
      <w:lang w:eastAsia="en-AU"/>
    </w:rPr>
  </w:style>
  <w:style w:type="paragraph" w:styleId="Header">
    <w:name w:val="header"/>
    <w:basedOn w:val="Normal"/>
    <w:link w:val="HeaderChar"/>
    <w:uiPriority w:val="99"/>
    <w:unhideWhenUsed/>
    <w:rsid w:val="005F4A2D"/>
    <w:pPr>
      <w:tabs>
        <w:tab w:val="center" w:pos="4513"/>
        <w:tab w:val="right" w:pos="9026"/>
      </w:tabs>
      <w:spacing w:after="0"/>
    </w:pPr>
  </w:style>
  <w:style w:type="character" w:customStyle="1" w:styleId="HeaderChar">
    <w:name w:val="Header Char"/>
    <w:basedOn w:val="DefaultParagraphFont"/>
    <w:link w:val="Header"/>
    <w:uiPriority w:val="99"/>
    <w:rsid w:val="005F4A2D"/>
    <w:rPr>
      <w:rFonts w:ascii="Segoe UI" w:eastAsia="Times New Roman" w:hAnsi="Segoe UI" w:cs="Segoe UI"/>
      <w:color w:val="313131"/>
      <w:lang w:eastAsia="en-AU"/>
    </w:rPr>
  </w:style>
  <w:style w:type="paragraph" w:styleId="Footer">
    <w:name w:val="footer"/>
    <w:basedOn w:val="Normal"/>
    <w:link w:val="FooterChar"/>
    <w:uiPriority w:val="99"/>
    <w:unhideWhenUsed/>
    <w:rsid w:val="005F4A2D"/>
    <w:pPr>
      <w:tabs>
        <w:tab w:val="center" w:pos="4513"/>
        <w:tab w:val="right" w:pos="9026"/>
      </w:tabs>
      <w:spacing w:after="0"/>
    </w:pPr>
  </w:style>
  <w:style w:type="character" w:customStyle="1" w:styleId="FooterChar">
    <w:name w:val="Footer Char"/>
    <w:basedOn w:val="DefaultParagraphFont"/>
    <w:link w:val="Footer"/>
    <w:uiPriority w:val="99"/>
    <w:rsid w:val="005F4A2D"/>
    <w:rPr>
      <w:rFonts w:ascii="Segoe UI" w:eastAsia="Times New Roman" w:hAnsi="Segoe UI" w:cs="Segoe UI"/>
      <w:color w:val="313131"/>
      <w:lang w:eastAsia="en-AU"/>
    </w:rPr>
  </w:style>
  <w:style w:type="character" w:styleId="FollowedHyperlink">
    <w:name w:val="FollowedHyperlink"/>
    <w:basedOn w:val="DefaultParagraphFont"/>
    <w:uiPriority w:val="99"/>
    <w:semiHidden/>
    <w:unhideWhenUsed/>
    <w:rsid w:val="00B7786E"/>
    <w:rPr>
      <w:color w:val="954F72"/>
      <w:u w:val="single"/>
    </w:rPr>
  </w:style>
  <w:style w:type="paragraph" w:styleId="FootnoteText">
    <w:name w:val="footnote text"/>
    <w:basedOn w:val="Normal"/>
    <w:link w:val="FootnoteTextChar"/>
    <w:uiPriority w:val="99"/>
    <w:semiHidden/>
    <w:unhideWhenUsed/>
    <w:rsid w:val="00A426E4"/>
    <w:pPr>
      <w:spacing w:after="0"/>
    </w:pPr>
    <w:rPr>
      <w:sz w:val="20"/>
      <w:szCs w:val="20"/>
    </w:rPr>
  </w:style>
  <w:style w:type="character" w:customStyle="1" w:styleId="FootnoteTextChar">
    <w:name w:val="Footnote Text Char"/>
    <w:basedOn w:val="DefaultParagraphFont"/>
    <w:link w:val="FootnoteText"/>
    <w:uiPriority w:val="99"/>
    <w:semiHidden/>
    <w:rsid w:val="00A426E4"/>
    <w:rPr>
      <w:rFonts w:ascii="Segoe UI" w:eastAsia="Times New Roman" w:hAnsi="Segoe UI" w:cs="Segoe UI"/>
      <w:color w:val="313131"/>
      <w:sz w:val="20"/>
      <w:szCs w:val="20"/>
      <w:lang w:eastAsia="en-AU"/>
    </w:rPr>
  </w:style>
  <w:style w:type="character" w:styleId="FootnoteReference">
    <w:name w:val="footnote reference"/>
    <w:basedOn w:val="DefaultParagraphFont"/>
    <w:uiPriority w:val="99"/>
    <w:semiHidden/>
    <w:unhideWhenUsed/>
    <w:rsid w:val="00A426E4"/>
    <w:rPr>
      <w:vertAlign w:val="superscript"/>
    </w:rPr>
  </w:style>
  <w:style w:type="table" w:styleId="TableGridLight">
    <w:name w:val="Grid Table Light"/>
    <w:basedOn w:val="TableNormal"/>
    <w:uiPriority w:val="40"/>
    <w:rsid w:val="00D410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DE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45AC"/>
    <w:rPr>
      <w:color w:val="808080"/>
    </w:rPr>
  </w:style>
  <w:style w:type="character" w:styleId="UnresolvedMention">
    <w:name w:val="Unresolved Mention"/>
    <w:basedOn w:val="DefaultParagraphFont"/>
    <w:uiPriority w:val="99"/>
    <w:semiHidden/>
    <w:unhideWhenUsed/>
    <w:rsid w:val="00A330C3"/>
    <w:rPr>
      <w:color w:val="605E5C"/>
      <w:shd w:val="clear" w:color="auto" w:fill="E1DFDD"/>
    </w:rPr>
  </w:style>
  <w:style w:type="paragraph" w:customStyle="1" w:styleId="Default">
    <w:name w:val="Default"/>
    <w:rsid w:val="00CF2A5C"/>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C031D"/>
    <w:pPr>
      <w:spacing w:after="0" w:line="240" w:lineRule="auto"/>
    </w:pPr>
    <w:rPr>
      <w:rFonts w:ascii="Segoe UI" w:hAnsi="Segoe UI" w:cs="Segoe UI"/>
      <w:color w:val="3131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3343">
      <w:bodyDiv w:val="1"/>
      <w:marLeft w:val="0"/>
      <w:marRight w:val="0"/>
      <w:marTop w:val="0"/>
      <w:marBottom w:val="0"/>
      <w:divBdr>
        <w:top w:val="none" w:sz="0" w:space="0" w:color="auto"/>
        <w:left w:val="none" w:sz="0" w:space="0" w:color="auto"/>
        <w:bottom w:val="none" w:sz="0" w:space="0" w:color="auto"/>
        <w:right w:val="none" w:sz="0" w:space="0" w:color="auto"/>
      </w:divBdr>
    </w:div>
    <w:div w:id="120348986">
      <w:bodyDiv w:val="1"/>
      <w:marLeft w:val="0"/>
      <w:marRight w:val="0"/>
      <w:marTop w:val="0"/>
      <w:marBottom w:val="0"/>
      <w:divBdr>
        <w:top w:val="none" w:sz="0" w:space="0" w:color="auto"/>
        <w:left w:val="none" w:sz="0" w:space="0" w:color="auto"/>
        <w:bottom w:val="none" w:sz="0" w:space="0" w:color="auto"/>
        <w:right w:val="none" w:sz="0" w:space="0" w:color="auto"/>
      </w:divBdr>
    </w:div>
    <w:div w:id="312753720">
      <w:bodyDiv w:val="1"/>
      <w:marLeft w:val="0"/>
      <w:marRight w:val="0"/>
      <w:marTop w:val="0"/>
      <w:marBottom w:val="0"/>
      <w:divBdr>
        <w:top w:val="none" w:sz="0" w:space="0" w:color="auto"/>
        <w:left w:val="none" w:sz="0" w:space="0" w:color="auto"/>
        <w:bottom w:val="none" w:sz="0" w:space="0" w:color="auto"/>
        <w:right w:val="none" w:sz="0" w:space="0" w:color="auto"/>
      </w:divBdr>
    </w:div>
    <w:div w:id="324822909">
      <w:bodyDiv w:val="1"/>
      <w:marLeft w:val="0"/>
      <w:marRight w:val="0"/>
      <w:marTop w:val="0"/>
      <w:marBottom w:val="0"/>
      <w:divBdr>
        <w:top w:val="none" w:sz="0" w:space="0" w:color="auto"/>
        <w:left w:val="none" w:sz="0" w:space="0" w:color="auto"/>
        <w:bottom w:val="none" w:sz="0" w:space="0" w:color="auto"/>
        <w:right w:val="none" w:sz="0" w:space="0" w:color="auto"/>
      </w:divBdr>
    </w:div>
    <w:div w:id="359010943">
      <w:bodyDiv w:val="1"/>
      <w:marLeft w:val="0"/>
      <w:marRight w:val="0"/>
      <w:marTop w:val="0"/>
      <w:marBottom w:val="0"/>
      <w:divBdr>
        <w:top w:val="none" w:sz="0" w:space="0" w:color="auto"/>
        <w:left w:val="none" w:sz="0" w:space="0" w:color="auto"/>
        <w:bottom w:val="none" w:sz="0" w:space="0" w:color="auto"/>
        <w:right w:val="none" w:sz="0" w:space="0" w:color="auto"/>
      </w:divBdr>
    </w:div>
    <w:div w:id="409814137">
      <w:bodyDiv w:val="1"/>
      <w:marLeft w:val="0"/>
      <w:marRight w:val="0"/>
      <w:marTop w:val="0"/>
      <w:marBottom w:val="0"/>
      <w:divBdr>
        <w:top w:val="none" w:sz="0" w:space="0" w:color="auto"/>
        <w:left w:val="none" w:sz="0" w:space="0" w:color="auto"/>
        <w:bottom w:val="none" w:sz="0" w:space="0" w:color="auto"/>
        <w:right w:val="none" w:sz="0" w:space="0" w:color="auto"/>
      </w:divBdr>
    </w:div>
    <w:div w:id="468018580">
      <w:bodyDiv w:val="1"/>
      <w:marLeft w:val="0"/>
      <w:marRight w:val="0"/>
      <w:marTop w:val="0"/>
      <w:marBottom w:val="0"/>
      <w:divBdr>
        <w:top w:val="none" w:sz="0" w:space="0" w:color="auto"/>
        <w:left w:val="none" w:sz="0" w:space="0" w:color="auto"/>
        <w:bottom w:val="none" w:sz="0" w:space="0" w:color="auto"/>
        <w:right w:val="none" w:sz="0" w:space="0" w:color="auto"/>
      </w:divBdr>
    </w:div>
    <w:div w:id="856115328">
      <w:bodyDiv w:val="1"/>
      <w:marLeft w:val="0"/>
      <w:marRight w:val="0"/>
      <w:marTop w:val="0"/>
      <w:marBottom w:val="0"/>
      <w:divBdr>
        <w:top w:val="none" w:sz="0" w:space="0" w:color="auto"/>
        <w:left w:val="none" w:sz="0" w:space="0" w:color="auto"/>
        <w:bottom w:val="none" w:sz="0" w:space="0" w:color="auto"/>
        <w:right w:val="none" w:sz="0" w:space="0" w:color="auto"/>
      </w:divBdr>
    </w:div>
    <w:div w:id="944193457">
      <w:bodyDiv w:val="1"/>
      <w:marLeft w:val="0"/>
      <w:marRight w:val="0"/>
      <w:marTop w:val="0"/>
      <w:marBottom w:val="0"/>
      <w:divBdr>
        <w:top w:val="none" w:sz="0" w:space="0" w:color="auto"/>
        <w:left w:val="none" w:sz="0" w:space="0" w:color="auto"/>
        <w:bottom w:val="none" w:sz="0" w:space="0" w:color="auto"/>
        <w:right w:val="none" w:sz="0" w:space="0" w:color="auto"/>
      </w:divBdr>
    </w:div>
    <w:div w:id="983895869">
      <w:bodyDiv w:val="1"/>
      <w:marLeft w:val="0"/>
      <w:marRight w:val="0"/>
      <w:marTop w:val="0"/>
      <w:marBottom w:val="0"/>
      <w:divBdr>
        <w:top w:val="none" w:sz="0" w:space="0" w:color="auto"/>
        <w:left w:val="none" w:sz="0" w:space="0" w:color="auto"/>
        <w:bottom w:val="none" w:sz="0" w:space="0" w:color="auto"/>
        <w:right w:val="none" w:sz="0" w:space="0" w:color="auto"/>
      </w:divBdr>
    </w:div>
    <w:div w:id="1024944501">
      <w:bodyDiv w:val="1"/>
      <w:marLeft w:val="0"/>
      <w:marRight w:val="0"/>
      <w:marTop w:val="0"/>
      <w:marBottom w:val="0"/>
      <w:divBdr>
        <w:top w:val="none" w:sz="0" w:space="0" w:color="auto"/>
        <w:left w:val="none" w:sz="0" w:space="0" w:color="auto"/>
        <w:bottom w:val="none" w:sz="0" w:space="0" w:color="auto"/>
        <w:right w:val="none" w:sz="0" w:space="0" w:color="auto"/>
      </w:divBdr>
    </w:div>
    <w:div w:id="1043675444">
      <w:bodyDiv w:val="1"/>
      <w:marLeft w:val="0"/>
      <w:marRight w:val="0"/>
      <w:marTop w:val="0"/>
      <w:marBottom w:val="0"/>
      <w:divBdr>
        <w:top w:val="none" w:sz="0" w:space="0" w:color="auto"/>
        <w:left w:val="none" w:sz="0" w:space="0" w:color="auto"/>
        <w:bottom w:val="none" w:sz="0" w:space="0" w:color="auto"/>
        <w:right w:val="none" w:sz="0" w:space="0" w:color="auto"/>
      </w:divBdr>
    </w:div>
    <w:div w:id="1051265418">
      <w:bodyDiv w:val="1"/>
      <w:marLeft w:val="0"/>
      <w:marRight w:val="0"/>
      <w:marTop w:val="0"/>
      <w:marBottom w:val="0"/>
      <w:divBdr>
        <w:top w:val="none" w:sz="0" w:space="0" w:color="auto"/>
        <w:left w:val="none" w:sz="0" w:space="0" w:color="auto"/>
        <w:bottom w:val="none" w:sz="0" w:space="0" w:color="auto"/>
        <w:right w:val="none" w:sz="0" w:space="0" w:color="auto"/>
      </w:divBdr>
      <w:divsChild>
        <w:div w:id="1921602033">
          <w:marLeft w:val="0"/>
          <w:marRight w:val="0"/>
          <w:marTop w:val="0"/>
          <w:marBottom w:val="0"/>
          <w:divBdr>
            <w:top w:val="none" w:sz="0" w:space="0" w:color="auto"/>
            <w:left w:val="none" w:sz="0" w:space="0" w:color="auto"/>
            <w:bottom w:val="none" w:sz="0" w:space="0" w:color="auto"/>
            <w:right w:val="none" w:sz="0" w:space="0" w:color="auto"/>
          </w:divBdr>
          <w:divsChild>
            <w:div w:id="1765999943">
              <w:marLeft w:val="0"/>
              <w:marRight w:val="0"/>
              <w:marTop w:val="0"/>
              <w:marBottom w:val="0"/>
              <w:divBdr>
                <w:top w:val="none" w:sz="0" w:space="0" w:color="auto"/>
                <w:left w:val="none" w:sz="0" w:space="0" w:color="auto"/>
                <w:bottom w:val="none" w:sz="0" w:space="0" w:color="auto"/>
                <w:right w:val="none" w:sz="0" w:space="0" w:color="auto"/>
              </w:divBdr>
              <w:divsChild>
                <w:div w:id="471218129">
                  <w:marLeft w:val="-180"/>
                  <w:marRight w:val="-180"/>
                  <w:marTop w:val="0"/>
                  <w:marBottom w:val="0"/>
                  <w:divBdr>
                    <w:top w:val="none" w:sz="0" w:space="0" w:color="auto"/>
                    <w:left w:val="none" w:sz="0" w:space="0" w:color="auto"/>
                    <w:bottom w:val="none" w:sz="0" w:space="0" w:color="auto"/>
                    <w:right w:val="none" w:sz="0" w:space="0" w:color="auto"/>
                  </w:divBdr>
                  <w:divsChild>
                    <w:div w:id="416639483">
                      <w:marLeft w:val="0"/>
                      <w:marRight w:val="0"/>
                      <w:marTop w:val="0"/>
                      <w:marBottom w:val="0"/>
                      <w:divBdr>
                        <w:top w:val="none" w:sz="0" w:space="0" w:color="auto"/>
                        <w:left w:val="none" w:sz="0" w:space="0" w:color="auto"/>
                        <w:bottom w:val="none" w:sz="0" w:space="0" w:color="auto"/>
                        <w:right w:val="none" w:sz="0" w:space="0" w:color="auto"/>
                      </w:divBdr>
                    </w:div>
                    <w:div w:id="1276331871">
                      <w:marLeft w:val="0"/>
                      <w:marRight w:val="0"/>
                      <w:marTop w:val="0"/>
                      <w:marBottom w:val="0"/>
                      <w:divBdr>
                        <w:top w:val="none" w:sz="0" w:space="0" w:color="auto"/>
                        <w:left w:val="none" w:sz="0" w:space="0" w:color="auto"/>
                        <w:bottom w:val="none" w:sz="0" w:space="0" w:color="auto"/>
                        <w:right w:val="none" w:sz="0" w:space="0" w:color="auto"/>
                      </w:divBdr>
                      <w:divsChild>
                        <w:div w:id="2725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7635">
          <w:marLeft w:val="0"/>
          <w:marRight w:val="0"/>
          <w:marTop w:val="0"/>
          <w:marBottom w:val="0"/>
          <w:divBdr>
            <w:top w:val="none" w:sz="0" w:space="0" w:color="auto"/>
            <w:left w:val="none" w:sz="0" w:space="0" w:color="auto"/>
            <w:bottom w:val="none" w:sz="0" w:space="0" w:color="auto"/>
            <w:right w:val="none" w:sz="0" w:space="0" w:color="auto"/>
          </w:divBdr>
          <w:divsChild>
            <w:div w:id="1934780700">
              <w:marLeft w:val="-180"/>
              <w:marRight w:val="-180"/>
              <w:marTop w:val="0"/>
              <w:marBottom w:val="0"/>
              <w:divBdr>
                <w:top w:val="none" w:sz="0" w:space="0" w:color="auto"/>
                <w:left w:val="none" w:sz="0" w:space="0" w:color="auto"/>
                <w:bottom w:val="none" w:sz="0" w:space="0" w:color="auto"/>
                <w:right w:val="none" w:sz="0" w:space="0" w:color="auto"/>
              </w:divBdr>
              <w:divsChild>
                <w:div w:id="718556348">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0"/>
                      <w:divBdr>
                        <w:top w:val="none" w:sz="0" w:space="0" w:color="auto"/>
                        <w:left w:val="none" w:sz="0" w:space="0" w:color="auto"/>
                        <w:bottom w:val="none" w:sz="0" w:space="0" w:color="auto"/>
                        <w:right w:val="none" w:sz="0" w:space="0" w:color="auto"/>
                      </w:divBdr>
                      <w:divsChild>
                        <w:div w:id="1171069118">
                          <w:marLeft w:val="0"/>
                          <w:marRight w:val="0"/>
                          <w:marTop w:val="0"/>
                          <w:marBottom w:val="0"/>
                          <w:divBdr>
                            <w:top w:val="none" w:sz="0" w:space="0" w:color="auto"/>
                            <w:left w:val="none" w:sz="0" w:space="0" w:color="auto"/>
                            <w:bottom w:val="none" w:sz="0" w:space="0" w:color="auto"/>
                            <w:right w:val="none" w:sz="0" w:space="0" w:color="auto"/>
                          </w:divBdr>
                          <w:divsChild>
                            <w:div w:id="9660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463226">
      <w:bodyDiv w:val="1"/>
      <w:marLeft w:val="0"/>
      <w:marRight w:val="0"/>
      <w:marTop w:val="0"/>
      <w:marBottom w:val="0"/>
      <w:divBdr>
        <w:top w:val="none" w:sz="0" w:space="0" w:color="auto"/>
        <w:left w:val="none" w:sz="0" w:space="0" w:color="auto"/>
        <w:bottom w:val="none" w:sz="0" w:space="0" w:color="auto"/>
        <w:right w:val="none" w:sz="0" w:space="0" w:color="auto"/>
      </w:divBdr>
    </w:div>
    <w:div w:id="1253860024">
      <w:bodyDiv w:val="1"/>
      <w:marLeft w:val="0"/>
      <w:marRight w:val="0"/>
      <w:marTop w:val="0"/>
      <w:marBottom w:val="0"/>
      <w:divBdr>
        <w:top w:val="none" w:sz="0" w:space="0" w:color="auto"/>
        <w:left w:val="none" w:sz="0" w:space="0" w:color="auto"/>
        <w:bottom w:val="none" w:sz="0" w:space="0" w:color="auto"/>
        <w:right w:val="none" w:sz="0" w:space="0" w:color="auto"/>
      </w:divBdr>
    </w:div>
    <w:div w:id="1277063463">
      <w:bodyDiv w:val="1"/>
      <w:marLeft w:val="0"/>
      <w:marRight w:val="0"/>
      <w:marTop w:val="0"/>
      <w:marBottom w:val="0"/>
      <w:divBdr>
        <w:top w:val="none" w:sz="0" w:space="0" w:color="auto"/>
        <w:left w:val="none" w:sz="0" w:space="0" w:color="auto"/>
        <w:bottom w:val="none" w:sz="0" w:space="0" w:color="auto"/>
        <w:right w:val="none" w:sz="0" w:space="0" w:color="auto"/>
      </w:divBdr>
    </w:div>
    <w:div w:id="1342514536">
      <w:bodyDiv w:val="1"/>
      <w:marLeft w:val="0"/>
      <w:marRight w:val="0"/>
      <w:marTop w:val="0"/>
      <w:marBottom w:val="0"/>
      <w:divBdr>
        <w:top w:val="none" w:sz="0" w:space="0" w:color="auto"/>
        <w:left w:val="none" w:sz="0" w:space="0" w:color="auto"/>
        <w:bottom w:val="none" w:sz="0" w:space="0" w:color="auto"/>
        <w:right w:val="none" w:sz="0" w:space="0" w:color="auto"/>
      </w:divBdr>
    </w:div>
    <w:div w:id="1416123878">
      <w:bodyDiv w:val="1"/>
      <w:marLeft w:val="0"/>
      <w:marRight w:val="0"/>
      <w:marTop w:val="0"/>
      <w:marBottom w:val="0"/>
      <w:divBdr>
        <w:top w:val="none" w:sz="0" w:space="0" w:color="auto"/>
        <w:left w:val="none" w:sz="0" w:space="0" w:color="auto"/>
        <w:bottom w:val="none" w:sz="0" w:space="0" w:color="auto"/>
        <w:right w:val="none" w:sz="0" w:space="0" w:color="auto"/>
      </w:divBdr>
    </w:div>
    <w:div w:id="1495605465">
      <w:bodyDiv w:val="1"/>
      <w:marLeft w:val="0"/>
      <w:marRight w:val="0"/>
      <w:marTop w:val="0"/>
      <w:marBottom w:val="0"/>
      <w:divBdr>
        <w:top w:val="none" w:sz="0" w:space="0" w:color="auto"/>
        <w:left w:val="none" w:sz="0" w:space="0" w:color="auto"/>
        <w:bottom w:val="none" w:sz="0" w:space="0" w:color="auto"/>
        <w:right w:val="none" w:sz="0" w:space="0" w:color="auto"/>
      </w:divBdr>
    </w:div>
    <w:div w:id="1720784636">
      <w:bodyDiv w:val="1"/>
      <w:marLeft w:val="0"/>
      <w:marRight w:val="0"/>
      <w:marTop w:val="0"/>
      <w:marBottom w:val="0"/>
      <w:divBdr>
        <w:top w:val="none" w:sz="0" w:space="0" w:color="auto"/>
        <w:left w:val="none" w:sz="0" w:space="0" w:color="auto"/>
        <w:bottom w:val="none" w:sz="0" w:space="0" w:color="auto"/>
        <w:right w:val="none" w:sz="0" w:space="0" w:color="auto"/>
      </w:divBdr>
    </w:div>
    <w:div w:id="1727485470">
      <w:bodyDiv w:val="1"/>
      <w:marLeft w:val="0"/>
      <w:marRight w:val="0"/>
      <w:marTop w:val="0"/>
      <w:marBottom w:val="0"/>
      <w:divBdr>
        <w:top w:val="none" w:sz="0" w:space="0" w:color="auto"/>
        <w:left w:val="none" w:sz="0" w:space="0" w:color="auto"/>
        <w:bottom w:val="none" w:sz="0" w:space="0" w:color="auto"/>
        <w:right w:val="none" w:sz="0" w:space="0" w:color="auto"/>
      </w:divBdr>
    </w:div>
    <w:div w:id="1788424840">
      <w:bodyDiv w:val="1"/>
      <w:marLeft w:val="0"/>
      <w:marRight w:val="0"/>
      <w:marTop w:val="0"/>
      <w:marBottom w:val="0"/>
      <w:divBdr>
        <w:top w:val="none" w:sz="0" w:space="0" w:color="auto"/>
        <w:left w:val="none" w:sz="0" w:space="0" w:color="auto"/>
        <w:bottom w:val="none" w:sz="0" w:space="0" w:color="auto"/>
        <w:right w:val="none" w:sz="0" w:space="0" w:color="auto"/>
      </w:divBdr>
    </w:div>
    <w:div w:id="1834831640">
      <w:bodyDiv w:val="1"/>
      <w:marLeft w:val="0"/>
      <w:marRight w:val="0"/>
      <w:marTop w:val="0"/>
      <w:marBottom w:val="0"/>
      <w:divBdr>
        <w:top w:val="none" w:sz="0" w:space="0" w:color="auto"/>
        <w:left w:val="none" w:sz="0" w:space="0" w:color="auto"/>
        <w:bottom w:val="none" w:sz="0" w:space="0" w:color="auto"/>
        <w:right w:val="none" w:sz="0" w:space="0" w:color="auto"/>
      </w:divBdr>
    </w:div>
    <w:div w:id="1910268565">
      <w:bodyDiv w:val="1"/>
      <w:marLeft w:val="0"/>
      <w:marRight w:val="0"/>
      <w:marTop w:val="0"/>
      <w:marBottom w:val="0"/>
      <w:divBdr>
        <w:top w:val="none" w:sz="0" w:space="0" w:color="auto"/>
        <w:left w:val="none" w:sz="0" w:space="0" w:color="auto"/>
        <w:bottom w:val="none" w:sz="0" w:space="0" w:color="auto"/>
        <w:right w:val="none" w:sz="0" w:space="0" w:color="auto"/>
      </w:divBdr>
    </w:div>
    <w:div w:id="1932352700">
      <w:bodyDiv w:val="1"/>
      <w:marLeft w:val="0"/>
      <w:marRight w:val="0"/>
      <w:marTop w:val="0"/>
      <w:marBottom w:val="0"/>
      <w:divBdr>
        <w:top w:val="none" w:sz="0" w:space="0" w:color="auto"/>
        <w:left w:val="none" w:sz="0" w:space="0" w:color="auto"/>
        <w:bottom w:val="none" w:sz="0" w:space="0" w:color="auto"/>
        <w:right w:val="none" w:sz="0" w:space="0" w:color="auto"/>
      </w:divBdr>
    </w:div>
    <w:div w:id="202663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xgenderequitycentre.org.au/resources/" TargetMode="External"/><Relationship Id="rId18" Type="http://schemas.openxmlformats.org/officeDocument/2006/relationships/hyperlink" Target="https://genderedinnovations.stanford.edu/methods-sex-and-gender-analysis.html" TargetMode="External"/><Relationship Id="rId26" Type="http://schemas.openxmlformats.org/officeDocument/2006/relationships/hyperlink" Target="https://openinnovation.astrazeneca.com/preclinical-research/sex-inclusive-research-framework.htm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gshe.ca/practice/research-toolkits/gender-and-sex-toolki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rants.gov.au/" TargetMode="External"/><Relationship Id="rId17" Type="http://schemas.openxmlformats.org/officeDocument/2006/relationships/hyperlink" Target="https://www.messageproject.co.uk/academic-resources/" TargetMode="External"/><Relationship Id="rId25" Type="http://schemas.openxmlformats.org/officeDocument/2006/relationships/hyperlink" Target="https://nc3rs.org.uk/3rs-resources/mrc-nc3rs-webinar-using-both-sexes-animal-experiments"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essageproject.co.uk/message-policy-framework/" TargetMode="External"/><Relationship Id="rId20" Type="http://schemas.openxmlformats.org/officeDocument/2006/relationships/hyperlink" Target="https://www.zonmw.nl/en/article/faq-sex-and-gender-research" TargetMode="External"/><Relationship Id="rId29" Type="http://schemas.openxmlformats.org/officeDocument/2006/relationships/hyperlink" Target="https://australianwomenshealth.org/resource/e-learning-course-introduction-to-gender-responsive-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mrc.gov.au/research-policy/gender-equity/statement-sex-and-gender-health-and-medical-research" TargetMode="External"/><Relationship Id="rId24" Type="http://schemas.openxmlformats.org/officeDocument/2006/relationships/hyperlink" Target="https://eda.nc3rs.org.uk/" TargetMode="External"/><Relationship Id="rId32" Type="http://schemas.openxmlformats.org/officeDocument/2006/relationships/hyperlink" Target="https://www.nature.com/immersive/sex-and-gender-in-science/index.html"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ihr-irsc.gc.ca/e/49347.html" TargetMode="External"/><Relationship Id="rId23" Type="http://schemas.openxmlformats.org/officeDocument/2006/relationships/hyperlink" Target="https://ese.arphahub.com/article/86910/" TargetMode="External"/><Relationship Id="rId28" Type="http://schemas.openxmlformats.org/officeDocument/2006/relationships/hyperlink" Target="https://nc3rs.org.uk/3rs-resources/mrc-nc3rs-webinar-using-both-sexes-animal-experiment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genderedinnovations.stanford.edu/fix-the-knowledge.html" TargetMode="External"/><Relationship Id="rId31" Type="http://schemas.openxmlformats.org/officeDocument/2006/relationships/hyperlink" Target="https://www.cell.com/news-do/sex-and-gender-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hr-irsc.gc.ca/e/50836.html" TargetMode="External"/><Relationship Id="rId22" Type="http://schemas.openxmlformats.org/officeDocument/2006/relationships/hyperlink" Target="https://researchintegrityjournal.biomedcentral.com/articles/10.1186/s41073-016-0007-6" TargetMode="External"/><Relationship Id="rId27" Type="http://schemas.openxmlformats.org/officeDocument/2006/relationships/hyperlink" Target="https://eda.nc3rs.org.uk/" TargetMode="External"/><Relationship Id="rId30" Type="http://schemas.openxmlformats.org/officeDocument/2006/relationships/hyperlink" Target="https://www.cell.com/issue/S0092-8674(23)X0007-5"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6594ee5f-e469-45b2-993d-adfba3896cd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D41F1680C99547959F9B62B85F8F81" ma:contentTypeVersion="5" ma:contentTypeDescription="Create a new document." ma:contentTypeScope="" ma:versionID="be6902d8d960908556ad4f639ce6f93a">
  <xsd:schema xmlns:xsd="http://www.w3.org/2001/XMLSchema" xmlns:xs="http://www.w3.org/2001/XMLSchema" xmlns:p="http://schemas.microsoft.com/office/2006/metadata/properties" xmlns:ns2="6594ee5f-e469-45b2-993d-adfba3896cd9" targetNamespace="http://schemas.microsoft.com/office/2006/metadata/properties" ma:root="true" ma:fieldsID="67f467f0afa8d1908f4b3dfe809504c1" ns2:_="">
    <xsd:import namespace="6594ee5f-e469-45b2-993d-adfba3896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4ee5f-e469-45b2-993d-adfba3896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escription" ma:index="12" nillable="true" ma:displayName="Description" ma:format="Dropdown" ma:internalName="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BFB20-9B57-4A78-976F-9A12FC2FC6CD}">
  <ds:schemaRefs>
    <ds:schemaRef ds:uri="http://schemas.microsoft.com/office/2006/metadata/properties"/>
    <ds:schemaRef ds:uri="http://schemas.microsoft.com/office/infopath/2007/PartnerControls"/>
    <ds:schemaRef ds:uri="6594ee5f-e469-45b2-993d-adfba3896cd9"/>
  </ds:schemaRefs>
</ds:datastoreItem>
</file>

<file path=customXml/itemProps2.xml><?xml version="1.0" encoding="utf-8"?>
<ds:datastoreItem xmlns:ds="http://schemas.openxmlformats.org/officeDocument/2006/customXml" ds:itemID="{1A6B9897-11BE-4CD9-AB9D-8C9FFE9C8CB7}">
  <ds:schemaRefs>
    <ds:schemaRef ds:uri="http://schemas.openxmlformats.org/officeDocument/2006/bibliography"/>
  </ds:schemaRefs>
</ds:datastoreItem>
</file>

<file path=customXml/itemProps3.xml><?xml version="1.0" encoding="utf-8"?>
<ds:datastoreItem xmlns:ds="http://schemas.openxmlformats.org/officeDocument/2006/customXml" ds:itemID="{3F8BE1BA-B8A1-4D3A-8949-74BB82A2A6D7}">
  <ds:schemaRefs>
    <ds:schemaRef ds:uri="http://schemas.microsoft.com/sharepoint/v3/contenttype/forms"/>
  </ds:schemaRefs>
</ds:datastoreItem>
</file>

<file path=customXml/itemProps4.xml><?xml version="1.0" encoding="utf-8"?>
<ds:datastoreItem xmlns:ds="http://schemas.openxmlformats.org/officeDocument/2006/customXml" ds:itemID="{514F70EC-0F71-4B34-9ADC-7BABF6B94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4ee5f-e469-45b2-993d-adfba3896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1268</Words>
  <Characters>7228</Characters>
  <DocSecurity>0</DocSecurity>
  <Lines>60</Lines>
  <Paragraphs>16</Paragraphs>
  <ScaleCrop>false</ScaleCrop>
  <HeadingPairs>
    <vt:vector size="2" baseType="variant">
      <vt:variant>
        <vt:lpstr>Title</vt:lpstr>
      </vt:variant>
      <vt:variant>
        <vt:i4>1</vt:i4>
      </vt:variant>
    </vt:vector>
  </HeadingPairs>
  <TitlesOfParts>
    <vt:vector size="1" baseType="lpstr">
      <vt:lpstr>Health and medical research funders highlight importance of sex, gender, variations of sex characteristics and sexual orientation in science</vt:lpstr>
    </vt:vector>
  </TitlesOfParts>
  <Company>Department of Health</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medical research funders highlight importance of sex, gender, variations of sex characteristics and sexual orientation in science</dc:title>
  <dc:subject>Medical Research Future Fund</dc:subject>
  <dc:creator>Australian Government Department of Health, Disability and Ageing</dc:creator>
  <cp:keywords>Medical Research Future Fund; MRFF; NHMRC</cp:keywords>
  <dc:description/>
  <dcterms:created xsi:type="dcterms:W3CDTF">2025-09-24T04:38:00Z</dcterms:created>
  <dcterms:modified xsi:type="dcterms:W3CDTF">2025-10-15T00:59:00Z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b387440,60a328ac,7eaa2d50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16cc929b,54235a93,609e51ec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2025-09-24T03:00:32Z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22d8e7c5-63ee-46fc-b39e-2c8016c4d1d6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