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DE599D" w14:textId="2BF90A66" w:rsidR="00AB4513" w:rsidRDefault="00014A40" w:rsidP="0051754A">
      <w:pPr>
        <w:pStyle w:val="Heading1"/>
        <w:spacing w:before="480"/>
      </w:pPr>
      <w:r>
        <w:t xml:space="preserve">Quick reference: </w:t>
      </w:r>
      <w:r w:rsidR="00843A11">
        <w:t>Working with</w:t>
      </w:r>
      <w:r w:rsidR="00B44CC0">
        <w:t xml:space="preserve"> registered supporters</w:t>
      </w:r>
    </w:p>
    <w:p w14:paraId="51069824" w14:textId="18B79E91" w:rsidR="00843A11" w:rsidRDefault="00843A11" w:rsidP="00AD1280">
      <w:pPr>
        <w:pStyle w:val="Heading2"/>
        <w:rPr>
          <w:rFonts w:eastAsiaTheme="minorHAnsi" w:cstheme="minorBidi"/>
          <w:b w:val="0"/>
          <w:color w:val="auto"/>
          <w:sz w:val="24"/>
          <w:szCs w:val="24"/>
        </w:rPr>
      </w:pPr>
      <w:r w:rsidRPr="00843A11">
        <w:rPr>
          <w:rFonts w:eastAsiaTheme="minorHAnsi" w:cstheme="minorBidi"/>
          <w:b w:val="0"/>
          <w:color w:val="auto"/>
          <w:sz w:val="24"/>
          <w:szCs w:val="24"/>
        </w:rPr>
        <w:t xml:space="preserve">This </w:t>
      </w:r>
      <w:r w:rsidR="00D73424">
        <w:rPr>
          <w:rFonts w:eastAsiaTheme="minorHAnsi" w:cstheme="minorBidi"/>
          <w:b w:val="0"/>
          <w:color w:val="auto"/>
          <w:sz w:val="24"/>
          <w:szCs w:val="24"/>
        </w:rPr>
        <w:t xml:space="preserve">quick </w:t>
      </w:r>
      <w:r>
        <w:rPr>
          <w:rFonts w:eastAsiaTheme="minorHAnsi" w:cstheme="minorBidi"/>
          <w:b w:val="0"/>
          <w:color w:val="auto"/>
          <w:sz w:val="24"/>
          <w:szCs w:val="24"/>
        </w:rPr>
        <w:t>reference</w:t>
      </w:r>
      <w:r w:rsidRPr="00843A11">
        <w:rPr>
          <w:rFonts w:eastAsiaTheme="minorHAnsi" w:cstheme="minorBidi"/>
          <w:b w:val="0"/>
          <w:color w:val="auto"/>
          <w:sz w:val="24"/>
          <w:szCs w:val="24"/>
        </w:rPr>
        <w:t xml:space="preserve"> </w:t>
      </w:r>
      <w:r w:rsidR="008944B3">
        <w:rPr>
          <w:rFonts w:eastAsiaTheme="minorHAnsi" w:cstheme="minorBidi"/>
          <w:b w:val="0"/>
          <w:color w:val="auto"/>
          <w:sz w:val="24"/>
          <w:szCs w:val="24"/>
        </w:rPr>
        <w:t>helps</w:t>
      </w:r>
      <w:r w:rsidRPr="00843A11">
        <w:rPr>
          <w:rFonts w:eastAsiaTheme="minorHAnsi" w:cstheme="minorBidi"/>
          <w:b w:val="0"/>
          <w:color w:val="auto"/>
          <w:sz w:val="24"/>
          <w:szCs w:val="24"/>
        </w:rPr>
        <w:t xml:space="preserve"> you to follow a clear process when an older person has a registered supporte</w:t>
      </w:r>
      <w:r w:rsidR="00D6225A">
        <w:rPr>
          <w:rFonts w:eastAsiaTheme="minorHAnsi" w:cstheme="minorBidi"/>
          <w:b w:val="0"/>
          <w:color w:val="auto"/>
          <w:sz w:val="24"/>
          <w:szCs w:val="24"/>
        </w:rPr>
        <w:t>r</w:t>
      </w:r>
      <w:r w:rsidRPr="00843A11">
        <w:rPr>
          <w:rFonts w:eastAsiaTheme="minorHAnsi" w:cstheme="minorBidi"/>
          <w:b w:val="0"/>
          <w:color w:val="auto"/>
          <w:sz w:val="24"/>
          <w:szCs w:val="24"/>
        </w:rPr>
        <w:t xml:space="preserve">. Your role is to make sure the older person’s </w:t>
      </w:r>
      <w:r w:rsidRPr="00843A11">
        <w:rPr>
          <w:rFonts w:eastAsiaTheme="minorHAnsi" w:cstheme="minorBidi"/>
          <w:b w:val="0"/>
          <w:bCs/>
          <w:color w:val="auto"/>
          <w:sz w:val="24"/>
          <w:szCs w:val="24"/>
        </w:rPr>
        <w:t>voice, rights and choices</w:t>
      </w:r>
      <w:r w:rsidRPr="00843A11">
        <w:rPr>
          <w:rFonts w:eastAsiaTheme="minorHAnsi" w:cstheme="minorBidi"/>
          <w:b w:val="0"/>
          <w:color w:val="auto"/>
          <w:sz w:val="24"/>
          <w:szCs w:val="24"/>
        </w:rPr>
        <w:t xml:space="preserve"> stay at the centre of all decisions.</w:t>
      </w:r>
    </w:p>
    <w:p w14:paraId="01EF4513" w14:textId="0DADEB6E" w:rsidR="000F4049" w:rsidRDefault="000F4049" w:rsidP="00CD2842">
      <w:pPr>
        <w:pStyle w:val="Heading3"/>
      </w:pPr>
      <w:r>
        <w:t>What is a registered supporter?</w:t>
      </w:r>
    </w:p>
    <w:p w14:paraId="4215863C" w14:textId="17CC2C3E" w:rsidR="00EE1C92" w:rsidRDefault="00077C19" w:rsidP="00AF544C">
      <w:r w:rsidRPr="00077C19">
        <w:t xml:space="preserve">The registered supporter role exists to </w:t>
      </w:r>
      <w:r w:rsidR="00D6225A">
        <w:t>promote</w:t>
      </w:r>
      <w:r w:rsidR="00D6225A" w:rsidRPr="00077C19">
        <w:t xml:space="preserve"> </w:t>
      </w:r>
      <w:r w:rsidRPr="00077C19">
        <w:t>older peoples</w:t>
      </w:r>
      <w:r w:rsidR="00D6225A">
        <w:t>’</w:t>
      </w:r>
      <w:r w:rsidRPr="00077C19">
        <w:t xml:space="preserve"> right</w:t>
      </w:r>
      <w:r w:rsidR="00D6225A">
        <w:t>s</w:t>
      </w:r>
      <w:r w:rsidRPr="00077C19">
        <w:t xml:space="preserve"> to make their own decisions</w:t>
      </w:r>
      <w:r w:rsidR="00D6225A">
        <w:t>, with support if necessary.</w:t>
      </w:r>
      <w:r w:rsidRPr="00077C19">
        <w:t xml:space="preserve"> </w:t>
      </w:r>
      <w:r w:rsidR="00D6225A">
        <w:t>A registered</w:t>
      </w:r>
      <w:r w:rsidRPr="00077C19">
        <w:t xml:space="preserve"> supporter can help </w:t>
      </w:r>
      <w:r w:rsidR="00D6225A">
        <w:t>the older person they support to</w:t>
      </w:r>
      <w:r w:rsidR="00D6225A" w:rsidRPr="00077C19">
        <w:t xml:space="preserve"> </w:t>
      </w:r>
      <w:r w:rsidR="00D6225A">
        <w:t>make</w:t>
      </w:r>
      <w:r w:rsidR="00D6225A" w:rsidRPr="00077C19">
        <w:t xml:space="preserve"> </w:t>
      </w:r>
      <w:r w:rsidRPr="00077C19">
        <w:t xml:space="preserve">and communicate </w:t>
      </w:r>
      <w:r w:rsidR="00D6225A">
        <w:t xml:space="preserve">their own </w:t>
      </w:r>
      <w:r w:rsidRPr="00077C19">
        <w:t>decisions</w:t>
      </w:r>
      <w:r w:rsidR="00137B49">
        <w:t>,</w:t>
      </w:r>
      <w:r w:rsidR="00D6225A">
        <w:t xml:space="preserve"> and </w:t>
      </w:r>
      <w:r w:rsidRPr="00077C19">
        <w:t>access</w:t>
      </w:r>
      <w:r w:rsidR="00D6225A">
        <w:t xml:space="preserve"> and understand</w:t>
      </w:r>
      <w:r w:rsidRPr="00077C19">
        <w:t xml:space="preserve"> information</w:t>
      </w:r>
      <w:r w:rsidR="00D6225A">
        <w:t xml:space="preserve"> </w:t>
      </w:r>
      <w:r w:rsidRPr="00077C19">
        <w:t xml:space="preserve">about their aged care services. </w:t>
      </w:r>
      <w:r w:rsidR="00D6225A">
        <w:t>Registered s</w:t>
      </w:r>
      <w:r w:rsidRPr="00077C19">
        <w:t xml:space="preserve">upporters must follow duties under the </w:t>
      </w:r>
      <w:r w:rsidRPr="003F5C03">
        <w:rPr>
          <w:i/>
          <w:iCs/>
        </w:rPr>
        <w:t>A</w:t>
      </w:r>
      <w:r w:rsidR="00A545CC" w:rsidRPr="003F5C03">
        <w:rPr>
          <w:i/>
          <w:iCs/>
        </w:rPr>
        <w:t>ged Care Act 2024</w:t>
      </w:r>
      <w:r w:rsidRPr="00077C19">
        <w:t xml:space="preserve"> </w:t>
      </w:r>
      <w:r w:rsidR="00D6225A">
        <w:t>(</w:t>
      </w:r>
      <w:proofErr w:type="spellStart"/>
      <w:r w:rsidR="00D6225A">
        <w:t>Cth</w:t>
      </w:r>
      <w:proofErr w:type="spellEnd"/>
      <w:r w:rsidR="00D6225A">
        <w:t xml:space="preserve">) (the Act) that are </w:t>
      </w:r>
      <w:r w:rsidRPr="00077C19">
        <w:t xml:space="preserve">designed to </w:t>
      </w:r>
      <w:r w:rsidR="00D6225A">
        <w:t>promote</w:t>
      </w:r>
      <w:r w:rsidR="00D6225A" w:rsidRPr="00077C19">
        <w:t xml:space="preserve"> </w:t>
      </w:r>
      <w:r w:rsidRPr="00077C19">
        <w:t xml:space="preserve">the older person’s safety, rights, </w:t>
      </w:r>
      <w:r w:rsidR="00D6225A">
        <w:t>will,</w:t>
      </w:r>
      <w:r w:rsidR="00D6225A" w:rsidRPr="00077C19">
        <w:t xml:space="preserve"> </w:t>
      </w:r>
      <w:r w:rsidRPr="00077C19">
        <w:t>and preferences.</w:t>
      </w:r>
    </w:p>
    <w:p w14:paraId="16DA44E1" w14:textId="3C896D84" w:rsidR="007B30AD" w:rsidRDefault="007B30AD" w:rsidP="003F5C03">
      <w:pPr>
        <w:pStyle w:val="Heading3"/>
      </w:pPr>
      <w:r>
        <w:t>What is supported decision-making?</w:t>
      </w:r>
    </w:p>
    <w:p w14:paraId="54953042" w14:textId="0B915DD4" w:rsidR="00992A9C" w:rsidRDefault="521B3EA4" w:rsidP="007B30AD">
      <w:r>
        <w:t>Supported decision-making is the process of providing support to help older people make and communicate their own decisions, rather than having decisions made for them. This allows older people to remain in control of their lives.</w:t>
      </w:r>
    </w:p>
    <w:p w14:paraId="64C3B8D1" w14:textId="1D4F703C" w:rsidR="00992A9C" w:rsidRDefault="00992A9C" w:rsidP="007B30AD">
      <w:r>
        <w:t>Supported decision-making</w:t>
      </w:r>
      <w:r w:rsidR="00371E23">
        <w:t xml:space="preserve"> processes and approaches enable people to exercise their legal capacity, including making or communicating their decisions, will, and preferences, by provision of the support they may want or need</w:t>
      </w:r>
      <w:r w:rsidR="0035684C">
        <w:t>,</w:t>
      </w:r>
      <w:r w:rsidR="00371E23">
        <w:t xml:space="preserve"> to do so. This support may involve a range of persons, services, and assistive technologies. </w:t>
      </w:r>
    </w:p>
    <w:p w14:paraId="6683180F" w14:textId="2B89E931" w:rsidR="007B30AD" w:rsidRDefault="00371E23" w:rsidP="007B30AD">
      <w:r w:rsidRPr="00371E23">
        <w:t xml:space="preserve">Supported decision-making does </w:t>
      </w:r>
      <w:r w:rsidRPr="003F5C03">
        <w:rPr>
          <w:b/>
          <w:bCs/>
        </w:rPr>
        <w:t>not</w:t>
      </w:r>
      <w:r w:rsidRPr="00371E23">
        <w:t xml:space="preserve"> mean </w:t>
      </w:r>
      <w:proofErr w:type="gramStart"/>
      <w:r w:rsidRPr="00371E23">
        <w:t>making a decision</w:t>
      </w:r>
      <w:proofErr w:type="gramEnd"/>
      <w:r w:rsidRPr="00371E23">
        <w:t xml:space="preserve"> for, or on behalf of, another person.</w:t>
      </w:r>
    </w:p>
    <w:p w14:paraId="4220BF2D" w14:textId="77777777" w:rsidR="007661F1" w:rsidRDefault="007661F1" w:rsidP="00AF544C">
      <w:r w:rsidRPr="007661F1">
        <w:t xml:space="preserve">Supported decision-making principles and processes </w:t>
      </w:r>
      <w:r w:rsidRPr="003F5C03">
        <w:rPr>
          <w:b/>
          <w:bCs/>
        </w:rPr>
        <w:t>do not</w:t>
      </w:r>
      <w:r w:rsidRPr="007661F1">
        <w:t xml:space="preserve"> depend on an older person having a registered supporter. Aged care providers, responsible persons, and aged care workers should implement supported decision-making principles and processes, where appropriate, regardless of the presence or absence of a registered supporter or other person supporting an older person. </w:t>
      </w:r>
    </w:p>
    <w:p w14:paraId="513A1DBD" w14:textId="5B1A685A" w:rsidR="007B30AD" w:rsidRPr="00AF544C" w:rsidRDefault="007661F1" w:rsidP="00AF544C">
      <w:r w:rsidRPr="007661F1">
        <w:t xml:space="preserve">Older people </w:t>
      </w:r>
      <w:r w:rsidR="00A85864">
        <w:t>must</w:t>
      </w:r>
      <w:r w:rsidRPr="007661F1">
        <w:t xml:space="preserve"> </w:t>
      </w:r>
      <w:r w:rsidR="004F5066">
        <w:t xml:space="preserve">be at </w:t>
      </w:r>
      <w:r w:rsidRPr="007661F1">
        <w:t>the centre of decision-making and decisions about their aged care.</w:t>
      </w:r>
    </w:p>
    <w:p w14:paraId="610669EE" w14:textId="77777777" w:rsidR="00AC23CC" w:rsidRDefault="00AC23CC" w:rsidP="003F5C03">
      <w:pPr>
        <w:pStyle w:val="Heading3"/>
      </w:pPr>
      <w:r>
        <w:t>Quick links</w:t>
      </w:r>
    </w:p>
    <w:p w14:paraId="05E5B769" w14:textId="6125AD92" w:rsidR="00D11AE9" w:rsidRPr="003F5C03" w:rsidRDefault="00D11AE9" w:rsidP="00AC23CC">
      <w:pPr>
        <w:pStyle w:val="ListParagraph"/>
        <w:numPr>
          <w:ilvl w:val="0"/>
          <w:numId w:val="36"/>
        </w:numPr>
        <w:spacing w:before="0" w:after="0" w:line="240" w:lineRule="auto"/>
        <w:rPr>
          <w:rFonts w:eastAsiaTheme="majorEastAsia" w:cstheme="majorBidi"/>
          <w:b/>
          <w:color w:val="1E1544" w:themeColor="text1"/>
          <w:sz w:val="28"/>
        </w:rPr>
      </w:pPr>
      <w:hyperlink r:id="rId11" w:history="1">
        <w:r w:rsidRPr="00B07AE7">
          <w:rPr>
            <w:rStyle w:val="Hyperlink"/>
          </w:rPr>
          <w:t>Aged care providers policy for registered supporters</w:t>
        </w:r>
      </w:hyperlink>
      <w:r>
        <w:t xml:space="preserve"> </w:t>
      </w:r>
    </w:p>
    <w:p w14:paraId="50F2164F" w14:textId="5751D3E0" w:rsidR="007661F1" w:rsidRPr="003F5C03" w:rsidRDefault="00D11AE9" w:rsidP="003F5C03">
      <w:pPr>
        <w:pStyle w:val="ListParagraph"/>
        <w:numPr>
          <w:ilvl w:val="0"/>
          <w:numId w:val="36"/>
        </w:numPr>
        <w:spacing w:before="0" w:after="0" w:line="240" w:lineRule="auto"/>
        <w:rPr>
          <w:rFonts w:eastAsiaTheme="majorEastAsia" w:cstheme="majorBidi"/>
          <w:b/>
          <w:color w:val="1E1544" w:themeColor="text1"/>
          <w:sz w:val="28"/>
        </w:rPr>
      </w:pPr>
      <w:hyperlink r:id="rId12" w:history="1">
        <w:r w:rsidRPr="00B07AE7">
          <w:rPr>
            <w:rStyle w:val="Hyperlink"/>
          </w:rPr>
          <w:t>Registered Supporters in Aged Care</w:t>
        </w:r>
      </w:hyperlink>
      <w:r>
        <w:t xml:space="preserve"> </w:t>
      </w:r>
      <w:r w:rsidR="007661F1">
        <w:br w:type="page"/>
      </w:r>
    </w:p>
    <w:p w14:paraId="31BC1EB6" w14:textId="1B3CA25A" w:rsidR="003A20FC" w:rsidRDefault="002502C9" w:rsidP="00CD2842">
      <w:pPr>
        <w:pStyle w:val="Heading3"/>
      </w:pPr>
      <w:r>
        <w:lastRenderedPageBreak/>
        <w:t xml:space="preserve">Step-by-step process for </w:t>
      </w:r>
      <w:r w:rsidR="00B8193F">
        <w:t>engaging with registered supporters</w:t>
      </w:r>
    </w:p>
    <w:p w14:paraId="2B8D0E1F" w14:textId="3C53C974" w:rsidR="001C5AEA" w:rsidRPr="00CD2842" w:rsidRDefault="003A20FC" w:rsidP="00CD2842">
      <w:pPr>
        <w:pStyle w:val="Heading7"/>
      </w:pPr>
      <w:r w:rsidRPr="00CD2842">
        <w:t xml:space="preserve">Use these steps each time a decision is made </w:t>
      </w:r>
      <w:r w:rsidR="00306A7D" w:rsidRPr="00CD2842">
        <w:t xml:space="preserve"> </w:t>
      </w:r>
    </w:p>
    <w:p w14:paraId="78CDA992" w14:textId="41D48E12" w:rsidR="00D30842" w:rsidRDefault="00D30842" w:rsidP="00D30842">
      <w:r>
        <w:t xml:space="preserve">Older people have </w:t>
      </w:r>
      <w:r w:rsidR="007661F1">
        <w:t xml:space="preserve">the </w:t>
      </w:r>
      <w:r>
        <w:t xml:space="preserve">right to be supported (if necessary) to make </w:t>
      </w:r>
      <w:r w:rsidR="007661F1">
        <w:t xml:space="preserve">their own </w:t>
      </w:r>
      <w:r>
        <w:t xml:space="preserve">decisions, have those decisions respected, and </w:t>
      </w:r>
      <w:r w:rsidR="007661F1">
        <w:t xml:space="preserve">to </w:t>
      </w:r>
      <w:r>
        <w:t>take personal risks.</w:t>
      </w:r>
      <w:r w:rsidR="007661F1">
        <w:t xml:space="preserve"> </w:t>
      </w:r>
      <w:r w:rsidR="00B8193F">
        <w:t xml:space="preserve">This support can be provided by a registered supporter, or by any other person or process that an older person wants or needs support from. </w:t>
      </w:r>
    </w:p>
    <w:p w14:paraId="6C0E5F17" w14:textId="77777777" w:rsidR="00B8193F" w:rsidRDefault="00B8193F" w:rsidP="00D30842">
      <w:r>
        <w:t xml:space="preserve">If you are engaging with a registered supporter, you may find the following steps useful. </w:t>
      </w:r>
    </w:p>
    <w:p w14:paraId="147FED2D" w14:textId="38C43BC6" w:rsidR="00765A8B" w:rsidRDefault="00B8193F" w:rsidP="00D30842">
      <w:r>
        <w:t xml:space="preserve">Remember that it is </w:t>
      </w:r>
      <w:r w:rsidRPr="003F5C03">
        <w:rPr>
          <w:b/>
          <w:bCs/>
        </w:rPr>
        <w:t>not</w:t>
      </w:r>
      <w:r>
        <w:t xml:space="preserve"> the role of a registered supporter to make decisions for an older person. </w:t>
      </w:r>
    </w:p>
    <w:tbl>
      <w:tblPr>
        <w:tblStyle w:val="TableGrid"/>
        <w:tblW w:w="0" w:type="auto"/>
        <w:tblLayout w:type="fixed"/>
        <w:tblLook w:val="04A0" w:firstRow="1" w:lastRow="0" w:firstColumn="1" w:lastColumn="0" w:noHBand="0" w:noVBand="1"/>
      </w:tblPr>
      <w:tblGrid>
        <w:gridCol w:w="1700"/>
        <w:gridCol w:w="1701"/>
        <w:gridCol w:w="1701"/>
        <w:gridCol w:w="1700"/>
        <w:gridCol w:w="1701"/>
        <w:gridCol w:w="1701"/>
      </w:tblGrid>
      <w:tr w:rsidR="001E1CD5" w14:paraId="640FB0C1" w14:textId="77777777" w:rsidTr="00CD2842">
        <w:trPr>
          <w:cnfStyle w:val="100000000000" w:firstRow="1" w:lastRow="0" w:firstColumn="0" w:lastColumn="0" w:oddVBand="0" w:evenVBand="0" w:oddHBand="0" w:evenHBand="0" w:firstRowFirstColumn="0" w:firstRowLastColumn="0" w:lastRowFirstColumn="0" w:lastRowLastColumn="0"/>
        </w:trPr>
        <w:tc>
          <w:tcPr>
            <w:tcW w:w="1700" w:type="dxa"/>
            <w:shd w:val="clear" w:color="auto" w:fill="25B1BD"/>
            <w:vAlign w:val="center"/>
          </w:tcPr>
          <w:p w14:paraId="5D414D35" w14:textId="5BA513FE" w:rsidR="00FD2895" w:rsidRPr="00CD2842" w:rsidRDefault="00F013F7" w:rsidP="001E1CD5">
            <w:pPr>
              <w:jc w:val="center"/>
              <w:rPr>
                <w:color w:val="F1F2F2" w:themeColor="background1"/>
                <w:sz w:val="20"/>
                <w:szCs w:val="20"/>
              </w:rPr>
            </w:pPr>
            <w:r>
              <w:rPr>
                <w:color w:val="F1F2F2" w:themeColor="background1"/>
                <w:sz w:val="20"/>
                <w:szCs w:val="20"/>
              </w:rPr>
              <w:t xml:space="preserve">1. </w:t>
            </w:r>
            <w:r w:rsidR="00613E66" w:rsidRPr="00CD2842">
              <w:rPr>
                <w:color w:val="F1F2F2" w:themeColor="background1"/>
                <w:sz w:val="20"/>
                <w:szCs w:val="20"/>
              </w:rPr>
              <w:t>Check direction</w:t>
            </w:r>
          </w:p>
        </w:tc>
        <w:tc>
          <w:tcPr>
            <w:tcW w:w="1701" w:type="dxa"/>
            <w:shd w:val="clear" w:color="auto" w:fill="2391A3"/>
            <w:vAlign w:val="center"/>
          </w:tcPr>
          <w:p w14:paraId="2D3BE2D1" w14:textId="38EC876B" w:rsidR="00FD2895" w:rsidRPr="00CD2842" w:rsidRDefault="00F013F7" w:rsidP="001E1CD5">
            <w:pPr>
              <w:jc w:val="center"/>
              <w:rPr>
                <w:color w:val="F1F2F2" w:themeColor="background1"/>
                <w:sz w:val="20"/>
                <w:szCs w:val="20"/>
              </w:rPr>
            </w:pPr>
            <w:r>
              <w:rPr>
                <w:color w:val="F1F2F2" w:themeColor="background1"/>
                <w:sz w:val="20"/>
                <w:szCs w:val="20"/>
              </w:rPr>
              <w:t xml:space="preserve">2. </w:t>
            </w:r>
            <w:r w:rsidR="00613E66" w:rsidRPr="00CD2842">
              <w:rPr>
                <w:color w:val="F1F2F2" w:themeColor="background1"/>
                <w:sz w:val="20"/>
                <w:szCs w:val="20"/>
              </w:rPr>
              <w:t>Confirm roles</w:t>
            </w:r>
          </w:p>
        </w:tc>
        <w:tc>
          <w:tcPr>
            <w:tcW w:w="1701" w:type="dxa"/>
            <w:shd w:val="clear" w:color="auto" w:fill="20728B"/>
            <w:vAlign w:val="center"/>
          </w:tcPr>
          <w:p w14:paraId="6D79295D" w14:textId="559156E6" w:rsidR="00FD2895" w:rsidRPr="00CD2842" w:rsidRDefault="00F013F7" w:rsidP="001E1CD5">
            <w:pPr>
              <w:jc w:val="center"/>
              <w:rPr>
                <w:color w:val="F1F2F2" w:themeColor="background1"/>
                <w:sz w:val="20"/>
                <w:szCs w:val="20"/>
              </w:rPr>
            </w:pPr>
            <w:r>
              <w:rPr>
                <w:color w:val="F1F2F2" w:themeColor="background1"/>
                <w:sz w:val="20"/>
                <w:szCs w:val="20"/>
              </w:rPr>
              <w:t xml:space="preserve">3. </w:t>
            </w:r>
            <w:r w:rsidR="00613E66" w:rsidRPr="00CD2842">
              <w:rPr>
                <w:color w:val="F1F2F2" w:themeColor="background1"/>
                <w:sz w:val="20"/>
                <w:szCs w:val="20"/>
              </w:rPr>
              <w:t>Make it accessible</w:t>
            </w:r>
          </w:p>
        </w:tc>
        <w:tc>
          <w:tcPr>
            <w:tcW w:w="1700" w:type="dxa"/>
            <w:shd w:val="clear" w:color="auto" w:fill="205373"/>
            <w:vAlign w:val="center"/>
          </w:tcPr>
          <w:p w14:paraId="5C34D2E3" w14:textId="37D77FC3" w:rsidR="00FD2895" w:rsidRPr="00CD2842" w:rsidRDefault="00F013F7" w:rsidP="001E1CD5">
            <w:pPr>
              <w:jc w:val="center"/>
              <w:rPr>
                <w:color w:val="F1F2F2" w:themeColor="background1"/>
                <w:sz w:val="20"/>
                <w:szCs w:val="20"/>
              </w:rPr>
            </w:pPr>
            <w:r>
              <w:rPr>
                <w:color w:val="F1F2F2" w:themeColor="background1"/>
                <w:sz w:val="20"/>
                <w:szCs w:val="20"/>
              </w:rPr>
              <w:t xml:space="preserve">4. </w:t>
            </w:r>
            <w:r w:rsidR="00613E66" w:rsidRPr="00CD2842">
              <w:rPr>
                <w:color w:val="F1F2F2" w:themeColor="background1"/>
                <w:sz w:val="20"/>
                <w:szCs w:val="20"/>
              </w:rPr>
              <w:t>Watch for role slip</w:t>
            </w:r>
          </w:p>
        </w:tc>
        <w:tc>
          <w:tcPr>
            <w:tcW w:w="1701" w:type="dxa"/>
            <w:shd w:val="clear" w:color="auto" w:fill="20345B"/>
            <w:vAlign w:val="center"/>
          </w:tcPr>
          <w:p w14:paraId="718B4346" w14:textId="588B7554" w:rsidR="00FD2895" w:rsidRPr="00CD2842" w:rsidRDefault="00F013F7" w:rsidP="001E1CD5">
            <w:pPr>
              <w:jc w:val="center"/>
              <w:rPr>
                <w:color w:val="F1F2F2" w:themeColor="background1"/>
                <w:sz w:val="20"/>
                <w:szCs w:val="20"/>
              </w:rPr>
            </w:pPr>
            <w:r>
              <w:rPr>
                <w:color w:val="F1F2F2" w:themeColor="background1"/>
                <w:sz w:val="20"/>
                <w:szCs w:val="20"/>
              </w:rPr>
              <w:t xml:space="preserve">5. </w:t>
            </w:r>
            <w:r w:rsidR="00613E66" w:rsidRPr="00CD2842">
              <w:rPr>
                <w:color w:val="F1F2F2" w:themeColor="background1"/>
                <w:sz w:val="20"/>
                <w:szCs w:val="20"/>
              </w:rPr>
              <w:t>Manage disagreements</w:t>
            </w:r>
          </w:p>
        </w:tc>
        <w:tc>
          <w:tcPr>
            <w:tcW w:w="1701" w:type="dxa"/>
            <w:shd w:val="clear" w:color="auto" w:fill="1D1343"/>
            <w:vAlign w:val="center"/>
          </w:tcPr>
          <w:p w14:paraId="06A0DB74" w14:textId="42022F93" w:rsidR="00FD2895" w:rsidRPr="00CD2842" w:rsidRDefault="00F013F7" w:rsidP="001E1CD5">
            <w:pPr>
              <w:jc w:val="center"/>
              <w:rPr>
                <w:color w:val="F1F2F2" w:themeColor="background1"/>
                <w:sz w:val="20"/>
                <w:szCs w:val="20"/>
              </w:rPr>
            </w:pPr>
            <w:r>
              <w:rPr>
                <w:color w:val="F1F2F2" w:themeColor="background1"/>
                <w:sz w:val="20"/>
                <w:szCs w:val="20"/>
              </w:rPr>
              <w:t xml:space="preserve">6. </w:t>
            </w:r>
            <w:r w:rsidR="00613E66" w:rsidRPr="00CD2842">
              <w:rPr>
                <w:color w:val="F1F2F2" w:themeColor="background1"/>
                <w:sz w:val="20"/>
                <w:szCs w:val="20"/>
              </w:rPr>
              <w:t>Record it</w:t>
            </w:r>
          </w:p>
        </w:tc>
      </w:tr>
      <w:tr w:rsidR="001E1CD5" w14:paraId="7FF0E95F" w14:textId="77777777" w:rsidTr="001E1CD5">
        <w:tc>
          <w:tcPr>
            <w:tcW w:w="1700" w:type="dxa"/>
          </w:tcPr>
          <w:p w14:paraId="48FCBE1F" w14:textId="5B35DF56" w:rsidR="00FD2895" w:rsidRPr="00613E66" w:rsidRDefault="00FD2895" w:rsidP="00D30842">
            <w:pPr>
              <w:rPr>
                <w:sz w:val="20"/>
                <w:szCs w:val="20"/>
              </w:rPr>
            </w:pPr>
            <w:r w:rsidRPr="00613E66">
              <w:rPr>
                <w:sz w:val="20"/>
                <w:szCs w:val="20"/>
              </w:rPr>
              <w:t xml:space="preserve">Ask the older person if they want </w:t>
            </w:r>
            <w:r w:rsidR="00B8193F">
              <w:rPr>
                <w:sz w:val="20"/>
                <w:szCs w:val="20"/>
              </w:rPr>
              <w:t>a</w:t>
            </w:r>
            <w:r w:rsidR="00B8193F" w:rsidRPr="00613E66">
              <w:rPr>
                <w:sz w:val="20"/>
                <w:szCs w:val="20"/>
              </w:rPr>
              <w:t xml:space="preserve"> </w:t>
            </w:r>
            <w:r w:rsidRPr="00613E66">
              <w:rPr>
                <w:sz w:val="20"/>
                <w:szCs w:val="20"/>
              </w:rPr>
              <w:t>registered supporter involved, and how.</w:t>
            </w:r>
          </w:p>
        </w:tc>
        <w:tc>
          <w:tcPr>
            <w:tcW w:w="1701" w:type="dxa"/>
          </w:tcPr>
          <w:p w14:paraId="23167538" w14:textId="756A0F17" w:rsidR="00FD2895" w:rsidRPr="00613E66" w:rsidRDefault="00FD2895" w:rsidP="00D30842">
            <w:pPr>
              <w:rPr>
                <w:sz w:val="20"/>
                <w:szCs w:val="20"/>
              </w:rPr>
            </w:pPr>
            <w:r w:rsidRPr="00613E66">
              <w:rPr>
                <w:sz w:val="20"/>
                <w:szCs w:val="20"/>
              </w:rPr>
              <w:t>Confirm the role of the older person and the role of the registered supporter in the decision-making process.</w:t>
            </w:r>
            <w:r w:rsidR="00B8193F">
              <w:rPr>
                <w:sz w:val="20"/>
                <w:szCs w:val="20"/>
              </w:rPr>
              <w:t xml:space="preserve"> </w:t>
            </w:r>
          </w:p>
        </w:tc>
        <w:tc>
          <w:tcPr>
            <w:tcW w:w="1701" w:type="dxa"/>
          </w:tcPr>
          <w:p w14:paraId="2F9BA389" w14:textId="55EEB4EF" w:rsidR="00FD2895" w:rsidRPr="00613E66" w:rsidRDefault="00FD2895" w:rsidP="00D30842">
            <w:pPr>
              <w:rPr>
                <w:sz w:val="20"/>
                <w:szCs w:val="20"/>
              </w:rPr>
            </w:pPr>
            <w:r w:rsidRPr="00613E66">
              <w:rPr>
                <w:sz w:val="20"/>
                <w:szCs w:val="20"/>
              </w:rPr>
              <w:t>Consider how to present the decision to make it clear and understandable for the older person e.g. plain language, visual</w:t>
            </w:r>
            <w:r w:rsidR="002856FC">
              <w:rPr>
                <w:sz w:val="20"/>
                <w:szCs w:val="20"/>
              </w:rPr>
              <w:t xml:space="preserve"> </w:t>
            </w:r>
            <w:r w:rsidRPr="00613E66">
              <w:rPr>
                <w:sz w:val="20"/>
                <w:szCs w:val="20"/>
              </w:rPr>
              <w:t>/</w:t>
            </w:r>
            <w:r w:rsidR="002856FC">
              <w:rPr>
                <w:sz w:val="20"/>
                <w:szCs w:val="20"/>
              </w:rPr>
              <w:t xml:space="preserve"> </w:t>
            </w:r>
            <w:r w:rsidRPr="00613E66">
              <w:rPr>
                <w:sz w:val="20"/>
                <w:szCs w:val="20"/>
              </w:rPr>
              <w:t>audiovisual aids,</w:t>
            </w:r>
            <w:r w:rsidR="0052046C">
              <w:rPr>
                <w:sz w:val="20"/>
                <w:szCs w:val="20"/>
              </w:rPr>
              <w:t xml:space="preserve"> </w:t>
            </w:r>
            <w:r w:rsidRPr="00613E66">
              <w:rPr>
                <w:sz w:val="20"/>
                <w:szCs w:val="20"/>
              </w:rPr>
              <w:t>interpreters.</w:t>
            </w:r>
          </w:p>
        </w:tc>
        <w:tc>
          <w:tcPr>
            <w:tcW w:w="1700" w:type="dxa"/>
          </w:tcPr>
          <w:p w14:paraId="00DD8F79" w14:textId="43C0B835" w:rsidR="00FD2895" w:rsidRPr="00613E66" w:rsidRDefault="00613E66" w:rsidP="00D30842">
            <w:pPr>
              <w:rPr>
                <w:sz w:val="20"/>
                <w:szCs w:val="20"/>
              </w:rPr>
            </w:pPr>
            <w:r w:rsidRPr="00613E66">
              <w:rPr>
                <w:sz w:val="20"/>
                <w:szCs w:val="20"/>
              </w:rPr>
              <w:t>If the registered supporter responds first or appears to communicate their preferences (as opposed to those of the older person), redirect back to the older person.</w:t>
            </w:r>
          </w:p>
        </w:tc>
        <w:tc>
          <w:tcPr>
            <w:tcW w:w="1701" w:type="dxa"/>
          </w:tcPr>
          <w:p w14:paraId="4ED5BA1F" w14:textId="3CC5E03A" w:rsidR="00FD2895" w:rsidRPr="00613E66" w:rsidRDefault="00613E66" w:rsidP="00D30842">
            <w:pPr>
              <w:rPr>
                <w:sz w:val="20"/>
                <w:szCs w:val="20"/>
              </w:rPr>
            </w:pPr>
            <w:r w:rsidRPr="00613E66">
              <w:rPr>
                <w:sz w:val="20"/>
                <w:szCs w:val="20"/>
              </w:rPr>
              <w:t xml:space="preserve">Park arguments, reconfirm the older person’s </w:t>
            </w:r>
            <w:r w:rsidR="00B8193F">
              <w:rPr>
                <w:sz w:val="20"/>
                <w:szCs w:val="20"/>
              </w:rPr>
              <w:t>decision, will or preference</w:t>
            </w:r>
            <w:r w:rsidRPr="00613E66">
              <w:rPr>
                <w:sz w:val="20"/>
                <w:szCs w:val="20"/>
              </w:rPr>
              <w:t xml:space="preserve">, and engage registered supporters in a conversation focused on the </w:t>
            </w:r>
            <w:r w:rsidR="00B8193F">
              <w:rPr>
                <w:sz w:val="20"/>
                <w:szCs w:val="20"/>
              </w:rPr>
              <w:t xml:space="preserve">decision, will or </w:t>
            </w:r>
            <w:r w:rsidRPr="00613E66">
              <w:rPr>
                <w:sz w:val="20"/>
                <w:szCs w:val="20"/>
              </w:rPr>
              <w:t>preferences of the older person.</w:t>
            </w:r>
          </w:p>
        </w:tc>
        <w:tc>
          <w:tcPr>
            <w:tcW w:w="1701" w:type="dxa"/>
          </w:tcPr>
          <w:p w14:paraId="785214B2" w14:textId="10225350" w:rsidR="00FD2895" w:rsidRPr="00613E66" w:rsidRDefault="00B8193F" w:rsidP="00D30842">
            <w:pPr>
              <w:rPr>
                <w:sz w:val="20"/>
                <w:szCs w:val="20"/>
              </w:rPr>
            </w:pPr>
            <w:r>
              <w:rPr>
                <w:sz w:val="20"/>
                <w:szCs w:val="20"/>
              </w:rPr>
              <w:t>Make</w:t>
            </w:r>
            <w:r w:rsidRPr="00613E66">
              <w:rPr>
                <w:sz w:val="20"/>
                <w:szCs w:val="20"/>
              </w:rPr>
              <w:t xml:space="preserve"> </w:t>
            </w:r>
            <w:r w:rsidR="00613E66" w:rsidRPr="00613E66">
              <w:rPr>
                <w:sz w:val="20"/>
                <w:szCs w:val="20"/>
              </w:rPr>
              <w:t xml:space="preserve">a record of the decision-making process: who was there, supports used, </w:t>
            </w:r>
            <w:r w:rsidR="00C20944">
              <w:rPr>
                <w:sz w:val="20"/>
                <w:szCs w:val="20"/>
              </w:rPr>
              <w:t>decisions, will or preferences that the</w:t>
            </w:r>
            <w:r w:rsidR="00C20944" w:rsidRPr="00613E66">
              <w:rPr>
                <w:sz w:val="20"/>
                <w:szCs w:val="20"/>
              </w:rPr>
              <w:t xml:space="preserve"> </w:t>
            </w:r>
            <w:r w:rsidR="00C20944">
              <w:rPr>
                <w:sz w:val="20"/>
                <w:szCs w:val="20"/>
              </w:rPr>
              <w:t>o</w:t>
            </w:r>
            <w:r w:rsidR="00613E66" w:rsidRPr="00613E66">
              <w:rPr>
                <w:sz w:val="20"/>
                <w:szCs w:val="20"/>
              </w:rPr>
              <w:t>lder person</w:t>
            </w:r>
            <w:r w:rsidR="00C20944">
              <w:rPr>
                <w:sz w:val="20"/>
                <w:szCs w:val="20"/>
              </w:rPr>
              <w:t xml:space="preserve"> made or communicated</w:t>
            </w:r>
            <w:r w:rsidR="00613E66" w:rsidRPr="00613E66">
              <w:rPr>
                <w:sz w:val="20"/>
                <w:szCs w:val="20"/>
              </w:rPr>
              <w:t>, and any concerns.</w:t>
            </w:r>
          </w:p>
        </w:tc>
      </w:tr>
    </w:tbl>
    <w:p w14:paraId="787118E9" w14:textId="77777777" w:rsidR="00FD2895" w:rsidRDefault="00FD2895" w:rsidP="00D30842"/>
    <w:p w14:paraId="73215034" w14:textId="01175ACC" w:rsidR="003A20FC" w:rsidRDefault="00AB40BB" w:rsidP="00CD2842">
      <w:pPr>
        <w:pStyle w:val="Heading3"/>
      </w:pPr>
      <w:r>
        <w:t xml:space="preserve">Go-to </w:t>
      </w:r>
      <w:r w:rsidR="003A20FC">
        <w:t>prompts</w:t>
      </w:r>
    </w:p>
    <w:p w14:paraId="470CF862" w14:textId="758C0AD4" w:rsidR="00826486" w:rsidRPr="000F4049" w:rsidRDefault="008D6881" w:rsidP="000F4049">
      <w:pPr>
        <w:pStyle w:val="Heading7"/>
        <w:rPr>
          <w:rStyle w:val="SubtleEmphasis"/>
          <w:i/>
          <w:iCs/>
          <w:color w:val="15575D" w:themeColor="accent1" w:themeShade="7F"/>
        </w:rPr>
      </w:pPr>
      <w:r w:rsidRPr="000F4049">
        <w:t xml:space="preserve"> </w:t>
      </w:r>
      <w:r w:rsidR="004871D4" w:rsidRPr="000F4049">
        <w:rPr>
          <w:rStyle w:val="SubtleEmphasis"/>
          <w:i/>
          <w:iCs/>
          <w:color w:val="15575D" w:themeColor="accent1" w:themeShade="7F"/>
        </w:rPr>
        <w:t xml:space="preserve">Quick phrases to ensure focus </w:t>
      </w:r>
      <w:r w:rsidR="0067754C" w:rsidRPr="000F4049">
        <w:rPr>
          <w:rStyle w:val="SubtleEmphasis"/>
          <w:i/>
          <w:iCs/>
          <w:color w:val="15575D" w:themeColor="accent1" w:themeShade="7F"/>
        </w:rPr>
        <w:t xml:space="preserve">remains </w:t>
      </w:r>
      <w:r w:rsidR="004871D4" w:rsidRPr="000F4049">
        <w:rPr>
          <w:rStyle w:val="SubtleEmphasis"/>
          <w:i/>
          <w:iCs/>
          <w:color w:val="15575D" w:themeColor="accent1" w:themeShade="7F"/>
        </w:rPr>
        <w:t>on the older person</w:t>
      </w:r>
    </w:p>
    <w:p w14:paraId="20EF09C0" w14:textId="4E54FDF1" w:rsidR="004871D4" w:rsidRDefault="0067754C" w:rsidP="00CD2842">
      <w:pPr>
        <w:pStyle w:val="Bullet"/>
      </w:pPr>
      <w:r>
        <w:t>How would you like me to help you make this decision?</w:t>
      </w:r>
    </w:p>
    <w:p w14:paraId="0248DFD3" w14:textId="54FABCC4" w:rsidR="00894D42" w:rsidRDefault="00894D42" w:rsidP="00CD2842">
      <w:pPr>
        <w:pStyle w:val="Bullet"/>
      </w:pPr>
      <w:r>
        <w:t>It is your choice, [</w:t>
      </w:r>
      <w:r w:rsidR="00C20944">
        <w:t xml:space="preserve">registered </w:t>
      </w:r>
      <w:r>
        <w:t xml:space="preserve">supporter] can help you, but you can decide. </w:t>
      </w:r>
    </w:p>
    <w:p w14:paraId="075BC368" w14:textId="57CEF9DF" w:rsidR="00C01927" w:rsidRDefault="00C01927" w:rsidP="00CD2842">
      <w:pPr>
        <w:pStyle w:val="Bullet"/>
      </w:pPr>
      <w:r>
        <w:t>Would you like [</w:t>
      </w:r>
      <w:r w:rsidR="00C20944">
        <w:t xml:space="preserve">registered </w:t>
      </w:r>
      <w:r>
        <w:t xml:space="preserve">supporter] involved in this decision? How would you like them to support you? </w:t>
      </w:r>
    </w:p>
    <w:p w14:paraId="65034609" w14:textId="38F23D47" w:rsidR="00FE0FDB" w:rsidRDefault="00F07A50" w:rsidP="00FE0FDB">
      <w:pPr>
        <w:pStyle w:val="Bullet"/>
      </w:pPr>
      <w:r>
        <w:t>[</w:t>
      </w:r>
      <w:r w:rsidR="00C20944">
        <w:t>Registered s</w:t>
      </w:r>
      <w:r>
        <w:t xml:space="preserve">upporter], I would like to </w:t>
      </w:r>
      <w:r w:rsidR="00C55349">
        <w:t xml:space="preserve">hear </w:t>
      </w:r>
      <w:r>
        <w:t xml:space="preserve">what [older person’s] </w:t>
      </w:r>
      <w:r w:rsidR="00C55349">
        <w:t>decisions or wishes are</w:t>
      </w:r>
      <w:r>
        <w:t xml:space="preserve">. </w:t>
      </w:r>
    </w:p>
    <w:p w14:paraId="035B81FB" w14:textId="5F499FEE" w:rsidR="00DE6FE1" w:rsidRDefault="00DE6FE1" w:rsidP="00CD2842">
      <w:pPr>
        <w:pStyle w:val="Heading3"/>
      </w:pPr>
      <w:r>
        <w:t>Things to look</w:t>
      </w:r>
      <w:r w:rsidR="000F0C44">
        <w:t xml:space="preserve"> out</w:t>
      </w:r>
      <w:r>
        <w:t xml:space="preserve"> for </w:t>
      </w:r>
    </w:p>
    <w:p w14:paraId="68962245" w14:textId="2F69F71F" w:rsidR="00DE6FE1" w:rsidRPr="004B4A23" w:rsidRDefault="00CA0C0A" w:rsidP="004B4A23">
      <w:pPr>
        <w:pStyle w:val="Heading7"/>
        <w:rPr>
          <w:rStyle w:val="SubtleEmphasis"/>
          <w:i/>
          <w:iCs/>
          <w:color w:val="15575D" w:themeColor="accent1" w:themeShade="7F"/>
        </w:rPr>
      </w:pPr>
      <w:r w:rsidRPr="004B4A23">
        <w:t>Signs that the supporter may not be acting</w:t>
      </w:r>
      <w:r w:rsidR="00391FCB" w:rsidRPr="004B4A23">
        <w:rPr>
          <w:rStyle w:val="SubtleEmphasis"/>
          <w:i/>
          <w:iCs/>
          <w:color w:val="15575D" w:themeColor="accent1" w:themeShade="7F"/>
        </w:rPr>
        <w:t xml:space="preserve"> </w:t>
      </w:r>
      <w:r w:rsidRPr="004B4A23">
        <w:rPr>
          <w:rStyle w:val="SubtleEmphasis"/>
          <w:i/>
          <w:iCs/>
          <w:color w:val="15575D" w:themeColor="accent1" w:themeShade="7F"/>
        </w:rPr>
        <w:t xml:space="preserve">in line with their role </w:t>
      </w:r>
    </w:p>
    <w:p w14:paraId="55BDDC6F" w14:textId="61554916" w:rsidR="00CA0C0A" w:rsidRDefault="008944B3" w:rsidP="00CD2842">
      <w:pPr>
        <w:pStyle w:val="Bullet"/>
      </w:pPr>
      <w:r>
        <w:t xml:space="preserve">The </w:t>
      </w:r>
      <w:r w:rsidR="00C55349">
        <w:t xml:space="preserve">registered </w:t>
      </w:r>
      <w:r>
        <w:t xml:space="preserve">supporter </w:t>
      </w:r>
      <w:r w:rsidR="009278BA">
        <w:t>speaks over or contradicts the older person</w:t>
      </w:r>
    </w:p>
    <w:p w14:paraId="6D21EA65" w14:textId="18CF2B56" w:rsidR="009278BA" w:rsidRDefault="009278BA" w:rsidP="00CD2842">
      <w:pPr>
        <w:pStyle w:val="Bullet"/>
      </w:pPr>
      <w:r>
        <w:t xml:space="preserve">The </w:t>
      </w:r>
      <w:r w:rsidR="00C55349">
        <w:t xml:space="preserve">registered </w:t>
      </w:r>
      <w:r>
        <w:t xml:space="preserve">supporter refuses </w:t>
      </w:r>
      <w:r w:rsidR="00863B02">
        <w:t>to allow you to check-in privately with the older person</w:t>
      </w:r>
    </w:p>
    <w:p w14:paraId="1FA77713" w14:textId="3FD5C70A" w:rsidR="00863B02" w:rsidRDefault="00863B02" w:rsidP="00CD2842">
      <w:pPr>
        <w:pStyle w:val="Bullet"/>
      </w:pPr>
      <w:r>
        <w:lastRenderedPageBreak/>
        <w:t xml:space="preserve">The older person changes their views or is reluctant to speak-up when their </w:t>
      </w:r>
      <w:r w:rsidR="00C55349">
        <w:t xml:space="preserve">registered </w:t>
      </w:r>
      <w:r>
        <w:t xml:space="preserve">supporter is around </w:t>
      </w:r>
    </w:p>
    <w:p w14:paraId="60B6B036" w14:textId="322EDA19" w:rsidR="00FE0FDB" w:rsidRPr="00FE0FDB" w:rsidRDefault="00863B02" w:rsidP="008143D8">
      <w:pPr>
        <w:pStyle w:val="Bullet"/>
      </w:pPr>
      <w:r>
        <w:t xml:space="preserve">Signs of pressure or coercion from the </w:t>
      </w:r>
      <w:r w:rsidR="00C55349">
        <w:t xml:space="preserve">registered </w:t>
      </w:r>
      <w:r>
        <w:t xml:space="preserve">supporter </w:t>
      </w:r>
    </w:p>
    <w:p w14:paraId="40B07BE7" w14:textId="0511236C" w:rsidR="00DE6FE1" w:rsidRDefault="009A567F" w:rsidP="008143D8">
      <w:pPr>
        <w:rPr>
          <w:b/>
          <w:bCs/>
        </w:rPr>
      </w:pPr>
      <w:r w:rsidRPr="000F4049">
        <w:t xml:space="preserve">If you notice any of these signs: </w:t>
      </w:r>
      <w:r w:rsidRPr="00E02244">
        <w:rPr>
          <w:b/>
          <w:bCs/>
          <w:i/>
          <w:iCs/>
        </w:rPr>
        <w:t>Pause – Separate – Escalate – Document</w:t>
      </w:r>
      <w:r>
        <w:rPr>
          <w:b/>
          <w:bCs/>
        </w:rPr>
        <w:t xml:space="preserve"> </w:t>
      </w:r>
    </w:p>
    <w:p w14:paraId="470B8095" w14:textId="3C5ECAC1" w:rsidR="003441DD" w:rsidRPr="00CD2842" w:rsidRDefault="003441DD" w:rsidP="00CD2842">
      <w:pPr>
        <w:pStyle w:val="Bullet"/>
      </w:pPr>
      <w:r w:rsidRPr="003441DD">
        <w:rPr>
          <w:b/>
          <w:bCs/>
        </w:rPr>
        <w:t>Pause</w:t>
      </w:r>
      <w:r w:rsidRPr="00CD2842">
        <w:rPr>
          <w:b/>
          <w:bCs/>
        </w:rPr>
        <w:t xml:space="preserve">: </w:t>
      </w:r>
      <w:r w:rsidRPr="00CD2842">
        <w:t>stop the conversation or action if you notice something concerning.</w:t>
      </w:r>
    </w:p>
    <w:p w14:paraId="1F50A13C" w14:textId="44080EDD" w:rsidR="003441DD" w:rsidRPr="00CD2842" w:rsidRDefault="003441DD" w:rsidP="00CD2842">
      <w:pPr>
        <w:pStyle w:val="Bullet"/>
      </w:pPr>
      <w:r w:rsidRPr="00CD2842">
        <w:rPr>
          <w:b/>
          <w:bCs/>
        </w:rPr>
        <w:t>Separate:</w:t>
      </w:r>
      <w:r w:rsidRPr="00CD2842">
        <w:t xml:space="preserve"> create space to check in privately with the older person.</w:t>
      </w:r>
    </w:p>
    <w:p w14:paraId="73462AC0" w14:textId="6C07FF4D" w:rsidR="003441DD" w:rsidRPr="00CD2842" w:rsidRDefault="003441DD" w:rsidP="00CD2842">
      <w:pPr>
        <w:pStyle w:val="Bullet"/>
      </w:pPr>
      <w:r w:rsidRPr="00CD2842">
        <w:rPr>
          <w:b/>
          <w:bCs/>
        </w:rPr>
        <w:t>Escalate:</w:t>
      </w:r>
      <w:r w:rsidRPr="00CD2842">
        <w:t xml:space="preserve"> raise the concern to a supervisor or manager for follow-up.</w:t>
      </w:r>
    </w:p>
    <w:p w14:paraId="2D7E3010" w14:textId="725D8616" w:rsidR="00FE0FDB" w:rsidRPr="003441DD" w:rsidRDefault="003441DD" w:rsidP="00FE0FDB">
      <w:pPr>
        <w:pStyle w:val="Bullet"/>
      </w:pPr>
      <w:r w:rsidRPr="00CD2842">
        <w:rPr>
          <w:b/>
          <w:bCs/>
        </w:rPr>
        <w:t>Document:</w:t>
      </w:r>
      <w:r w:rsidRPr="00CD2842">
        <w:t xml:space="preserve"> record what</w:t>
      </w:r>
      <w:r w:rsidRPr="003441DD">
        <w:t xml:space="preserve"> happened, what was observed, and any action taken.</w:t>
      </w:r>
    </w:p>
    <w:p w14:paraId="267DCC4E" w14:textId="04EF268D" w:rsidR="003441DD" w:rsidRDefault="00D27799" w:rsidP="00CD2842">
      <w:pPr>
        <w:pStyle w:val="Heading3"/>
      </w:pPr>
      <w:r>
        <w:t>Documenting the process</w:t>
      </w:r>
    </w:p>
    <w:p w14:paraId="730A53B3" w14:textId="2EA7C8C9" w:rsidR="00D27799" w:rsidRPr="000F4049" w:rsidRDefault="00D27799" w:rsidP="000F4049">
      <w:pPr>
        <w:pStyle w:val="Heading7"/>
        <w:rPr>
          <w:rStyle w:val="SubtleEmphasis"/>
          <w:i/>
          <w:iCs/>
          <w:color w:val="15575D" w:themeColor="accent1" w:themeShade="7F"/>
        </w:rPr>
      </w:pPr>
      <w:r w:rsidRPr="000F4049">
        <w:rPr>
          <w:rStyle w:val="SubtleEmphasis"/>
          <w:i/>
          <w:iCs/>
          <w:color w:val="15575D" w:themeColor="accent1" w:themeShade="7F"/>
        </w:rPr>
        <w:t xml:space="preserve">Things to include when </w:t>
      </w:r>
      <w:r w:rsidR="00C55349">
        <w:rPr>
          <w:rStyle w:val="SubtleEmphasis"/>
          <w:i/>
          <w:iCs/>
          <w:color w:val="15575D" w:themeColor="accent1" w:themeShade="7F"/>
        </w:rPr>
        <w:t>making</w:t>
      </w:r>
      <w:r w:rsidR="00C55349" w:rsidRPr="000F4049">
        <w:rPr>
          <w:rStyle w:val="SubtleEmphasis"/>
          <w:i/>
          <w:iCs/>
          <w:color w:val="15575D" w:themeColor="accent1" w:themeShade="7F"/>
        </w:rPr>
        <w:t xml:space="preserve"> </w:t>
      </w:r>
      <w:r w:rsidRPr="000F4049">
        <w:rPr>
          <w:rStyle w:val="SubtleEmphasis"/>
          <w:i/>
          <w:iCs/>
          <w:color w:val="15575D" w:themeColor="accent1" w:themeShade="7F"/>
        </w:rPr>
        <w:t xml:space="preserve">a record of the decision-making process. </w:t>
      </w:r>
    </w:p>
    <w:p w14:paraId="43854769" w14:textId="23D6537E" w:rsidR="00E226E5" w:rsidRPr="00E226E5" w:rsidRDefault="00E226E5" w:rsidP="00F93FC6">
      <w:pPr>
        <w:pStyle w:val="Bullet"/>
      </w:pPr>
      <w:r w:rsidRPr="00E226E5">
        <w:rPr>
          <w:b/>
          <w:bCs/>
        </w:rPr>
        <w:t>Roles present:</w:t>
      </w:r>
      <w:r w:rsidRPr="00E226E5">
        <w:t xml:space="preserve"> note who was involved in the discussion (older person, registered supporter, staff, others).</w:t>
      </w:r>
    </w:p>
    <w:p w14:paraId="6B11682D" w14:textId="61027F48" w:rsidR="00E226E5" w:rsidRPr="00E226E5" w:rsidRDefault="00E226E5" w:rsidP="00F93FC6">
      <w:pPr>
        <w:pStyle w:val="Bullet"/>
      </w:pPr>
      <w:r w:rsidRPr="00E226E5">
        <w:rPr>
          <w:b/>
          <w:bCs/>
        </w:rPr>
        <w:t>Supports provided:</w:t>
      </w:r>
      <w:r w:rsidRPr="00E226E5">
        <w:t xml:space="preserve"> record any aids or adjustments used (interpreters, plain language, extra time, hearing/vision supports).</w:t>
      </w:r>
    </w:p>
    <w:p w14:paraId="15D668CE" w14:textId="1482A828" w:rsidR="00E226E5" w:rsidRPr="00E226E5" w:rsidRDefault="00E226E5" w:rsidP="00F93FC6">
      <w:pPr>
        <w:pStyle w:val="Bullet"/>
      </w:pPr>
      <w:r w:rsidRPr="00E226E5">
        <w:rPr>
          <w:b/>
          <w:bCs/>
        </w:rPr>
        <w:t>Options explained:</w:t>
      </w:r>
      <w:r w:rsidRPr="00E226E5">
        <w:t xml:space="preserve"> list the </w:t>
      </w:r>
      <w:r w:rsidRPr="00F93FC6">
        <w:t>choices</w:t>
      </w:r>
      <w:r w:rsidRPr="00E226E5">
        <w:t xml:space="preserve"> offered and how they were presented to the older person.</w:t>
      </w:r>
    </w:p>
    <w:p w14:paraId="5D7F7463" w14:textId="6B58BB40" w:rsidR="00E226E5" w:rsidRDefault="00E226E5" w:rsidP="00F93FC6">
      <w:pPr>
        <w:pStyle w:val="Bullet"/>
      </w:pPr>
      <w:r w:rsidRPr="00E226E5">
        <w:rPr>
          <w:b/>
          <w:bCs/>
        </w:rPr>
        <w:t>Older person’s decision (their words):</w:t>
      </w:r>
      <w:r w:rsidRPr="00E226E5">
        <w:t xml:space="preserve"> capture the decision in the older person’s own language wherever possible.</w:t>
      </w:r>
    </w:p>
    <w:p w14:paraId="7EE6ABF3" w14:textId="1F6D2918" w:rsidR="00AC23CC" w:rsidRPr="00E226E5" w:rsidRDefault="00AC23CC" w:rsidP="003F5C03">
      <w:pPr>
        <w:pStyle w:val="Bullet"/>
        <w:numPr>
          <w:ilvl w:val="1"/>
          <w:numId w:val="21"/>
        </w:numPr>
      </w:pPr>
      <w:r>
        <w:t>However, remember to encourage and accept</w:t>
      </w:r>
      <w:r w:rsidRPr="00AC23CC">
        <w:t xml:space="preserve"> different ways of receiving, understanding, and communicating information by older people. This includes respect for all kinds of communication, including written, verbal, and non-verbal communication, and communication using assistive technology.</w:t>
      </w:r>
    </w:p>
    <w:p w14:paraId="7DA0D3BA" w14:textId="0A526867" w:rsidR="00E226E5" w:rsidRPr="00E226E5" w:rsidRDefault="00E226E5" w:rsidP="00F93FC6">
      <w:pPr>
        <w:pStyle w:val="Bullet"/>
      </w:pPr>
      <w:r w:rsidRPr="00E226E5">
        <w:rPr>
          <w:b/>
          <w:bCs/>
        </w:rPr>
        <w:t>Disagreements handled:</w:t>
      </w:r>
      <w:r w:rsidRPr="00E226E5">
        <w:t xml:space="preserve"> describe any differing views and how the older person’s choice was confirmed.</w:t>
      </w:r>
    </w:p>
    <w:p w14:paraId="477F9EE3" w14:textId="3B2C484E" w:rsidR="00D27799" w:rsidRPr="00D27799" w:rsidRDefault="00E226E5" w:rsidP="00F93FC6">
      <w:pPr>
        <w:pStyle w:val="Bullet"/>
      </w:pPr>
      <w:r w:rsidRPr="00E226E5">
        <w:rPr>
          <w:b/>
          <w:bCs/>
        </w:rPr>
        <w:t xml:space="preserve">Concerns + action </w:t>
      </w:r>
      <w:proofErr w:type="gramStart"/>
      <w:r w:rsidRPr="00E226E5">
        <w:rPr>
          <w:b/>
          <w:bCs/>
        </w:rPr>
        <w:t>taken:</w:t>
      </w:r>
      <w:proofErr w:type="gramEnd"/>
      <w:r w:rsidRPr="00E226E5">
        <w:t xml:space="preserve"> record any </w:t>
      </w:r>
      <w:r w:rsidR="00737EF4">
        <w:t>concerns</w:t>
      </w:r>
      <w:r w:rsidRPr="00E226E5">
        <w:t xml:space="preserve"> noticed and what steps you took (pause, separate, escalate).</w:t>
      </w:r>
    </w:p>
    <w:sectPr w:rsidR="00D27799" w:rsidRPr="00D27799" w:rsidSect="00D73424">
      <w:headerReference w:type="even" r:id="rId13"/>
      <w:headerReference w:type="default" r:id="rId14"/>
      <w:footerReference w:type="even" r:id="rId15"/>
      <w:footerReference w:type="default" r:id="rId16"/>
      <w:headerReference w:type="first" r:id="rId17"/>
      <w:footerReference w:type="first" r:id="rId18"/>
      <w:pgSz w:w="11906" w:h="16838"/>
      <w:pgMar w:top="709" w:right="851" w:bottom="1418" w:left="851" w:header="1066"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82395D" w14:textId="77777777" w:rsidR="003A5A8F" w:rsidRDefault="003A5A8F" w:rsidP="0076491B">
      <w:pPr>
        <w:spacing w:before="0" w:after="0" w:line="240" w:lineRule="auto"/>
      </w:pPr>
      <w:r>
        <w:separator/>
      </w:r>
    </w:p>
  </w:endnote>
  <w:endnote w:type="continuationSeparator" w:id="0">
    <w:p w14:paraId="50D2F441" w14:textId="77777777" w:rsidR="003A5A8F" w:rsidRDefault="003A5A8F" w:rsidP="0076491B">
      <w:pPr>
        <w:spacing w:before="0" w:after="0" w:line="240" w:lineRule="auto"/>
      </w:pPr>
      <w:r>
        <w:continuationSeparator/>
      </w:r>
    </w:p>
  </w:endnote>
  <w:endnote w:type="continuationNotice" w:id="1">
    <w:p w14:paraId="0CADC0E0" w14:textId="77777777" w:rsidR="003A5A8F" w:rsidRDefault="003A5A8F">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EAFE4" w14:textId="38C68BC8" w:rsidR="00FB79F6" w:rsidRDefault="00FB79F6">
    <w:pPr>
      <w:pStyle w:val="Footer"/>
    </w:pPr>
    <w:r>
      <w:rPr>
        <w:noProof/>
      </w:rPr>
      <mc:AlternateContent>
        <mc:Choice Requires="wps">
          <w:drawing>
            <wp:anchor distT="0" distB="0" distL="0" distR="0" simplePos="0" relativeHeight="251658245" behindDoc="0" locked="0" layoutInCell="1" allowOverlap="1" wp14:anchorId="33ED39F8" wp14:editId="2ED5AF6B">
              <wp:simplePos x="635" y="635"/>
              <wp:positionH relativeFrom="page">
                <wp:align>center</wp:align>
              </wp:positionH>
              <wp:positionV relativeFrom="page">
                <wp:align>bottom</wp:align>
              </wp:positionV>
              <wp:extent cx="609600" cy="485775"/>
              <wp:effectExtent l="0" t="0" r="0" b="0"/>
              <wp:wrapNone/>
              <wp:docPr id="1563013265"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485775"/>
                      </a:xfrm>
                      <a:prstGeom prst="rect">
                        <a:avLst/>
                      </a:prstGeom>
                      <a:noFill/>
                      <a:ln>
                        <a:noFill/>
                      </a:ln>
                    </wps:spPr>
                    <wps:txbx>
                      <w:txbxContent>
                        <w:p w14:paraId="558DAB69" w14:textId="36F5C685" w:rsidR="00FB79F6" w:rsidRPr="00FB79F6" w:rsidRDefault="00FB79F6" w:rsidP="00FB79F6">
                          <w:pPr>
                            <w:spacing w:after="0"/>
                            <w:rPr>
                              <w:rFonts w:ascii="Aptos" w:eastAsia="Aptos" w:hAnsi="Aptos" w:cs="Aptos"/>
                              <w:noProof/>
                              <w:color w:val="FF0000"/>
                            </w:rPr>
                          </w:pPr>
                          <w:r w:rsidRPr="00FB79F6">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3ED39F8" id="_x0000_t202" coordsize="21600,21600" o:spt="202" path="m,l,21600r21600,l21600,xe">
              <v:stroke joinstyle="miter"/>
              <v:path gradientshapeok="t" o:connecttype="rect"/>
            </v:shapetype>
            <v:shape id="Text Box 5" o:spid="_x0000_s1028" type="#_x0000_t202" alt="OFFICIAL" style="position:absolute;margin-left:0;margin-top:0;width:48pt;height:38.2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" filled="f" stroked="f">
              <v:textbox style="mso-fit-shape-to-text:t" inset="0,0,0,15pt">
                <w:txbxContent>
                  <w:p w14:paraId="558DAB69" w14:textId="36F5C685" w:rsidR="00FB79F6" w:rsidRPr="00FB79F6" w:rsidRDefault="00FB79F6" w:rsidP="00FB79F6">
                    <w:pPr>
                      <w:spacing w:after="0"/>
                      <w:rPr>
                        <w:rFonts w:ascii="Aptos" w:eastAsia="Aptos" w:hAnsi="Aptos" w:cs="Aptos"/>
                        <w:noProof/>
                        <w:color w:val="FF0000"/>
                      </w:rPr>
                    </w:pPr>
                    <w:r w:rsidRPr="00FB79F6">
                      <w:rPr>
                        <w:rFonts w:ascii="Aptos" w:eastAsia="Aptos" w:hAnsi="Aptos" w:cs="Aptos"/>
                        <w:noProof/>
                        <w:color w:val="FF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152FA" w14:textId="3A313019" w:rsidR="2566EFA4" w:rsidRPr="00EC62DA" w:rsidRDefault="001F4E64" w:rsidP="00EC62DA">
    <w:pPr>
      <w:pStyle w:val="Header"/>
      <w:tabs>
        <w:tab w:val="clear" w:pos="4513"/>
        <w:tab w:val="clear" w:pos="9026"/>
        <w:tab w:val="center" w:pos="3508"/>
        <w:tab w:val="right" w:pos="6908"/>
      </w:tabs>
      <w:ind w:left="108" w:right="-115"/>
    </w:pPr>
    <w:r>
      <w:t xml:space="preserve">Quick reference: </w:t>
    </w:r>
    <w:r w:rsidR="00DC4BFC">
      <w:t>Working with registered supporters</w:t>
    </w:r>
    <w:r w:rsidR="00EC62DA">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F9F2F" w14:textId="2A9BA7C7" w:rsidR="2566EFA4" w:rsidRPr="00EC62DA" w:rsidRDefault="0019783D" w:rsidP="00EC62DA">
    <w:pPr>
      <w:pStyle w:val="Header"/>
      <w:tabs>
        <w:tab w:val="clear" w:pos="4513"/>
        <w:tab w:val="clear" w:pos="9026"/>
        <w:tab w:val="center" w:pos="3508"/>
        <w:tab w:val="right" w:pos="6908"/>
      </w:tabs>
      <w:ind w:left="108" w:right="-115"/>
    </w:pPr>
    <w:r>
      <w:t xml:space="preserve">Quick reference: </w:t>
    </w:r>
    <w:r w:rsidR="0065088A">
      <w:t>Working with registered supporters</w:t>
    </w:r>
    <w:r w:rsidR="00EC62DA">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11E235" w14:textId="77777777" w:rsidR="003A5A8F" w:rsidRDefault="003A5A8F" w:rsidP="0076491B">
      <w:pPr>
        <w:spacing w:before="0" w:after="0" w:line="240" w:lineRule="auto"/>
      </w:pPr>
      <w:r>
        <w:separator/>
      </w:r>
    </w:p>
  </w:footnote>
  <w:footnote w:type="continuationSeparator" w:id="0">
    <w:p w14:paraId="596DA6FA" w14:textId="77777777" w:rsidR="003A5A8F" w:rsidRDefault="003A5A8F" w:rsidP="0076491B">
      <w:pPr>
        <w:spacing w:before="0" w:after="0" w:line="240" w:lineRule="auto"/>
      </w:pPr>
      <w:r>
        <w:continuationSeparator/>
      </w:r>
    </w:p>
  </w:footnote>
  <w:footnote w:type="continuationNotice" w:id="1">
    <w:p w14:paraId="7A84F8F5" w14:textId="77777777" w:rsidR="003A5A8F" w:rsidRDefault="003A5A8F">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6DBCA" w14:textId="3B8B11C7" w:rsidR="00FB79F6" w:rsidRDefault="00FB79F6">
    <w:pPr>
      <w:pStyle w:val="Header"/>
    </w:pPr>
    <w:r>
      <w:rPr>
        <w:noProof/>
      </w:rPr>
      <mc:AlternateContent>
        <mc:Choice Requires="wps">
          <w:drawing>
            <wp:anchor distT="0" distB="0" distL="0" distR="0" simplePos="0" relativeHeight="251658242" behindDoc="0" locked="0" layoutInCell="1" allowOverlap="1" wp14:anchorId="6135E066" wp14:editId="6A131F2F">
              <wp:simplePos x="635" y="635"/>
              <wp:positionH relativeFrom="page">
                <wp:align>center</wp:align>
              </wp:positionH>
              <wp:positionV relativeFrom="page">
                <wp:align>top</wp:align>
              </wp:positionV>
              <wp:extent cx="609600" cy="485775"/>
              <wp:effectExtent l="0" t="0" r="0" b="9525"/>
              <wp:wrapNone/>
              <wp:docPr id="927398138"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485775"/>
                      </a:xfrm>
                      <a:prstGeom prst="rect">
                        <a:avLst/>
                      </a:prstGeom>
                      <a:noFill/>
                      <a:ln>
                        <a:noFill/>
                      </a:ln>
                    </wps:spPr>
                    <wps:txbx>
                      <w:txbxContent>
                        <w:p w14:paraId="1CCD6D16" w14:textId="0FDE9BFE" w:rsidR="00FB79F6" w:rsidRPr="00FB79F6" w:rsidRDefault="00FB79F6" w:rsidP="00FB79F6">
                          <w:pPr>
                            <w:spacing w:after="0"/>
                            <w:rPr>
                              <w:rFonts w:ascii="Aptos" w:eastAsia="Aptos" w:hAnsi="Aptos" w:cs="Aptos"/>
                              <w:noProof/>
                              <w:color w:val="FF0000"/>
                            </w:rPr>
                          </w:pPr>
                          <w:r w:rsidRPr="00FB79F6">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135E066" id="_x0000_t202" coordsize="21600,21600" o:spt="202" path="m,l,21600r21600,l21600,xe">
              <v:stroke joinstyle="miter"/>
              <v:path gradientshapeok="t" o:connecttype="rect"/>
            </v:shapetype>
            <v:shape id="Text Box 2" o:spid="_x0000_s1026" type="#_x0000_t202" alt="OFFICIAL" style="position:absolute;margin-left:0;margin-top:0;width:48pt;height:38.2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" filled="f" stroked="f">
              <v:textbox style="mso-fit-shape-to-text:t" inset="0,15pt,0,0">
                <w:txbxContent>
                  <w:p w14:paraId="1CCD6D16" w14:textId="0FDE9BFE" w:rsidR="00FB79F6" w:rsidRPr="00FB79F6" w:rsidRDefault="00FB79F6" w:rsidP="00FB79F6">
                    <w:pPr>
                      <w:spacing w:after="0"/>
                      <w:rPr>
                        <w:rFonts w:ascii="Aptos" w:eastAsia="Aptos" w:hAnsi="Aptos" w:cs="Aptos"/>
                        <w:noProof/>
                        <w:color w:val="FF0000"/>
                      </w:rPr>
                    </w:pPr>
                    <w:r w:rsidRPr="00FB79F6">
                      <w:rPr>
                        <w:rFonts w:ascii="Aptos" w:eastAsia="Aptos" w:hAnsi="Aptos" w:cs="Aptos"/>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14AE0" w14:textId="728EAF79" w:rsidR="00FB79F6" w:rsidRDefault="00FB79F6">
    <w:pPr>
      <w:pStyle w:val="Header"/>
    </w:pPr>
    <w:r>
      <w:rPr>
        <w:noProof/>
      </w:rPr>
      <mc:AlternateContent>
        <mc:Choice Requires="wps">
          <w:drawing>
            <wp:anchor distT="0" distB="0" distL="0" distR="0" simplePos="0" relativeHeight="251658243" behindDoc="0" locked="0" layoutInCell="1" allowOverlap="1" wp14:anchorId="66EE9B15" wp14:editId="1BE28BC3">
              <wp:simplePos x="635" y="635"/>
              <wp:positionH relativeFrom="page">
                <wp:align>center</wp:align>
              </wp:positionH>
              <wp:positionV relativeFrom="page">
                <wp:align>top</wp:align>
              </wp:positionV>
              <wp:extent cx="609600" cy="485775"/>
              <wp:effectExtent l="0" t="0" r="0" b="9525"/>
              <wp:wrapNone/>
              <wp:docPr id="1187818247"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485775"/>
                      </a:xfrm>
                      <a:prstGeom prst="rect">
                        <a:avLst/>
                      </a:prstGeom>
                      <a:noFill/>
                      <a:ln>
                        <a:noFill/>
                      </a:ln>
                    </wps:spPr>
                    <wps:txbx>
                      <w:txbxContent>
                        <w:p w14:paraId="05B330BC" w14:textId="03573107" w:rsidR="00FB79F6" w:rsidRPr="00FB79F6" w:rsidRDefault="00FB79F6" w:rsidP="00FB79F6">
                          <w:pPr>
                            <w:spacing w:after="0"/>
                            <w:rPr>
                              <w:rFonts w:ascii="Aptos" w:eastAsia="Aptos" w:hAnsi="Aptos" w:cs="Aptos"/>
                              <w:noProof/>
                              <w:color w:val="FF0000"/>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6EE9B15" id="_x0000_t202" coordsize="21600,21600" o:spt="202" path="m,l,21600r21600,l21600,xe">
              <v:stroke joinstyle="miter"/>
              <v:path gradientshapeok="t" o:connecttype="rect"/>
            </v:shapetype>
            <v:shape id="Text Box 3" o:spid="_x0000_s1027" type="#_x0000_t202" alt="OFFICIAL" style="position:absolute;margin-left:0;margin-top:0;width:48pt;height:38.25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" filled="f" stroked="f">
              <v:textbox style="mso-fit-shape-to-text:t" inset="0,15pt,0,0">
                <w:txbxContent>
                  <w:p w14:paraId="05B330BC" w14:textId="03573107" w:rsidR="00FB79F6" w:rsidRPr="00FB79F6" w:rsidRDefault="00FB79F6" w:rsidP="00FB79F6">
                    <w:pPr>
                      <w:spacing w:after="0"/>
                      <w:rPr>
                        <w:rFonts w:ascii="Aptos" w:eastAsia="Aptos" w:hAnsi="Aptos" w:cs="Aptos"/>
                        <w:noProof/>
                        <w:color w:val="FF0000"/>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69720" w14:textId="0A0D4F3B" w:rsidR="0076491B" w:rsidRDefault="00746B36">
    <w:pPr>
      <w:pStyle w:val="Header"/>
    </w:pPr>
    <w:r>
      <w:rPr>
        <w:noProof/>
        <w:lang w:val="en-US"/>
      </w:rPr>
      <w:drawing>
        <wp:anchor distT="0" distB="0" distL="114300" distR="114300" simplePos="0" relativeHeight="251658240" behindDoc="0" locked="0" layoutInCell="1" allowOverlap="1" wp14:anchorId="26ED6B78" wp14:editId="3BA534FE">
          <wp:simplePos x="0" y="0"/>
          <wp:positionH relativeFrom="page">
            <wp:posOffset>0</wp:posOffset>
          </wp:positionH>
          <wp:positionV relativeFrom="page">
            <wp:posOffset>0</wp:posOffset>
          </wp:positionV>
          <wp:extent cx="7558363" cy="2112411"/>
          <wp:effectExtent l="0" t="0" r="0" b="0"/>
          <wp:wrapNone/>
          <wp:docPr id="647419050" name="Picture 64741905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a:extLst>
                      <a:ext uri="{C183D7F6-B498-43B3-948B-1728B52AA6E4}">
                        <adec:decorative xmlns:adec="http://schemas.microsoft.com/office/drawing/2017/decorative" val="1"/>
                      </a:ext>
                    </a:extLst>
                  </pic:cNvPr>
                  <pic:cNvPicPr/>
                </pic:nvPicPr>
                <pic:blipFill rotWithShape="1">
                  <a:blip r:embed="rId1">
                    <a:extLst>
                      <a:ext uri="{28A0092B-C50C-407E-A947-70E740481C1C}">
                        <a14:useLocalDpi xmlns:a14="http://schemas.microsoft.com/office/drawing/2010/main" val="0"/>
                      </a:ext>
                    </a:extLst>
                  </a:blip>
                  <a:srcRect t="1" b="80264"/>
                  <a:stretch/>
                </pic:blipFill>
                <pic:spPr bwMode="auto">
                  <a:xfrm>
                    <a:off x="0" y="0"/>
                    <a:ext cx="7560000" cy="2112869"/>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D0C9B"/>
    <w:multiLevelType w:val="hybridMultilevel"/>
    <w:tmpl w:val="CB484122"/>
    <w:lvl w:ilvl="0" w:tplc="FC34FDC6">
      <w:start w:val="1"/>
      <w:numFmt w:val="bullet"/>
      <w:lvlText w:val=""/>
      <w:lvlJc w:val="left"/>
      <w:pPr>
        <w:ind w:left="360" w:hanging="360"/>
      </w:pPr>
      <w:rPr>
        <w:rFonts w:ascii="Symbol" w:hAnsi="Symbol" w:hint="default"/>
        <w:color w:val="2AB1BB" w:themeColor="accent1"/>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05D850F3"/>
    <w:multiLevelType w:val="hybridMultilevel"/>
    <w:tmpl w:val="7EB2E112"/>
    <w:lvl w:ilvl="0" w:tplc="FC34FDC6">
      <w:start w:val="1"/>
      <w:numFmt w:val="bullet"/>
      <w:lvlText w:val=""/>
      <w:lvlJc w:val="left"/>
      <w:pPr>
        <w:ind w:left="720" w:hanging="360"/>
      </w:pPr>
      <w:rPr>
        <w:rFonts w:ascii="Symbol" w:hAnsi="Symbol" w:hint="default"/>
        <w:color w:val="2AB1BB"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9A6CFC"/>
    <w:multiLevelType w:val="hybridMultilevel"/>
    <w:tmpl w:val="F04C3AF0"/>
    <w:lvl w:ilvl="0" w:tplc="5770D766">
      <w:numFmt w:val="bullet"/>
      <w:lvlText w:val="•"/>
      <w:lvlJc w:val="left"/>
      <w:pPr>
        <w:ind w:left="720" w:hanging="72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8257D8C"/>
    <w:multiLevelType w:val="hybridMultilevel"/>
    <w:tmpl w:val="4F5AB1D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189B2752"/>
    <w:multiLevelType w:val="hybridMultilevel"/>
    <w:tmpl w:val="7E808F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D4F787C"/>
    <w:multiLevelType w:val="hybridMultilevel"/>
    <w:tmpl w:val="4050A7AA"/>
    <w:lvl w:ilvl="0" w:tplc="9900FD12">
      <w:start w:val="1"/>
      <w:numFmt w:val="bullet"/>
      <w:pStyle w:val="Bullet"/>
      <w:lvlText w:val=""/>
      <w:lvlJc w:val="left"/>
      <w:pPr>
        <w:ind w:left="720" w:hanging="360"/>
      </w:pPr>
      <w:rPr>
        <w:rFonts w:ascii="Wingdings" w:hAnsi="Wingdings" w:hint="default"/>
        <w:color w:val="2AB1BB" w:themeColor="accent1"/>
        <w:sz w:val="21"/>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06F5CDB"/>
    <w:multiLevelType w:val="hybridMultilevel"/>
    <w:tmpl w:val="7F926684"/>
    <w:lvl w:ilvl="0" w:tplc="C9CE7010">
      <w:numFmt w:val="bullet"/>
      <w:lvlText w:val="•"/>
      <w:lvlJc w:val="left"/>
      <w:pPr>
        <w:ind w:left="720" w:hanging="72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0ED3C1E"/>
    <w:multiLevelType w:val="hybridMultilevel"/>
    <w:tmpl w:val="0B2ABC50"/>
    <w:lvl w:ilvl="0" w:tplc="0C090001">
      <w:start w:val="1"/>
      <w:numFmt w:val="bullet"/>
      <w:lvlText w:val=""/>
      <w:lvlJc w:val="left"/>
      <w:pPr>
        <w:ind w:left="1222" w:hanging="360"/>
      </w:pPr>
      <w:rPr>
        <w:rFonts w:ascii="Symbol" w:hAnsi="Symbol" w:hint="default"/>
      </w:rPr>
    </w:lvl>
    <w:lvl w:ilvl="1" w:tplc="0C090003" w:tentative="1">
      <w:start w:val="1"/>
      <w:numFmt w:val="bullet"/>
      <w:lvlText w:val="o"/>
      <w:lvlJc w:val="left"/>
      <w:pPr>
        <w:ind w:left="1942" w:hanging="360"/>
      </w:pPr>
      <w:rPr>
        <w:rFonts w:ascii="Courier New" w:hAnsi="Courier New" w:cs="Courier New" w:hint="default"/>
      </w:rPr>
    </w:lvl>
    <w:lvl w:ilvl="2" w:tplc="0C090005" w:tentative="1">
      <w:start w:val="1"/>
      <w:numFmt w:val="bullet"/>
      <w:lvlText w:val=""/>
      <w:lvlJc w:val="left"/>
      <w:pPr>
        <w:ind w:left="2662" w:hanging="360"/>
      </w:pPr>
      <w:rPr>
        <w:rFonts w:ascii="Wingdings" w:hAnsi="Wingdings" w:hint="default"/>
      </w:rPr>
    </w:lvl>
    <w:lvl w:ilvl="3" w:tplc="0C090001" w:tentative="1">
      <w:start w:val="1"/>
      <w:numFmt w:val="bullet"/>
      <w:lvlText w:val=""/>
      <w:lvlJc w:val="left"/>
      <w:pPr>
        <w:ind w:left="3382" w:hanging="360"/>
      </w:pPr>
      <w:rPr>
        <w:rFonts w:ascii="Symbol" w:hAnsi="Symbol" w:hint="default"/>
      </w:rPr>
    </w:lvl>
    <w:lvl w:ilvl="4" w:tplc="0C090003" w:tentative="1">
      <w:start w:val="1"/>
      <w:numFmt w:val="bullet"/>
      <w:lvlText w:val="o"/>
      <w:lvlJc w:val="left"/>
      <w:pPr>
        <w:ind w:left="4102" w:hanging="360"/>
      </w:pPr>
      <w:rPr>
        <w:rFonts w:ascii="Courier New" w:hAnsi="Courier New" w:cs="Courier New" w:hint="default"/>
      </w:rPr>
    </w:lvl>
    <w:lvl w:ilvl="5" w:tplc="0C090005" w:tentative="1">
      <w:start w:val="1"/>
      <w:numFmt w:val="bullet"/>
      <w:lvlText w:val=""/>
      <w:lvlJc w:val="left"/>
      <w:pPr>
        <w:ind w:left="4822" w:hanging="360"/>
      </w:pPr>
      <w:rPr>
        <w:rFonts w:ascii="Wingdings" w:hAnsi="Wingdings" w:hint="default"/>
      </w:rPr>
    </w:lvl>
    <w:lvl w:ilvl="6" w:tplc="0C090001" w:tentative="1">
      <w:start w:val="1"/>
      <w:numFmt w:val="bullet"/>
      <w:lvlText w:val=""/>
      <w:lvlJc w:val="left"/>
      <w:pPr>
        <w:ind w:left="5542" w:hanging="360"/>
      </w:pPr>
      <w:rPr>
        <w:rFonts w:ascii="Symbol" w:hAnsi="Symbol" w:hint="default"/>
      </w:rPr>
    </w:lvl>
    <w:lvl w:ilvl="7" w:tplc="0C090003" w:tentative="1">
      <w:start w:val="1"/>
      <w:numFmt w:val="bullet"/>
      <w:lvlText w:val="o"/>
      <w:lvlJc w:val="left"/>
      <w:pPr>
        <w:ind w:left="6262" w:hanging="360"/>
      </w:pPr>
      <w:rPr>
        <w:rFonts w:ascii="Courier New" w:hAnsi="Courier New" w:cs="Courier New" w:hint="default"/>
      </w:rPr>
    </w:lvl>
    <w:lvl w:ilvl="8" w:tplc="0C090005" w:tentative="1">
      <w:start w:val="1"/>
      <w:numFmt w:val="bullet"/>
      <w:lvlText w:val=""/>
      <w:lvlJc w:val="left"/>
      <w:pPr>
        <w:ind w:left="6982" w:hanging="360"/>
      </w:pPr>
      <w:rPr>
        <w:rFonts w:ascii="Wingdings" w:hAnsi="Wingdings" w:hint="default"/>
      </w:rPr>
    </w:lvl>
  </w:abstractNum>
  <w:abstractNum w:abstractNumId="8" w15:restartNumberingAfterBreak="0">
    <w:nsid w:val="316478CD"/>
    <w:multiLevelType w:val="hybridMultilevel"/>
    <w:tmpl w:val="0276DAE8"/>
    <w:lvl w:ilvl="0" w:tplc="D11EFA46">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1802ADA"/>
    <w:multiLevelType w:val="hybridMultilevel"/>
    <w:tmpl w:val="1B167CEC"/>
    <w:lvl w:ilvl="0" w:tplc="3E22FA4E">
      <w:start w:val="1"/>
      <w:numFmt w:val="bullet"/>
      <w:lvlText w:val=""/>
      <w:lvlJc w:val="left"/>
      <w:pPr>
        <w:ind w:left="360" w:hanging="360"/>
      </w:pPr>
      <w:rPr>
        <w:rFonts w:ascii="Symbol" w:hAnsi="Symbol" w:hint="default"/>
        <w:color w:val="F2692B" w:themeColor="accent5"/>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2E113D6"/>
    <w:multiLevelType w:val="hybridMultilevel"/>
    <w:tmpl w:val="610A28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B061057"/>
    <w:multiLevelType w:val="hybridMultilevel"/>
    <w:tmpl w:val="F9F266F8"/>
    <w:lvl w:ilvl="0" w:tplc="52A619C4">
      <w:numFmt w:val="bullet"/>
      <w:lvlText w:val="•"/>
      <w:lvlJc w:val="left"/>
      <w:pPr>
        <w:ind w:left="720" w:hanging="72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EBA1844"/>
    <w:multiLevelType w:val="hybridMultilevel"/>
    <w:tmpl w:val="3CC48E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1882E49"/>
    <w:multiLevelType w:val="hybridMultilevel"/>
    <w:tmpl w:val="00FC372E"/>
    <w:lvl w:ilvl="0" w:tplc="FC34FDC6">
      <w:start w:val="1"/>
      <w:numFmt w:val="bullet"/>
      <w:lvlText w:val=""/>
      <w:lvlJc w:val="left"/>
      <w:pPr>
        <w:ind w:left="360" w:hanging="360"/>
      </w:pPr>
      <w:rPr>
        <w:rFonts w:ascii="Symbol" w:hAnsi="Symbol" w:hint="default"/>
        <w:color w:val="2AB1BB" w:themeColor="accent1"/>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4" w15:restartNumberingAfterBreak="0">
    <w:nsid w:val="41FC2885"/>
    <w:multiLevelType w:val="hybridMultilevel"/>
    <w:tmpl w:val="5968426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5" w15:restartNumberingAfterBreak="0">
    <w:nsid w:val="455B74C4"/>
    <w:multiLevelType w:val="hybridMultilevel"/>
    <w:tmpl w:val="CA5247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82A2C4D"/>
    <w:multiLevelType w:val="hybridMultilevel"/>
    <w:tmpl w:val="9F4255D2"/>
    <w:lvl w:ilvl="0" w:tplc="0C090001">
      <w:start w:val="1"/>
      <w:numFmt w:val="bullet"/>
      <w:lvlText w:val=""/>
      <w:lvlJc w:val="left"/>
      <w:pPr>
        <w:ind w:left="1582" w:hanging="360"/>
      </w:pPr>
      <w:rPr>
        <w:rFonts w:ascii="Symbol" w:hAnsi="Symbol" w:hint="default"/>
      </w:rPr>
    </w:lvl>
    <w:lvl w:ilvl="1" w:tplc="0C090003" w:tentative="1">
      <w:start w:val="1"/>
      <w:numFmt w:val="bullet"/>
      <w:lvlText w:val="o"/>
      <w:lvlJc w:val="left"/>
      <w:pPr>
        <w:ind w:left="2302" w:hanging="360"/>
      </w:pPr>
      <w:rPr>
        <w:rFonts w:ascii="Courier New" w:hAnsi="Courier New" w:cs="Courier New" w:hint="default"/>
      </w:rPr>
    </w:lvl>
    <w:lvl w:ilvl="2" w:tplc="0C090005" w:tentative="1">
      <w:start w:val="1"/>
      <w:numFmt w:val="bullet"/>
      <w:lvlText w:val=""/>
      <w:lvlJc w:val="left"/>
      <w:pPr>
        <w:ind w:left="3022" w:hanging="360"/>
      </w:pPr>
      <w:rPr>
        <w:rFonts w:ascii="Wingdings" w:hAnsi="Wingdings" w:hint="default"/>
      </w:rPr>
    </w:lvl>
    <w:lvl w:ilvl="3" w:tplc="0C090001" w:tentative="1">
      <w:start w:val="1"/>
      <w:numFmt w:val="bullet"/>
      <w:lvlText w:val=""/>
      <w:lvlJc w:val="left"/>
      <w:pPr>
        <w:ind w:left="3742" w:hanging="360"/>
      </w:pPr>
      <w:rPr>
        <w:rFonts w:ascii="Symbol" w:hAnsi="Symbol" w:hint="default"/>
      </w:rPr>
    </w:lvl>
    <w:lvl w:ilvl="4" w:tplc="0C090003" w:tentative="1">
      <w:start w:val="1"/>
      <w:numFmt w:val="bullet"/>
      <w:lvlText w:val="o"/>
      <w:lvlJc w:val="left"/>
      <w:pPr>
        <w:ind w:left="4462" w:hanging="360"/>
      </w:pPr>
      <w:rPr>
        <w:rFonts w:ascii="Courier New" w:hAnsi="Courier New" w:cs="Courier New" w:hint="default"/>
      </w:rPr>
    </w:lvl>
    <w:lvl w:ilvl="5" w:tplc="0C090005" w:tentative="1">
      <w:start w:val="1"/>
      <w:numFmt w:val="bullet"/>
      <w:lvlText w:val=""/>
      <w:lvlJc w:val="left"/>
      <w:pPr>
        <w:ind w:left="5182" w:hanging="360"/>
      </w:pPr>
      <w:rPr>
        <w:rFonts w:ascii="Wingdings" w:hAnsi="Wingdings" w:hint="default"/>
      </w:rPr>
    </w:lvl>
    <w:lvl w:ilvl="6" w:tplc="0C090001" w:tentative="1">
      <w:start w:val="1"/>
      <w:numFmt w:val="bullet"/>
      <w:lvlText w:val=""/>
      <w:lvlJc w:val="left"/>
      <w:pPr>
        <w:ind w:left="5902" w:hanging="360"/>
      </w:pPr>
      <w:rPr>
        <w:rFonts w:ascii="Symbol" w:hAnsi="Symbol" w:hint="default"/>
      </w:rPr>
    </w:lvl>
    <w:lvl w:ilvl="7" w:tplc="0C090003" w:tentative="1">
      <w:start w:val="1"/>
      <w:numFmt w:val="bullet"/>
      <w:lvlText w:val="o"/>
      <w:lvlJc w:val="left"/>
      <w:pPr>
        <w:ind w:left="6622" w:hanging="360"/>
      </w:pPr>
      <w:rPr>
        <w:rFonts w:ascii="Courier New" w:hAnsi="Courier New" w:cs="Courier New" w:hint="default"/>
      </w:rPr>
    </w:lvl>
    <w:lvl w:ilvl="8" w:tplc="0C090005" w:tentative="1">
      <w:start w:val="1"/>
      <w:numFmt w:val="bullet"/>
      <w:lvlText w:val=""/>
      <w:lvlJc w:val="left"/>
      <w:pPr>
        <w:ind w:left="7342" w:hanging="360"/>
      </w:pPr>
      <w:rPr>
        <w:rFonts w:ascii="Wingdings" w:hAnsi="Wingdings" w:hint="default"/>
      </w:rPr>
    </w:lvl>
  </w:abstractNum>
  <w:abstractNum w:abstractNumId="17" w15:restartNumberingAfterBreak="0">
    <w:nsid w:val="48D019A9"/>
    <w:multiLevelType w:val="hybridMultilevel"/>
    <w:tmpl w:val="8C9A76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91D2983"/>
    <w:multiLevelType w:val="hybridMultilevel"/>
    <w:tmpl w:val="54605FE8"/>
    <w:lvl w:ilvl="0" w:tplc="FC34FDC6">
      <w:start w:val="1"/>
      <w:numFmt w:val="bullet"/>
      <w:lvlText w:val=""/>
      <w:lvlJc w:val="left"/>
      <w:pPr>
        <w:ind w:left="360" w:hanging="360"/>
      </w:pPr>
      <w:rPr>
        <w:rFonts w:ascii="Symbol" w:hAnsi="Symbol" w:hint="default"/>
        <w:color w:val="2AB1BB" w:themeColor="accent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4F1D57B8"/>
    <w:multiLevelType w:val="hybridMultilevel"/>
    <w:tmpl w:val="CB54CEB0"/>
    <w:lvl w:ilvl="0" w:tplc="FC34FDC6">
      <w:start w:val="1"/>
      <w:numFmt w:val="bullet"/>
      <w:lvlText w:val=""/>
      <w:lvlJc w:val="left"/>
      <w:pPr>
        <w:ind w:left="720" w:hanging="360"/>
      </w:pPr>
      <w:rPr>
        <w:rFonts w:ascii="Symbol" w:hAnsi="Symbol" w:hint="default"/>
        <w:color w:val="2AB1BB"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1056AD1"/>
    <w:multiLevelType w:val="hybridMultilevel"/>
    <w:tmpl w:val="25301D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8F509F4"/>
    <w:multiLevelType w:val="hybridMultilevel"/>
    <w:tmpl w:val="4BC65EB6"/>
    <w:lvl w:ilvl="0" w:tplc="FC34FDC6">
      <w:start w:val="1"/>
      <w:numFmt w:val="bullet"/>
      <w:lvlText w:val=""/>
      <w:lvlJc w:val="left"/>
      <w:pPr>
        <w:ind w:left="360" w:hanging="360"/>
      </w:pPr>
      <w:rPr>
        <w:rFonts w:ascii="Symbol" w:hAnsi="Symbol" w:hint="default"/>
        <w:color w:val="2AB1BB" w:themeColor="accent1"/>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2" w15:restartNumberingAfterBreak="0">
    <w:nsid w:val="59B95FCA"/>
    <w:multiLevelType w:val="hybridMultilevel"/>
    <w:tmpl w:val="140C4EAC"/>
    <w:lvl w:ilvl="0" w:tplc="C698354E">
      <w:numFmt w:val="bullet"/>
      <w:lvlText w:val="○"/>
      <w:lvlJc w:val="left"/>
      <w:pPr>
        <w:ind w:left="1582" w:hanging="720"/>
      </w:pPr>
      <w:rPr>
        <w:rFonts w:ascii="Arial" w:eastAsiaTheme="minorHAnsi" w:hAnsi="Arial" w:hint="default"/>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23" w15:restartNumberingAfterBreak="0">
    <w:nsid w:val="5AAE1F1B"/>
    <w:multiLevelType w:val="hybridMultilevel"/>
    <w:tmpl w:val="FD928E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5C57DFD"/>
    <w:multiLevelType w:val="hybridMultilevel"/>
    <w:tmpl w:val="521E9DF2"/>
    <w:lvl w:ilvl="0" w:tplc="FD900A08">
      <w:numFmt w:val="bullet"/>
      <w:lvlText w:val="•"/>
      <w:lvlJc w:val="left"/>
      <w:pPr>
        <w:ind w:left="720" w:hanging="72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69570BA3"/>
    <w:multiLevelType w:val="hybridMultilevel"/>
    <w:tmpl w:val="48C8B4FA"/>
    <w:lvl w:ilvl="0" w:tplc="FC34FDC6">
      <w:start w:val="1"/>
      <w:numFmt w:val="bullet"/>
      <w:lvlText w:val=""/>
      <w:lvlJc w:val="left"/>
      <w:pPr>
        <w:ind w:left="360" w:hanging="360"/>
      </w:pPr>
      <w:rPr>
        <w:rFonts w:ascii="Symbol" w:hAnsi="Symbol" w:hint="default"/>
        <w:color w:val="2AB1BB" w:themeColor="accent1"/>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6" w15:restartNumberingAfterBreak="0">
    <w:nsid w:val="6AF21357"/>
    <w:multiLevelType w:val="hybridMultilevel"/>
    <w:tmpl w:val="62E215F0"/>
    <w:lvl w:ilvl="0" w:tplc="FC34FDC6">
      <w:start w:val="1"/>
      <w:numFmt w:val="bullet"/>
      <w:lvlText w:val=""/>
      <w:lvlJc w:val="left"/>
      <w:pPr>
        <w:ind w:left="360" w:hanging="360"/>
      </w:pPr>
      <w:rPr>
        <w:rFonts w:ascii="Symbol" w:hAnsi="Symbol" w:hint="default"/>
        <w:color w:val="2AB1BB" w:themeColor="accen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76753471"/>
    <w:multiLevelType w:val="hybridMultilevel"/>
    <w:tmpl w:val="11BCBE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80F199B"/>
    <w:multiLevelType w:val="hybridMultilevel"/>
    <w:tmpl w:val="123627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8996252"/>
    <w:multiLevelType w:val="hybridMultilevel"/>
    <w:tmpl w:val="731093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C44157D"/>
    <w:multiLevelType w:val="hybridMultilevel"/>
    <w:tmpl w:val="01709A6E"/>
    <w:lvl w:ilvl="0" w:tplc="FC34FDC6">
      <w:start w:val="1"/>
      <w:numFmt w:val="bullet"/>
      <w:lvlText w:val=""/>
      <w:lvlJc w:val="left"/>
      <w:pPr>
        <w:ind w:left="720" w:hanging="360"/>
      </w:pPr>
      <w:rPr>
        <w:rFonts w:ascii="Symbol" w:hAnsi="Symbol" w:hint="default"/>
        <w:color w:val="2AB1BB"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F372E32"/>
    <w:multiLevelType w:val="hybridMultilevel"/>
    <w:tmpl w:val="F20C692A"/>
    <w:lvl w:ilvl="0" w:tplc="0C090001">
      <w:start w:val="1"/>
      <w:numFmt w:val="bullet"/>
      <w:lvlText w:val=""/>
      <w:lvlJc w:val="left"/>
      <w:pPr>
        <w:ind w:left="766" w:hanging="360"/>
      </w:pPr>
      <w:rPr>
        <w:rFonts w:ascii="Symbol" w:hAnsi="Symbol" w:hint="default"/>
      </w:rPr>
    </w:lvl>
    <w:lvl w:ilvl="1" w:tplc="0C090003" w:tentative="1">
      <w:start w:val="1"/>
      <w:numFmt w:val="bullet"/>
      <w:lvlText w:val="o"/>
      <w:lvlJc w:val="left"/>
      <w:pPr>
        <w:ind w:left="1486" w:hanging="360"/>
      </w:pPr>
      <w:rPr>
        <w:rFonts w:ascii="Courier New" w:hAnsi="Courier New" w:cs="Courier New" w:hint="default"/>
      </w:rPr>
    </w:lvl>
    <w:lvl w:ilvl="2" w:tplc="0C090005" w:tentative="1">
      <w:start w:val="1"/>
      <w:numFmt w:val="bullet"/>
      <w:lvlText w:val=""/>
      <w:lvlJc w:val="left"/>
      <w:pPr>
        <w:ind w:left="2206" w:hanging="360"/>
      </w:pPr>
      <w:rPr>
        <w:rFonts w:ascii="Wingdings" w:hAnsi="Wingdings" w:hint="default"/>
      </w:rPr>
    </w:lvl>
    <w:lvl w:ilvl="3" w:tplc="0C090001" w:tentative="1">
      <w:start w:val="1"/>
      <w:numFmt w:val="bullet"/>
      <w:lvlText w:val=""/>
      <w:lvlJc w:val="left"/>
      <w:pPr>
        <w:ind w:left="2926" w:hanging="360"/>
      </w:pPr>
      <w:rPr>
        <w:rFonts w:ascii="Symbol" w:hAnsi="Symbol" w:hint="default"/>
      </w:rPr>
    </w:lvl>
    <w:lvl w:ilvl="4" w:tplc="0C090003" w:tentative="1">
      <w:start w:val="1"/>
      <w:numFmt w:val="bullet"/>
      <w:lvlText w:val="o"/>
      <w:lvlJc w:val="left"/>
      <w:pPr>
        <w:ind w:left="3646" w:hanging="360"/>
      </w:pPr>
      <w:rPr>
        <w:rFonts w:ascii="Courier New" w:hAnsi="Courier New" w:cs="Courier New" w:hint="default"/>
      </w:rPr>
    </w:lvl>
    <w:lvl w:ilvl="5" w:tplc="0C090005" w:tentative="1">
      <w:start w:val="1"/>
      <w:numFmt w:val="bullet"/>
      <w:lvlText w:val=""/>
      <w:lvlJc w:val="left"/>
      <w:pPr>
        <w:ind w:left="4366" w:hanging="360"/>
      </w:pPr>
      <w:rPr>
        <w:rFonts w:ascii="Wingdings" w:hAnsi="Wingdings" w:hint="default"/>
      </w:rPr>
    </w:lvl>
    <w:lvl w:ilvl="6" w:tplc="0C090001" w:tentative="1">
      <w:start w:val="1"/>
      <w:numFmt w:val="bullet"/>
      <w:lvlText w:val=""/>
      <w:lvlJc w:val="left"/>
      <w:pPr>
        <w:ind w:left="5086" w:hanging="360"/>
      </w:pPr>
      <w:rPr>
        <w:rFonts w:ascii="Symbol" w:hAnsi="Symbol" w:hint="default"/>
      </w:rPr>
    </w:lvl>
    <w:lvl w:ilvl="7" w:tplc="0C090003" w:tentative="1">
      <w:start w:val="1"/>
      <w:numFmt w:val="bullet"/>
      <w:lvlText w:val="o"/>
      <w:lvlJc w:val="left"/>
      <w:pPr>
        <w:ind w:left="5806" w:hanging="360"/>
      </w:pPr>
      <w:rPr>
        <w:rFonts w:ascii="Courier New" w:hAnsi="Courier New" w:cs="Courier New" w:hint="default"/>
      </w:rPr>
    </w:lvl>
    <w:lvl w:ilvl="8" w:tplc="0C090005" w:tentative="1">
      <w:start w:val="1"/>
      <w:numFmt w:val="bullet"/>
      <w:lvlText w:val=""/>
      <w:lvlJc w:val="left"/>
      <w:pPr>
        <w:ind w:left="6526" w:hanging="360"/>
      </w:pPr>
      <w:rPr>
        <w:rFonts w:ascii="Wingdings" w:hAnsi="Wingdings" w:hint="default"/>
      </w:rPr>
    </w:lvl>
  </w:abstractNum>
  <w:num w:numId="1" w16cid:durableId="1053504044">
    <w:abstractNumId w:val="29"/>
  </w:num>
  <w:num w:numId="2" w16cid:durableId="887882813">
    <w:abstractNumId w:val="6"/>
  </w:num>
  <w:num w:numId="3" w16cid:durableId="2099326521">
    <w:abstractNumId w:val="25"/>
  </w:num>
  <w:num w:numId="4" w16cid:durableId="1547790336">
    <w:abstractNumId w:val="26"/>
  </w:num>
  <w:num w:numId="5" w16cid:durableId="1860000748">
    <w:abstractNumId w:val="12"/>
  </w:num>
  <w:num w:numId="6" w16cid:durableId="387412051">
    <w:abstractNumId w:val="2"/>
  </w:num>
  <w:num w:numId="7" w16cid:durableId="1549995288">
    <w:abstractNumId w:val="21"/>
  </w:num>
  <w:num w:numId="8" w16cid:durableId="990331736">
    <w:abstractNumId w:val="19"/>
  </w:num>
  <w:num w:numId="9" w16cid:durableId="1218394114">
    <w:abstractNumId w:val="24"/>
  </w:num>
  <w:num w:numId="10" w16cid:durableId="962155908">
    <w:abstractNumId w:val="0"/>
  </w:num>
  <w:num w:numId="11" w16cid:durableId="440883028">
    <w:abstractNumId w:val="30"/>
  </w:num>
  <w:num w:numId="12" w16cid:durableId="1027488482">
    <w:abstractNumId w:val="8"/>
  </w:num>
  <w:num w:numId="13" w16cid:durableId="112018218">
    <w:abstractNumId w:val="18"/>
  </w:num>
  <w:num w:numId="14" w16cid:durableId="1703019049">
    <w:abstractNumId w:val="1"/>
  </w:num>
  <w:num w:numId="15" w16cid:durableId="1166283392">
    <w:abstractNumId w:val="11"/>
  </w:num>
  <w:num w:numId="16" w16cid:durableId="2041929339">
    <w:abstractNumId w:val="13"/>
  </w:num>
  <w:num w:numId="17" w16cid:durableId="480653444">
    <w:abstractNumId w:val="22"/>
  </w:num>
  <w:num w:numId="18" w16cid:durableId="1440756137">
    <w:abstractNumId w:val="16"/>
  </w:num>
  <w:num w:numId="19" w16cid:durableId="305211232">
    <w:abstractNumId w:val="7"/>
  </w:num>
  <w:num w:numId="20" w16cid:durableId="889804405">
    <w:abstractNumId w:val="9"/>
  </w:num>
  <w:num w:numId="21" w16cid:durableId="324671036">
    <w:abstractNumId w:val="5"/>
  </w:num>
  <w:num w:numId="22" w16cid:durableId="169026705">
    <w:abstractNumId w:val="28"/>
  </w:num>
  <w:num w:numId="23" w16cid:durableId="1308780663">
    <w:abstractNumId w:val="23"/>
  </w:num>
  <w:num w:numId="24" w16cid:durableId="1264996269">
    <w:abstractNumId w:val="27"/>
  </w:num>
  <w:num w:numId="25" w16cid:durableId="1159349974">
    <w:abstractNumId w:val="15"/>
  </w:num>
  <w:num w:numId="26" w16cid:durableId="669527935">
    <w:abstractNumId w:val="20"/>
  </w:num>
  <w:num w:numId="27" w16cid:durableId="1240142320">
    <w:abstractNumId w:val="5"/>
  </w:num>
  <w:num w:numId="28" w16cid:durableId="328599015">
    <w:abstractNumId w:val="5"/>
  </w:num>
  <w:num w:numId="29" w16cid:durableId="1552187220">
    <w:abstractNumId w:val="5"/>
  </w:num>
  <w:num w:numId="30" w16cid:durableId="1858150191">
    <w:abstractNumId w:val="5"/>
  </w:num>
  <w:num w:numId="31" w16cid:durableId="572736522">
    <w:abstractNumId w:val="31"/>
  </w:num>
  <w:num w:numId="32" w16cid:durableId="2048067008">
    <w:abstractNumId w:val="17"/>
  </w:num>
  <w:num w:numId="33" w16cid:durableId="426266016">
    <w:abstractNumId w:val="10"/>
  </w:num>
  <w:num w:numId="34" w16cid:durableId="1771897132">
    <w:abstractNumId w:val="4"/>
  </w:num>
  <w:num w:numId="35" w16cid:durableId="738093303">
    <w:abstractNumId w:val="3"/>
  </w:num>
  <w:num w:numId="36" w16cid:durableId="11830855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6A8A"/>
    <w:rsid w:val="00005E86"/>
    <w:rsid w:val="00006C71"/>
    <w:rsid w:val="00007371"/>
    <w:rsid w:val="00014A40"/>
    <w:rsid w:val="000233C9"/>
    <w:rsid w:val="0002516D"/>
    <w:rsid w:val="00047023"/>
    <w:rsid w:val="00054091"/>
    <w:rsid w:val="00077C19"/>
    <w:rsid w:val="000B3305"/>
    <w:rsid w:val="000C6856"/>
    <w:rsid w:val="000D65D0"/>
    <w:rsid w:val="000E4A6D"/>
    <w:rsid w:val="000E5E16"/>
    <w:rsid w:val="000F0C44"/>
    <w:rsid w:val="000F4049"/>
    <w:rsid w:val="000F41FB"/>
    <w:rsid w:val="000F4C1F"/>
    <w:rsid w:val="000F521B"/>
    <w:rsid w:val="0013355D"/>
    <w:rsid w:val="00137B49"/>
    <w:rsid w:val="0015693B"/>
    <w:rsid w:val="00173888"/>
    <w:rsid w:val="00175506"/>
    <w:rsid w:val="0018537B"/>
    <w:rsid w:val="00187ABC"/>
    <w:rsid w:val="0019783D"/>
    <w:rsid w:val="001C5AEA"/>
    <w:rsid w:val="001E06A5"/>
    <w:rsid w:val="001E1CD5"/>
    <w:rsid w:val="001E581F"/>
    <w:rsid w:val="001E75C2"/>
    <w:rsid w:val="001F33D5"/>
    <w:rsid w:val="001F4E64"/>
    <w:rsid w:val="00210366"/>
    <w:rsid w:val="002220EB"/>
    <w:rsid w:val="00230E8F"/>
    <w:rsid w:val="00243FFD"/>
    <w:rsid w:val="002502C9"/>
    <w:rsid w:val="002762AB"/>
    <w:rsid w:val="00281906"/>
    <w:rsid w:val="002856FC"/>
    <w:rsid w:val="00291B93"/>
    <w:rsid w:val="002947B8"/>
    <w:rsid w:val="002A13FC"/>
    <w:rsid w:val="002A4FCA"/>
    <w:rsid w:val="002A7901"/>
    <w:rsid w:val="002C2D46"/>
    <w:rsid w:val="002C57FC"/>
    <w:rsid w:val="002C69AA"/>
    <w:rsid w:val="002D0CB4"/>
    <w:rsid w:val="00301E7F"/>
    <w:rsid w:val="00306A7D"/>
    <w:rsid w:val="003360DF"/>
    <w:rsid w:val="00336AD0"/>
    <w:rsid w:val="00337862"/>
    <w:rsid w:val="0033794B"/>
    <w:rsid w:val="00343350"/>
    <w:rsid w:val="003441DD"/>
    <w:rsid w:val="00353392"/>
    <w:rsid w:val="0035684C"/>
    <w:rsid w:val="00357410"/>
    <w:rsid w:val="00360B34"/>
    <w:rsid w:val="003619F4"/>
    <w:rsid w:val="00361E60"/>
    <w:rsid w:val="0037137D"/>
    <w:rsid w:val="0037161E"/>
    <w:rsid w:val="00371E23"/>
    <w:rsid w:val="00391FCB"/>
    <w:rsid w:val="00396377"/>
    <w:rsid w:val="003A20FC"/>
    <w:rsid w:val="003A5A8F"/>
    <w:rsid w:val="003E2754"/>
    <w:rsid w:val="003F5C03"/>
    <w:rsid w:val="00416F93"/>
    <w:rsid w:val="00422631"/>
    <w:rsid w:val="00433909"/>
    <w:rsid w:val="00433A28"/>
    <w:rsid w:val="00442342"/>
    <w:rsid w:val="00446B47"/>
    <w:rsid w:val="004557A0"/>
    <w:rsid w:val="00457B16"/>
    <w:rsid w:val="004871D4"/>
    <w:rsid w:val="004A0C11"/>
    <w:rsid w:val="004A55F1"/>
    <w:rsid w:val="004B306B"/>
    <w:rsid w:val="004B4A23"/>
    <w:rsid w:val="004C11EB"/>
    <w:rsid w:val="004E5356"/>
    <w:rsid w:val="004F293A"/>
    <w:rsid w:val="004F5066"/>
    <w:rsid w:val="004F5FB4"/>
    <w:rsid w:val="004F7E50"/>
    <w:rsid w:val="005028B9"/>
    <w:rsid w:val="00502CAA"/>
    <w:rsid w:val="005035B6"/>
    <w:rsid w:val="0051337B"/>
    <w:rsid w:val="00514F94"/>
    <w:rsid w:val="0051754A"/>
    <w:rsid w:val="0052046C"/>
    <w:rsid w:val="005204E0"/>
    <w:rsid w:val="00532EAC"/>
    <w:rsid w:val="00533493"/>
    <w:rsid w:val="00574C8E"/>
    <w:rsid w:val="005A27A9"/>
    <w:rsid w:val="005C4589"/>
    <w:rsid w:val="005D1C02"/>
    <w:rsid w:val="005E06DF"/>
    <w:rsid w:val="005F41E1"/>
    <w:rsid w:val="00610FFC"/>
    <w:rsid w:val="00613E66"/>
    <w:rsid w:val="006273DF"/>
    <w:rsid w:val="00633DB4"/>
    <w:rsid w:val="006376C5"/>
    <w:rsid w:val="00641DA4"/>
    <w:rsid w:val="0065088A"/>
    <w:rsid w:val="00662047"/>
    <w:rsid w:val="0067754C"/>
    <w:rsid w:val="00677BC9"/>
    <w:rsid w:val="006812B2"/>
    <w:rsid w:val="0068190E"/>
    <w:rsid w:val="006A276D"/>
    <w:rsid w:val="006B1332"/>
    <w:rsid w:val="006C07D3"/>
    <w:rsid w:val="006D5C77"/>
    <w:rsid w:val="006E4B26"/>
    <w:rsid w:val="006F12CD"/>
    <w:rsid w:val="006F6B35"/>
    <w:rsid w:val="00716466"/>
    <w:rsid w:val="00722AC8"/>
    <w:rsid w:val="00726939"/>
    <w:rsid w:val="00734648"/>
    <w:rsid w:val="00734B37"/>
    <w:rsid w:val="00735062"/>
    <w:rsid w:val="00737EF4"/>
    <w:rsid w:val="00745010"/>
    <w:rsid w:val="00746B36"/>
    <w:rsid w:val="00761419"/>
    <w:rsid w:val="0076491B"/>
    <w:rsid w:val="00765A8B"/>
    <w:rsid w:val="007661F1"/>
    <w:rsid w:val="00772867"/>
    <w:rsid w:val="007849FB"/>
    <w:rsid w:val="007A16E1"/>
    <w:rsid w:val="007B030A"/>
    <w:rsid w:val="007B30AD"/>
    <w:rsid w:val="007C63CE"/>
    <w:rsid w:val="007D5B91"/>
    <w:rsid w:val="007E22C9"/>
    <w:rsid w:val="007E444A"/>
    <w:rsid w:val="007F5CBC"/>
    <w:rsid w:val="008143D8"/>
    <w:rsid w:val="00824CA9"/>
    <w:rsid w:val="00826486"/>
    <w:rsid w:val="00832974"/>
    <w:rsid w:val="00833A28"/>
    <w:rsid w:val="00843A11"/>
    <w:rsid w:val="008455B9"/>
    <w:rsid w:val="00863B02"/>
    <w:rsid w:val="00883E04"/>
    <w:rsid w:val="00890E33"/>
    <w:rsid w:val="008944B3"/>
    <w:rsid w:val="00894D42"/>
    <w:rsid w:val="008A2EC3"/>
    <w:rsid w:val="008A6F44"/>
    <w:rsid w:val="008B1892"/>
    <w:rsid w:val="008B5FF8"/>
    <w:rsid w:val="008B6098"/>
    <w:rsid w:val="008D37AF"/>
    <w:rsid w:val="008D56B8"/>
    <w:rsid w:val="008D6881"/>
    <w:rsid w:val="008F467F"/>
    <w:rsid w:val="00914664"/>
    <w:rsid w:val="00921B1B"/>
    <w:rsid w:val="009278BA"/>
    <w:rsid w:val="009346B6"/>
    <w:rsid w:val="00941363"/>
    <w:rsid w:val="00941F59"/>
    <w:rsid w:val="00965C6D"/>
    <w:rsid w:val="00992A9C"/>
    <w:rsid w:val="009A567F"/>
    <w:rsid w:val="009B2828"/>
    <w:rsid w:val="009B2B92"/>
    <w:rsid w:val="009C63A4"/>
    <w:rsid w:val="009E7194"/>
    <w:rsid w:val="00A00654"/>
    <w:rsid w:val="00A04105"/>
    <w:rsid w:val="00A10993"/>
    <w:rsid w:val="00A25DC3"/>
    <w:rsid w:val="00A27F9A"/>
    <w:rsid w:val="00A354F6"/>
    <w:rsid w:val="00A545CC"/>
    <w:rsid w:val="00A5495A"/>
    <w:rsid w:val="00A57FB3"/>
    <w:rsid w:val="00A6494E"/>
    <w:rsid w:val="00A65D28"/>
    <w:rsid w:val="00A73797"/>
    <w:rsid w:val="00A757E7"/>
    <w:rsid w:val="00A75B8C"/>
    <w:rsid w:val="00A80A07"/>
    <w:rsid w:val="00A83E3D"/>
    <w:rsid w:val="00A84231"/>
    <w:rsid w:val="00A85864"/>
    <w:rsid w:val="00A95241"/>
    <w:rsid w:val="00AA4D36"/>
    <w:rsid w:val="00AA70AD"/>
    <w:rsid w:val="00AB2493"/>
    <w:rsid w:val="00AB40BB"/>
    <w:rsid w:val="00AB4513"/>
    <w:rsid w:val="00AC04A6"/>
    <w:rsid w:val="00AC23CC"/>
    <w:rsid w:val="00AD1280"/>
    <w:rsid w:val="00AD20E9"/>
    <w:rsid w:val="00AD4131"/>
    <w:rsid w:val="00AE6563"/>
    <w:rsid w:val="00AF3EEB"/>
    <w:rsid w:val="00AF446F"/>
    <w:rsid w:val="00AF544C"/>
    <w:rsid w:val="00B00C56"/>
    <w:rsid w:val="00B01D16"/>
    <w:rsid w:val="00B07AE7"/>
    <w:rsid w:val="00B27783"/>
    <w:rsid w:val="00B27B37"/>
    <w:rsid w:val="00B34F81"/>
    <w:rsid w:val="00B36A2D"/>
    <w:rsid w:val="00B36A3E"/>
    <w:rsid w:val="00B3791D"/>
    <w:rsid w:val="00B44CC0"/>
    <w:rsid w:val="00B7689A"/>
    <w:rsid w:val="00B8193F"/>
    <w:rsid w:val="00B94678"/>
    <w:rsid w:val="00BA4138"/>
    <w:rsid w:val="00BC633F"/>
    <w:rsid w:val="00BD577C"/>
    <w:rsid w:val="00BE3560"/>
    <w:rsid w:val="00BE6B0C"/>
    <w:rsid w:val="00BF1EAF"/>
    <w:rsid w:val="00BF278D"/>
    <w:rsid w:val="00C01927"/>
    <w:rsid w:val="00C074CB"/>
    <w:rsid w:val="00C15CB4"/>
    <w:rsid w:val="00C20944"/>
    <w:rsid w:val="00C24B45"/>
    <w:rsid w:val="00C36AF7"/>
    <w:rsid w:val="00C42EDB"/>
    <w:rsid w:val="00C46331"/>
    <w:rsid w:val="00C55349"/>
    <w:rsid w:val="00C70840"/>
    <w:rsid w:val="00C72621"/>
    <w:rsid w:val="00C76B54"/>
    <w:rsid w:val="00C81F3B"/>
    <w:rsid w:val="00C9187A"/>
    <w:rsid w:val="00CA0C0A"/>
    <w:rsid w:val="00CA0CFC"/>
    <w:rsid w:val="00CB2987"/>
    <w:rsid w:val="00CD2842"/>
    <w:rsid w:val="00CE43C5"/>
    <w:rsid w:val="00CE46B1"/>
    <w:rsid w:val="00CF0224"/>
    <w:rsid w:val="00D11AE9"/>
    <w:rsid w:val="00D1616F"/>
    <w:rsid w:val="00D22023"/>
    <w:rsid w:val="00D26FC4"/>
    <w:rsid w:val="00D27799"/>
    <w:rsid w:val="00D30842"/>
    <w:rsid w:val="00D32FD5"/>
    <w:rsid w:val="00D54CA8"/>
    <w:rsid w:val="00D620EC"/>
    <w:rsid w:val="00D6225A"/>
    <w:rsid w:val="00D660B5"/>
    <w:rsid w:val="00D73424"/>
    <w:rsid w:val="00D81B82"/>
    <w:rsid w:val="00DC4BFC"/>
    <w:rsid w:val="00DC6645"/>
    <w:rsid w:val="00DD062F"/>
    <w:rsid w:val="00DE5F6F"/>
    <w:rsid w:val="00DE6FE1"/>
    <w:rsid w:val="00DF30B7"/>
    <w:rsid w:val="00E02244"/>
    <w:rsid w:val="00E02AEA"/>
    <w:rsid w:val="00E0388E"/>
    <w:rsid w:val="00E04145"/>
    <w:rsid w:val="00E06FEE"/>
    <w:rsid w:val="00E11D3F"/>
    <w:rsid w:val="00E171D0"/>
    <w:rsid w:val="00E17E2A"/>
    <w:rsid w:val="00E226E5"/>
    <w:rsid w:val="00E23B18"/>
    <w:rsid w:val="00E23CEC"/>
    <w:rsid w:val="00E3515D"/>
    <w:rsid w:val="00E40296"/>
    <w:rsid w:val="00E5258F"/>
    <w:rsid w:val="00E52FC7"/>
    <w:rsid w:val="00E653CC"/>
    <w:rsid w:val="00E728EB"/>
    <w:rsid w:val="00E80CCE"/>
    <w:rsid w:val="00E91CEE"/>
    <w:rsid w:val="00E96D34"/>
    <w:rsid w:val="00EA456B"/>
    <w:rsid w:val="00EB1EFA"/>
    <w:rsid w:val="00EB47E9"/>
    <w:rsid w:val="00EB6826"/>
    <w:rsid w:val="00EC62DA"/>
    <w:rsid w:val="00EE0649"/>
    <w:rsid w:val="00EE1C92"/>
    <w:rsid w:val="00EE31F1"/>
    <w:rsid w:val="00EE6A8A"/>
    <w:rsid w:val="00EF0FAC"/>
    <w:rsid w:val="00F013F7"/>
    <w:rsid w:val="00F07A50"/>
    <w:rsid w:val="00F17B5D"/>
    <w:rsid w:val="00F22CCA"/>
    <w:rsid w:val="00F23374"/>
    <w:rsid w:val="00F557EE"/>
    <w:rsid w:val="00F56EB4"/>
    <w:rsid w:val="00F623A5"/>
    <w:rsid w:val="00F75798"/>
    <w:rsid w:val="00F76B45"/>
    <w:rsid w:val="00F818B0"/>
    <w:rsid w:val="00F86D65"/>
    <w:rsid w:val="00F877BF"/>
    <w:rsid w:val="00F93FC6"/>
    <w:rsid w:val="00FA22DD"/>
    <w:rsid w:val="00FA53C6"/>
    <w:rsid w:val="00FA5DB8"/>
    <w:rsid w:val="00FB79F6"/>
    <w:rsid w:val="00FD2895"/>
    <w:rsid w:val="00FE0FDB"/>
    <w:rsid w:val="00FE5A40"/>
    <w:rsid w:val="00FE69E5"/>
    <w:rsid w:val="00FF1908"/>
    <w:rsid w:val="00FF4ABC"/>
    <w:rsid w:val="15442DF5"/>
    <w:rsid w:val="213EF51E"/>
    <w:rsid w:val="2566EFA4"/>
    <w:rsid w:val="521B3EA4"/>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E3EE25"/>
  <w15:chartTrackingRefBased/>
  <w15:docId w15:val="{FD8E62FD-2412-42A0-A743-722D791D6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187A"/>
    <w:pPr>
      <w:spacing w:before="120" w:after="120" w:line="276" w:lineRule="auto"/>
    </w:pPr>
    <w:rPr>
      <w:rFonts w:ascii="Arial" w:hAnsi="Arial"/>
    </w:rPr>
  </w:style>
  <w:style w:type="paragraph" w:styleId="Heading1">
    <w:name w:val="heading 1"/>
    <w:basedOn w:val="Normal"/>
    <w:next w:val="Normal"/>
    <w:link w:val="Heading1Char"/>
    <w:uiPriority w:val="9"/>
    <w:qFormat/>
    <w:rsid w:val="00EE6A8A"/>
    <w:pPr>
      <w:keepNext/>
      <w:keepLines/>
      <w:spacing w:before="0" w:after="240"/>
      <w:outlineLvl w:val="0"/>
    </w:pPr>
    <w:rPr>
      <w:rFonts w:eastAsiaTheme="majorEastAsia" w:cs="Arial"/>
      <w:b/>
      <w:bCs/>
      <w:color w:val="1E1544" w:themeColor="text1"/>
      <w:sz w:val="60"/>
      <w:szCs w:val="60"/>
    </w:rPr>
  </w:style>
  <w:style w:type="paragraph" w:styleId="Heading2">
    <w:name w:val="heading 2"/>
    <w:basedOn w:val="Normal"/>
    <w:next w:val="Normal"/>
    <w:link w:val="Heading2Char"/>
    <w:uiPriority w:val="9"/>
    <w:unhideWhenUsed/>
    <w:qFormat/>
    <w:rsid w:val="00422631"/>
    <w:pPr>
      <w:keepNext/>
      <w:keepLines/>
      <w:spacing w:before="240"/>
      <w:outlineLvl w:val="1"/>
    </w:pPr>
    <w:rPr>
      <w:rFonts w:eastAsiaTheme="majorEastAsia" w:cstheme="majorBidi"/>
      <w:b/>
      <w:color w:val="1E1544" w:themeColor="text1"/>
      <w:sz w:val="32"/>
      <w:szCs w:val="26"/>
    </w:rPr>
  </w:style>
  <w:style w:type="paragraph" w:styleId="Heading3">
    <w:name w:val="heading 3"/>
    <w:basedOn w:val="Heading2"/>
    <w:next w:val="Normal"/>
    <w:link w:val="Heading3Char"/>
    <w:uiPriority w:val="9"/>
    <w:unhideWhenUsed/>
    <w:qFormat/>
    <w:rsid w:val="0076491B"/>
    <w:pPr>
      <w:outlineLvl w:val="2"/>
    </w:pPr>
    <w:rPr>
      <w:sz w:val="28"/>
      <w:szCs w:val="24"/>
    </w:rPr>
  </w:style>
  <w:style w:type="paragraph" w:styleId="Heading4">
    <w:name w:val="heading 4"/>
    <w:basedOn w:val="Heading3"/>
    <w:next w:val="Normal"/>
    <w:link w:val="Heading4Char"/>
    <w:uiPriority w:val="9"/>
    <w:unhideWhenUsed/>
    <w:qFormat/>
    <w:rsid w:val="0076491B"/>
    <w:pPr>
      <w:outlineLvl w:val="3"/>
    </w:pPr>
    <w:rPr>
      <w:sz w:val="24"/>
      <w:szCs w:val="22"/>
    </w:rPr>
  </w:style>
  <w:style w:type="paragraph" w:styleId="Heading5">
    <w:name w:val="heading 5"/>
    <w:basedOn w:val="Normal"/>
    <w:next w:val="Normal"/>
    <w:link w:val="Heading5Char"/>
    <w:uiPriority w:val="9"/>
    <w:unhideWhenUsed/>
    <w:qFormat/>
    <w:rsid w:val="0018537B"/>
    <w:pPr>
      <w:keepNext/>
      <w:keepLines/>
      <w:spacing w:before="40" w:after="0"/>
      <w:outlineLvl w:val="4"/>
    </w:pPr>
    <w:rPr>
      <w:rFonts w:eastAsiaTheme="majorEastAsia" w:cstheme="majorBidi"/>
      <w:color w:val="1E1544" w:themeColor="text1"/>
    </w:rPr>
  </w:style>
  <w:style w:type="paragraph" w:styleId="Heading6">
    <w:name w:val="heading 6"/>
    <w:basedOn w:val="Normal"/>
    <w:next w:val="Normal"/>
    <w:link w:val="Heading6Char"/>
    <w:uiPriority w:val="9"/>
    <w:unhideWhenUsed/>
    <w:qFormat/>
    <w:rsid w:val="003A20FC"/>
    <w:pPr>
      <w:keepNext/>
      <w:keepLines/>
      <w:spacing w:before="40" w:after="0"/>
      <w:outlineLvl w:val="5"/>
    </w:pPr>
    <w:rPr>
      <w:rFonts w:asciiTheme="majorHAnsi" w:eastAsiaTheme="majorEastAsia" w:hAnsiTheme="majorHAnsi" w:cstheme="majorBidi"/>
      <w:color w:val="15575D" w:themeColor="accent1" w:themeShade="7F"/>
    </w:rPr>
  </w:style>
  <w:style w:type="paragraph" w:styleId="Heading7">
    <w:name w:val="heading 7"/>
    <w:basedOn w:val="Normal"/>
    <w:next w:val="Normal"/>
    <w:link w:val="Heading7Char"/>
    <w:uiPriority w:val="9"/>
    <w:unhideWhenUsed/>
    <w:qFormat/>
    <w:rsid w:val="000F4049"/>
    <w:pPr>
      <w:keepNext/>
      <w:keepLines/>
      <w:spacing w:before="40" w:after="0"/>
      <w:outlineLvl w:val="6"/>
    </w:pPr>
    <w:rPr>
      <w:rFonts w:asciiTheme="majorHAnsi" w:eastAsiaTheme="majorEastAsia" w:hAnsiTheme="majorHAnsi" w:cstheme="majorBidi"/>
      <w:i/>
      <w:iCs/>
      <w:color w:val="15575D"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6A8A"/>
    <w:rPr>
      <w:rFonts w:ascii="Arial" w:eastAsiaTheme="majorEastAsia" w:hAnsi="Arial" w:cs="Arial"/>
      <w:b/>
      <w:bCs/>
      <w:color w:val="1E1544" w:themeColor="text1"/>
      <w:sz w:val="60"/>
      <w:szCs w:val="60"/>
    </w:rPr>
  </w:style>
  <w:style w:type="paragraph" w:styleId="NoSpacing">
    <w:name w:val="No Spacing"/>
    <w:uiPriority w:val="1"/>
    <w:qFormat/>
    <w:rsid w:val="00C9187A"/>
    <w:pPr>
      <w:spacing w:line="276" w:lineRule="auto"/>
    </w:pPr>
    <w:rPr>
      <w:rFonts w:ascii="Arial" w:hAnsi="Arial"/>
    </w:rPr>
  </w:style>
  <w:style w:type="character" w:customStyle="1" w:styleId="Heading2Char">
    <w:name w:val="Heading 2 Char"/>
    <w:basedOn w:val="DefaultParagraphFont"/>
    <w:link w:val="Heading2"/>
    <w:uiPriority w:val="9"/>
    <w:rsid w:val="00422631"/>
    <w:rPr>
      <w:rFonts w:ascii="Arial" w:eastAsiaTheme="majorEastAsia" w:hAnsi="Arial" w:cstheme="majorBidi"/>
      <w:b/>
      <w:color w:val="1E1544" w:themeColor="text1"/>
      <w:sz w:val="32"/>
      <w:szCs w:val="26"/>
    </w:rPr>
  </w:style>
  <w:style w:type="paragraph" w:styleId="ListParagraph">
    <w:name w:val="List Paragraph"/>
    <w:basedOn w:val="Normal"/>
    <w:uiPriority w:val="34"/>
    <w:qFormat/>
    <w:rsid w:val="00C9187A"/>
    <w:pPr>
      <w:ind w:left="720"/>
      <w:contextualSpacing/>
    </w:pPr>
  </w:style>
  <w:style w:type="character" w:customStyle="1" w:styleId="Heading3Char">
    <w:name w:val="Heading 3 Char"/>
    <w:basedOn w:val="DefaultParagraphFont"/>
    <w:link w:val="Heading3"/>
    <w:uiPriority w:val="9"/>
    <w:rsid w:val="0076491B"/>
    <w:rPr>
      <w:rFonts w:ascii="Arial" w:eastAsiaTheme="majorEastAsia" w:hAnsi="Arial" w:cstheme="majorBidi"/>
      <w:b/>
      <w:color w:val="1E1544" w:themeColor="text1"/>
      <w:sz w:val="28"/>
    </w:rPr>
  </w:style>
  <w:style w:type="character" w:customStyle="1" w:styleId="Heading4Char">
    <w:name w:val="Heading 4 Char"/>
    <w:basedOn w:val="DefaultParagraphFont"/>
    <w:link w:val="Heading4"/>
    <w:uiPriority w:val="9"/>
    <w:rsid w:val="0076491B"/>
    <w:rPr>
      <w:rFonts w:ascii="Arial" w:eastAsiaTheme="majorEastAsia" w:hAnsi="Arial" w:cstheme="majorBidi"/>
      <w:b/>
      <w:color w:val="1E1544" w:themeColor="text1"/>
      <w:szCs w:val="22"/>
    </w:rPr>
  </w:style>
  <w:style w:type="paragraph" w:styleId="Header">
    <w:name w:val="header"/>
    <w:basedOn w:val="Normal"/>
    <w:link w:val="HeaderChar"/>
    <w:uiPriority w:val="99"/>
    <w:unhideWhenUsed/>
    <w:rsid w:val="0076491B"/>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76491B"/>
    <w:rPr>
      <w:rFonts w:ascii="Arial" w:hAnsi="Arial"/>
    </w:rPr>
  </w:style>
  <w:style w:type="paragraph" w:styleId="Footer">
    <w:name w:val="footer"/>
    <w:basedOn w:val="Normal"/>
    <w:link w:val="FooterChar"/>
    <w:uiPriority w:val="99"/>
    <w:unhideWhenUsed/>
    <w:rsid w:val="0076491B"/>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76491B"/>
    <w:rPr>
      <w:rFonts w:ascii="Arial" w:hAnsi="Arial"/>
    </w:rPr>
  </w:style>
  <w:style w:type="paragraph" w:customStyle="1" w:styleId="Introduction">
    <w:name w:val="Introduction"/>
    <w:basedOn w:val="Normal"/>
    <w:qFormat/>
    <w:rsid w:val="009B2828"/>
    <w:pPr>
      <w:spacing w:before="0"/>
    </w:pPr>
    <w:rPr>
      <w:color w:val="1E1544" w:themeColor="text1"/>
      <w:sz w:val="32"/>
      <w:szCs w:val="32"/>
    </w:rPr>
  </w:style>
  <w:style w:type="character" w:customStyle="1" w:styleId="Heading5Char">
    <w:name w:val="Heading 5 Char"/>
    <w:basedOn w:val="DefaultParagraphFont"/>
    <w:link w:val="Heading5"/>
    <w:uiPriority w:val="9"/>
    <w:rsid w:val="0018537B"/>
    <w:rPr>
      <w:rFonts w:ascii="Arial" w:eastAsiaTheme="majorEastAsia" w:hAnsi="Arial" w:cstheme="majorBidi"/>
      <w:color w:val="1E1544" w:themeColor="text1"/>
    </w:rPr>
  </w:style>
  <w:style w:type="paragraph" w:customStyle="1" w:styleId="TableHeading">
    <w:name w:val="TableHeading"/>
    <w:qFormat/>
    <w:rsid w:val="0018537B"/>
    <w:pPr>
      <w:spacing w:before="240" w:after="120" w:line="276" w:lineRule="auto"/>
    </w:pPr>
    <w:rPr>
      <w:rFonts w:ascii="Arial" w:eastAsiaTheme="majorEastAsia" w:hAnsi="Arial" w:cstheme="majorBidi"/>
      <w:b/>
      <w:bCs/>
      <w:color w:val="1E1544" w:themeColor="text1"/>
    </w:rPr>
  </w:style>
  <w:style w:type="table" w:styleId="TableGrid">
    <w:name w:val="Table Grid"/>
    <w:aliases w:val="Aged Care"/>
    <w:basedOn w:val="TableNormal"/>
    <w:uiPriority w:val="39"/>
    <w:rsid w:val="008F467F"/>
    <w:pPr>
      <w:spacing w:after="240"/>
    </w:pPr>
    <w:rPr>
      <w:rFonts w:ascii="Arial" w:hAnsi="Arial"/>
    </w:rPr>
    <w:tblPr>
      <w:tblBorders>
        <w:top w:val="single" w:sz="4" w:space="0" w:color="2AB1BB" w:themeColor="accent1"/>
        <w:bottom w:val="single" w:sz="4" w:space="0" w:color="2AB1BB" w:themeColor="accent1"/>
        <w:insideH w:val="single" w:sz="4" w:space="0" w:color="2AB1BB" w:themeColor="accent1"/>
      </w:tblBorders>
    </w:tblPr>
    <w:trPr>
      <w:cantSplit/>
    </w:trPr>
    <w:tcPr>
      <w:shd w:val="clear" w:color="auto" w:fill="auto"/>
    </w:tcPr>
    <w:tblStylePr w:type="firstRow">
      <w:rPr>
        <w:rFonts w:ascii="Arial" w:hAnsi="Arial"/>
        <w:b/>
        <w:sz w:val="24"/>
      </w:rPr>
    </w:tblStylePr>
  </w:style>
  <w:style w:type="table" w:styleId="GridTable1Light">
    <w:name w:val="Grid Table 1 Light"/>
    <w:basedOn w:val="TableNormal"/>
    <w:uiPriority w:val="46"/>
    <w:rsid w:val="0018537B"/>
    <w:tblPr>
      <w:tblStyleRowBandSize w:val="1"/>
      <w:tblStyleColBandSize w:val="1"/>
      <w:tblBorders>
        <w:top w:val="single" w:sz="4" w:space="0" w:color="8E7ED7" w:themeColor="text1" w:themeTint="66"/>
        <w:bottom w:val="single" w:sz="4" w:space="0" w:color="8E7ED7" w:themeColor="text1" w:themeTint="66"/>
        <w:insideH w:val="single" w:sz="4" w:space="0" w:color="8E7ED7" w:themeColor="text1" w:themeTint="66"/>
      </w:tblBorders>
    </w:tblPr>
    <w:tblStylePr w:type="firstRow">
      <w:rPr>
        <w:b/>
        <w:bCs/>
      </w:rPr>
      <w:tblPr/>
      <w:tcPr>
        <w:tcBorders>
          <w:bottom w:val="single" w:sz="12" w:space="0" w:color="573EC3" w:themeColor="text1" w:themeTint="99"/>
        </w:tcBorders>
      </w:tcPr>
    </w:tblStylePr>
    <w:tblStylePr w:type="lastRow">
      <w:rPr>
        <w:b/>
        <w:bCs/>
      </w:rPr>
      <w:tblPr/>
      <w:tcPr>
        <w:tcBorders>
          <w:top w:val="double" w:sz="2" w:space="0" w:color="573EC3"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18537B"/>
    <w:rPr>
      <w:rFonts w:ascii="Arial" w:hAnsi="Arial"/>
    </w:rPr>
    <w:tblPr>
      <w:tblStyleRowBandSize w:val="1"/>
      <w:tblStyleColBandSize w:val="1"/>
      <w:tblBorders>
        <w:top w:val="single" w:sz="4" w:space="0" w:color="A3E5EA" w:themeColor="accent1" w:themeTint="66"/>
        <w:bottom w:val="single" w:sz="4" w:space="0" w:color="A3E5EA" w:themeColor="accent1" w:themeTint="66"/>
        <w:insideH w:val="single" w:sz="4" w:space="0" w:color="A3E5EA" w:themeColor="accent1" w:themeTint="66"/>
      </w:tblBorders>
    </w:tblPr>
    <w:tblStylePr w:type="firstRow">
      <w:rPr>
        <w:b/>
        <w:bCs/>
      </w:rPr>
      <w:tblPr/>
      <w:tcPr>
        <w:tcBorders>
          <w:bottom w:val="single" w:sz="12" w:space="0" w:color="75D8E0" w:themeColor="accent1" w:themeTint="99"/>
        </w:tcBorders>
      </w:tcPr>
    </w:tblStylePr>
    <w:tblStylePr w:type="lastRow">
      <w:rPr>
        <w:b/>
        <w:bCs/>
      </w:rPr>
      <w:tblPr/>
      <w:tcPr>
        <w:tcBorders>
          <w:top w:val="double" w:sz="2" w:space="0" w:color="75D8E0" w:themeColor="accent1" w:themeTint="99"/>
        </w:tcBorders>
      </w:tcPr>
    </w:tblStylePr>
    <w:tblStylePr w:type="firstCol">
      <w:rPr>
        <w:b/>
        <w:bCs/>
      </w:rPr>
    </w:tblStylePr>
    <w:tblStylePr w:type="lastCol">
      <w:rPr>
        <w:b/>
        <w:bCs/>
      </w:rPr>
    </w:tblStylePr>
  </w:style>
  <w:style w:type="paragraph" w:styleId="Quote">
    <w:name w:val="Quote"/>
    <w:basedOn w:val="Normal"/>
    <w:next w:val="Normal"/>
    <w:link w:val="QuoteChar"/>
    <w:uiPriority w:val="29"/>
    <w:qFormat/>
    <w:rsid w:val="00AC04A6"/>
    <w:pPr>
      <w:spacing w:before="200" w:after="160"/>
      <w:ind w:left="864" w:right="864"/>
      <w:jc w:val="center"/>
    </w:pPr>
    <w:rPr>
      <w:i/>
      <w:iCs/>
      <w:color w:val="412E94" w:themeColor="text1" w:themeTint="BF"/>
    </w:rPr>
  </w:style>
  <w:style w:type="character" w:customStyle="1" w:styleId="QuoteChar">
    <w:name w:val="Quote Char"/>
    <w:basedOn w:val="DefaultParagraphFont"/>
    <w:link w:val="Quote"/>
    <w:uiPriority w:val="29"/>
    <w:rsid w:val="00AC04A6"/>
    <w:rPr>
      <w:rFonts w:ascii="Arial" w:hAnsi="Arial"/>
      <w:i/>
      <w:iCs/>
      <w:color w:val="412E94" w:themeColor="text1" w:themeTint="BF"/>
    </w:rPr>
  </w:style>
  <w:style w:type="paragraph" w:styleId="IntenseQuote">
    <w:name w:val="Intense Quote"/>
    <w:aliases w:val="Boxed text Heading"/>
    <w:basedOn w:val="Normal"/>
    <w:next w:val="Normal"/>
    <w:link w:val="IntenseQuoteChar"/>
    <w:uiPriority w:val="30"/>
    <w:qFormat/>
    <w:rsid w:val="00AC04A6"/>
    <w:pPr>
      <w:pBdr>
        <w:top w:val="single" w:sz="4" w:space="10" w:color="2AB1BB" w:themeColor="accent1"/>
        <w:left w:val="single" w:sz="4" w:space="4" w:color="2AB1BB" w:themeColor="accent1"/>
        <w:bottom w:val="single" w:sz="4" w:space="10" w:color="2AB1BB" w:themeColor="accent1"/>
        <w:right w:val="single" w:sz="4" w:space="4" w:color="2AB1BB" w:themeColor="accent1"/>
      </w:pBdr>
      <w:ind w:left="862" w:right="862"/>
    </w:pPr>
    <w:rPr>
      <w:b/>
      <w:iCs/>
    </w:rPr>
  </w:style>
  <w:style w:type="character" w:customStyle="1" w:styleId="IntenseQuoteChar">
    <w:name w:val="Intense Quote Char"/>
    <w:aliases w:val="Boxed text Heading Char"/>
    <w:basedOn w:val="DefaultParagraphFont"/>
    <w:link w:val="IntenseQuote"/>
    <w:uiPriority w:val="30"/>
    <w:rsid w:val="00AC04A6"/>
    <w:rPr>
      <w:rFonts w:ascii="Arial" w:hAnsi="Arial"/>
      <w:b/>
      <w:iCs/>
    </w:rPr>
  </w:style>
  <w:style w:type="paragraph" w:customStyle="1" w:styleId="boxtext">
    <w:name w:val="box text"/>
    <w:basedOn w:val="IntenseQuote"/>
    <w:qFormat/>
    <w:rsid w:val="00AC04A6"/>
    <w:rPr>
      <w:b w:val="0"/>
      <w:bCs/>
    </w:rPr>
  </w:style>
  <w:style w:type="paragraph" w:customStyle="1" w:styleId="Boxtexthead">
    <w:name w:val="Box text head"/>
    <w:basedOn w:val="IntenseQuote"/>
    <w:qFormat/>
    <w:rsid w:val="00AC04A6"/>
  </w:style>
  <w:style w:type="character" w:styleId="IntenseEmphasis">
    <w:name w:val="Intense Emphasis"/>
    <w:basedOn w:val="DefaultParagraphFont"/>
    <w:uiPriority w:val="21"/>
    <w:qFormat/>
    <w:rsid w:val="008F467F"/>
    <w:rPr>
      <w:i/>
      <w:iCs/>
      <w:color w:val="2AB1BB" w:themeColor="accent1"/>
    </w:rPr>
  </w:style>
  <w:style w:type="paragraph" w:styleId="NormalWeb">
    <w:name w:val="Normal (Web)"/>
    <w:basedOn w:val="Normal"/>
    <w:uiPriority w:val="99"/>
    <w:unhideWhenUsed/>
    <w:rsid w:val="00E91CEE"/>
    <w:pPr>
      <w:spacing w:before="100" w:beforeAutospacing="1" w:after="100" w:afterAutospacing="1" w:line="240" w:lineRule="auto"/>
    </w:pPr>
    <w:rPr>
      <w:rFonts w:eastAsia="Times New Roman" w:cs="Times New Roman"/>
      <w:u w:val="single"/>
      <w:lang w:eastAsia="en-AU"/>
    </w:rPr>
  </w:style>
  <w:style w:type="character" w:styleId="Hyperlink">
    <w:name w:val="Hyperlink"/>
    <w:basedOn w:val="DefaultParagraphFont"/>
    <w:uiPriority w:val="99"/>
    <w:unhideWhenUsed/>
    <w:rsid w:val="00E91CEE"/>
    <w:rPr>
      <w:color w:val="1E1545" w:themeColor="hyperlink"/>
      <w:u w:val="single"/>
    </w:rPr>
  </w:style>
  <w:style w:type="character" w:customStyle="1" w:styleId="UnresolvedMention1">
    <w:name w:val="Unresolved Mention1"/>
    <w:basedOn w:val="DefaultParagraphFont"/>
    <w:uiPriority w:val="99"/>
    <w:semiHidden/>
    <w:unhideWhenUsed/>
    <w:rsid w:val="00E91CEE"/>
    <w:rPr>
      <w:color w:val="605E5C"/>
      <w:shd w:val="clear" w:color="auto" w:fill="E1DFDD"/>
    </w:rPr>
  </w:style>
  <w:style w:type="paragraph" w:customStyle="1" w:styleId="Headingtable">
    <w:name w:val="Heading table"/>
    <w:basedOn w:val="Normal"/>
    <w:qFormat/>
    <w:rsid w:val="00677BC9"/>
    <w:pPr>
      <w:spacing w:before="360"/>
    </w:pPr>
    <w:rPr>
      <w:rFonts w:eastAsiaTheme="majorEastAsia" w:cstheme="majorBidi"/>
      <w:b/>
      <w:bCs/>
      <w:color w:val="1E1544" w:themeColor="text1"/>
    </w:rPr>
  </w:style>
  <w:style w:type="paragraph" w:customStyle="1" w:styleId="Bullet">
    <w:name w:val="Bullet"/>
    <w:basedOn w:val="ListParagraph"/>
    <w:rsid w:val="00F93FC6"/>
    <w:pPr>
      <w:numPr>
        <w:numId w:val="21"/>
      </w:numPr>
      <w:spacing w:before="80" w:after="80"/>
      <w:ind w:left="284" w:hanging="284"/>
      <w:contextualSpacing w:val="0"/>
    </w:pPr>
    <w:rPr>
      <w:rFonts w:eastAsia="Times New Roman" w:cs="Times New Roman"/>
      <w:color w:val="1E1544" w:themeColor="text1"/>
    </w:rPr>
  </w:style>
  <w:style w:type="character" w:styleId="PageNumber">
    <w:name w:val="page number"/>
    <w:basedOn w:val="DefaultParagraphFont"/>
    <w:uiPriority w:val="99"/>
    <w:semiHidden/>
    <w:unhideWhenUsed/>
    <w:rsid w:val="00EC62DA"/>
  </w:style>
  <w:style w:type="paragraph" w:styleId="Subtitle">
    <w:name w:val="Subtitle"/>
    <w:basedOn w:val="Normal"/>
    <w:next w:val="Normal"/>
    <w:link w:val="SubtitleChar"/>
    <w:uiPriority w:val="11"/>
    <w:qFormat/>
    <w:rsid w:val="003A20FC"/>
    <w:pPr>
      <w:numPr>
        <w:ilvl w:val="1"/>
      </w:numPr>
      <w:spacing w:after="160"/>
    </w:pPr>
    <w:rPr>
      <w:rFonts w:asciiTheme="minorHAnsi" w:eastAsiaTheme="minorEastAsia" w:hAnsiTheme="minorHAnsi"/>
      <w:color w:val="4F38B5" w:themeColor="text1" w:themeTint="A5"/>
      <w:spacing w:val="15"/>
      <w:sz w:val="22"/>
      <w:szCs w:val="22"/>
    </w:rPr>
  </w:style>
  <w:style w:type="character" w:customStyle="1" w:styleId="SubtitleChar">
    <w:name w:val="Subtitle Char"/>
    <w:basedOn w:val="DefaultParagraphFont"/>
    <w:link w:val="Subtitle"/>
    <w:uiPriority w:val="11"/>
    <w:rsid w:val="003A20FC"/>
    <w:rPr>
      <w:rFonts w:eastAsiaTheme="minorEastAsia"/>
      <w:color w:val="4F38B5" w:themeColor="text1" w:themeTint="A5"/>
      <w:spacing w:val="15"/>
      <w:sz w:val="22"/>
      <w:szCs w:val="22"/>
    </w:rPr>
  </w:style>
  <w:style w:type="character" w:styleId="SubtleEmphasis">
    <w:name w:val="Subtle Emphasis"/>
    <w:basedOn w:val="DefaultParagraphFont"/>
    <w:uiPriority w:val="19"/>
    <w:qFormat/>
    <w:rsid w:val="003A20FC"/>
    <w:rPr>
      <w:i/>
      <w:iCs/>
      <w:color w:val="412E94" w:themeColor="text1" w:themeTint="BF"/>
    </w:rPr>
  </w:style>
  <w:style w:type="character" w:customStyle="1" w:styleId="Heading6Char">
    <w:name w:val="Heading 6 Char"/>
    <w:basedOn w:val="DefaultParagraphFont"/>
    <w:link w:val="Heading6"/>
    <w:uiPriority w:val="9"/>
    <w:rsid w:val="003A20FC"/>
    <w:rPr>
      <w:rFonts w:asciiTheme="majorHAnsi" w:eastAsiaTheme="majorEastAsia" w:hAnsiTheme="majorHAnsi" w:cstheme="majorBidi"/>
      <w:color w:val="15575D" w:themeColor="accent1" w:themeShade="7F"/>
    </w:rPr>
  </w:style>
  <w:style w:type="character" w:customStyle="1" w:styleId="Heading7Char">
    <w:name w:val="Heading 7 Char"/>
    <w:basedOn w:val="DefaultParagraphFont"/>
    <w:link w:val="Heading7"/>
    <w:uiPriority w:val="9"/>
    <w:rsid w:val="000F4049"/>
    <w:rPr>
      <w:rFonts w:asciiTheme="majorHAnsi" w:eastAsiaTheme="majorEastAsia" w:hAnsiTheme="majorHAnsi" w:cstheme="majorBidi"/>
      <w:i/>
      <w:iCs/>
      <w:color w:val="15575D" w:themeColor="accent1" w:themeShade="7F"/>
    </w:rPr>
  </w:style>
  <w:style w:type="paragraph" w:styleId="Revision">
    <w:name w:val="Revision"/>
    <w:hidden/>
    <w:uiPriority w:val="99"/>
    <w:semiHidden/>
    <w:rsid w:val="00D6225A"/>
    <w:rPr>
      <w:rFonts w:ascii="Arial" w:hAnsi="Arial"/>
    </w:rPr>
  </w:style>
  <w:style w:type="character" w:styleId="UnresolvedMention">
    <w:name w:val="Unresolved Mention"/>
    <w:basedOn w:val="DefaultParagraphFont"/>
    <w:uiPriority w:val="99"/>
    <w:semiHidden/>
    <w:unhideWhenUsed/>
    <w:rsid w:val="00D11AE9"/>
    <w:rPr>
      <w:color w:val="605E5C"/>
      <w:shd w:val="clear" w:color="auto" w:fill="E1DFDD"/>
    </w:rPr>
  </w:style>
  <w:style w:type="character" w:styleId="CommentReference">
    <w:name w:val="annotation reference"/>
    <w:basedOn w:val="DefaultParagraphFont"/>
    <w:uiPriority w:val="99"/>
    <w:semiHidden/>
    <w:unhideWhenUsed/>
    <w:rsid w:val="00E728EB"/>
    <w:rPr>
      <w:sz w:val="16"/>
      <w:szCs w:val="16"/>
    </w:rPr>
  </w:style>
  <w:style w:type="paragraph" w:styleId="CommentText">
    <w:name w:val="annotation text"/>
    <w:basedOn w:val="Normal"/>
    <w:link w:val="CommentTextChar"/>
    <w:uiPriority w:val="99"/>
    <w:unhideWhenUsed/>
    <w:rsid w:val="00E728EB"/>
    <w:pPr>
      <w:spacing w:line="240" w:lineRule="auto"/>
    </w:pPr>
    <w:rPr>
      <w:sz w:val="20"/>
      <w:szCs w:val="20"/>
    </w:rPr>
  </w:style>
  <w:style w:type="character" w:customStyle="1" w:styleId="CommentTextChar">
    <w:name w:val="Comment Text Char"/>
    <w:basedOn w:val="DefaultParagraphFont"/>
    <w:link w:val="CommentText"/>
    <w:uiPriority w:val="99"/>
    <w:rsid w:val="00E728EB"/>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E728EB"/>
    <w:rPr>
      <w:b/>
      <w:bCs/>
    </w:rPr>
  </w:style>
  <w:style w:type="character" w:customStyle="1" w:styleId="CommentSubjectChar">
    <w:name w:val="Comment Subject Char"/>
    <w:basedOn w:val="CommentTextChar"/>
    <w:link w:val="CommentSubject"/>
    <w:uiPriority w:val="99"/>
    <w:semiHidden/>
    <w:rsid w:val="00E728EB"/>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6884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health.gov.au/our-work/aged-care-act/about/registered-supporters-in-aged-care/transition-arrangements-for-the-new-registered-supporter-role"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ealth.gov.au/resources/publications/aged-care-providers-policy?language=en"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2013 - 2022">
  <a:themeElements>
    <a:clrScheme name="AGEDCARE">
      <a:dk1>
        <a:srgbClr val="1E1544"/>
      </a:dk1>
      <a:lt1>
        <a:srgbClr val="F1F2F2"/>
      </a:lt1>
      <a:dk2>
        <a:srgbClr val="1E1545"/>
      </a:dk2>
      <a:lt2>
        <a:srgbClr val="F1F2F2"/>
      </a:lt2>
      <a:accent1>
        <a:srgbClr val="2AB1BB"/>
      </a:accent1>
      <a:accent2>
        <a:srgbClr val="78BE43"/>
      </a:accent2>
      <a:accent3>
        <a:srgbClr val="8C59A5"/>
      </a:accent3>
      <a:accent4>
        <a:srgbClr val="DA576C"/>
      </a:accent4>
      <a:accent5>
        <a:srgbClr val="F2692B"/>
      </a:accent5>
      <a:accent6>
        <a:srgbClr val="F3B223"/>
      </a:accent6>
      <a:hlink>
        <a:srgbClr val="1E1545"/>
      </a:hlink>
      <a:folHlink>
        <a:srgbClr val="6D6D7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3e45b5c5-9cc5-4922-88cd-354a7829f0bf" xsi:nil="true"/>
    <lcf76f155ced4ddcb4097134ff3c332f xmlns="45fc1777-5182-4729-9953-61f7a22856aa">
      <Terms xmlns="http://schemas.microsoft.com/office/infopath/2007/PartnerControls"/>
    </lcf76f155ced4ddcb4097134ff3c332f>
    <MediaLengthInSeconds xmlns="45fc1777-5182-4729-9953-61f7a22856a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0285F36FEBE614FA7F0E9B7930440E6" ma:contentTypeVersion="11" ma:contentTypeDescription="Create a new document." ma:contentTypeScope="" ma:versionID="ee9b899459fa9d16db247588287584c6">
  <xsd:schema xmlns:xsd="http://www.w3.org/2001/XMLSchema" xmlns:xs="http://www.w3.org/2001/XMLSchema" xmlns:p="http://schemas.microsoft.com/office/2006/metadata/properties" xmlns:ns2="45fc1777-5182-4729-9953-61f7a22856aa" xmlns:ns3="3e45b5c5-9cc5-4922-88cd-354a7829f0bf" targetNamespace="http://schemas.microsoft.com/office/2006/metadata/properties" ma:root="true" ma:fieldsID="dbee740ec75ef82bc91bdfec974436ab" ns2:_="" ns3:_="">
    <xsd:import namespace="45fc1777-5182-4729-9953-61f7a22856aa"/>
    <xsd:import namespace="3e45b5c5-9cc5-4922-88cd-354a7829f0b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fc1777-5182-4729-9953-61f7a22856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e45b5c5-9cc5-4922-88cd-354a7829f0bf"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900ac1a-59bc-4f58-98a9-be3d91b441c4}" ma:internalName="TaxCatchAll" ma:showField="CatchAllData" ma:web="3e45b5c5-9cc5-4922-88cd-354a7829f0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482C8F-E0B2-481F-A178-9FE4AA0C5F6D}">
  <ds:schemaRefs>
    <ds:schemaRef ds:uri="http://schemas.microsoft.com/sharepoint/v3/contenttype/forms"/>
  </ds:schemaRefs>
</ds:datastoreItem>
</file>

<file path=customXml/itemProps2.xml><?xml version="1.0" encoding="utf-8"?>
<ds:datastoreItem xmlns:ds="http://schemas.openxmlformats.org/officeDocument/2006/customXml" ds:itemID="{C40E2362-356C-4CDA-9392-C485AD76B771}">
  <ds:schemaRefs>
    <ds:schemaRef ds:uri="http://schemas.microsoft.com/office/2006/metadata/properties"/>
    <ds:schemaRef ds:uri="http://schemas.microsoft.com/office/infopath/2007/PartnerControls"/>
    <ds:schemaRef ds:uri="3e45b5c5-9cc5-4922-88cd-354a7829f0bf"/>
    <ds:schemaRef ds:uri="45fc1777-5182-4729-9953-61f7a22856aa"/>
  </ds:schemaRefs>
</ds:datastoreItem>
</file>

<file path=customXml/itemProps3.xml><?xml version="1.0" encoding="utf-8"?>
<ds:datastoreItem xmlns:ds="http://schemas.openxmlformats.org/officeDocument/2006/customXml" ds:itemID="{C3D614F3-9E07-4EA0-8725-1B19FB9CC0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fc1777-5182-4729-9953-61f7a22856aa"/>
    <ds:schemaRef ds:uri="3e45b5c5-9cc5-4922-88cd-354a7829f0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E244ED9-6DB0-4202-8EC7-D69E5E5BD3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947</Words>
  <Characters>5139</Characters>
  <Application>Microsoft Office Word</Application>
  <DocSecurity>0</DocSecurity>
  <Lines>165</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Quick reference working with registered supporters</dc:title>
  <dc:subject/>
  <dc:creator>Australian Government Department of Health;Disability and Ageing</dc:creator>
  <cp:keywords>Aged Care, Senior Australians</cp:keywords>
  <dc:description/>
  <cp:lastPrinted>2025-10-29T05:34:00Z</cp:lastPrinted>
  <dcterms:created xsi:type="dcterms:W3CDTF">2025-09-30T04:38:00Z</dcterms:created>
  <dcterms:modified xsi:type="dcterms:W3CDTF">2025-10-29T05:34:00Z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0x01010060285F36FEBE614FA7F0E9B7930440E6</vt:lpwstr>
  </property>
  <property fmtid="{D5CDD505-2E9C-101B-9397-08002B2CF9AE}" pid="3" name="MediaServiceImageTags">
    <vt:lpwstr/>
  </property>
  <property fmtid="{D5CDD505-2E9C-101B-9397-08002B2CF9AE}" pid="4" name="Order">
    <vt:r8>796600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docLang">
    <vt:lpwstr>en</vt:lpwstr>
  </property>
  <property fmtid="{D5CDD505-2E9C-101B-9397-08002B2CF9AE}" pid="12" name="ClassificationContentMarkingHeaderShapeIds">
    <vt:lpwstr>43e418a,3746f8fa,46ccab07</vt:lpwstr>
  </property>
  <property fmtid="{D5CDD505-2E9C-101B-9397-08002B2CF9AE}" pid="13" name="ClassificationContentMarkingHeaderFontProps">
    <vt:lpwstr>#ff0000,12,Aptos</vt:lpwstr>
  </property>
  <property fmtid="{D5CDD505-2E9C-101B-9397-08002B2CF9AE}" pid="14" name="ClassificationContentMarkingHeaderText">
    <vt:lpwstr>OFFICIAL</vt:lpwstr>
  </property>
  <property fmtid="{D5CDD505-2E9C-101B-9397-08002B2CF9AE}" pid="15" name="ClassificationContentMarkingFooterShapeIds">
    <vt:lpwstr>24d1b5fe,5d29b091,71876915</vt:lpwstr>
  </property>
  <property fmtid="{D5CDD505-2E9C-101B-9397-08002B2CF9AE}" pid="16" name="ClassificationContentMarkingFooterFontProps">
    <vt:lpwstr>#ff0000,12,Aptos</vt:lpwstr>
  </property>
  <property fmtid="{D5CDD505-2E9C-101B-9397-08002B2CF9AE}" pid="17" name="ClassificationContentMarkingFooterText">
    <vt:lpwstr>OFFICIAL</vt:lpwstr>
  </property>
  <property fmtid="{D5CDD505-2E9C-101B-9397-08002B2CF9AE}" pid="18" name="MSIP_Label_7cd3e8b9-ffed-43a8-b7f4-cc2fa0382d36_Enabled">
    <vt:lpwstr>true</vt:lpwstr>
  </property>
  <property fmtid="{D5CDD505-2E9C-101B-9397-08002B2CF9AE}" pid="19" name="MSIP_Label_7cd3e8b9-ffed-43a8-b7f4-cc2fa0382d36_SetDate">
    <vt:lpwstr>2025-09-30T04:38:22Z</vt:lpwstr>
  </property>
  <property fmtid="{D5CDD505-2E9C-101B-9397-08002B2CF9AE}" pid="20" name="MSIP_Label_7cd3e8b9-ffed-43a8-b7f4-cc2fa0382d36_Method">
    <vt:lpwstr>Privileged</vt:lpwstr>
  </property>
  <property fmtid="{D5CDD505-2E9C-101B-9397-08002B2CF9AE}" pid="21" name="MSIP_Label_7cd3e8b9-ffed-43a8-b7f4-cc2fa0382d36_Name">
    <vt:lpwstr>O</vt:lpwstr>
  </property>
  <property fmtid="{D5CDD505-2E9C-101B-9397-08002B2CF9AE}" pid="22" name="MSIP_Label_7cd3e8b9-ffed-43a8-b7f4-cc2fa0382d36_SiteId">
    <vt:lpwstr>34a3929c-73cf-4954-abfe-147dc3517892</vt:lpwstr>
  </property>
  <property fmtid="{D5CDD505-2E9C-101B-9397-08002B2CF9AE}" pid="23" name="MSIP_Label_7cd3e8b9-ffed-43a8-b7f4-cc2fa0382d36_ActionId">
    <vt:lpwstr>8bf79be0-4ed7-40f9-a06d-87e4ef2f3055</vt:lpwstr>
  </property>
  <property fmtid="{D5CDD505-2E9C-101B-9397-08002B2CF9AE}" pid="24" name="MSIP_Label_7cd3e8b9-ffed-43a8-b7f4-cc2fa0382d36_ContentBits">
    <vt:lpwstr>3</vt:lpwstr>
  </property>
  <property fmtid="{D5CDD505-2E9C-101B-9397-08002B2CF9AE}" pid="25" name="MSIP_Label_7cd3e8b9-ffed-43a8-b7f4-cc2fa0382d36_Tag">
    <vt:lpwstr>10, 0, 1, 2</vt:lpwstr>
  </property>
</Properties>
</file>