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576320EF" w:rsidR="00751A23" w:rsidRDefault="000F070A" w:rsidP="00B7222E">
      <w:pPr>
        <w:pStyle w:val="Title"/>
      </w:pPr>
      <w:r>
        <w:t>National Consistent Payments (NCP)</w:t>
      </w:r>
      <w:r w:rsidR="002C5E51">
        <w:t xml:space="preserve"> Guidelines</w:t>
      </w:r>
    </w:p>
    <w:p w14:paraId="075C33C4" w14:textId="36B9F22C" w:rsidR="00CA79CF" w:rsidRPr="009F43FF" w:rsidRDefault="002C5E51" w:rsidP="00247DCC">
      <w:pPr>
        <w:rPr>
          <w:rStyle w:val="Strong"/>
        </w:rPr>
      </w:pPr>
      <w:r w:rsidRPr="009F43FF">
        <w:rPr>
          <w:rStyle w:val="Strong"/>
        </w:rPr>
        <w:t xml:space="preserve">For </w:t>
      </w:r>
      <w:r w:rsidR="00146614" w:rsidRPr="009F43FF">
        <w:rPr>
          <w:rStyle w:val="Strong"/>
        </w:rPr>
        <w:t>supervisors, practices, and registrars on the college-led Australian General Practice Training (AGPT) Program</w:t>
      </w:r>
    </w:p>
    <w:p w14:paraId="7C93F21F" w14:textId="52BF6E24" w:rsidR="00E607E0" w:rsidRPr="009F43FF" w:rsidRDefault="00E607E0" w:rsidP="00247DCC">
      <w:pPr>
        <w:rPr>
          <w:rStyle w:val="Strong"/>
        </w:rPr>
      </w:pPr>
      <w:r w:rsidRPr="009F43FF">
        <w:rPr>
          <w:rStyle w:val="Strong"/>
        </w:rPr>
        <w:t xml:space="preserve">Revised – October 2025 (Version 3) for </w:t>
      </w:r>
      <w:r w:rsidR="00725F05" w:rsidRPr="009F43FF">
        <w:rPr>
          <w:rStyle w:val="Strong"/>
        </w:rPr>
        <w:t>s</w:t>
      </w:r>
      <w:r w:rsidRPr="009F43FF">
        <w:rPr>
          <w:rStyle w:val="Strong"/>
        </w:rPr>
        <w:t xml:space="preserve">emester </w:t>
      </w:r>
      <w:r w:rsidR="00725F05" w:rsidRPr="009F43FF">
        <w:rPr>
          <w:rStyle w:val="Strong"/>
        </w:rPr>
        <w:t>one</w:t>
      </w:r>
      <w:r w:rsidRPr="009F43FF">
        <w:rPr>
          <w:rStyle w:val="Strong"/>
        </w:rPr>
        <w:t xml:space="preserve"> 2026 </w:t>
      </w:r>
      <w:r w:rsidR="00725F05" w:rsidRPr="009F43FF">
        <w:rPr>
          <w:rStyle w:val="Strong"/>
        </w:rPr>
        <w:t>i</w:t>
      </w:r>
      <w:r w:rsidRPr="009F43FF">
        <w:rPr>
          <w:rStyle w:val="Strong"/>
        </w:rPr>
        <w:t>mplementation</w:t>
      </w:r>
    </w:p>
    <w:p w14:paraId="773A91E2" w14:textId="77777777" w:rsidR="00E607E0" w:rsidRPr="00E607E0" w:rsidRDefault="00E607E0" w:rsidP="00247DCC">
      <w:pPr>
        <w:sectPr w:rsidR="00E607E0" w:rsidRPr="00E607E0"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bookmarkStart w:id="0" w:name="_Toc211942134" w:displacedByCustomXml="next"/>
    <w:sdt>
      <w:sdtPr>
        <w:id w:val="80499256"/>
        <w:docPartObj>
          <w:docPartGallery w:val="Table of Contents"/>
          <w:docPartUnique/>
        </w:docPartObj>
      </w:sdtPr>
      <w:sdtEndPr>
        <w:rPr>
          <w:rFonts w:cs="Times New Roman"/>
          <w:bCs/>
          <w:noProof/>
          <w:color w:val="000000" w:themeColor="text1"/>
          <w:sz w:val="22"/>
          <w:szCs w:val="24"/>
          <w:lang w:eastAsia="en-US"/>
        </w:rPr>
      </w:sdtEndPr>
      <w:sdtContent>
        <w:p w14:paraId="4CACAFEF" w14:textId="4F4E1AC8" w:rsidR="007106B3" w:rsidRDefault="007106B3">
          <w:pPr>
            <w:pStyle w:val="TOCHeading"/>
          </w:pPr>
          <w:r>
            <w:t>Contents</w:t>
          </w:r>
        </w:p>
        <w:p w14:paraId="7BC0FF05" w14:textId="2ECE5AF8"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"1-3" \h \z \u </w:instrText>
          </w:r>
          <w:r>
            <w:fldChar w:fldCharType="separate"/>
          </w:r>
          <w:hyperlink w:anchor="_Toc212544590" w:history="1">
            <w:r w:rsidRPr="001C3410">
              <w:rPr>
                <w:rStyle w:val="Hyperlink"/>
                <w:noProof/>
              </w:rPr>
              <w:t>Objectives</w:t>
            </w:r>
            <w:r>
              <w:rPr>
                <w:noProof/>
                <w:webHidden/>
              </w:rPr>
              <w:tab/>
            </w:r>
            <w:r>
              <w:rPr>
                <w:noProof/>
                <w:webHidden/>
              </w:rPr>
              <w:fldChar w:fldCharType="begin"/>
            </w:r>
            <w:r>
              <w:rPr>
                <w:noProof/>
                <w:webHidden/>
              </w:rPr>
              <w:instrText xml:space="preserve"> PAGEREF _Toc212544590 \h </w:instrText>
            </w:r>
            <w:r>
              <w:rPr>
                <w:noProof/>
                <w:webHidden/>
              </w:rPr>
            </w:r>
            <w:r>
              <w:rPr>
                <w:noProof/>
                <w:webHidden/>
              </w:rPr>
              <w:fldChar w:fldCharType="separate"/>
            </w:r>
            <w:r w:rsidR="00CC518D">
              <w:rPr>
                <w:noProof/>
                <w:webHidden/>
              </w:rPr>
              <w:t>4</w:t>
            </w:r>
            <w:r>
              <w:rPr>
                <w:noProof/>
                <w:webHidden/>
              </w:rPr>
              <w:fldChar w:fldCharType="end"/>
            </w:r>
          </w:hyperlink>
        </w:p>
        <w:p w14:paraId="3604603F" w14:textId="3CCB8617"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1" w:history="1">
            <w:r w:rsidRPr="001C3410">
              <w:rPr>
                <w:rStyle w:val="Hyperlink"/>
                <w:noProof/>
              </w:rPr>
              <w:t>Overview</w:t>
            </w:r>
            <w:r>
              <w:rPr>
                <w:noProof/>
                <w:webHidden/>
              </w:rPr>
              <w:tab/>
            </w:r>
            <w:r>
              <w:rPr>
                <w:noProof/>
                <w:webHidden/>
              </w:rPr>
              <w:fldChar w:fldCharType="begin"/>
            </w:r>
            <w:r>
              <w:rPr>
                <w:noProof/>
                <w:webHidden/>
              </w:rPr>
              <w:instrText xml:space="preserve"> PAGEREF _Toc212544591 \h </w:instrText>
            </w:r>
            <w:r>
              <w:rPr>
                <w:noProof/>
                <w:webHidden/>
              </w:rPr>
            </w:r>
            <w:r>
              <w:rPr>
                <w:noProof/>
                <w:webHidden/>
              </w:rPr>
              <w:fldChar w:fldCharType="separate"/>
            </w:r>
            <w:r w:rsidR="00CC518D">
              <w:rPr>
                <w:noProof/>
                <w:webHidden/>
              </w:rPr>
              <w:t>4</w:t>
            </w:r>
            <w:r>
              <w:rPr>
                <w:noProof/>
                <w:webHidden/>
              </w:rPr>
              <w:fldChar w:fldCharType="end"/>
            </w:r>
          </w:hyperlink>
        </w:p>
        <w:p w14:paraId="60ED2D6C" w14:textId="52166C71"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2" w:history="1">
            <w:r w:rsidRPr="001C3410">
              <w:rPr>
                <w:rStyle w:val="Hyperlink"/>
                <w:noProof/>
              </w:rPr>
              <w:t>Participants – College-led AGPT Program</w:t>
            </w:r>
            <w:r>
              <w:rPr>
                <w:noProof/>
                <w:webHidden/>
              </w:rPr>
              <w:tab/>
            </w:r>
            <w:r>
              <w:rPr>
                <w:noProof/>
                <w:webHidden/>
              </w:rPr>
              <w:fldChar w:fldCharType="begin"/>
            </w:r>
            <w:r>
              <w:rPr>
                <w:noProof/>
                <w:webHidden/>
              </w:rPr>
              <w:instrText xml:space="preserve"> PAGEREF _Toc212544592 \h </w:instrText>
            </w:r>
            <w:r>
              <w:rPr>
                <w:noProof/>
                <w:webHidden/>
              </w:rPr>
            </w:r>
            <w:r>
              <w:rPr>
                <w:noProof/>
                <w:webHidden/>
              </w:rPr>
              <w:fldChar w:fldCharType="separate"/>
            </w:r>
            <w:r w:rsidR="00CC518D">
              <w:rPr>
                <w:noProof/>
                <w:webHidden/>
              </w:rPr>
              <w:t>5</w:t>
            </w:r>
            <w:r>
              <w:rPr>
                <w:noProof/>
                <w:webHidden/>
              </w:rPr>
              <w:fldChar w:fldCharType="end"/>
            </w:r>
          </w:hyperlink>
        </w:p>
        <w:p w14:paraId="05F46E97" w14:textId="74DC7DF2"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3" w:history="1">
            <w:r w:rsidRPr="001C3410">
              <w:rPr>
                <w:rStyle w:val="Hyperlink"/>
                <w:noProof/>
              </w:rPr>
              <w:t>How payments are calculated for NCP: Supervisor payments, Practice payments and Registrar payments</w:t>
            </w:r>
            <w:r>
              <w:rPr>
                <w:noProof/>
                <w:webHidden/>
              </w:rPr>
              <w:tab/>
            </w:r>
            <w:r>
              <w:rPr>
                <w:noProof/>
                <w:webHidden/>
              </w:rPr>
              <w:fldChar w:fldCharType="begin"/>
            </w:r>
            <w:r>
              <w:rPr>
                <w:noProof/>
                <w:webHidden/>
              </w:rPr>
              <w:instrText xml:space="preserve"> PAGEREF _Toc212544593 \h </w:instrText>
            </w:r>
            <w:r>
              <w:rPr>
                <w:noProof/>
                <w:webHidden/>
              </w:rPr>
            </w:r>
            <w:r>
              <w:rPr>
                <w:noProof/>
                <w:webHidden/>
              </w:rPr>
              <w:fldChar w:fldCharType="separate"/>
            </w:r>
            <w:r w:rsidR="00CC518D">
              <w:rPr>
                <w:noProof/>
                <w:webHidden/>
              </w:rPr>
              <w:t>5</w:t>
            </w:r>
            <w:r>
              <w:rPr>
                <w:noProof/>
                <w:webHidden/>
              </w:rPr>
              <w:fldChar w:fldCharType="end"/>
            </w:r>
          </w:hyperlink>
        </w:p>
        <w:p w14:paraId="0D434EFB" w14:textId="1961DF0B"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594" w:history="1">
            <w:r w:rsidRPr="001C3410">
              <w:rPr>
                <w:rStyle w:val="Hyperlink"/>
                <w:noProof/>
              </w:rPr>
              <w:t>Eligibility Requirements</w:t>
            </w:r>
            <w:r>
              <w:rPr>
                <w:noProof/>
                <w:webHidden/>
              </w:rPr>
              <w:tab/>
            </w:r>
            <w:r>
              <w:rPr>
                <w:noProof/>
                <w:webHidden/>
              </w:rPr>
              <w:fldChar w:fldCharType="begin"/>
            </w:r>
            <w:r>
              <w:rPr>
                <w:noProof/>
                <w:webHidden/>
              </w:rPr>
              <w:instrText xml:space="preserve"> PAGEREF _Toc212544594 \h </w:instrText>
            </w:r>
            <w:r>
              <w:rPr>
                <w:noProof/>
                <w:webHidden/>
              </w:rPr>
            </w:r>
            <w:r>
              <w:rPr>
                <w:noProof/>
                <w:webHidden/>
              </w:rPr>
              <w:fldChar w:fldCharType="separate"/>
            </w:r>
            <w:r w:rsidR="00CC518D">
              <w:rPr>
                <w:noProof/>
                <w:webHidden/>
              </w:rPr>
              <w:t>5</w:t>
            </w:r>
            <w:r>
              <w:rPr>
                <w:noProof/>
                <w:webHidden/>
              </w:rPr>
              <w:fldChar w:fldCharType="end"/>
            </w:r>
          </w:hyperlink>
        </w:p>
        <w:p w14:paraId="6A39A888" w14:textId="231A27B5"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5" w:history="1">
            <w:r w:rsidRPr="001C3410">
              <w:rPr>
                <w:rStyle w:val="Hyperlink"/>
                <w:noProof/>
              </w:rPr>
              <w:t>a.</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Core Training Terms</w:t>
            </w:r>
            <w:r>
              <w:rPr>
                <w:noProof/>
                <w:webHidden/>
              </w:rPr>
              <w:tab/>
            </w:r>
            <w:r>
              <w:rPr>
                <w:noProof/>
                <w:webHidden/>
              </w:rPr>
              <w:fldChar w:fldCharType="begin"/>
            </w:r>
            <w:r>
              <w:rPr>
                <w:noProof/>
                <w:webHidden/>
              </w:rPr>
              <w:instrText xml:space="preserve"> PAGEREF _Toc212544595 \h </w:instrText>
            </w:r>
            <w:r>
              <w:rPr>
                <w:noProof/>
                <w:webHidden/>
              </w:rPr>
            </w:r>
            <w:r>
              <w:rPr>
                <w:noProof/>
                <w:webHidden/>
              </w:rPr>
              <w:fldChar w:fldCharType="separate"/>
            </w:r>
            <w:r w:rsidR="00CC518D">
              <w:rPr>
                <w:noProof/>
                <w:webHidden/>
              </w:rPr>
              <w:t>6</w:t>
            </w:r>
            <w:r>
              <w:rPr>
                <w:noProof/>
                <w:webHidden/>
              </w:rPr>
              <w:fldChar w:fldCharType="end"/>
            </w:r>
          </w:hyperlink>
        </w:p>
        <w:p w14:paraId="41034FD5" w14:textId="59DC8779"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6" w:history="1">
            <w:r w:rsidRPr="001C3410">
              <w:rPr>
                <w:rStyle w:val="Hyperlink"/>
                <w:noProof/>
              </w:rPr>
              <w:t>b.</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FTE weeks</w:t>
            </w:r>
            <w:r>
              <w:rPr>
                <w:noProof/>
                <w:webHidden/>
              </w:rPr>
              <w:tab/>
            </w:r>
            <w:r>
              <w:rPr>
                <w:noProof/>
                <w:webHidden/>
              </w:rPr>
              <w:fldChar w:fldCharType="begin"/>
            </w:r>
            <w:r>
              <w:rPr>
                <w:noProof/>
                <w:webHidden/>
              </w:rPr>
              <w:instrText xml:space="preserve"> PAGEREF _Toc212544596 \h </w:instrText>
            </w:r>
            <w:r>
              <w:rPr>
                <w:noProof/>
                <w:webHidden/>
              </w:rPr>
            </w:r>
            <w:r>
              <w:rPr>
                <w:noProof/>
                <w:webHidden/>
              </w:rPr>
              <w:fldChar w:fldCharType="separate"/>
            </w:r>
            <w:r w:rsidR="00CC518D">
              <w:rPr>
                <w:noProof/>
                <w:webHidden/>
              </w:rPr>
              <w:t>6</w:t>
            </w:r>
            <w:r>
              <w:rPr>
                <w:noProof/>
                <w:webHidden/>
              </w:rPr>
              <w:fldChar w:fldCharType="end"/>
            </w:r>
          </w:hyperlink>
        </w:p>
        <w:p w14:paraId="371A83D5" w14:textId="293CC6B8"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7" w:history="1">
            <w:r w:rsidRPr="001C3410">
              <w:rPr>
                <w:rStyle w:val="Hyperlink"/>
                <w:noProof/>
              </w:rPr>
              <w:t>c.</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Geographical Locations</w:t>
            </w:r>
            <w:r>
              <w:rPr>
                <w:noProof/>
                <w:webHidden/>
              </w:rPr>
              <w:tab/>
            </w:r>
            <w:r>
              <w:rPr>
                <w:noProof/>
                <w:webHidden/>
              </w:rPr>
              <w:fldChar w:fldCharType="begin"/>
            </w:r>
            <w:r>
              <w:rPr>
                <w:noProof/>
                <w:webHidden/>
              </w:rPr>
              <w:instrText xml:space="preserve"> PAGEREF _Toc212544597 \h </w:instrText>
            </w:r>
            <w:r>
              <w:rPr>
                <w:noProof/>
                <w:webHidden/>
              </w:rPr>
            </w:r>
            <w:r>
              <w:rPr>
                <w:noProof/>
                <w:webHidden/>
              </w:rPr>
              <w:fldChar w:fldCharType="separate"/>
            </w:r>
            <w:r w:rsidR="00CC518D">
              <w:rPr>
                <w:noProof/>
                <w:webHidden/>
              </w:rPr>
              <w:t>6</w:t>
            </w:r>
            <w:r>
              <w:rPr>
                <w:noProof/>
                <w:webHidden/>
              </w:rPr>
              <w:fldChar w:fldCharType="end"/>
            </w:r>
          </w:hyperlink>
        </w:p>
        <w:p w14:paraId="0F4059F9" w14:textId="6D45F0F9"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598" w:history="1">
            <w:r w:rsidRPr="001C3410">
              <w:rPr>
                <w:rStyle w:val="Hyperlink"/>
                <w:noProof/>
              </w:rPr>
              <w:t>Case Scenarios</w:t>
            </w:r>
            <w:r>
              <w:rPr>
                <w:noProof/>
                <w:webHidden/>
              </w:rPr>
              <w:tab/>
            </w:r>
            <w:r>
              <w:rPr>
                <w:noProof/>
                <w:webHidden/>
              </w:rPr>
              <w:fldChar w:fldCharType="begin"/>
            </w:r>
            <w:r>
              <w:rPr>
                <w:noProof/>
                <w:webHidden/>
              </w:rPr>
              <w:instrText xml:space="preserve"> PAGEREF _Toc212544598 \h </w:instrText>
            </w:r>
            <w:r>
              <w:rPr>
                <w:noProof/>
                <w:webHidden/>
              </w:rPr>
            </w:r>
            <w:r>
              <w:rPr>
                <w:noProof/>
                <w:webHidden/>
              </w:rPr>
              <w:fldChar w:fldCharType="separate"/>
            </w:r>
            <w:r w:rsidR="00CC518D">
              <w:rPr>
                <w:noProof/>
                <w:webHidden/>
              </w:rPr>
              <w:t>7</w:t>
            </w:r>
            <w:r>
              <w:rPr>
                <w:noProof/>
                <w:webHidden/>
              </w:rPr>
              <w:fldChar w:fldCharType="end"/>
            </w:r>
          </w:hyperlink>
        </w:p>
        <w:p w14:paraId="32C865E6" w14:textId="722767FC"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599" w:history="1">
            <w:r w:rsidRPr="001C3410">
              <w:rPr>
                <w:rStyle w:val="Hyperlink"/>
                <w:noProof/>
              </w:rPr>
              <w:t>Registrar payment</w:t>
            </w:r>
            <w:r>
              <w:rPr>
                <w:noProof/>
                <w:webHidden/>
              </w:rPr>
              <w:tab/>
            </w:r>
            <w:r>
              <w:rPr>
                <w:noProof/>
                <w:webHidden/>
              </w:rPr>
              <w:fldChar w:fldCharType="begin"/>
            </w:r>
            <w:r>
              <w:rPr>
                <w:noProof/>
                <w:webHidden/>
              </w:rPr>
              <w:instrText xml:space="preserve"> PAGEREF _Toc212544599 \h </w:instrText>
            </w:r>
            <w:r>
              <w:rPr>
                <w:noProof/>
                <w:webHidden/>
              </w:rPr>
            </w:r>
            <w:r>
              <w:rPr>
                <w:noProof/>
                <w:webHidden/>
              </w:rPr>
              <w:fldChar w:fldCharType="separate"/>
            </w:r>
            <w:r w:rsidR="00CC518D">
              <w:rPr>
                <w:noProof/>
                <w:webHidden/>
              </w:rPr>
              <w:t>7</w:t>
            </w:r>
            <w:r>
              <w:rPr>
                <w:noProof/>
                <w:webHidden/>
              </w:rPr>
              <w:fldChar w:fldCharType="end"/>
            </w:r>
          </w:hyperlink>
        </w:p>
        <w:p w14:paraId="4CF9E41F" w14:textId="13D84C55" w:rsidR="007106B3" w:rsidRDefault="007106B3">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0" w:history="1">
            <w:r w:rsidRPr="001C3410">
              <w:rPr>
                <w:rStyle w:val="Hyperlink"/>
                <w:noProof/>
              </w:rPr>
              <w:t>Registrars in Transition: Pro-rata payments</w:t>
            </w:r>
            <w:r>
              <w:rPr>
                <w:noProof/>
                <w:webHidden/>
              </w:rPr>
              <w:tab/>
            </w:r>
            <w:r>
              <w:rPr>
                <w:noProof/>
                <w:webHidden/>
              </w:rPr>
              <w:fldChar w:fldCharType="begin"/>
            </w:r>
            <w:r>
              <w:rPr>
                <w:noProof/>
                <w:webHidden/>
              </w:rPr>
              <w:instrText xml:space="preserve"> PAGEREF _Toc212544600 \h </w:instrText>
            </w:r>
            <w:r>
              <w:rPr>
                <w:noProof/>
                <w:webHidden/>
              </w:rPr>
            </w:r>
            <w:r>
              <w:rPr>
                <w:noProof/>
                <w:webHidden/>
              </w:rPr>
              <w:fldChar w:fldCharType="separate"/>
            </w:r>
            <w:r w:rsidR="00CC518D">
              <w:rPr>
                <w:noProof/>
                <w:webHidden/>
              </w:rPr>
              <w:t>9</w:t>
            </w:r>
            <w:r>
              <w:rPr>
                <w:noProof/>
                <w:webHidden/>
              </w:rPr>
              <w:fldChar w:fldCharType="end"/>
            </w:r>
          </w:hyperlink>
        </w:p>
        <w:p w14:paraId="29B1629D" w14:textId="36B924C3" w:rsidR="007106B3" w:rsidRDefault="007106B3">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1" w:history="1">
            <w:r w:rsidRPr="001C3410">
              <w:rPr>
                <w:rStyle w:val="Hyperlink"/>
                <w:noProof/>
              </w:rPr>
              <w:t>Registrar in Transition: Indexation</w:t>
            </w:r>
            <w:r>
              <w:rPr>
                <w:noProof/>
                <w:webHidden/>
              </w:rPr>
              <w:tab/>
            </w:r>
            <w:r>
              <w:rPr>
                <w:noProof/>
                <w:webHidden/>
              </w:rPr>
              <w:fldChar w:fldCharType="begin"/>
            </w:r>
            <w:r>
              <w:rPr>
                <w:noProof/>
                <w:webHidden/>
              </w:rPr>
              <w:instrText xml:space="preserve"> PAGEREF _Toc212544601 \h </w:instrText>
            </w:r>
            <w:r>
              <w:rPr>
                <w:noProof/>
                <w:webHidden/>
              </w:rPr>
            </w:r>
            <w:r>
              <w:rPr>
                <w:noProof/>
                <w:webHidden/>
              </w:rPr>
              <w:fldChar w:fldCharType="separate"/>
            </w:r>
            <w:r w:rsidR="00CC518D">
              <w:rPr>
                <w:noProof/>
                <w:webHidden/>
              </w:rPr>
              <w:t>9</w:t>
            </w:r>
            <w:r>
              <w:rPr>
                <w:noProof/>
                <w:webHidden/>
              </w:rPr>
              <w:fldChar w:fldCharType="end"/>
            </w:r>
          </w:hyperlink>
        </w:p>
        <w:p w14:paraId="1520E35A" w14:textId="37FED60F"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602" w:history="1">
            <w:r w:rsidRPr="001C3410">
              <w:rPr>
                <w:rStyle w:val="Hyperlink"/>
                <w:noProof/>
              </w:rPr>
              <w:t>Supervisor payment</w:t>
            </w:r>
            <w:r>
              <w:rPr>
                <w:noProof/>
                <w:webHidden/>
              </w:rPr>
              <w:tab/>
            </w:r>
            <w:r>
              <w:rPr>
                <w:noProof/>
                <w:webHidden/>
              </w:rPr>
              <w:fldChar w:fldCharType="begin"/>
            </w:r>
            <w:r>
              <w:rPr>
                <w:noProof/>
                <w:webHidden/>
              </w:rPr>
              <w:instrText xml:space="preserve"> PAGEREF _Toc212544602 \h </w:instrText>
            </w:r>
            <w:r>
              <w:rPr>
                <w:noProof/>
                <w:webHidden/>
              </w:rPr>
            </w:r>
            <w:r>
              <w:rPr>
                <w:noProof/>
                <w:webHidden/>
              </w:rPr>
              <w:fldChar w:fldCharType="separate"/>
            </w:r>
            <w:r w:rsidR="00CC518D">
              <w:rPr>
                <w:noProof/>
                <w:webHidden/>
              </w:rPr>
              <w:t>9</w:t>
            </w:r>
            <w:r>
              <w:rPr>
                <w:noProof/>
                <w:webHidden/>
              </w:rPr>
              <w:fldChar w:fldCharType="end"/>
            </w:r>
          </w:hyperlink>
        </w:p>
        <w:p w14:paraId="29BE9DA8" w14:textId="73947596"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603" w:history="1">
            <w:r w:rsidRPr="001C3410">
              <w:rPr>
                <w:rStyle w:val="Hyperlink"/>
                <w:noProof/>
              </w:rPr>
              <w:t>Practices payment</w:t>
            </w:r>
            <w:r>
              <w:rPr>
                <w:noProof/>
                <w:webHidden/>
              </w:rPr>
              <w:tab/>
            </w:r>
            <w:r>
              <w:rPr>
                <w:noProof/>
                <w:webHidden/>
              </w:rPr>
              <w:fldChar w:fldCharType="begin"/>
            </w:r>
            <w:r>
              <w:rPr>
                <w:noProof/>
                <w:webHidden/>
              </w:rPr>
              <w:instrText xml:space="preserve"> PAGEREF _Toc212544603 \h </w:instrText>
            </w:r>
            <w:r>
              <w:rPr>
                <w:noProof/>
                <w:webHidden/>
              </w:rPr>
            </w:r>
            <w:r>
              <w:rPr>
                <w:noProof/>
                <w:webHidden/>
              </w:rPr>
              <w:fldChar w:fldCharType="separate"/>
            </w:r>
            <w:r w:rsidR="00CC518D">
              <w:rPr>
                <w:noProof/>
                <w:webHidden/>
              </w:rPr>
              <w:t>10</w:t>
            </w:r>
            <w:r>
              <w:rPr>
                <w:noProof/>
                <w:webHidden/>
              </w:rPr>
              <w:fldChar w:fldCharType="end"/>
            </w:r>
          </w:hyperlink>
        </w:p>
        <w:p w14:paraId="10B30515" w14:textId="5C911605"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4" w:history="1">
            <w:r w:rsidRPr="001C3410">
              <w:rPr>
                <w:rStyle w:val="Hyperlink"/>
                <w:noProof/>
              </w:rPr>
              <w:t>Payment Processing</w:t>
            </w:r>
            <w:r>
              <w:rPr>
                <w:noProof/>
                <w:webHidden/>
              </w:rPr>
              <w:tab/>
            </w:r>
            <w:r>
              <w:rPr>
                <w:noProof/>
                <w:webHidden/>
              </w:rPr>
              <w:fldChar w:fldCharType="begin"/>
            </w:r>
            <w:r>
              <w:rPr>
                <w:noProof/>
                <w:webHidden/>
              </w:rPr>
              <w:instrText xml:space="preserve"> PAGEREF _Toc212544604 \h </w:instrText>
            </w:r>
            <w:r>
              <w:rPr>
                <w:noProof/>
                <w:webHidden/>
              </w:rPr>
            </w:r>
            <w:r>
              <w:rPr>
                <w:noProof/>
                <w:webHidden/>
              </w:rPr>
              <w:fldChar w:fldCharType="separate"/>
            </w:r>
            <w:r w:rsidR="00CC518D">
              <w:rPr>
                <w:noProof/>
                <w:webHidden/>
              </w:rPr>
              <w:t>10</w:t>
            </w:r>
            <w:r>
              <w:rPr>
                <w:noProof/>
                <w:webHidden/>
              </w:rPr>
              <w:fldChar w:fldCharType="end"/>
            </w:r>
          </w:hyperlink>
        </w:p>
        <w:p w14:paraId="3ED6C24F" w14:textId="2862404D"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5" w:history="1">
            <w:r w:rsidRPr="001C3410">
              <w:rPr>
                <w:rStyle w:val="Hyperlink"/>
                <w:noProof/>
              </w:rPr>
              <w:t>a.</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Payment Assessment and Payment Data</w:t>
            </w:r>
            <w:r>
              <w:rPr>
                <w:noProof/>
                <w:webHidden/>
              </w:rPr>
              <w:tab/>
            </w:r>
            <w:r>
              <w:rPr>
                <w:noProof/>
                <w:webHidden/>
              </w:rPr>
              <w:fldChar w:fldCharType="begin"/>
            </w:r>
            <w:r>
              <w:rPr>
                <w:noProof/>
                <w:webHidden/>
              </w:rPr>
              <w:instrText xml:space="preserve"> PAGEREF _Toc212544605 \h </w:instrText>
            </w:r>
            <w:r>
              <w:rPr>
                <w:noProof/>
                <w:webHidden/>
              </w:rPr>
            </w:r>
            <w:r>
              <w:rPr>
                <w:noProof/>
                <w:webHidden/>
              </w:rPr>
              <w:fldChar w:fldCharType="separate"/>
            </w:r>
            <w:r w:rsidR="00CC518D">
              <w:rPr>
                <w:noProof/>
                <w:webHidden/>
              </w:rPr>
              <w:t>10</w:t>
            </w:r>
            <w:r>
              <w:rPr>
                <w:noProof/>
                <w:webHidden/>
              </w:rPr>
              <w:fldChar w:fldCharType="end"/>
            </w:r>
          </w:hyperlink>
        </w:p>
        <w:p w14:paraId="4FE915B5" w14:textId="0D0D778B"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6" w:history="1">
            <w:r w:rsidRPr="001C3410">
              <w:rPr>
                <w:rStyle w:val="Hyperlink"/>
                <w:noProof/>
              </w:rPr>
              <w:t>b.</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Communication between Colleges and Services Australia - Application Programming Interface</w:t>
            </w:r>
            <w:r>
              <w:rPr>
                <w:noProof/>
                <w:webHidden/>
              </w:rPr>
              <w:tab/>
            </w:r>
            <w:r>
              <w:rPr>
                <w:noProof/>
                <w:webHidden/>
              </w:rPr>
              <w:fldChar w:fldCharType="begin"/>
            </w:r>
            <w:r>
              <w:rPr>
                <w:noProof/>
                <w:webHidden/>
              </w:rPr>
              <w:instrText xml:space="preserve"> PAGEREF _Toc212544606 \h </w:instrText>
            </w:r>
            <w:r>
              <w:rPr>
                <w:noProof/>
                <w:webHidden/>
              </w:rPr>
            </w:r>
            <w:r>
              <w:rPr>
                <w:noProof/>
                <w:webHidden/>
              </w:rPr>
              <w:fldChar w:fldCharType="separate"/>
            </w:r>
            <w:r w:rsidR="00CC518D">
              <w:rPr>
                <w:noProof/>
                <w:webHidden/>
              </w:rPr>
              <w:t>10</w:t>
            </w:r>
            <w:r>
              <w:rPr>
                <w:noProof/>
                <w:webHidden/>
              </w:rPr>
              <w:fldChar w:fldCharType="end"/>
            </w:r>
          </w:hyperlink>
        </w:p>
        <w:p w14:paraId="3BF2A5C2" w14:textId="6BA6674E"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7" w:history="1">
            <w:r w:rsidRPr="001C3410">
              <w:rPr>
                <w:rStyle w:val="Hyperlink"/>
                <w:noProof/>
              </w:rPr>
              <w:t>c.</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Bank Account Details</w:t>
            </w:r>
            <w:r>
              <w:rPr>
                <w:noProof/>
                <w:webHidden/>
              </w:rPr>
              <w:tab/>
            </w:r>
            <w:r>
              <w:rPr>
                <w:noProof/>
                <w:webHidden/>
              </w:rPr>
              <w:fldChar w:fldCharType="begin"/>
            </w:r>
            <w:r>
              <w:rPr>
                <w:noProof/>
                <w:webHidden/>
              </w:rPr>
              <w:instrText xml:space="preserve"> PAGEREF _Toc212544607 \h </w:instrText>
            </w:r>
            <w:r>
              <w:rPr>
                <w:noProof/>
                <w:webHidden/>
              </w:rPr>
            </w:r>
            <w:r>
              <w:rPr>
                <w:noProof/>
                <w:webHidden/>
              </w:rPr>
              <w:fldChar w:fldCharType="separate"/>
            </w:r>
            <w:r w:rsidR="00CC518D">
              <w:rPr>
                <w:noProof/>
                <w:webHidden/>
              </w:rPr>
              <w:t>11</w:t>
            </w:r>
            <w:r>
              <w:rPr>
                <w:noProof/>
                <w:webHidden/>
              </w:rPr>
              <w:fldChar w:fldCharType="end"/>
            </w:r>
          </w:hyperlink>
        </w:p>
        <w:p w14:paraId="66CDD79E" w14:textId="54280342"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8" w:history="1">
            <w:r w:rsidRPr="001C3410">
              <w:rPr>
                <w:rStyle w:val="Hyperlink"/>
                <w:noProof/>
              </w:rPr>
              <w:t>Participant bank account details</w:t>
            </w:r>
            <w:r>
              <w:rPr>
                <w:noProof/>
                <w:webHidden/>
              </w:rPr>
              <w:tab/>
            </w:r>
            <w:r>
              <w:rPr>
                <w:noProof/>
                <w:webHidden/>
              </w:rPr>
              <w:fldChar w:fldCharType="begin"/>
            </w:r>
            <w:r>
              <w:rPr>
                <w:noProof/>
                <w:webHidden/>
              </w:rPr>
              <w:instrText xml:space="preserve"> PAGEREF _Toc212544608 \h </w:instrText>
            </w:r>
            <w:r>
              <w:rPr>
                <w:noProof/>
                <w:webHidden/>
              </w:rPr>
            </w:r>
            <w:r>
              <w:rPr>
                <w:noProof/>
                <w:webHidden/>
              </w:rPr>
              <w:fldChar w:fldCharType="separate"/>
            </w:r>
            <w:r w:rsidR="00CC518D">
              <w:rPr>
                <w:noProof/>
                <w:webHidden/>
              </w:rPr>
              <w:t>11</w:t>
            </w:r>
            <w:r>
              <w:rPr>
                <w:noProof/>
                <w:webHidden/>
              </w:rPr>
              <w:fldChar w:fldCharType="end"/>
            </w:r>
          </w:hyperlink>
        </w:p>
        <w:p w14:paraId="01D5C7EE" w14:textId="2E5D393E"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09" w:history="1">
            <w:r w:rsidRPr="001C3410">
              <w:rPr>
                <w:rStyle w:val="Hyperlink"/>
                <w:noProof/>
              </w:rPr>
              <w:t>Frequency of payments and payment runs</w:t>
            </w:r>
            <w:r>
              <w:rPr>
                <w:noProof/>
                <w:webHidden/>
              </w:rPr>
              <w:tab/>
            </w:r>
            <w:r>
              <w:rPr>
                <w:noProof/>
                <w:webHidden/>
              </w:rPr>
              <w:fldChar w:fldCharType="begin"/>
            </w:r>
            <w:r>
              <w:rPr>
                <w:noProof/>
                <w:webHidden/>
              </w:rPr>
              <w:instrText xml:space="preserve"> PAGEREF _Toc212544609 \h </w:instrText>
            </w:r>
            <w:r>
              <w:rPr>
                <w:noProof/>
                <w:webHidden/>
              </w:rPr>
            </w:r>
            <w:r>
              <w:rPr>
                <w:noProof/>
                <w:webHidden/>
              </w:rPr>
              <w:fldChar w:fldCharType="separate"/>
            </w:r>
            <w:r w:rsidR="00CC518D">
              <w:rPr>
                <w:noProof/>
                <w:webHidden/>
              </w:rPr>
              <w:t>12</w:t>
            </w:r>
            <w:r>
              <w:rPr>
                <w:noProof/>
                <w:webHidden/>
              </w:rPr>
              <w:fldChar w:fldCharType="end"/>
            </w:r>
          </w:hyperlink>
        </w:p>
        <w:p w14:paraId="0163AEC9" w14:textId="7D237230"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0" w:history="1">
            <w:r w:rsidRPr="001C3410">
              <w:rPr>
                <w:rStyle w:val="Hyperlink"/>
                <w:noProof/>
              </w:rPr>
              <w:t>Participants seeking a review of their payments</w:t>
            </w:r>
            <w:r>
              <w:rPr>
                <w:noProof/>
                <w:webHidden/>
              </w:rPr>
              <w:tab/>
            </w:r>
            <w:r>
              <w:rPr>
                <w:noProof/>
                <w:webHidden/>
              </w:rPr>
              <w:fldChar w:fldCharType="begin"/>
            </w:r>
            <w:r>
              <w:rPr>
                <w:noProof/>
                <w:webHidden/>
              </w:rPr>
              <w:instrText xml:space="preserve"> PAGEREF _Toc212544610 \h </w:instrText>
            </w:r>
            <w:r>
              <w:rPr>
                <w:noProof/>
                <w:webHidden/>
              </w:rPr>
            </w:r>
            <w:r>
              <w:rPr>
                <w:noProof/>
                <w:webHidden/>
              </w:rPr>
              <w:fldChar w:fldCharType="separate"/>
            </w:r>
            <w:r w:rsidR="00CC518D">
              <w:rPr>
                <w:noProof/>
                <w:webHidden/>
              </w:rPr>
              <w:t>12</w:t>
            </w:r>
            <w:r>
              <w:rPr>
                <w:noProof/>
                <w:webHidden/>
              </w:rPr>
              <w:fldChar w:fldCharType="end"/>
            </w:r>
          </w:hyperlink>
        </w:p>
        <w:p w14:paraId="683506C6" w14:textId="678C7941"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1" w:history="1">
            <w:r w:rsidRPr="001C3410">
              <w:rPr>
                <w:rStyle w:val="Hyperlink"/>
                <w:noProof/>
              </w:rPr>
              <w:t>Flexible payment pool</w:t>
            </w:r>
            <w:r>
              <w:rPr>
                <w:noProof/>
                <w:webHidden/>
              </w:rPr>
              <w:tab/>
            </w:r>
            <w:r>
              <w:rPr>
                <w:noProof/>
                <w:webHidden/>
              </w:rPr>
              <w:fldChar w:fldCharType="begin"/>
            </w:r>
            <w:r>
              <w:rPr>
                <w:noProof/>
                <w:webHidden/>
              </w:rPr>
              <w:instrText xml:space="preserve"> PAGEREF _Toc212544611 \h </w:instrText>
            </w:r>
            <w:r>
              <w:rPr>
                <w:noProof/>
                <w:webHidden/>
              </w:rPr>
            </w:r>
            <w:r>
              <w:rPr>
                <w:noProof/>
                <w:webHidden/>
              </w:rPr>
              <w:fldChar w:fldCharType="separate"/>
            </w:r>
            <w:r w:rsidR="00CC518D">
              <w:rPr>
                <w:noProof/>
                <w:webHidden/>
              </w:rPr>
              <w:t>12</w:t>
            </w:r>
            <w:r>
              <w:rPr>
                <w:noProof/>
                <w:webHidden/>
              </w:rPr>
              <w:fldChar w:fldCharType="end"/>
            </w:r>
          </w:hyperlink>
        </w:p>
        <w:p w14:paraId="5551BBC7" w14:textId="1BEBEFCC"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2" w:history="1">
            <w:r w:rsidRPr="001C3410">
              <w:rPr>
                <w:rStyle w:val="Hyperlink"/>
                <w:noProof/>
              </w:rPr>
              <w:t>Payments during leave periods</w:t>
            </w:r>
            <w:r>
              <w:rPr>
                <w:noProof/>
                <w:webHidden/>
              </w:rPr>
              <w:tab/>
            </w:r>
            <w:r>
              <w:rPr>
                <w:noProof/>
                <w:webHidden/>
              </w:rPr>
              <w:fldChar w:fldCharType="begin"/>
            </w:r>
            <w:r>
              <w:rPr>
                <w:noProof/>
                <w:webHidden/>
              </w:rPr>
              <w:instrText xml:space="preserve"> PAGEREF _Toc212544612 \h </w:instrText>
            </w:r>
            <w:r>
              <w:rPr>
                <w:noProof/>
                <w:webHidden/>
              </w:rPr>
            </w:r>
            <w:r>
              <w:rPr>
                <w:noProof/>
                <w:webHidden/>
              </w:rPr>
              <w:fldChar w:fldCharType="separate"/>
            </w:r>
            <w:r w:rsidR="00CC518D">
              <w:rPr>
                <w:noProof/>
                <w:webHidden/>
              </w:rPr>
              <w:t>13</w:t>
            </w:r>
            <w:r>
              <w:rPr>
                <w:noProof/>
                <w:webHidden/>
              </w:rPr>
              <w:fldChar w:fldCharType="end"/>
            </w:r>
          </w:hyperlink>
        </w:p>
        <w:p w14:paraId="3B9DB6EE" w14:textId="5779AE3C"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3" w:history="1">
            <w:r w:rsidRPr="001C3410">
              <w:rPr>
                <w:rStyle w:val="Hyperlink"/>
                <w:noProof/>
              </w:rPr>
              <w:t>Opting out of the AGPT program</w:t>
            </w:r>
            <w:r>
              <w:rPr>
                <w:noProof/>
                <w:webHidden/>
              </w:rPr>
              <w:tab/>
            </w:r>
            <w:r>
              <w:rPr>
                <w:noProof/>
                <w:webHidden/>
              </w:rPr>
              <w:fldChar w:fldCharType="begin"/>
            </w:r>
            <w:r>
              <w:rPr>
                <w:noProof/>
                <w:webHidden/>
              </w:rPr>
              <w:instrText xml:space="preserve"> PAGEREF _Toc212544613 \h </w:instrText>
            </w:r>
            <w:r>
              <w:rPr>
                <w:noProof/>
                <w:webHidden/>
              </w:rPr>
            </w:r>
            <w:r>
              <w:rPr>
                <w:noProof/>
                <w:webHidden/>
              </w:rPr>
              <w:fldChar w:fldCharType="separate"/>
            </w:r>
            <w:r w:rsidR="00CC518D">
              <w:rPr>
                <w:noProof/>
                <w:webHidden/>
              </w:rPr>
              <w:t>13</w:t>
            </w:r>
            <w:r>
              <w:rPr>
                <w:noProof/>
                <w:webHidden/>
              </w:rPr>
              <w:fldChar w:fldCharType="end"/>
            </w:r>
          </w:hyperlink>
        </w:p>
        <w:p w14:paraId="2C7FA90C" w14:textId="071A8B16"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4" w:history="1">
            <w:r w:rsidRPr="001C3410">
              <w:rPr>
                <w:rStyle w:val="Hyperlink"/>
                <w:noProof/>
              </w:rPr>
              <w:t>Withdrawal from the AGPT program</w:t>
            </w:r>
            <w:r>
              <w:rPr>
                <w:noProof/>
                <w:webHidden/>
              </w:rPr>
              <w:tab/>
            </w:r>
            <w:r>
              <w:rPr>
                <w:noProof/>
                <w:webHidden/>
              </w:rPr>
              <w:fldChar w:fldCharType="begin"/>
            </w:r>
            <w:r>
              <w:rPr>
                <w:noProof/>
                <w:webHidden/>
              </w:rPr>
              <w:instrText xml:space="preserve"> PAGEREF _Toc212544614 \h </w:instrText>
            </w:r>
            <w:r>
              <w:rPr>
                <w:noProof/>
                <w:webHidden/>
              </w:rPr>
            </w:r>
            <w:r>
              <w:rPr>
                <w:noProof/>
                <w:webHidden/>
              </w:rPr>
              <w:fldChar w:fldCharType="separate"/>
            </w:r>
            <w:r w:rsidR="00CC518D">
              <w:rPr>
                <w:noProof/>
                <w:webHidden/>
              </w:rPr>
              <w:t>13</w:t>
            </w:r>
            <w:r>
              <w:rPr>
                <w:noProof/>
                <w:webHidden/>
              </w:rPr>
              <w:fldChar w:fldCharType="end"/>
            </w:r>
          </w:hyperlink>
        </w:p>
        <w:p w14:paraId="3884EA02" w14:textId="3349BBBB"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5" w:history="1">
            <w:r w:rsidRPr="001C3410">
              <w:rPr>
                <w:rStyle w:val="Hyperlink"/>
                <w:noProof/>
              </w:rPr>
              <w:t>Notification for changes to participant’s training arrangements</w:t>
            </w:r>
            <w:r>
              <w:rPr>
                <w:noProof/>
                <w:webHidden/>
              </w:rPr>
              <w:tab/>
            </w:r>
            <w:r>
              <w:rPr>
                <w:noProof/>
                <w:webHidden/>
              </w:rPr>
              <w:fldChar w:fldCharType="begin"/>
            </w:r>
            <w:r>
              <w:rPr>
                <w:noProof/>
                <w:webHidden/>
              </w:rPr>
              <w:instrText xml:space="preserve"> PAGEREF _Toc212544615 \h </w:instrText>
            </w:r>
            <w:r>
              <w:rPr>
                <w:noProof/>
                <w:webHidden/>
              </w:rPr>
            </w:r>
            <w:r>
              <w:rPr>
                <w:noProof/>
                <w:webHidden/>
              </w:rPr>
              <w:fldChar w:fldCharType="separate"/>
            </w:r>
            <w:r w:rsidR="00CC518D">
              <w:rPr>
                <w:noProof/>
                <w:webHidden/>
              </w:rPr>
              <w:t>14</w:t>
            </w:r>
            <w:r>
              <w:rPr>
                <w:noProof/>
                <w:webHidden/>
              </w:rPr>
              <w:fldChar w:fldCharType="end"/>
            </w:r>
          </w:hyperlink>
        </w:p>
        <w:p w14:paraId="5E120E7D" w14:textId="3FD478D9"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6" w:history="1">
            <w:r w:rsidRPr="001C3410">
              <w:rPr>
                <w:rStyle w:val="Hyperlink"/>
                <w:noProof/>
              </w:rPr>
              <w:t>Change of practice ownership process</w:t>
            </w:r>
            <w:r>
              <w:rPr>
                <w:noProof/>
                <w:webHidden/>
              </w:rPr>
              <w:tab/>
            </w:r>
            <w:r>
              <w:rPr>
                <w:noProof/>
                <w:webHidden/>
              </w:rPr>
              <w:fldChar w:fldCharType="begin"/>
            </w:r>
            <w:r>
              <w:rPr>
                <w:noProof/>
                <w:webHidden/>
              </w:rPr>
              <w:instrText xml:space="preserve"> PAGEREF _Toc212544616 \h </w:instrText>
            </w:r>
            <w:r>
              <w:rPr>
                <w:noProof/>
                <w:webHidden/>
              </w:rPr>
            </w:r>
            <w:r>
              <w:rPr>
                <w:noProof/>
                <w:webHidden/>
              </w:rPr>
              <w:fldChar w:fldCharType="separate"/>
            </w:r>
            <w:r w:rsidR="00CC518D">
              <w:rPr>
                <w:noProof/>
                <w:webHidden/>
              </w:rPr>
              <w:t>14</w:t>
            </w:r>
            <w:r>
              <w:rPr>
                <w:noProof/>
                <w:webHidden/>
              </w:rPr>
              <w:fldChar w:fldCharType="end"/>
            </w:r>
          </w:hyperlink>
        </w:p>
        <w:p w14:paraId="75C2C15A" w14:textId="3892BB12"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7" w:history="1">
            <w:r w:rsidRPr="001C3410">
              <w:rPr>
                <w:rStyle w:val="Hyperlink"/>
                <w:noProof/>
              </w:rPr>
              <w:t>Overpayments, payment recovery and withholding of payments</w:t>
            </w:r>
            <w:r>
              <w:rPr>
                <w:noProof/>
                <w:webHidden/>
              </w:rPr>
              <w:tab/>
            </w:r>
            <w:r>
              <w:rPr>
                <w:noProof/>
                <w:webHidden/>
              </w:rPr>
              <w:fldChar w:fldCharType="begin"/>
            </w:r>
            <w:r>
              <w:rPr>
                <w:noProof/>
                <w:webHidden/>
              </w:rPr>
              <w:instrText xml:space="preserve"> PAGEREF _Toc212544617 \h </w:instrText>
            </w:r>
            <w:r>
              <w:rPr>
                <w:noProof/>
                <w:webHidden/>
              </w:rPr>
            </w:r>
            <w:r>
              <w:rPr>
                <w:noProof/>
                <w:webHidden/>
              </w:rPr>
              <w:fldChar w:fldCharType="separate"/>
            </w:r>
            <w:r w:rsidR="00CC518D">
              <w:rPr>
                <w:noProof/>
                <w:webHidden/>
              </w:rPr>
              <w:t>14</w:t>
            </w:r>
            <w:r>
              <w:rPr>
                <w:noProof/>
                <w:webHidden/>
              </w:rPr>
              <w:fldChar w:fldCharType="end"/>
            </w:r>
          </w:hyperlink>
        </w:p>
        <w:p w14:paraId="4B8081C5" w14:textId="03348542"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8" w:history="1">
            <w:r w:rsidRPr="001C3410">
              <w:rPr>
                <w:rStyle w:val="Hyperlink"/>
                <w:noProof/>
              </w:rPr>
              <w:t>a.</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Overpayments</w:t>
            </w:r>
            <w:r>
              <w:rPr>
                <w:noProof/>
                <w:webHidden/>
              </w:rPr>
              <w:tab/>
            </w:r>
            <w:r>
              <w:rPr>
                <w:noProof/>
                <w:webHidden/>
              </w:rPr>
              <w:fldChar w:fldCharType="begin"/>
            </w:r>
            <w:r>
              <w:rPr>
                <w:noProof/>
                <w:webHidden/>
              </w:rPr>
              <w:instrText xml:space="preserve"> PAGEREF _Toc212544618 \h </w:instrText>
            </w:r>
            <w:r>
              <w:rPr>
                <w:noProof/>
                <w:webHidden/>
              </w:rPr>
            </w:r>
            <w:r>
              <w:rPr>
                <w:noProof/>
                <w:webHidden/>
              </w:rPr>
              <w:fldChar w:fldCharType="separate"/>
            </w:r>
            <w:r w:rsidR="00CC518D">
              <w:rPr>
                <w:noProof/>
                <w:webHidden/>
              </w:rPr>
              <w:t>14</w:t>
            </w:r>
            <w:r>
              <w:rPr>
                <w:noProof/>
                <w:webHidden/>
              </w:rPr>
              <w:fldChar w:fldCharType="end"/>
            </w:r>
          </w:hyperlink>
        </w:p>
        <w:p w14:paraId="1BFF47F2" w14:textId="52E2738A"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19" w:history="1">
            <w:r w:rsidRPr="001C3410">
              <w:rPr>
                <w:rStyle w:val="Hyperlink"/>
                <w:noProof/>
              </w:rPr>
              <w:t>b.</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Payment Recovery</w:t>
            </w:r>
            <w:r>
              <w:rPr>
                <w:noProof/>
                <w:webHidden/>
              </w:rPr>
              <w:tab/>
            </w:r>
            <w:r>
              <w:rPr>
                <w:noProof/>
                <w:webHidden/>
              </w:rPr>
              <w:fldChar w:fldCharType="begin"/>
            </w:r>
            <w:r>
              <w:rPr>
                <w:noProof/>
                <w:webHidden/>
              </w:rPr>
              <w:instrText xml:space="preserve"> PAGEREF _Toc212544619 \h </w:instrText>
            </w:r>
            <w:r>
              <w:rPr>
                <w:noProof/>
                <w:webHidden/>
              </w:rPr>
            </w:r>
            <w:r>
              <w:rPr>
                <w:noProof/>
                <w:webHidden/>
              </w:rPr>
              <w:fldChar w:fldCharType="separate"/>
            </w:r>
            <w:r w:rsidR="00CC518D">
              <w:rPr>
                <w:noProof/>
                <w:webHidden/>
              </w:rPr>
              <w:t>15</w:t>
            </w:r>
            <w:r>
              <w:rPr>
                <w:noProof/>
                <w:webHidden/>
              </w:rPr>
              <w:fldChar w:fldCharType="end"/>
            </w:r>
          </w:hyperlink>
        </w:p>
        <w:p w14:paraId="2B77DF8A" w14:textId="7E76EB23" w:rsidR="007106B3" w:rsidRDefault="007106B3">
          <w:pPr>
            <w:pStyle w:val="TOC3"/>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0" w:history="1">
            <w:r w:rsidRPr="001C3410">
              <w:rPr>
                <w:rStyle w:val="Hyperlink"/>
                <w:noProof/>
              </w:rPr>
              <w:t>c.</w:t>
            </w:r>
            <w:r>
              <w:rPr>
                <w:rFonts w:asciiTheme="minorHAnsi" w:eastAsiaTheme="minorEastAsia" w:hAnsiTheme="minorHAnsi" w:cstheme="minorBidi"/>
                <w:noProof/>
                <w:color w:val="auto"/>
                <w:kern w:val="2"/>
                <w:sz w:val="24"/>
                <w:lang w:eastAsia="ja-JP"/>
                <w14:ligatures w14:val="standardContextual"/>
              </w:rPr>
              <w:tab/>
            </w:r>
            <w:r w:rsidRPr="001C3410">
              <w:rPr>
                <w:rStyle w:val="Hyperlink"/>
                <w:noProof/>
              </w:rPr>
              <w:t>Withholding of Payments</w:t>
            </w:r>
            <w:r>
              <w:rPr>
                <w:noProof/>
                <w:webHidden/>
              </w:rPr>
              <w:tab/>
            </w:r>
            <w:r>
              <w:rPr>
                <w:noProof/>
                <w:webHidden/>
              </w:rPr>
              <w:fldChar w:fldCharType="begin"/>
            </w:r>
            <w:r>
              <w:rPr>
                <w:noProof/>
                <w:webHidden/>
              </w:rPr>
              <w:instrText xml:space="preserve"> PAGEREF _Toc212544620 \h </w:instrText>
            </w:r>
            <w:r>
              <w:rPr>
                <w:noProof/>
                <w:webHidden/>
              </w:rPr>
            </w:r>
            <w:r>
              <w:rPr>
                <w:noProof/>
                <w:webHidden/>
              </w:rPr>
              <w:fldChar w:fldCharType="separate"/>
            </w:r>
            <w:r w:rsidR="00CC518D">
              <w:rPr>
                <w:noProof/>
                <w:webHidden/>
              </w:rPr>
              <w:t>15</w:t>
            </w:r>
            <w:r>
              <w:rPr>
                <w:noProof/>
                <w:webHidden/>
              </w:rPr>
              <w:fldChar w:fldCharType="end"/>
            </w:r>
          </w:hyperlink>
        </w:p>
        <w:p w14:paraId="30C775B2" w14:textId="109D40CF"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1" w:history="1">
            <w:r w:rsidRPr="001C3410">
              <w:rPr>
                <w:rStyle w:val="Hyperlink"/>
                <w:noProof/>
              </w:rPr>
              <w:t>Taxation</w:t>
            </w:r>
            <w:r>
              <w:rPr>
                <w:noProof/>
                <w:webHidden/>
              </w:rPr>
              <w:tab/>
            </w:r>
            <w:r>
              <w:rPr>
                <w:noProof/>
                <w:webHidden/>
              </w:rPr>
              <w:fldChar w:fldCharType="begin"/>
            </w:r>
            <w:r>
              <w:rPr>
                <w:noProof/>
                <w:webHidden/>
              </w:rPr>
              <w:instrText xml:space="preserve"> PAGEREF _Toc212544621 \h </w:instrText>
            </w:r>
            <w:r>
              <w:rPr>
                <w:noProof/>
                <w:webHidden/>
              </w:rPr>
            </w:r>
            <w:r>
              <w:rPr>
                <w:noProof/>
                <w:webHidden/>
              </w:rPr>
              <w:fldChar w:fldCharType="separate"/>
            </w:r>
            <w:r w:rsidR="00CC518D">
              <w:rPr>
                <w:noProof/>
                <w:webHidden/>
              </w:rPr>
              <w:t>15</w:t>
            </w:r>
            <w:r>
              <w:rPr>
                <w:noProof/>
                <w:webHidden/>
              </w:rPr>
              <w:fldChar w:fldCharType="end"/>
            </w:r>
          </w:hyperlink>
        </w:p>
        <w:p w14:paraId="6EFAE8DB" w14:textId="5DE1560F"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2" w:history="1">
            <w:r w:rsidRPr="001C3410">
              <w:rPr>
                <w:rStyle w:val="Hyperlink"/>
                <w:noProof/>
              </w:rPr>
              <w:t>Indexation</w:t>
            </w:r>
            <w:r>
              <w:rPr>
                <w:noProof/>
                <w:webHidden/>
              </w:rPr>
              <w:tab/>
            </w:r>
            <w:r>
              <w:rPr>
                <w:noProof/>
                <w:webHidden/>
              </w:rPr>
              <w:fldChar w:fldCharType="begin"/>
            </w:r>
            <w:r>
              <w:rPr>
                <w:noProof/>
                <w:webHidden/>
              </w:rPr>
              <w:instrText xml:space="preserve"> PAGEREF _Toc212544622 \h </w:instrText>
            </w:r>
            <w:r>
              <w:rPr>
                <w:noProof/>
                <w:webHidden/>
              </w:rPr>
            </w:r>
            <w:r>
              <w:rPr>
                <w:noProof/>
                <w:webHidden/>
              </w:rPr>
              <w:fldChar w:fldCharType="separate"/>
            </w:r>
            <w:r w:rsidR="00CC518D">
              <w:rPr>
                <w:noProof/>
                <w:webHidden/>
              </w:rPr>
              <w:t>16</w:t>
            </w:r>
            <w:r>
              <w:rPr>
                <w:noProof/>
                <w:webHidden/>
              </w:rPr>
              <w:fldChar w:fldCharType="end"/>
            </w:r>
          </w:hyperlink>
        </w:p>
        <w:p w14:paraId="2AC4066E" w14:textId="69DCC1BE"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3" w:history="1">
            <w:r w:rsidRPr="001C3410">
              <w:rPr>
                <w:rStyle w:val="Hyperlink"/>
                <w:noProof/>
              </w:rPr>
              <w:t>Privacy</w:t>
            </w:r>
            <w:r>
              <w:rPr>
                <w:noProof/>
                <w:webHidden/>
              </w:rPr>
              <w:tab/>
            </w:r>
            <w:r>
              <w:rPr>
                <w:noProof/>
                <w:webHidden/>
              </w:rPr>
              <w:fldChar w:fldCharType="begin"/>
            </w:r>
            <w:r>
              <w:rPr>
                <w:noProof/>
                <w:webHidden/>
              </w:rPr>
              <w:instrText xml:space="preserve"> PAGEREF _Toc212544623 \h </w:instrText>
            </w:r>
            <w:r>
              <w:rPr>
                <w:noProof/>
                <w:webHidden/>
              </w:rPr>
            </w:r>
            <w:r>
              <w:rPr>
                <w:noProof/>
                <w:webHidden/>
              </w:rPr>
              <w:fldChar w:fldCharType="separate"/>
            </w:r>
            <w:r w:rsidR="00CC518D">
              <w:rPr>
                <w:noProof/>
                <w:webHidden/>
              </w:rPr>
              <w:t>16</w:t>
            </w:r>
            <w:r>
              <w:rPr>
                <w:noProof/>
                <w:webHidden/>
              </w:rPr>
              <w:fldChar w:fldCharType="end"/>
            </w:r>
          </w:hyperlink>
        </w:p>
        <w:p w14:paraId="3D3780F4" w14:textId="35F622E3"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4" w:history="1">
            <w:r w:rsidRPr="001C3410">
              <w:rPr>
                <w:rStyle w:val="Hyperlink"/>
                <w:noProof/>
              </w:rPr>
              <w:t>Contact information</w:t>
            </w:r>
            <w:r>
              <w:rPr>
                <w:noProof/>
                <w:webHidden/>
              </w:rPr>
              <w:tab/>
            </w:r>
            <w:r>
              <w:rPr>
                <w:noProof/>
                <w:webHidden/>
              </w:rPr>
              <w:fldChar w:fldCharType="begin"/>
            </w:r>
            <w:r>
              <w:rPr>
                <w:noProof/>
                <w:webHidden/>
              </w:rPr>
              <w:instrText xml:space="preserve"> PAGEREF _Toc212544624 \h </w:instrText>
            </w:r>
            <w:r>
              <w:rPr>
                <w:noProof/>
                <w:webHidden/>
              </w:rPr>
            </w:r>
            <w:r>
              <w:rPr>
                <w:noProof/>
                <w:webHidden/>
              </w:rPr>
              <w:fldChar w:fldCharType="separate"/>
            </w:r>
            <w:r w:rsidR="00CC518D">
              <w:rPr>
                <w:noProof/>
                <w:webHidden/>
              </w:rPr>
              <w:t>16</w:t>
            </w:r>
            <w:r>
              <w:rPr>
                <w:noProof/>
                <w:webHidden/>
              </w:rPr>
              <w:fldChar w:fldCharType="end"/>
            </w:r>
          </w:hyperlink>
        </w:p>
        <w:p w14:paraId="155AE610" w14:textId="5FADC533"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5" w:history="1">
            <w:r w:rsidRPr="001C3410">
              <w:rPr>
                <w:rStyle w:val="Hyperlink"/>
                <w:noProof/>
              </w:rPr>
              <w:t>Glossary</w:t>
            </w:r>
            <w:r>
              <w:rPr>
                <w:noProof/>
                <w:webHidden/>
              </w:rPr>
              <w:tab/>
            </w:r>
            <w:r>
              <w:rPr>
                <w:noProof/>
                <w:webHidden/>
              </w:rPr>
              <w:fldChar w:fldCharType="begin"/>
            </w:r>
            <w:r>
              <w:rPr>
                <w:noProof/>
                <w:webHidden/>
              </w:rPr>
              <w:instrText xml:space="preserve"> PAGEREF _Toc212544625 \h </w:instrText>
            </w:r>
            <w:r>
              <w:rPr>
                <w:noProof/>
                <w:webHidden/>
              </w:rPr>
            </w:r>
            <w:r>
              <w:rPr>
                <w:noProof/>
                <w:webHidden/>
              </w:rPr>
              <w:fldChar w:fldCharType="separate"/>
            </w:r>
            <w:r w:rsidR="00CC518D">
              <w:rPr>
                <w:noProof/>
                <w:webHidden/>
              </w:rPr>
              <w:t>18</w:t>
            </w:r>
            <w:r>
              <w:rPr>
                <w:noProof/>
                <w:webHidden/>
              </w:rPr>
              <w:fldChar w:fldCharType="end"/>
            </w:r>
          </w:hyperlink>
        </w:p>
        <w:p w14:paraId="5B38A9FC" w14:textId="661DA166" w:rsidR="007106B3" w:rsidRDefault="007106B3">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12544626" w:history="1">
            <w:r w:rsidRPr="001C3410">
              <w:rPr>
                <w:rStyle w:val="Hyperlink"/>
                <w:noProof/>
              </w:rPr>
              <w:t>Appendix</w:t>
            </w:r>
            <w:r>
              <w:rPr>
                <w:noProof/>
                <w:webHidden/>
              </w:rPr>
              <w:tab/>
            </w:r>
            <w:r>
              <w:rPr>
                <w:noProof/>
                <w:webHidden/>
              </w:rPr>
              <w:fldChar w:fldCharType="begin"/>
            </w:r>
            <w:r>
              <w:rPr>
                <w:noProof/>
                <w:webHidden/>
              </w:rPr>
              <w:instrText xml:space="preserve"> PAGEREF _Toc212544626 \h </w:instrText>
            </w:r>
            <w:r>
              <w:rPr>
                <w:noProof/>
                <w:webHidden/>
              </w:rPr>
            </w:r>
            <w:r>
              <w:rPr>
                <w:noProof/>
                <w:webHidden/>
              </w:rPr>
              <w:fldChar w:fldCharType="separate"/>
            </w:r>
            <w:r w:rsidR="00CC518D">
              <w:rPr>
                <w:noProof/>
                <w:webHidden/>
              </w:rPr>
              <w:t>21</w:t>
            </w:r>
            <w:r>
              <w:rPr>
                <w:noProof/>
                <w:webHidden/>
              </w:rPr>
              <w:fldChar w:fldCharType="end"/>
            </w:r>
          </w:hyperlink>
        </w:p>
        <w:p w14:paraId="27DE0EE7" w14:textId="4F431277"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627" w:history="1">
            <w:r w:rsidRPr="001C3410">
              <w:rPr>
                <w:rStyle w:val="Hyperlink"/>
                <w:noProof/>
              </w:rPr>
              <w:t>Appendix A</w:t>
            </w:r>
            <w:r>
              <w:rPr>
                <w:noProof/>
                <w:webHidden/>
              </w:rPr>
              <w:tab/>
            </w:r>
            <w:r>
              <w:rPr>
                <w:noProof/>
                <w:webHidden/>
              </w:rPr>
              <w:fldChar w:fldCharType="begin"/>
            </w:r>
            <w:r>
              <w:rPr>
                <w:noProof/>
                <w:webHidden/>
              </w:rPr>
              <w:instrText xml:space="preserve"> PAGEREF _Toc212544627 \h </w:instrText>
            </w:r>
            <w:r>
              <w:rPr>
                <w:noProof/>
                <w:webHidden/>
              </w:rPr>
            </w:r>
            <w:r>
              <w:rPr>
                <w:noProof/>
                <w:webHidden/>
              </w:rPr>
              <w:fldChar w:fldCharType="separate"/>
            </w:r>
            <w:r w:rsidR="00CC518D">
              <w:rPr>
                <w:noProof/>
                <w:webHidden/>
              </w:rPr>
              <w:t>21</w:t>
            </w:r>
            <w:r>
              <w:rPr>
                <w:noProof/>
                <w:webHidden/>
              </w:rPr>
              <w:fldChar w:fldCharType="end"/>
            </w:r>
          </w:hyperlink>
        </w:p>
        <w:p w14:paraId="0CEE6C0B" w14:textId="306A417D" w:rsidR="007106B3" w:rsidRDefault="007106B3">
          <w:pPr>
            <w:pStyle w:val="TOC2"/>
            <w:rPr>
              <w:rFonts w:asciiTheme="minorHAnsi" w:eastAsiaTheme="minorEastAsia" w:hAnsiTheme="minorHAnsi" w:cstheme="minorBidi"/>
              <w:noProof/>
              <w:color w:val="auto"/>
              <w:kern w:val="2"/>
              <w:sz w:val="24"/>
              <w:lang w:eastAsia="ja-JP"/>
              <w14:ligatures w14:val="standardContextual"/>
            </w:rPr>
          </w:pPr>
          <w:hyperlink w:anchor="_Toc212544628" w:history="1">
            <w:r w:rsidRPr="001C3410">
              <w:rPr>
                <w:rStyle w:val="Hyperlink"/>
                <w:noProof/>
              </w:rPr>
              <w:t>Appendix B</w:t>
            </w:r>
            <w:r>
              <w:rPr>
                <w:noProof/>
                <w:webHidden/>
              </w:rPr>
              <w:tab/>
            </w:r>
            <w:r>
              <w:rPr>
                <w:noProof/>
                <w:webHidden/>
              </w:rPr>
              <w:fldChar w:fldCharType="begin"/>
            </w:r>
            <w:r>
              <w:rPr>
                <w:noProof/>
                <w:webHidden/>
              </w:rPr>
              <w:instrText xml:space="preserve"> PAGEREF _Toc212544628 \h </w:instrText>
            </w:r>
            <w:r>
              <w:rPr>
                <w:noProof/>
                <w:webHidden/>
              </w:rPr>
            </w:r>
            <w:r>
              <w:rPr>
                <w:noProof/>
                <w:webHidden/>
              </w:rPr>
              <w:fldChar w:fldCharType="separate"/>
            </w:r>
            <w:r w:rsidR="00CC518D">
              <w:rPr>
                <w:noProof/>
                <w:webHidden/>
              </w:rPr>
              <w:t>22</w:t>
            </w:r>
            <w:r>
              <w:rPr>
                <w:noProof/>
                <w:webHidden/>
              </w:rPr>
              <w:fldChar w:fldCharType="end"/>
            </w:r>
          </w:hyperlink>
        </w:p>
        <w:p w14:paraId="17E64DED" w14:textId="74D5F613" w:rsidR="007106B3" w:rsidRDefault="007106B3">
          <w:r>
            <w:rPr>
              <w:b/>
              <w:bCs/>
              <w:noProof/>
            </w:rPr>
            <w:fldChar w:fldCharType="end"/>
          </w:r>
        </w:p>
      </w:sdtContent>
    </w:sdt>
    <w:p w14:paraId="5B1F277B" w14:textId="2A075B7B" w:rsidR="007106B3" w:rsidRPr="007106B3" w:rsidRDefault="007106B3" w:rsidP="007106B3">
      <w:r w:rsidRPr="007106B3">
        <w:br w:type="page"/>
      </w:r>
    </w:p>
    <w:p w14:paraId="6DB47341" w14:textId="4C622CA6" w:rsidR="008A7F08" w:rsidRPr="002D77CE" w:rsidRDefault="007C6A4B" w:rsidP="002D77CE">
      <w:pPr>
        <w:pStyle w:val="Heading1"/>
      </w:pPr>
      <w:bookmarkStart w:id="1" w:name="_Toc212544590"/>
      <w:r w:rsidRPr="007C6A4B">
        <w:lastRenderedPageBreak/>
        <w:t>O</w:t>
      </w:r>
      <w:r w:rsidR="00F10041" w:rsidRPr="007C6A4B">
        <w:t>bjectives</w:t>
      </w:r>
      <w:bookmarkEnd w:id="0"/>
      <w:bookmarkEnd w:id="1"/>
    </w:p>
    <w:p w14:paraId="54238319" w14:textId="4125EC83" w:rsidR="006129C1" w:rsidRPr="00925BA6" w:rsidRDefault="006129C1" w:rsidP="00247DCC">
      <w:r w:rsidRPr="00925BA6">
        <w:t>The National Consistent Payments (NCP) guidelines (the guidelines) will assist all Australian General Practice Training (AGPT) participants, including supervisors, practices and registrars, to understand the eligibility criteria, the process of determining and delivering the basic support payments, and information on accessing the additional funding from the flexible payments pool.</w:t>
      </w:r>
    </w:p>
    <w:p w14:paraId="71694619" w14:textId="39D6B4E2" w:rsidR="006129C1" w:rsidRPr="00925BA6" w:rsidRDefault="006129C1" w:rsidP="00247DCC">
      <w:bookmarkStart w:id="2" w:name="_Hlk204775000"/>
      <w:r w:rsidRPr="00925BA6">
        <w:t>From the commencement of semester one 2026, the GP Training Incentive Payments will be paid to eligible Commonwealth funded General Practice training pathway participants (registrars), including registrars participating in the AGPT. The three registrar incentives are:</w:t>
      </w:r>
    </w:p>
    <w:p w14:paraId="6EB31C20" w14:textId="77777777" w:rsidR="006129C1" w:rsidRPr="00925BA6" w:rsidRDefault="006129C1" w:rsidP="00247DCC">
      <w:pPr>
        <w:pStyle w:val="ListBullet"/>
      </w:pPr>
      <w:r w:rsidRPr="00925BA6">
        <w:t xml:space="preserve">Salary Incentive </w:t>
      </w:r>
    </w:p>
    <w:p w14:paraId="684AD8F4" w14:textId="77777777" w:rsidR="006129C1" w:rsidRPr="00925BA6" w:rsidRDefault="006129C1" w:rsidP="00247DCC">
      <w:pPr>
        <w:pStyle w:val="ListBullet"/>
      </w:pPr>
      <w:r w:rsidRPr="00925BA6">
        <w:t xml:space="preserve">Parental Leave Incentive </w:t>
      </w:r>
    </w:p>
    <w:p w14:paraId="1A72070C" w14:textId="77777777" w:rsidR="006129C1" w:rsidRPr="00925BA6" w:rsidRDefault="006129C1" w:rsidP="00247DCC">
      <w:pPr>
        <w:pStyle w:val="ListBullet"/>
      </w:pPr>
      <w:r w:rsidRPr="00925BA6">
        <w:t xml:space="preserve">Study Leave Incentive </w:t>
      </w:r>
      <w:bookmarkEnd w:id="2"/>
    </w:p>
    <w:p w14:paraId="44730917" w14:textId="2AFB67EC" w:rsidR="006129C1" w:rsidRPr="00925BA6" w:rsidRDefault="006129C1" w:rsidP="00247DCC">
      <w:bookmarkStart w:id="3" w:name="_Toc205895190"/>
      <w:bookmarkStart w:id="4" w:name="_Toc205905096"/>
      <w:r w:rsidRPr="00925BA6">
        <w:t xml:space="preserve">All information about eligibility and payment calculation (including some eligibility case scenarios) of these incentive payments are covered under </w:t>
      </w:r>
      <w:hyperlink r:id="rId16" w:history="1">
        <w:r w:rsidRPr="00925BA6">
          <w:rPr>
            <w:rStyle w:val="Hyperlink"/>
          </w:rPr>
          <w:t xml:space="preserve">GP </w:t>
        </w:r>
        <w:r w:rsidR="00284179" w:rsidRPr="00925BA6">
          <w:rPr>
            <w:rStyle w:val="Hyperlink"/>
          </w:rPr>
          <w:t>T</w:t>
        </w:r>
        <w:r w:rsidRPr="00925BA6">
          <w:rPr>
            <w:rStyle w:val="Hyperlink"/>
          </w:rPr>
          <w:t xml:space="preserve">raining Incentive </w:t>
        </w:r>
        <w:r w:rsidR="00284179" w:rsidRPr="00925BA6">
          <w:rPr>
            <w:rStyle w:val="Hyperlink"/>
          </w:rPr>
          <w:t xml:space="preserve">Payments </w:t>
        </w:r>
        <w:r w:rsidRPr="00925BA6">
          <w:rPr>
            <w:rStyle w:val="Hyperlink"/>
          </w:rPr>
          <w:t>Policy</w:t>
        </w:r>
      </w:hyperlink>
      <w:r w:rsidRPr="00925BA6">
        <w:t>. The incentive payments will be made utilising some of the existing NCP payments processes from this guideline document.</w:t>
      </w:r>
      <w:bookmarkEnd w:id="3"/>
      <w:bookmarkEnd w:id="4"/>
      <w:r w:rsidRPr="00925BA6">
        <w:t xml:space="preserve">  </w:t>
      </w:r>
    </w:p>
    <w:p w14:paraId="40E83E30" w14:textId="09CE9CE2" w:rsidR="006129C1" w:rsidRPr="00925BA6" w:rsidRDefault="006129C1" w:rsidP="00247DCC">
      <w:r w:rsidRPr="00925BA6">
        <w:t>*This guidelines document is for AGPT participants</w:t>
      </w:r>
      <w:r w:rsidR="00520112" w:rsidRPr="00925BA6">
        <w:t xml:space="preserve"> </w:t>
      </w:r>
      <w:r w:rsidRPr="00925BA6">
        <w:t xml:space="preserve">ONLY. RVTS participants should refer to the </w:t>
      </w:r>
      <w:hyperlink r:id="rId17" w:history="1">
        <w:r w:rsidRPr="00925BA6">
          <w:rPr>
            <w:rStyle w:val="Hyperlink"/>
          </w:rPr>
          <w:t xml:space="preserve">GP Training Incentive </w:t>
        </w:r>
        <w:r w:rsidR="00284179" w:rsidRPr="00925BA6">
          <w:rPr>
            <w:rStyle w:val="Hyperlink"/>
          </w:rPr>
          <w:t xml:space="preserve">Payments </w:t>
        </w:r>
        <w:r w:rsidRPr="00925BA6">
          <w:rPr>
            <w:rStyle w:val="Hyperlink"/>
          </w:rPr>
          <w:t>Policy</w:t>
        </w:r>
      </w:hyperlink>
      <w:r w:rsidRPr="00925BA6">
        <w:t xml:space="preserve">. </w:t>
      </w:r>
    </w:p>
    <w:p w14:paraId="5153E31A" w14:textId="3C0AB278" w:rsidR="007053DA" w:rsidRPr="002D77CE" w:rsidRDefault="007053DA" w:rsidP="002D77CE">
      <w:pPr>
        <w:pStyle w:val="Heading1"/>
      </w:pPr>
      <w:bookmarkStart w:id="5" w:name="_Toc211942135"/>
      <w:bookmarkStart w:id="6" w:name="_Toc212544591"/>
      <w:r w:rsidRPr="002D77CE">
        <w:t>O</w:t>
      </w:r>
      <w:r w:rsidR="00677433" w:rsidRPr="002D77CE">
        <w:t>verview</w:t>
      </w:r>
      <w:bookmarkEnd w:id="5"/>
      <w:bookmarkEnd w:id="6"/>
    </w:p>
    <w:p w14:paraId="4402A0B8" w14:textId="3F120F98" w:rsidR="00F004C6" w:rsidRPr="00925BA6" w:rsidRDefault="00F004C6" w:rsidP="00247DCC">
      <w:r w:rsidRPr="00925BA6">
        <w:t>The AGPT program provides three to four years of full-time training for registrars to obtain fellowship and gain specialist GP registration, through the Australian College of Rural and Remote Medicine (ACRRM) and/or Royal Australian College of General Practitioners (RACGP) (the colleges).</w:t>
      </w:r>
    </w:p>
    <w:p w14:paraId="2CF73F4D" w14:textId="44BFB54E" w:rsidR="00F004C6" w:rsidRPr="00925BA6" w:rsidRDefault="00F004C6" w:rsidP="00247DCC">
      <w:r w:rsidRPr="00925BA6">
        <w:t>In February 2023, the Department of Health, Disability and Ageing (the department) introduced the NCP framework to provide support payments to AGPT program participants (supervisors, practices and registrars). These support payments (</w:t>
      </w:r>
      <w:proofErr w:type="gramStart"/>
      <w:r w:rsidRPr="00925BA6">
        <w:t>supervisors</w:t>
      </w:r>
      <w:proofErr w:type="gramEnd"/>
      <w:r w:rsidRPr="00925BA6">
        <w:t xml:space="preserve"> payment</w:t>
      </w:r>
      <w:r w:rsidR="0009165F" w:rsidRPr="00925BA6">
        <w:t>,</w:t>
      </w:r>
      <w:r w:rsidRPr="00925BA6">
        <w:t xml:space="preserve"> </w:t>
      </w:r>
      <w:r w:rsidR="0009165F" w:rsidRPr="00925BA6">
        <w:t xml:space="preserve">practices payments </w:t>
      </w:r>
      <w:r w:rsidRPr="00925BA6">
        <w:t xml:space="preserve">and </w:t>
      </w:r>
      <w:r w:rsidR="0009165F" w:rsidRPr="00925BA6">
        <w:t>registrar payments</w:t>
      </w:r>
      <w:r w:rsidRPr="00925BA6">
        <w:t xml:space="preserve"> including salary support</w:t>
      </w:r>
      <w:r w:rsidR="00A27229" w:rsidRPr="00925BA6">
        <w:t xml:space="preserve"> payments</w:t>
      </w:r>
      <w:r w:rsidRPr="00925BA6">
        <w:t>) aim to:</w:t>
      </w:r>
    </w:p>
    <w:p w14:paraId="2444459D" w14:textId="77777777" w:rsidR="00F004C6" w:rsidRPr="00F004C6" w:rsidRDefault="00F004C6" w:rsidP="00247DCC">
      <w:pPr>
        <w:pStyle w:val="ListBullet"/>
      </w:pPr>
      <w:r w:rsidRPr="00F004C6">
        <w:t xml:space="preserve">support and encourage GP supervisors, practices and registrars to participate in GP training and deliver GP </w:t>
      </w:r>
      <w:proofErr w:type="gramStart"/>
      <w:r w:rsidRPr="00F004C6">
        <w:t>services;</w:t>
      </w:r>
      <w:proofErr w:type="gramEnd"/>
    </w:p>
    <w:p w14:paraId="6A2F6D4D" w14:textId="77777777" w:rsidR="00F004C6" w:rsidRPr="00F004C6" w:rsidRDefault="00F004C6" w:rsidP="00247DCC">
      <w:pPr>
        <w:pStyle w:val="ListBullet"/>
      </w:pPr>
      <w:r w:rsidRPr="00F004C6">
        <w:t>provide transparency and accountability of the support provided to training participants on the AGPT program, particularly in regions where there are difficulties attracting and retaining GPs.</w:t>
      </w:r>
    </w:p>
    <w:p w14:paraId="4B801A6B" w14:textId="3B5117D0" w:rsidR="00F004C6" w:rsidRPr="00925BA6" w:rsidRDefault="00F004C6" w:rsidP="00247DCC">
      <w:r w:rsidRPr="00925BA6">
        <w:t xml:space="preserve">The NCP guidelines provide information on how AGPT participants </w:t>
      </w:r>
      <w:r w:rsidR="00284179" w:rsidRPr="00925BA6">
        <w:t xml:space="preserve">receive </w:t>
      </w:r>
      <w:r w:rsidRPr="00925BA6">
        <w:t xml:space="preserve">payments. The guidelines may be amended at any time by the department, in consultation with the colleges.  </w:t>
      </w:r>
    </w:p>
    <w:p w14:paraId="08CAF017" w14:textId="06CD5B98" w:rsidR="00F004C6" w:rsidRPr="00925BA6" w:rsidRDefault="00F004C6" w:rsidP="00247DCC">
      <w:r w:rsidRPr="00925BA6">
        <w:t xml:space="preserve">The colleges determine the eligibility and payment amount based on the NCP framework, guidelines, and business rules documents, including relevant policy documents as necessary. Services Australia administers the support payments to all eligible AGPT program participants on behalf of the department. </w:t>
      </w:r>
    </w:p>
    <w:p w14:paraId="6C695DC5" w14:textId="77777777" w:rsidR="00F004C6" w:rsidRPr="00925BA6" w:rsidRDefault="00F004C6" w:rsidP="00247DCC">
      <w:r w:rsidRPr="00925BA6">
        <w:lastRenderedPageBreak/>
        <w:t xml:space="preserve">In addition to the payments made by Services Australia, the colleges administer additional support payments under the discretionary flexible payments pool funding on behalf of the department. </w:t>
      </w:r>
    </w:p>
    <w:p w14:paraId="14FA0A86" w14:textId="77777777" w:rsidR="00F004C6" w:rsidRPr="00925BA6" w:rsidRDefault="00F004C6" w:rsidP="00247DCC">
      <w:r w:rsidRPr="00925BA6">
        <w:t>The guidelines provide additional information on how the NCP framework operates and how the some of the support payments are currently calculated and made, including in complex payment circumstances.</w:t>
      </w:r>
    </w:p>
    <w:p w14:paraId="3078564B" w14:textId="0642E6C8" w:rsidR="00FC799C" w:rsidRPr="002D77CE" w:rsidRDefault="00FC799C" w:rsidP="002D77CE">
      <w:pPr>
        <w:pStyle w:val="Heading1"/>
      </w:pPr>
      <w:bookmarkStart w:id="7" w:name="_Toc211942136"/>
      <w:bookmarkStart w:id="8" w:name="_Toc212544592"/>
      <w:r w:rsidRPr="002D77CE">
        <w:t>Participants – College-led AGPT Program</w:t>
      </w:r>
      <w:bookmarkEnd w:id="7"/>
      <w:bookmarkEnd w:id="8"/>
    </w:p>
    <w:p w14:paraId="6E29F469" w14:textId="77777777" w:rsidR="00FC799C" w:rsidRPr="00925BA6" w:rsidRDefault="00FC799C" w:rsidP="00247DCC">
      <w:r w:rsidRPr="00925BA6">
        <w:t xml:space="preserve">The Guidelines support the NCP framework and provide guidance to: </w:t>
      </w:r>
    </w:p>
    <w:p w14:paraId="0AE76C87" w14:textId="77777777" w:rsidR="00FC799C" w:rsidRPr="00FC799C" w:rsidRDefault="00FC799C" w:rsidP="00247DCC">
      <w:pPr>
        <w:pStyle w:val="ListBullet"/>
      </w:pPr>
      <w:r w:rsidRPr="003E4FAF">
        <w:rPr>
          <w:rStyle w:val="Strong"/>
        </w:rPr>
        <w:t>Supervisors</w:t>
      </w:r>
      <w:r w:rsidRPr="00925BA6">
        <w:t xml:space="preserve"> – support payments are made to the practice unless directed by the practice to make payment to the supervisor for teaching activities associated with supervising a </w:t>
      </w:r>
      <w:proofErr w:type="gramStart"/>
      <w:r w:rsidRPr="00925BA6">
        <w:t>registrar;</w:t>
      </w:r>
      <w:proofErr w:type="gramEnd"/>
    </w:p>
    <w:p w14:paraId="368B29C1" w14:textId="56E50BAF" w:rsidR="00FC799C" w:rsidRPr="00FC799C" w:rsidRDefault="00FC799C" w:rsidP="00247DCC">
      <w:pPr>
        <w:pStyle w:val="ListBullet"/>
      </w:pPr>
      <w:r w:rsidRPr="003E4FAF">
        <w:rPr>
          <w:rStyle w:val="Strong"/>
        </w:rPr>
        <w:t>Practices</w:t>
      </w:r>
      <w:r w:rsidRPr="00925BA6">
        <w:t xml:space="preserve"> – support payments are made directly to eligible practices that have been accredited by the colleges to train a registrar and are hosting registrars</w:t>
      </w:r>
      <w:r w:rsidR="006E618B" w:rsidRPr="00925BA6">
        <w:t xml:space="preserve">, and </w:t>
      </w:r>
    </w:p>
    <w:p w14:paraId="25160622" w14:textId="06B825D3" w:rsidR="006E618B" w:rsidRPr="00FC799C" w:rsidRDefault="006E618B" w:rsidP="00247DCC">
      <w:pPr>
        <w:pStyle w:val="ListBullet"/>
      </w:pPr>
      <w:r w:rsidRPr="003E4FAF">
        <w:rPr>
          <w:rStyle w:val="Strong"/>
        </w:rPr>
        <w:t>Registrars</w:t>
      </w:r>
      <w:r w:rsidRPr="00925BA6">
        <w:t xml:space="preserve"> – support payments are made to eligible GP registrars to increase and improve access to training under the college-led AGPT program.</w:t>
      </w:r>
    </w:p>
    <w:p w14:paraId="13CDB3DF" w14:textId="2AE58224" w:rsidR="00FC799C" w:rsidRPr="003E4FAF" w:rsidRDefault="00FC799C" w:rsidP="00247DCC">
      <w:r w:rsidRPr="003E4FAF">
        <w:t xml:space="preserve">For information on the AGPT Salary Support Program payments refer to </w:t>
      </w:r>
      <w:hyperlink r:id="rId18" w:history="1">
        <w:r w:rsidR="00284179" w:rsidRPr="003E4FAF">
          <w:rPr>
            <w:rStyle w:val="Hyperlink"/>
          </w:rPr>
          <w:t>www.health.gov.au/resources/publications/agpt-program-aboriginal-and-torres-strait-islander-salary-support-program-policy-2024</w:t>
        </w:r>
      </w:hyperlink>
      <w:r w:rsidRPr="003E4FAF">
        <w:t xml:space="preserve">.  </w:t>
      </w:r>
    </w:p>
    <w:p w14:paraId="662C5604" w14:textId="7D80D6D4" w:rsidR="002413E5" w:rsidRPr="00925BA6" w:rsidRDefault="00FC799C" w:rsidP="00247DCC">
      <w:r w:rsidRPr="00925BA6">
        <w:t xml:space="preserve">For information on the GP Training Incentive Payments refer to </w:t>
      </w:r>
      <w:hyperlink r:id="rId19" w:history="1">
        <w:r w:rsidRPr="00925BA6">
          <w:rPr>
            <w:rStyle w:val="Hyperlink"/>
          </w:rPr>
          <w:t>www.health.gov.au/our-work/gp-training-incentive-payments</w:t>
        </w:r>
      </w:hyperlink>
      <w:r w:rsidRPr="00925BA6">
        <w:t>.</w:t>
      </w:r>
    </w:p>
    <w:p w14:paraId="0E71E6CD" w14:textId="01E1C67A" w:rsidR="00925CE0" w:rsidRPr="002D77CE" w:rsidRDefault="00925CE0" w:rsidP="002D77CE">
      <w:pPr>
        <w:pStyle w:val="Heading1"/>
      </w:pPr>
      <w:bookmarkStart w:id="9" w:name="_Toc211942137"/>
      <w:bookmarkStart w:id="10" w:name="_Toc212544593"/>
      <w:r w:rsidRPr="002D77CE">
        <w:t xml:space="preserve">How payments are calculated for </w:t>
      </w:r>
      <w:r w:rsidR="00125C19" w:rsidRPr="002D77CE">
        <w:t>NCP:</w:t>
      </w:r>
      <w:r w:rsidR="0009165F" w:rsidRPr="002D77CE">
        <w:t xml:space="preserve"> </w:t>
      </w:r>
      <w:r w:rsidRPr="002D77CE">
        <w:t>Supervisor</w:t>
      </w:r>
      <w:r w:rsidR="00125C19" w:rsidRPr="002D77CE">
        <w:t xml:space="preserve"> payments</w:t>
      </w:r>
      <w:r w:rsidR="0009165F" w:rsidRPr="002D77CE">
        <w:t xml:space="preserve">, </w:t>
      </w:r>
      <w:r w:rsidRPr="002D77CE">
        <w:t>Practice payments</w:t>
      </w:r>
      <w:r w:rsidR="0009165F" w:rsidRPr="002D77CE">
        <w:t xml:space="preserve"> and Registrar payments</w:t>
      </w:r>
      <w:bookmarkEnd w:id="9"/>
      <w:bookmarkEnd w:id="10"/>
    </w:p>
    <w:p w14:paraId="1269A848" w14:textId="77777777" w:rsidR="00985C1E" w:rsidRPr="00925BA6" w:rsidRDefault="00985C1E" w:rsidP="00247DCC">
      <w:r w:rsidRPr="00925BA6">
        <w:t xml:space="preserve">The NCP framework provides support payments to all eligible AGPT program participants covering the period 1 January 2026 to 31 December 2030.  </w:t>
      </w:r>
    </w:p>
    <w:p w14:paraId="4093E2DB" w14:textId="77777777" w:rsidR="00985C1E" w:rsidRPr="00925BA6" w:rsidRDefault="00985C1E" w:rsidP="00247DCC">
      <w:r w:rsidRPr="00925BA6">
        <w:t xml:space="preserve">The colleges are responsible for calculating the maximum payment amounts which will be received by eligible AGPT program participants. Payment levels are determined and adjusted by the colleges consistent with the NCP framework. </w:t>
      </w:r>
    </w:p>
    <w:p w14:paraId="414DF443" w14:textId="7D3F33AD" w:rsidR="00985C1E" w:rsidRPr="00925BA6" w:rsidRDefault="00985C1E" w:rsidP="00247DCC">
      <w:r w:rsidRPr="00FE3E1D">
        <w:rPr>
          <w:rStyle w:val="Strong"/>
        </w:rPr>
        <w:t>Please NOTE</w:t>
      </w:r>
      <w:r w:rsidRPr="00925BA6">
        <w:t xml:space="preserve">, this section does not cover information on GP </w:t>
      </w:r>
      <w:r w:rsidR="00623381" w:rsidRPr="00925BA6">
        <w:t>T</w:t>
      </w:r>
      <w:r w:rsidRPr="00925BA6">
        <w:t xml:space="preserve">raining Incentive </w:t>
      </w:r>
      <w:r w:rsidR="008443BF" w:rsidRPr="00925BA6">
        <w:t>P</w:t>
      </w:r>
      <w:r w:rsidRPr="00925BA6">
        <w:t>ayment</w:t>
      </w:r>
      <w:r w:rsidR="008443BF" w:rsidRPr="00925BA6">
        <w:t>s</w:t>
      </w:r>
      <w:r w:rsidRPr="00925BA6">
        <w:t xml:space="preserve"> calculation which is covered at </w:t>
      </w:r>
      <w:hyperlink r:id="rId20" w:history="1">
        <w:r w:rsidRPr="00925BA6">
          <w:rPr>
            <w:rStyle w:val="Hyperlink"/>
          </w:rPr>
          <w:t>www.health.gov.au/our-work/gp-training-incentive-payments</w:t>
        </w:r>
      </w:hyperlink>
      <w:r w:rsidRPr="00925BA6">
        <w:t xml:space="preserve">.  </w:t>
      </w:r>
    </w:p>
    <w:p w14:paraId="0BADB95D" w14:textId="3CFD333E" w:rsidR="00641F18" w:rsidRPr="003E4FAF" w:rsidRDefault="00641F18" w:rsidP="003E4FAF">
      <w:pPr>
        <w:pStyle w:val="Heading2"/>
      </w:pPr>
      <w:bookmarkStart w:id="11" w:name="_Toc211942138"/>
      <w:bookmarkStart w:id="12" w:name="_Toc212544594"/>
      <w:r w:rsidRPr="003E4FAF">
        <w:t>Eligibility Requirements</w:t>
      </w:r>
      <w:bookmarkEnd w:id="11"/>
      <w:bookmarkEnd w:id="12"/>
    </w:p>
    <w:p w14:paraId="6FBA1201" w14:textId="4A7EBF93" w:rsidR="005A02EC" w:rsidRPr="003E4FAF" w:rsidRDefault="00641F18" w:rsidP="00247DCC">
      <w:r w:rsidRPr="003E4FAF">
        <w:t xml:space="preserve">To determine the maximum support payment amount for each of the eligible AGPT program participants the colleges will consider the </w:t>
      </w:r>
      <w:r w:rsidR="00FE3E1D" w:rsidRPr="003E4FAF">
        <w:t>following</w:t>
      </w:r>
      <w:r w:rsidR="00FE3E1D">
        <w:t>:</w:t>
      </w:r>
    </w:p>
    <w:p w14:paraId="621B57DC" w14:textId="7B8840CB" w:rsidR="005A02EC" w:rsidRDefault="00641F18" w:rsidP="00247DCC">
      <w:pPr>
        <w:pStyle w:val="ListBullet"/>
      </w:pPr>
      <w:r w:rsidRPr="005A02EC">
        <w:t>the AGPT program core training terms of the participant,</w:t>
      </w:r>
    </w:p>
    <w:p w14:paraId="5B80CAAB" w14:textId="1F1CE6F5" w:rsidR="005A02EC" w:rsidRDefault="00641F18" w:rsidP="00247DCC">
      <w:pPr>
        <w:pStyle w:val="ListBullet"/>
      </w:pPr>
      <w:r w:rsidRPr="005A02EC">
        <w:t xml:space="preserve">the </w:t>
      </w:r>
      <w:r w:rsidR="00B023BF">
        <w:t>full-time equi</w:t>
      </w:r>
      <w:r w:rsidR="001C5830">
        <w:t>valent (</w:t>
      </w:r>
      <w:r w:rsidRPr="005A02EC">
        <w:t>FTE</w:t>
      </w:r>
      <w:r w:rsidR="001C5830">
        <w:t>)</w:t>
      </w:r>
      <w:r w:rsidRPr="005A02EC">
        <w:t xml:space="preserve"> weeks undertaken by each participant,</w:t>
      </w:r>
    </w:p>
    <w:p w14:paraId="534DD003" w14:textId="77777777" w:rsidR="005A02EC" w:rsidRDefault="00641F18" w:rsidP="00247DCC">
      <w:pPr>
        <w:pStyle w:val="ListBullet"/>
      </w:pPr>
      <w:r w:rsidRPr="005A02EC">
        <w:t>the Modified Monash (MM) model classification of the location in which the training will occur and/or has occurred, and</w:t>
      </w:r>
    </w:p>
    <w:p w14:paraId="6B017031" w14:textId="6DCC57B6" w:rsidR="00641F18" w:rsidRPr="005A02EC" w:rsidRDefault="00641F18" w:rsidP="00247DCC">
      <w:pPr>
        <w:pStyle w:val="ListBullet"/>
      </w:pPr>
      <w:r w:rsidRPr="00925BA6">
        <w:lastRenderedPageBreak/>
        <w:t>the terms and conditions of payments within the scope of the NCP framework</w:t>
      </w:r>
      <w:r w:rsidRPr="005A02EC">
        <w:t>.</w:t>
      </w:r>
    </w:p>
    <w:p w14:paraId="151EFBEA" w14:textId="46746ADF" w:rsidR="00641F18" w:rsidRPr="006F73CD" w:rsidRDefault="00641F18" w:rsidP="003E4FAF">
      <w:pPr>
        <w:pStyle w:val="Heading3"/>
      </w:pPr>
      <w:bookmarkStart w:id="13" w:name="_Toc211942139"/>
      <w:bookmarkStart w:id="14" w:name="_Toc212544595"/>
      <w:r w:rsidRPr="006F73CD">
        <w:t>Core Training Terms</w:t>
      </w:r>
      <w:bookmarkEnd w:id="13"/>
      <w:bookmarkEnd w:id="14"/>
    </w:p>
    <w:p w14:paraId="60B30F48" w14:textId="08D822F6" w:rsidR="00641F18" w:rsidRPr="003E4FAF" w:rsidRDefault="00641F18" w:rsidP="00247DCC">
      <w:r w:rsidRPr="003E4FAF">
        <w:t>Training terms refer to the core training terms for the colleges. The colleges are responsible for assessing the eligibility of GP training participants to access support payments during the AGPT core training terms.</w:t>
      </w:r>
    </w:p>
    <w:p w14:paraId="45A7BAAB" w14:textId="0AFF56B7" w:rsidR="00641F18" w:rsidRPr="003E4FAF" w:rsidRDefault="00641F18" w:rsidP="00247DCC">
      <w:r w:rsidRPr="003E4FAF">
        <w:t xml:space="preserve">The core training terms with ACRRM are CGT1, CGT2, CGT3, CGT4. Each term is 26 FTE weeks. An additional 52 FTE weeks core vocational training term is Advanced </w:t>
      </w:r>
      <w:r w:rsidR="00125C19" w:rsidRPr="003E4FAF">
        <w:t xml:space="preserve">Specialised </w:t>
      </w:r>
      <w:r w:rsidRPr="003E4FAF">
        <w:t>Training (AST).</w:t>
      </w:r>
    </w:p>
    <w:p w14:paraId="7AFC18D4" w14:textId="570ADBC5" w:rsidR="00641F18" w:rsidRPr="003E4FAF" w:rsidRDefault="00641F18" w:rsidP="00247DCC">
      <w:r w:rsidRPr="003E4FAF">
        <w:t xml:space="preserve">Within CGT training terms, the unit “sub-type” Primary Care Training (PCT) will indicate whether the ACRRM placement is in a general practice setting. The unit sub-types are: PCT1, PCT2 and PCT3, which are usually 26 FTE weeks. These unit sub-types will be used to determine Supervisor and Practice payments. </w:t>
      </w:r>
    </w:p>
    <w:p w14:paraId="31A008BC" w14:textId="37EB05F8" w:rsidR="00641F18" w:rsidRPr="003E4FAF" w:rsidRDefault="00641F18" w:rsidP="00247DCC">
      <w:r w:rsidRPr="003E4FAF">
        <w:t xml:space="preserve">The core training terms with </w:t>
      </w:r>
      <w:r w:rsidRPr="00925BA6">
        <w:rPr>
          <w:rStyle w:val="Strong"/>
        </w:rPr>
        <w:t>RACGP</w:t>
      </w:r>
      <w:r w:rsidRPr="003E4FAF">
        <w:t xml:space="preserve"> are: </w:t>
      </w:r>
      <w:bookmarkStart w:id="15" w:name="_Hlk173851171"/>
      <w:r w:rsidRPr="003E4FAF">
        <w:t>GPT1, GPT2, GPT3, GPT4/Extended Skills (ES).</w:t>
      </w:r>
      <w:bookmarkEnd w:id="15"/>
      <w:r w:rsidRPr="003E4FAF">
        <w:t xml:space="preserve"> Each term is 26 FTE weeks. For Rural Generalist (RG) pathway registrars, the additional 52 FTE weeks core vocational training term is Additional Rural Skills Training (ARST).</w:t>
      </w:r>
    </w:p>
    <w:p w14:paraId="2309F64C" w14:textId="77777777" w:rsidR="00641F18" w:rsidRPr="003E4FAF" w:rsidRDefault="00641F18" w:rsidP="00247DCC">
      <w:r w:rsidRPr="003E4FAF">
        <w:t>Participants undertaking ACRRM’s AST term and RACGP’s ARST may be eligible for payments under the colleges’ flexible funds policy and salary support.</w:t>
      </w:r>
    </w:p>
    <w:p w14:paraId="6ED2B157" w14:textId="059E97BE" w:rsidR="00641F18" w:rsidRPr="003E4FAF" w:rsidRDefault="00641F18" w:rsidP="00247DCC">
      <w:r w:rsidRPr="003E4FAF">
        <w:t xml:space="preserve">Please refer to </w:t>
      </w:r>
      <w:hyperlink w:anchor="_Appendix" w:history="1">
        <w:r w:rsidRPr="003E4FAF">
          <w:rPr>
            <w:rStyle w:val="Hyperlink"/>
          </w:rPr>
          <w:t>Appendix A</w:t>
        </w:r>
      </w:hyperlink>
      <w:r w:rsidRPr="003E4FAF">
        <w:t xml:space="preserve"> for a table capturing the training terms. </w:t>
      </w:r>
    </w:p>
    <w:p w14:paraId="6FA0F9EA" w14:textId="77777777" w:rsidR="00641F18" w:rsidRPr="00361FC9" w:rsidRDefault="00641F18" w:rsidP="004F1E3D">
      <w:pPr>
        <w:pStyle w:val="Heading4"/>
      </w:pPr>
      <w:r w:rsidRPr="006F73CD">
        <w:t>Exclusions</w:t>
      </w:r>
    </w:p>
    <w:p w14:paraId="0DA066AB" w14:textId="77777777" w:rsidR="00641F18" w:rsidRPr="002D77CE" w:rsidRDefault="00641F18" w:rsidP="00247DCC">
      <w:r w:rsidRPr="002D77CE">
        <w:t xml:space="preserve">All AGPT program participants (supervisors, practices and registrars) who are involved in an extension assessment term or any other GP training term extensions would not be provided with support payments under the NCP framework. </w:t>
      </w:r>
    </w:p>
    <w:p w14:paraId="1A5E4619" w14:textId="6362C52C" w:rsidR="001A754F" w:rsidRPr="00925BA6" w:rsidRDefault="00641F18" w:rsidP="00247DCC">
      <w:r w:rsidRPr="00925BA6">
        <w:t xml:space="preserve">For example, if a registrar in training is in an extension assessment term or awaiting fellowship or fellowship examinations, </w:t>
      </w:r>
      <w:r w:rsidR="00520112" w:rsidRPr="00925BA6">
        <w:t>participants</w:t>
      </w:r>
      <w:r w:rsidRPr="00925BA6">
        <w:t xml:space="preserve"> should not receive </w:t>
      </w:r>
      <w:r w:rsidR="00284179" w:rsidRPr="00925BA6">
        <w:t>the supervisor payment</w:t>
      </w:r>
      <w:r w:rsidR="00AE004D" w:rsidRPr="00925BA6">
        <w:t>, practice payment</w:t>
      </w:r>
      <w:r w:rsidR="00284179" w:rsidRPr="00925BA6">
        <w:t xml:space="preserve"> or </w:t>
      </w:r>
      <w:r w:rsidR="00AE004D" w:rsidRPr="00925BA6">
        <w:t>registrar payment</w:t>
      </w:r>
      <w:r w:rsidR="00284179" w:rsidRPr="00925BA6">
        <w:t xml:space="preserve"> </w:t>
      </w:r>
      <w:r w:rsidRPr="00925BA6">
        <w:t xml:space="preserve">under the NCP framework, noting the eligibility requirements for support payments cover the core GP training terms only. </w:t>
      </w:r>
    </w:p>
    <w:p w14:paraId="68380CD7" w14:textId="1C06E16D" w:rsidR="00641F18" w:rsidRPr="00361FC9" w:rsidRDefault="00641F18" w:rsidP="00361FC9">
      <w:pPr>
        <w:pStyle w:val="Heading3"/>
      </w:pPr>
      <w:bookmarkStart w:id="16" w:name="_Toc211942140"/>
      <w:bookmarkStart w:id="17" w:name="_Toc212544596"/>
      <w:r w:rsidRPr="006F73CD">
        <w:t>FTE weeks</w:t>
      </w:r>
      <w:bookmarkEnd w:id="16"/>
      <w:bookmarkEnd w:id="17"/>
    </w:p>
    <w:p w14:paraId="4951841F" w14:textId="233082A1" w:rsidR="00641F18" w:rsidRPr="00925BA6" w:rsidRDefault="00641F18" w:rsidP="00247DCC">
      <w:bookmarkStart w:id="18" w:name="_Hlk173851284"/>
      <w:r w:rsidRPr="00925BA6">
        <w:t xml:space="preserve">The colleges are responsible for calculating and determining the appropriate FTE weeks and pro-rata payment requirements for all AGPT program participants. This is consistent with the colleges’ role in setting standards for training and determining FTE training time to obtain college fellowship. </w:t>
      </w:r>
    </w:p>
    <w:p w14:paraId="47E7F985" w14:textId="3AED9EB3" w:rsidR="00641F18" w:rsidRPr="00925BA6" w:rsidRDefault="00641F18" w:rsidP="00247DCC">
      <w:r w:rsidRPr="00925BA6">
        <w:t xml:space="preserve">The AGPT program provides for a participant to actively remain in training for a period of 52 FTE weeks per year. One (1) FTE week is equivalent to 38 hours of training. There are 26 FTE weeks per training term. If a registrar undertakes part-time training, relevant training payments will be calculated and paid on a pro-rata basis. </w:t>
      </w:r>
    </w:p>
    <w:p w14:paraId="5044747D" w14:textId="07FD45C9" w:rsidR="00641F18" w:rsidRPr="003E4FAF" w:rsidRDefault="00641F18" w:rsidP="003E4FAF">
      <w:pPr>
        <w:pStyle w:val="Heading3"/>
      </w:pPr>
      <w:bookmarkStart w:id="19" w:name="_Toc211942141"/>
      <w:bookmarkStart w:id="20" w:name="_Toc212544597"/>
      <w:bookmarkEnd w:id="18"/>
      <w:r w:rsidRPr="003E4FAF">
        <w:t>Geographical Locations</w:t>
      </w:r>
      <w:bookmarkEnd w:id="19"/>
      <w:bookmarkEnd w:id="20"/>
    </w:p>
    <w:p w14:paraId="6D35D259" w14:textId="77777777" w:rsidR="00641F18" w:rsidRPr="00925BA6" w:rsidRDefault="00641F18" w:rsidP="00247DCC">
      <w:r w:rsidRPr="00925BA6">
        <w:t>The AGPT program provides support payments tiered according to the MM geographical classification system of the location of training (i.e. MM1 - MM7) to target financial support more effectively for supervisors, practices and registrars in regional, rural and remote locations.</w:t>
      </w:r>
    </w:p>
    <w:p w14:paraId="03ABD193" w14:textId="292A3EE8" w:rsidR="00641F18" w:rsidRPr="003E4FAF" w:rsidRDefault="00641F18" w:rsidP="00247DCC">
      <w:r w:rsidRPr="003E4FAF">
        <w:lastRenderedPageBreak/>
        <w:t>Registrar payments for participants undertaking training across multiple sites with different MM locations will be calculated according to each site’s MM, and the registrar’s FTE weeks undertaken at each location.</w:t>
      </w:r>
    </w:p>
    <w:p w14:paraId="49798A74" w14:textId="77777777" w:rsidR="00641F18" w:rsidRPr="00925BA6" w:rsidRDefault="00641F18" w:rsidP="00247DCC">
      <w:r w:rsidRPr="00925BA6">
        <w:t xml:space="preserve">Registrars who practise across multiple MM locations and/or training in both colleges (dual training situation), the colleges will determine which of the two colleges will make payments and pay eligible registrars at a level consistent with the NCP framework. </w:t>
      </w:r>
    </w:p>
    <w:p w14:paraId="51A14A7A" w14:textId="77777777" w:rsidR="00641F18" w:rsidRPr="00925BA6" w:rsidRDefault="00641F18" w:rsidP="00247DCC">
      <w:bookmarkStart w:id="21" w:name="_Hlk178247195"/>
      <w:r w:rsidRPr="00925BA6">
        <w:t>Supervisor payments for participants who provide supervision across multiple sites with different MM locations will be calculated according to each site’s MM, and the FTE weeks of supervision provided at each location.</w:t>
      </w:r>
    </w:p>
    <w:p w14:paraId="78540C4D" w14:textId="77777777" w:rsidR="00641F18" w:rsidRPr="00925BA6" w:rsidRDefault="00641F18" w:rsidP="00247DCC">
      <w:r w:rsidRPr="00925BA6">
        <w:t xml:space="preserve">Practice payments will be made to all eligible participants based on the registrar’s pro-rata FTE training hours in each training site. </w:t>
      </w:r>
    </w:p>
    <w:bookmarkEnd w:id="21"/>
    <w:p w14:paraId="1178A7ED" w14:textId="77777777" w:rsidR="00641F18" w:rsidRPr="00925BA6" w:rsidRDefault="00641F18" w:rsidP="00247DCC">
      <w:r w:rsidRPr="00925BA6">
        <w:t>The calculation and determination of FTE for each participant will be carried out by the colleges prior to providing the information to Services Australia for payments to be made.</w:t>
      </w:r>
    </w:p>
    <w:p w14:paraId="09C27CF7" w14:textId="77777777" w:rsidR="00641F18" w:rsidRPr="00925BA6" w:rsidRDefault="00641F18" w:rsidP="00247DCC">
      <w:r w:rsidRPr="00925BA6">
        <w:t xml:space="preserve">For further clarification on how payments are calculated pro-rata based on the FTE training time of the registrars and the MM locations that training takes place, see the various case scenarios below. </w:t>
      </w:r>
    </w:p>
    <w:p w14:paraId="5DBC050F" w14:textId="2D19EFB1" w:rsidR="00582255" w:rsidRPr="002D77CE" w:rsidRDefault="003955A6" w:rsidP="002D77CE">
      <w:pPr>
        <w:pStyle w:val="Heading1"/>
      </w:pPr>
      <w:bookmarkStart w:id="22" w:name="_Toc211942142"/>
      <w:bookmarkStart w:id="23" w:name="_Toc212544598"/>
      <w:r w:rsidRPr="002D77CE">
        <w:t>Case Scenarios</w:t>
      </w:r>
      <w:bookmarkEnd w:id="22"/>
      <w:bookmarkEnd w:id="23"/>
    </w:p>
    <w:p w14:paraId="34A3BE22" w14:textId="0BE7FC05" w:rsidR="003955A6" w:rsidRPr="00361FC9" w:rsidRDefault="00582255" w:rsidP="00361FC9">
      <w:pPr>
        <w:pStyle w:val="Heading2"/>
      </w:pPr>
      <w:bookmarkStart w:id="24" w:name="_Toc211942143"/>
      <w:bookmarkStart w:id="25" w:name="_Toc212544599"/>
      <w:r w:rsidRPr="00361FC9">
        <w:t>R</w:t>
      </w:r>
      <w:r w:rsidR="003955A6" w:rsidRPr="00361FC9">
        <w:t>egistrar payment</w:t>
      </w:r>
      <w:bookmarkEnd w:id="24"/>
      <w:bookmarkEnd w:id="25"/>
    </w:p>
    <w:p w14:paraId="13868B0C" w14:textId="396A3EAB" w:rsidR="003955A6" w:rsidRPr="00925BA6" w:rsidRDefault="003955A6" w:rsidP="00247DCC">
      <w:pPr>
        <w:rPr>
          <w:rStyle w:val="Strong"/>
        </w:rPr>
      </w:pPr>
      <w:r w:rsidRPr="00925BA6">
        <w:rPr>
          <w:rStyle w:val="Strong"/>
        </w:rPr>
        <w:t>Refer to the NCP framework for information on rates.</w:t>
      </w:r>
    </w:p>
    <w:p w14:paraId="3EF5AFE1" w14:textId="5AE6746F" w:rsidR="00125C19" w:rsidRPr="004F1E3D" w:rsidRDefault="00125C19" w:rsidP="00247DCC">
      <w:pPr>
        <w:rPr>
          <w:rStyle w:val="Strong"/>
        </w:rPr>
      </w:pPr>
      <w:r w:rsidRPr="004F1E3D">
        <w:rPr>
          <w:rStyle w:val="Strong"/>
        </w:rPr>
        <w:t>Note the following scenarios do not include GP Incentive payments which commence in 2026.1</w:t>
      </w:r>
    </w:p>
    <w:p w14:paraId="2B90FC70" w14:textId="77777777" w:rsidR="003955A6" w:rsidRPr="00925BA6" w:rsidRDefault="003955A6" w:rsidP="004F1E3D">
      <w:pPr>
        <w:pStyle w:val="Heading4"/>
      </w:pPr>
      <w:r w:rsidRPr="00925BA6">
        <w:t>Case 1:</w:t>
      </w:r>
    </w:p>
    <w:p w14:paraId="74312D8D" w14:textId="0C48A9F7" w:rsidR="003955A6" w:rsidRPr="00925BA6" w:rsidRDefault="003955A6" w:rsidP="00247DCC">
      <w:pPr>
        <w:rPr>
          <w:rStyle w:val="Emphasis"/>
        </w:rPr>
      </w:pPr>
      <w:r w:rsidRPr="00925BA6">
        <w:rPr>
          <w:rStyle w:val="Emphasis"/>
        </w:rPr>
        <w:t>Full</w:t>
      </w:r>
      <w:r w:rsidR="002413E5" w:rsidRPr="00925BA6">
        <w:rPr>
          <w:rStyle w:val="Emphasis"/>
        </w:rPr>
        <w:t>-</w:t>
      </w:r>
      <w:r w:rsidRPr="00925BA6">
        <w:rPr>
          <w:rStyle w:val="Emphasis"/>
        </w:rPr>
        <w:t>time in one location in a semester:</w:t>
      </w:r>
    </w:p>
    <w:p w14:paraId="399277A1" w14:textId="5DD26B7D" w:rsidR="00B54087" w:rsidRPr="00925BA6" w:rsidRDefault="003955A6" w:rsidP="00247DCC">
      <w:r w:rsidRPr="00925BA6">
        <w:t xml:space="preserve">Dr </w:t>
      </w:r>
      <w:proofErr w:type="spellStart"/>
      <w:r w:rsidRPr="00925BA6">
        <w:t>Surmon</w:t>
      </w:r>
      <w:proofErr w:type="spellEnd"/>
      <w:r w:rsidRPr="00925BA6">
        <w:t xml:space="preserve"> is undertaking 26 FTE weeks of GPT1/CGT1 in semester one in MM1. He is not eligible for any payment as he </w:t>
      </w:r>
      <w:proofErr w:type="gramStart"/>
      <w:r w:rsidRPr="00925BA6">
        <w:t>is located in</w:t>
      </w:r>
      <w:proofErr w:type="gramEnd"/>
      <w:r w:rsidRPr="00925BA6">
        <w:t xml:space="preserve"> MM1.</w:t>
      </w:r>
    </w:p>
    <w:p w14:paraId="09E4697A" w14:textId="20C82725" w:rsidR="003955A6" w:rsidRPr="00925BA6" w:rsidRDefault="003955A6" w:rsidP="004F1E3D">
      <w:pPr>
        <w:pStyle w:val="Heading4"/>
      </w:pPr>
      <w:r w:rsidRPr="00925BA6">
        <w:t>Case 2:</w:t>
      </w:r>
    </w:p>
    <w:p w14:paraId="1AAF1602" w14:textId="253B3183" w:rsidR="003955A6" w:rsidRPr="00925BA6" w:rsidRDefault="003955A6" w:rsidP="00247DCC">
      <w:pPr>
        <w:rPr>
          <w:rStyle w:val="Emphasis"/>
        </w:rPr>
      </w:pPr>
      <w:r w:rsidRPr="00925BA6">
        <w:rPr>
          <w:rStyle w:val="Emphasis"/>
        </w:rPr>
        <w:t>Full</w:t>
      </w:r>
      <w:r w:rsidR="002413E5" w:rsidRPr="00925BA6">
        <w:rPr>
          <w:rStyle w:val="Emphasis"/>
        </w:rPr>
        <w:t>-</w:t>
      </w:r>
      <w:r w:rsidRPr="00925BA6">
        <w:rPr>
          <w:rStyle w:val="Emphasis"/>
        </w:rPr>
        <w:t>time in one location in a semester:</w:t>
      </w:r>
    </w:p>
    <w:p w14:paraId="49EC1667" w14:textId="77777777" w:rsidR="003955A6" w:rsidRPr="00925BA6" w:rsidRDefault="003955A6" w:rsidP="00247DCC">
      <w:r w:rsidRPr="00925BA6">
        <w:t>Dr Yazdan is undertaking 26 FTE weeks of GPT1/CGT1 in semester one in MM4. He should receive $3,496.93 at the beginning of semester one.</w:t>
      </w:r>
    </w:p>
    <w:p w14:paraId="6A6F2262" w14:textId="77777777" w:rsidR="003955A6" w:rsidRPr="00925BA6" w:rsidRDefault="003955A6" w:rsidP="004F1E3D">
      <w:pPr>
        <w:pStyle w:val="Heading4"/>
      </w:pPr>
      <w:r w:rsidRPr="00925BA6">
        <w:t>Case 3:</w:t>
      </w:r>
    </w:p>
    <w:p w14:paraId="4487041C" w14:textId="4828D1BD" w:rsidR="003955A6" w:rsidRPr="00925BA6" w:rsidRDefault="003955A6" w:rsidP="00247DCC">
      <w:pPr>
        <w:rPr>
          <w:rStyle w:val="Emphasis"/>
        </w:rPr>
      </w:pPr>
      <w:r w:rsidRPr="00925BA6">
        <w:rPr>
          <w:rStyle w:val="Emphasis"/>
        </w:rPr>
        <w:t>Part</w:t>
      </w:r>
      <w:r w:rsidR="002413E5" w:rsidRPr="00925BA6">
        <w:rPr>
          <w:rStyle w:val="Emphasis"/>
        </w:rPr>
        <w:t>-</w:t>
      </w:r>
      <w:r w:rsidRPr="00925BA6">
        <w:rPr>
          <w:rStyle w:val="Emphasis"/>
        </w:rPr>
        <w:t>time in one location in a semester:</w:t>
      </w:r>
    </w:p>
    <w:p w14:paraId="0AB58ACE" w14:textId="77777777" w:rsidR="003955A6" w:rsidRPr="00925BA6" w:rsidRDefault="003955A6" w:rsidP="00247DCC">
      <w:r w:rsidRPr="00925BA6">
        <w:t>Dr Sarah is undertaking 13 FTE weeks of GPT1/CGT1 in semester one in MM4. She should receive $1,748.47 ($3,496.93/26 * 13) at the beginning of semester one.</w:t>
      </w:r>
    </w:p>
    <w:p w14:paraId="56B0D67C" w14:textId="77777777" w:rsidR="003955A6" w:rsidRPr="00925BA6" w:rsidRDefault="003955A6" w:rsidP="004F1E3D">
      <w:pPr>
        <w:pStyle w:val="Heading4"/>
      </w:pPr>
      <w:r w:rsidRPr="00925BA6">
        <w:t>Case 4:</w:t>
      </w:r>
    </w:p>
    <w:p w14:paraId="592130EE" w14:textId="77777777" w:rsidR="003955A6" w:rsidRPr="00925BA6" w:rsidRDefault="003955A6" w:rsidP="00247DCC">
      <w:pPr>
        <w:rPr>
          <w:rStyle w:val="Emphasis"/>
        </w:rPr>
      </w:pPr>
      <w:r w:rsidRPr="00925BA6">
        <w:rPr>
          <w:rStyle w:val="Emphasis"/>
        </w:rPr>
        <w:t>Training term undertaken in the same MM location over two different semesters:</w:t>
      </w:r>
    </w:p>
    <w:p w14:paraId="695F0B27" w14:textId="77777777" w:rsidR="003955A6" w:rsidRPr="00925BA6" w:rsidRDefault="003955A6" w:rsidP="00247DCC">
      <w:r w:rsidRPr="00925BA6">
        <w:lastRenderedPageBreak/>
        <w:t xml:space="preserve">Dr Ibrahim is undertaking 14 FTE weeks of GPT1/CGT1 in semester one in MM5 (and taking rest of the semester one as </w:t>
      </w:r>
      <w:proofErr w:type="gramStart"/>
      <w:r w:rsidRPr="00925BA6">
        <w:t>leave</w:t>
      </w:r>
      <w:proofErr w:type="gramEnd"/>
      <w:r w:rsidRPr="00925BA6">
        <w:t xml:space="preserve"> from training). He resumes in semester two and undertakes the rest of the 12 FTE weeks of GPT1/CGT1 in semester two in MM5. Accordingly, he should receive $2,644.39 ($4,911.01/26 * 14) in semester one and $2,266.62 ($4,911.01/26 * 12) in semester two.</w:t>
      </w:r>
    </w:p>
    <w:p w14:paraId="54165EFB" w14:textId="77777777" w:rsidR="003955A6" w:rsidRPr="00925BA6" w:rsidRDefault="003955A6" w:rsidP="004F1E3D">
      <w:pPr>
        <w:pStyle w:val="Heading4"/>
      </w:pPr>
      <w:r w:rsidRPr="00925BA6">
        <w:t xml:space="preserve">Case 5a – Concurrent placements </w:t>
      </w:r>
    </w:p>
    <w:p w14:paraId="7946B718" w14:textId="77777777" w:rsidR="003955A6" w:rsidRPr="00925BA6" w:rsidRDefault="003955A6" w:rsidP="00247DCC">
      <w:pPr>
        <w:rPr>
          <w:rStyle w:val="Emphasis"/>
        </w:rPr>
      </w:pPr>
      <w:r w:rsidRPr="00925BA6">
        <w:rPr>
          <w:rStyle w:val="Emphasis"/>
        </w:rPr>
        <w:t>Training in different MM locations in one semester:</w:t>
      </w:r>
    </w:p>
    <w:p w14:paraId="28EB13D9" w14:textId="77777777" w:rsidR="003955A6" w:rsidRPr="003E4FAF" w:rsidRDefault="003955A6" w:rsidP="00247DCC">
      <w:r w:rsidRPr="003E4FAF">
        <w:t xml:space="preserve">Dr Clare is undertaking 13 FTE weeks of GPT1/CGT1 in semester one. Of the 13 weeks, 6 FTE weeks is in MM3 location, and 7 FTE weeks is in MM7 location. </w:t>
      </w:r>
    </w:p>
    <w:p w14:paraId="5D6536AF" w14:textId="77777777" w:rsidR="003955A6" w:rsidRPr="003E4FAF" w:rsidRDefault="003955A6" w:rsidP="00247DCC">
      <w:r w:rsidRPr="003E4FAF">
        <w:t xml:space="preserve">Dr Clare will receive the following payments at the start of the semester or at the start of the placement: </w:t>
      </w:r>
    </w:p>
    <w:p w14:paraId="0EEFC306" w14:textId="77777777" w:rsidR="003955A6" w:rsidRPr="006D3D9D" w:rsidRDefault="003955A6" w:rsidP="00247DCC">
      <w:pPr>
        <w:pStyle w:val="ListBullet"/>
      </w:pPr>
      <w:r w:rsidRPr="006D3D9D">
        <w:t xml:space="preserve">$806.98 for 6 FTE weeks of training in MM3 location ($3,496.93/26 * 6), and </w:t>
      </w:r>
    </w:p>
    <w:p w14:paraId="1F1982CA" w14:textId="77777777" w:rsidR="003955A6" w:rsidRPr="006D3D9D" w:rsidRDefault="003955A6" w:rsidP="00247DCC">
      <w:pPr>
        <w:pStyle w:val="ListBullet"/>
      </w:pPr>
      <w:r w:rsidRPr="006D3D9D">
        <w:t xml:space="preserve">$2,542.68 for 7 FTE weeks of training in MM7 location ($9,444.25/26 * 7). </w:t>
      </w:r>
    </w:p>
    <w:p w14:paraId="1CE22253" w14:textId="77777777" w:rsidR="003955A6" w:rsidRPr="00925BA6" w:rsidRDefault="003955A6" w:rsidP="004F1E3D">
      <w:pPr>
        <w:pStyle w:val="Heading4"/>
      </w:pPr>
      <w:r w:rsidRPr="00925BA6">
        <w:t>Case 5b – Consecutive placements</w:t>
      </w:r>
    </w:p>
    <w:p w14:paraId="2A4B7FF4" w14:textId="77777777" w:rsidR="003955A6" w:rsidRPr="00925BA6" w:rsidRDefault="003955A6" w:rsidP="00247DCC">
      <w:pPr>
        <w:rPr>
          <w:rStyle w:val="Emphasis"/>
        </w:rPr>
      </w:pPr>
      <w:r w:rsidRPr="00925BA6">
        <w:rPr>
          <w:rStyle w:val="Emphasis"/>
        </w:rPr>
        <w:t>Training in different MM locations in one semester:</w:t>
      </w:r>
    </w:p>
    <w:p w14:paraId="2D787727" w14:textId="77777777" w:rsidR="003955A6" w:rsidRPr="00925BA6" w:rsidRDefault="003955A6" w:rsidP="00247DCC">
      <w:r w:rsidRPr="00925BA6">
        <w:t xml:space="preserve">Dr Luke is undertaking 26 FTE weeks of GPT1/CGT1 in </w:t>
      </w:r>
      <w:r w:rsidRPr="003E4FAF">
        <w:t>semester one</w:t>
      </w:r>
      <w:r w:rsidRPr="00925BA6">
        <w:t>. They undertake 10 FTE weeks at an MM4 location and then the next 16 FTE weeks at an MM6 location. Dr Luke will receive the following payments at the start of the semester or at the start of the placement:</w:t>
      </w:r>
    </w:p>
    <w:p w14:paraId="017FDFE6" w14:textId="77777777" w:rsidR="003955A6" w:rsidRPr="00E760C8" w:rsidRDefault="003955A6" w:rsidP="00247DCC">
      <w:pPr>
        <w:pStyle w:val="ListBullet"/>
      </w:pPr>
      <w:r w:rsidRPr="00E760C8">
        <w:t>$1,344.97 for 10 FTE weeks of training in MM4 location ($3,496.93/26 * 10), and</w:t>
      </w:r>
    </w:p>
    <w:p w14:paraId="21BD2E08" w14:textId="77777777" w:rsidR="003955A6" w:rsidRPr="00E760C8" w:rsidRDefault="003955A6" w:rsidP="00247DCC">
      <w:pPr>
        <w:pStyle w:val="ListBullet"/>
      </w:pPr>
      <w:r w:rsidRPr="00E760C8">
        <w:t>$5,811.85 for 16 FTE weeks of training in MM6 location ($9,444.25/26 * 16).</w:t>
      </w:r>
    </w:p>
    <w:p w14:paraId="7E51A4A7" w14:textId="77777777" w:rsidR="003955A6" w:rsidRPr="00925BA6" w:rsidRDefault="003955A6" w:rsidP="004F1E3D">
      <w:pPr>
        <w:pStyle w:val="Heading4"/>
      </w:pPr>
      <w:r w:rsidRPr="00925BA6">
        <w:t>Case 6:</w:t>
      </w:r>
    </w:p>
    <w:p w14:paraId="1D269E05" w14:textId="77777777" w:rsidR="003955A6" w:rsidRPr="00925BA6" w:rsidRDefault="003955A6" w:rsidP="00247DCC">
      <w:pPr>
        <w:rPr>
          <w:rStyle w:val="Emphasis"/>
        </w:rPr>
      </w:pPr>
      <w:r w:rsidRPr="00925BA6">
        <w:rPr>
          <w:rStyle w:val="Emphasis"/>
        </w:rPr>
        <w:t>Training in different MM locations over two semesters (moving to a higher location):</w:t>
      </w:r>
    </w:p>
    <w:p w14:paraId="1CEB9AAC" w14:textId="7D04F00D" w:rsidR="002413E5" w:rsidRPr="00925BA6" w:rsidRDefault="003955A6" w:rsidP="00247DCC">
      <w:r w:rsidRPr="00925BA6">
        <w:t>Dr Joseph is undertaking 14 FTE weeks of GPT1/CGT1 in semester one in MM5 and 12 FTE weeks of GPT1/PCT1 in semester two in MM7. He will receive $2,644.39 ($4,911.01/26 * 14) in semester one and $4,358.88 ($9,444.25/26 * 12) in semester two.</w:t>
      </w:r>
    </w:p>
    <w:p w14:paraId="23850C5D" w14:textId="295AD6B5" w:rsidR="003955A6" w:rsidRPr="00925BA6" w:rsidRDefault="003955A6" w:rsidP="004F1E3D">
      <w:pPr>
        <w:pStyle w:val="Heading4"/>
      </w:pPr>
      <w:r w:rsidRPr="00925BA6">
        <w:t>Case 7:</w:t>
      </w:r>
    </w:p>
    <w:p w14:paraId="42381D75" w14:textId="77777777" w:rsidR="003955A6" w:rsidRPr="00925BA6" w:rsidRDefault="003955A6" w:rsidP="00247DCC">
      <w:pPr>
        <w:rPr>
          <w:rStyle w:val="Emphasis"/>
        </w:rPr>
      </w:pPr>
      <w:r w:rsidRPr="00925BA6">
        <w:rPr>
          <w:rStyle w:val="Emphasis"/>
        </w:rPr>
        <w:t>Training in different MM locations over two semesters (moving to a lower location):</w:t>
      </w:r>
    </w:p>
    <w:p w14:paraId="7DCEEAE4" w14:textId="77777777" w:rsidR="003955A6" w:rsidRPr="00925BA6" w:rsidRDefault="003955A6" w:rsidP="00247DCC">
      <w:r w:rsidRPr="00925BA6">
        <w:t>Dr Mohammed is undertaking 14 FTE weeks of GPT1/CGT1 in semester one in MM5 and 12 FTE weeks of GPT1/PCT1 in semester 2 in MM2. He will receive $2,644.39 ($4,911.01/26 * 14) in semester one and $848.22 ($1837.80/26 * 12) in semester two.</w:t>
      </w:r>
    </w:p>
    <w:p w14:paraId="1A0CD1A0" w14:textId="77777777" w:rsidR="003955A6" w:rsidRPr="004F1E3D" w:rsidRDefault="003955A6" w:rsidP="004F1E3D">
      <w:pPr>
        <w:pStyle w:val="Heading4"/>
      </w:pPr>
      <w:r w:rsidRPr="004F1E3D">
        <w:t>Case 8:</w:t>
      </w:r>
    </w:p>
    <w:p w14:paraId="78D2B319" w14:textId="77777777" w:rsidR="003955A6" w:rsidRPr="00247DCC" w:rsidRDefault="003955A6" w:rsidP="00247DCC">
      <w:r w:rsidRPr="00247DCC">
        <w:t>Registrar is on leave from training at the start of semester:</w:t>
      </w:r>
    </w:p>
    <w:p w14:paraId="462DCD54" w14:textId="77777777" w:rsidR="003955A6" w:rsidRPr="00247DCC" w:rsidRDefault="003955A6" w:rsidP="00247DCC">
      <w:r w:rsidRPr="00247DCC">
        <w:t xml:space="preserve">Dr Ansari begins </w:t>
      </w:r>
      <w:r w:rsidRPr="00925BA6">
        <w:t xml:space="preserve">semester one </w:t>
      </w:r>
      <w:r w:rsidRPr="00247DCC">
        <w:t>with 12 weeks of leave. She returns to undertake 7 FTE weeks GPT3 in MM4 for the remainder of the semester. Dr Ansari will receive $941.48 ($3,496.93/26 * 7) on the commencement of her GPT3 training term.</w:t>
      </w:r>
    </w:p>
    <w:p w14:paraId="167DE2C9" w14:textId="77777777" w:rsidR="003955A6" w:rsidRPr="00925BA6" w:rsidRDefault="003955A6" w:rsidP="004F1E3D">
      <w:pPr>
        <w:pStyle w:val="Heading4"/>
      </w:pPr>
      <w:r w:rsidRPr="00925BA6">
        <w:lastRenderedPageBreak/>
        <w:t>Case 9:</w:t>
      </w:r>
    </w:p>
    <w:p w14:paraId="7671FFF9" w14:textId="77777777" w:rsidR="003955A6" w:rsidRPr="00925BA6" w:rsidRDefault="003955A6" w:rsidP="00247DCC">
      <w:pPr>
        <w:rPr>
          <w:rStyle w:val="Emphasis"/>
        </w:rPr>
      </w:pPr>
      <w:r w:rsidRPr="00925BA6">
        <w:rPr>
          <w:rStyle w:val="Emphasis"/>
        </w:rPr>
        <w:t>Different training terms within a semester:</w:t>
      </w:r>
    </w:p>
    <w:p w14:paraId="0E75F430" w14:textId="77777777" w:rsidR="003955A6" w:rsidRPr="00925BA6" w:rsidRDefault="003955A6" w:rsidP="00247DCC">
      <w:r w:rsidRPr="00925BA6">
        <w:t>In semester one, Dr John is undertaking 12 FTE weeks in GPT1/CGT1 in MM5, and 14 FTE weeks in GPT2/PCT2 in MM5. He will receive a total of $4,911.01 ($2,266.62 ($4,911.01/26 * 12 for GPT1/CGT1 in MM5) + $2,644.39 ($4,911.01/26 * 14 for GPT2/CGT2 in MM5) in semester one.</w:t>
      </w:r>
    </w:p>
    <w:p w14:paraId="615E468A" w14:textId="77777777" w:rsidR="003955A6" w:rsidRPr="00925BA6" w:rsidRDefault="003955A6" w:rsidP="004F1E3D">
      <w:pPr>
        <w:pStyle w:val="Heading4"/>
      </w:pPr>
      <w:r w:rsidRPr="00925BA6">
        <w:t>Case 10:</w:t>
      </w:r>
    </w:p>
    <w:p w14:paraId="78C50B19" w14:textId="77777777" w:rsidR="003955A6" w:rsidRPr="00925BA6" w:rsidRDefault="003955A6" w:rsidP="00247DCC">
      <w:pPr>
        <w:rPr>
          <w:rStyle w:val="Emphasis"/>
        </w:rPr>
      </w:pPr>
      <w:r w:rsidRPr="00925BA6">
        <w:rPr>
          <w:rStyle w:val="Emphasis"/>
        </w:rPr>
        <w:t>Additional Sites – where training is NOT counted towards the fellowship:</w:t>
      </w:r>
    </w:p>
    <w:p w14:paraId="6D6A278B" w14:textId="75706CD8" w:rsidR="003955A6" w:rsidRPr="00247DCC" w:rsidRDefault="003955A6" w:rsidP="00247DCC">
      <w:r w:rsidRPr="003E4FAF">
        <w:t>Dr Simon is undertaking 26 FTE weeks in GPT1/CGT1 in semester one, in MM5 and has a VMO duty (recorded as an additional site) for a period in MM7 during semester one which does not count towards his Fellowship. Dr Simon will receive $4,911.01 in semester one</w:t>
      </w:r>
      <w:r w:rsidRPr="003E4FAF" w:rsidDel="00547AB6">
        <w:t xml:space="preserve"> </w:t>
      </w:r>
      <w:r w:rsidRPr="003E4FAF">
        <w:t>based on his training location in MM5.</w:t>
      </w:r>
    </w:p>
    <w:p w14:paraId="1C7BEAA5" w14:textId="77777777" w:rsidR="003955A6" w:rsidRPr="00582255" w:rsidRDefault="003955A6" w:rsidP="004F1E3D">
      <w:pPr>
        <w:pStyle w:val="Heading3nonumbered"/>
      </w:pPr>
      <w:bookmarkStart w:id="26" w:name="_Toc211942144"/>
      <w:bookmarkStart w:id="27" w:name="_Toc212544600"/>
      <w:r w:rsidRPr="00582255">
        <w:t>Registrars in Transition: Pro-rata payments</w:t>
      </w:r>
      <w:bookmarkEnd w:id="26"/>
      <w:bookmarkEnd w:id="27"/>
    </w:p>
    <w:p w14:paraId="58E58C30" w14:textId="77777777" w:rsidR="003955A6" w:rsidRPr="00247DCC" w:rsidRDefault="003955A6" w:rsidP="00247DCC">
      <w:r w:rsidRPr="00247DCC">
        <w:t xml:space="preserve">Registrars undertaking only part of a training term in semester two, 2025 or later under the revised NCP rules, who have already received full payment for the training term in a previous semester (before semester two, 2025) under the old NCP rules, will receive payments for that training term as per the new rules on prorate payments. </w:t>
      </w:r>
    </w:p>
    <w:p w14:paraId="26AEDCE7" w14:textId="77777777" w:rsidR="003955A6" w:rsidRPr="004F1E3D" w:rsidRDefault="003955A6" w:rsidP="004F1E3D">
      <w:pPr>
        <w:pStyle w:val="Heading4"/>
      </w:pPr>
      <w:r w:rsidRPr="004F1E3D">
        <w:t>Case 11:</w:t>
      </w:r>
    </w:p>
    <w:p w14:paraId="1D5D4EA1" w14:textId="00DE0B3B" w:rsidR="003955A6" w:rsidRPr="00247DCC" w:rsidRDefault="003955A6" w:rsidP="00247DCC">
      <w:r w:rsidRPr="00247DCC">
        <w:t>Part</w:t>
      </w:r>
      <w:r w:rsidR="00C26878" w:rsidRPr="00247DCC">
        <w:t>-</w:t>
      </w:r>
      <w:r w:rsidRPr="00247DCC">
        <w:t>time registrar in the same MM:</w:t>
      </w:r>
    </w:p>
    <w:p w14:paraId="1F9E3F9F" w14:textId="77777777" w:rsidR="003955A6" w:rsidRPr="00247DCC" w:rsidRDefault="003955A6" w:rsidP="00247DCC">
      <w:r w:rsidRPr="00247DCC">
        <w:t xml:space="preserve">In </w:t>
      </w:r>
      <w:r w:rsidRPr="003E4FAF">
        <w:t>semester one</w:t>
      </w:r>
      <w:r w:rsidRPr="00247DCC">
        <w:t>, 2025 Dr Smith did 8 FTE weeks of GPT2 in MM2 and received the full amount for the training term ($1,800) under the old NCP rules (NCP framework 2022 version).</w:t>
      </w:r>
    </w:p>
    <w:p w14:paraId="14FB7508" w14:textId="360AACA4" w:rsidR="003955A6" w:rsidRPr="00247DCC" w:rsidRDefault="003955A6" w:rsidP="00247DCC">
      <w:r w:rsidRPr="00247DCC">
        <w:t>In semester two</w:t>
      </w:r>
      <w:r w:rsidR="00881899" w:rsidRPr="00247DCC">
        <w:t>,</w:t>
      </w:r>
      <w:r w:rsidRPr="00247DCC">
        <w:t xml:space="preserve"> 2025, Dr Smith took leave and is undertaking 10 FTE weeks of GPT2 in MM2 in </w:t>
      </w:r>
      <w:r w:rsidRPr="003E4FAF">
        <w:t>semester one</w:t>
      </w:r>
      <w:r w:rsidRPr="00247DCC">
        <w:t xml:space="preserve">, 2026. Under the new NCP rules (NCP framework 2026 version), they will receive $706.84 ($1,837.80/26 * 10) in </w:t>
      </w:r>
      <w:r w:rsidRPr="003E4FAF">
        <w:t>semester one</w:t>
      </w:r>
      <w:r w:rsidRPr="00247DCC">
        <w:t>, 2026.</w:t>
      </w:r>
    </w:p>
    <w:p w14:paraId="0DC56536" w14:textId="40134D05" w:rsidR="003955A6" w:rsidRPr="00FD29C0" w:rsidRDefault="003955A6" w:rsidP="004F1E3D">
      <w:pPr>
        <w:pStyle w:val="Heading3nonumbered"/>
      </w:pPr>
      <w:bookmarkStart w:id="28" w:name="_Toc211942145"/>
      <w:bookmarkStart w:id="29" w:name="_Toc212544601"/>
      <w:r w:rsidRPr="00FD29C0">
        <w:t>Registrar in Transition: Indexation</w:t>
      </w:r>
      <w:bookmarkEnd w:id="28"/>
      <w:bookmarkEnd w:id="29"/>
      <w:r w:rsidRPr="00FD29C0">
        <w:t xml:space="preserve"> </w:t>
      </w:r>
    </w:p>
    <w:p w14:paraId="68C89006" w14:textId="77777777" w:rsidR="003955A6" w:rsidRPr="00925BA6" w:rsidRDefault="003955A6" w:rsidP="004F1E3D">
      <w:pPr>
        <w:pStyle w:val="Heading4"/>
      </w:pPr>
      <w:r w:rsidRPr="00925BA6">
        <w:t>Case 12:</w:t>
      </w:r>
    </w:p>
    <w:p w14:paraId="714A13FD" w14:textId="77777777" w:rsidR="003955A6" w:rsidRPr="00925BA6" w:rsidRDefault="003955A6" w:rsidP="00247DCC">
      <w:pPr>
        <w:rPr>
          <w:rStyle w:val="Emphasis"/>
        </w:rPr>
      </w:pPr>
      <w:r w:rsidRPr="00925BA6">
        <w:rPr>
          <w:rStyle w:val="Emphasis"/>
        </w:rPr>
        <w:t>Training term undertaken in the same MM location over two different semesters:</w:t>
      </w:r>
    </w:p>
    <w:p w14:paraId="6C6D1206" w14:textId="77777777" w:rsidR="0074477E" w:rsidRPr="003E4FAF" w:rsidRDefault="003955A6" w:rsidP="00247DCC">
      <w:r w:rsidRPr="003E4FAF">
        <w:t xml:space="preserve">Dr Robert is undertaking 14 FTE weeks of GPT1/CGT1 in semester two, 2025 in MM5. He resumes his training in semester one, 2026 and undertakes the </w:t>
      </w:r>
      <w:r w:rsidRPr="00925BA6">
        <w:t>remaining</w:t>
      </w:r>
      <w:r w:rsidRPr="003E4FAF">
        <w:t xml:space="preserve"> 12 FTE weeks of GPT1/CGT1 in semester one, 2026 in MM5. Accordingly, he should receive $2,590.00 ($4,810/26 * 14) in semester two, 2025 and $2,266.62 ($4,911.01/26 * 12) in semester one, 2026 (indexed rate).</w:t>
      </w:r>
    </w:p>
    <w:p w14:paraId="01C84F5F" w14:textId="51560790" w:rsidR="00A15059" w:rsidRPr="003E4FAF" w:rsidRDefault="00A15059" w:rsidP="003E4FAF">
      <w:pPr>
        <w:pStyle w:val="Heading2"/>
      </w:pPr>
      <w:bookmarkStart w:id="30" w:name="_Toc211942146"/>
      <w:bookmarkStart w:id="31" w:name="_Toc212544602"/>
      <w:r w:rsidRPr="003E4FAF">
        <w:t>Supervisor payment</w:t>
      </w:r>
      <w:bookmarkEnd w:id="30"/>
      <w:bookmarkEnd w:id="31"/>
    </w:p>
    <w:p w14:paraId="7C999712" w14:textId="77777777" w:rsidR="00A15059" w:rsidRPr="00925BA6" w:rsidRDefault="00A15059" w:rsidP="004F1E3D">
      <w:pPr>
        <w:pStyle w:val="Heading4"/>
      </w:pPr>
      <w:r w:rsidRPr="00925BA6">
        <w:t>Case 1: </w:t>
      </w:r>
    </w:p>
    <w:p w14:paraId="2B458A26" w14:textId="2A522911" w:rsidR="00A15059" w:rsidRPr="00925BA6" w:rsidRDefault="00A15059" w:rsidP="00247DCC">
      <w:r w:rsidRPr="00925BA6">
        <w:t>Full</w:t>
      </w:r>
      <w:r w:rsidR="00C26878" w:rsidRPr="00925BA6">
        <w:t>-</w:t>
      </w:r>
      <w:r w:rsidRPr="00925BA6">
        <w:t>time in one location in a semester:</w:t>
      </w:r>
    </w:p>
    <w:p w14:paraId="25D1A0E8" w14:textId="2056E179" w:rsidR="00A15059" w:rsidRPr="00925BA6" w:rsidRDefault="00A15059" w:rsidP="00247DCC">
      <w:r w:rsidRPr="00925BA6">
        <w:lastRenderedPageBreak/>
        <w:t xml:space="preserve">Dr Maria is providing supervision to a registrar who is undertaking 26 FTE weeks of GPT1/PCT1 in </w:t>
      </w:r>
      <w:r w:rsidR="001D779E" w:rsidRPr="00925BA6">
        <w:t>s</w:t>
      </w:r>
      <w:r w:rsidRPr="00925BA6">
        <w:t>emester one in MM4. She should receive $13987.70 in total for her semester one supervision. </w:t>
      </w:r>
    </w:p>
    <w:p w14:paraId="61016303" w14:textId="77777777" w:rsidR="00A15059" w:rsidRPr="00925BA6" w:rsidRDefault="00A15059" w:rsidP="004F1E3D">
      <w:pPr>
        <w:pStyle w:val="Heading4"/>
      </w:pPr>
      <w:r w:rsidRPr="00925BA6">
        <w:t>Case 2: </w:t>
      </w:r>
    </w:p>
    <w:p w14:paraId="0D40456E" w14:textId="5A6FEE7C" w:rsidR="00A15059" w:rsidRPr="00925BA6" w:rsidRDefault="00A15059" w:rsidP="00247DCC">
      <w:r w:rsidRPr="00925BA6">
        <w:t>Part</w:t>
      </w:r>
      <w:r w:rsidR="00C26878" w:rsidRPr="00925BA6">
        <w:t>-</w:t>
      </w:r>
      <w:r w:rsidRPr="00925BA6">
        <w:t>time in one location in a semester: </w:t>
      </w:r>
    </w:p>
    <w:p w14:paraId="06BB5163" w14:textId="77777777" w:rsidR="0074477E" w:rsidRPr="00925BA6" w:rsidRDefault="00A15059" w:rsidP="00247DCC">
      <w:r w:rsidRPr="00925BA6">
        <w:t xml:space="preserve">Dr Tan is providing supervision to a registrar who is undertaking 13 FTE weeks of GPT3/PCT3 in semester one in MM6. Dr Tan should receive $3,471 ($6,942/26 * 13) in total his semester one supervision. </w:t>
      </w:r>
    </w:p>
    <w:p w14:paraId="162BD413" w14:textId="1EDFB1F9" w:rsidR="009707F9" w:rsidRPr="003E4FAF" w:rsidRDefault="009707F9" w:rsidP="004F1E3D">
      <w:pPr>
        <w:pStyle w:val="Heading2"/>
      </w:pPr>
      <w:bookmarkStart w:id="32" w:name="_Toc211942147"/>
      <w:bookmarkStart w:id="33" w:name="_Toc212544603"/>
      <w:r w:rsidRPr="0074477E">
        <w:t>Practices payment</w:t>
      </w:r>
      <w:bookmarkEnd w:id="32"/>
      <w:bookmarkEnd w:id="33"/>
    </w:p>
    <w:p w14:paraId="2A739626" w14:textId="60459611" w:rsidR="009707F9" w:rsidRPr="00925BA6" w:rsidRDefault="009707F9" w:rsidP="004F1E3D">
      <w:pPr>
        <w:pStyle w:val="Heading4"/>
      </w:pPr>
      <w:r w:rsidRPr="00925BA6">
        <w:t>Case 1:</w:t>
      </w:r>
    </w:p>
    <w:p w14:paraId="2F5400F4" w14:textId="5CEF4765" w:rsidR="009707F9" w:rsidRPr="00925BA6" w:rsidRDefault="009707F9" w:rsidP="00247DCC">
      <w:r w:rsidRPr="00925BA6">
        <w:t>Full</w:t>
      </w:r>
      <w:r w:rsidR="00C26878" w:rsidRPr="00925BA6">
        <w:t>-</w:t>
      </w:r>
      <w:r w:rsidRPr="00925BA6">
        <w:t>time in one location in a semester: </w:t>
      </w:r>
    </w:p>
    <w:p w14:paraId="44B55F9D" w14:textId="7E88A969" w:rsidR="009707F9" w:rsidRPr="003E4FAF" w:rsidRDefault="009707F9" w:rsidP="00247DCC">
      <w:r w:rsidRPr="003E4FAF">
        <w:t xml:space="preserve">Dr Ahmed is undertaking 26 FTE weeks of GPT2/PCT2 in </w:t>
      </w:r>
      <w:r w:rsidR="001D779E" w:rsidRPr="003E4FAF">
        <w:t>s</w:t>
      </w:r>
      <w:r w:rsidRPr="003E4FAF">
        <w:t>emester one in MM5 under ABC practices. ABC practices should receive $10,720.50 in total for semester one. </w:t>
      </w:r>
    </w:p>
    <w:p w14:paraId="1AC4FC4E" w14:textId="794B7E9F" w:rsidR="009707F9" w:rsidRPr="00925BA6" w:rsidRDefault="009707F9" w:rsidP="004F1E3D">
      <w:pPr>
        <w:pStyle w:val="Heading4"/>
      </w:pPr>
      <w:r w:rsidRPr="00925BA6">
        <w:t>Case 2:</w:t>
      </w:r>
    </w:p>
    <w:p w14:paraId="120FFA9B" w14:textId="0B9C3D93" w:rsidR="009707F9" w:rsidRPr="00925BA6" w:rsidRDefault="009707F9" w:rsidP="00247DCC">
      <w:r w:rsidRPr="00925BA6">
        <w:t>Part</w:t>
      </w:r>
      <w:r w:rsidR="00C26878" w:rsidRPr="00925BA6">
        <w:t>-</w:t>
      </w:r>
      <w:r w:rsidRPr="00925BA6">
        <w:t>time in one location in a semester: </w:t>
      </w:r>
    </w:p>
    <w:p w14:paraId="0A0DBD9D" w14:textId="77777777" w:rsidR="009707F9" w:rsidRPr="00925BA6" w:rsidRDefault="009707F9" w:rsidP="00247DCC">
      <w:r w:rsidRPr="00925BA6">
        <w:t>Dr Rodrigo is undertaking 13 FTE weeks of GPT1/PCT1 in semester one in MM4 under ABC practices. ABC practices should receive $8678.5 ($17357/26 * 13) in total for semester one. </w:t>
      </w:r>
    </w:p>
    <w:p w14:paraId="673487DC" w14:textId="4F621296" w:rsidR="009707F9" w:rsidRPr="00361FC9" w:rsidRDefault="009707F9" w:rsidP="00247DCC">
      <w:r w:rsidRPr="00361FC9">
        <w:t xml:space="preserve">ACRRM’s PCT subtype examples are expanded in </w:t>
      </w:r>
      <w:hyperlink w:anchor="_Appendix" w:history="1">
        <w:r w:rsidRPr="00361FC9">
          <w:rPr>
            <w:rStyle w:val="Hyperlink"/>
          </w:rPr>
          <w:t>Appendix B</w:t>
        </w:r>
      </w:hyperlink>
      <w:r w:rsidRPr="00361FC9">
        <w:t xml:space="preserve">. </w:t>
      </w:r>
    </w:p>
    <w:p w14:paraId="43F420DE" w14:textId="5E5CED7D" w:rsidR="00624A26" w:rsidRPr="00925BA6" w:rsidRDefault="00624A26" w:rsidP="00925BA6">
      <w:pPr>
        <w:pStyle w:val="Heading1"/>
      </w:pPr>
      <w:bookmarkStart w:id="34" w:name="_Toc211942148"/>
      <w:bookmarkStart w:id="35" w:name="_Toc212544604"/>
      <w:r w:rsidRPr="00925BA6">
        <w:t>Payment Processing</w:t>
      </w:r>
      <w:bookmarkEnd w:id="34"/>
      <w:bookmarkEnd w:id="35"/>
    </w:p>
    <w:p w14:paraId="7F0F3FC0" w14:textId="498FD788" w:rsidR="00624A26" w:rsidRPr="00361FC9" w:rsidRDefault="00624A26" w:rsidP="00247DCC">
      <w:pPr>
        <w:rPr>
          <w:rStyle w:val="Strong"/>
        </w:rPr>
      </w:pPr>
      <w:r w:rsidRPr="00361FC9">
        <w:rPr>
          <w:rStyle w:val="Strong"/>
        </w:rPr>
        <w:t>The parties involved in payment processing are Services Australia and the two colleges, ACRRM and RACGP.</w:t>
      </w:r>
    </w:p>
    <w:p w14:paraId="67F0A4CE" w14:textId="762E3865" w:rsidR="00624A26" w:rsidRPr="00362923" w:rsidRDefault="00624A26" w:rsidP="00361FC9">
      <w:pPr>
        <w:pStyle w:val="Heading3"/>
        <w:numPr>
          <w:ilvl w:val="0"/>
          <w:numId w:val="32"/>
        </w:numPr>
      </w:pPr>
      <w:bookmarkStart w:id="36" w:name="_Toc211942149"/>
      <w:bookmarkStart w:id="37" w:name="_Toc212544605"/>
      <w:r w:rsidRPr="00362923">
        <w:t>Payment Assessment and Payment Data</w:t>
      </w:r>
      <w:bookmarkEnd w:id="36"/>
      <w:bookmarkEnd w:id="37"/>
    </w:p>
    <w:p w14:paraId="15EF6362" w14:textId="77777777" w:rsidR="00624A26" w:rsidRPr="003E4FAF" w:rsidRDefault="00624A26" w:rsidP="00247DCC">
      <w:r w:rsidRPr="003E4FAF">
        <w:t>Once the colleges have calculated the eligible support payments for all participants, they will provide the payment data requests to Services Australia for the payments to be processed and delivered to all eligible program participants as outlined in the business rules.</w:t>
      </w:r>
    </w:p>
    <w:p w14:paraId="55BDCE93" w14:textId="77777777" w:rsidR="00624A26" w:rsidRPr="00925BA6" w:rsidRDefault="00624A26" w:rsidP="00247DCC">
      <w:r w:rsidRPr="00925BA6">
        <w:t>The timely submission of an accurate payment data file to Services Australia for the purposes of payment is the responsibility of the colleges.</w:t>
      </w:r>
    </w:p>
    <w:p w14:paraId="23D42DF8" w14:textId="50B1A46E" w:rsidR="00624A26" w:rsidRPr="00925BA6" w:rsidRDefault="00624A26" w:rsidP="00247DCC">
      <w:r w:rsidRPr="00925BA6">
        <w:t xml:space="preserve">Any changes or amendments to the payments data will be communicated by the colleges to Services Australia. This will allow the colleges to reconcile payment data for checking, validation and quality assurance purposes. </w:t>
      </w:r>
    </w:p>
    <w:p w14:paraId="1DF443AF" w14:textId="77777777" w:rsidR="00624A26" w:rsidRPr="00925BA6" w:rsidRDefault="00624A26" w:rsidP="00247DCC">
      <w:r w:rsidRPr="00925BA6">
        <w:t>The colleges will continue to report on payment data for each of the AGPT program participants to the department for the purpose of compliance checking.</w:t>
      </w:r>
    </w:p>
    <w:p w14:paraId="19ED9260" w14:textId="494C3811" w:rsidR="00624A26" w:rsidRPr="00362923" w:rsidRDefault="00624A26" w:rsidP="00361FC9">
      <w:pPr>
        <w:pStyle w:val="Heading3"/>
      </w:pPr>
      <w:bookmarkStart w:id="38" w:name="_Toc211942150"/>
      <w:bookmarkStart w:id="39" w:name="_Toc212544606"/>
      <w:r w:rsidRPr="00362923">
        <w:t>Communication between Colleges and Services Australia - Application Programming Interface</w:t>
      </w:r>
      <w:bookmarkEnd w:id="38"/>
      <w:bookmarkEnd w:id="39"/>
      <w:r w:rsidRPr="00362923">
        <w:t xml:space="preserve"> </w:t>
      </w:r>
    </w:p>
    <w:p w14:paraId="4A152FEF" w14:textId="77777777" w:rsidR="00624A26" w:rsidRPr="003E4FAF" w:rsidRDefault="00624A26" w:rsidP="00247DCC">
      <w:r w:rsidRPr="003E4FAF">
        <w:t>Services Australia developed an Application Programming Interface (API) that allows the college systems to communicate directly with Services Australia systems.</w:t>
      </w:r>
    </w:p>
    <w:p w14:paraId="17A96ECC" w14:textId="77777777" w:rsidR="00624A26" w:rsidRPr="00925BA6" w:rsidRDefault="00624A26" w:rsidP="00247DCC">
      <w:r w:rsidRPr="00925BA6">
        <w:lastRenderedPageBreak/>
        <w:t>The two key operations of the API are:</w:t>
      </w:r>
    </w:p>
    <w:p w14:paraId="5A0C5788" w14:textId="77777777" w:rsidR="00624A26" w:rsidRPr="00624A26" w:rsidRDefault="00624A26" w:rsidP="00247DCC">
      <w:pPr>
        <w:pStyle w:val="ListBullet"/>
      </w:pPr>
      <w:r w:rsidRPr="00624A26">
        <w:t>The colleges submitting payment requests; and</w:t>
      </w:r>
    </w:p>
    <w:p w14:paraId="20EF5CDE" w14:textId="1F3DF7A3" w:rsidR="00624A26" w:rsidRPr="00624A26" w:rsidRDefault="00624A26" w:rsidP="00247DCC">
      <w:pPr>
        <w:pStyle w:val="ListBullet"/>
      </w:pPr>
      <w:r w:rsidRPr="00624A26">
        <w:t>The colleges enquiring on the status of submitted payment requests.</w:t>
      </w:r>
    </w:p>
    <w:p w14:paraId="19CA712A" w14:textId="77777777" w:rsidR="00624A26" w:rsidRPr="00624A26" w:rsidRDefault="00624A26" w:rsidP="00247DCC">
      <w:pPr>
        <w:pStyle w:val="ListBullet"/>
      </w:pPr>
      <w:r w:rsidRPr="00624A26">
        <w:t>Making payments to participants</w:t>
      </w:r>
    </w:p>
    <w:p w14:paraId="06641ACC" w14:textId="13011A10" w:rsidR="00624A26" w:rsidRPr="00925BA6" w:rsidRDefault="00624A26" w:rsidP="00247DCC">
      <w:r w:rsidRPr="00925BA6">
        <w:t xml:space="preserve">Payments are calculated and assessed by the colleges based on the requirements under the NCP framework and these guidelines. Services Australia will process and deliver the support payments to all eligible AGPT program participants on behalf of the department. </w:t>
      </w:r>
    </w:p>
    <w:p w14:paraId="3998B382" w14:textId="77777777" w:rsidR="00624A26" w:rsidRPr="00925BA6" w:rsidRDefault="00624A26" w:rsidP="00247DCC">
      <w:r w:rsidRPr="00925BA6">
        <w:t>To process a participant’s payment, Services Australia will need:</w:t>
      </w:r>
    </w:p>
    <w:p w14:paraId="5D9D308D" w14:textId="77777777" w:rsidR="00E760C8" w:rsidRDefault="00624A26" w:rsidP="00247DCC">
      <w:pPr>
        <w:pStyle w:val="ListBullet"/>
      </w:pPr>
      <w:r w:rsidRPr="00624A26">
        <w:t>Payment data from the colleges</w:t>
      </w:r>
    </w:p>
    <w:p w14:paraId="61C07AA6" w14:textId="4DA95B0F" w:rsidR="00295301" w:rsidRPr="00624A26" w:rsidRDefault="00624A26" w:rsidP="00247DCC">
      <w:pPr>
        <w:pStyle w:val="ListBullet"/>
      </w:pPr>
      <w:r w:rsidRPr="00624A26">
        <w:t>Correct bank details from participants</w:t>
      </w:r>
    </w:p>
    <w:p w14:paraId="4EAB6A3F" w14:textId="77777777" w:rsidR="00624A26" w:rsidRPr="00362923" w:rsidRDefault="00624A26" w:rsidP="00361FC9">
      <w:pPr>
        <w:pStyle w:val="Heading3"/>
      </w:pPr>
      <w:bookmarkStart w:id="40" w:name="_Toc211942151"/>
      <w:bookmarkStart w:id="41" w:name="_Toc212544607"/>
      <w:r w:rsidRPr="00362923">
        <w:t>Bank Account Details</w:t>
      </w:r>
      <w:bookmarkEnd w:id="40"/>
      <w:bookmarkEnd w:id="41"/>
    </w:p>
    <w:p w14:paraId="2117CCA7" w14:textId="77777777" w:rsidR="00624A26" w:rsidRPr="00925BA6" w:rsidRDefault="00624A26" w:rsidP="00247DCC">
      <w:r w:rsidRPr="00925BA6">
        <w:t>For payment processing, the bank account details are held within Services Australia systems as part of recipient registration. Payment requests may remain in a pending state if correct bank account details are not available in the Services Australia online payment system for the recipient at the time of a payment run.</w:t>
      </w:r>
    </w:p>
    <w:p w14:paraId="440DECC4" w14:textId="03E63ECB" w:rsidR="000F4528" w:rsidRPr="002D77CE" w:rsidRDefault="00F82DF9" w:rsidP="002D77CE">
      <w:pPr>
        <w:pStyle w:val="Heading1"/>
      </w:pPr>
      <w:bookmarkStart w:id="42" w:name="_Toc211942152"/>
      <w:bookmarkStart w:id="43" w:name="_Toc212544608"/>
      <w:r w:rsidRPr="002D77CE">
        <w:t xml:space="preserve">Participant </w:t>
      </w:r>
      <w:r w:rsidR="00CF1216" w:rsidRPr="002D77CE">
        <w:t>bank account details</w:t>
      </w:r>
      <w:bookmarkEnd w:id="42"/>
      <w:bookmarkEnd w:id="43"/>
    </w:p>
    <w:p w14:paraId="1903A964" w14:textId="77777777" w:rsidR="00CF1216" w:rsidRPr="003E4FAF" w:rsidRDefault="00CF1216" w:rsidP="00247DCC">
      <w:r w:rsidRPr="003E4FAF">
        <w:t xml:space="preserve">All eligible participants for AGPT program payments (supervisors, practices and registrars) must provide their bank account details and register for a Provider Digital Access (PRODA) account with Services Australia to receive their support payments. </w:t>
      </w:r>
    </w:p>
    <w:p w14:paraId="7EF5B336" w14:textId="77777777" w:rsidR="00CF1216" w:rsidRPr="00925BA6" w:rsidRDefault="00CF1216" w:rsidP="00247DCC">
      <w:r w:rsidRPr="00925BA6">
        <w:t xml:space="preserve">Information on how to register for a PRODA account is available on the Services Australia website at </w:t>
      </w:r>
      <w:hyperlink r:id="rId21" w:history="1">
        <w:r w:rsidRPr="00925BA6">
          <w:rPr>
            <w:rStyle w:val="Hyperlink"/>
          </w:rPr>
          <w:t>www.servicesaustralia.gov.au/provider-digital-access-proda</w:t>
        </w:r>
      </w:hyperlink>
      <w:r w:rsidRPr="00925BA6">
        <w:t xml:space="preserve">.  </w:t>
      </w:r>
    </w:p>
    <w:p w14:paraId="32E91B86" w14:textId="74AFDBB1" w:rsidR="00CF1216" w:rsidRPr="003E4FAF" w:rsidRDefault="00CF1216" w:rsidP="00247DCC">
      <w:r w:rsidRPr="003E4FAF">
        <w:t xml:space="preserve">If you require assistance with PRODA, you can contact PRODA Support on 1800 700 199 (option 1) 8am to 5pm AEST or email: </w:t>
      </w:r>
      <w:hyperlink r:id="rId22" w:history="1">
        <w:r w:rsidRPr="003E4FAF">
          <w:rPr>
            <w:rStyle w:val="Hyperlink"/>
          </w:rPr>
          <w:t>proda@servicesaustralia.gov.au</w:t>
        </w:r>
      </w:hyperlink>
      <w:r w:rsidR="00E268BD" w:rsidRPr="003E4FAF">
        <w:t>.</w:t>
      </w:r>
    </w:p>
    <w:p w14:paraId="0F357671" w14:textId="191A444D" w:rsidR="00CF1216" w:rsidRPr="00925BA6" w:rsidRDefault="00CF1216" w:rsidP="00247DCC">
      <w:r w:rsidRPr="00925BA6">
        <w:t>If you require assistance with the Organisation Register, you can contact Organisation Register support on</w:t>
      </w:r>
      <w:r w:rsidR="00007342" w:rsidRPr="00925BA6">
        <w:t xml:space="preserve"> </w:t>
      </w:r>
      <w:r w:rsidRPr="00925BA6">
        <w:t xml:space="preserve">1800 222 032 or email: </w:t>
      </w:r>
      <w:hyperlink r:id="rId23" w:history="1">
        <w:r w:rsidRPr="00925BA6">
          <w:rPr>
            <w:rStyle w:val="Hyperlink"/>
          </w:rPr>
          <w:t>ORGANISATION.REGISTER@servicesaustralia.gov.au</w:t>
        </w:r>
      </w:hyperlink>
    </w:p>
    <w:p w14:paraId="4EF4421C" w14:textId="77777777" w:rsidR="00CF1216" w:rsidRPr="00925BA6" w:rsidRDefault="00CF1216" w:rsidP="00247DCC">
      <w:r w:rsidRPr="00925BA6">
        <w:t xml:space="preserve">All enquiries regarding the online registration process to access the support payments should be directed to Services Australia using the above support contact information.  </w:t>
      </w:r>
    </w:p>
    <w:p w14:paraId="0990E6DE" w14:textId="77777777" w:rsidR="00CF1216" w:rsidRPr="00925BA6" w:rsidRDefault="00CF1216" w:rsidP="00247DCC">
      <w:r w:rsidRPr="00925BA6">
        <w:t>Any other enquires regarding the rates, eligibility requirements, scope and delivery of support payments to all eligible AGPT program participants (supervisors, practices and registrars) should be directed to the colleges at:</w:t>
      </w:r>
    </w:p>
    <w:p w14:paraId="64C28450" w14:textId="77777777" w:rsidR="00CF1216" w:rsidRPr="00925BA6" w:rsidRDefault="00CF1216" w:rsidP="00247DCC">
      <w:r w:rsidRPr="00925BA6">
        <w:t>ACRRM</w:t>
      </w:r>
    </w:p>
    <w:p w14:paraId="155AD219" w14:textId="37BE161D" w:rsidR="00CF1216" w:rsidRPr="003E4FAF" w:rsidRDefault="00CF1216" w:rsidP="00247DCC">
      <w:r w:rsidRPr="003E4FAF">
        <w:t xml:space="preserve">Email: </w:t>
      </w:r>
      <w:hyperlink r:id="rId24" w:history="1">
        <w:r w:rsidR="00125C19" w:rsidRPr="003E4FAF">
          <w:rPr>
            <w:rStyle w:val="Hyperlink"/>
          </w:rPr>
          <w:t>payments@acrrm.org.au</w:t>
        </w:r>
      </w:hyperlink>
      <w:r w:rsidR="00007342" w:rsidRPr="003E4FAF">
        <w:t xml:space="preserve"> </w:t>
      </w:r>
    </w:p>
    <w:p w14:paraId="583AC52C" w14:textId="77777777" w:rsidR="00CF1216" w:rsidRPr="003E4FAF" w:rsidRDefault="00CF1216" w:rsidP="00247DCC">
      <w:r w:rsidRPr="003E4FAF">
        <w:t>Tel: 1800 223 226</w:t>
      </w:r>
    </w:p>
    <w:p w14:paraId="7C7ABD93" w14:textId="77777777" w:rsidR="00CF1216" w:rsidRPr="00925BA6" w:rsidRDefault="00CF1216" w:rsidP="00247DCC">
      <w:r w:rsidRPr="00925BA6">
        <w:t xml:space="preserve">RACGP </w:t>
      </w:r>
    </w:p>
    <w:p w14:paraId="0BC7A9B7" w14:textId="77777777" w:rsidR="00CF1216" w:rsidRPr="003E4FAF" w:rsidRDefault="00CF1216" w:rsidP="00247DCC">
      <w:r w:rsidRPr="003E4FAF">
        <w:t xml:space="preserve">Email: </w:t>
      </w:r>
      <w:hyperlink r:id="rId25" w:history="1">
        <w:r w:rsidRPr="003E4FAF">
          <w:rPr>
            <w:rStyle w:val="Hyperlink"/>
          </w:rPr>
          <w:t>agpt.support@racgp.org.au</w:t>
        </w:r>
      </w:hyperlink>
    </w:p>
    <w:p w14:paraId="05C687F5" w14:textId="77777777" w:rsidR="00CF1216" w:rsidRPr="00925BA6" w:rsidRDefault="00CF1216" w:rsidP="00247DCC">
      <w:r w:rsidRPr="00925BA6">
        <w:t xml:space="preserve">Tel: 1800 472 247 </w:t>
      </w:r>
    </w:p>
    <w:p w14:paraId="1BAA7B48" w14:textId="5EDF1B0D" w:rsidR="00D471E9" w:rsidRPr="002D77CE" w:rsidRDefault="00D471E9" w:rsidP="002D77CE">
      <w:pPr>
        <w:pStyle w:val="Heading1"/>
      </w:pPr>
      <w:bookmarkStart w:id="44" w:name="_Toc211942153"/>
      <w:bookmarkStart w:id="45" w:name="_Toc212544609"/>
      <w:r w:rsidRPr="002D77CE">
        <w:lastRenderedPageBreak/>
        <w:t xml:space="preserve">Frequency of payments and </w:t>
      </w:r>
      <w:proofErr w:type="gramStart"/>
      <w:r w:rsidRPr="002D77CE">
        <w:t>payment</w:t>
      </w:r>
      <w:proofErr w:type="gramEnd"/>
      <w:r w:rsidRPr="002D77CE">
        <w:t xml:space="preserve"> runs</w:t>
      </w:r>
      <w:bookmarkEnd w:id="44"/>
      <w:bookmarkEnd w:id="45"/>
      <w:r w:rsidRPr="002D77CE">
        <w:t xml:space="preserve"> </w:t>
      </w:r>
    </w:p>
    <w:p w14:paraId="76484AC0" w14:textId="77777777" w:rsidR="00D471E9" w:rsidRPr="003E4FAF" w:rsidRDefault="00D471E9" w:rsidP="00247DCC">
      <w:r w:rsidRPr="003E4FAF">
        <w:t xml:space="preserve">Consistent with the requirements under the NCP framework, the colleges will determine how the frequency of pay runs will integrate with the payment system, including payment data processing by Services Australia. In addition, the colleges, in agreement with Services Australia, will determine how exceptional and/or off cycle payments requests are managed.  </w:t>
      </w:r>
    </w:p>
    <w:p w14:paraId="1EE37A1E" w14:textId="384BE2CE" w:rsidR="00D471E9" w:rsidRPr="00925BA6" w:rsidRDefault="00D471E9" w:rsidP="00247DCC">
      <w:r w:rsidRPr="00925BA6">
        <w:t>For example, standard payment runs could be determined to occur on a monthly or quarterly basis for supervisor and practice payments, once a semester for registrar payments or monthly for incentive payments.</w:t>
      </w:r>
    </w:p>
    <w:p w14:paraId="39081F4B" w14:textId="4FA8754C" w:rsidR="00D471E9" w:rsidRPr="002D77CE" w:rsidRDefault="00D471E9" w:rsidP="002D77CE">
      <w:pPr>
        <w:pStyle w:val="Heading1"/>
      </w:pPr>
      <w:bookmarkStart w:id="46" w:name="_Toc211942154"/>
      <w:bookmarkStart w:id="47" w:name="_Toc212544610"/>
      <w:r w:rsidRPr="002D77CE">
        <w:t>P</w:t>
      </w:r>
      <w:r w:rsidR="001B3CB1" w:rsidRPr="002D77CE">
        <w:t>articipant</w:t>
      </w:r>
      <w:r w:rsidR="00723080" w:rsidRPr="002D77CE">
        <w:t>s</w:t>
      </w:r>
      <w:r w:rsidR="001B3CB1" w:rsidRPr="002D77CE">
        <w:t xml:space="preserve"> seeking a review of their payments</w:t>
      </w:r>
      <w:bookmarkEnd w:id="46"/>
      <w:bookmarkEnd w:id="47"/>
    </w:p>
    <w:p w14:paraId="07A54F60" w14:textId="77777777" w:rsidR="00D471E9" w:rsidRPr="00925BA6" w:rsidRDefault="00D471E9" w:rsidP="00247DCC">
      <w:r w:rsidRPr="00925BA6">
        <w:t>Participants can seek a review of their payment via the colleges. Examples of circumstances under which a review may be sought include:</w:t>
      </w:r>
    </w:p>
    <w:p w14:paraId="7B018F66" w14:textId="77777777" w:rsidR="00AA63C2" w:rsidRDefault="00D471E9" w:rsidP="00247DCC">
      <w:pPr>
        <w:pStyle w:val="ListBullet"/>
      </w:pPr>
      <w:r w:rsidRPr="00AA63C2">
        <w:t>A registrar has received a lower payment due to inaccurate data captured in the system of records.</w:t>
      </w:r>
    </w:p>
    <w:p w14:paraId="753F5FC8" w14:textId="553F5DE2" w:rsidR="00D471E9" w:rsidRPr="00AA63C2" w:rsidRDefault="00D471E9" w:rsidP="00247DCC">
      <w:pPr>
        <w:pStyle w:val="ListBullet"/>
      </w:pPr>
      <w:r w:rsidRPr="00AA63C2">
        <w:t xml:space="preserve">A supervisor or practice is affected by inadequate documentation of active FTE training hours. </w:t>
      </w:r>
    </w:p>
    <w:p w14:paraId="0F7F26B6" w14:textId="77777777" w:rsidR="00D471E9" w:rsidRPr="003E4FAF" w:rsidRDefault="00D471E9" w:rsidP="00247DCC">
      <w:r w:rsidRPr="003E4FAF">
        <w:t>The information submitted by the participants will be assessed by the colleges. If the case is assessed as “eligible”, a “top-up” payment will be requested by the college, which will allow Services Australia to make additional payments directly to the participant.</w:t>
      </w:r>
    </w:p>
    <w:p w14:paraId="37DE786F" w14:textId="646305B8" w:rsidR="007B4CAE" w:rsidRPr="002D77CE" w:rsidRDefault="007B4CAE" w:rsidP="002D77CE">
      <w:pPr>
        <w:pStyle w:val="Heading1"/>
      </w:pPr>
      <w:bookmarkStart w:id="48" w:name="_Toc211942155"/>
      <w:bookmarkStart w:id="49" w:name="_Toc212544611"/>
      <w:r w:rsidRPr="002D77CE">
        <w:t>Flexible payment pool</w:t>
      </w:r>
      <w:bookmarkEnd w:id="48"/>
      <w:bookmarkEnd w:id="49"/>
    </w:p>
    <w:p w14:paraId="6CBF0FBD" w14:textId="77777777" w:rsidR="007B4CAE" w:rsidRPr="00925BA6" w:rsidRDefault="007B4CAE" w:rsidP="00247DCC">
      <w:r w:rsidRPr="00925BA6">
        <w:t>Additional payments under the flexible payments pool are at the discretion of the colleges and are paid directly via both colleges to eligible participants in the AGPT program. The scope, terms and conditions and requirements for accessing and receiving the discretionary flexible payments are provided in the NCP framework.</w:t>
      </w:r>
    </w:p>
    <w:p w14:paraId="11B3D468" w14:textId="2CFD5446" w:rsidR="007B4CAE" w:rsidRPr="00925BA6" w:rsidRDefault="007B4CAE" w:rsidP="00247DCC">
      <w:pPr>
        <w:rPr>
          <w:highlight w:val="yellow"/>
        </w:rPr>
      </w:pPr>
      <w:r w:rsidRPr="00925BA6">
        <w:t xml:space="preserve">These payments are not made by Services Australia. Use of the discretionary flexible payments pool by the colleges will provide additional support, including in hard-to-fill locations or for complex training requirements. These special training circumstances will be considered by the colleges to ensure a nationally consistent payments approach is sustainable. </w:t>
      </w:r>
    </w:p>
    <w:p w14:paraId="7D9DC67F" w14:textId="77777777" w:rsidR="007B4CAE" w:rsidRPr="00925BA6" w:rsidRDefault="007B4CAE" w:rsidP="00247DCC">
      <w:r w:rsidRPr="00925BA6">
        <w:t xml:space="preserve">To maintain the principles of accountability and transparency around the use of public funds, the colleges will provide to the department, an annual compliance report. The department, through the management of the colleges’ college-led training grant agreements, will ensure that the use of the flexible payments is in accordance with the requirements set out under the NCP framework, and these guidelines. </w:t>
      </w:r>
    </w:p>
    <w:p w14:paraId="0E400AAB" w14:textId="77777777" w:rsidR="007B4CAE" w:rsidRPr="00925BA6" w:rsidRDefault="007B4CAE" w:rsidP="00247DCC">
      <w:r w:rsidRPr="00925BA6">
        <w:t>Details of the support payments available from each college’s flexible payments pool can be accessed at:</w:t>
      </w:r>
    </w:p>
    <w:p w14:paraId="6DDE6699" w14:textId="7D440148" w:rsidR="00E760C8" w:rsidRPr="002D77CE" w:rsidRDefault="007B4CAE" w:rsidP="00247DCC">
      <w:pPr>
        <w:pStyle w:val="ListBullet"/>
        <w:rPr>
          <w:rStyle w:val="Hyperlink"/>
        </w:rPr>
      </w:pPr>
      <w:hyperlink r:id="rId26" w:history="1">
        <w:r w:rsidRPr="002D77CE">
          <w:rPr>
            <w:rStyle w:val="Hyperlink"/>
          </w:rPr>
          <w:t>ACRRM Flexible funds</w:t>
        </w:r>
      </w:hyperlink>
      <w:r w:rsidRPr="002D77CE">
        <w:rPr>
          <w:rStyle w:val="Hyperlink"/>
        </w:rPr>
        <w:t xml:space="preserve"> </w:t>
      </w:r>
    </w:p>
    <w:p w14:paraId="152E6A37" w14:textId="1F0DC229" w:rsidR="007B4CAE" w:rsidRPr="002D77CE" w:rsidRDefault="007B4CAE" w:rsidP="00247DCC">
      <w:pPr>
        <w:pStyle w:val="ListBullet"/>
        <w:rPr>
          <w:rStyle w:val="Hyperlink"/>
        </w:rPr>
      </w:pPr>
      <w:hyperlink r:id="rId27" w:history="1">
        <w:r w:rsidRPr="002D77CE">
          <w:rPr>
            <w:rStyle w:val="Hyperlink"/>
          </w:rPr>
          <w:t>RACGP Flexible funds</w:t>
        </w:r>
      </w:hyperlink>
      <w:r w:rsidRPr="002D77CE">
        <w:rPr>
          <w:rStyle w:val="Hyperlink"/>
        </w:rPr>
        <w:t xml:space="preserve"> </w:t>
      </w:r>
    </w:p>
    <w:p w14:paraId="6FCFB9B6" w14:textId="5CA13696" w:rsidR="00AB71E3" w:rsidRPr="003E4FAF" w:rsidRDefault="00AB71E3" w:rsidP="003E4FAF">
      <w:pPr>
        <w:pStyle w:val="Heading1"/>
      </w:pPr>
      <w:bookmarkStart w:id="50" w:name="_Toc211942156"/>
      <w:bookmarkStart w:id="51" w:name="_Toc212544612"/>
      <w:r w:rsidRPr="003E4FAF">
        <w:lastRenderedPageBreak/>
        <w:t>Payments during leave periods</w:t>
      </w:r>
      <w:bookmarkEnd w:id="50"/>
      <w:bookmarkEnd w:id="51"/>
    </w:p>
    <w:p w14:paraId="0499CF21" w14:textId="096D6CE1" w:rsidR="007A2ABA" w:rsidRPr="00925BA6" w:rsidRDefault="007A2ABA" w:rsidP="00247DCC">
      <w:r w:rsidRPr="00925BA6">
        <w:t>The NCP framework provides support payments for training placements.</w:t>
      </w:r>
    </w:p>
    <w:p w14:paraId="288856D4" w14:textId="77777777" w:rsidR="007A2ABA" w:rsidRPr="00925BA6" w:rsidRDefault="007A2ABA" w:rsidP="00247DCC">
      <w:r w:rsidRPr="00925BA6">
        <w:t>Where support placements are paid directly to a supervisor who has long-term leave (greater than 4 weeks) during a training placement, the supervisor can direct the college to provide the payment to the relieving supervisor. Where supervisor payments are made to the practice, it will be at the discretion of the practice as to how payments will be distributed to supervisors.</w:t>
      </w:r>
    </w:p>
    <w:p w14:paraId="3D94786A" w14:textId="38699439" w:rsidR="007A2ABA" w:rsidRPr="00925BA6" w:rsidRDefault="007A2ABA" w:rsidP="00247DCC">
      <w:r w:rsidRPr="00925BA6">
        <w:t>Where registrars undertake leave from the AGPT program (for leave category, check the glossary), future supervisor</w:t>
      </w:r>
      <w:r w:rsidR="00125C19" w:rsidRPr="00925BA6">
        <w:t xml:space="preserve">, </w:t>
      </w:r>
      <w:r w:rsidRPr="00925BA6">
        <w:t>practice support</w:t>
      </w:r>
      <w:r w:rsidR="00125C19" w:rsidRPr="00925BA6">
        <w:t>, registrar and incentive</w:t>
      </w:r>
      <w:r w:rsidRPr="00925BA6">
        <w:t xml:space="preserve"> payments will be adjusted by the colleges to </w:t>
      </w:r>
      <w:proofErr w:type="gramStart"/>
      <w:r w:rsidRPr="00925BA6">
        <w:t>take into account</w:t>
      </w:r>
      <w:proofErr w:type="gramEnd"/>
      <w:r w:rsidRPr="00925BA6">
        <w:t xml:space="preserve"> the new FTE level of payment required. </w:t>
      </w:r>
    </w:p>
    <w:p w14:paraId="500DE420" w14:textId="644C40FA" w:rsidR="00DE2C34" w:rsidRPr="002D77CE" w:rsidRDefault="00DE2C34" w:rsidP="002D77CE">
      <w:pPr>
        <w:pStyle w:val="Heading1"/>
      </w:pPr>
      <w:bookmarkStart w:id="52" w:name="_Toc211942157"/>
      <w:bookmarkStart w:id="53" w:name="_Toc212544613"/>
      <w:r w:rsidRPr="002D77CE">
        <w:t>Opting out of the AGPT program</w:t>
      </w:r>
      <w:bookmarkEnd w:id="52"/>
      <w:bookmarkEnd w:id="53"/>
    </w:p>
    <w:p w14:paraId="3FF5744B" w14:textId="4BA87A46" w:rsidR="00DE2C34" w:rsidRPr="00925BA6" w:rsidRDefault="00DE2C34" w:rsidP="00247DCC">
      <w:r w:rsidRPr="00925BA6">
        <w:t>All AGPT program participants (supervisor</w:t>
      </w:r>
      <w:r w:rsidR="00725F05" w:rsidRPr="00925BA6">
        <w:t xml:space="preserve"> and</w:t>
      </w:r>
      <w:r w:rsidRPr="00925BA6">
        <w:t xml:space="preserve"> practice) who are eligible for a support payment under the AGPT program must satisfy all eligibility requirements and any other GP training compliance requirements specified by the colleges.</w:t>
      </w:r>
    </w:p>
    <w:p w14:paraId="020C3BDB" w14:textId="77777777" w:rsidR="00DE2C34" w:rsidRPr="00925BA6" w:rsidRDefault="00DE2C34" w:rsidP="00247DCC">
      <w:r w:rsidRPr="00925BA6">
        <w:t>If an eligible participant opts out of the AGPT program, such a participant will be required to notify the college(s).</w:t>
      </w:r>
    </w:p>
    <w:p w14:paraId="2A313457" w14:textId="7615A960" w:rsidR="009957D0" w:rsidRPr="00925BA6" w:rsidRDefault="00DE2C34" w:rsidP="00247DCC">
      <w:r w:rsidRPr="00925BA6">
        <w:t xml:space="preserve">The colleges must notify Services Australia of any participants who have opted out of the AGPT program, to ensure that the support payment requests which have been submitted by the college(s) on behalf of those participants are not processed.  </w:t>
      </w:r>
    </w:p>
    <w:p w14:paraId="37DAED6A" w14:textId="2E201D17" w:rsidR="009957D0" w:rsidRPr="002D77CE" w:rsidRDefault="009957D0" w:rsidP="002D77CE">
      <w:pPr>
        <w:pStyle w:val="Heading1"/>
      </w:pPr>
      <w:bookmarkStart w:id="54" w:name="_Toc211942158"/>
      <w:bookmarkStart w:id="55" w:name="_Toc212544614"/>
      <w:r w:rsidRPr="002D77CE">
        <w:t>W</w:t>
      </w:r>
      <w:r w:rsidR="00AF45C4" w:rsidRPr="002D77CE">
        <w:t>ithdrawal from the AGPT program</w:t>
      </w:r>
      <w:bookmarkEnd w:id="54"/>
      <w:bookmarkEnd w:id="55"/>
      <w:r w:rsidR="00AF45C4" w:rsidRPr="002D77CE">
        <w:t xml:space="preserve"> </w:t>
      </w:r>
    </w:p>
    <w:p w14:paraId="64D2D366" w14:textId="77777777" w:rsidR="009957D0" w:rsidRPr="00925BA6" w:rsidRDefault="009957D0" w:rsidP="00247DCC">
      <w:r w:rsidRPr="00925BA6">
        <w:t>Eligible AGPT program participants (registrar) should advise the relevant college that they are considering withdrawing from the AGPT program. In the case of circumstances that could lead to a participant being withdrawn from the AGPT program after the commencement of training, the relevant college should be advised by the participant ahead of withdrawal occurring.</w:t>
      </w:r>
    </w:p>
    <w:p w14:paraId="5E210398" w14:textId="77777777" w:rsidR="009957D0" w:rsidRPr="00925BA6" w:rsidRDefault="009957D0" w:rsidP="00247DCC">
      <w:r w:rsidRPr="00925BA6">
        <w:t xml:space="preserve">Consistent with college eligibility requirements, registrars who plan to start the AGPT program but do not proceed with a placement will </w:t>
      </w:r>
      <w:r w:rsidRPr="00925BA6">
        <w:rPr>
          <w:rStyle w:val="Strong"/>
        </w:rPr>
        <w:t>not</w:t>
      </w:r>
      <w:r w:rsidRPr="00925BA6">
        <w:t xml:space="preserve"> be paid. </w:t>
      </w:r>
    </w:p>
    <w:p w14:paraId="47956BC4" w14:textId="77777777" w:rsidR="009957D0" w:rsidRPr="00925BA6" w:rsidRDefault="009957D0" w:rsidP="00247DCC">
      <w:r w:rsidRPr="00925BA6">
        <w:t xml:space="preserve">Registrars with a confirmed placement who fail to attend their placement without prior agreement from the colleges will </w:t>
      </w:r>
      <w:r w:rsidRPr="00925BA6">
        <w:rPr>
          <w:rStyle w:val="Strong"/>
        </w:rPr>
        <w:t>not</w:t>
      </w:r>
      <w:r w:rsidRPr="00925BA6">
        <w:t xml:space="preserve"> be paid.</w:t>
      </w:r>
    </w:p>
    <w:p w14:paraId="14E3A9ED" w14:textId="77777777" w:rsidR="009957D0" w:rsidRPr="00925BA6" w:rsidRDefault="009957D0" w:rsidP="00247DCC">
      <w:r w:rsidRPr="00925BA6">
        <w:t xml:space="preserve">Registrars who terminate their training on the AGPT program shortly after commencing a placement with a GP practice and have not been paid, will </w:t>
      </w:r>
      <w:r w:rsidRPr="00925BA6">
        <w:rPr>
          <w:rStyle w:val="Strong"/>
        </w:rPr>
        <w:t>not</w:t>
      </w:r>
      <w:r w:rsidRPr="00925BA6">
        <w:t xml:space="preserve"> be paid.</w:t>
      </w:r>
    </w:p>
    <w:p w14:paraId="3427B2A8" w14:textId="77777777" w:rsidR="009957D0" w:rsidRPr="00925BA6" w:rsidRDefault="009957D0" w:rsidP="00247DCC">
      <w:r w:rsidRPr="00925BA6">
        <w:t xml:space="preserve">Registrars who terminate their training on the AGPT program during a placement with a GP practice may not be required to return the support payments received during the period of their training. </w:t>
      </w:r>
    </w:p>
    <w:p w14:paraId="513B16DA" w14:textId="30905B6B" w:rsidR="00440751" w:rsidRPr="002D77CE" w:rsidRDefault="00440751" w:rsidP="002D77CE">
      <w:pPr>
        <w:pStyle w:val="Heading1"/>
      </w:pPr>
      <w:bookmarkStart w:id="56" w:name="_Toc211942159"/>
      <w:bookmarkStart w:id="57" w:name="_Toc212544615"/>
      <w:r w:rsidRPr="002D77CE">
        <w:lastRenderedPageBreak/>
        <w:t>N</w:t>
      </w:r>
      <w:r w:rsidR="00AF45C4" w:rsidRPr="002D77CE">
        <w:t>otification for changes to participant’s training arrangements</w:t>
      </w:r>
      <w:bookmarkEnd w:id="56"/>
      <w:bookmarkEnd w:id="57"/>
    </w:p>
    <w:p w14:paraId="62E89BAF" w14:textId="77777777" w:rsidR="00440751" w:rsidRPr="002D77CE" w:rsidRDefault="00440751" w:rsidP="00247DCC">
      <w:r w:rsidRPr="002D77CE">
        <w:t>To remain eligible for support payments under the AGPT program, all eligible participants must notify the colleges about any changes to the training arrangements to support continuous training and maintain appropriate payment arrangements.</w:t>
      </w:r>
    </w:p>
    <w:p w14:paraId="505629F8" w14:textId="77777777" w:rsidR="00440751" w:rsidRPr="002D77CE" w:rsidRDefault="00440751" w:rsidP="00247DCC">
      <w:r w:rsidRPr="002D77CE">
        <w:t>The department requires the colleges to provide accurate data and relevant supporting information for the purpose of performance and compliance monitoring.</w:t>
      </w:r>
    </w:p>
    <w:p w14:paraId="133987B8" w14:textId="24C04359" w:rsidR="00CD2120" w:rsidRPr="002D77CE" w:rsidRDefault="00CD2120" w:rsidP="002D77CE">
      <w:pPr>
        <w:pStyle w:val="Heading1"/>
      </w:pPr>
      <w:bookmarkStart w:id="58" w:name="_Toc211942160"/>
      <w:bookmarkStart w:id="59" w:name="_Toc212544616"/>
      <w:r w:rsidRPr="002D77CE">
        <w:t>Change of practice ownership process</w:t>
      </w:r>
      <w:bookmarkEnd w:id="58"/>
      <w:bookmarkEnd w:id="59"/>
    </w:p>
    <w:p w14:paraId="21186208" w14:textId="77777777" w:rsidR="00CD2120" w:rsidRPr="002D77CE" w:rsidRDefault="00CD2120" w:rsidP="00247DCC">
      <w:r w:rsidRPr="002D77CE">
        <w:t>Both the previous and new practice owner are responsible for following the step-by-step process of providing the documentation to effect the changes required via Services Australia payment system online.</w:t>
      </w:r>
    </w:p>
    <w:p w14:paraId="1B7A2DE1" w14:textId="77777777" w:rsidR="00CD2120" w:rsidRPr="00925BA6" w:rsidRDefault="00CD2120" w:rsidP="00247DCC">
      <w:r w:rsidRPr="00925BA6">
        <w:t xml:space="preserve">Further information on the instructions and step-by-step process on change of practice ownership is available from Services Australia at: </w:t>
      </w:r>
      <w:hyperlink r:id="rId28" w:history="1">
        <w:r w:rsidRPr="00925BA6">
          <w:rPr>
            <w:rStyle w:val="Hyperlink"/>
          </w:rPr>
          <w:t>hpe.servicesaustralia.gov.au/</w:t>
        </w:r>
      </w:hyperlink>
      <w:r w:rsidRPr="00925BA6">
        <w:t xml:space="preserve">. Further contact information can be found at: </w:t>
      </w:r>
      <w:hyperlink r:id="rId29" w:history="1">
        <w:r w:rsidRPr="00925BA6">
          <w:rPr>
            <w:rStyle w:val="Hyperlink"/>
          </w:rPr>
          <w:t>www.servicesaustralia.gov.au/health-professionals-contact-information</w:t>
        </w:r>
      </w:hyperlink>
      <w:r w:rsidRPr="00925BA6">
        <w:t>.</w:t>
      </w:r>
    </w:p>
    <w:p w14:paraId="75F75468" w14:textId="2378F06E" w:rsidR="009B6D66" w:rsidRPr="002D77CE" w:rsidRDefault="009B6D66" w:rsidP="002D77CE">
      <w:pPr>
        <w:pStyle w:val="Heading1"/>
      </w:pPr>
      <w:bookmarkStart w:id="60" w:name="_Toc211942161"/>
      <w:bookmarkStart w:id="61" w:name="_Toc212544617"/>
      <w:r w:rsidRPr="002D77CE">
        <w:t>Overpayments, payment recovery and withholding of payments</w:t>
      </w:r>
      <w:bookmarkEnd w:id="60"/>
      <w:bookmarkEnd w:id="61"/>
      <w:r w:rsidRPr="002D77CE">
        <w:t xml:space="preserve"> </w:t>
      </w:r>
    </w:p>
    <w:p w14:paraId="1577BADA" w14:textId="7DB25586" w:rsidR="009B6D66" w:rsidRPr="00925BA6" w:rsidRDefault="009B6D66" w:rsidP="00247DCC">
      <w:r w:rsidRPr="00925BA6">
        <w:t xml:space="preserve">As part of the requirements under the college-led AGPT program, the colleges are required to correctly calculate all AGPT program participants’ NCP entitlement based on the NCP framework and these guidelines. </w:t>
      </w:r>
    </w:p>
    <w:p w14:paraId="2D47ED9A" w14:textId="79F9DBAC" w:rsidR="009B6D66" w:rsidRPr="009032E3" w:rsidRDefault="009B6D66" w:rsidP="00361FC9">
      <w:pPr>
        <w:pStyle w:val="Heading3"/>
        <w:numPr>
          <w:ilvl w:val="0"/>
          <w:numId w:val="33"/>
        </w:numPr>
      </w:pPr>
      <w:bookmarkStart w:id="62" w:name="_Toc211942162"/>
      <w:bookmarkStart w:id="63" w:name="_Toc212544618"/>
      <w:r w:rsidRPr="009032E3">
        <w:t>Overpayments</w:t>
      </w:r>
      <w:bookmarkEnd w:id="62"/>
      <w:bookmarkEnd w:id="63"/>
    </w:p>
    <w:p w14:paraId="3B72ED76" w14:textId="77777777" w:rsidR="009B6D66" w:rsidRPr="00925BA6" w:rsidRDefault="009B6D66" w:rsidP="00247DCC">
      <w:r w:rsidRPr="00925BA6">
        <w:t>An overpayment would exist if:</w:t>
      </w:r>
    </w:p>
    <w:p w14:paraId="430C8A67" w14:textId="77777777" w:rsidR="009B6D66" w:rsidRPr="00681298" w:rsidRDefault="009B6D66" w:rsidP="00247DCC">
      <w:pPr>
        <w:pStyle w:val="ListBullet"/>
      </w:pPr>
      <w:bookmarkStart w:id="64" w:name="_Hlk175584389"/>
      <w:r w:rsidRPr="00681298">
        <w:t>the payment is calculated incorrectly</w:t>
      </w:r>
      <w:r>
        <w:rPr>
          <w:rStyle w:val="CommentReference"/>
        </w:rPr>
        <w:t>.</w:t>
      </w:r>
    </w:p>
    <w:p w14:paraId="532676A5" w14:textId="77777777" w:rsidR="009B6D66" w:rsidRPr="00681298" w:rsidRDefault="009B6D66" w:rsidP="00247DCC">
      <w:pPr>
        <w:pStyle w:val="ListBullet"/>
      </w:pPr>
      <w:r w:rsidRPr="00681298">
        <w:t>a planned training placement has not occurred as expected and an NCP payment has been made.</w:t>
      </w:r>
    </w:p>
    <w:p w14:paraId="05A280FF" w14:textId="77777777" w:rsidR="009B6D66" w:rsidRPr="00681298" w:rsidRDefault="009B6D66" w:rsidP="00247DCC">
      <w:pPr>
        <w:pStyle w:val="ListBullet"/>
      </w:pPr>
      <w:r w:rsidRPr="00681298">
        <w:t>an eligible participant has been identified to have provided incorrect or false information.</w:t>
      </w:r>
    </w:p>
    <w:p w14:paraId="463B5D13" w14:textId="77777777" w:rsidR="009B6D66" w:rsidRPr="00681298" w:rsidRDefault="009B6D66" w:rsidP="00247DCC">
      <w:pPr>
        <w:pStyle w:val="ListBullet"/>
      </w:pPr>
      <w:r w:rsidRPr="00681298">
        <w:t>the participant has neglected to notify the colleges of any changes to their circumstances which might affect their eligibility to receive the support payments</w:t>
      </w:r>
      <w:bookmarkEnd w:id="64"/>
      <w:r w:rsidRPr="00681298">
        <w:t>.</w:t>
      </w:r>
    </w:p>
    <w:p w14:paraId="6E6E82B5" w14:textId="77777777" w:rsidR="009B6D66" w:rsidRDefault="009B6D66" w:rsidP="00247DCC">
      <w:pPr>
        <w:pStyle w:val="ListBullet"/>
      </w:pPr>
      <w:r w:rsidRPr="00681298">
        <w:t>a payment was made in error to the wrong participant or to a non-participant.</w:t>
      </w:r>
    </w:p>
    <w:p w14:paraId="344572F6" w14:textId="7F3E2BB6" w:rsidR="009B6D66" w:rsidRPr="00925BA6" w:rsidRDefault="009B6D66" w:rsidP="00247DCC">
      <w:r w:rsidRPr="00925BA6">
        <w:t xml:space="preserve">Once payments are made by Services Australia, </w:t>
      </w:r>
      <w:r w:rsidRPr="00247DCC">
        <w:t xml:space="preserve">both colleges can enquire on the status of submitted payment request via the API. </w:t>
      </w:r>
    </w:p>
    <w:p w14:paraId="39C56E06" w14:textId="77777777" w:rsidR="009B6D66" w:rsidRPr="00925BA6" w:rsidRDefault="009B6D66" w:rsidP="00247DCC">
      <w:r w:rsidRPr="00925BA6">
        <w:t xml:space="preserve">Where an overpayment has been identified, and the participant is </w:t>
      </w:r>
      <w:proofErr w:type="gramStart"/>
      <w:r w:rsidRPr="00925BA6">
        <w:t>continuing on</w:t>
      </w:r>
      <w:proofErr w:type="gramEnd"/>
      <w:r w:rsidRPr="00925BA6">
        <w:t xml:space="preserve"> the program, the colleges will recover the overpaid amount from the AGPT program participant by withholding the overpaid amount from any future standard NCP payments (including incentives) to that participant to recover the excess funds paid. The colleges will be required to notify the department and Services Australia on these overpayment status and actions taken.</w:t>
      </w:r>
    </w:p>
    <w:p w14:paraId="28082389" w14:textId="77777777" w:rsidR="009B6D66" w:rsidRPr="003E4FAF" w:rsidRDefault="009B6D66" w:rsidP="00247DCC">
      <w:r w:rsidRPr="003E4FAF">
        <w:lastRenderedPageBreak/>
        <w:t>If a participant has been paid or overpaid and ceased on the AGPT program shortly after starting a placement, the colleges will need to notify the department who will make the decision whether to recoup the debt from the participant or waive it.</w:t>
      </w:r>
    </w:p>
    <w:p w14:paraId="731C8595" w14:textId="05BA698C" w:rsidR="009B6D66" w:rsidRPr="003E4FAF" w:rsidRDefault="009B6D66" w:rsidP="00247DCC">
      <w:r w:rsidRPr="003E4FAF">
        <w:t xml:space="preserve">If payments have been made in error to </w:t>
      </w:r>
      <w:r w:rsidRPr="00925BA6">
        <w:rPr>
          <w:rStyle w:val="Strong"/>
        </w:rPr>
        <w:t>non-AGPT participants</w:t>
      </w:r>
      <w:r w:rsidRPr="003E4FAF">
        <w:t xml:space="preserve">, the colleges and/or Services Australia will be required to notify </w:t>
      </w:r>
      <w:r w:rsidRPr="00925BA6">
        <w:t xml:space="preserve">the department </w:t>
      </w:r>
      <w:r w:rsidRPr="003E4FAF">
        <w:t>who will make the decision on recouping the payment.</w:t>
      </w:r>
    </w:p>
    <w:p w14:paraId="283DA123" w14:textId="77777777" w:rsidR="009B6D66" w:rsidRPr="00925BA6" w:rsidRDefault="009B6D66" w:rsidP="00247DCC">
      <w:r w:rsidRPr="003E4FAF">
        <w:t xml:space="preserve">The colleges will use the overpayment template agreed with the department within the Monthly Compliance Report to </w:t>
      </w:r>
      <w:r w:rsidRPr="00925BA6">
        <w:t>the department</w:t>
      </w:r>
      <w:r w:rsidRPr="003E4FAF">
        <w:t xml:space="preserve">. The department may request additional information from colleges, such as:  </w:t>
      </w:r>
    </w:p>
    <w:p w14:paraId="0BE1CE3C" w14:textId="76E3B79D" w:rsidR="00681298" w:rsidRPr="00681298" w:rsidRDefault="009B6D66" w:rsidP="00247DCC">
      <w:pPr>
        <w:pStyle w:val="ListBullet"/>
      </w:pPr>
      <w:r w:rsidRPr="00681298">
        <w:t>Participant’s details (name, MPN, Org ID etc.)</w:t>
      </w:r>
    </w:p>
    <w:p w14:paraId="70D2909C" w14:textId="6464633B" w:rsidR="00681298" w:rsidRPr="00681298" w:rsidRDefault="00681298" w:rsidP="00247DCC">
      <w:pPr>
        <w:pStyle w:val="ListBullet"/>
      </w:pPr>
      <w:r w:rsidRPr="00681298">
        <w:t>R</w:t>
      </w:r>
      <w:r w:rsidR="009B6D66" w:rsidRPr="00681298">
        <w:t>eason for the debt or overpayment</w:t>
      </w:r>
    </w:p>
    <w:p w14:paraId="0E130BE7" w14:textId="7AD90C8D" w:rsidR="00681298" w:rsidRPr="00681298" w:rsidRDefault="00681298" w:rsidP="00247DCC">
      <w:pPr>
        <w:pStyle w:val="ListBullet"/>
      </w:pPr>
      <w:r w:rsidRPr="00681298">
        <w:t>A</w:t>
      </w:r>
      <w:r w:rsidR="009B6D66" w:rsidRPr="00681298">
        <w:t xml:space="preserve">mount of the overpayment and when it was paid </w:t>
      </w:r>
    </w:p>
    <w:p w14:paraId="06211C23" w14:textId="6C73BBFD" w:rsidR="00681298" w:rsidRPr="00681298" w:rsidRDefault="00681298" w:rsidP="00247DCC">
      <w:pPr>
        <w:pStyle w:val="ListBullet"/>
      </w:pPr>
      <w:r w:rsidRPr="00681298">
        <w:t>P</w:t>
      </w:r>
      <w:r w:rsidR="009B6D66" w:rsidRPr="00681298">
        <w:t>articipant’s start date and date of cessation on the program where relevant</w:t>
      </w:r>
    </w:p>
    <w:p w14:paraId="08E0A54F" w14:textId="0975C55C" w:rsidR="009B6D66" w:rsidRPr="00681298" w:rsidRDefault="009B6D66" w:rsidP="00247DCC">
      <w:pPr>
        <w:pStyle w:val="ListBullet"/>
      </w:pPr>
      <w:r w:rsidRPr="00681298">
        <w:t xml:space="preserve">If the participant has ceased from the program, provide a reason where feasible e.g. situation outside their control. </w:t>
      </w:r>
    </w:p>
    <w:p w14:paraId="042AE4D8" w14:textId="726F2B95" w:rsidR="009B6D66" w:rsidRPr="003E4FAF" w:rsidRDefault="009B6D66" w:rsidP="00361FC9">
      <w:pPr>
        <w:pStyle w:val="Heading3"/>
      </w:pPr>
      <w:bookmarkStart w:id="65" w:name="_Toc211942163"/>
      <w:bookmarkStart w:id="66" w:name="_Toc212544619"/>
      <w:r w:rsidRPr="003E4FAF">
        <w:t>Payment Recovery</w:t>
      </w:r>
      <w:bookmarkEnd w:id="65"/>
      <w:bookmarkEnd w:id="66"/>
    </w:p>
    <w:p w14:paraId="7C99DF1F" w14:textId="77777777" w:rsidR="009B6D66" w:rsidRPr="003E4FAF" w:rsidRDefault="009B6D66" w:rsidP="00247DCC">
      <w:r w:rsidRPr="003E4FAF">
        <w:t>A decision to commence payment recovery will be conveyed to the affected participant in writing and may include details on how the excess funds paid are to be recovered.</w:t>
      </w:r>
    </w:p>
    <w:p w14:paraId="5FF41DE8" w14:textId="7EEEAF5D" w:rsidR="009B6D66" w:rsidRPr="00D871BC" w:rsidRDefault="009B6D66" w:rsidP="00361FC9">
      <w:pPr>
        <w:pStyle w:val="Heading3"/>
      </w:pPr>
      <w:bookmarkStart w:id="67" w:name="_Toc211942164"/>
      <w:bookmarkStart w:id="68" w:name="_Toc212544620"/>
      <w:r w:rsidRPr="00D871BC">
        <w:t>Withholding of Payments</w:t>
      </w:r>
      <w:bookmarkEnd w:id="67"/>
      <w:bookmarkEnd w:id="68"/>
    </w:p>
    <w:p w14:paraId="332C26BF" w14:textId="77777777" w:rsidR="009B6D66" w:rsidRDefault="009B6D66" w:rsidP="00247DCC">
      <w:r>
        <w:t>NCP payments may be withheld when:</w:t>
      </w:r>
    </w:p>
    <w:p w14:paraId="3FD74295" w14:textId="5450EF0D" w:rsidR="009B6D66" w:rsidRPr="002D77CE" w:rsidRDefault="009B6D66" w:rsidP="00247DCC">
      <w:pPr>
        <w:pStyle w:val="ListBullet"/>
      </w:pPr>
      <w:r>
        <w:t xml:space="preserve">An overpayment has </w:t>
      </w:r>
      <w:r w:rsidR="00533938">
        <w:t>occurred;</w:t>
      </w:r>
      <w:r>
        <w:t xml:space="preserve"> hence future payments will be withheld until the debt is fully recovered. </w:t>
      </w:r>
      <w:r w:rsidRPr="002D77CE">
        <w:t xml:space="preserve"> </w:t>
      </w:r>
    </w:p>
    <w:p w14:paraId="402215C3" w14:textId="77777777" w:rsidR="009B6D66" w:rsidRDefault="009B6D66" w:rsidP="00247DCC">
      <w:pPr>
        <w:pStyle w:val="ListBullet"/>
      </w:pPr>
      <w:r>
        <w:t xml:space="preserve">Where practices and supervisors who are not actively involved in the GP training activities approved by the colleges will not be provided with support payments under the NCP framework. </w:t>
      </w:r>
    </w:p>
    <w:p w14:paraId="3739B4F3" w14:textId="425E91E9" w:rsidR="003D1995" w:rsidRPr="002D77CE" w:rsidRDefault="009B6D66" w:rsidP="00247DCC">
      <w:pPr>
        <w:pStyle w:val="ListBullet"/>
      </w:pPr>
      <w:r>
        <w:t>Where practices and supervisors do not maintain ongoing training requirements within the GP training period payments will be withheld for that period. Payment eligibility will be reinstated once the participant has undertaken the requirements as outlined in the practice placements agreements as agreed to by the colleges.</w:t>
      </w:r>
    </w:p>
    <w:p w14:paraId="17F1DA51" w14:textId="0FE5843D" w:rsidR="003D1995" w:rsidRPr="002D77CE" w:rsidRDefault="003D1995" w:rsidP="002D77CE">
      <w:pPr>
        <w:pStyle w:val="Heading1"/>
      </w:pPr>
      <w:bookmarkStart w:id="69" w:name="_Toc211942165"/>
      <w:bookmarkStart w:id="70" w:name="_Toc212544621"/>
      <w:r w:rsidRPr="002D77CE">
        <w:t>T</w:t>
      </w:r>
      <w:r w:rsidR="00C55313" w:rsidRPr="002D77CE">
        <w:t>axation</w:t>
      </w:r>
      <w:bookmarkEnd w:id="69"/>
      <w:bookmarkEnd w:id="70"/>
    </w:p>
    <w:p w14:paraId="3451187D" w14:textId="77777777" w:rsidR="003D1995" w:rsidRPr="00925BA6" w:rsidRDefault="003D1995" w:rsidP="00247DCC">
      <w:r w:rsidRPr="00925BA6">
        <w:t xml:space="preserve">Goods and Services Tax will not be provided on practice and supervisor payments consistent with advice received that the activity undertaken by practices and supervisors are not considered services under the goods and services tax legislation purposes.  </w:t>
      </w:r>
    </w:p>
    <w:p w14:paraId="7D961E80" w14:textId="77777777" w:rsidR="003D1995" w:rsidRPr="00925BA6" w:rsidRDefault="003D1995" w:rsidP="00247DCC">
      <w:r w:rsidRPr="00925BA6">
        <w:t>Registrars eligible for payments would be required by their training colleges to seek independent taxation advice on the payment allowances received from Services Australia based on their individual income tax circumstances.</w:t>
      </w:r>
    </w:p>
    <w:p w14:paraId="031D0A4B" w14:textId="6583F2BC" w:rsidR="003D1995" w:rsidRPr="00925BA6" w:rsidRDefault="003D1995" w:rsidP="00247DCC">
      <w:r w:rsidRPr="00925BA6">
        <w:t xml:space="preserve">The payments received by registrars should be used as government incentives and/or allowances to support self-education and training expenses and these incentive payments or </w:t>
      </w:r>
      <w:r w:rsidRPr="00925BA6">
        <w:lastRenderedPageBreak/>
        <w:t>allowances could be classified as assessable income tax purposes under the Income Tax Assessment Act 1997.</w:t>
      </w:r>
    </w:p>
    <w:p w14:paraId="56033367" w14:textId="77777777" w:rsidR="003D1995" w:rsidRPr="00925BA6" w:rsidRDefault="003D1995" w:rsidP="00247DCC">
      <w:r w:rsidRPr="00925BA6">
        <w:t>Supervisors, practices and registrars are advised to seek tax advice from their financial adviser, accountant and/or the Australian Taxation Office regarding their individual tax circumstances, including the support payments received under the AGPT program.</w:t>
      </w:r>
    </w:p>
    <w:p w14:paraId="2CD4FABA" w14:textId="74391222" w:rsidR="00023B7E" w:rsidRPr="002D77CE" w:rsidRDefault="00023B7E" w:rsidP="002D77CE">
      <w:pPr>
        <w:pStyle w:val="Heading1"/>
      </w:pPr>
      <w:bookmarkStart w:id="71" w:name="_Toc211942166"/>
      <w:bookmarkStart w:id="72" w:name="_Toc212544622"/>
      <w:r w:rsidRPr="002D77CE">
        <w:t>Indexation</w:t>
      </w:r>
      <w:bookmarkEnd w:id="71"/>
      <w:bookmarkEnd w:id="72"/>
    </w:p>
    <w:p w14:paraId="01A382DF" w14:textId="77777777" w:rsidR="00023B7E" w:rsidRPr="00925BA6" w:rsidRDefault="00023B7E" w:rsidP="00247DCC">
      <w:r w:rsidRPr="00925BA6">
        <w:t xml:space="preserve">From semester one, 2026, payments provided to AGPT participants (existing payments for Supervisors, Practices, including Salary Support and Registrars) through the NCP framework will be indexed annually. </w:t>
      </w:r>
    </w:p>
    <w:p w14:paraId="52255FC8" w14:textId="77777777" w:rsidR="00023B7E" w:rsidRPr="00925BA6" w:rsidRDefault="00023B7E" w:rsidP="00247DCC">
      <w:pPr>
        <w:rPr>
          <w:rStyle w:val="Strong"/>
        </w:rPr>
      </w:pPr>
      <w:r w:rsidRPr="00925BA6">
        <w:rPr>
          <w:rStyle w:val="Strong"/>
        </w:rPr>
        <w:t xml:space="preserve">The department will be responsible for updating and distributing indexation rates to all relevant parties (via web updates) for semester one application annually. </w:t>
      </w:r>
    </w:p>
    <w:p w14:paraId="76A11692" w14:textId="08040705" w:rsidR="00FC0C05" w:rsidRPr="002D77CE" w:rsidRDefault="00FC0C05" w:rsidP="002D77CE">
      <w:pPr>
        <w:pStyle w:val="Heading1"/>
      </w:pPr>
      <w:bookmarkStart w:id="73" w:name="_Toc211942167"/>
      <w:bookmarkStart w:id="74" w:name="_Toc212544623"/>
      <w:r w:rsidRPr="002D77CE">
        <w:t>P</w:t>
      </w:r>
      <w:r w:rsidR="00FC26A8" w:rsidRPr="002D77CE">
        <w:t>rivacy</w:t>
      </w:r>
      <w:bookmarkEnd w:id="73"/>
      <w:bookmarkEnd w:id="74"/>
    </w:p>
    <w:p w14:paraId="1D67BBB9" w14:textId="36053EE8" w:rsidR="00FC0C05" w:rsidRPr="00925BA6" w:rsidRDefault="00FC0C05" w:rsidP="00247DCC">
      <w:r w:rsidRPr="00925BA6">
        <w:t xml:space="preserve">All personal information provided to Services Australia is protected by privacy law, including the Privacy Act 1988, and this information will be used to generate data which will be used by Services Australia, as a Commonwealth Australian Government entity, for the purposes of the AGPT program.  </w:t>
      </w:r>
    </w:p>
    <w:p w14:paraId="2F997A7B" w14:textId="77777777" w:rsidR="00FC0C05" w:rsidRPr="00925BA6" w:rsidRDefault="00FC0C05" w:rsidP="00247DCC">
      <w:r w:rsidRPr="00925BA6">
        <w:t xml:space="preserve">The personal information collected from the AGPT program participants by the colleges will be disclosed to the department and Services Australia for the purposes of: </w:t>
      </w:r>
    </w:p>
    <w:p w14:paraId="2DFC8518" w14:textId="77777777" w:rsidR="00FC0C05" w:rsidRPr="002D77CE" w:rsidRDefault="00FC0C05" w:rsidP="00247DCC">
      <w:pPr>
        <w:pStyle w:val="ListBullet"/>
      </w:pPr>
      <w:r w:rsidRPr="002D77CE">
        <w:t xml:space="preserve">administering the AGPT program and payments </w:t>
      </w:r>
      <w:proofErr w:type="gramStart"/>
      <w:r w:rsidRPr="002D77CE">
        <w:t>system;</w:t>
      </w:r>
      <w:proofErr w:type="gramEnd"/>
    </w:p>
    <w:p w14:paraId="4B8ABD57" w14:textId="77777777" w:rsidR="00FC0C05" w:rsidRPr="002D77CE" w:rsidRDefault="00FC0C05" w:rsidP="00247DCC">
      <w:pPr>
        <w:pStyle w:val="ListBullet"/>
      </w:pPr>
      <w:r w:rsidRPr="002D77CE">
        <w:t xml:space="preserve">program performance auditing, monitoring and evaluation, and data compliance </w:t>
      </w:r>
      <w:proofErr w:type="gramStart"/>
      <w:r w:rsidRPr="002D77CE">
        <w:t>reporting;</w:t>
      </w:r>
      <w:proofErr w:type="gramEnd"/>
    </w:p>
    <w:p w14:paraId="248E815B" w14:textId="77777777" w:rsidR="00FC0C05" w:rsidRPr="002D77CE" w:rsidRDefault="00FC0C05" w:rsidP="00247DCC">
      <w:pPr>
        <w:pStyle w:val="ListBullet"/>
      </w:pPr>
      <w:r w:rsidRPr="002D77CE">
        <w:t xml:space="preserve">statistical and research purposes where it is authorised by </w:t>
      </w:r>
      <w:proofErr w:type="gramStart"/>
      <w:r w:rsidRPr="002D77CE">
        <w:t>law;</w:t>
      </w:r>
      <w:proofErr w:type="gramEnd"/>
      <w:r w:rsidRPr="002D77CE">
        <w:t xml:space="preserve"> </w:t>
      </w:r>
    </w:p>
    <w:p w14:paraId="0A05563B" w14:textId="77777777" w:rsidR="00FC0C05" w:rsidRPr="002D77CE" w:rsidRDefault="00FC0C05" w:rsidP="00247DCC">
      <w:pPr>
        <w:pStyle w:val="ListBullet"/>
      </w:pPr>
      <w:r w:rsidRPr="002D77CE">
        <w:t>monitoring, assessment and evaluation of progress and achievements of the AGPT program; and</w:t>
      </w:r>
    </w:p>
    <w:p w14:paraId="09C9C491" w14:textId="77777777" w:rsidR="00FC0C05" w:rsidRPr="002D77CE" w:rsidRDefault="00FC0C05" w:rsidP="00247DCC">
      <w:pPr>
        <w:pStyle w:val="ListBullet"/>
      </w:pPr>
      <w:r w:rsidRPr="002D77CE">
        <w:t>further strategic policy reforms and review of operational principles around the AGPT program over the years (2023 to 2025).</w:t>
      </w:r>
    </w:p>
    <w:p w14:paraId="2C41C9C6" w14:textId="515DA19D" w:rsidR="004C35F5" w:rsidRPr="00925BA6" w:rsidRDefault="004C35F5" w:rsidP="00247DCC">
      <w:r w:rsidRPr="00925BA6">
        <w:t>Further information is available from the colleges about how the information collected from the participants on the AGPT program will be managed and used for training and payment purposes, as set out in their privacy policy documents on their websites at:</w:t>
      </w:r>
    </w:p>
    <w:p w14:paraId="72E67B55" w14:textId="77777777" w:rsidR="004C35F5" w:rsidRPr="002D77CE" w:rsidRDefault="004C35F5" w:rsidP="00247DCC">
      <w:pPr>
        <w:pStyle w:val="ListBullet"/>
        <w:rPr>
          <w:rStyle w:val="Hyperlink"/>
        </w:rPr>
      </w:pPr>
      <w:hyperlink r:id="rId30" w:history="1">
        <w:r w:rsidRPr="002D77CE">
          <w:rPr>
            <w:rStyle w:val="Hyperlink"/>
          </w:rPr>
          <w:t>www.acrrm.org.au/privacy</w:t>
        </w:r>
      </w:hyperlink>
    </w:p>
    <w:p w14:paraId="0F1653E2" w14:textId="77777777" w:rsidR="004C35F5" w:rsidRPr="002D77CE" w:rsidRDefault="004C35F5" w:rsidP="00247DCC">
      <w:pPr>
        <w:pStyle w:val="ListBullet"/>
        <w:rPr>
          <w:rStyle w:val="Hyperlink"/>
        </w:rPr>
      </w:pPr>
      <w:hyperlink r:id="rId31" w:history="1">
        <w:r w:rsidRPr="002D77CE">
          <w:rPr>
            <w:rStyle w:val="Hyperlink"/>
          </w:rPr>
          <w:t>www.racgp.org.au/privacy-policy</w:t>
        </w:r>
      </w:hyperlink>
    </w:p>
    <w:p w14:paraId="260E4FAE" w14:textId="77777777" w:rsidR="004C35F5" w:rsidRPr="00925BA6" w:rsidRDefault="004C35F5" w:rsidP="00247DCC">
      <w:r w:rsidRPr="00925BA6">
        <w:t xml:space="preserve">Further information is available from Services Australia website on the collection and use of information received from eligible AGPT program participants (supervisors, practices and registrars) at </w:t>
      </w:r>
      <w:hyperlink r:id="rId32" w:history="1">
        <w:r w:rsidRPr="00925BA6">
          <w:rPr>
            <w:rStyle w:val="Hyperlink"/>
          </w:rPr>
          <w:t>www.servicesaustralia.gov.au/general-practice-training-payments-consent-and-privacy-notice</w:t>
        </w:r>
      </w:hyperlink>
      <w:r w:rsidRPr="00925BA6">
        <w:t>.</w:t>
      </w:r>
    </w:p>
    <w:p w14:paraId="533B3030" w14:textId="35F634C6" w:rsidR="00115EEE" w:rsidRPr="002D77CE" w:rsidRDefault="00115EEE" w:rsidP="002D77CE">
      <w:pPr>
        <w:pStyle w:val="Heading1"/>
      </w:pPr>
      <w:bookmarkStart w:id="75" w:name="_Toc211942168"/>
      <w:bookmarkStart w:id="76" w:name="_Toc212544624"/>
      <w:r w:rsidRPr="002D77CE">
        <w:t>Contact information</w:t>
      </w:r>
      <w:bookmarkEnd w:id="75"/>
      <w:bookmarkEnd w:id="76"/>
    </w:p>
    <w:p w14:paraId="20B47416" w14:textId="77777777" w:rsidR="00115EEE" w:rsidRPr="00925BA6" w:rsidRDefault="00115EEE" w:rsidP="00247DCC">
      <w:r w:rsidRPr="00925BA6">
        <w:t>For any further queries and questions on the NCP guidelines and payments model, please contact:</w:t>
      </w:r>
    </w:p>
    <w:p w14:paraId="451E0D1E" w14:textId="77777777" w:rsidR="00115EEE" w:rsidRPr="003E4FAF" w:rsidRDefault="00115EEE" w:rsidP="00247DCC">
      <w:r w:rsidRPr="003E4FAF">
        <w:lastRenderedPageBreak/>
        <w:t xml:space="preserve">ACRRM – Queries on eligibility, access and release of payments and other support </w:t>
      </w:r>
      <w:proofErr w:type="gramStart"/>
      <w:r w:rsidRPr="003E4FAF">
        <w:t>payment</w:t>
      </w:r>
      <w:proofErr w:type="gramEnd"/>
      <w:r w:rsidRPr="003E4FAF">
        <w:t xml:space="preserve"> operational and guidance matters.</w:t>
      </w:r>
    </w:p>
    <w:p w14:paraId="2CEA0886" w14:textId="41F86E41" w:rsidR="00115EEE" w:rsidRPr="003E4FAF" w:rsidRDefault="00115EEE" w:rsidP="00247DCC">
      <w:r w:rsidRPr="003E4FAF">
        <w:t xml:space="preserve">Email: </w:t>
      </w:r>
      <w:hyperlink r:id="rId33" w:history="1">
        <w:r w:rsidR="00125C19" w:rsidRPr="003E4FAF">
          <w:rPr>
            <w:rStyle w:val="Hyperlink"/>
          </w:rPr>
          <w:t>payments@acrrm.org.au</w:t>
        </w:r>
      </w:hyperlink>
      <w:r w:rsidRPr="003E4FAF">
        <w:t xml:space="preserve"> </w:t>
      </w:r>
    </w:p>
    <w:p w14:paraId="59E322B7" w14:textId="01B2D07E" w:rsidR="00115EEE" w:rsidRPr="003E4FAF" w:rsidRDefault="00115EEE" w:rsidP="00247DCC">
      <w:r w:rsidRPr="003E4FAF">
        <w:t>Tel: 1800 223 226</w:t>
      </w:r>
    </w:p>
    <w:p w14:paraId="79B7B359" w14:textId="77777777" w:rsidR="00115EEE" w:rsidRPr="00925BA6" w:rsidRDefault="00115EEE" w:rsidP="00247DCC">
      <w:r w:rsidRPr="00925BA6">
        <w:t xml:space="preserve">RACGP – Queries on eligibility, access and release of payments and other support </w:t>
      </w:r>
      <w:proofErr w:type="gramStart"/>
      <w:r w:rsidRPr="00925BA6">
        <w:t>payment</w:t>
      </w:r>
      <w:proofErr w:type="gramEnd"/>
      <w:r w:rsidRPr="00925BA6">
        <w:t xml:space="preserve"> operational and guidance matters: </w:t>
      </w:r>
    </w:p>
    <w:p w14:paraId="17685A9D" w14:textId="77777777" w:rsidR="00115EEE" w:rsidRPr="003E4FAF" w:rsidRDefault="00115EEE" w:rsidP="00247DCC">
      <w:r w:rsidRPr="003E4FAF">
        <w:t xml:space="preserve">Email: </w:t>
      </w:r>
      <w:hyperlink r:id="rId34" w:history="1">
        <w:r w:rsidRPr="003E4FAF">
          <w:rPr>
            <w:rStyle w:val="Hyperlink"/>
          </w:rPr>
          <w:t>agpt.support@racgp.org.au</w:t>
        </w:r>
      </w:hyperlink>
      <w:r w:rsidRPr="003E4FAF">
        <w:t xml:space="preserve"> </w:t>
      </w:r>
    </w:p>
    <w:p w14:paraId="1969077D" w14:textId="77777777" w:rsidR="00115EEE" w:rsidRPr="003E4FAF" w:rsidRDefault="00115EEE" w:rsidP="00247DCC">
      <w:r w:rsidRPr="003E4FAF">
        <w:t>Tel: 1800 472 247</w:t>
      </w:r>
    </w:p>
    <w:p w14:paraId="5794DF5E" w14:textId="77777777" w:rsidR="00115EEE" w:rsidRPr="00925BA6" w:rsidRDefault="00115EEE" w:rsidP="00247DCC">
      <w:r w:rsidRPr="00925BA6">
        <w:rPr>
          <w:rStyle w:val="Strong"/>
        </w:rPr>
        <w:t>Services Australia</w:t>
      </w:r>
      <w:r w:rsidRPr="00925BA6">
        <w:t xml:space="preserve"> – Queries on instructions and guidance on support payment process - online registration systems (HPOS, PRODA and Organisation Register issues only).</w:t>
      </w:r>
    </w:p>
    <w:p w14:paraId="0237D75C" w14:textId="77777777" w:rsidR="00115EEE" w:rsidRPr="002D77CE" w:rsidRDefault="00115EEE" w:rsidP="00247DCC">
      <w:pPr>
        <w:rPr>
          <w:rStyle w:val="Hyperlink"/>
        </w:rPr>
      </w:pPr>
      <w:r w:rsidRPr="00925BA6">
        <w:t xml:space="preserve">If you require assistance with PRODA, you can contact PRODA Support on 1800 700 199 (option 1) 8am to 5pm AEST or email: </w:t>
      </w:r>
      <w:hyperlink r:id="rId35" w:history="1">
        <w:r w:rsidRPr="002D77CE">
          <w:rPr>
            <w:rStyle w:val="Hyperlink"/>
          </w:rPr>
          <w:t>proda@servicesaustralia.gov.au</w:t>
        </w:r>
      </w:hyperlink>
    </w:p>
    <w:p w14:paraId="43C618D9" w14:textId="77777777" w:rsidR="00115EEE" w:rsidRPr="00925BA6" w:rsidRDefault="00115EEE" w:rsidP="00247DCC">
      <w:r w:rsidRPr="00925BA6">
        <w:t xml:space="preserve">If you require assistance with the Organisation Register, you can contact Organisation Register support on:1800 222 032 or email: </w:t>
      </w:r>
      <w:hyperlink r:id="rId36" w:history="1">
        <w:r w:rsidRPr="00925BA6">
          <w:rPr>
            <w:rStyle w:val="Hyperlink"/>
          </w:rPr>
          <w:t>ORGANISATION.REGISTER@servicesaustralia.gov.au</w:t>
        </w:r>
      </w:hyperlink>
    </w:p>
    <w:p w14:paraId="159CED3C" w14:textId="77777777" w:rsidR="00115EEE" w:rsidRPr="00925BA6" w:rsidRDefault="00115EEE" w:rsidP="00247DCC">
      <w:r w:rsidRPr="00925BA6">
        <w:t xml:space="preserve">The department – Policy and implementation of the NCP framework: </w:t>
      </w:r>
      <w:hyperlink r:id="rId37" w:history="1">
        <w:r w:rsidRPr="00925BA6">
          <w:rPr>
            <w:rStyle w:val="Hyperlink"/>
          </w:rPr>
          <w:t>AGPTManagement@health.gov.au</w:t>
        </w:r>
      </w:hyperlink>
    </w:p>
    <w:p w14:paraId="000AE3A0" w14:textId="3CCB2D71" w:rsidR="00925BA6" w:rsidRPr="00925BA6" w:rsidRDefault="00925BA6" w:rsidP="00247DCC">
      <w:r w:rsidRPr="00925BA6">
        <w:br w:type="page"/>
      </w:r>
    </w:p>
    <w:p w14:paraId="0952AA25" w14:textId="614406A3" w:rsidR="004E07C0" w:rsidRPr="00925BA6" w:rsidRDefault="004E07C0" w:rsidP="00925BA6">
      <w:pPr>
        <w:pStyle w:val="Heading1"/>
      </w:pPr>
      <w:bookmarkStart w:id="77" w:name="_Toc211942169"/>
      <w:bookmarkStart w:id="78" w:name="_Toc212544625"/>
      <w:r w:rsidRPr="00925BA6">
        <w:lastRenderedPageBreak/>
        <w:t>Glossary</w:t>
      </w:r>
      <w:bookmarkEnd w:id="77"/>
      <w:bookmarkEnd w:id="78"/>
    </w:p>
    <w:tbl>
      <w:tblPr>
        <w:tblStyle w:val="TableGrid"/>
        <w:tblW w:w="8931" w:type="dxa"/>
        <w:tblLook w:val="04A0" w:firstRow="1" w:lastRow="0" w:firstColumn="1" w:lastColumn="0" w:noHBand="0" w:noVBand="1"/>
        <w:tblDescription w:val="Add Alt Text describing the content of the table"/>
      </w:tblPr>
      <w:tblGrid>
        <w:gridCol w:w="2127"/>
        <w:gridCol w:w="6804"/>
      </w:tblGrid>
      <w:tr w:rsidR="00D3278F" w:rsidRPr="00557D5A" w14:paraId="3AD72D12" w14:textId="77777777" w:rsidTr="00D3278F">
        <w:trPr>
          <w:cnfStyle w:val="100000000000" w:firstRow="1" w:lastRow="0" w:firstColumn="0" w:lastColumn="0" w:oddVBand="0" w:evenVBand="0" w:oddHBand="0" w:evenHBand="0" w:firstRowFirstColumn="0" w:firstRowLastColumn="0" w:lastRowFirstColumn="0" w:lastRowLastColumn="0"/>
          <w:tblHeader/>
        </w:trPr>
        <w:tc>
          <w:tcPr>
            <w:tcW w:w="2127" w:type="dxa"/>
          </w:tcPr>
          <w:p w14:paraId="15003D21" w14:textId="67577CCF" w:rsidR="00D3278F" w:rsidRPr="002D77CE" w:rsidRDefault="00D3278F" w:rsidP="002D77CE">
            <w:pPr>
              <w:pStyle w:val="Tabletextleft"/>
            </w:pPr>
            <w:r>
              <w:t>Acronyms</w:t>
            </w:r>
          </w:p>
        </w:tc>
        <w:tc>
          <w:tcPr>
            <w:tcW w:w="6804" w:type="dxa"/>
          </w:tcPr>
          <w:p w14:paraId="4535C519" w14:textId="3806F875" w:rsidR="00D3278F" w:rsidRPr="002D77CE" w:rsidRDefault="00D3278F" w:rsidP="002D77CE">
            <w:pPr>
              <w:pStyle w:val="Tabletextleft"/>
            </w:pPr>
            <w:r>
              <w:t>Descriptions</w:t>
            </w:r>
          </w:p>
        </w:tc>
      </w:tr>
      <w:tr w:rsidR="007D68DD" w:rsidRPr="00557D5A" w14:paraId="680E1FD7" w14:textId="77777777" w:rsidTr="00D3278F">
        <w:tc>
          <w:tcPr>
            <w:tcW w:w="2127" w:type="dxa"/>
          </w:tcPr>
          <w:p w14:paraId="3037FA80" w14:textId="5BADE645" w:rsidR="007D68DD" w:rsidRPr="002D77CE" w:rsidRDefault="007D68DD" w:rsidP="002D77CE">
            <w:pPr>
              <w:pStyle w:val="Tabletextleft"/>
            </w:pPr>
            <w:r w:rsidRPr="002D77CE">
              <w:t xml:space="preserve">3GA programs </w:t>
            </w:r>
          </w:p>
        </w:tc>
        <w:tc>
          <w:tcPr>
            <w:tcW w:w="6804" w:type="dxa"/>
          </w:tcPr>
          <w:p w14:paraId="6E91BD0A" w14:textId="0851A080" w:rsidR="007D68DD" w:rsidRPr="00B845E7" w:rsidRDefault="007D68DD" w:rsidP="002D77CE">
            <w:pPr>
              <w:pStyle w:val="Tabletextleft"/>
            </w:pPr>
            <w:r w:rsidRPr="002D77CE">
              <w:t xml:space="preserve">3GA programs are GP training programs for non-vocationally registered registrars who satisfy section </w:t>
            </w:r>
            <w:r w:rsidRPr="002D77CE">
              <w:rPr>
                <w:rStyle w:val="Emphasis"/>
              </w:rPr>
              <w:t>19AA of the Health Insurance Act 1973</w:t>
            </w:r>
            <w:r>
              <w:t xml:space="preserve">. </w:t>
            </w:r>
          </w:p>
        </w:tc>
      </w:tr>
      <w:tr w:rsidR="007D68DD" w:rsidRPr="00557D5A" w14:paraId="136004A5" w14:textId="77777777" w:rsidTr="00D3278F">
        <w:tc>
          <w:tcPr>
            <w:tcW w:w="2127" w:type="dxa"/>
          </w:tcPr>
          <w:p w14:paraId="4FB7446F" w14:textId="5FADBC64" w:rsidR="007D68DD" w:rsidRPr="002D77CE" w:rsidRDefault="007D68DD" w:rsidP="002D77CE">
            <w:pPr>
              <w:pStyle w:val="Tabletextleft"/>
            </w:pPr>
            <w:r w:rsidRPr="002D77CE">
              <w:t>ACCHS</w:t>
            </w:r>
          </w:p>
        </w:tc>
        <w:tc>
          <w:tcPr>
            <w:tcW w:w="6804" w:type="dxa"/>
          </w:tcPr>
          <w:p w14:paraId="6C264633" w14:textId="3E2E3186" w:rsidR="007D68DD" w:rsidRPr="00B845E7" w:rsidRDefault="007D68DD" w:rsidP="002D77CE">
            <w:pPr>
              <w:pStyle w:val="Tabletextleft"/>
            </w:pPr>
            <w:r w:rsidRPr="0002328D">
              <w:t>Aboriginal Community Controlled Health Services</w:t>
            </w:r>
          </w:p>
        </w:tc>
      </w:tr>
      <w:tr w:rsidR="007D68DD" w:rsidRPr="00557D5A" w14:paraId="6CB05515" w14:textId="77777777" w:rsidTr="00D3278F">
        <w:tc>
          <w:tcPr>
            <w:tcW w:w="2127" w:type="dxa"/>
          </w:tcPr>
          <w:p w14:paraId="659EF9FE" w14:textId="561600E4" w:rsidR="007D68DD" w:rsidRPr="002D77CE" w:rsidRDefault="007D68DD" w:rsidP="002D77CE">
            <w:pPr>
              <w:pStyle w:val="Tabletextleft"/>
            </w:pPr>
            <w:r w:rsidRPr="002D77CE">
              <w:t>ACRRM</w:t>
            </w:r>
          </w:p>
        </w:tc>
        <w:tc>
          <w:tcPr>
            <w:tcW w:w="6804" w:type="dxa"/>
          </w:tcPr>
          <w:p w14:paraId="7B5AFD32" w14:textId="4CB3F34D" w:rsidR="007D68DD" w:rsidRPr="00B845E7" w:rsidRDefault="007D68DD" w:rsidP="002D77CE">
            <w:pPr>
              <w:pStyle w:val="Tabletextleft"/>
            </w:pPr>
            <w:r w:rsidRPr="0002328D">
              <w:t>Australian College of Rural and Remote Medicine</w:t>
            </w:r>
          </w:p>
        </w:tc>
      </w:tr>
      <w:tr w:rsidR="007D68DD" w:rsidRPr="00557D5A" w14:paraId="150E3E68" w14:textId="77777777" w:rsidTr="00D3278F">
        <w:tc>
          <w:tcPr>
            <w:tcW w:w="2127" w:type="dxa"/>
          </w:tcPr>
          <w:p w14:paraId="513E792F" w14:textId="7045B7EF" w:rsidR="007D68DD" w:rsidRPr="002D77CE" w:rsidRDefault="007D68DD" w:rsidP="002D77CE">
            <w:pPr>
              <w:pStyle w:val="Tabletextleft"/>
            </w:pPr>
            <w:r w:rsidRPr="002D77CE">
              <w:t>ACRRM Leave</w:t>
            </w:r>
          </w:p>
        </w:tc>
        <w:tc>
          <w:tcPr>
            <w:tcW w:w="6804" w:type="dxa"/>
          </w:tcPr>
          <w:p w14:paraId="64BBD604" w14:textId="5FD03B15" w:rsidR="007D68DD" w:rsidRPr="00B845E7" w:rsidRDefault="007D68DD" w:rsidP="002D77CE">
            <w:pPr>
              <w:pStyle w:val="Tabletextleft"/>
            </w:pPr>
            <w:hyperlink r:id="rId38" w:history="1">
              <w:r w:rsidRPr="0002328D">
                <w:rPr>
                  <w:rStyle w:val="Hyperlink"/>
                </w:rPr>
                <w:t>Leave from Training Policy (acrrm.org.au)</w:t>
              </w:r>
            </w:hyperlink>
          </w:p>
        </w:tc>
      </w:tr>
      <w:tr w:rsidR="007D68DD" w:rsidRPr="00557D5A" w14:paraId="3BF29D8D" w14:textId="77777777" w:rsidTr="00D3278F">
        <w:tc>
          <w:tcPr>
            <w:tcW w:w="2127" w:type="dxa"/>
          </w:tcPr>
          <w:p w14:paraId="5E7CE549" w14:textId="4DE0C038" w:rsidR="007D68DD" w:rsidRPr="002D77CE" w:rsidRDefault="007D68DD" w:rsidP="002D77CE">
            <w:pPr>
              <w:pStyle w:val="Tabletextleft"/>
            </w:pPr>
            <w:r w:rsidRPr="002D77CE">
              <w:t>AGPT</w:t>
            </w:r>
          </w:p>
        </w:tc>
        <w:tc>
          <w:tcPr>
            <w:tcW w:w="6804" w:type="dxa"/>
          </w:tcPr>
          <w:p w14:paraId="787502A0" w14:textId="6B810AE4" w:rsidR="007D68DD" w:rsidRPr="00B845E7" w:rsidRDefault="007D68DD" w:rsidP="002D77CE">
            <w:pPr>
              <w:pStyle w:val="Tabletextleft"/>
            </w:pPr>
            <w:r w:rsidRPr="0002328D">
              <w:t>Australian General Practice Training program</w:t>
            </w:r>
          </w:p>
        </w:tc>
      </w:tr>
      <w:tr w:rsidR="007D68DD" w:rsidRPr="00557D5A" w14:paraId="33AF8D7E" w14:textId="77777777" w:rsidTr="00D3278F">
        <w:tc>
          <w:tcPr>
            <w:tcW w:w="2127" w:type="dxa"/>
          </w:tcPr>
          <w:p w14:paraId="6592F393" w14:textId="1CDE2DE5" w:rsidR="007D68DD" w:rsidRPr="002D77CE" w:rsidRDefault="007D68DD" w:rsidP="002D77CE">
            <w:pPr>
              <w:pStyle w:val="Tabletextleft"/>
            </w:pPr>
            <w:r w:rsidRPr="002D77CE">
              <w:t>AMS</w:t>
            </w:r>
          </w:p>
        </w:tc>
        <w:tc>
          <w:tcPr>
            <w:tcW w:w="6804" w:type="dxa"/>
          </w:tcPr>
          <w:p w14:paraId="519747EF" w14:textId="3EF82731" w:rsidR="007D68DD" w:rsidRPr="00B845E7" w:rsidRDefault="007D68DD" w:rsidP="002D77CE">
            <w:pPr>
              <w:pStyle w:val="Tabletextleft"/>
            </w:pPr>
            <w:r w:rsidRPr="0002328D">
              <w:t>Aboriginal Medical Service</w:t>
            </w:r>
          </w:p>
        </w:tc>
      </w:tr>
      <w:tr w:rsidR="007D68DD" w:rsidRPr="00557D5A" w14:paraId="120E41AE" w14:textId="77777777" w:rsidTr="00D3278F">
        <w:tc>
          <w:tcPr>
            <w:tcW w:w="2127" w:type="dxa"/>
          </w:tcPr>
          <w:p w14:paraId="7870F879" w14:textId="301DA8D8" w:rsidR="007D68DD" w:rsidRPr="002D77CE" w:rsidRDefault="007D68DD" w:rsidP="002D77CE">
            <w:pPr>
              <w:pStyle w:val="Tabletextleft"/>
            </w:pPr>
            <w:r w:rsidRPr="002D77CE">
              <w:t>ARST</w:t>
            </w:r>
          </w:p>
        </w:tc>
        <w:tc>
          <w:tcPr>
            <w:tcW w:w="6804" w:type="dxa"/>
          </w:tcPr>
          <w:p w14:paraId="20F92BB3" w14:textId="352F87FC" w:rsidR="007D68DD" w:rsidRPr="00B845E7" w:rsidRDefault="007D68DD" w:rsidP="002D77CE">
            <w:pPr>
              <w:pStyle w:val="Tabletextleft"/>
            </w:pPr>
            <w:r w:rsidRPr="0002328D">
              <w:t xml:space="preserve">Additional Rural Skills Training – final year in an approved training post comprising 52 weeks FTE on the Rural Generalist pathway through RACGP. </w:t>
            </w:r>
          </w:p>
        </w:tc>
      </w:tr>
      <w:tr w:rsidR="007D68DD" w:rsidRPr="00557D5A" w14:paraId="0B298B5D" w14:textId="77777777" w:rsidTr="00D3278F">
        <w:tc>
          <w:tcPr>
            <w:tcW w:w="2127" w:type="dxa"/>
          </w:tcPr>
          <w:p w14:paraId="47FA66E9" w14:textId="0FE005A0" w:rsidR="007D68DD" w:rsidRPr="002D77CE" w:rsidRDefault="007D68DD" w:rsidP="002D77CE">
            <w:pPr>
              <w:pStyle w:val="Tabletextleft"/>
            </w:pPr>
            <w:r w:rsidRPr="002D77CE">
              <w:t>AST</w:t>
            </w:r>
          </w:p>
        </w:tc>
        <w:tc>
          <w:tcPr>
            <w:tcW w:w="6804" w:type="dxa"/>
          </w:tcPr>
          <w:p w14:paraId="6C4AC30C" w14:textId="00299B11" w:rsidR="007D68DD" w:rsidRPr="00B845E7" w:rsidRDefault="007D68DD" w:rsidP="002D77CE">
            <w:pPr>
              <w:pStyle w:val="Tabletextleft"/>
            </w:pPr>
            <w:r w:rsidRPr="0002328D">
              <w:t xml:space="preserve">Advanced Specialised Training – refers to an approved training post comprising 52 weeks FTE on the Rural Generalist pathway through ACRRM. </w:t>
            </w:r>
          </w:p>
        </w:tc>
      </w:tr>
      <w:tr w:rsidR="007D68DD" w:rsidRPr="00557D5A" w14:paraId="7C2CBBEA" w14:textId="77777777" w:rsidTr="00D3278F">
        <w:tc>
          <w:tcPr>
            <w:tcW w:w="2127" w:type="dxa"/>
          </w:tcPr>
          <w:p w14:paraId="53D426C1" w14:textId="31821E91" w:rsidR="007D68DD" w:rsidRPr="002D77CE" w:rsidRDefault="007D68DD" w:rsidP="002D77CE">
            <w:pPr>
              <w:pStyle w:val="Tabletextleft"/>
            </w:pPr>
            <w:r w:rsidRPr="002D77CE">
              <w:t>CGT</w:t>
            </w:r>
          </w:p>
        </w:tc>
        <w:tc>
          <w:tcPr>
            <w:tcW w:w="6804" w:type="dxa"/>
          </w:tcPr>
          <w:p w14:paraId="0CDFAE41" w14:textId="65B39CC4" w:rsidR="007D68DD" w:rsidRPr="00B845E7" w:rsidRDefault="007D68DD" w:rsidP="002D77CE">
            <w:pPr>
              <w:pStyle w:val="Tabletextleft"/>
            </w:pPr>
            <w:r w:rsidRPr="0002328D">
              <w:t>Core Generalist Training</w:t>
            </w:r>
          </w:p>
        </w:tc>
      </w:tr>
      <w:tr w:rsidR="007D68DD" w:rsidRPr="00557D5A" w14:paraId="066A8F6C" w14:textId="77777777" w:rsidTr="00D3278F">
        <w:tc>
          <w:tcPr>
            <w:tcW w:w="2127" w:type="dxa"/>
          </w:tcPr>
          <w:p w14:paraId="5B320B13" w14:textId="1AB2B321" w:rsidR="007D68DD" w:rsidRPr="002D77CE" w:rsidRDefault="007D68DD" w:rsidP="002D77CE">
            <w:pPr>
              <w:pStyle w:val="Tabletextleft"/>
            </w:pPr>
            <w:r w:rsidRPr="002D77CE">
              <w:t>Core training term</w:t>
            </w:r>
          </w:p>
        </w:tc>
        <w:tc>
          <w:tcPr>
            <w:tcW w:w="6804" w:type="dxa"/>
          </w:tcPr>
          <w:p w14:paraId="037200C4" w14:textId="77777777" w:rsidR="007D68DD" w:rsidRPr="006B2B1B" w:rsidRDefault="007D68DD" w:rsidP="00925BA6">
            <w:pPr>
              <w:pStyle w:val="Tabletextleft"/>
            </w:pPr>
            <w:r w:rsidRPr="006B2B1B">
              <w:t xml:space="preserve">Training terms refers to the core training terms for each GP college and the RVTS as follows: </w:t>
            </w:r>
          </w:p>
          <w:p w14:paraId="47940471" w14:textId="77777777" w:rsidR="007D68DD" w:rsidRPr="006B2B1B" w:rsidRDefault="007D68DD" w:rsidP="00925BA6">
            <w:pPr>
              <w:pStyle w:val="Tabletextleft"/>
            </w:pPr>
            <w:r w:rsidRPr="006B2B1B">
              <w:t xml:space="preserve">ACRRM (Unit Type): CGT1, CGT2, CGT3, CGT4, </w:t>
            </w:r>
          </w:p>
          <w:p w14:paraId="147B4775" w14:textId="77777777" w:rsidR="007D68DD" w:rsidRPr="006B2B1B" w:rsidRDefault="007D68DD" w:rsidP="00925BA6">
            <w:pPr>
              <w:pStyle w:val="Tabletextleft"/>
            </w:pPr>
            <w:r w:rsidRPr="006B2B1B">
              <w:t>ACCRM (Sub-type): PCT1, PCT2, PCT3</w:t>
            </w:r>
          </w:p>
          <w:p w14:paraId="58711644" w14:textId="77777777" w:rsidR="007D68DD" w:rsidRPr="006B2B1B" w:rsidRDefault="007D68DD" w:rsidP="00925BA6">
            <w:pPr>
              <w:pStyle w:val="Tabletextleft"/>
            </w:pPr>
            <w:r w:rsidRPr="00A52F13">
              <w:t>RACGP: GPT1, GPT2, GPT3, ES/GPT4</w:t>
            </w:r>
            <w:r w:rsidRPr="00A52F13" w:rsidDel="006B2B1B">
              <w:t xml:space="preserve"> </w:t>
            </w:r>
          </w:p>
          <w:p w14:paraId="0570027A" w14:textId="77777777" w:rsidR="007D68DD" w:rsidRPr="006B2B1B" w:rsidRDefault="007D68DD" w:rsidP="00925BA6">
            <w:pPr>
              <w:pStyle w:val="Tabletextleft"/>
            </w:pPr>
            <w:r w:rsidRPr="006B2B1B">
              <w:t>RVTS: RVTS1, RVTS2, RVTS3</w:t>
            </w:r>
          </w:p>
          <w:p w14:paraId="351BB8A5" w14:textId="77777777" w:rsidR="007D68DD" w:rsidRDefault="007D68DD" w:rsidP="00925BA6">
            <w:pPr>
              <w:pStyle w:val="Tabletextleft"/>
            </w:pPr>
            <w:r w:rsidRPr="006B2B1B">
              <w:t>The core GP college training terms (CGT1-CGT4), (subtype) PCT1-PCT3, GPT1-GPT3, ES/GPT4) are 26 FTE weeks each.</w:t>
            </w:r>
          </w:p>
          <w:p w14:paraId="03875FDF" w14:textId="54F2DE5E" w:rsidR="007D68DD" w:rsidRPr="006B2B1B" w:rsidRDefault="007D68DD" w:rsidP="00925BA6">
            <w:pPr>
              <w:pStyle w:val="Tabletextleft"/>
            </w:pPr>
            <w:r>
              <w:t xml:space="preserve">Refer to </w:t>
            </w:r>
            <w:hyperlink w:anchor="_Appendix" w:history="1">
              <w:r w:rsidRPr="00925BA6">
                <w:rPr>
                  <w:rStyle w:val="Hyperlink"/>
                </w:rPr>
                <w:t>Appendix A</w:t>
              </w:r>
            </w:hyperlink>
            <w:r>
              <w:t xml:space="preserve"> for more information about training terms. </w:t>
            </w:r>
          </w:p>
          <w:p w14:paraId="29DFB68A" w14:textId="7B759DE3" w:rsidR="007D68DD" w:rsidRPr="00B845E7" w:rsidRDefault="007D68DD" w:rsidP="002D77CE">
            <w:pPr>
              <w:pStyle w:val="Tabletextleft"/>
            </w:pPr>
            <w:r w:rsidRPr="0002328D">
              <w:t>The core training terms for RVTS are usually 52 weeks. RVTS registrars can undertake an additional 52 weeks of core vocation training through an AST or ARST term.</w:t>
            </w:r>
          </w:p>
        </w:tc>
      </w:tr>
      <w:tr w:rsidR="007D68DD" w:rsidRPr="00557D5A" w14:paraId="5F6DB46E" w14:textId="77777777" w:rsidTr="00D3278F">
        <w:tc>
          <w:tcPr>
            <w:tcW w:w="2127" w:type="dxa"/>
          </w:tcPr>
          <w:p w14:paraId="410CDA0E" w14:textId="5D78C66A" w:rsidR="007D68DD" w:rsidRPr="002D77CE" w:rsidRDefault="007D68DD" w:rsidP="002D77CE">
            <w:pPr>
              <w:pStyle w:val="Tabletextleft"/>
            </w:pPr>
            <w:r w:rsidRPr="002D77CE">
              <w:t>ES</w:t>
            </w:r>
          </w:p>
        </w:tc>
        <w:tc>
          <w:tcPr>
            <w:tcW w:w="6804" w:type="dxa"/>
          </w:tcPr>
          <w:p w14:paraId="2516314A" w14:textId="03DAE2D2" w:rsidR="007D68DD" w:rsidRPr="00B845E7" w:rsidRDefault="007D68DD" w:rsidP="002D77CE">
            <w:pPr>
              <w:pStyle w:val="Tabletextleft"/>
            </w:pPr>
            <w:r w:rsidRPr="0002328D">
              <w:t>Extended Skills</w:t>
            </w:r>
          </w:p>
        </w:tc>
      </w:tr>
      <w:tr w:rsidR="007D68DD" w:rsidRPr="00557D5A" w14:paraId="287E0CE1" w14:textId="77777777" w:rsidTr="00D3278F">
        <w:tc>
          <w:tcPr>
            <w:tcW w:w="2127" w:type="dxa"/>
          </w:tcPr>
          <w:p w14:paraId="620E9F12" w14:textId="48D6E4A6" w:rsidR="007D68DD" w:rsidRPr="002D77CE" w:rsidRDefault="007D68DD" w:rsidP="002D77CE">
            <w:pPr>
              <w:pStyle w:val="Tabletextleft"/>
            </w:pPr>
            <w:r w:rsidRPr="002D77CE">
              <w:t>FTE</w:t>
            </w:r>
          </w:p>
        </w:tc>
        <w:tc>
          <w:tcPr>
            <w:tcW w:w="6804" w:type="dxa"/>
          </w:tcPr>
          <w:p w14:paraId="65F94FFA" w14:textId="02C68642" w:rsidR="007D68DD" w:rsidRPr="00B845E7" w:rsidRDefault="007D68DD" w:rsidP="002D77CE">
            <w:pPr>
              <w:pStyle w:val="Tabletextleft"/>
            </w:pPr>
            <w:r w:rsidRPr="0002328D">
              <w:t>Full-Time Equivalent. 1 FTE week = 38 hours, and 26 weeks per term</w:t>
            </w:r>
            <w:r>
              <w:t>.</w:t>
            </w:r>
          </w:p>
        </w:tc>
      </w:tr>
      <w:tr w:rsidR="007D68DD" w:rsidRPr="00557D5A" w14:paraId="1974DED8" w14:textId="77777777" w:rsidTr="00D3278F">
        <w:tc>
          <w:tcPr>
            <w:tcW w:w="2127" w:type="dxa"/>
          </w:tcPr>
          <w:p w14:paraId="06C0CC2A" w14:textId="04E94C10" w:rsidR="007D68DD" w:rsidRPr="002D77CE" w:rsidRDefault="007D68DD" w:rsidP="002D77CE">
            <w:pPr>
              <w:pStyle w:val="Tabletextleft"/>
            </w:pPr>
            <w:r w:rsidRPr="002D77CE">
              <w:t>Full time registrar</w:t>
            </w:r>
          </w:p>
        </w:tc>
        <w:tc>
          <w:tcPr>
            <w:tcW w:w="6804" w:type="dxa"/>
          </w:tcPr>
          <w:p w14:paraId="2D65121E" w14:textId="774B23CE" w:rsidR="007D68DD" w:rsidRPr="00B845E7" w:rsidRDefault="007D68DD" w:rsidP="002D77CE">
            <w:pPr>
              <w:pStyle w:val="Tabletextleft"/>
            </w:pPr>
            <w:r w:rsidRPr="0002328D">
              <w:t xml:space="preserve">Undertaking 38 hours of training per week </w:t>
            </w:r>
          </w:p>
        </w:tc>
      </w:tr>
      <w:tr w:rsidR="007D68DD" w:rsidRPr="00557D5A" w14:paraId="38E006C0" w14:textId="77777777" w:rsidTr="00D3278F">
        <w:tc>
          <w:tcPr>
            <w:tcW w:w="2127" w:type="dxa"/>
          </w:tcPr>
          <w:p w14:paraId="3395C50F" w14:textId="3BBFFD09" w:rsidR="007D68DD" w:rsidRPr="002D77CE" w:rsidRDefault="007D68DD" w:rsidP="002D77CE">
            <w:pPr>
              <w:pStyle w:val="Tabletextleft"/>
            </w:pPr>
            <w:r w:rsidRPr="002D77CE">
              <w:t>GPT</w:t>
            </w:r>
          </w:p>
        </w:tc>
        <w:tc>
          <w:tcPr>
            <w:tcW w:w="6804" w:type="dxa"/>
          </w:tcPr>
          <w:p w14:paraId="13B599F5" w14:textId="7332E849" w:rsidR="007D68DD" w:rsidRPr="00B845E7" w:rsidRDefault="007D68DD" w:rsidP="002D77CE">
            <w:pPr>
              <w:pStyle w:val="Tabletextleft"/>
            </w:pPr>
            <w:r w:rsidRPr="0002328D">
              <w:t>General Practice Training</w:t>
            </w:r>
            <w:r>
              <w:t>, starts at the second year of training</w:t>
            </w:r>
          </w:p>
        </w:tc>
      </w:tr>
      <w:tr w:rsidR="007D68DD" w:rsidRPr="00557D5A" w14:paraId="0870B4AD" w14:textId="77777777" w:rsidTr="00D3278F">
        <w:tc>
          <w:tcPr>
            <w:tcW w:w="2127" w:type="dxa"/>
          </w:tcPr>
          <w:p w14:paraId="056FB6D1" w14:textId="1CA771D4" w:rsidR="007D68DD" w:rsidRPr="002D77CE" w:rsidRDefault="007D68DD" w:rsidP="002D77CE">
            <w:pPr>
              <w:pStyle w:val="Tabletextleft"/>
            </w:pPr>
            <w:r w:rsidRPr="002D77CE">
              <w:t>GPTP</w:t>
            </w:r>
          </w:p>
        </w:tc>
        <w:tc>
          <w:tcPr>
            <w:tcW w:w="6804" w:type="dxa"/>
          </w:tcPr>
          <w:p w14:paraId="29C512D8" w14:textId="00E23C9E" w:rsidR="007D68DD" w:rsidRPr="00B845E7" w:rsidRDefault="007D68DD" w:rsidP="002D77CE">
            <w:pPr>
              <w:pStyle w:val="Tabletextleft"/>
            </w:pPr>
            <w:r w:rsidRPr="0002328D">
              <w:t>General Practice Training Payment – Services Australia refers to NCP as GPTP</w:t>
            </w:r>
          </w:p>
        </w:tc>
      </w:tr>
      <w:tr w:rsidR="007D68DD" w:rsidRPr="00557D5A" w14:paraId="1B0ABA3E" w14:textId="77777777" w:rsidTr="00D3278F">
        <w:tc>
          <w:tcPr>
            <w:tcW w:w="2127" w:type="dxa"/>
          </w:tcPr>
          <w:p w14:paraId="66CFF9E8" w14:textId="57F471AB" w:rsidR="007D68DD" w:rsidRPr="002D77CE" w:rsidRDefault="007D68DD" w:rsidP="002D77CE">
            <w:pPr>
              <w:pStyle w:val="Tabletextleft"/>
            </w:pPr>
            <w:r w:rsidRPr="002D77CE">
              <w:t>The department</w:t>
            </w:r>
          </w:p>
        </w:tc>
        <w:tc>
          <w:tcPr>
            <w:tcW w:w="6804" w:type="dxa"/>
          </w:tcPr>
          <w:p w14:paraId="53B327CD" w14:textId="07D523F7" w:rsidR="007D68DD" w:rsidRPr="00B845E7" w:rsidRDefault="007D68DD" w:rsidP="002D77CE">
            <w:pPr>
              <w:pStyle w:val="Tabletextleft"/>
            </w:pPr>
            <w:r w:rsidRPr="0002328D">
              <w:t>Australian Government Department of Health, Disability and Ageing</w:t>
            </w:r>
          </w:p>
        </w:tc>
      </w:tr>
      <w:tr w:rsidR="007D68DD" w:rsidRPr="00557D5A" w14:paraId="48AD3111" w14:textId="77777777" w:rsidTr="00D3278F">
        <w:tc>
          <w:tcPr>
            <w:tcW w:w="2127" w:type="dxa"/>
          </w:tcPr>
          <w:p w14:paraId="26200281" w14:textId="79B4AD7C" w:rsidR="007D68DD" w:rsidRPr="002D77CE" w:rsidRDefault="007D68DD" w:rsidP="002D77CE">
            <w:pPr>
              <w:pStyle w:val="Tabletextleft"/>
            </w:pPr>
            <w:r w:rsidRPr="002D77CE">
              <w:t>HPOS</w:t>
            </w:r>
          </w:p>
        </w:tc>
        <w:tc>
          <w:tcPr>
            <w:tcW w:w="6804" w:type="dxa"/>
          </w:tcPr>
          <w:p w14:paraId="350CD752" w14:textId="2BA6FA8C" w:rsidR="007D68DD" w:rsidRPr="00B845E7" w:rsidRDefault="007D68DD" w:rsidP="002D77CE">
            <w:pPr>
              <w:pStyle w:val="Tabletextleft"/>
            </w:pPr>
            <w:r w:rsidRPr="0002328D">
              <w:t>Health Professional Online Services - an online system where medical practitioners can do business online with Services Australia. Most changes made through HPOS are effective immediately.</w:t>
            </w:r>
          </w:p>
        </w:tc>
      </w:tr>
      <w:tr w:rsidR="007D68DD" w:rsidRPr="00557D5A" w14:paraId="703B880B" w14:textId="77777777" w:rsidTr="00D3278F">
        <w:tc>
          <w:tcPr>
            <w:tcW w:w="2127" w:type="dxa"/>
          </w:tcPr>
          <w:p w14:paraId="37402F92" w14:textId="0C3D2DBB" w:rsidR="007D68DD" w:rsidRPr="002D77CE" w:rsidRDefault="007D68DD" w:rsidP="002D77CE">
            <w:pPr>
              <w:pStyle w:val="Tabletextleft"/>
            </w:pPr>
            <w:r w:rsidRPr="002D77CE">
              <w:t>Indexation</w:t>
            </w:r>
          </w:p>
        </w:tc>
        <w:tc>
          <w:tcPr>
            <w:tcW w:w="6804" w:type="dxa"/>
          </w:tcPr>
          <w:p w14:paraId="346DB813" w14:textId="6025DAB7" w:rsidR="007D68DD" w:rsidRPr="00B845E7" w:rsidRDefault="007D68DD" w:rsidP="002D77CE">
            <w:pPr>
              <w:pStyle w:val="Tabletextleft"/>
            </w:pPr>
            <w:r w:rsidRPr="0002328D">
              <w:t>From semester one, 2026, indexation is applied to existing NCP’s (Supervisors, Practices, including Salary Support and Registrars payments). Indexation will be updated annually using the WCI1 rate based on advice from the department’s internal Finance Business team.</w:t>
            </w:r>
          </w:p>
        </w:tc>
      </w:tr>
      <w:tr w:rsidR="007D68DD" w:rsidRPr="00557D5A" w14:paraId="579FD9C0" w14:textId="77777777" w:rsidTr="00D3278F">
        <w:tc>
          <w:tcPr>
            <w:tcW w:w="2127" w:type="dxa"/>
          </w:tcPr>
          <w:p w14:paraId="36DEF15A" w14:textId="0D7D1D47" w:rsidR="007D68DD" w:rsidRPr="002D77CE" w:rsidRDefault="007D68DD" w:rsidP="002D77CE">
            <w:pPr>
              <w:pStyle w:val="Tabletextleft"/>
            </w:pPr>
            <w:r w:rsidRPr="002D77CE">
              <w:t>Mandatory Elective Unit</w:t>
            </w:r>
          </w:p>
        </w:tc>
        <w:tc>
          <w:tcPr>
            <w:tcW w:w="6804" w:type="dxa"/>
          </w:tcPr>
          <w:p w14:paraId="21DDDE24" w14:textId="0200EA2A" w:rsidR="007D68DD" w:rsidRPr="00B845E7" w:rsidRDefault="007D68DD" w:rsidP="002D77CE">
            <w:pPr>
              <w:pStyle w:val="Tabletextleft"/>
            </w:pPr>
            <w:r w:rsidRPr="00765A23">
              <w:t xml:space="preserve">A Mandatory </w:t>
            </w:r>
            <w:r>
              <w:t>El</w:t>
            </w:r>
            <w:r w:rsidRPr="00765A23">
              <w:t xml:space="preserve">ective </w:t>
            </w:r>
            <w:r>
              <w:t>U</w:t>
            </w:r>
            <w:r w:rsidRPr="00765A23">
              <w:t xml:space="preserve">nit is an extra period training for registrars who have completed the required 52 weeks of </w:t>
            </w:r>
            <w:r>
              <w:t>m</w:t>
            </w:r>
            <w:r w:rsidRPr="00765A23">
              <w:t xml:space="preserve">andatory hospital placement </w:t>
            </w:r>
            <w:r w:rsidRPr="00765A23">
              <w:lastRenderedPageBreak/>
              <w:t>at a level of PGY2 or above but have not met the minimum requirements of the training provider's Hospital Training Term.</w:t>
            </w:r>
          </w:p>
        </w:tc>
      </w:tr>
      <w:tr w:rsidR="007D68DD" w:rsidRPr="00557D5A" w14:paraId="3D6A9DFA" w14:textId="77777777" w:rsidTr="00D3278F">
        <w:tc>
          <w:tcPr>
            <w:tcW w:w="2127" w:type="dxa"/>
          </w:tcPr>
          <w:p w14:paraId="2A719050" w14:textId="193712B9" w:rsidR="007D68DD" w:rsidRPr="002D77CE" w:rsidRDefault="007D68DD" w:rsidP="002D77CE">
            <w:pPr>
              <w:pStyle w:val="Tabletextleft"/>
            </w:pPr>
            <w:r w:rsidRPr="002D77CE">
              <w:lastRenderedPageBreak/>
              <w:t>MM</w:t>
            </w:r>
          </w:p>
        </w:tc>
        <w:tc>
          <w:tcPr>
            <w:tcW w:w="6804" w:type="dxa"/>
          </w:tcPr>
          <w:p w14:paraId="61BA26AD" w14:textId="5CC9D935" w:rsidR="007D68DD" w:rsidRPr="00B845E7" w:rsidRDefault="007D68DD" w:rsidP="002D77CE">
            <w:pPr>
              <w:pStyle w:val="Tabletextleft"/>
            </w:pPr>
            <w:r w:rsidRPr="002D77CE">
              <w:t xml:space="preserve">Modified Monash (MM) model is a classification system that categorises metropolitan, regional, rural and remote areas according to both geographical remoteness and population size. The system was developed to recognise the challenges in attracting health workers to regional, rural and remote areas. Categories are: MM1 metropolitan areas; MM2 regional centres; MM3 large rural towns; MM4 medium rural towns; MM5 small rural towns; MM6 remote communities; MM7 very remote communities. For more information please visit: </w:t>
            </w:r>
            <w:hyperlink r:id="rId39" w:history="1">
              <w:r w:rsidRPr="0002328D">
                <w:rPr>
                  <w:rStyle w:val="Hyperlink"/>
                </w:rPr>
                <w:t>www.health.gov.au/topics/rural-health-workforce/classifications/mmm</w:t>
              </w:r>
            </w:hyperlink>
            <w:r w:rsidRPr="0002328D">
              <w:t>.</w:t>
            </w:r>
          </w:p>
        </w:tc>
      </w:tr>
      <w:tr w:rsidR="007D68DD" w:rsidRPr="00557D5A" w14:paraId="33727C2F" w14:textId="77777777" w:rsidTr="00D3278F">
        <w:tc>
          <w:tcPr>
            <w:tcW w:w="2127" w:type="dxa"/>
          </w:tcPr>
          <w:p w14:paraId="3E3B6593" w14:textId="524D5DE7" w:rsidR="007D68DD" w:rsidRPr="002D77CE" w:rsidRDefault="007D68DD" w:rsidP="002D77CE">
            <w:pPr>
              <w:pStyle w:val="Tabletextleft"/>
            </w:pPr>
            <w:r w:rsidRPr="002D77CE">
              <w:t>MPN</w:t>
            </w:r>
          </w:p>
        </w:tc>
        <w:tc>
          <w:tcPr>
            <w:tcW w:w="6804" w:type="dxa"/>
          </w:tcPr>
          <w:p w14:paraId="07B48582" w14:textId="26ACE1D3" w:rsidR="007D68DD" w:rsidRPr="00B845E7" w:rsidRDefault="007D68DD" w:rsidP="002D77CE">
            <w:pPr>
              <w:pStyle w:val="Tabletextleft"/>
            </w:pPr>
            <w:r w:rsidRPr="0002328D">
              <w:t>Medicare Provider Number - uniquely identifies a medical practitioner and the practice location from which they perform professional services. MPNs are issued by Services Australia.</w:t>
            </w:r>
          </w:p>
        </w:tc>
      </w:tr>
      <w:tr w:rsidR="007D68DD" w:rsidRPr="00557D5A" w14:paraId="6187A096" w14:textId="77777777" w:rsidTr="00D3278F">
        <w:tc>
          <w:tcPr>
            <w:tcW w:w="2127" w:type="dxa"/>
          </w:tcPr>
          <w:p w14:paraId="4A12D424" w14:textId="6D81B309" w:rsidR="007D68DD" w:rsidRPr="002D77CE" w:rsidRDefault="007D68DD" w:rsidP="002D77CE">
            <w:pPr>
              <w:pStyle w:val="Tabletextleft"/>
            </w:pPr>
            <w:r w:rsidRPr="002D77CE">
              <w:t>NCP</w:t>
            </w:r>
          </w:p>
        </w:tc>
        <w:tc>
          <w:tcPr>
            <w:tcW w:w="6804" w:type="dxa"/>
          </w:tcPr>
          <w:p w14:paraId="4F614457" w14:textId="596B14FF" w:rsidR="007D68DD" w:rsidRPr="00B845E7" w:rsidRDefault="007D68DD" w:rsidP="002D77CE">
            <w:pPr>
              <w:pStyle w:val="Tabletextleft"/>
            </w:pPr>
            <w:r w:rsidRPr="0002328D">
              <w:t>National Consistent Payments</w:t>
            </w:r>
          </w:p>
        </w:tc>
      </w:tr>
      <w:tr w:rsidR="007D68DD" w:rsidRPr="00557D5A" w14:paraId="69787990" w14:textId="77777777" w:rsidTr="00D3278F">
        <w:tc>
          <w:tcPr>
            <w:tcW w:w="2127" w:type="dxa"/>
          </w:tcPr>
          <w:p w14:paraId="2B28724F" w14:textId="4149EDD4" w:rsidR="007D68DD" w:rsidRPr="002D77CE" w:rsidRDefault="007D68DD" w:rsidP="002D77CE">
            <w:pPr>
              <w:pStyle w:val="Tabletextleft"/>
            </w:pPr>
            <w:r w:rsidRPr="002D77CE">
              <w:t>Part-time registrar</w:t>
            </w:r>
          </w:p>
        </w:tc>
        <w:tc>
          <w:tcPr>
            <w:tcW w:w="6804" w:type="dxa"/>
          </w:tcPr>
          <w:p w14:paraId="49B6160B" w14:textId="41573B33" w:rsidR="007D68DD" w:rsidRPr="00B845E7" w:rsidRDefault="007D68DD" w:rsidP="002D77CE">
            <w:pPr>
              <w:pStyle w:val="Tabletextleft"/>
            </w:pPr>
            <w:r w:rsidRPr="0002328D">
              <w:t>Undertaking less than 38 hours of training per week and/or 26 full time weeks in a semester. Part-time registrars generally receive pro-rata entitlements, based on the number of hours worked.</w:t>
            </w:r>
          </w:p>
        </w:tc>
      </w:tr>
      <w:tr w:rsidR="007D68DD" w:rsidRPr="00557D5A" w14:paraId="0B3B053A" w14:textId="77777777" w:rsidTr="00D3278F">
        <w:tc>
          <w:tcPr>
            <w:tcW w:w="2127" w:type="dxa"/>
          </w:tcPr>
          <w:p w14:paraId="4DDC73C9" w14:textId="3597BD75" w:rsidR="007D68DD" w:rsidRPr="002D77CE" w:rsidRDefault="007D68DD" w:rsidP="002D77CE">
            <w:pPr>
              <w:pStyle w:val="Tabletextleft"/>
            </w:pPr>
            <w:r w:rsidRPr="002D77CE">
              <w:t>PCT</w:t>
            </w:r>
          </w:p>
        </w:tc>
        <w:tc>
          <w:tcPr>
            <w:tcW w:w="6804" w:type="dxa"/>
          </w:tcPr>
          <w:p w14:paraId="167B73B6" w14:textId="77777777" w:rsidR="007D68DD" w:rsidRPr="006B2B1B" w:rsidRDefault="007D68DD" w:rsidP="00925BA6">
            <w:pPr>
              <w:pStyle w:val="Tabletextleft"/>
            </w:pPr>
            <w:r w:rsidRPr="006B2B1B">
              <w:t>ACRRM Subtype Primary Care Training</w:t>
            </w:r>
          </w:p>
          <w:p w14:paraId="1912CA09" w14:textId="77777777" w:rsidR="007D68DD" w:rsidRPr="006B2B1B" w:rsidRDefault="007D68DD" w:rsidP="00925BA6">
            <w:pPr>
              <w:pStyle w:val="Tabletextleft"/>
            </w:pPr>
            <w:r w:rsidRPr="006B2B1B">
              <w:t>Unit Type: Indicates the stage of the ACRRM registrar training (CGT1, CGT2, CGT3, CGT4), this is the training following the registrar’s PGY2 year.</w:t>
            </w:r>
          </w:p>
          <w:p w14:paraId="1D52C422" w14:textId="00DD889A" w:rsidR="007D68DD" w:rsidRPr="00B845E7" w:rsidRDefault="007D68DD" w:rsidP="002D77CE">
            <w:pPr>
              <w:pStyle w:val="Tabletextleft"/>
            </w:pPr>
            <w:r w:rsidRPr="0002328D">
              <w:t>Unit Subtype (PCT1, PCT2, PCT3): refers to ACRRM placement is in a community primary care placement and its sequence. This shows the level of the registrars training time in a community general practice setting.</w:t>
            </w:r>
          </w:p>
        </w:tc>
      </w:tr>
      <w:tr w:rsidR="007D68DD" w:rsidRPr="00557D5A" w14:paraId="5F64696A" w14:textId="77777777" w:rsidTr="00D3278F">
        <w:tc>
          <w:tcPr>
            <w:tcW w:w="2127" w:type="dxa"/>
          </w:tcPr>
          <w:p w14:paraId="72443060" w14:textId="76D9381E" w:rsidR="007D68DD" w:rsidRPr="002D77CE" w:rsidRDefault="007D68DD" w:rsidP="002D77CE">
            <w:pPr>
              <w:pStyle w:val="Tabletextleft"/>
            </w:pPr>
            <w:r w:rsidRPr="002D77CE">
              <w:t xml:space="preserve">PRODA </w:t>
            </w:r>
          </w:p>
        </w:tc>
        <w:tc>
          <w:tcPr>
            <w:tcW w:w="6804" w:type="dxa"/>
          </w:tcPr>
          <w:p w14:paraId="3D00B675" w14:textId="7C849C4B" w:rsidR="007D68DD" w:rsidRPr="00B845E7" w:rsidRDefault="007D68DD" w:rsidP="002D77CE">
            <w:pPr>
              <w:pStyle w:val="Tabletextleft"/>
            </w:pPr>
            <w:r w:rsidRPr="0002328D">
              <w:t>Provider Digital Access - an online identity verification and authentication system which enables secure access for providers to a range of government online services.</w:t>
            </w:r>
          </w:p>
        </w:tc>
      </w:tr>
      <w:tr w:rsidR="007D68DD" w:rsidRPr="00557D5A" w14:paraId="2EB89F46" w14:textId="77777777" w:rsidTr="00D3278F">
        <w:tc>
          <w:tcPr>
            <w:tcW w:w="2127" w:type="dxa"/>
          </w:tcPr>
          <w:p w14:paraId="2A2CE937" w14:textId="1CC8C124" w:rsidR="007D68DD" w:rsidRPr="002D77CE" w:rsidRDefault="007D68DD" w:rsidP="002D77CE">
            <w:pPr>
              <w:pStyle w:val="Tabletextleft"/>
            </w:pPr>
            <w:r w:rsidRPr="002D77CE">
              <w:t>PGY2</w:t>
            </w:r>
          </w:p>
        </w:tc>
        <w:tc>
          <w:tcPr>
            <w:tcW w:w="6804" w:type="dxa"/>
          </w:tcPr>
          <w:p w14:paraId="17FBB76D" w14:textId="7443C200" w:rsidR="007D68DD" w:rsidRPr="00B845E7" w:rsidRDefault="007D68DD" w:rsidP="002D77CE">
            <w:pPr>
              <w:pStyle w:val="Tabletextleft"/>
            </w:pPr>
            <w:r>
              <w:t xml:space="preserve">Post-Graduate Year 2 is the level of training upon which the registrar has met the standards and requirements of PGY2 as per the AMC National Framework.  </w:t>
            </w:r>
          </w:p>
        </w:tc>
      </w:tr>
      <w:tr w:rsidR="007D68DD" w:rsidRPr="00557D5A" w14:paraId="53D56193" w14:textId="77777777" w:rsidTr="00D3278F">
        <w:tc>
          <w:tcPr>
            <w:tcW w:w="2127" w:type="dxa"/>
          </w:tcPr>
          <w:p w14:paraId="7BC30FA0" w14:textId="65F97F93" w:rsidR="007D68DD" w:rsidRPr="002D77CE" w:rsidRDefault="007D68DD" w:rsidP="002D77CE">
            <w:pPr>
              <w:pStyle w:val="Tabletextleft"/>
            </w:pPr>
            <w:r w:rsidRPr="002D77CE">
              <w:t>Pro-rata</w:t>
            </w:r>
          </w:p>
        </w:tc>
        <w:tc>
          <w:tcPr>
            <w:tcW w:w="6804" w:type="dxa"/>
          </w:tcPr>
          <w:p w14:paraId="053B6D1B" w14:textId="2CD781C5" w:rsidR="007D68DD" w:rsidRPr="00B845E7" w:rsidRDefault="007D68DD" w:rsidP="002D77CE">
            <w:pPr>
              <w:pStyle w:val="Tabletextleft"/>
            </w:pPr>
            <w:r w:rsidRPr="0002328D">
              <w:t>Part-time payment based on the number of hours/weeks worked.</w:t>
            </w:r>
          </w:p>
        </w:tc>
      </w:tr>
      <w:tr w:rsidR="007D68DD" w:rsidRPr="00557D5A" w14:paraId="6F72D62B" w14:textId="77777777" w:rsidTr="00D3278F">
        <w:tc>
          <w:tcPr>
            <w:tcW w:w="2127" w:type="dxa"/>
          </w:tcPr>
          <w:p w14:paraId="3C0D2A28" w14:textId="4EBC399B" w:rsidR="007D68DD" w:rsidRPr="002D77CE" w:rsidRDefault="007D68DD" w:rsidP="002D77CE">
            <w:pPr>
              <w:pStyle w:val="Tabletextleft"/>
            </w:pPr>
            <w:r w:rsidRPr="002D77CE">
              <w:t>RACGP</w:t>
            </w:r>
          </w:p>
        </w:tc>
        <w:tc>
          <w:tcPr>
            <w:tcW w:w="6804" w:type="dxa"/>
          </w:tcPr>
          <w:p w14:paraId="60170DA1" w14:textId="1F293DD1" w:rsidR="007D68DD" w:rsidRPr="00B845E7" w:rsidRDefault="007D68DD" w:rsidP="002D77CE">
            <w:pPr>
              <w:pStyle w:val="Tabletextleft"/>
            </w:pPr>
            <w:r w:rsidRPr="0002328D">
              <w:t>Royal Australian College of General Practitioners</w:t>
            </w:r>
          </w:p>
        </w:tc>
      </w:tr>
      <w:tr w:rsidR="007D68DD" w:rsidRPr="00557D5A" w14:paraId="5B60EA65" w14:textId="77777777" w:rsidTr="00D3278F">
        <w:tc>
          <w:tcPr>
            <w:tcW w:w="2127" w:type="dxa"/>
          </w:tcPr>
          <w:p w14:paraId="238F130E" w14:textId="735B27E2" w:rsidR="007D68DD" w:rsidRPr="002D77CE" w:rsidRDefault="007D68DD" w:rsidP="002D77CE">
            <w:pPr>
              <w:pStyle w:val="Tabletextleft"/>
            </w:pPr>
            <w:r w:rsidRPr="002D77CE">
              <w:t>RACGP Leave</w:t>
            </w:r>
          </w:p>
        </w:tc>
        <w:tc>
          <w:tcPr>
            <w:tcW w:w="6804" w:type="dxa"/>
          </w:tcPr>
          <w:p w14:paraId="42DAB50F" w14:textId="662AF5C5" w:rsidR="007D68DD" w:rsidRPr="00B845E7" w:rsidRDefault="007D68DD" w:rsidP="002D77CE">
            <w:pPr>
              <w:pStyle w:val="Tabletextleft"/>
            </w:pPr>
            <w:hyperlink r:id="rId40" w:anchor=":~:text=This%20leave%20is%20available%20to%20all%20Registrars%20and,with%20valid%20certificates%2C%20and%20Training%20Program%20administrative%20constraints." w:history="1"/>
            <w:hyperlink r:id="rId41" w:history="1">
              <w:r w:rsidRPr="0002328D">
                <w:rPr>
                  <w:rStyle w:val="Hyperlink"/>
                </w:rPr>
                <w:t>www.racgp.org.au/education/gp-trainings/leave-policy</w:t>
              </w:r>
            </w:hyperlink>
            <w:r w:rsidRPr="0002328D">
              <w:t xml:space="preserve"> </w:t>
            </w:r>
          </w:p>
        </w:tc>
      </w:tr>
      <w:tr w:rsidR="007D68DD" w:rsidRPr="00557D5A" w14:paraId="07C08E7E" w14:textId="77777777" w:rsidTr="00D3278F">
        <w:tc>
          <w:tcPr>
            <w:tcW w:w="2127" w:type="dxa"/>
          </w:tcPr>
          <w:p w14:paraId="6C4373CC" w14:textId="0007C6FF" w:rsidR="007D68DD" w:rsidRPr="002D77CE" w:rsidRDefault="007D68DD" w:rsidP="002D77CE">
            <w:pPr>
              <w:pStyle w:val="Tabletextleft"/>
            </w:pPr>
            <w:r w:rsidRPr="002D77CE">
              <w:t>RG</w:t>
            </w:r>
          </w:p>
        </w:tc>
        <w:tc>
          <w:tcPr>
            <w:tcW w:w="6804" w:type="dxa"/>
          </w:tcPr>
          <w:p w14:paraId="72BE4095" w14:textId="08BA0088" w:rsidR="007D68DD" w:rsidRPr="00B845E7" w:rsidRDefault="007D68DD" w:rsidP="002D77CE">
            <w:pPr>
              <w:pStyle w:val="Tabletextleft"/>
            </w:pPr>
            <w:r w:rsidRPr="0002328D">
              <w:t>Rural Generalist</w:t>
            </w:r>
          </w:p>
        </w:tc>
      </w:tr>
      <w:tr w:rsidR="007D68DD" w:rsidRPr="00557D5A" w14:paraId="627894AD" w14:textId="77777777" w:rsidTr="00D3278F">
        <w:tc>
          <w:tcPr>
            <w:tcW w:w="2127" w:type="dxa"/>
          </w:tcPr>
          <w:p w14:paraId="1BA657FB" w14:textId="0AE75745" w:rsidR="007D68DD" w:rsidRPr="002D77CE" w:rsidRDefault="007D68DD" w:rsidP="002D77CE">
            <w:pPr>
              <w:pStyle w:val="Tabletextleft"/>
            </w:pPr>
            <w:r w:rsidRPr="002D77CE">
              <w:t xml:space="preserve">RVTS </w:t>
            </w:r>
          </w:p>
        </w:tc>
        <w:tc>
          <w:tcPr>
            <w:tcW w:w="6804" w:type="dxa"/>
          </w:tcPr>
          <w:p w14:paraId="2136BE8B" w14:textId="77777777" w:rsidR="007D68DD" w:rsidRPr="00925BA6" w:rsidRDefault="007D68DD" w:rsidP="00925BA6">
            <w:pPr>
              <w:pStyle w:val="Tabletextleft"/>
            </w:pPr>
            <w:r w:rsidRPr="00925BA6">
              <w:t>Remote Vocational Training Scheme aims to:</w:t>
            </w:r>
          </w:p>
          <w:p w14:paraId="4C38923E" w14:textId="77777777" w:rsidR="007D68DD" w:rsidRPr="00925BA6" w:rsidRDefault="007D68DD" w:rsidP="00925BA6">
            <w:pPr>
              <w:pStyle w:val="Tabletextleft"/>
            </w:pPr>
            <w:r w:rsidRPr="00925BA6">
              <w:t xml:space="preserve">Facilitate access to vocational training for doctors in rural, remote and First Nations communities across </w:t>
            </w:r>
            <w:proofErr w:type="gramStart"/>
            <w:r w:rsidRPr="00925BA6">
              <w:t>Australia;</w:t>
            </w:r>
            <w:proofErr w:type="gramEnd"/>
          </w:p>
          <w:p w14:paraId="314F33C2" w14:textId="77777777" w:rsidR="007D68DD" w:rsidRPr="00925BA6" w:rsidRDefault="007D68DD" w:rsidP="00925BA6">
            <w:pPr>
              <w:pStyle w:val="Tabletextleft"/>
            </w:pPr>
            <w:r w:rsidRPr="00925BA6">
              <w:t xml:space="preserve">Contribute to the recruitment and retention of rural and remote doctors; and </w:t>
            </w:r>
          </w:p>
          <w:p w14:paraId="5789F493" w14:textId="46816E25" w:rsidR="007D68DD" w:rsidRPr="00B845E7" w:rsidRDefault="007D68DD" w:rsidP="002D77CE">
            <w:pPr>
              <w:pStyle w:val="Tabletextleft"/>
            </w:pPr>
            <w:r w:rsidRPr="0002328D">
              <w:t>Improve the quality of services available to remote communities by enabling access to vocational training and ensuring continuity of medical services.</w:t>
            </w:r>
          </w:p>
        </w:tc>
      </w:tr>
      <w:tr w:rsidR="007D68DD" w:rsidRPr="00557D5A" w14:paraId="3E4FDF0D" w14:textId="77777777" w:rsidTr="00D3278F">
        <w:tc>
          <w:tcPr>
            <w:tcW w:w="2127" w:type="dxa"/>
          </w:tcPr>
          <w:p w14:paraId="6E82567A" w14:textId="290F5A04" w:rsidR="007D68DD" w:rsidRPr="002D77CE" w:rsidRDefault="007D68DD" w:rsidP="002D77CE">
            <w:pPr>
              <w:pStyle w:val="Tabletextleft"/>
            </w:pPr>
            <w:r w:rsidRPr="002D77CE">
              <w:t>SEM</w:t>
            </w:r>
          </w:p>
        </w:tc>
        <w:tc>
          <w:tcPr>
            <w:tcW w:w="6804" w:type="dxa"/>
          </w:tcPr>
          <w:p w14:paraId="193C6DE0" w14:textId="26AEFE5E" w:rsidR="007D68DD" w:rsidRPr="00B845E7" w:rsidRDefault="007D68DD" w:rsidP="002D77CE">
            <w:pPr>
              <w:pStyle w:val="Tabletextleft"/>
            </w:pPr>
            <w:r w:rsidRPr="0002328D">
              <w:t>Single Employer Model</w:t>
            </w:r>
          </w:p>
        </w:tc>
      </w:tr>
      <w:tr w:rsidR="007D68DD" w:rsidRPr="00557D5A" w14:paraId="516ED501" w14:textId="77777777" w:rsidTr="00D3278F">
        <w:tc>
          <w:tcPr>
            <w:tcW w:w="2127" w:type="dxa"/>
          </w:tcPr>
          <w:p w14:paraId="24189995" w14:textId="04A65081" w:rsidR="007D68DD" w:rsidRPr="002D77CE" w:rsidRDefault="007D68DD" w:rsidP="002D77CE">
            <w:pPr>
              <w:pStyle w:val="Tabletextleft"/>
            </w:pPr>
            <w:r w:rsidRPr="002D77CE">
              <w:t>Semester</w:t>
            </w:r>
          </w:p>
        </w:tc>
        <w:tc>
          <w:tcPr>
            <w:tcW w:w="6804" w:type="dxa"/>
          </w:tcPr>
          <w:p w14:paraId="5EC89E54" w14:textId="53DFB251" w:rsidR="007D68DD" w:rsidRPr="00B845E7" w:rsidRDefault="007D68DD" w:rsidP="002D77CE">
            <w:pPr>
              <w:pStyle w:val="Tabletextleft"/>
            </w:pPr>
            <w:r w:rsidRPr="0002328D">
              <w:t xml:space="preserve">There are two training semesters in a calendar year, and semesters are usually 26 weeks each. </w:t>
            </w:r>
          </w:p>
        </w:tc>
      </w:tr>
      <w:tr w:rsidR="007D68DD" w:rsidRPr="00557D5A" w14:paraId="67A1645A" w14:textId="77777777" w:rsidTr="00D3278F">
        <w:tc>
          <w:tcPr>
            <w:tcW w:w="2127" w:type="dxa"/>
          </w:tcPr>
          <w:p w14:paraId="3DA0C759" w14:textId="76783C60" w:rsidR="007D68DD" w:rsidRPr="002D77CE" w:rsidRDefault="007D68DD" w:rsidP="002D77CE">
            <w:pPr>
              <w:pStyle w:val="Tabletextleft"/>
            </w:pPr>
            <w:r w:rsidRPr="002D77CE">
              <w:t xml:space="preserve">Training Placement </w:t>
            </w:r>
          </w:p>
        </w:tc>
        <w:tc>
          <w:tcPr>
            <w:tcW w:w="6804" w:type="dxa"/>
          </w:tcPr>
          <w:p w14:paraId="5C0C86EF" w14:textId="0E3D487C" w:rsidR="007D68DD" w:rsidRPr="00B845E7" w:rsidRDefault="007D68DD" w:rsidP="002D77CE">
            <w:pPr>
              <w:pStyle w:val="Tabletextleft"/>
            </w:pPr>
            <w:r w:rsidRPr="0002328D">
              <w:t xml:space="preserve">Training placement refers to the training the registrar is undergoing.  </w:t>
            </w:r>
          </w:p>
        </w:tc>
      </w:tr>
      <w:tr w:rsidR="007D68DD" w:rsidRPr="00557D5A" w14:paraId="65F9281C" w14:textId="77777777" w:rsidTr="00D3278F">
        <w:tc>
          <w:tcPr>
            <w:tcW w:w="2127" w:type="dxa"/>
          </w:tcPr>
          <w:p w14:paraId="321C6249" w14:textId="6DB5F2F0" w:rsidR="007D68DD" w:rsidRPr="002D77CE" w:rsidRDefault="007D68DD" w:rsidP="002D77CE">
            <w:pPr>
              <w:pStyle w:val="Tabletextleft"/>
            </w:pPr>
            <w:r w:rsidRPr="002D77CE">
              <w:lastRenderedPageBreak/>
              <w:t>VMO</w:t>
            </w:r>
          </w:p>
        </w:tc>
        <w:tc>
          <w:tcPr>
            <w:tcW w:w="6804" w:type="dxa"/>
          </w:tcPr>
          <w:p w14:paraId="05F36869" w14:textId="7835E1C3" w:rsidR="007D68DD" w:rsidRPr="0002328D" w:rsidRDefault="007D68DD" w:rsidP="002D77CE">
            <w:pPr>
              <w:pStyle w:val="Tabletextleft"/>
            </w:pPr>
            <w:r w:rsidRPr="0002328D">
              <w:t xml:space="preserve">Visiting Medical Officer </w:t>
            </w:r>
          </w:p>
        </w:tc>
      </w:tr>
    </w:tbl>
    <w:p w14:paraId="66722C60" w14:textId="77777777" w:rsidR="00C37018" w:rsidRDefault="00C37018" w:rsidP="00CA79CF">
      <w:pPr>
        <w:pStyle w:val="Heading1"/>
        <w:sectPr w:rsidR="00C37018" w:rsidSect="00D56CF2">
          <w:headerReference w:type="even" r:id="rId42"/>
          <w:headerReference w:type="default" r:id="rId43"/>
          <w:footerReference w:type="even" r:id="rId44"/>
          <w:footerReference w:type="default" r:id="rId45"/>
          <w:headerReference w:type="first" r:id="rId46"/>
          <w:footerReference w:type="first" r:id="rId47"/>
          <w:pgSz w:w="11906" w:h="16838"/>
          <w:pgMar w:top="1701" w:right="1418" w:bottom="1418" w:left="1418" w:header="709" w:footer="709" w:gutter="0"/>
          <w:cols w:space="708"/>
          <w:titlePg/>
          <w:docGrid w:linePitch="360"/>
        </w:sectPr>
      </w:pPr>
    </w:p>
    <w:p w14:paraId="47BE07D5" w14:textId="7AC48AAE" w:rsidR="00861D7A" w:rsidRPr="003E4FAF" w:rsidRDefault="00861D7A" w:rsidP="003E4FAF">
      <w:pPr>
        <w:pStyle w:val="Heading1"/>
      </w:pPr>
      <w:bookmarkStart w:id="79" w:name="_Toc211942170"/>
      <w:bookmarkStart w:id="80" w:name="_Toc205905134"/>
      <w:bookmarkStart w:id="81" w:name="_Appendix"/>
      <w:bookmarkStart w:id="82" w:name="_Toc212544626"/>
      <w:bookmarkEnd w:id="81"/>
      <w:r w:rsidRPr="003E4FAF">
        <w:lastRenderedPageBreak/>
        <w:t>Appendix</w:t>
      </w:r>
      <w:bookmarkStart w:id="83" w:name="_Hlk209790925"/>
      <w:bookmarkEnd w:id="79"/>
      <w:bookmarkEnd w:id="80"/>
      <w:bookmarkEnd w:id="82"/>
    </w:p>
    <w:p w14:paraId="75669866" w14:textId="7BF18766" w:rsidR="003E4FAF" w:rsidRPr="004F1E3D" w:rsidRDefault="00861D7A" w:rsidP="004F1E3D">
      <w:pPr>
        <w:pStyle w:val="Heading2"/>
      </w:pPr>
      <w:bookmarkStart w:id="84" w:name="_Toc211942171"/>
      <w:bookmarkStart w:id="85" w:name="_Hlk209790905"/>
      <w:bookmarkStart w:id="86" w:name="_Toc212544627"/>
      <w:bookmarkEnd w:id="83"/>
      <w:r w:rsidRPr="004F1E3D">
        <w:t>Appendix A</w:t>
      </w:r>
      <w:bookmarkEnd w:id="84"/>
      <w:bookmarkEnd w:id="86"/>
    </w:p>
    <w:p w14:paraId="6236D298" w14:textId="5A40721D" w:rsidR="00125C19" w:rsidRPr="003E4FAF" w:rsidRDefault="00861D7A" w:rsidP="00247DCC">
      <w:r w:rsidRPr="003E4FAF">
        <w:t xml:space="preserve">The table below details the core training terms </w:t>
      </w:r>
      <w:r w:rsidR="00022799" w:rsidRPr="003E4FAF">
        <w:t xml:space="preserve">(in relation to NCP) </w:t>
      </w:r>
      <w:r w:rsidRPr="003E4FAF">
        <w:t xml:space="preserve">for both the GP colleges. </w:t>
      </w:r>
    </w:p>
    <w:p w14:paraId="28EAB1DB" w14:textId="249BC93E" w:rsidR="0064008B" w:rsidRPr="00925BA6" w:rsidRDefault="0064008B" w:rsidP="00247DCC">
      <w:pPr>
        <w:rPr>
          <w:rStyle w:val="Strong"/>
        </w:rPr>
      </w:pPr>
      <w:r w:rsidRPr="00925BA6">
        <w:rPr>
          <w:rStyle w:val="Strong"/>
        </w:rPr>
        <w:t xml:space="preserve">Note: This does not include the GP </w:t>
      </w:r>
      <w:r w:rsidR="0066668E" w:rsidRPr="00925BA6">
        <w:rPr>
          <w:rStyle w:val="Strong"/>
        </w:rPr>
        <w:t>T</w:t>
      </w:r>
      <w:r w:rsidRPr="00925BA6">
        <w:rPr>
          <w:rStyle w:val="Strong"/>
        </w:rPr>
        <w:t>raining Incentive Payment, that commen</w:t>
      </w:r>
      <w:r w:rsidR="0066668E" w:rsidRPr="00925BA6">
        <w:rPr>
          <w:rStyle w:val="Strong"/>
        </w:rPr>
        <w:t>ce</w:t>
      </w:r>
      <w:r w:rsidRPr="00925BA6">
        <w:rPr>
          <w:rStyle w:val="Strong"/>
        </w:rPr>
        <w:t xml:space="preserve"> in </w:t>
      </w:r>
      <w:r w:rsidR="006B5812" w:rsidRPr="00925BA6">
        <w:rPr>
          <w:rStyle w:val="Strong"/>
        </w:rPr>
        <w:t>semester one, 2026.</w:t>
      </w:r>
    </w:p>
    <w:tbl>
      <w:tblPr>
        <w:tblStyle w:val="TableGrid"/>
        <w:tblW w:w="0" w:type="auto"/>
        <w:tblLook w:val="04A0" w:firstRow="1" w:lastRow="0" w:firstColumn="1" w:lastColumn="0" w:noHBand="0" w:noVBand="1"/>
      </w:tblPr>
      <w:tblGrid>
        <w:gridCol w:w="1603"/>
        <w:gridCol w:w="881"/>
        <w:gridCol w:w="3260"/>
        <w:gridCol w:w="418"/>
        <w:gridCol w:w="1361"/>
        <w:gridCol w:w="881"/>
        <w:gridCol w:w="3260"/>
        <w:gridCol w:w="1685"/>
        <w:gridCol w:w="360"/>
      </w:tblGrid>
      <w:tr w:rsidR="005F5B28" w:rsidRPr="00B86B2C" w14:paraId="5DEBF7C2" w14:textId="77777777" w:rsidTr="005F5B28">
        <w:trPr>
          <w:cnfStyle w:val="100000000000" w:firstRow="1" w:lastRow="0" w:firstColumn="0" w:lastColumn="0" w:oddVBand="0" w:evenVBand="0" w:oddHBand="0" w:evenHBand="0" w:firstRowFirstColumn="0" w:firstRowLastColumn="0" w:lastRowFirstColumn="0" w:lastRowLastColumn="0"/>
          <w:trHeight w:val="330"/>
          <w:tblHeader/>
        </w:trPr>
        <w:tc>
          <w:tcPr>
            <w:tcW w:w="0" w:type="auto"/>
            <w:gridSpan w:val="3"/>
            <w:noWrap/>
            <w:hideMark/>
          </w:tcPr>
          <w:p w14:paraId="515CDF78" w14:textId="77777777" w:rsidR="005F5B28" w:rsidRPr="00925BA6" w:rsidRDefault="005F5B28" w:rsidP="00925BA6">
            <w:pPr>
              <w:pStyle w:val="Tabletextleft"/>
            </w:pPr>
            <w:r w:rsidRPr="00925BA6">
              <w:t>RACGP</w:t>
            </w:r>
          </w:p>
        </w:tc>
        <w:tc>
          <w:tcPr>
            <w:tcW w:w="0" w:type="auto"/>
            <w:noWrap/>
            <w:hideMark/>
          </w:tcPr>
          <w:p w14:paraId="72F5D642" w14:textId="77777777" w:rsidR="005F5B28" w:rsidRPr="00B86B2C" w:rsidRDefault="005F5B28" w:rsidP="00247DCC">
            <w:pPr>
              <w:rPr>
                <w:b w:val="0"/>
                <w:lang w:eastAsia="en-AU"/>
              </w:rPr>
            </w:pPr>
          </w:p>
        </w:tc>
        <w:tc>
          <w:tcPr>
            <w:tcW w:w="0" w:type="auto"/>
            <w:gridSpan w:val="4"/>
            <w:noWrap/>
            <w:hideMark/>
          </w:tcPr>
          <w:p w14:paraId="5C298FBF" w14:textId="77777777" w:rsidR="005F5B28" w:rsidRPr="00925BA6" w:rsidRDefault="005F5B28" w:rsidP="00925BA6">
            <w:pPr>
              <w:pStyle w:val="Tabletextleft"/>
            </w:pPr>
            <w:r w:rsidRPr="00925BA6">
              <w:t>ACRRM</w:t>
            </w:r>
          </w:p>
        </w:tc>
        <w:tc>
          <w:tcPr>
            <w:tcW w:w="0" w:type="auto"/>
            <w:noWrap/>
            <w:hideMark/>
          </w:tcPr>
          <w:p w14:paraId="417C7046" w14:textId="77777777" w:rsidR="005F5B28" w:rsidRPr="00B86B2C" w:rsidRDefault="005F5B28" w:rsidP="00247DCC">
            <w:pPr>
              <w:rPr>
                <w:b w:val="0"/>
                <w:lang w:eastAsia="en-AU"/>
              </w:rPr>
            </w:pPr>
          </w:p>
        </w:tc>
      </w:tr>
      <w:tr w:rsidR="00925BA6" w:rsidRPr="00B86B2C" w14:paraId="59E08D05" w14:textId="77777777" w:rsidTr="005F5B28">
        <w:trPr>
          <w:trHeight w:val="330"/>
        </w:trPr>
        <w:tc>
          <w:tcPr>
            <w:tcW w:w="0" w:type="auto"/>
            <w:hideMark/>
          </w:tcPr>
          <w:p w14:paraId="408CAE82" w14:textId="77777777" w:rsidR="005F5B28" w:rsidRPr="00925BA6" w:rsidRDefault="005F5B28" w:rsidP="00925BA6">
            <w:pPr>
              <w:pStyle w:val="Tabletextleft"/>
            </w:pPr>
            <w:r w:rsidRPr="00925BA6">
              <w:t>Curriculum</w:t>
            </w:r>
          </w:p>
        </w:tc>
        <w:tc>
          <w:tcPr>
            <w:tcW w:w="0" w:type="auto"/>
            <w:hideMark/>
          </w:tcPr>
          <w:p w14:paraId="700F93AE" w14:textId="77777777" w:rsidR="005F5B28" w:rsidRPr="00B86B2C" w:rsidRDefault="005F5B28" w:rsidP="00247DCC">
            <w:pPr>
              <w:rPr>
                <w:lang w:eastAsia="en-AU"/>
              </w:rPr>
            </w:pPr>
          </w:p>
        </w:tc>
        <w:tc>
          <w:tcPr>
            <w:tcW w:w="0" w:type="auto"/>
            <w:hideMark/>
          </w:tcPr>
          <w:p w14:paraId="20A16DFA" w14:textId="77777777" w:rsidR="005F5B28" w:rsidRPr="00925BA6" w:rsidRDefault="005F5B28" w:rsidP="00925BA6">
            <w:pPr>
              <w:pStyle w:val="Tabletextleft"/>
            </w:pPr>
            <w:r w:rsidRPr="00925BA6">
              <w:t>Core training terms</w:t>
            </w:r>
          </w:p>
        </w:tc>
        <w:tc>
          <w:tcPr>
            <w:tcW w:w="0" w:type="auto"/>
            <w:vMerge w:val="restart"/>
            <w:hideMark/>
          </w:tcPr>
          <w:p w14:paraId="6C04DBB8" w14:textId="77777777" w:rsidR="005F5B28" w:rsidRPr="00B86B2C" w:rsidRDefault="005F5B28" w:rsidP="00247DCC">
            <w:pPr>
              <w:rPr>
                <w:lang w:eastAsia="en-AU"/>
              </w:rPr>
            </w:pPr>
            <w:r w:rsidRPr="00B86B2C">
              <w:rPr>
                <w:lang w:eastAsia="en-AU"/>
              </w:rPr>
              <w:t> </w:t>
            </w:r>
          </w:p>
        </w:tc>
        <w:tc>
          <w:tcPr>
            <w:tcW w:w="0" w:type="auto"/>
            <w:hideMark/>
          </w:tcPr>
          <w:p w14:paraId="116E2220" w14:textId="77777777" w:rsidR="005F5B28" w:rsidRPr="00925BA6" w:rsidRDefault="005F5B28" w:rsidP="00925BA6">
            <w:pPr>
              <w:pStyle w:val="Tabletextleft"/>
            </w:pPr>
            <w:r w:rsidRPr="00925BA6">
              <w:t>Curriculum</w:t>
            </w:r>
          </w:p>
        </w:tc>
        <w:tc>
          <w:tcPr>
            <w:tcW w:w="0" w:type="auto"/>
            <w:noWrap/>
            <w:hideMark/>
          </w:tcPr>
          <w:p w14:paraId="491FD7E7" w14:textId="77777777" w:rsidR="005F5B28" w:rsidRPr="00B86B2C" w:rsidRDefault="005F5B28" w:rsidP="00247DCC">
            <w:pPr>
              <w:rPr>
                <w:lang w:eastAsia="en-AU"/>
              </w:rPr>
            </w:pPr>
          </w:p>
        </w:tc>
        <w:tc>
          <w:tcPr>
            <w:tcW w:w="0" w:type="auto"/>
            <w:hideMark/>
          </w:tcPr>
          <w:p w14:paraId="65AA8E2F" w14:textId="77777777" w:rsidR="005F5B28" w:rsidRPr="00925BA6" w:rsidRDefault="005F5B28" w:rsidP="00925BA6">
            <w:pPr>
              <w:pStyle w:val="Tabletextleft"/>
            </w:pPr>
            <w:r w:rsidRPr="00925BA6">
              <w:t>Core training terms</w:t>
            </w:r>
          </w:p>
        </w:tc>
        <w:tc>
          <w:tcPr>
            <w:tcW w:w="0" w:type="auto"/>
            <w:hideMark/>
          </w:tcPr>
          <w:p w14:paraId="5B1D9609" w14:textId="77777777" w:rsidR="005F5B28" w:rsidRPr="00925BA6" w:rsidRDefault="005F5B28" w:rsidP="00925BA6">
            <w:pPr>
              <w:pStyle w:val="Tabletextleft"/>
            </w:pPr>
            <w:r w:rsidRPr="00925BA6">
              <w:t>Term subtypes</w:t>
            </w:r>
          </w:p>
        </w:tc>
        <w:tc>
          <w:tcPr>
            <w:tcW w:w="0" w:type="auto"/>
            <w:noWrap/>
            <w:hideMark/>
          </w:tcPr>
          <w:p w14:paraId="1911C5DE" w14:textId="77777777" w:rsidR="005F5B28" w:rsidRPr="00B86B2C" w:rsidRDefault="005F5B28" w:rsidP="00247DCC">
            <w:pPr>
              <w:rPr>
                <w:lang w:eastAsia="en-AU"/>
              </w:rPr>
            </w:pPr>
          </w:p>
        </w:tc>
      </w:tr>
      <w:tr w:rsidR="00925BA6" w:rsidRPr="00B86B2C" w14:paraId="0353AFBD" w14:textId="77777777" w:rsidTr="005F5B28">
        <w:trPr>
          <w:trHeight w:val="330"/>
        </w:trPr>
        <w:tc>
          <w:tcPr>
            <w:tcW w:w="0" w:type="auto"/>
            <w:vMerge w:val="restart"/>
            <w:noWrap/>
            <w:hideMark/>
          </w:tcPr>
          <w:p w14:paraId="168EDB93" w14:textId="77777777" w:rsidR="005F5B28" w:rsidRPr="00925BA6" w:rsidRDefault="005F5B28" w:rsidP="00925BA6">
            <w:pPr>
              <w:pStyle w:val="Tabletextleft"/>
            </w:pPr>
            <w:r w:rsidRPr="00925BA6">
              <w:t>FRACGP</w:t>
            </w:r>
          </w:p>
        </w:tc>
        <w:tc>
          <w:tcPr>
            <w:tcW w:w="0" w:type="auto"/>
            <w:hideMark/>
          </w:tcPr>
          <w:p w14:paraId="018A5951" w14:textId="77777777" w:rsidR="005F5B28" w:rsidRPr="00B86B2C" w:rsidRDefault="005F5B28" w:rsidP="00247DCC">
            <w:pPr>
              <w:pStyle w:val="NormalRedtext"/>
              <w:rPr>
                <w:lang w:eastAsia="en-AU"/>
              </w:rPr>
            </w:pPr>
            <w:r w:rsidRPr="00B86B2C">
              <w:rPr>
                <w:lang w:eastAsia="en-AU"/>
              </w:rPr>
              <w:t>Year 1</w:t>
            </w:r>
          </w:p>
        </w:tc>
        <w:tc>
          <w:tcPr>
            <w:tcW w:w="0" w:type="auto"/>
            <w:hideMark/>
          </w:tcPr>
          <w:p w14:paraId="339133C5" w14:textId="4BF4A922" w:rsidR="005F5B28" w:rsidRPr="00B86B2C" w:rsidRDefault="005F5B28" w:rsidP="00247DCC">
            <w:pPr>
              <w:pStyle w:val="NormalRedtext"/>
              <w:rPr>
                <w:lang w:eastAsia="en-AU"/>
              </w:rPr>
            </w:pPr>
            <w:r>
              <w:rPr>
                <w:lang w:eastAsia="en-AU"/>
              </w:rPr>
              <w:t>Mandatory Hospital Training</w:t>
            </w:r>
            <w:r w:rsidRPr="00B86B2C">
              <w:rPr>
                <w:lang w:eastAsia="en-AU"/>
              </w:rPr>
              <w:t>*</w:t>
            </w:r>
            <w:r w:rsidRPr="0077401B">
              <w:rPr>
                <w:lang w:eastAsia="en-AU"/>
              </w:rPr>
              <w:t xml:space="preserve"> - Not eligible for NCP</w:t>
            </w:r>
          </w:p>
        </w:tc>
        <w:tc>
          <w:tcPr>
            <w:tcW w:w="0" w:type="auto"/>
            <w:vMerge/>
            <w:hideMark/>
          </w:tcPr>
          <w:p w14:paraId="647BE103" w14:textId="77777777" w:rsidR="005F5B28" w:rsidRPr="00B86B2C" w:rsidRDefault="005F5B28" w:rsidP="00247DCC">
            <w:pPr>
              <w:rPr>
                <w:lang w:eastAsia="en-AU"/>
              </w:rPr>
            </w:pPr>
          </w:p>
        </w:tc>
        <w:tc>
          <w:tcPr>
            <w:tcW w:w="0" w:type="auto"/>
            <w:vMerge w:val="restart"/>
            <w:hideMark/>
          </w:tcPr>
          <w:p w14:paraId="7F740A43" w14:textId="77777777" w:rsidR="005F5B28" w:rsidRPr="00925BA6" w:rsidRDefault="005F5B28" w:rsidP="00925BA6">
            <w:pPr>
              <w:pStyle w:val="Tabletextleft"/>
            </w:pPr>
            <w:r w:rsidRPr="00925BA6">
              <w:t>FACRRM</w:t>
            </w:r>
          </w:p>
        </w:tc>
        <w:tc>
          <w:tcPr>
            <w:tcW w:w="0" w:type="auto"/>
            <w:hideMark/>
          </w:tcPr>
          <w:p w14:paraId="21BAB084" w14:textId="77777777" w:rsidR="005F5B28" w:rsidRPr="00B86B2C" w:rsidRDefault="005F5B28" w:rsidP="00247DCC">
            <w:pPr>
              <w:pStyle w:val="NormalRedtext"/>
              <w:rPr>
                <w:lang w:eastAsia="en-AU"/>
              </w:rPr>
            </w:pPr>
            <w:r w:rsidRPr="00B86B2C">
              <w:rPr>
                <w:lang w:eastAsia="en-AU"/>
              </w:rPr>
              <w:t>Year 1</w:t>
            </w:r>
          </w:p>
        </w:tc>
        <w:tc>
          <w:tcPr>
            <w:tcW w:w="0" w:type="auto"/>
            <w:hideMark/>
          </w:tcPr>
          <w:p w14:paraId="12127B51" w14:textId="790588D3" w:rsidR="005F5B28" w:rsidRPr="00B86B2C" w:rsidRDefault="005F5B28" w:rsidP="00247DCC">
            <w:pPr>
              <w:pStyle w:val="NormalRedtext"/>
              <w:rPr>
                <w:lang w:eastAsia="en-AU"/>
              </w:rPr>
            </w:pPr>
            <w:r>
              <w:rPr>
                <w:lang w:eastAsia="en-AU"/>
              </w:rPr>
              <w:t>Mandatory Hospital Training</w:t>
            </w:r>
            <w:r w:rsidRPr="00B86B2C">
              <w:rPr>
                <w:lang w:eastAsia="en-AU"/>
              </w:rPr>
              <w:t>*</w:t>
            </w:r>
            <w:r w:rsidRPr="0077401B">
              <w:rPr>
                <w:lang w:eastAsia="en-AU"/>
              </w:rPr>
              <w:t xml:space="preserve"> - Not eligible for NCP</w:t>
            </w:r>
          </w:p>
        </w:tc>
        <w:tc>
          <w:tcPr>
            <w:tcW w:w="0" w:type="auto"/>
            <w:hideMark/>
          </w:tcPr>
          <w:p w14:paraId="6A119137" w14:textId="77777777" w:rsidR="005F5B28" w:rsidRPr="00B86B2C" w:rsidRDefault="005F5B28" w:rsidP="00247DCC">
            <w:pPr>
              <w:rPr>
                <w:lang w:eastAsia="en-AU"/>
              </w:rPr>
            </w:pPr>
          </w:p>
        </w:tc>
        <w:tc>
          <w:tcPr>
            <w:tcW w:w="0" w:type="auto"/>
            <w:noWrap/>
            <w:hideMark/>
          </w:tcPr>
          <w:p w14:paraId="3EFCCD10" w14:textId="77777777" w:rsidR="005F5B28" w:rsidRPr="00B86B2C" w:rsidRDefault="005F5B28" w:rsidP="00247DCC">
            <w:pPr>
              <w:rPr>
                <w:lang w:eastAsia="en-AU"/>
              </w:rPr>
            </w:pPr>
          </w:p>
        </w:tc>
      </w:tr>
      <w:tr w:rsidR="00925BA6" w:rsidRPr="00B86B2C" w14:paraId="04A2DC34" w14:textId="77777777" w:rsidTr="005F5B28">
        <w:trPr>
          <w:trHeight w:val="353"/>
        </w:trPr>
        <w:tc>
          <w:tcPr>
            <w:tcW w:w="0" w:type="auto"/>
            <w:vMerge/>
            <w:hideMark/>
          </w:tcPr>
          <w:p w14:paraId="3C899FBB" w14:textId="77777777" w:rsidR="005F5B28" w:rsidRPr="00B86B2C" w:rsidRDefault="005F5B28" w:rsidP="00247DCC">
            <w:pPr>
              <w:rPr>
                <w:lang w:eastAsia="en-AU"/>
              </w:rPr>
            </w:pPr>
          </w:p>
        </w:tc>
        <w:tc>
          <w:tcPr>
            <w:tcW w:w="0" w:type="auto"/>
            <w:hideMark/>
          </w:tcPr>
          <w:p w14:paraId="06C19A03" w14:textId="77777777" w:rsidR="005F5B28" w:rsidRPr="00925BA6" w:rsidRDefault="005F5B28" w:rsidP="00925BA6">
            <w:pPr>
              <w:pStyle w:val="Tabletextleft"/>
            </w:pPr>
            <w:r w:rsidRPr="00925BA6">
              <w:t>Year 2</w:t>
            </w:r>
          </w:p>
        </w:tc>
        <w:tc>
          <w:tcPr>
            <w:tcW w:w="0" w:type="auto"/>
            <w:hideMark/>
          </w:tcPr>
          <w:p w14:paraId="4C3E1DBC" w14:textId="77777777" w:rsidR="005F5B28" w:rsidRPr="00925BA6" w:rsidRDefault="005F5B28" w:rsidP="00925BA6">
            <w:pPr>
              <w:pStyle w:val="Tabletextleft"/>
            </w:pPr>
            <w:r w:rsidRPr="00925BA6">
              <w:t>GPT1, GPT2</w:t>
            </w:r>
          </w:p>
        </w:tc>
        <w:tc>
          <w:tcPr>
            <w:tcW w:w="0" w:type="auto"/>
            <w:vMerge/>
            <w:hideMark/>
          </w:tcPr>
          <w:p w14:paraId="06079B6E" w14:textId="77777777" w:rsidR="005F5B28" w:rsidRPr="00B86B2C" w:rsidRDefault="005F5B28" w:rsidP="00247DCC">
            <w:pPr>
              <w:rPr>
                <w:lang w:eastAsia="en-AU"/>
              </w:rPr>
            </w:pPr>
          </w:p>
        </w:tc>
        <w:tc>
          <w:tcPr>
            <w:tcW w:w="0" w:type="auto"/>
            <w:vMerge/>
            <w:hideMark/>
          </w:tcPr>
          <w:p w14:paraId="6CE26E2D" w14:textId="77777777" w:rsidR="005F5B28" w:rsidRPr="00B86B2C" w:rsidRDefault="005F5B28" w:rsidP="00247DCC">
            <w:pPr>
              <w:rPr>
                <w:lang w:eastAsia="en-AU"/>
              </w:rPr>
            </w:pPr>
          </w:p>
        </w:tc>
        <w:tc>
          <w:tcPr>
            <w:tcW w:w="0" w:type="auto"/>
            <w:hideMark/>
          </w:tcPr>
          <w:p w14:paraId="45A99C6C" w14:textId="77777777" w:rsidR="005F5B28" w:rsidRPr="00925BA6" w:rsidRDefault="005F5B28" w:rsidP="00925BA6">
            <w:pPr>
              <w:pStyle w:val="Tabletextleft"/>
            </w:pPr>
            <w:r w:rsidRPr="00925BA6">
              <w:t>Year 2</w:t>
            </w:r>
          </w:p>
        </w:tc>
        <w:tc>
          <w:tcPr>
            <w:tcW w:w="0" w:type="auto"/>
            <w:hideMark/>
          </w:tcPr>
          <w:p w14:paraId="16E2C09D" w14:textId="77777777" w:rsidR="005F5B28" w:rsidRPr="00925BA6" w:rsidRDefault="005F5B28" w:rsidP="00925BA6">
            <w:pPr>
              <w:pStyle w:val="Tabletextleft"/>
            </w:pPr>
            <w:r w:rsidRPr="00925BA6">
              <w:t>CGT1, CGT2</w:t>
            </w:r>
          </w:p>
        </w:tc>
        <w:tc>
          <w:tcPr>
            <w:tcW w:w="0" w:type="auto"/>
            <w:vMerge w:val="restart"/>
            <w:hideMark/>
          </w:tcPr>
          <w:p w14:paraId="140417A9" w14:textId="77777777" w:rsidR="005F5B28" w:rsidRPr="00925BA6" w:rsidRDefault="005F5B28" w:rsidP="00925BA6">
            <w:pPr>
              <w:pStyle w:val="Tabletextleft"/>
            </w:pPr>
            <w:r w:rsidRPr="00925BA6">
              <w:t>PCT1, PCT2, PCT3</w:t>
            </w:r>
          </w:p>
        </w:tc>
        <w:tc>
          <w:tcPr>
            <w:tcW w:w="0" w:type="auto"/>
            <w:noWrap/>
            <w:hideMark/>
          </w:tcPr>
          <w:p w14:paraId="7C0C72F3" w14:textId="77777777" w:rsidR="005F5B28" w:rsidRPr="00B86B2C" w:rsidRDefault="005F5B28" w:rsidP="00247DCC">
            <w:pPr>
              <w:rPr>
                <w:lang w:eastAsia="en-AU"/>
              </w:rPr>
            </w:pPr>
          </w:p>
        </w:tc>
      </w:tr>
      <w:tr w:rsidR="00925BA6" w:rsidRPr="00B86B2C" w14:paraId="1847B3D0" w14:textId="77777777" w:rsidTr="005F5B28">
        <w:trPr>
          <w:trHeight w:val="330"/>
        </w:trPr>
        <w:tc>
          <w:tcPr>
            <w:tcW w:w="0" w:type="auto"/>
            <w:vMerge/>
            <w:hideMark/>
          </w:tcPr>
          <w:p w14:paraId="76E6572F" w14:textId="77777777" w:rsidR="005F5B28" w:rsidRPr="00B86B2C" w:rsidRDefault="005F5B28" w:rsidP="00247DCC">
            <w:pPr>
              <w:rPr>
                <w:lang w:eastAsia="en-AU"/>
              </w:rPr>
            </w:pPr>
          </w:p>
        </w:tc>
        <w:tc>
          <w:tcPr>
            <w:tcW w:w="0" w:type="auto"/>
            <w:hideMark/>
          </w:tcPr>
          <w:p w14:paraId="7DAB8AED" w14:textId="77777777" w:rsidR="005F5B28" w:rsidRPr="00925BA6" w:rsidRDefault="005F5B28" w:rsidP="00925BA6">
            <w:pPr>
              <w:pStyle w:val="Tabletextleft"/>
            </w:pPr>
            <w:r w:rsidRPr="00925BA6">
              <w:t>Year 3</w:t>
            </w:r>
          </w:p>
        </w:tc>
        <w:tc>
          <w:tcPr>
            <w:tcW w:w="0" w:type="auto"/>
            <w:hideMark/>
          </w:tcPr>
          <w:p w14:paraId="38FD92D2" w14:textId="77777777" w:rsidR="005F5B28" w:rsidRPr="00925BA6" w:rsidRDefault="005F5B28" w:rsidP="00925BA6">
            <w:pPr>
              <w:pStyle w:val="Tabletextleft"/>
            </w:pPr>
            <w:r w:rsidRPr="00925BA6">
              <w:t>GPT3, Extended Skills (GPT4)</w:t>
            </w:r>
          </w:p>
        </w:tc>
        <w:tc>
          <w:tcPr>
            <w:tcW w:w="0" w:type="auto"/>
            <w:vMerge/>
            <w:hideMark/>
          </w:tcPr>
          <w:p w14:paraId="72F64B57" w14:textId="77777777" w:rsidR="005F5B28" w:rsidRPr="00B86B2C" w:rsidRDefault="005F5B28" w:rsidP="00247DCC">
            <w:pPr>
              <w:rPr>
                <w:lang w:eastAsia="en-AU"/>
              </w:rPr>
            </w:pPr>
          </w:p>
        </w:tc>
        <w:tc>
          <w:tcPr>
            <w:tcW w:w="0" w:type="auto"/>
            <w:vMerge/>
            <w:hideMark/>
          </w:tcPr>
          <w:p w14:paraId="6DB54CA0" w14:textId="77777777" w:rsidR="005F5B28" w:rsidRPr="00B86B2C" w:rsidRDefault="005F5B28" w:rsidP="00247DCC">
            <w:pPr>
              <w:rPr>
                <w:lang w:eastAsia="en-AU"/>
              </w:rPr>
            </w:pPr>
          </w:p>
        </w:tc>
        <w:tc>
          <w:tcPr>
            <w:tcW w:w="0" w:type="auto"/>
            <w:hideMark/>
          </w:tcPr>
          <w:p w14:paraId="5F49986C" w14:textId="77777777" w:rsidR="005F5B28" w:rsidRPr="00925BA6" w:rsidRDefault="005F5B28" w:rsidP="00925BA6">
            <w:pPr>
              <w:pStyle w:val="Tabletextleft"/>
            </w:pPr>
            <w:r w:rsidRPr="00925BA6">
              <w:t>Year 3</w:t>
            </w:r>
          </w:p>
        </w:tc>
        <w:tc>
          <w:tcPr>
            <w:tcW w:w="0" w:type="auto"/>
            <w:hideMark/>
          </w:tcPr>
          <w:p w14:paraId="256962A5" w14:textId="77777777" w:rsidR="005F5B28" w:rsidRPr="00925BA6" w:rsidRDefault="005F5B28" w:rsidP="00925BA6">
            <w:pPr>
              <w:pStyle w:val="Tabletextleft"/>
            </w:pPr>
            <w:r w:rsidRPr="00925BA6">
              <w:t>CGT3, CGT4</w:t>
            </w:r>
          </w:p>
        </w:tc>
        <w:tc>
          <w:tcPr>
            <w:tcW w:w="0" w:type="auto"/>
            <w:vMerge/>
            <w:hideMark/>
          </w:tcPr>
          <w:p w14:paraId="56FA0DA3" w14:textId="77777777" w:rsidR="005F5B28" w:rsidRPr="00B86B2C" w:rsidRDefault="005F5B28" w:rsidP="00247DCC">
            <w:pPr>
              <w:rPr>
                <w:lang w:eastAsia="en-AU"/>
              </w:rPr>
            </w:pPr>
          </w:p>
        </w:tc>
        <w:tc>
          <w:tcPr>
            <w:tcW w:w="0" w:type="auto"/>
            <w:noWrap/>
            <w:hideMark/>
          </w:tcPr>
          <w:p w14:paraId="51E9FACF" w14:textId="77777777" w:rsidR="005F5B28" w:rsidRPr="00B86B2C" w:rsidRDefault="005F5B28" w:rsidP="00247DCC">
            <w:pPr>
              <w:rPr>
                <w:lang w:eastAsia="en-AU"/>
              </w:rPr>
            </w:pPr>
          </w:p>
        </w:tc>
      </w:tr>
      <w:tr w:rsidR="00925BA6" w:rsidRPr="00B86B2C" w14:paraId="4D73433D" w14:textId="77777777" w:rsidTr="005F5B28">
        <w:trPr>
          <w:trHeight w:val="335"/>
        </w:trPr>
        <w:tc>
          <w:tcPr>
            <w:tcW w:w="0" w:type="auto"/>
            <w:noWrap/>
            <w:hideMark/>
          </w:tcPr>
          <w:p w14:paraId="11C9F986" w14:textId="77777777" w:rsidR="005F5B28" w:rsidRPr="00925BA6" w:rsidRDefault="005F5B28" w:rsidP="00925BA6">
            <w:pPr>
              <w:pStyle w:val="Tabletextleft"/>
            </w:pPr>
            <w:r w:rsidRPr="00925BA6">
              <w:t>FRACGP-RG</w:t>
            </w:r>
          </w:p>
        </w:tc>
        <w:tc>
          <w:tcPr>
            <w:tcW w:w="0" w:type="auto"/>
            <w:hideMark/>
          </w:tcPr>
          <w:p w14:paraId="0C763DAF" w14:textId="77777777" w:rsidR="005F5B28" w:rsidRPr="00925BA6" w:rsidRDefault="005F5B28" w:rsidP="00925BA6">
            <w:pPr>
              <w:pStyle w:val="Tabletextleft"/>
            </w:pPr>
            <w:r w:rsidRPr="00925BA6">
              <w:t>Year 4</w:t>
            </w:r>
          </w:p>
        </w:tc>
        <w:tc>
          <w:tcPr>
            <w:tcW w:w="0" w:type="auto"/>
            <w:hideMark/>
          </w:tcPr>
          <w:p w14:paraId="2F29184D" w14:textId="77777777" w:rsidR="005F5B28" w:rsidRPr="00925BA6" w:rsidRDefault="005F5B28" w:rsidP="00925BA6">
            <w:pPr>
              <w:pStyle w:val="Tabletextleft"/>
            </w:pPr>
            <w:r w:rsidRPr="00925BA6">
              <w:t>ARST – 52 weeks</w:t>
            </w:r>
          </w:p>
        </w:tc>
        <w:tc>
          <w:tcPr>
            <w:tcW w:w="0" w:type="auto"/>
            <w:vMerge/>
            <w:hideMark/>
          </w:tcPr>
          <w:p w14:paraId="5695FE83" w14:textId="77777777" w:rsidR="005F5B28" w:rsidRPr="00B86B2C" w:rsidRDefault="005F5B28" w:rsidP="00247DCC">
            <w:pPr>
              <w:rPr>
                <w:lang w:eastAsia="en-AU"/>
              </w:rPr>
            </w:pPr>
          </w:p>
        </w:tc>
        <w:tc>
          <w:tcPr>
            <w:tcW w:w="0" w:type="auto"/>
            <w:vMerge/>
            <w:hideMark/>
          </w:tcPr>
          <w:p w14:paraId="5351DECD" w14:textId="77777777" w:rsidR="005F5B28" w:rsidRPr="00B86B2C" w:rsidRDefault="005F5B28" w:rsidP="00247DCC">
            <w:pPr>
              <w:rPr>
                <w:lang w:eastAsia="en-AU"/>
              </w:rPr>
            </w:pPr>
          </w:p>
        </w:tc>
        <w:tc>
          <w:tcPr>
            <w:tcW w:w="0" w:type="auto"/>
            <w:hideMark/>
          </w:tcPr>
          <w:p w14:paraId="06DD37F1" w14:textId="77777777" w:rsidR="005F5B28" w:rsidRPr="00925BA6" w:rsidRDefault="005F5B28" w:rsidP="00925BA6">
            <w:pPr>
              <w:pStyle w:val="Tabletextleft"/>
            </w:pPr>
            <w:r w:rsidRPr="00925BA6">
              <w:t>Year 4</w:t>
            </w:r>
          </w:p>
        </w:tc>
        <w:tc>
          <w:tcPr>
            <w:tcW w:w="0" w:type="auto"/>
            <w:hideMark/>
          </w:tcPr>
          <w:p w14:paraId="6FB7C761" w14:textId="77777777" w:rsidR="005F5B28" w:rsidRPr="00925BA6" w:rsidRDefault="005F5B28" w:rsidP="00925BA6">
            <w:pPr>
              <w:pStyle w:val="Tabletextleft"/>
            </w:pPr>
            <w:r w:rsidRPr="00925BA6">
              <w:t>AST – 52 weeks</w:t>
            </w:r>
          </w:p>
        </w:tc>
        <w:tc>
          <w:tcPr>
            <w:tcW w:w="0" w:type="auto"/>
            <w:hideMark/>
          </w:tcPr>
          <w:p w14:paraId="7868C23B" w14:textId="77777777" w:rsidR="005F5B28" w:rsidRPr="00B86B2C" w:rsidRDefault="005F5B28" w:rsidP="00247DCC">
            <w:pPr>
              <w:rPr>
                <w:lang w:eastAsia="en-AU"/>
              </w:rPr>
            </w:pPr>
          </w:p>
        </w:tc>
        <w:tc>
          <w:tcPr>
            <w:tcW w:w="0" w:type="auto"/>
            <w:noWrap/>
            <w:hideMark/>
          </w:tcPr>
          <w:p w14:paraId="65F04426" w14:textId="77777777" w:rsidR="005F5B28" w:rsidRPr="00B86B2C" w:rsidRDefault="005F5B28" w:rsidP="00247DCC">
            <w:pPr>
              <w:rPr>
                <w:lang w:eastAsia="en-AU"/>
              </w:rPr>
            </w:pPr>
          </w:p>
        </w:tc>
      </w:tr>
      <w:tr w:rsidR="005F5B28" w:rsidRPr="00B86B2C" w14:paraId="225E3437" w14:textId="77777777" w:rsidTr="00145FB6">
        <w:trPr>
          <w:trHeight w:val="290"/>
        </w:trPr>
        <w:tc>
          <w:tcPr>
            <w:tcW w:w="0" w:type="auto"/>
            <w:gridSpan w:val="9"/>
            <w:noWrap/>
            <w:hideMark/>
          </w:tcPr>
          <w:p w14:paraId="1FA63A27" w14:textId="77777777" w:rsidR="005F5B28" w:rsidRPr="00925BA6" w:rsidRDefault="005F5B28" w:rsidP="00925BA6">
            <w:pPr>
              <w:pStyle w:val="Tabletextleft"/>
            </w:pPr>
            <w:r w:rsidRPr="00925BA6">
              <w:rPr>
                <w:lang w:eastAsia="en-AU"/>
              </w:rPr>
              <w:t>* All or part of the Mandatory Hospital Training year may be completed before starting in AGPT.  For RACGP, once Mandatory Hospital Training is complete the registrar will typically start in GPT1, but sometimes Extended Skills.  For ACRRM, once Mandatory Hospital Training is complete the registrar will typically start in CGT1, but sometimes AST.</w:t>
            </w:r>
          </w:p>
          <w:p w14:paraId="7F9B677B" w14:textId="77777777" w:rsidR="005F5B28" w:rsidRPr="00925BA6" w:rsidRDefault="005F5B28" w:rsidP="00925BA6">
            <w:pPr>
              <w:pStyle w:val="Tabletextleft"/>
            </w:pPr>
            <w:r w:rsidRPr="00925BA6">
              <w:t>GPT - 26 weeks term in community general practice</w:t>
            </w:r>
          </w:p>
          <w:p w14:paraId="05EB568C" w14:textId="77777777" w:rsidR="005F5B28" w:rsidRPr="00925BA6" w:rsidRDefault="005F5B28" w:rsidP="00925BA6">
            <w:pPr>
              <w:pStyle w:val="Tabletextleft"/>
            </w:pPr>
            <w:r w:rsidRPr="00925BA6">
              <w:t>CGT - 26 weeks term in regional, rural, remote general practices, rural hospitals, Aboriginal Medical Services (AMS), retrieval services or other health facilities accredited by ACRRM for a placement in a primary care setting.</w:t>
            </w:r>
          </w:p>
          <w:p w14:paraId="49822F52" w14:textId="3063EF55" w:rsidR="005F5B28" w:rsidRPr="00925BA6" w:rsidRDefault="005F5B28" w:rsidP="00925BA6">
            <w:pPr>
              <w:pStyle w:val="Tabletextleft"/>
            </w:pPr>
            <w:r w:rsidRPr="00925BA6">
              <w:t>PCT - 26 weeks term in community primary care placement and its sequence (exclude hospital setting)</w:t>
            </w:r>
          </w:p>
        </w:tc>
      </w:tr>
    </w:tbl>
    <w:p w14:paraId="1AC441D9" w14:textId="77777777" w:rsidR="00841111" w:rsidRDefault="00841111" w:rsidP="00CA79CF">
      <w:pPr>
        <w:pStyle w:val="Heading1"/>
        <w:sectPr w:rsidR="00841111" w:rsidSect="00C37018">
          <w:pgSz w:w="16838" w:h="11906" w:orient="landscape"/>
          <w:pgMar w:top="1418" w:right="1701" w:bottom="1418" w:left="1418" w:header="709" w:footer="709" w:gutter="0"/>
          <w:cols w:space="708"/>
          <w:titlePg/>
          <w:docGrid w:linePitch="360"/>
        </w:sectPr>
      </w:pPr>
    </w:p>
    <w:p w14:paraId="7186E094" w14:textId="77777777" w:rsidR="003E4FAF" w:rsidRPr="004F1E3D" w:rsidRDefault="006F2DF5" w:rsidP="004F1E3D">
      <w:pPr>
        <w:pStyle w:val="Heading2"/>
      </w:pPr>
      <w:bookmarkStart w:id="87" w:name="_Toc211942172"/>
      <w:bookmarkStart w:id="88" w:name="_Toc212544628"/>
      <w:bookmarkEnd w:id="85"/>
      <w:r w:rsidRPr="004F1E3D">
        <w:lastRenderedPageBreak/>
        <w:t>Appendix B</w:t>
      </w:r>
      <w:bookmarkEnd w:id="87"/>
      <w:bookmarkEnd w:id="88"/>
    </w:p>
    <w:p w14:paraId="596F2838" w14:textId="58773DB3" w:rsidR="006F2DF5" w:rsidRPr="003E4FAF" w:rsidRDefault="006F2DF5" w:rsidP="00247DCC">
      <w:r w:rsidRPr="003E4FAF">
        <w:t>The table below explicitly shows the implication of the various CGT/PCT combinations</w:t>
      </w:r>
      <w:r w:rsidR="00C76C2E" w:rsidRPr="003E4FAF">
        <w:t xml:space="preserve"> </w:t>
      </w:r>
      <w:r w:rsidR="00C76C2E" w:rsidRPr="00925BA6">
        <w:rPr>
          <w:rStyle w:val="Strong"/>
        </w:rPr>
        <w:t>for ACRRM</w:t>
      </w:r>
      <w:r w:rsidRPr="003E4FAF">
        <w:t>.</w:t>
      </w:r>
    </w:p>
    <w:p w14:paraId="1866D971" w14:textId="11530045" w:rsidR="006F2DF5" w:rsidRPr="00925BA6" w:rsidRDefault="00125C19" w:rsidP="00247DCC">
      <w:r w:rsidRPr="00925BA6">
        <w:rPr>
          <w:rStyle w:val="Strong"/>
        </w:rPr>
        <w:t>Note</w:t>
      </w:r>
      <w:r w:rsidRPr="00925BA6">
        <w:t xml:space="preserve">: This does not include GP </w:t>
      </w:r>
      <w:r w:rsidR="0064008B" w:rsidRPr="00925BA6">
        <w:t xml:space="preserve">Training </w:t>
      </w:r>
      <w:r w:rsidRPr="00925BA6">
        <w:t xml:space="preserve">Incentive Payments, that commence in </w:t>
      </w:r>
      <w:r w:rsidR="006B5812" w:rsidRPr="00925BA6">
        <w:t>semester one 2026</w:t>
      </w:r>
      <w:r w:rsidRPr="00925BA6">
        <w:t xml:space="preserve">. </w:t>
      </w:r>
    </w:p>
    <w:tbl>
      <w:tblPr>
        <w:tblStyle w:val="TableGrid"/>
        <w:tblW w:w="0" w:type="auto"/>
        <w:tblLook w:val="04A0" w:firstRow="1" w:lastRow="0" w:firstColumn="1" w:lastColumn="0" w:noHBand="0" w:noVBand="1"/>
      </w:tblPr>
      <w:tblGrid>
        <w:gridCol w:w="977"/>
        <w:gridCol w:w="996"/>
        <w:gridCol w:w="891"/>
        <w:gridCol w:w="678"/>
        <w:gridCol w:w="880"/>
        <w:gridCol w:w="928"/>
        <w:gridCol w:w="1391"/>
        <w:gridCol w:w="1391"/>
        <w:gridCol w:w="928"/>
      </w:tblGrid>
      <w:tr w:rsidR="006F2DF5" w:rsidRPr="00125490" w14:paraId="0C5D8BB2" w14:textId="77777777" w:rsidTr="00D3278F">
        <w:trPr>
          <w:cnfStyle w:val="100000000000" w:firstRow="1" w:lastRow="0" w:firstColumn="0" w:lastColumn="0" w:oddVBand="0" w:evenVBand="0" w:oddHBand="0" w:evenHBand="0" w:firstRowFirstColumn="0" w:firstRowLastColumn="0" w:lastRowFirstColumn="0" w:lastRowLastColumn="0"/>
          <w:tblHeader/>
        </w:trPr>
        <w:tc>
          <w:tcPr>
            <w:tcW w:w="0" w:type="auto"/>
          </w:tcPr>
          <w:p w14:paraId="3CB08983" w14:textId="77777777" w:rsidR="006F2DF5" w:rsidRPr="00925BA6" w:rsidRDefault="006F2DF5" w:rsidP="00247DCC">
            <w:r w:rsidRPr="00925BA6">
              <w:t>Registrar</w:t>
            </w:r>
          </w:p>
        </w:tc>
        <w:tc>
          <w:tcPr>
            <w:tcW w:w="0" w:type="auto"/>
          </w:tcPr>
          <w:p w14:paraId="5B9828AD" w14:textId="77777777" w:rsidR="006F2DF5" w:rsidRPr="00925BA6" w:rsidRDefault="006F2DF5" w:rsidP="00247DCC">
            <w:r w:rsidRPr="00925BA6">
              <w:t>Semester</w:t>
            </w:r>
          </w:p>
        </w:tc>
        <w:tc>
          <w:tcPr>
            <w:tcW w:w="0" w:type="auto"/>
          </w:tcPr>
          <w:p w14:paraId="775D56A0" w14:textId="77777777" w:rsidR="006F2DF5" w:rsidRPr="00925BA6" w:rsidRDefault="006F2DF5" w:rsidP="00247DCC">
            <w:r w:rsidRPr="00925BA6">
              <w:t>Practice MM</w:t>
            </w:r>
          </w:p>
        </w:tc>
        <w:tc>
          <w:tcPr>
            <w:tcW w:w="0" w:type="auto"/>
          </w:tcPr>
          <w:p w14:paraId="52D139E6" w14:textId="77777777" w:rsidR="006F2DF5" w:rsidRPr="00925BA6" w:rsidRDefault="006F2DF5" w:rsidP="00247DCC">
            <w:r w:rsidRPr="00925BA6">
              <w:t>Unit type</w:t>
            </w:r>
          </w:p>
        </w:tc>
        <w:tc>
          <w:tcPr>
            <w:tcW w:w="0" w:type="auto"/>
          </w:tcPr>
          <w:p w14:paraId="3FA71D79" w14:textId="77777777" w:rsidR="006F2DF5" w:rsidRPr="00925BA6" w:rsidRDefault="006F2DF5" w:rsidP="00247DCC">
            <w:r w:rsidRPr="00925BA6">
              <w:t>Unit subtype</w:t>
            </w:r>
          </w:p>
        </w:tc>
        <w:tc>
          <w:tcPr>
            <w:tcW w:w="0" w:type="auto"/>
          </w:tcPr>
          <w:p w14:paraId="09227A89" w14:textId="77777777" w:rsidR="006F2DF5" w:rsidRPr="00925BA6" w:rsidRDefault="006F2DF5" w:rsidP="00247DCC">
            <w:r w:rsidRPr="00925BA6">
              <w:t>REG payment rate</w:t>
            </w:r>
          </w:p>
        </w:tc>
        <w:tc>
          <w:tcPr>
            <w:tcW w:w="0" w:type="auto"/>
          </w:tcPr>
          <w:p w14:paraId="0AC38981" w14:textId="77777777" w:rsidR="006F2DF5" w:rsidRPr="00925BA6" w:rsidRDefault="006F2DF5" w:rsidP="00247DCC">
            <w:r w:rsidRPr="00925BA6">
              <w:t>SUP payment rate</w:t>
            </w:r>
          </w:p>
        </w:tc>
        <w:tc>
          <w:tcPr>
            <w:tcW w:w="0" w:type="auto"/>
          </w:tcPr>
          <w:p w14:paraId="0A7EC207" w14:textId="77777777" w:rsidR="006F2DF5" w:rsidRPr="00925BA6" w:rsidRDefault="006F2DF5" w:rsidP="00247DCC">
            <w:r w:rsidRPr="00925BA6">
              <w:t>PRC payment rate</w:t>
            </w:r>
          </w:p>
        </w:tc>
        <w:tc>
          <w:tcPr>
            <w:tcW w:w="0" w:type="auto"/>
          </w:tcPr>
          <w:p w14:paraId="3BE647CE" w14:textId="77777777" w:rsidR="006F2DF5" w:rsidRPr="00925BA6" w:rsidRDefault="006F2DF5" w:rsidP="00247DCC">
            <w:r w:rsidRPr="00925BA6">
              <w:t>SSP payment rate</w:t>
            </w:r>
          </w:p>
        </w:tc>
      </w:tr>
      <w:tr w:rsidR="006F2DF5" w:rsidRPr="00125490" w14:paraId="6F29B773" w14:textId="77777777" w:rsidTr="00D3278F">
        <w:tc>
          <w:tcPr>
            <w:tcW w:w="0" w:type="auto"/>
            <w:vMerge w:val="restart"/>
          </w:tcPr>
          <w:p w14:paraId="7BC4E7AE" w14:textId="77777777" w:rsidR="006F2DF5" w:rsidRPr="00925BA6" w:rsidRDefault="006F2DF5" w:rsidP="00247DCC">
            <w:r w:rsidRPr="00925BA6">
              <w:t>1</w:t>
            </w:r>
          </w:p>
        </w:tc>
        <w:tc>
          <w:tcPr>
            <w:tcW w:w="0" w:type="auto"/>
          </w:tcPr>
          <w:p w14:paraId="4BF8EB02" w14:textId="77777777" w:rsidR="006F2DF5" w:rsidRPr="00925BA6" w:rsidRDefault="006F2DF5" w:rsidP="00925BA6">
            <w:pPr>
              <w:pStyle w:val="Tabletextleft"/>
            </w:pPr>
            <w:r w:rsidRPr="00925BA6">
              <w:t>2026.1</w:t>
            </w:r>
          </w:p>
        </w:tc>
        <w:tc>
          <w:tcPr>
            <w:tcW w:w="0" w:type="auto"/>
          </w:tcPr>
          <w:p w14:paraId="275C7BAD" w14:textId="77777777" w:rsidR="006F2DF5" w:rsidRPr="00925BA6" w:rsidRDefault="006F2DF5" w:rsidP="00925BA6">
            <w:pPr>
              <w:pStyle w:val="Tabletextleft"/>
            </w:pPr>
            <w:r w:rsidRPr="00925BA6">
              <w:t>1</w:t>
            </w:r>
          </w:p>
        </w:tc>
        <w:tc>
          <w:tcPr>
            <w:tcW w:w="0" w:type="auto"/>
          </w:tcPr>
          <w:p w14:paraId="22016E6C" w14:textId="77777777" w:rsidR="006F2DF5" w:rsidRPr="00925BA6" w:rsidRDefault="006F2DF5" w:rsidP="00925BA6">
            <w:pPr>
              <w:pStyle w:val="Tabletextleft"/>
            </w:pPr>
            <w:r w:rsidRPr="00925BA6">
              <w:t>CGT1</w:t>
            </w:r>
          </w:p>
        </w:tc>
        <w:tc>
          <w:tcPr>
            <w:tcW w:w="0" w:type="auto"/>
          </w:tcPr>
          <w:p w14:paraId="2BF5DF28" w14:textId="77777777" w:rsidR="006F2DF5" w:rsidRPr="00925BA6" w:rsidRDefault="006F2DF5" w:rsidP="00925BA6">
            <w:pPr>
              <w:pStyle w:val="Tabletextleft"/>
            </w:pPr>
            <w:r w:rsidRPr="00925BA6">
              <w:t>PCT1</w:t>
            </w:r>
          </w:p>
        </w:tc>
        <w:tc>
          <w:tcPr>
            <w:tcW w:w="0" w:type="auto"/>
          </w:tcPr>
          <w:p w14:paraId="127EC4AC" w14:textId="77777777" w:rsidR="006F2DF5" w:rsidRPr="00925BA6" w:rsidRDefault="006F2DF5" w:rsidP="00925BA6">
            <w:pPr>
              <w:pStyle w:val="Tabletextleft"/>
            </w:pPr>
            <w:r w:rsidRPr="00925BA6">
              <w:t>No payment</w:t>
            </w:r>
          </w:p>
        </w:tc>
        <w:tc>
          <w:tcPr>
            <w:tcW w:w="0" w:type="auto"/>
          </w:tcPr>
          <w:p w14:paraId="244BA45F" w14:textId="77777777" w:rsidR="006F2DF5" w:rsidRPr="00925BA6" w:rsidRDefault="006F2DF5" w:rsidP="00925BA6">
            <w:pPr>
              <w:pStyle w:val="Tabletextleft"/>
            </w:pPr>
            <w:r w:rsidRPr="00925BA6">
              <w:t>MM 1-2 \ PCT1</w:t>
            </w:r>
          </w:p>
        </w:tc>
        <w:tc>
          <w:tcPr>
            <w:tcW w:w="0" w:type="auto"/>
          </w:tcPr>
          <w:p w14:paraId="04ED9899" w14:textId="77777777" w:rsidR="006F2DF5" w:rsidRPr="00925BA6" w:rsidRDefault="006F2DF5" w:rsidP="00925BA6">
            <w:pPr>
              <w:pStyle w:val="Tabletextleft"/>
            </w:pPr>
            <w:r w:rsidRPr="00925BA6">
              <w:t>MM 1-2 \ PCT1</w:t>
            </w:r>
          </w:p>
        </w:tc>
        <w:tc>
          <w:tcPr>
            <w:tcW w:w="0" w:type="auto"/>
          </w:tcPr>
          <w:p w14:paraId="2A03CF05" w14:textId="77777777" w:rsidR="006F2DF5" w:rsidRPr="00925BA6" w:rsidRDefault="006F2DF5" w:rsidP="00925BA6">
            <w:pPr>
              <w:pStyle w:val="Tabletextleft"/>
            </w:pPr>
            <w:r w:rsidRPr="00925BA6">
              <w:t>MM 1-2</w:t>
            </w:r>
          </w:p>
        </w:tc>
      </w:tr>
      <w:tr w:rsidR="006F2DF5" w:rsidRPr="00125490" w14:paraId="006534CF" w14:textId="77777777" w:rsidTr="00D3278F">
        <w:tc>
          <w:tcPr>
            <w:tcW w:w="0" w:type="auto"/>
            <w:vMerge/>
          </w:tcPr>
          <w:p w14:paraId="2E6F9F4E" w14:textId="77777777" w:rsidR="006F2DF5" w:rsidRPr="006D3D9D" w:rsidRDefault="006F2DF5" w:rsidP="00247DCC"/>
        </w:tc>
        <w:tc>
          <w:tcPr>
            <w:tcW w:w="0" w:type="auto"/>
          </w:tcPr>
          <w:p w14:paraId="0B3F35CD" w14:textId="77777777" w:rsidR="006F2DF5" w:rsidRPr="00925BA6" w:rsidRDefault="006F2DF5" w:rsidP="00925BA6">
            <w:pPr>
              <w:pStyle w:val="Tabletextleft"/>
            </w:pPr>
            <w:r w:rsidRPr="00925BA6">
              <w:t>2026.2</w:t>
            </w:r>
          </w:p>
        </w:tc>
        <w:tc>
          <w:tcPr>
            <w:tcW w:w="0" w:type="auto"/>
          </w:tcPr>
          <w:p w14:paraId="12FFB15F" w14:textId="77777777" w:rsidR="006F2DF5" w:rsidRPr="00925BA6" w:rsidRDefault="006F2DF5" w:rsidP="00925BA6">
            <w:pPr>
              <w:pStyle w:val="Tabletextleft"/>
            </w:pPr>
            <w:r w:rsidRPr="00925BA6">
              <w:t>3</w:t>
            </w:r>
          </w:p>
        </w:tc>
        <w:tc>
          <w:tcPr>
            <w:tcW w:w="0" w:type="auto"/>
          </w:tcPr>
          <w:p w14:paraId="76445051" w14:textId="77777777" w:rsidR="006F2DF5" w:rsidRPr="00925BA6" w:rsidRDefault="006F2DF5" w:rsidP="00925BA6">
            <w:pPr>
              <w:pStyle w:val="Tabletextleft"/>
            </w:pPr>
            <w:r w:rsidRPr="00925BA6">
              <w:t>CGT2</w:t>
            </w:r>
          </w:p>
        </w:tc>
        <w:tc>
          <w:tcPr>
            <w:tcW w:w="0" w:type="auto"/>
          </w:tcPr>
          <w:p w14:paraId="35CA2638" w14:textId="77777777" w:rsidR="006F2DF5" w:rsidRPr="00925BA6" w:rsidRDefault="006F2DF5" w:rsidP="00925BA6">
            <w:pPr>
              <w:pStyle w:val="Tabletextleft"/>
            </w:pPr>
            <w:r w:rsidRPr="00925BA6">
              <w:t>PCT2</w:t>
            </w:r>
          </w:p>
        </w:tc>
        <w:tc>
          <w:tcPr>
            <w:tcW w:w="0" w:type="auto"/>
          </w:tcPr>
          <w:p w14:paraId="2728F050" w14:textId="77777777" w:rsidR="006F2DF5" w:rsidRPr="00925BA6" w:rsidRDefault="006F2DF5" w:rsidP="00925BA6">
            <w:pPr>
              <w:pStyle w:val="Tabletextleft"/>
            </w:pPr>
            <w:r w:rsidRPr="00925BA6">
              <w:t>MM 3-4</w:t>
            </w:r>
          </w:p>
        </w:tc>
        <w:tc>
          <w:tcPr>
            <w:tcW w:w="0" w:type="auto"/>
          </w:tcPr>
          <w:p w14:paraId="6897E8DA" w14:textId="77777777" w:rsidR="006F2DF5" w:rsidRPr="00925BA6" w:rsidRDefault="006F2DF5" w:rsidP="00925BA6">
            <w:pPr>
              <w:pStyle w:val="Tabletextleft"/>
            </w:pPr>
            <w:r w:rsidRPr="00925BA6">
              <w:t>MM 3-4 \ PCT2</w:t>
            </w:r>
          </w:p>
        </w:tc>
        <w:tc>
          <w:tcPr>
            <w:tcW w:w="0" w:type="auto"/>
          </w:tcPr>
          <w:p w14:paraId="26CCF174" w14:textId="77777777" w:rsidR="006F2DF5" w:rsidRPr="00925BA6" w:rsidRDefault="006F2DF5" w:rsidP="00925BA6">
            <w:pPr>
              <w:pStyle w:val="Tabletextleft"/>
            </w:pPr>
            <w:r w:rsidRPr="00925BA6">
              <w:t>MM 3-4 \ PCT2</w:t>
            </w:r>
          </w:p>
        </w:tc>
        <w:tc>
          <w:tcPr>
            <w:tcW w:w="0" w:type="auto"/>
          </w:tcPr>
          <w:p w14:paraId="1F57A517" w14:textId="77777777" w:rsidR="006F2DF5" w:rsidRPr="00925BA6" w:rsidRDefault="006F2DF5" w:rsidP="00925BA6">
            <w:pPr>
              <w:pStyle w:val="Tabletextleft"/>
            </w:pPr>
            <w:r w:rsidRPr="00925BA6">
              <w:t>MM 3-5</w:t>
            </w:r>
          </w:p>
        </w:tc>
      </w:tr>
      <w:tr w:rsidR="006F2DF5" w:rsidRPr="00125490" w14:paraId="583A9AE4" w14:textId="77777777" w:rsidTr="00D3278F">
        <w:tc>
          <w:tcPr>
            <w:tcW w:w="0" w:type="auto"/>
            <w:vMerge/>
          </w:tcPr>
          <w:p w14:paraId="45A78752" w14:textId="77777777" w:rsidR="006F2DF5" w:rsidRPr="006D3D9D" w:rsidRDefault="006F2DF5" w:rsidP="00247DCC"/>
        </w:tc>
        <w:tc>
          <w:tcPr>
            <w:tcW w:w="0" w:type="auto"/>
          </w:tcPr>
          <w:p w14:paraId="46FF2F61" w14:textId="77777777" w:rsidR="006F2DF5" w:rsidRPr="00925BA6" w:rsidRDefault="006F2DF5" w:rsidP="00925BA6">
            <w:pPr>
              <w:pStyle w:val="Tabletextleft"/>
            </w:pPr>
            <w:r w:rsidRPr="00925BA6">
              <w:t>2027.1</w:t>
            </w:r>
          </w:p>
        </w:tc>
        <w:tc>
          <w:tcPr>
            <w:tcW w:w="0" w:type="auto"/>
          </w:tcPr>
          <w:p w14:paraId="46C97541" w14:textId="77777777" w:rsidR="006F2DF5" w:rsidRPr="00925BA6" w:rsidRDefault="006F2DF5" w:rsidP="00925BA6">
            <w:pPr>
              <w:pStyle w:val="Tabletextleft"/>
            </w:pPr>
            <w:r w:rsidRPr="00925BA6">
              <w:t>6</w:t>
            </w:r>
          </w:p>
        </w:tc>
        <w:tc>
          <w:tcPr>
            <w:tcW w:w="0" w:type="auto"/>
          </w:tcPr>
          <w:p w14:paraId="39A4105C" w14:textId="77777777" w:rsidR="006F2DF5" w:rsidRPr="00925BA6" w:rsidRDefault="006F2DF5" w:rsidP="00925BA6">
            <w:pPr>
              <w:pStyle w:val="Tabletextleft"/>
            </w:pPr>
            <w:r w:rsidRPr="00925BA6">
              <w:t>CGT3</w:t>
            </w:r>
          </w:p>
        </w:tc>
        <w:tc>
          <w:tcPr>
            <w:tcW w:w="0" w:type="auto"/>
          </w:tcPr>
          <w:p w14:paraId="661479C7" w14:textId="77777777" w:rsidR="006F2DF5" w:rsidRPr="00925BA6" w:rsidRDefault="006F2DF5" w:rsidP="00925BA6">
            <w:pPr>
              <w:pStyle w:val="Tabletextleft"/>
            </w:pPr>
            <w:r w:rsidRPr="00925BA6">
              <w:t>PCT3</w:t>
            </w:r>
          </w:p>
        </w:tc>
        <w:tc>
          <w:tcPr>
            <w:tcW w:w="0" w:type="auto"/>
          </w:tcPr>
          <w:p w14:paraId="3A90B7C3" w14:textId="77777777" w:rsidR="006F2DF5" w:rsidRPr="00925BA6" w:rsidRDefault="006F2DF5" w:rsidP="00925BA6">
            <w:pPr>
              <w:pStyle w:val="Tabletextleft"/>
            </w:pPr>
            <w:r w:rsidRPr="00925BA6">
              <w:t>MM 6-7</w:t>
            </w:r>
          </w:p>
        </w:tc>
        <w:tc>
          <w:tcPr>
            <w:tcW w:w="0" w:type="auto"/>
          </w:tcPr>
          <w:p w14:paraId="5CE67FF7" w14:textId="77777777" w:rsidR="006F2DF5" w:rsidRPr="00925BA6" w:rsidRDefault="006F2DF5" w:rsidP="00925BA6">
            <w:pPr>
              <w:pStyle w:val="Tabletextleft"/>
            </w:pPr>
            <w:r w:rsidRPr="00925BA6">
              <w:t>MM 6-7 \ PCT3</w:t>
            </w:r>
          </w:p>
        </w:tc>
        <w:tc>
          <w:tcPr>
            <w:tcW w:w="0" w:type="auto"/>
          </w:tcPr>
          <w:p w14:paraId="11C8158D" w14:textId="77777777" w:rsidR="006F2DF5" w:rsidRPr="00925BA6" w:rsidRDefault="006F2DF5" w:rsidP="00925BA6">
            <w:pPr>
              <w:pStyle w:val="Tabletextleft"/>
            </w:pPr>
            <w:r w:rsidRPr="00925BA6">
              <w:t>No payment</w:t>
            </w:r>
          </w:p>
        </w:tc>
        <w:tc>
          <w:tcPr>
            <w:tcW w:w="0" w:type="auto"/>
          </w:tcPr>
          <w:p w14:paraId="43EF8E80" w14:textId="77777777" w:rsidR="006F2DF5" w:rsidRPr="00925BA6" w:rsidRDefault="006F2DF5" w:rsidP="00925BA6">
            <w:pPr>
              <w:pStyle w:val="Tabletextleft"/>
            </w:pPr>
            <w:r w:rsidRPr="00925BA6">
              <w:t>MM 6</w:t>
            </w:r>
          </w:p>
        </w:tc>
      </w:tr>
      <w:tr w:rsidR="006F2DF5" w:rsidRPr="00125490" w14:paraId="5A68D33C" w14:textId="77777777" w:rsidTr="00D3278F">
        <w:tc>
          <w:tcPr>
            <w:tcW w:w="0" w:type="auto"/>
            <w:vMerge/>
          </w:tcPr>
          <w:p w14:paraId="5B55073A" w14:textId="77777777" w:rsidR="006F2DF5" w:rsidRPr="006D3D9D" w:rsidRDefault="006F2DF5" w:rsidP="00247DCC"/>
        </w:tc>
        <w:tc>
          <w:tcPr>
            <w:tcW w:w="0" w:type="auto"/>
          </w:tcPr>
          <w:p w14:paraId="68031336" w14:textId="77777777" w:rsidR="006F2DF5" w:rsidRPr="00925BA6" w:rsidRDefault="006F2DF5" w:rsidP="00925BA6">
            <w:pPr>
              <w:pStyle w:val="Tabletextleft"/>
            </w:pPr>
            <w:r w:rsidRPr="00925BA6">
              <w:t>2027.2</w:t>
            </w:r>
          </w:p>
        </w:tc>
        <w:tc>
          <w:tcPr>
            <w:tcW w:w="0" w:type="auto"/>
          </w:tcPr>
          <w:p w14:paraId="5904E1F9" w14:textId="77777777" w:rsidR="006F2DF5" w:rsidRPr="00925BA6" w:rsidRDefault="006F2DF5" w:rsidP="00925BA6">
            <w:pPr>
              <w:pStyle w:val="Tabletextleft"/>
            </w:pPr>
            <w:r w:rsidRPr="00925BA6">
              <w:t>1</w:t>
            </w:r>
          </w:p>
        </w:tc>
        <w:tc>
          <w:tcPr>
            <w:tcW w:w="0" w:type="auto"/>
          </w:tcPr>
          <w:p w14:paraId="2B5DE1C1" w14:textId="77777777" w:rsidR="006F2DF5" w:rsidRPr="00925BA6" w:rsidRDefault="006F2DF5" w:rsidP="00925BA6">
            <w:pPr>
              <w:pStyle w:val="Tabletextleft"/>
            </w:pPr>
            <w:r w:rsidRPr="00925BA6">
              <w:t>CGT4</w:t>
            </w:r>
          </w:p>
        </w:tc>
        <w:tc>
          <w:tcPr>
            <w:tcW w:w="0" w:type="auto"/>
          </w:tcPr>
          <w:p w14:paraId="4BAA69DA" w14:textId="77777777" w:rsidR="006F2DF5" w:rsidRPr="00925BA6" w:rsidRDefault="006F2DF5" w:rsidP="00925BA6">
            <w:pPr>
              <w:pStyle w:val="Tabletextleft"/>
            </w:pPr>
          </w:p>
        </w:tc>
        <w:tc>
          <w:tcPr>
            <w:tcW w:w="0" w:type="auto"/>
          </w:tcPr>
          <w:p w14:paraId="63ABA7A3" w14:textId="77777777" w:rsidR="006F2DF5" w:rsidRPr="00925BA6" w:rsidRDefault="006F2DF5" w:rsidP="00925BA6">
            <w:pPr>
              <w:pStyle w:val="Tabletextleft"/>
            </w:pPr>
            <w:r w:rsidRPr="00925BA6">
              <w:t>No payment</w:t>
            </w:r>
          </w:p>
        </w:tc>
        <w:tc>
          <w:tcPr>
            <w:tcW w:w="0" w:type="auto"/>
          </w:tcPr>
          <w:p w14:paraId="4B4AF114" w14:textId="77777777" w:rsidR="006F2DF5" w:rsidRPr="00925BA6" w:rsidRDefault="006F2DF5" w:rsidP="00925BA6">
            <w:pPr>
              <w:pStyle w:val="Tabletextleft"/>
            </w:pPr>
            <w:r w:rsidRPr="00925BA6">
              <w:t>No payment</w:t>
            </w:r>
          </w:p>
        </w:tc>
        <w:tc>
          <w:tcPr>
            <w:tcW w:w="0" w:type="auto"/>
          </w:tcPr>
          <w:p w14:paraId="150F7671" w14:textId="77777777" w:rsidR="006F2DF5" w:rsidRPr="00925BA6" w:rsidRDefault="006F2DF5" w:rsidP="00925BA6">
            <w:pPr>
              <w:pStyle w:val="Tabletextleft"/>
            </w:pPr>
            <w:r w:rsidRPr="00925BA6">
              <w:t>No payment</w:t>
            </w:r>
          </w:p>
        </w:tc>
        <w:tc>
          <w:tcPr>
            <w:tcW w:w="0" w:type="auto"/>
          </w:tcPr>
          <w:p w14:paraId="0D3F8F4A" w14:textId="77777777" w:rsidR="006F2DF5" w:rsidRPr="00925BA6" w:rsidRDefault="006F2DF5" w:rsidP="00925BA6">
            <w:pPr>
              <w:pStyle w:val="Tabletextleft"/>
            </w:pPr>
            <w:r w:rsidRPr="00925BA6">
              <w:t>MM 1-2</w:t>
            </w:r>
          </w:p>
        </w:tc>
      </w:tr>
      <w:tr w:rsidR="006F2DF5" w:rsidRPr="00125490" w14:paraId="2640E5E7" w14:textId="77777777" w:rsidTr="00D3278F">
        <w:tc>
          <w:tcPr>
            <w:tcW w:w="0" w:type="auto"/>
            <w:vMerge w:val="restart"/>
          </w:tcPr>
          <w:p w14:paraId="01D2EE30" w14:textId="6A3CF6EA" w:rsidR="006F2DF5" w:rsidRPr="006D3D9D" w:rsidRDefault="006F2DF5" w:rsidP="00D3278F">
            <w:r w:rsidRPr="00925BA6">
              <w:t>2</w:t>
            </w:r>
          </w:p>
        </w:tc>
        <w:tc>
          <w:tcPr>
            <w:tcW w:w="0" w:type="auto"/>
          </w:tcPr>
          <w:p w14:paraId="1408499C" w14:textId="77777777" w:rsidR="006F2DF5" w:rsidRPr="00925BA6" w:rsidRDefault="006F2DF5" w:rsidP="00925BA6">
            <w:pPr>
              <w:pStyle w:val="Tabletextleft"/>
            </w:pPr>
            <w:r w:rsidRPr="00925BA6">
              <w:t>2026.1</w:t>
            </w:r>
          </w:p>
        </w:tc>
        <w:tc>
          <w:tcPr>
            <w:tcW w:w="0" w:type="auto"/>
          </w:tcPr>
          <w:p w14:paraId="1CFCA98E" w14:textId="77777777" w:rsidR="006F2DF5" w:rsidRPr="00925BA6" w:rsidRDefault="006F2DF5" w:rsidP="00925BA6">
            <w:pPr>
              <w:pStyle w:val="Tabletextleft"/>
            </w:pPr>
            <w:r w:rsidRPr="00925BA6">
              <w:t>1</w:t>
            </w:r>
          </w:p>
        </w:tc>
        <w:tc>
          <w:tcPr>
            <w:tcW w:w="0" w:type="auto"/>
          </w:tcPr>
          <w:p w14:paraId="24016E2B" w14:textId="77777777" w:rsidR="006F2DF5" w:rsidRPr="00925BA6" w:rsidRDefault="006F2DF5" w:rsidP="00925BA6">
            <w:pPr>
              <w:pStyle w:val="Tabletextleft"/>
            </w:pPr>
            <w:r w:rsidRPr="00925BA6">
              <w:t>CGT1</w:t>
            </w:r>
          </w:p>
        </w:tc>
        <w:tc>
          <w:tcPr>
            <w:tcW w:w="0" w:type="auto"/>
          </w:tcPr>
          <w:p w14:paraId="65EC371E" w14:textId="77777777" w:rsidR="006F2DF5" w:rsidRPr="00925BA6" w:rsidRDefault="006F2DF5" w:rsidP="00925BA6">
            <w:pPr>
              <w:pStyle w:val="Tabletextleft"/>
            </w:pPr>
          </w:p>
        </w:tc>
        <w:tc>
          <w:tcPr>
            <w:tcW w:w="0" w:type="auto"/>
          </w:tcPr>
          <w:p w14:paraId="320B6F63" w14:textId="77777777" w:rsidR="006F2DF5" w:rsidRPr="00925BA6" w:rsidRDefault="006F2DF5" w:rsidP="00925BA6">
            <w:pPr>
              <w:pStyle w:val="Tabletextleft"/>
            </w:pPr>
            <w:r w:rsidRPr="00925BA6">
              <w:t>No payment</w:t>
            </w:r>
          </w:p>
        </w:tc>
        <w:tc>
          <w:tcPr>
            <w:tcW w:w="0" w:type="auto"/>
          </w:tcPr>
          <w:p w14:paraId="7BBCFB9C" w14:textId="77777777" w:rsidR="006F2DF5" w:rsidRPr="00925BA6" w:rsidRDefault="006F2DF5" w:rsidP="00925BA6">
            <w:pPr>
              <w:pStyle w:val="Tabletextleft"/>
            </w:pPr>
            <w:r w:rsidRPr="00925BA6">
              <w:t>No payment</w:t>
            </w:r>
          </w:p>
        </w:tc>
        <w:tc>
          <w:tcPr>
            <w:tcW w:w="0" w:type="auto"/>
          </w:tcPr>
          <w:p w14:paraId="1C0D76ED" w14:textId="77777777" w:rsidR="006F2DF5" w:rsidRPr="00925BA6" w:rsidRDefault="006F2DF5" w:rsidP="00925BA6">
            <w:pPr>
              <w:pStyle w:val="Tabletextleft"/>
            </w:pPr>
            <w:r w:rsidRPr="00925BA6">
              <w:t>No payment</w:t>
            </w:r>
          </w:p>
        </w:tc>
        <w:tc>
          <w:tcPr>
            <w:tcW w:w="0" w:type="auto"/>
          </w:tcPr>
          <w:p w14:paraId="4B982143" w14:textId="77777777" w:rsidR="006F2DF5" w:rsidRPr="00925BA6" w:rsidRDefault="006F2DF5" w:rsidP="00925BA6">
            <w:pPr>
              <w:pStyle w:val="Tabletextleft"/>
            </w:pPr>
            <w:r w:rsidRPr="00925BA6">
              <w:t>MM 1-2</w:t>
            </w:r>
          </w:p>
        </w:tc>
      </w:tr>
      <w:tr w:rsidR="006F2DF5" w:rsidRPr="00125490" w14:paraId="5DF6F7D5" w14:textId="77777777" w:rsidTr="00D3278F">
        <w:tc>
          <w:tcPr>
            <w:tcW w:w="0" w:type="auto"/>
            <w:vMerge/>
          </w:tcPr>
          <w:p w14:paraId="22C08B3D" w14:textId="77777777" w:rsidR="006F2DF5" w:rsidRPr="006D3D9D" w:rsidRDefault="006F2DF5" w:rsidP="00247DCC"/>
        </w:tc>
        <w:tc>
          <w:tcPr>
            <w:tcW w:w="0" w:type="auto"/>
          </w:tcPr>
          <w:p w14:paraId="4FAA5F1A" w14:textId="77777777" w:rsidR="006F2DF5" w:rsidRPr="00925BA6" w:rsidRDefault="006F2DF5" w:rsidP="00925BA6">
            <w:pPr>
              <w:pStyle w:val="Tabletextleft"/>
            </w:pPr>
            <w:r w:rsidRPr="00925BA6">
              <w:t>2026.2</w:t>
            </w:r>
          </w:p>
        </w:tc>
        <w:tc>
          <w:tcPr>
            <w:tcW w:w="0" w:type="auto"/>
          </w:tcPr>
          <w:p w14:paraId="560F4E46" w14:textId="77777777" w:rsidR="006F2DF5" w:rsidRPr="00925BA6" w:rsidRDefault="006F2DF5" w:rsidP="00925BA6">
            <w:pPr>
              <w:pStyle w:val="Tabletextleft"/>
            </w:pPr>
            <w:r w:rsidRPr="00925BA6">
              <w:t>3</w:t>
            </w:r>
          </w:p>
        </w:tc>
        <w:tc>
          <w:tcPr>
            <w:tcW w:w="0" w:type="auto"/>
          </w:tcPr>
          <w:p w14:paraId="243AA780" w14:textId="77777777" w:rsidR="006F2DF5" w:rsidRPr="00925BA6" w:rsidRDefault="006F2DF5" w:rsidP="00925BA6">
            <w:pPr>
              <w:pStyle w:val="Tabletextleft"/>
            </w:pPr>
            <w:r w:rsidRPr="00925BA6">
              <w:t>CGT2</w:t>
            </w:r>
          </w:p>
        </w:tc>
        <w:tc>
          <w:tcPr>
            <w:tcW w:w="0" w:type="auto"/>
          </w:tcPr>
          <w:p w14:paraId="7938ABB1" w14:textId="77777777" w:rsidR="006F2DF5" w:rsidRPr="00925BA6" w:rsidRDefault="006F2DF5" w:rsidP="00925BA6">
            <w:pPr>
              <w:pStyle w:val="Tabletextleft"/>
            </w:pPr>
            <w:r w:rsidRPr="00925BA6">
              <w:t>PCT1</w:t>
            </w:r>
          </w:p>
        </w:tc>
        <w:tc>
          <w:tcPr>
            <w:tcW w:w="0" w:type="auto"/>
          </w:tcPr>
          <w:p w14:paraId="0E1FAF79" w14:textId="77777777" w:rsidR="006F2DF5" w:rsidRPr="00925BA6" w:rsidRDefault="006F2DF5" w:rsidP="00925BA6">
            <w:pPr>
              <w:pStyle w:val="Tabletextleft"/>
            </w:pPr>
            <w:r w:rsidRPr="00925BA6">
              <w:t>MM 3-4</w:t>
            </w:r>
          </w:p>
        </w:tc>
        <w:tc>
          <w:tcPr>
            <w:tcW w:w="0" w:type="auto"/>
          </w:tcPr>
          <w:p w14:paraId="709B6655" w14:textId="77777777" w:rsidR="006F2DF5" w:rsidRPr="00925BA6" w:rsidRDefault="006F2DF5" w:rsidP="00925BA6">
            <w:pPr>
              <w:pStyle w:val="Tabletextleft"/>
            </w:pPr>
            <w:r w:rsidRPr="00925BA6">
              <w:t>MM 3-4 \ PCT1</w:t>
            </w:r>
          </w:p>
        </w:tc>
        <w:tc>
          <w:tcPr>
            <w:tcW w:w="0" w:type="auto"/>
          </w:tcPr>
          <w:p w14:paraId="14B1BF9F" w14:textId="77777777" w:rsidR="006F2DF5" w:rsidRPr="00925BA6" w:rsidRDefault="006F2DF5" w:rsidP="00925BA6">
            <w:pPr>
              <w:pStyle w:val="Tabletextleft"/>
            </w:pPr>
            <w:r w:rsidRPr="00925BA6">
              <w:t>MM 3-4 \ PCT1</w:t>
            </w:r>
          </w:p>
        </w:tc>
        <w:tc>
          <w:tcPr>
            <w:tcW w:w="0" w:type="auto"/>
          </w:tcPr>
          <w:p w14:paraId="0210EA3E" w14:textId="77777777" w:rsidR="006F2DF5" w:rsidRPr="00925BA6" w:rsidRDefault="006F2DF5" w:rsidP="00925BA6">
            <w:pPr>
              <w:pStyle w:val="Tabletextleft"/>
            </w:pPr>
            <w:r w:rsidRPr="00925BA6">
              <w:t>MM 3-5</w:t>
            </w:r>
          </w:p>
        </w:tc>
      </w:tr>
      <w:tr w:rsidR="006F2DF5" w:rsidRPr="00125490" w14:paraId="627CF919" w14:textId="77777777" w:rsidTr="00D3278F">
        <w:tc>
          <w:tcPr>
            <w:tcW w:w="0" w:type="auto"/>
            <w:vMerge/>
          </w:tcPr>
          <w:p w14:paraId="668E7FC5" w14:textId="77777777" w:rsidR="006F2DF5" w:rsidRPr="006D3D9D" w:rsidRDefault="006F2DF5" w:rsidP="00247DCC"/>
        </w:tc>
        <w:tc>
          <w:tcPr>
            <w:tcW w:w="0" w:type="auto"/>
          </w:tcPr>
          <w:p w14:paraId="03C88DCC" w14:textId="77777777" w:rsidR="006F2DF5" w:rsidRPr="00925BA6" w:rsidRDefault="006F2DF5" w:rsidP="00925BA6">
            <w:pPr>
              <w:pStyle w:val="Tabletextleft"/>
            </w:pPr>
            <w:r w:rsidRPr="00925BA6">
              <w:t>2027.1</w:t>
            </w:r>
          </w:p>
        </w:tc>
        <w:tc>
          <w:tcPr>
            <w:tcW w:w="0" w:type="auto"/>
          </w:tcPr>
          <w:p w14:paraId="3FF48DCC" w14:textId="77777777" w:rsidR="006F2DF5" w:rsidRPr="00925BA6" w:rsidRDefault="006F2DF5" w:rsidP="00925BA6">
            <w:pPr>
              <w:pStyle w:val="Tabletextleft"/>
            </w:pPr>
            <w:r w:rsidRPr="00925BA6">
              <w:t>6</w:t>
            </w:r>
          </w:p>
        </w:tc>
        <w:tc>
          <w:tcPr>
            <w:tcW w:w="0" w:type="auto"/>
          </w:tcPr>
          <w:p w14:paraId="23F097EA" w14:textId="77777777" w:rsidR="006F2DF5" w:rsidRPr="00925BA6" w:rsidRDefault="006F2DF5" w:rsidP="00925BA6">
            <w:pPr>
              <w:pStyle w:val="Tabletextleft"/>
            </w:pPr>
            <w:r w:rsidRPr="00925BA6">
              <w:t>CGT3</w:t>
            </w:r>
          </w:p>
        </w:tc>
        <w:tc>
          <w:tcPr>
            <w:tcW w:w="0" w:type="auto"/>
          </w:tcPr>
          <w:p w14:paraId="6000A673" w14:textId="77777777" w:rsidR="006F2DF5" w:rsidRPr="00925BA6" w:rsidRDefault="006F2DF5" w:rsidP="00925BA6">
            <w:pPr>
              <w:pStyle w:val="Tabletextleft"/>
            </w:pPr>
            <w:r w:rsidRPr="00925BA6">
              <w:t>PCT2</w:t>
            </w:r>
          </w:p>
        </w:tc>
        <w:tc>
          <w:tcPr>
            <w:tcW w:w="0" w:type="auto"/>
          </w:tcPr>
          <w:p w14:paraId="13FE7DB2" w14:textId="77777777" w:rsidR="006F2DF5" w:rsidRPr="00925BA6" w:rsidRDefault="006F2DF5" w:rsidP="00925BA6">
            <w:pPr>
              <w:pStyle w:val="Tabletextleft"/>
            </w:pPr>
            <w:r w:rsidRPr="00925BA6">
              <w:t>MM 6-7</w:t>
            </w:r>
          </w:p>
        </w:tc>
        <w:tc>
          <w:tcPr>
            <w:tcW w:w="0" w:type="auto"/>
          </w:tcPr>
          <w:p w14:paraId="2528C911" w14:textId="77777777" w:rsidR="006F2DF5" w:rsidRPr="00925BA6" w:rsidRDefault="006F2DF5" w:rsidP="00925BA6">
            <w:pPr>
              <w:pStyle w:val="Tabletextleft"/>
            </w:pPr>
            <w:r w:rsidRPr="00925BA6">
              <w:t>MM 6-7 \ PCT2</w:t>
            </w:r>
          </w:p>
        </w:tc>
        <w:tc>
          <w:tcPr>
            <w:tcW w:w="0" w:type="auto"/>
          </w:tcPr>
          <w:p w14:paraId="28B65BE2" w14:textId="77777777" w:rsidR="006F2DF5" w:rsidRPr="00925BA6" w:rsidRDefault="006F2DF5" w:rsidP="00925BA6">
            <w:pPr>
              <w:pStyle w:val="Tabletextleft"/>
            </w:pPr>
            <w:r w:rsidRPr="00925BA6">
              <w:t>MM 6-7 \ PCT2</w:t>
            </w:r>
          </w:p>
        </w:tc>
        <w:tc>
          <w:tcPr>
            <w:tcW w:w="0" w:type="auto"/>
          </w:tcPr>
          <w:p w14:paraId="76EFA43F" w14:textId="77777777" w:rsidR="006F2DF5" w:rsidRPr="00925BA6" w:rsidRDefault="006F2DF5" w:rsidP="00925BA6">
            <w:pPr>
              <w:pStyle w:val="Tabletextleft"/>
            </w:pPr>
            <w:r w:rsidRPr="00925BA6">
              <w:t>MM 6</w:t>
            </w:r>
          </w:p>
        </w:tc>
      </w:tr>
      <w:tr w:rsidR="006F2DF5" w:rsidRPr="00125490" w14:paraId="1E4ABB9D" w14:textId="77777777" w:rsidTr="00D3278F">
        <w:tc>
          <w:tcPr>
            <w:tcW w:w="0" w:type="auto"/>
            <w:vMerge/>
          </w:tcPr>
          <w:p w14:paraId="6F6D29CB" w14:textId="77777777" w:rsidR="006F2DF5" w:rsidRPr="006D3D9D" w:rsidRDefault="006F2DF5" w:rsidP="00247DCC"/>
        </w:tc>
        <w:tc>
          <w:tcPr>
            <w:tcW w:w="0" w:type="auto"/>
          </w:tcPr>
          <w:p w14:paraId="49E9384C" w14:textId="77777777" w:rsidR="006F2DF5" w:rsidRPr="00925BA6" w:rsidRDefault="006F2DF5" w:rsidP="00925BA6">
            <w:pPr>
              <w:pStyle w:val="Tabletextleft"/>
            </w:pPr>
            <w:r w:rsidRPr="00925BA6">
              <w:t>2027.2</w:t>
            </w:r>
          </w:p>
        </w:tc>
        <w:tc>
          <w:tcPr>
            <w:tcW w:w="0" w:type="auto"/>
          </w:tcPr>
          <w:p w14:paraId="132196A6" w14:textId="77777777" w:rsidR="006F2DF5" w:rsidRPr="00925BA6" w:rsidRDefault="006F2DF5" w:rsidP="00925BA6">
            <w:pPr>
              <w:pStyle w:val="Tabletextleft"/>
            </w:pPr>
            <w:r w:rsidRPr="00925BA6">
              <w:t>5</w:t>
            </w:r>
          </w:p>
        </w:tc>
        <w:tc>
          <w:tcPr>
            <w:tcW w:w="0" w:type="auto"/>
          </w:tcPr>
          <w:p w14:paraId="0A9D2C62" w14:textId="77777777" w:rsidR="006F2DF5" w:rsidRPr="00925BA6" w:rsidRDefault="006F2DF5" w:rsidP="00925BA6">
            <w:pPr>
              <w:pStyle w:val="Tabletextleft"/>
            </w:pPr>
            <w:r w:rsidRPr="00925BA6">
              <w:t>CGT4</w:t>
            </w:r>
          </w:p>
        </w:tc>
        <w:tc>
          <w:tcPr>
            <w:tcW w:w="0" w:type="auto"/>
          </w:tcPr>
          <w:p w14:paraId="4ABC696B" w14:textId="77777777" w:rsidR="006F2DF5" w:rsidRPr="00925BA6" w:rsidRDefault="006F2DF5" w:rsidP="00925BA6">
            <w:pPr>
              <w:pStyle w:val="Tabletextleft"/>
            </w:pPr>
          </w:p>
        </w:tc>
        <w:tc>
          <w:tcPr>
            <w:tcW w:w="0" w:type="auto"/>
          </w:tcPr>
          <w:p w14:paraId="39250217" w14:textId="77777777" w:rsidR="006F2DF5" w:rsidRPr="00925BA6" w:rsidRDefault="006F2DF5" w:rsidP="00925BA6">
            <w:pPr>
              <w:pStyle w:val="Tabletextleft"/>
            </w:pPr>
            <w:r w:rsidRPr="00925BA6">
              <w:t>MM 5</w:t>
            </w:r>
          </w:p>
        </w:tc>
        <w:tc>
          <w:tcPr>
            <w:tcW w:w="0" w:type="auto"/>
          </w:tcPr>
          <w:p w14:paraId="5BCE0C7D" w14:textId="77777777" w:rsidR="006F2DF5" w:rsidRPr="00925BA6" w:rsidRDefault="006F2DF5" w:rsidP="00925BA6">
            <w:pPr>
              <w:pStyle w:val="Tabletextleft"/>
            </w:pPr>
            <w:r w:rsidRPr="00925BA6">
              <w:t>No payment</w:t>
            </w:r>
          </w:p>
        </w:tc>
        <w:tc>
          <w:tcPr>
            <w:tcW w:w="0" w:type="auto"/>
          </w:tcPr>
          <w:p w14:paraId="0AC1F2FA" w14:textId="77777777" w:rsidR="006F2DF5" w:rsidRPr="00925BA6" w:rsidRDefault="006F2DF5" w:rsidP="00925BA6">
            <w:pPr>
              <w:pStyle w:val="Tabletextleft"/>
            </w:pPr>
            <w:r w:rsidRPr="00925BA6">
              <w:t>No payment</w:t>
            </w:r>
          </w:p>
        </w:tc>
        <w:tc>
          <w:tcPr>
            <w:tcW w:w="0" w:type="auto"/>
          </w:tcPr>
          <w:p w14:paraId="4D9312F2" w14:textId="77777777" w:rsidR="006F2DF5" w:rsidRPr="00925BA6" w:rsidRDefault="006F2DF5" w:rsidP="00925BA6">
            <w:pPr>
              <w:pStyle w:val="Tabletextleft"/>
            </w:pPr>
            <w:r w:rsidRPr="00925BA6">
              <w:t>MM 3-5</w:t>
            </w:r>
          </w:p>
        </w:tc>
      </w:tr>
      <w:tr w:rsidR="006F2DF5" w:rsidRPr="00125490" w14:paraId="6BC9C252" w14:textId="77777777" w:rsidTr="00D3278F">
        <w:tc>
          <w:tcPr>
            <w:tcW w:w="0" w:type="auto"/>
            <w:vMerge w:val="restart"/>
          </w:tcPr>
          <w:p w14:paraId="512E5D6F" w14:textId="41F83603" w:rsidR="006F2DF5" w:rsidRPr="006D3D9D" w:rsidRDefault="006F2DF5" w:rsidP="00D3278F">
            <w:r w:rsidRPr="00925BA6">
              <w:t>3</w:t>
            </w:r>
          </w:p>
        </w:tc>
        <w:tc>
          <w:tcPr>
            <w:tcW w:w="0" w:type="auto"/>
          </w:tcPr>
          <w:p w14:paraId="7AC35019" w14:textId="77777777" w:rsidR="006F2DF5" w:rsidRPr="00925BA6" w:rsidRDefault="006F2DF5" w:rsidP="00925BA6">
            <w:pPr>
              <w:pStyle w:val="Tabletextleft"/>
            </w:pPr>
            <w:r w:rsidRPr="00925BA6">
              <w:t>2026.1</w:t>
            </w:r>
          </w:p>
        </w:tc>
        <w:tc>
          <w:tcPr>
            <w:tcW w:w="0" w:type="auto"/>
          </w:tcPr>
          <w:p w14:paraId="31E4DB0D" w14:textId="77777777" w:rsidR="006F2DF5" w:rsidRPr="00925BA6" w:rsidRDefault="006F2DF5" w:rsidP="00925BA6">
            <w:pPr>
              <w:pStyle w:val="Tabletextleft"/>
            </w:pPr>
            <w:r w:rsidRPr="00925BA6">
              <w:t>1</w:t>
            </w:r>
          </w:p>
        </w:tc>
        <w:tc>
          <w:tcPr>
            <w:tcW w:w="0" w:type="auto"/>
          </w:tcPr>
          <w:p w14:paraId="33B440E3" w14:textId="77777777" w:rsidR="006F2DF5" w:rsidRPr="00925BA6" w:rsidRDefault="006F2DF5" w:rsidP="00925BA6">
            <w:pPr>
              <w:pStyle w:val="Tabletextleft"/>
            </w:pPr>
            <w:r w:rsidRPr="00925BA6">
              <w:t>CGT1</w:t>
            </w:r>
          </w:p>
        </w:tc>
        <w:tc>
          <w:tcPr>
            <w:tcW w:w="0" w:type="auto"/>
          </w:tcPr>
          <w:p w14:paraId="252A2307" w14:textId="77777777" w:rsidR="006F2DF5" w:rsidRPr="00925BA6" w:rsidRDefault="006F2DF5" w:rsidP="00925BA6">
            <w:pPr>
              <w:pStyle w:val="Tabletextleft"/>
            </w:pPr>
          </w:p>
        </w:tc>
        <w:tc>
          <w:tcPr>
            <w:tcW w:w="0" w:type="auto"/>
          </w:tcPr>
          <w:p w14:paraId="5C8E7FDC" w14:textId="77777777" w:rsidR="006F2DF5" w:rsidRPr="00925BA6" w:rsidRDefault="006F2DF5" w:rsidP="00925BA6">
            <w:pPr>
              <w:pStyle w:val="Tabletextleft"/>
            </w:pPr>
            <w:r w:rsidRPr="00925BA6">
              <w:t>No payment</w:t>
            </w:r>
          </w:p>
        </w:tc>
        <w:tc>
          <w:tcPr>
            <w:tcW w:w="0" w:type="auto"/>
          </w:tcPr>
          <w:p w14:paraId="61CBFD3A" w14:textId="77777777" w:rsidR="006F2DF5" w:rsidRPr="00925BA6" w:rsidRDefault="006F2DF5" w:rsidP="00925BA6">
            <w:pPr>
              <w:pStyle w:val="Tabletextleft"/>
            </w:pPr>
            <w:r w:rsidRPr="00925BA6">
              <w:t>No payment</w:t>
            </w:r>
          </w:p>
        </w:tc>
        <w:tc>
          <w:tcPr>
            <w:tcW w:w="0" w:type="auto"/>
          </w:tcPr>
          <w:p w14:paraId="69BE7FE5" w14:textId="77777777" w:rsidR="006F2DF5" w:rsidRPr="00925BA6" w:rsidRDefault="006F2DF5" w:rsidP="00925BA6">
            <w:pPr>
              <w:pStyle w:val="Tabletextleft"/>
            </w:pPr>
            <w:r w:rsidRPr="00925BA6">
              <w:t>No payment</w:t>
            </w:r>
          </w:p>
        </w:tc>
        <w:tc>
          <w:tcPr>
            <w:tcW w:w="0" w:type="auto"/>
          </w:tcPr>
          <w:p w14:paraId="4C3D6EA0" w14:textId="77777777" w:rsidR="006F2DF5" w:rsidRPr="00925BA6" w:rsidRDefault="006F2DF5" w:rsidP="00925BA6">
            <w:pPr>
              <w:pStyle w:val="Tabletextleft"/>
            </w:pPr>
            <w:r w:rsidRPr="00925BA6">
              <w:t>MM 1-2</w:t>
            </w:r>
          </w:p>
        </w:tc>
      </w:tr>
      <w:tr w:rsidR="006F2DF5" w:rsidRPr="00125490" w14:paraId="7D9B6FB8" w14:textId="77777777" w:rsidTr="00D3278F">
        <w:tc>
          <w:tcPr>
            <w:tcW w:w="0" w:type="auto"/>
            <w:vMerge/>
          </w:tcPr>
          <w:p w14:paraId="3630A798" w14:textId="77777777" w:rsidR="006F2DF5" w:rsidRPr="006D3D9D" w:rsidRDefault="006F2DF5" w:rsidP="00247DCC"/>
        </w:tc>
        <w:tc>
          <w:tcPr>
            <w:tcW w:w="0" w:type="auto"/>
          </w:tcPr>
          <w:p w14:paraId="039A49F7" w14:textId="77777777" w:rsidR="006F2DF5" w:rsidRPr="00925BA6" w:rsidRDefault="006F2DF5" w:rsidP="00925BA6">
            <w:pPr>
              <w:pStyle w:val="Tabletextleft"/>
            </w:pPr>
            <w:r w:rsidRPr="00925BA6">
              <w:t>2026.2</w:t>
            </w:r>
          </w:p>
        </w:tc>
        <w:tc>
          <w:tcPr>
            <w:tcW w:w="0" w:type="auto"/>
          </w:tcPr>
          <w:p w14:paraId="511430BE" w14:textId="77777777" w:rsidR="006F2DF5" w:rsidRPr="00925BA6" w:rsidRDefault="006F2DF5" w:rsidP="00925BA6">
            <w:pPr>
              <w:pStyle w:val="Tabletextleft"/>
            </w:pPr>
            <w:r w:rsidRPr="00925BA6">
              <w:t>3</w:t>
            </w:r>
          </w:p>
        </w:tc>
        <w:tc>
          <w:tcPr>
            <w:tcW w:w="0" w:type="auto"/>
          </w:tcPr>
          <w:p w14:paraId="0E9EC2B7" w14:textId="77777777" w:rsidR="006F2DF5" w:rsidRPr="00925BA6" w:rsidRDefault="006F2DF5" w:rsidP="00925BA6">
            <w:pPr>
              <w:pStyle w:val="Tabletextleft"/>
            </w:pPr>
            <w:r w:rsidRPr="00925BA6">
              <w:t>CGT2</w:t>
            </w:r>
          </w:p>
        </w:tc>
        <w:tc>
          <w:tcPr>
            <w:tcW w:w="0" w:type="auto"/>
          </w:tcPr>
          <w:p w14:paraId="7BA0AA36" w14:textId="77777777" w:rsidR="006F2DF5" w:rsidRPr="00925BA6" w:rsidRDefault="006F2DF5" w:rsidP="00925BA6">
            <w:pPr>
              <w:pStyle w:val="Tabletextleft"/>
            </w:pPr>
          </w:p>
        </w:tc>
        <w:tc>
          <w:tcPr>
            <w:tcW w:w="0" w:type="auto"/>
          </w:tcPr>
          <w:p w14:paraId="5DAEE19C" w14:textId="77777777" w:rsidR="006F2DF5" w:rsidRPr="00925BA6" w:rsidRDefault="006F2DF5" w:rsidP="00925BA6">
            <w:pPr>
              <w:pStyle w:val="Tabletextleft"/>
            </w:pPr>
            <w:r w:rsidRPr="00925BA6">
              <w:t>MM 3-4</w:t>
            </w:r>
          </w:p>
        </w:tc>
        <w:tc>
          <w:tcPr>
            <w:tcW w:w="0" w:type="auto"/>
          </w:tcPr>
          <w:p w14:paraId="19121197" w14:textId="77777777" w:rsidR="006F2DF5" w:rsidRPr="00925BA6" w:rsidRDefault="006F2DF5" w:rsidP="00925BA6">
            <w:pPr>
              <w:pStyle w:val="Tabletextleft"/>
            </w:pPr>
            <w:r w:rsidRPr="00925BA6">
              <w:t>No payment</w:t>
            </w:r>
          </w:p>
        </w:tc>
        <w:tc>
          <w:tcPr>
            <w:tcW w:w="0" w:type="auto"/>
          </w:tcPr>
          <w:p w14:paraId="65398141" w14:textId="77777777" w:rsidR="006F2DF5" w:rsidRPr="00925BA6" w:rsidRDefault="006F2DF5" w:rsidP="00925BA6">
            <w:pPr>
              <w:pStyle w:val="Tabletextleft"/>
            </w:pPr>
            <w:r w:rsidRPr="00925BA6">
              <w:t>No payment</w:t>
            </w:r>
          </w:p>
        </w:tc>
        <w:tc>
          <w:tcPr>
            <w:tcW w:w="0" w:type="auto"/>
          </w:tcPr>
          <w:p w14:paraId="6A208BAE" w14:textId="77777777" w:rsidR="006F2DF5" w:rsidRPr="00925BA6" w:rsidRDefault="006F2DF5" w:rsidP="00925BA6">
            <w:pPr>
              <w:pStyle w:val="Tabletextleft"/>
            </w:pPr>
            <w:r w:rsidRPr="00925BA6">
              <w:t>MM 3-5</w:t>
            </w:r>
          </w:p>
        </w:tc>
      </w:tr>
      <w:tr w:rsidR="006F2DF5" w:rsidRPr="006D3D9D" w14:paraId="67BE288C" w14:textId="77777777" w:rsidTr="00D3278F">
        <w:trPr>
          <w:trHeight w:val="290"/>
        </w:trPr>
        <w:tc>
          <w:tcPr>
            <w:tcW w:w="0" w:type="auto"/>
            <w:vMerge/>
            <w:noWrap/>
            <w:hideMark/>
          </w:tcPr>
          <w:p w14:paraId="4F19DA0F" w14:textId="77777777" w:rsidR="006F2DF5" w:rsidRPr="006D3D9D" w:rsidRDefault="006F2DF5" w:rsidP="00247DCC">
            <w:pPr>
              <w:rPr>
                <w:lang w:eastAsia="en-AU"/>
              </w:rPr>
            </w:pPr>
          </w:p>
        </w:tc>
        <w:tc>
          <w:tcPr>
            <w:tcW w:w="0" w:type="auto"/>
            <w:noWrap/>
            <w:hideMark/>
          </w:tcPr>
          <w:p w14:paraId="2DCF40CD" w14:textId="77777777" w:rsidR="006F2DF5" w:rsidRPr="00925BA6" w:rsidRDefault="006F2DF5" w:rsidP="00247DCC">
            <w:r w:rsidRPr="00925BA6">
              <w:t>2027.1</w:t>
            </w:r>
          </w:p>
        </w:tc>
        <w:tc>
          <w:tcPr>
            <w:tcW w:w="0" w:type="auto"/>
            <w:noWrap/>
            <w:hideMark/>
          </w:tcPr>
          <w:p w14:paraId="02F5B9AA" w14:textId="77777777" w:rsidR="006F2DF5" w:rsidRPr="00925BA6" w:rsidRDefault="006F2DF5" w:rsidP="00247DCC">
            <w:r w:rsidRPr="00925BA6">
              <w:t>6</w:t>
            </w:r>
          </w:p>
        </w:tc>
        <w:tc>
          <w:tcPr>
            <w:tcW w:w="0" w:type="auto"/>
            <w:noWrap/>
            <w:hideMark/>
          </w:tcPr>
          <w:p w14:paraId="27E06349" w14:textId="77777777" w:rsidR="006F2DF5" w:rsidRPr="00925BA6" w:rsidRDefault="006F2DF5" w:rsidP="00247DCC">
            <w:r w:rsidRPr="00925BA6">
              <w:t>CGT3</w:t>
            </w:r>
          </w:p>
        </w:tc>
        <w:tc>
          <w:tcPr>
            <w:tcW w:w="0" w:type="auto"/>
            <w:noWrap/>
            <w:hideMark/>
          </w:tcPr>
          <w:p w14:paraId="664DA7A9" w14:textId="77777777" w:rsidR="006F2DF5" w:rsidRPr="00925BA6" w:rsidRDefault="006F2DF5" w:rsidP="00247DCC">
            <w:r w:rsidRPr="00925BA6">
              <w:t>PCT1</w:t>
            </w:r>
          </w:p>
        </w:tc>
        <w:tc>
          <w:tcPr>
            <w:tcW w:w="0" w:type="auto"/>
            <w:noWrap/>
            <w:hideMark/>
          </w:tcPr>
          <w:p w14:paraId="4C25DB74" w14:textId="77777777" w:rsidR="006F2DF5" w:rsidRPr="00925BA6" w:rsidRDefault="006F2DF5" w:rsidP="00247DCC">
            <w:r w:rsidRPr="00925BA6">
              <w:t>MM 6-7</w:t>
            </w:r>
          </w:p>
        </w:tc>
        <w:tc>
          <w:tcPr>
            <w:tcW w:w="0" w:type="auto"/>
            <w:noWrap/>
            <w:hideMark/>
          </w:tcPr>
          <w:p w14:paraId="6360E1E8" w14:textId="77777777" w:rsidR="006F2DF5" w:rsidRPr="00925BA6" w:rsidRDefault="006F2DF5" w:rsidP="00247DCC">
            <w:r w:rsidRPr="00925BA6">
              <w:t>MM 6-7 \ PCT1</w:t>
            </w:r>
          </w:p>
        </w:tc>
        <w:tc>
          <w:tcPr>
            <w:tcW w:w="0" w:type="auto"/>
            <w:noWrap/>
            <w:hideMark/>
          </w:tcPr>
          <w:p w14:paraId="16C76949" w14:textId="77777777" w:rsidR="006F2DF5" w:rsidRPr="00925BA6" w:rsidRDefault="006F2DF5" w:rsidP="00247DCC">
            <w:r w:rsidRPr="00925BA6">
              <w:t>MM 6-7 \ PCT1</w:t>
            </w:r>
          </w:p>
        </w:tc>
        <w:tc>
          <w:tcPr>
            <w:tcW w:w="0" w:type="auto"/>
            <w:noWrap/>
            <w:hideMark/>
          </w:tcPr>
          <w:p w14:paraId="7B1ECD7D" w14:textId="77777777" w:rsidR="006F2DF5" w:rsidRPr="00925BA6" w:rsidRDefault="006F2DF5" w:rsidP="00247DCC">
            <w:r w:rsidRPr="00925BA6">
              <w:t>MM 6</w:t>
            </w:r>
          </w:p>
        </w:tc>
      </w:tr>
      <w:tr w:rsidR="006F2DF5" w:rsidRPr="006D3D9D" w14:paraId="7C82EF15" w14:textId="77777777" w:rsidTr="00D3278F">
        <w:trPr>
          <w:trHeight w:val="290"/>
        </w:trPr>
        <w:tc>
          <w:tcPr>
            <w:tcW w:w="0" w:type="auto"/>
            <w:vMerge/>
            <w:noWrap/>
            <w:hideMark/>
          </w:tcPr>
          <w:p w14:paraId="052671AF" w14:textId="77777777" w:rsidR="006F2DF5" w:rsidRPr="006D3D9D" w:rsidRDefault="006F2DF5" w:rsidP="00247DCC">
            <w:pPr>
              <w:rPr>
                <w:lang w:eastAsia="en-AU"/>
              </w:rPr>
            </w:pPr>
          </w:p>
        </w:tc>
        <w:tc>
          <w:tcPr>
            <w:tcW w:w="0" w:type="auto"/>
            <w:noWrap/>
            <w:hideMark/>
          </w:tcPr>
          <w:p w14:paraId="2EE3EC7D" w14:textId="77777777" w:rsidR="006F2DF5" w:rsidRPr="00925BA6" w:rsidRDefault="006F2DF5" w:rsidP="00247DCC">
            <w:r w:rsidRPr="00925BA6">
              <w:t>2027.2</w:t>
            </w:r>
          </w:p>
        </w:tc>
        <w:tc>
          <w:tcPr>
            <w:tcW w:w="0" w:type="auto"/>
            <w:noWrap/>
            <w:hideMark/>
          </w:tcPr>
          <w:p w14:paraId="78F44DCD" w14:textId="77777777" w:rsidR="006F2DF5" w:rsidRPr="00925BA6" w:rsidRDefault="006F2DF5" w:rsidP="00247DCC">
            <w:r w:rsidRPr="00925BA6">
              <w:t>7</w:t>
            </w:r>
          </w:p>
        </w:tc>
        <w:tc>
          <w:tcPr>
            <w:tcW w:w="0" w:type="auto"/>
            <w:noWrap/>
            <w:hideMark/>
          </w:tcPr>
          <w:p w14:paraId="4F599BDF" w14:textId="77777777" w:rsidR="006F2DF5" w:rsidRPr="00925BA6" w:rsidRDefault="006F2DF5" w:rsidP="00247DCC">
            <w:r w:rsidRPr="00925BA6">
              <w:t>CGT4</w:t>
            </w:r>
          </w:p>
        </w:tc>
        <w:tc>
          <w:tcPr>
            <w:tcW w:w="0" w:type="auto"/>
            <w:noWrap/>
            <w:hideMark/>
          </w:tcPr>
          <w:p w14:paraId="3BBD9127" w14:textId="77777777" w:rsidR="006F2DF5" w:rsidRPr="00925BA6" w:rsidRDefault="006F2DF5" w:rsidP="00247DCC">
            <w:r w:rsidRPr="00925BA6">
              <w:t>PCT2</w:t>
            </w:r>
          </w:p>
        </w:tc>
        <w:tc>
          <w:tcPr>
            <w:tcW w:w="0" w:type="auto"/>
            <w:noWrap/>
            <w:hideMark/>
          </w:tcPr>
          <w:p w14:paraId="72766885" w14:textId="77777777" w:rsidR="006F2DF5" w:rsidRPr="00925BA6" w:rsidRDefault="006F2DF5" w:rsidP="00247DCC">
            <w:r w:rsidRPr="00925BA6">
              <w:t>MM 6-7</w:t>
            </w:r>
          </w:p>
        </w:tc>
        <w:tc>
          <w:tcPr>
            <w:tcW w:w="0" w:type="auto"/>
            <w:noWrap/>
            <w:hideMark/>
          </w:tcPr>
          <w:p w14:paraId="4394B0F9" w14:textId="77777777" w:rsidR="006F2DF5" w:rsidRPr="00925BA6" w:rsidRDefault="006F2DF5" w:rsidP="00247DCC">
            <w:r w:rsidRPr="00925BA6">
              <w:t>MM 6-7 \ PCT2</w:t>
            </w:r>
          </w:p>
        </w:tc>
        <w:tc>
          <w:tcPr>
            <w:tcW w:w="0" w:type="auto"/>
            <w:noWrap/>
            <w:hideMark/>
          </w:tcPr>
          <w:p w14:paraId="3A5627A2" w14:textId="77777777" w:rsidR="006F2DF5" w:rsidRPr="00925BA6" w:rsidRDefault="006F2DF5" w:rsidP="00247DCC">
            <w:r w:rsidRPr="00925BA6">
              <w:t>MM 6-7 \ PCT2</w:t>
            </w:r>
          </w:p>
        </w:tc>
        <w:tc>
          <w:tcPr>
            <w:tcW w:w="0" w:type="auto"/>
            <w:noWrap/>
            <w:hideMark/>
          </w:tcPr>
          <w:p w14:paraId="163B5044" w14:textId="77777777" w:rsidR="006F2DF5" w:rsidRPr="00925BA6" w:rsidRDefault="006F2DF5" w:rsidP="00247DCC">
            <w:r w:rsidRPr="00925BA6">
              <w:t>MM 7</w:t>
            </w:r>
          </w:p>
        </w:tc>
      </w:tr>
    </w:tbl>
    <w:p w14:paraId="36FB93BA" w14:textId="77777777" w:rsidR="00205A93" w:rsidRPr="004D1339" w:rsidRDefault="00205A93" w:rsidP="00247DCC">
      <w:pPr>
        <w:sectPr w:rsidR="00205A93" w:rsidRPr="004D1339" w:rsidSect="00205A93">
          <w:headerReference w:type="even" r:id="rId48"/>
          <w:headerReference w:type="default" r:id="rId49"/>
          <w:footerReference w:type="even" r:id="rId50"/>
          <w:footerReference w:type="default" r:id="rId51"/>
          <w:headerReference w:type="first" r:id="rId52"/>
          <w:footerReference w:type="first" r:id="rId53"/>
          <w:pgSz w:w="11906" w:h="16838"/>
          <w:pgMar w:top="1701" w:right="1418" w:bottom="1418" w:left="1418" w:header="709" w:footer="709" w:gutter="0"/>
          <w:cols w:space="708"/>
          <w:docGrid w:linePitch="360"/>
        </w:sectPr>
      </w:pPr>
    </w:p>
    <w:p w14:paraId="6C5F0788" w14:textId="77777777" w:rsidR="00205A93" w:rsidRPr="004D1339" w:rsidRDefault="00205A93" w:rsidP="00247DCC">
      <w:pPr>
        <w:pStyle w:val="URL"/>
      </w:pPr>
      <w:r w:rsidRPr="004D1339">
        <w:lastRenderedPageBreak/>
        <w:t>Health.gov.au</w:t>
      </w:r>
    </w:p>
    <w:p w14:paraId="14B0D8C1" w14:textId="1B404347" w:rsidR="00205A93" w:rsidRPr="004D1339" w:rsidRDefault="00205A93" w:rsidP="00247DCC">
      <w:r w:rsidRPr="004D1339">
        <w:t xml:space="preserve">All information in this publication is correct as </w:t>
      </w:r>
      <w:proofErr w:type="gramStart"/>
      <w:r w:rsidRPr="004D1339">
        <w:t>at</w:t>
      </w:r>
      <w:proofErr w:type="gramEnd"/>
      <w:r w:rsidRPr="004D1339">
        <w:t xml:space="preserve"> </w:t>
      </w:r>
      <w:r w:rsidR="00D56CF2">
        <w:t>October</w:t>
      </w:r>
      <w:r w:rsidRPr="004D1339">
        <w:t xml:space="preserve"> </w:t>
      </w:r>
      <w:r w:rsidR="00D56CF2">
        <w:t>2025</w:t>
      </w:r>
    </w:p>
    <w:sectPr w:rsidR="00205A93" w:rsidRPr="004D1339" w:rsidSect="00205A93">
      <w:headerReference w:type="even" r:id="rId54"/>
      <w:headerReference w:type="default" r:id="rId55"/>
      <w:footerReference w:type="default" r:id="rId56"/>
      <w:headerReference w:type="first" r:id="rId5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E6F9" w14:textId="77777777" w:rsidR="00A17209" w:rsidRDefault="00A17209" w:rsidP="00247DCC">
      <w:r>
        <w:separator/>
      </w:r>
    </w:p>
    <w:p w14:paraId="7237C0D6" w14:textId="77777777" w:rsidR="00A17209" w:rsidRDefault="00A17209" w:rsidP="00247DCC"/>
  </w:endnote>
  <w:endnote w:type="continuationSeparator" w:id="0">
    <w:p w14:paraId="3EB38415" w14:textId="77777777" w:rsidR="00A17209" w:rsidRDefault="00A17209" w:rsidP="00247DCC">
      <w:r>
        <w:continuationSeparator/>
      </w:r>
    </w:p>
    <w:p w14:paraId="07DEEC34" w14:textId="77777777" w:rsidR="00A17209" w:rsidRDefault="00A17209" w:rsidP="00247DCC"/>
  </w:endnote>
  <w:endnote w:type="continuationNotice" w:id="1">
    <w:p w14:paraId="537B2EB3" w14:textId="77777777" w:rsidR="00A17209" w:rsidRDefault="00A17209" w:rsidP="0024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5BE" w14:textId="4F71E695" w:rsidR="00094879" w:rsidRDefault="00094879">
    <w:pPr>
      <w:pStyle w:val="Footer"/>
    </w:pPr>
    <w:r>
      <w:rPr>
        <w:noProof/>
      </w:rPr>
      <mc:AlternateContent>
        <mc:Choice Requires="wps">
          <w:drawing>
            <wp:anchor distT="0" distB="0" distL="0" distR="0" simplePos="0" relativeHeight="251697154" behindDoc="0" locked="0" layoutInCell="1" allowOverlap="1" wp14:anchorId="5FA7B692" wp14:editId="1E3D7D35">
              <wp:simplePos x="635" y="635"/>
              <wp:positionH relativeFrom="page">
                <wp:align>center</wp:align>
              </wp:positionH>
              <wp:positionV relativeFrom="page">
                <wp:align>bottom</wp:align>
              </wp:positionV>
              <wp:extent cx="551815" cy="480695"/>
              <wp:effectExtent l="0" t="0" r="635" b="0"/>
              <wp:wrapNone/>
              <wp:docPr id="200887325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F3F18D8" w14:textId="12A8F99A"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7B692" id="_x0000_t202" coordsize="21600,21600" o:spt="202" path="m,l,21600r21600,l21600,xe">
              <v:stroke joinstyle="miter"/>
              <v:path gradientshapeok="t" o:connecttype="rect"/>
            </v:shapetype>
            <v:shape id="Text Box 14" o:spid="_x0000_s1028" type="#_x0000_t202" alt="OFFICIAL" style="position:absolute;left:0;text-align:left;margin-left:0;margin-top:0;width:43.45pt;height:37.85pt;z-index:2516971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F3F18D8" w14:textId="12A8F99A" w:rsidR="00094879" w:rsidRPr="00094879" w:rsidRDefault="00094879" w:rsidP="00247DCC">
                    <w:pPr>
                      <w:rPr>
                        <w:noProof/>
                      </w:rPr>
                    </w:pPr>
                    <w:r w:rsidRPr="0009487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CAF" w14:textId="6D89F750" w:rsidR="00094879" w:rsidRDefault="00094879">
    <w:pPr>
      <w:pStyle w:val="Footer"/>
    </w:pPr>
    <w:r>
      <w:rPr>
        <w:noProof/>
      </w:rPr>
      <mc:AlternateContent>
        <mc:Choice Requires="wps">
          <w:drawing>
            <wp:anchor distT="0" distB="0" distL="0" distR="0" simplePos="0" relativeHeight="251698178" behindDoc="0" locked="0" layoutInCell="1" allowOverlap="1" wp14:anchorId="60E1A143" wp14:editId="4504D6FC">
              <wp:simplePos x="635" y="635"/>
              <wp:positionH relativeFrom="page">
                <wp:align>center</wp:align>
              </wp:positionH>
              <wp:positionV relativeFrom="page">
                <wp:align>bottom</wp:align>
              </wp:positionV>
              <wp:extent cx="551815" cy="480695"/>
              <wp:effectExtent l="0" t="0" r="635" b="0"/>
              <wp:wrapNone/>
              <wp:docPr id="85539718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E12C6AE" w14:textId="215CD3EF"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1A143" id="_x0000_t202" coordsize="21600,21600" o:spt="202" path="m,l,21600r21600,l21600,xe">
              <v:stroke joinstyle="miter"/>
              <v:path gradientshapeok="t" o:connecttype="rect"/>
            </v:shapetype>
            <v:shape id="Text Box 15" o:spid="_x0000_s1029" type="#_x0000_t202" alt="OFFICIAL" style="position:absolute;left:0;text-align:left;margin-left:0;margin-top:0;width:43.45pt;height:37.85pt;z-index:2516981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E12C6AE" w14:textId="215CD3EF" w:rsidR="00094879" w:rsidRPr="00094879" w:rsidRDefault="00094879" w:rsidP="00247DCC">
                    <w:pPr>
                      <w:rPr>
                        <w:noProof/>
                      </w:rPr>
                    </w:pPr>
                    <w:r w:rsidRPr="00094879">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7144" w14:textId="184486BD" w:rsidR="00841111" w:rsidRDefault="00094879" w:rsidP="00841111">
    <w:pPr>
      <w:pStyle w:val="Footer"/>
    </w:pPr>
    <w:r>
      <w:rPr>
        <w:noProof/>
      </w:rPr>
      <mc:AlternateContent>
        <mc:Choice Requires="wps">
          <w:drawing>
            <wp:anchor distT="0" distB="0" distL="0" distR="0" simplePos="0" relativeHeight="251700226" behindDoc="0" locked="0" layoutInCell="1" allowOverlap="1" wp14:anchorId="17F1B0FE" wp14:editId="2B6B1C23">
              <wp:simplePos x="635" y="635"/>
              <wp:positionH relativeFrom="page">
                <wp:align>center</wp:align>
              </wp:positionH>
              <wp:positionV relativeFrom="page">
                <wp:align>bottom</wp:align>
              </wp:positionV>
              <wp:extent cx="551815" cy="480695"/>
              <wp:effectExtent l="0" t="0" r="635" b="0"/>
              <wp:wrapNone/>
              <wp:docPr id="72178428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F4EFC5" w14:textId="339F1EC6"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1B0FE" id="_x0000_t202" coordsize="21600,21600" o:spt="202" path="m,l,21600r21600,l21600,xe">
              <v:stroke joinstyle="miter"/>
              <v:path gradientshapeok="t" o:connecttype="rect"/>
            </v:shapetype>
            <v:shape id="Text Box 17" o:spid="_x0000_s1031" type="#_x0000_t202" alt="OFFICIAL" style="position:absolute;left:0;text-align:left;margin-left:0;margin-top:0;width:43.45pt;height:37.85pt;z-index:2517002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4F4EFC5" w14:textId="339F1EC6" w:rsidR="00094879" w:rsidRPr="00094879" w:rsidRDefault="00094879" w:rsidP="00247DCC">
                    <w:pPr>
                      <w:rPr>
                        <w:noProof/>
                      </w:rPr>
                    </w:pPr>
                    <w:r w:rsidRPr="00094879">
                      <w:rPr>
                        <w:noProof/>
                      </w:rPr>
                      <w:t>OFFICIAL</w:t>
                    </w:r>
                  </w:p>
                </w:txbxContent>
              </v:textbox>
              <w10:wrap anchorx="page" anchory="page"/>
            </v:shape>
          </w:pict>
        </mc:Fallback>
      </mc:AlternateContent>
    </w:r>
  </w:p>
  <w:p w14:paraId="75BBECE5" w14:textId="77777777" w:rsidR="00097E18" w:rsidRDefault="00097E18" w:rsidP="00247D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507" w14:textId="74BC04EB" w:rsidR="0009165F" w:rsidRDefault="00000000" w:rsidP="0009165F">
    <w:pPr>
      <w:pStyle w:val="Footer"/>
    </w:pPr>
    <w:sdt>
      <w:sdtPr>
        <w:id w:val="-590161139"/>
        <w:docPartObj>
          <w:docPartGallery w:val="Page Numbers (Bottom of Page)"/>
          <w:docPartUnique/>
        </w:docPartObj>
      </w:sdtPr>
      <w:sdtEndPr>
        <w:rPr>
          <w:noProof/>
        </w:rPr>
      </w:sdtEndPr>
      <w:sdtContent>
        <w:r w:rsidR="0009165F">
          <w:t>Department of Health, Disability and Ageing – National Consistent Payments Guidelines</w:t>
        </w:r>
        <w:r w:rsidR="0009165F">
          <w:tab/>
        </w:r>
        <w:r w:rsidR="0009165F">
          <w:fldChar w:fldCharType="begin"/>
        </w:r>
        <w:r w:rsidR="0009165F">
          <w:instrText xml:space="preserve"> PAGE   \* MERGEFORMAT </w:instrText>
        </w:r>
        <w:r w:rsidR="0009165F">
          <w:fldChar w:fldCharType="separate"/>
        </w:r>
        <w:r w:rsidR="0009165F">
          <w:t>3</w:t>
        </w:r>
        <w:r w:rsidR="0009165F">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4C07" w14:textId="19CC46C7" w:rsidR="00097E18" w:rsidRDefault="00000000" w:rsidP="00FE3E1D">
    <w:pPr>
      <w:pStyle w:val="Footer"/>
      <w:jc w:val="center"/>
    </w:pPr>
    <w:sdt>
      <w:sdtPr>
        <w:id w:val="-534588330"/>
        <w:docPartObj>
          <w:docPartGallery w:val="Page Numbers (Bottom of Page)"/>
          <w:docPartUnique/>
        </w:docPartObj>
      </w:sdtPr>
      <w:sdtEndPr>
        <w:rPr>
          <w:noProof/>
        </w:rPr>
      </w:sdtEndPr>
      <w:sdtContent>
        <w:r w:rsidR="00AE004D">
          <w:t>Department of Health, Disability and Ageing – National Consistent Payments Guidelines</w:t>
        </w:r>
        <w:r w:rsidR="00AE004D">
          <w:tab/>
        </w:r>
        <w:r w:rsidR="00AE004D">
          <w:fldChar w:fldCharType="begin"/>
        </w:r>
        <w:r w:rsidR="00AE004D">
          <w:instrText xml:space="preserve"> PAGE   \* MERGEFORMAT </w:instrText>
        </w:r>
        <w:r w:rsidR="00AE004D">
          <w:fldChar w:fldCharType="separate"/>
        </w:r>
        <w:r w:rsidR="00AE004D">
          <w:t>20</w:t>
        </w:r>
        <w:r w:rsidR="00AE004D">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00736A06" w:rsidR="00236073" w:rsidRDefault="00094879" w:rsidP="00841111">
    <w:pPr>
      <w:pStyle w:val="Footer"/>
    </w:pPr>
    <w:r>
      <w:rPr>
        <w:noProof/>
      </w:rPr>
      <mc:AlternateContent>
        <mc:Choice Requires="wps">
          <w:drawing>
            <wp:anchor distT="0" distB="0" distL="0" distR="0" simplePos="0" relativeHeight="251703298" behindDoc="0" locked="0" layoutInCell="1" allowOverlap="1" wp14:anchorId="66B72984" wp14:editId="7CCAC697">
              <wp:simplePos x="635" y="635"/>
              <wp:positionH relativeFrom="page">
                <wp:align>center</wp:align>
              </wp:positionH>
              <wp:positionV relativeFrom="page">
                <wp:align>bottom</wp:align>
              </wp:positionV>
              <wp:extent cx="551815" cy="480695"/>
              <wp:effectExtent l="0" t="0" r="635" b="0"/>
              <wp:wrapNone/>
              <wp:docPr id="882754307"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B1C79A" w14:textId="63436763"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72984" id="_x0000_t202" coordsize="21600,21600" o:spt="202" path="m,l,21600r21600,l21600,xe">
              <v:stroke joinstyle="miter"/>
              <v:path gradientshapeok="t" o:connecttype="rect"/>
            </v:shapetype>
            <v:shape id="Text Box 20" o:spid="_x0000_s1034" type="#_x0000_t202" alt="OFFICIAL" style="position:absolute;left:0;text-align:left;margin-left:0;margin-top:0;width:43.45pt;height:37.85pt;z-index:251703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74B1C79A" w14:textId="63436763" w:rsidR="00094879" w:rsidRPr="00094879" w:rsidRDefault="00094879" w:rsidP="00247DCC">
                    <w:pPr>
                      <w:rPr>
                        <w:noProof/>
                      </w:rPr>
                    </w:pPr>
                    <w:r w:rsidRPr="00094879">
                      <w:rPr>
                        <w:noProof/>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673CD12F" w:rsidR="00236073" w:rsidRDefault="00000000" w:rsidP="000D56E4">
    <w:pPr>
      <w:pStyle w:val="Footer"/>
    </w:pPr>
    <w:sdt>
      <w:sdtPr>
        <w:id w:val="141162288"/>
        <w:docPartObj>
          <w:docPartGallery w:val="Page Numbers (Bottom of Page)"/>
          <w:docPartUnique/>
        </w:docPartObj>
      </w:sdtPr>
      <w:sdtEndPr>
        <w:rPr>
          <w:noProof/>
        </w:rPr>
      </w:sdtEndPr>
      <w:sdtContent>
        <w:r w:rsidR="00236073">
          <w:t>Insert document title</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5A6CA676" w:rsidR="00236073" w:rsidRDefault="00094879" w:rsidP="000D56E4">
    <w:pPr>
      <w:pStyle w:val="Footer"/>
    </w:pPr>
    <w:r>
      <w:rPr>
        <w:noProof/>
      </w:rPr>
      <mc:AlternateContent>
        <mc:Choice Requires="wps">
          <w:drawing>
            <wp:anchor distT="0" distB="0" distL="0" distR="0" simplePos="0" relativeHeight="251702274" behindDoc="0" locked="0" layoutInCell="1" allowOverlap="1" wp14:anchorId="153AF5BB" wp14:editId="35EE8385">
              <wp:simplePos x="635" y="635"/>
              <wp:positionH relativeFrom="page">
                <wp:align>center</wp:align>
              </wp:positionH>
              <wp:positionV relativeFrom="page">
                <wp:align>bottom</wp:align>
              </wp:positionV>
              <wp:extent cx="551815" cy="480695"/>
              <wp:effectExtent l="0" t="0" r="635" b="0"/>
              <wp:wrapNone/>
              <wp:docPr id="120082061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0A98916" w14:textId="02FCB63D"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AF5BB" id="_x0000_t202" coordsize="21600,21600" o:spt="202" path="m,l,21600r21600,l21600,xe">
              <v:stroke joinstyle="miter"/>
              <v:path gradientshapeok="t" o:connecttype="rect"/>
            </v:shapetype>
            <v:shape id="Text Box 19" o:spid="_x0000_s1036" type="#_x0000_t202" alt="OFFICIAL" style="position:absolute;left:0;text-align:left;margin-left:0;margin-top:0;width:43.45pt;height:37.85pt;z-index:251702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CiDQIAAB0EAAAOAAAAZHJzL2Uyb0RvYy54bWysU01v2zAMvQ/YfxB0X2wXS5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f57d00Vsmulx368FVBx6JRcSRWElji&#10;sPbhlDqmxF4WVq0xiRljf3NQzejJrhNGKwzbgbU1TZ/4jK4t1EfaCuFEuHdy1VLvtfDhRSAxTIuQ&#10;asMzHdpAX3E4W5w1gD/+5o/5BDxFOetJMRW3JGnOzDdLhERxjQaOxjYZxV0+zSlu990DkA4LehJO&#10;JpO8GMxoaoTujfS8jI0oJKykdhXfjuZDOEmX3oNUy2VKIh05EdZ242QsHfGKYL4ObwLdGfFAVD3B&#10;KCdRvgP+lBtverfcB4I/sXIF8gw5aTDxen4vUeS//qes66te/AQ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AJSrCiDQIAAB0E&#10;AAAOAAAAAAAAAAAAAAAAAC4CAABkcnMvZTJvRG9jLnhtbFBLAQItABQABgAIAAAAIQBUS1sW2wAA&#10;AAMBAAAPAAAAAAAAAAAAAAAAAGcEAABkcnMvZG93bnJldi54bWxQSwUGAAAAAAQABADzAAAAbwUA&#10;AAAA&#10;" filled="f" stroked="f">
              <v:textbox style="mso-fit-shape-to-text:t" inset="0,0,0,15pt">
                <w:txbxContent>
                  <w:p w14:paraId="00A98916" w14:textId="02FCB63D" w:rsidR="00094879" w:rsidRPr="00094879" w:rsidRDefault="00094879" w:rsidP="00247DCC">
                    <w:pPr>
                      <w:rPr>
                        <w:noProof/>
                      </w:rPr>
                    </w:pPr>
                    <w:r w:rsidRPr="00094879">
                      <w:rPr>
                        <w:noProof/>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444F3708"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0BF3B1B7" w:rsidR="00205A93" w:rsidRDefault="00094879" w:rsidP="000D56E4">
    <w:pPr>
      <w:pStyle w:val="Footer"/>
    </w:pPr>
    <w:r>
      <w:rPr>
        <w:noProof/>
      </w:rPr>
      <mc:AlternateContent>
        <mc:Choice Requires="wps">
          <w:drawing>
            <wp:anchor distT="0" distB="0" distL="0" distR="0" simplePos="0" relativeHeight="251705346" behindDoc="0" locked="0" layoutInCell="1" allowOverlap="1" wp14:anchorId="1EF5611F" wp14:editId="5F302806">
              <wp:simplePos x="635" y="635"/>
              <wp:positionH relativeFrom="page">
                <wp:align>center</wp:align>
              </wp:positionH>
              <wp:positionV relativeFrom="page">
                <wp:align>bottom</wp:align>
              </wp:positionV>
              <wp:extent cx="551815" cy="480695"/>
              <wp:effectExtent l="0" t="0" r="635" b="0"/>
              <wp:wrapNone/>
              <wp:docPr id="1530034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ED4458" w14:textId="1F63E96B"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5611F" id="_x0000_t202" coordsize="21600,21600" o:spt="202" path="m,l,21600r21600,l21600,xe">
              <v:stroke joinstyle="miter"/>
              <v:path gradientshapeok="t" o:connecttype="rect"/>
            </v:shapetype>
            <v:shape id="Text Box 22" o:spid="_x0000_s1039" type="#_x0000_t202" alt="OFFICIAL" style="position:absolute;left:0;text-align:left;margin-left:0;margin-top:0;width:43.45pt;height:37.85pt;z-index:251705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6EED4458" w14:textId="1F63E96B" w:rsidR="00094879" w:rsidRPr="00094879" w:rsidRDefault="00094879" w:rsidP="00247DCC">
                    <w:pPr>
                      <w:rPr>
                        <w:noProof/>
                      </w:rPr>
                    </w:pPr>
                    <w:r w:rsidRPr="0009487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BC0A" w14:textId="77777777" w:rsidR="00A17209" w:rsidRDefault="00A17209" w:rsidP="00247DCC">
      <w:r>
        <w:separator/>
      </w:r>
    </w:p>
    <w:p w14:paraId="6BD274EA" w14:textId="77777777" w:rsidR="00A17209" w:rsidRDefault="00A17209" w:rsidP="00247DCC"/>
  </w:footnote>
  <w:footnote w:type="continuationSeparator" w:id="0">
    <w:p w14:paraId="326DC4E1" w14:textId="77777777" w:rsidR="00A17209" w:rsidRDefault="00A17209" w:rsidP="00247DCC">
      <w:r>
        <w:continuationSeparator/>
      </w:r>
    </w:p>
    <w:p w14:paraId="3826BB50" w14:textId="77777777" w:rsidR="00A17209" w:rsidRDefault="00A17209" w:rsidP="00247DCC"/>
  </w:footnote>
  <w:footnote w:type="continuationNotice" w:id="1">
    <w:p w14:paraId="55E1470E" w14:textId="77777777" w:rsidR="00A17209" w:rsidRDefault="00A17209" w:rsidP="00247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C126" w14:textId="073315C8" w:rsidR="00AE004D" w:rsidRDefault="00094879">
    <w:pPr>
      <w:pStyle w:val="Header"/>
    </w:pPr>
    <w:r>
      <w:rPr>
        <w:noProof/>
      </w:rPr>
      <mc:AlternateContent>
        <mc:Choice Requires="wps">
          <w:drawing>
            <wp:anchor distT="0" distB="0" distL="0" distR="0" simplePos="0" relativeHeight="251684866" behindDoc="0" locked="0" layoutInCell="1" allowOverlap="1" wp14:anchorId="151C142E" wp14:editId="15E4F330">
              <wp:simplePos x="635" y="635"/>
              <wp:positionH relativeFrom="page">
                <wp:align>center</wp:align>
              </wp:positionH>
              <wp:positionV relativeFrom="page">
                <wp:align>top</wp:align>
              </wp:positionV>
              <wp:extent cx="551815" cy="480695"/>
              <wp:effectExtent l="0" t="0" r="635" b="14605"/>
              <wp:wrapNone/>
              <wp:docPr id="672602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1AF9EA0" w14:textId="19652390"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C142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848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1AF9EA0" w14:textId="19652390"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3595" w14:textId="499F2B36" w:rsidR="00AE004D" w:rsidRDefault="00094879">
    <w:pPr>
      <w:pStyle w:val="Header"/>
    </w:pPr>
    <w:r>
      <w:rPr>
        <w:noProof/>
      </w:rPr>
      <mc:AlternateContent>
        <mc:Choice Requires="wps">
          <w:drawing>
            <wp:anchor distT="0" distB="0" distL="0" distR="0" simplePos="0" relativeHeight="251694082" behindDoc="0" locked="0" layoutInCell="1" allowOverlap="1" wp14:anchorId="0CA2AD4E" wp14:editId="79A2349F">
              <wp:simplePos x="635" y="635"/>
              <wp:positionH relativeFrom="page">
                <wp:align>center</wp:align>
              </wp:positionH>
              <wp:positionV relativeFrom="page">
                <wp:align>top</wp:align>
              </wp:positionV>
              <wp:extent cx="551815" cy="480695"/>
              <wp:effectExtent l="0" t="0" r="635" b="14605"/>
              <wp:wrapNone/>
              <wp:docPr id="119183621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4E5522" w14:textId="7D24E53F"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2AD4E" id="_x0000_t202" coordsize="21600,21600" o:spt="202" path="m,l,21600r21600,l21600,xe">
              <v:stroke joinstyle="miter"/>
              <v:path gradientshapeok="t" o:connecttype="rect"/>
            </v:shapetype>
            <v:shape id="Text Box 11" o:spid="_x0000_s1037" type="#_x0000_t202" alt="OFFICIAL" style="position:absolute;margin-left:0;margin-top:0;width:43.45pt;height:37.85pt;z-index:2516940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694E5522" w14:textId="7D24E53F"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A499553" w:rsidR="00205A93" w:rsidRDefault="00094879" w:rsidP="008E0C77">
    <w:pPr>
      <w:pStyle w:val="Headertext"/>
      <w:spacing w:after="180"/>
      <w:jc w:val="left"/>
    </w:pPr>
    <w:r>
      <w:rPr>
        <w:noProof/>
      </w:rPr>
      <mc:AlternateContent>
        <mc:Choice Requires="wps">
          <w:drawing>
            <wp:anchor distT="0" distB="0" distL="0" distR="0" simplePos="0" relativeHeight="251695106" behindDoc="0" locked="0" layoutInCell="1" allowOverlap="1" wp14:anchorId="029E00DD" wp14:editId="60ED1DC1">
              <wp:simplePos x="635" y="635"/>
              <wp:positionH relativeFrom="page">
                <wp:align>center</wp:align>
              </wp:positionH>
              <wp:positionV relativeFrom="page">
                <wp:align>top</wp:align>
              </wp:positionV>
              <wp:extent cx="551815" cy="480695"/>
              <wp:effectExtent l="0" t="0" r="635" b="14605"/>
              <wp:wrapNone/>
              <wp:docPr id="3214615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25BCAC" w14:textId="64C3C642"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00DD" id="_x0000_t202" coordsize="21600,21600" o:spt="202" path="m,l,21600r21600,l21600,xe">
              <v:stroke joinstyle="miter"/>
              <v:path gradientshapeok="t" o:connecttype="rect"/>
            </v:shapetype>
            <v:shape id="Text Box 12" o:spid="_x0000_s1038" type="#_x0000_t202" alt="OFFICIAL" style="position:absolute;margin-left:0;margin-top:0;width:43.45pt;height:37.85pt;z-index:2516951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RtDg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bY/XRsfwf1CadyMCzcW75usfaG+fDCHG4YB0HV&#10;hmc8pIKuonC2KGnA/fyXP+Yj8RilpEPFVNSgpClR3w0uJIorGcVtPsv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N84RtDgIAAB0E&#10;AAAOAAAAAAAAAAAAAAAAAC4CAABkcnMvZTJvRG9jLnhtbFBLAQItABQABgAIAAAAIQC3uIep2gAA&#10;AAMBAAAPAAAAAAAAAAAAAAAAAGgEAABkcnMvZG93bnJldi54bWxQSwUGAAAAAAQABADzAAAAbwUA&#10;AAAA&#10;" filled="f" stroked="f">
              <v:textbox style="mso-fit-shape-to-text:t" inset="0,15pt,0,0">
                <w:txbxContent>
                  <w:p w14:paraId="0A25BCAC" w14:textId="64C3C642" w:rsidR="00094879" w:rsidRPr="00094879" w:rsidRDefault="00094879" w:rsidP="00247DCC">
                    <w:pPr>
                      <w:rPr>
                        <w:noProof/>
                      </w:rPr>
                    </w:pPr>
                    <w:r w:rsidRPr="00094879">
                      <w:rPr>
                        <w:noProof/>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ED0C" w14:textId="1A47A55A" w:rsidR="00AE004D" w:rsidRDefault="00094879">
    <w:pPr>
      <w:pStyle w:val="Header"/>
    </w:pPr>
    <w:r>
      <w:rPr>
        <w:noProof/>
      </w:rPr>
      <mc:AlternateContent>
        <mc:Choice Requires="wps">
          <w:drawing>
            <wp:anchor distT="0" distB="0" distL="0" distR="0" simplePos="0" relativeHeight="251693058" behindDoc="0" locked="0" layoutInCell="1" allowOverlap="1" wp14:anchorId="5E3BEEDB" wp14:editId="6898B9C3">
              <wp:simplePos x="635" y="635"/>
              <wp:positionH relativeFrom="page">
                <wp:align>center</wp:align>
              </wp:positionH>
              <wp:positionV relativeFrom="page">
                <wp:align>top</wp:align>
              </wp:positionV>
              <wp:extent cx="551815" cy="480695"/>
              <wp:effectExtent l="0" t="0" r="635" b="14605"/>
              <wp:wrapNone/>
              <wp:docPr id="9362260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D266308" w14:textId="54B200D2"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BEEDB" id="_x0000_t202" coordsize="21600,21600" o:spt="202" path="m,l,21600r21600,l21600,xe">
              <v:stroke joinstyle="miter"/>
              <v:path gradientshapeok="t" o:connecttype="rect"/>
            </v:shapetype>
            <v:shape id="Text Box 10" o:spid="_x0000_s1040" type="#_x0000_t202" alt="OFFICIAL" style="position:absolute;margin-left:0;margin-top:0;width:43.45pt;height:37.85pt;z-index:2516930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4D266308" w14:textId="54B200D2"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4DD74CFB" w:rsidR="008E0C77" w:rsidRDefault="00094879" w:rsidP="008E0C77">
    <w:pPr>
      <w:pStyle w:val="Headertext"/>
      <w:spacing w:after="180"/>
      <w:jc w:val="left"/>
    </w:pPr>
    <w:r>
      <w:rPr>
        <w:noProof/>
      </w:rPr>
      <mc:AlternateContent>
        <mc:Choice Requires="wps">
          <w:drawing>
            <wp:anchor distT="0" distB="0" distL="0" distR="0" simplePos="0" relativeHeight="251685890" behindDoc="0" locked="0" layoutInCell="1" allowOverlap="1" wp14:anchorId="431B7822" wp14:editId="4F22943E">
              <wp:simplePos x="635" y="635"/>
              <wp:positionH relativeFrom="page">
                <wp:align>center</wp:align>
              </wp:positionH>
              <wp:positionV relativeFrom="page">
                <wp:align>top</wp:align>
              </wp:positionV>
              <wp:extent cx="551815" cy="480695"/>
              <wp:effectExtent l="0" t="0" r="635" b="14605"/>
              <wp:wrapNone/>
              <wp:docPr id="47835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5F9EFDB" w14:textId="60734A05"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B7822"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858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5F9EFDB" w14:textId="60734A05" w:rsidR="00094879" w:rsidRPr="00094879" w:rsidRDefault="00094879" w:rsidP="00247DCC">
                    <w:pPr>
                      <w:rPr>
                        <w:noProof/>
                      </w:rPr>
                    </w:pPr>
                    <w:r w:rsidRPr="00094879">
                      <w:rPr>
                        <w:noProof/>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2023921736" name="Picture 20239217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622E13B3"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7F326BE5">
          <wp:simplePos x="0" y="0"/>
          <wp:positionH relativeFrom="page">
            <wp:posOffset>-44450</wp:posOffset>
          </wp:positionH>
          <wp:positionV relativeFrom="page">
            <wp:posOffset>257175</wp:posOffset>
          </wp:positionV>
          <wp:extent cx="7726749" cy="10929611"/>
          <wp:effectExtent l="0" t="0" r="7620" b="5715"/>
          <wp:wrapNone/>
          <wp:docPr id="148108158" name="Picture 148108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6749" cy="1092961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73A" w14:textId="41A362CA" w:rsidR="00CA79CF" w:rsidRDefault="00094879">
    <w:pPr>
      <w:pStyle w:val="Header"/>
    </w:pPr>
    <w:r>
      <w:rPr>
        <w:noProof/>
      </w:rPr>
      <mc:AlternateContent>
        <mc:Choice Requires="wps">
          <w:drawing>
            <wp:anchor distT="0" distB="0" distL="0" distR="0" simplePos="0" relativeHeight="251687938" behindDoc="0" locked="0" layoutInCell="1" allowOverlap="1" wp14:anchorId="7000AB3D" wp14:editId="205EB248">
              <wp:simplePos x="635" y="635"/>
              <wp:positionH relativeFrom="page">
                <wp:align>center</wp:align>
              </wp:positionH>
              <wp:positionV relativeFrom="page">
                <wp:align>top</wp:align>
              </wp:positionV>
              <wp:extent cx="551815" cy="480695"/>
              <wp:effectExtent l="0" t="0" r="635" b="14605"/>
              <wp:wrapNone/>
              <wp:docPr id="19104972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BBADAA" w14:textId="50020FF9"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00AB3D"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879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19BBADAA" w14:textId="50020FF9" w:rsidR="00094879" w:rsidRPr="00094879" w:rsidRDefault="00094879" w:rsidP="00247DCC">
                    <w:pPr>
                      <w:rPr>
                        <w:noProof/>
                      </w:rPr>
                    </w:pPr>
                    <w:r w:rsidRPr="00094879">
                      <w:rPr>
                        <w:noProof/>
                      </w:rPr>
                      <w:t>OFFICIAL</w:t>
                    </w:r>
                  </w:p>
                </w:txbxContent>
              </v:textbox>
              <w10:wrap anchorx="page" anchory="page"/>
            </v:shape>
          </w:pict>
        </mc:Fallback>
      </mc:AlternateContent>
    </w:r>
  </w:p>
  <w:p w14:paraId="7B6FA760" w14:textId="77777777" w:rsidR="00097E18" w:rsidRDefault="00097E18" w:rsidP="00247D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046" w14:textId="2566D311" w:rsidR="00841111" w:rsidRDefault="00841111"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ECD1" w14:textId="271951DE" w:rsidR="00CA79CF" w:rsidRDefault="00CA79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08A2CFAC" w:rsidR="000D56E4" w:rsidRDefault="00094879">
    <w:pPr>
      <w:pStyle w:val="Header"/>
    </w:pPr>
    <w:r>
      <w:rPr>
        <w:noProof/>
      </w:rPr>
      <mc:AlternateContent>
        <mc:Choice Requires="wps">
          <w:drawing>
            <wp:anchor distT="0" distB="0" distL="0" distR="0" simplePos="0" relativeHeight="251691010" behindDoc="0" locked="0" layoutInCell="1" allowOverlap="1" wp14:anchorId="12DEADBA" wp14:editId="0864A7AA">
              <wp:simplePos x="635" y="635"/>
              <wp:positionH relativeFrom="page">
                <wp:align>center</wp:align>
              </wp:positionH>
              <wp:positionV relativeFrom="page">
                <wp:align>top</wp:align>
              </wp:positionV>
              <wp:extent cx="551815" cy="480695"/>
              <wp:effectExtent l="0" t="0" r="635" b="14605"/>
              <wp:wrapNone/>
              <wp:docPr id="120064139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DA5C92" w14:textId="3D1E44C6"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EADBA" id="_x0000_t202" coordsize="21600,21600" o:spt="202" path="m,l,21600r21600,l21600,xe">
              <v:stroke joinstyle="miter"/>
              <v:path gradientshapeok="t" o:connecttype="rect"/>
            </v:shapetype>
            <v:shape id="Text Box 8" o:spid="_x0000_s1032" type="#_x0000_t202" alt="OFFICIAL" style="position:absolute;margin-left:0;margin-top:0;width:43.45pt;height:37.85pt;z-index:2516910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7DDA5C92" w14:textId="3D1E44C6"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6905B041" w:rsidR="000D56E4" w:rsidRDefault="00094879" w:rsidP="008E0C77">
    <w:pPr>
      <w:pStyle w:val="Headertext"/>
      <w:spacing w:after="180"/>
      <w:jc w:val="left"/>
    </w:pPr>
    <w:r>
      <w:rPr>
        <w:noProof/>
      </w:rPr>
      <mc:AlternateContent>
        <mc:Choice Requires="wps">
          <w:drawing>
            <wp:anchor distT="0" distB="0" distL="0" distR="0" simplePos="0" relativeHeight="251692034" behindDoc="0" locked="0" layoutInCell="1" allowOverlap="1" wp14:anchorId="6EA565D2" wp14:editId="3779BEF4">
              <wp:simplePos x="635" y="635"/>
              <wp:positionH relativeFrom="page">
                <wp:align>center</wp:align>
              </wp:positionH>
              <wp:positionV relativeFrom="page">
                <wp:align>top</wp:align>
              </wp:positionV>
              <wp:extent cx="551815" cy="480695"/>
              <wp:effectExtent l="0" t="0" r="635" b="14605"/>
              <wp:wrapNone/>
              <wp:docPr id="175437524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4A6EB6" w14:textId="7E862BFB"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565D2" id="_x0000_t202" coordsize="21600,21600" o:spt="202" path="m,l,21600r21600,l21600,xe">
              <v:stroke joinstyle="miter"/>
              <v:path gradientshapeok="t" o:connecttype="rect"/>
            </v:shapetype>
            <v:shape id="Text Box 9" o:spid="_x0000_s1033" type="#_x0000_t202" alt="OFFICIAL" style="position:absolute;margin-left:0;margin-top:0;width:43.45pt;height:37.85pt;z-index:2516920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XBDgIAABwEAAAOAAAAZHJzL2Uyb0RvYy54bWysU8Fu2zAMvQ/YPwi6L7aLpUu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dZZf30wjSnb52ToffgjQJBoVdbiVRBY7&#10;rH0YUseUWMvAqlUqbUaZvxyIGT3ZpcNohX7bk7au6L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VqUXBDgIAABwE&#10;AAAOAAAAAAAAAAAAAAAAAC4CAABkcnMvZTJvRG9jLnhtbFBLAQItABQABgAIAAAAIQC3uIep2gAA&#10;AAMBAAAPAAAAAAAAAAAAAAAAAGgEAABkcnMvZG93bnJldi54bWxQSwUGAAAAAAQABADzAAAAbwUA&#10;AAAA&#10;" filled="f" stroked="f">
              <v:textbox style="mso-fit-shape-to-text:t" inset="0,15pt,0,0">
                <w:txbxContent>
                  <w:p w14:paraId="6C4A6EB6" w14:textId="7E862BFB"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252146B8" w:rsidR="000D56E4" w:rsidRDefault="00094879">
    <w:pPr>
      <w:pStyle w:val="Header"/>
    </w:pPr>
    <w:r>
      <w:rPr>
        <w:noProof/>
      </w:rPr>
      <mc:AlternateContent>
        <mc:Choice Requires="wps">
          <w:drawing>
            <wp:anchor distT="0" distB="0" distL="0" distR="0" simplePos="0" relativeHeight="251689986" behindDoc="0" locked="0" layoutInCell="1" allowOverlap="1" wp14:anchorId="12FBF472" wp14:editId="50C731F4">
              <wp:simplePos x="635" y="635"/>
              <wp:positionH relativeFrom="page">
                <wp:align>center</wp:align>
              </wp:positionH>
              <wp:positionV relativeFrom="page">
                <wp:align>top</wp:align>
              </wp:positionV>
              <wp:extent cx="551815" cy="480695"/>
              <wp:effectExtent l="0" t="0" r="635" b="14605"/>
              <wp:wrapNone/>
              <wp:docPr id="4933361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8836F00" w14:textId="154638D5" w:rsidR="00094879" w:rsidRPr="00094879" w:rsidRDefault="00094879" w:rsidP="00247DCC">
                          <w:pPr>
                            <w:rPr>
                              <w:noProof/>
                            </w:rPr>
                          </w:pPr>
                          <w:r w:rsidRPr="0009487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BF472" id="_x0000_t202" coordsize="21600,21600" o:spt="202" path="m,l,21600r21600,l21600,xe">
              <v:stroke joinstyle="miter"/>
              <v:path gradientshapeok="t" o:connecttype="rect"/>
            </v:shapetype>
            <v:shape id="Text Box 7" o:spid="_x0000_s1035" type="#_x0000_t202" alt="OFFICIAL" style="position:absolute;margin-left:0;margin-top:0;width:43.45pt;height:37.85pt;z-index:2516899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S1w56DgIAABwE&#10;AAAOAAAAAAAAAAAAAAAAAC4CAABkcnMvZTJvRG9jLnhtbFBLAQItABQABgAIAAAAIQC3uIep2gAA&#10;AAMBAAAPAAAAAAAAAAAAAAAAAGgEAABkcnMvZG93bnJldi54bWxQSwUGAAAAAAQABADzAAAAbwUA&#10;AAAA&#10;" filled="f" stroked="f">
              <v:textbox style="mso-fit-shape-to-text:t" inset="0,15pt,0,0">
                <w:txbxContent>
                  <w:p w14:paraId="68836F00" w14:textId="154638D5" w:rsidR="00094879" w:rsidRPr="00094879" w:rsidRDefault="00094879" w:rsidP="00247DCC">
                    <w:pPr>
                      <w:rPr>
                        <w:noProof/>
                      </w:rPr>
                    </w:pPr>
                    <w:r w:rsidRPr="00094879">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EFA"/>
    <w:multiLevelType w:val="hybridMultilevel"/>
    <w:tmpl w:val="77686A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42A38"/>
    <w:multiLevelType w:val="hybridMultilevel"/>
    <w:tmpl w:val="5CEE8AF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1D610A"/>
    <w:multiLevelType w:val="hybridMultilevel"/>
    <w:tmpl w:val="9DF8E1F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461CE0"/>
    <w:multiLevelType w:val="hybridMultilevel"/>
    <w:tmpl w:val="C35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83AE2"/>
    <w:multiLevelType w:val="hybridMultilevel"/>
    <w:tmpl w:val="4528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886648A8"/>
    <w:lvl w:ilvl="0" w:tplc="BF222894">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F6DEB"/>
    <w:multiLevelType w:val="hybridMultilevel"/>
    <w:tmpl w:val="1A2A0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AC192D"/>
    <w:multiLevelType w:val="hybridMultilevel"/>
    <w:tmpl w:val="E99818C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53785B"/>
    <w:multiLevelType w:val="hybridMultilevel"/>
    <w:tmpl w:val="2C50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102D5"/>
    <w:multiLevelType w:val="hybridMultilevel"/>
    <w:tmpl w:val="8D42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A33C2F"/>
    <w:multiLevelType w:val="multilevel"/>
    <w:tmpl w:val="099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7D51A88"/>
    <w:multiLevelType w:val="hybridMultilevel"/>
    <w:tmpl w:val="05329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B00320"/>
    <w:multiLevelType w:val="hybridMultilevel"/>
    <w:tmpl w:val="2B745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641079"/>
    <w:multiLevelType w:val="multilevel"/>
    <w:tmpl w:val="57B8B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A7FBA"/>
    <w:multiLevelType w:val="hybridMultilevel"/>
    <w:tmpl w:val="ACAA8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BA6B3F"/>
    <w:multiLevelType w:val="hybridMultilevel"/>
    <w:tmpl w:val="1F7AD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812F5"/>
    <w:multiLevelType w:val="hybridMultilevel"/>
    <w:tmpl w:val="D84432E2"/>
    <w:lvl w:ilvl="0" w:tplc="0C090019">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220018C"/>
    <w:multiLevelType w:val="hybridMultilevel"/>
    <w:tmpl w:val="309C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A52B9"/>
    <w:multiLevelType w:val="hybridMultilevel"/>
    <w:tmpl w:val="9056C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14428C"/>
    <w:multiLevelType w:val="hybridMultilevel"/>
    <w:tmpl w:val="1A0C9AC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DE22150"/>
    <w:multiLevelType w:val="hybridMultilevel"/>
    <w:tmpl w:val="59823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392A6C"/>
    <w:multiLevelType w:val="hybridMultilevel"/>
    <w:tmpl w:val="6010993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711AED"/>
    <w:multiLevelType w:val="hybridMultilevel"/>
    <w:tmpl w:val="D02EF8F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B26752"/>
    <w:multiLevelType w:val="hybridMultilevel"/>
    <w:tmpl w:val="75F224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E80306"/>
    <w:multiLevelType w:val="hybridMultilevel"/>
    <w:tmpl w:val="C93A3E2E"/>
    <w:lvl w:ilvl="0" w:tplc="E5B28058">
      <w:start w:val="1"/>
      <w:numFmt w:val="lowerLetter"/>
      <w:pStyle w:val="Heading3"/>
      <w:lvlText w:val="%1."/>
      <w:lvlJc w:val="left"/>
      <w:pPr>
        <w:ind w:left="720" w:hanging="360"/>
      </w:pPr>
      <w:rPr>
        <w:rFonts w:hint="default"/>
        <w:color w:val="358189" w:themeColor="accent2"/>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976F2A"/>
    <w:multiLevelType w:val="hybridMultilevel"/>
    <w:tmpl w:val="D74A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23"/>
  </w:num>
  <w:num w:numId="2" w16cid:durableId="321859378">
    <w:abstractNumId w:val="27"/>
  </w:num>
  <w:num w:numId="3" w16cid:durableId="995652124">
    <w:abstractNumId w:val="1"/>
  </w:num>
  <w:num w:numId="4" w16cid:durableId="1186747887">
    <w:abstractNumId w:val="30"/>
  </w:num>
  <w:num w:numId="5" w16cid:durableId="1338772380">
    <w:abstractNumId w:val="6"/>
  </w:num>
  <w:num w:numId="6" w16cid:durableId="1952668765">
    <w:abstractNumId w:val="12"/>
  </w:num>
  <w:num w:numId="7" w16cid:durableId="2108305813">
    <w:abstractNumId w:val="24"/>
  </w:num>
  <w:num w:numId="8" w16cid:durableId="1422488480">
    <w:abstractNumId w:val="4"/>
  </w:num>
  <w:num w:numId="9" w16cid:durableId="1705061747">
    <w:abstractNumId w:val="0"/>
  </w:num>
  <w:num w:numId="10" w16cid:durableId="1522817494">
    <w:abstractNumId w:val="7"/>
  </w:num>
  <w:num w:numId="11" w16cid:durableId="1348601152">
    <w:abstractNumId w:val="15"/>
  </w:num>
  <w:num w:numId="12" w16cid:durableId="1125777930">
    <w:abstractNumId w:val="11"/>
  </w:num>
  <w:num w:numId="13" w16cid:durableId="321155571">
    <w:abstractNumId w:val="14"/>
  </w:num>
  <w:num w:numId="14" w16cid:durableId="555825536">
    <w:abstractNumId w:val="8"/>
  </w:num>
  <w:num w:numId="15" w16cid:durableId="1763912940">
    <w:abstractNumId w:val="10"/>
  </w:num>
  <w:num w:numId="16" w16cid:durableId="617302886">
    <w:abstractNumId w:val="22"/>
  </w:num>
  <w:num w:numId="17" w16cid:durableId="865170020">
    <w:abstractNumId w:val="17"/>
  </w:num>
  <w:num w:numId="18" w16cid:durableId="497891024">
    <w:abstractNumId w:val="29"/>
  </w:num>
  <w:num w:numId="19" w16cid:durableId="330529024">
    <w:abstractNumId w:val="19"/>
  </w:num>
  <w:num w:numId="20" w16cid:durableId="1969824127">
    <w:abstractNumId w:val="20"/>
  </w:num>
  <w:num w:numId="21" w16cid:durableId="539634788">
    <w:abstractNumId w:val="16"/>
  </w:num>
  <w:num w:numId="22" w16cid:durableId="29839742">
    <w:abstractNumId w:val="9"/>
  </w:num>
  <w:num w:numId="23" w16cid:durableId="1435125587">
    <w:abstractNumId w:val="5"/>
  </w:num>
  <w:num w:numId="24" w16cid:durableId="252664735">
    <w:abstractNumId w:val="13"/>
  </w:num>
  <w:num w:numId="25" w16cid:durableId="1719236114">
    <w:abstractNumId w:val="25"/>
  </w:num>
  <w:num w:numId="26" w16cid:durableId="1372223974">
    <w:abstractNumId w:val="26"/>
  </w:num>
  <w:num w:numId="27" w16cid:durableId="547884638">
    <w:abstractNumId w:val="18"/>
  </w:num>
  <w:num w:numId="28" w16cid:durableId="1238176523">
    <w:abstractNumId w:val="2"/>
  </w:num>
  <w:num w:numId="29" w16cid:durableId="1139305939">
    <w:abstractNumId w:val="21"/>
  </w:num>
  <w:num w:numId="30" w16cid:durableId="1261720176">
    <w:abstractNumId w:val="3"/>
  </w:num>
  <w:num w:numId="31" w16cid:durableId="1096171266">
    <w:abstractNumId w:val="28"/>
  </w:num>
  <w:num w:numId="32" w16cid:durableId="525295746">
    <w:abstractNumId w:val="28"/>
    <w:lvlOverride w:ilvl="0">
      <w:startOverride w:val="1"/>
    </w:lvlOverride>
  </w:num>
  <w:num w:numId="33" w16cid:durableId="603223385">
    <w:abstractNumId w:val="28"/>
    <w:lvlOverride w:ilvl="0">
      <w:startOverride w:val="1"/>
    </w:lvlOverride>
  </w:num>
  <w:num w:numId="34" w16cid:durableId="1204442279">
    <w:abstractNumId w:val="28"/>
    <w:lvlOverride w:ilvl="0">
      <w:startOverride w:val="1"/>
    </w:lvlOverride>
  </w:num>
  <w:num w:numId="35" w16cid:durableId="1471165736">
    <w:abstractNumId w:val="28"/>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342"/>
    <w:rsid w:val="00007FD8"/>
    <w:rsid w:val="000117F8"/>
    <w:rsid w:val="00022799"/>
    <w:rsid w:val="00023B02"/>
    <w:rsid w:val="00023B7E"/>
    <w:rsid w:val="00026139"/>
    <w:rsid w:val="00026B95"/>
    <w:rsid w:val="00027071"/>
    <w:rsid w:val="00027601"/>
    <w:rsid w:val="00033321"/>
    <w:rsid w:val="000338E5"/>
    <w:rsid w:val="00033ECC"/>
    <w:rsid w:val="0003422F"/>
    <w:rsid w:val="00046FF0"/>
    <w:rsid w:val="00050176"/>
    <w:rsid w:val="000510C8"/>
    <w:rsid w:val="0006126D"/>
    <w:rsid w:val="0006133A"/>
    <w:rsid w:val="00062B65"/>
    <w:rsid w:val="00067456"/>
    <w:rsid w:val="00071459"/>
    <w:rsid w:val="00071506"/>
    <w:rsid w:val="0007154F"/>
    <w:rsid w:val="00077BB0"/>
    <w:rsid w:val="000812A4"/>
    <w:rsid w:val="00081AB1"/>
    <w:rsid w:val="00090316"/>
    <w:rsid w:val="0009165F"/>
    <w:rsid w:val="0009393C"/>
    <w:rsid w:val="00093981"/>
    <w:rsid w:val="00093CD9"/>
    <w:rsid w:val="00094879"/>
    <w:rsid w:val="00097E18"/>
    <w:rsid w:val="000A38B2"/>
    <w:rsid w:val="000B067A"/>
    <w:rsid w:val="000B1540"/>
    <w:rsid w:val="000B33FD"/>
    <w:rsid w:val="000B4ABA"/>
    <w:rsid w:val="000C4B16"/>
    <w:rsid w:val="000C50C3"/>
    <w:rsid w:val="000C583E"/>
    <w:rsid w:val="000C7A55"/>
    <w:rsid w:val="000C7ACF"/>
    <w:rsid w:val="000D21F6"/>
    <w:rsid w:val="000D31C7"/>
    <w:rsid w:val="000D42C3"/>
    <w:rsid w:val="000D4500"/>
    <w:rsid w:val="000D56E4"/>
    <w:rsid w:val="000D7AEA"/>
    <w:rsid w:val="000E01A9"/>
    <w:rsid w:val="000E2C66"/>
    <w:rsid w:val="000E6E7D"/>
    <w:rsid w:val="000F070A"/>
    <w:rsid w:val="000F123C"/>
    <w:rsid w:val="000F2FED"/>
    <w:rsid w:val="000F4528"/>
    <w:rsid w:val="000F6411"/>
    <w:rsid w:val="000F7642"/>
    <w:rsid w:val="00100F6D"/>
    <w:rsid w:val="0010616D"/>
    <w:rsid w:val="00106700"/>
    <w:rsid w:val="00110478"/>
    <w:rsid w:val="00115EEE"/>
    <w:rsid w:val="0011711B"/>
    <w:rsid w:val="00117F8A"/>
    <w:rsid w:val="00121B9B"/>
    <w:rsid w:val="00121F69"/>
    <w:rsid w:val="00122ADC"/>
    <w:rsid w:val="00125C19"/>
    <w:rsid w:val="00130F59"/>
    <w:rsid w:val="00131DD2"/>
    <w:rsid w:val="00133EC0"/>
    <w:rsid w:val="001376F1"/>
    <w:rsid w:val="001377EA"/>
    <w:rsid w:val="00141CE5"/>
    <w:rsid w:val="00144908"/>
    <w:rsid w:val="00146614"/>
    <w:rsid w:val="001535A7"/>
    <w:rsid w:val="001571C7"/>
    <w:rsid w:val="00161094"/>
    <w:rsid w:val="0016310F"/>
    <w:rsid w:val="00165A85"/>
    <w:rsid w:val="00166656"/>
    <w:rsid w:val="001717E2"/>
    <w:rsid w:val="00172A55"/>
    <w:rsid w:val="001758CD"/>
    <w:rsid w:val="0017665C"/>
    <w:rsid w:val="00177AD2"/>
    <w:rsid w:val="001815A8"/>
    <w:rsid w:val="001840FA"/>
    <w:rsid w:val="0018583B"/>
    <w:rsid w:val="00190079"/>
    <w:rsid w:val="0019622E"/>
    <w:rsid w:val="001966A7"/>
    <w:rsid w:val="001A1EA6"/>
    <w:rsid w:val="001A4627"/>
    <w:rsid w:val="001A4979"/>
    <w:rsid w:val="001A754F"/>
    <w:rsid w:val="001B15D3"/>
    <w:rsid w:val="001B3443"/>
    <w:rsid w:val="001B3CB1"/>
    <w:rsid w:val="001B7281"/>
    <w:rsid w:val="001C0326"/>
    <w:rsid w:val="001C192F"/>
    <w:rsid w:val="001C3C42"/>
    <w:rsid w:val="001C5830"/>
    <w:rsid w:val="001D779E"/>
    <w:rsid w:val="001D7869"/>
    <w:rsid w:val="001E6277"/>
    <w:rsid w:val="001E7AB7"/>
    <w:rsid w:val="001F2F78"/>
    <w:rsid w:val="002026CD"/>
    <w:rsid w:val="002033FC"/>
    <w:rsid w:val="002044BB"/>
    <w:rsid w:val="00205A93"/>
    <w:rsid w:val="00207793"/>
    <w:rsid w:val="00210B09"/>
    <w:rsid w:val="00210C9E"/>
    <w:rsid w:val="00210F4D"/>
    <w:rsid w:val="00211840"/>
    <w:rsid w:val="00215800"/>
    <w:rsid w:val="00220E5F"/>
    <w:rsid w:val="002212B5"/>
    <w:rsid w:val="00221C66"/>
    <w:rsid w:val="00226668"/>
    <w:rsid w:val="002266B0"/>
    <w:rsid w:val="00233809"/>
    <w:rsid w:val="00236073"/>
    <w:rsid w:val="00240046"/>
    <w:rsid w:val="002413E5"/>
    <w:rsid w:val="00241C2B"/>
    <w:rsid w:val="0024797F"/>
    <w:rsid w:val="00247DCC"/>
    <w:rsid w:val="0025119E"/>
    <w:rsid w:val="00251269"/>
    <w:rsid w:val="002535C0"/>
    <w:rsid w:val="002579FE"/>
    <w:rsid w:val="0026311C"/>
    <w:rsid w:val="0026668C"/>
    <w:rsid w:val="00266AC1"/>
    <w:rsid w:val="0027178C"/>
    <w:rsid w:val="002719FA"/>
    <w:rsid w:val="00272668"/>
    <w:rsid w:val="0027330B"/>
    <w:rsid w:val="002803AD"/>
    <w:rsid w:val="00282052"/>
    <w:rsid w:val="00282D29"/>
    <w:rsid w:val="00284179"/>
    <w:rsid w:val="0028519E"/>
    <w:rsid w:val="002856A5"/>
    <w:rsid w:val="002872ED"/>
    <w:rsid w:val="002905C2"/>
    <w:rsid w:val="00295301"/>
    <w:rsid w:val="00295AF2"/>
    <w:rsid w:val="00295C91"/>
    <w:rsid w:val="00297151"/>
    <w:rsid w:val="002B20E6"/>
    <w:rsid w:val="002B42A3"/>
    <w:rsid w:val="002C0CDD"/>
    <w:rsid w:val="002C5E51"/>
    <w:rsid w:val="002D77CE"/>
    <w:rsid w:val="002E0F8B"/>
    <w:rsid w:val="002E1A1D"/>
    <w:rsid w:val="002E4081"/>
    <w:rsid w:val="002E5B78"/>
    <w:rsid w:val="002F3AE3"/>
    <w:rsid w:val="00302E17"/>
    <w:rsid w:val="0030464B"/>
    <w:rsid w:val="00305022"/>
    <w:rsid w:val="0030786C"/>
    <w:rsid w:val="00312289"/>
    <w:rsid w:val="003233DE"/>
    <w:rsid w:val="0032466B"/>
    <w:rsid w:val="00327B44"/>
    <w:rsid w:val="003330EB"/>
    <w:rsid w:val="00336605"/>
    <w:rsid w:val="003408DD"/>
    <w:rsid w:val="003415FD"/>
    <w:rsid w:val="003429F0"/>
    <w:rsid w:val="00345280"/>
    <w:rsid w:val="003464B9"/>
    <w:rsid w:val="00346C4A"/>
    <w:rsid w:val="00346FD4"/>
    <w:rsid w:val="0035097A"/>
    <w:rsid w:val="003540A4"/>
    <w:rsid w:val="00360E4E"/>
    <w:rsid w:val="00361FC9"/>
    <w:rsid w:val="00362923"/>
    <w:rsid w:val="00365930"/>
    <w:rsid w:val="003675B2"/>
    <w:rsid w:val="00370AAA"/>
    <w:rsid w:val="00372C99"/>
    <w:rsid w:val="00375F77"/>
    <w:rsid w:val="00377A78"/>
    <w:rsid w:val="00381BBE"/>
    <w:rsid w:val="00381DC6"/>
    <w:rsid w:val="00382903"/>
    <w:rsid w:val="003846FF"/>
    <w:rsid w:val="00384703"/>
    <w:rsid w:val="00385AD4"/>
    <w:rsid w:val="00387924"/>
    <w:rsid w:val="0039384D"/>
    <w:rsid w:val="003955A6"/>
    <w:rsid w:val="00395C23"/>
    <w:rsid w:val="00397017"/>
    <w:rsid w:val="003A2E4F"/>
    <w:rsid w:val="003A2F80"/>
    <w:rsid w:val="003A4438"/>
    <w:rsid w:val="003A5013"/>
    <w:rsid w:val="003A5078"/>
    <w:rsid w:val="003A62DD"/>
    <w:rsid w:val="003A775A"/>
    <w:rsid w:val="003B0DAB"/>
    <w:rsid w:val="003B213A"/>
    <w:rsid w:val="003B43AD"/>
    <w:rsid w:val="003B4BA2"/>
    <w:rsid w:val="003C077D"/>
    <w:rsid w:val="003C0FEC"/>
    <w:rsid w:val="003C15B8"/>
    <w:rsid w:val="003C2AC8"/>
    <w:rsid w:val="003C3B2D"/>
    <w:rsid w:val="003C7BF8"/>
    <w:rsid w:val="003D11D6"/>
    <w:rsid w:val="003D17F9"/>
    <w:rsid w:val="003D1995"/>
    <w:rsid w:val="003D2D88"/>
    <w:rsid w:val="003D41EA"/>
    <w:rsid w:val="003D4850"/>
    <w:rsid w:val="003D535A"/>
    <w:rsid w:val="003E10B8"/>
    <w:rsid w:val="003E4FAF"/>
    <w:rsid w:val="003E516E"/>
    <w:rsid w:val="003E5265"/>
    <w:rsid w:val="003F0955"/>
    <w:rsid w:val="003F0A8A"/>
    <w:rsid w:val="003F36A2"/>
    <w:rsid w:val="003F6FE1"/>
    <w:rsid w:val="00400F00"/>
    <w:rsid w:val="00404F8B"/>
    <w:rsid w:val="00405256"/>
    <w:rsid w:val="00407EA8"/>
    <w:rsid w:val="00410031"/>
    <w:rsid w:val="00410D44"/>
    <w:rsid w:val="004115A2"/>
    <w:rsid w:val="00412F52"/>
    <w:rsid w:val="00415C81"/>
    <w:rsid w:val="00416731"/>
    <w:rsid w:val="00416BBB"/>
    <w:rsid w:val="00417145"/>
    <w:rsid w:val="00432378"/>
    <w:rsid w:val="00440654"/>
    <w:rsid w:val="00440751"/>
    <w:rsid w:val="00440D65"/>
    <w:rsid w:val="004435E6"/>
    <w:rsid w:val="004459A3"/>
    <w:rsid w:val="00447E31"/>
    <w:rsid w:val="00450AA8"/>
    <w:rsid w:val="00453923"/>
    <w:rsid w:val="00454B9B"/>
    <w:rsid w:val="00457858"/>
    <w:rsid w:val="00460B0B"/>
    <w:rsid w:val="00461023"/>
    <w:rsid w:val="00462FAC"/>
    <w:rsid w:val="00464631"/>
    <w:rsid w:val="00464B79"/>
    <w:rsid w:val="00467BBF"/>
    <w:rsid w:val="004721A2"/>
    <w:rsid w:val="0048036E"/>
    <w:rsid w:val="004851E5"/>
    <w:rsid w:val="004867E2"/>
    <w:rsid w:val="004929A9"/>
    <w:rsid w:val="004A306D"/>
    <w:rsid w:val="004B6E33"/>
    <w:rsid w:val="004B7C01"/>
    <w:rsid w:val="004C2FEC"/>
    <w:rsid w:val="004C35F5"/>
    <w:rsid w:val="004C6BCF"/>
    <w:rsid w:val="004D1339"/>
    <w:rsid w:val="004D58BF"/>
    <w:rsid w:val="004E07C0"/>
    <w:rsid w:val="004E3061"/>
    <w:rsid w:val="004E4335"/>
    <w:rsid w:val="004E5867"/>
    <w:rsid w:val="004E5ACF"/>
    <w:rsid w:val="004F13EE"/>
    <w:rsid w:val="004F1E3D"/>
    <w:rsid w:val="004F2022"/>
    <w:rsid w:val="004F71FC"/>
    <w:rsid w:val="004F7C05"/>
    <w:rsid w:val="00501C94"/>
    <w:rsid w:val="00506432"/>
    <w:rsid w:val="005104D2"/>
    <w:rsid w:val="0051242B"/>
    <w:rsid w:val="0051589A"/>
    <w:rsid w:val="00520112"/>
    <w:rsid w:val="0052051D"/>
    <w:rsid w:val="00525625"/>
    <w:rsid w:val="00526793"/>
    <w:rsid w:val="00533938"/>
    <w:rsid w:val="00544599"/>
    <w:rsid w:val="00545EE6"/>
    <w:rsid w:val="00553DCA"/>
    <w:rsid w:val="005541A1"/>
    <w:rsid w:val="005541A5"/>
    <w:rsid w:val="005550E7"/>
    <w:rsid w:val="005564FB"/>
    <w:rsid w:val="005572C7"/>
    <w:rsid w:val="00557D5A"/>
    <w:rsid w:val="0056486D"/>
    <w:rsid w:val="00564D7B"/>
    <w:rsid w:val="005650ED"/>
    <w:rsid w:val="00570471"/>
    <w:rsid w:val="00572710"/>
    <w:rsid w:val="005730D5"/>
    <w:rsid w:val="00575754"/>
    <w:rsid w:val="00580F17"/>
    <w:rsid w:val="00582255"/>
    <w:rsid w:val="00582778"/>
    <w:rsid w:val="00591E20"/>
    <w:rsid w:val="00595408"/>
    <w:rsid w:val="00595E84"/>
    <w:rsid w:val="005A02EC"/>
    <w:rsid w:val="005A0C59"/>
    <w:rsid w:val="005A23DD"/>
    <w:rsid w:val="005A48EB"/>
    <w:rsid w:val="005A6CFB"/>
    <w:rsid w:val="005B4B45"/>
    <w:rsid w:val="005C5AEB"/>
    <w:rsid w:val="005C6798"/>
    <w:rsid w:val="005D223D"/>
    <w:rsid w:val="005D304C"/>
    <w:rsid w:val="005D7F5C"/>
    <w:rsid w:val="005E0A3F"/>
    <w:rsid w:val="005E6883"/>
    <w:rsid w:val="005E772F"/>
    <w:rsid w:val="005F4ECA"/>
    <w:rsid w:val="005F5B28"/>
    <w:rsid w:val="005F61FA"/>
    <w:rsid w:val="00603EB9"/>
    <w:rsid w:val="006041BE"/>
    <w:rsid w:val="006043C7"/>
    <w:rsid w:val="006129C1"/>
    <w:rsid w:val="006134C7"/>
    <w:rsid w:val="00623381"/>
    <w:rsid w:val="0062404C"/>
    <w:rsid w:val="00624A26"/>
    <w:rsid w:val="00624B52"/>
    <w:rsid w:val="00630B82"/>
    <w:rsid w:val="00631745"/>
    <w:rsid w:val="00631DF4"/>
    <w:rsid w:val="00634175"/>
    <w:rsid w:val="0064008B"/>
    <w:rsid w:val="006408AC"/>
    <w:rsid w:val="00641F18"/>
    <w:rsid w:val="006511B6"/>
    <w:rsid w:val="00652742"/>
    <w:rsid w:val="00657FF8"/>
    <w:rsid w:val="0066349C"/>
    <w:rsid w:val="0066668E"/>
    <w:rsid w:val="00670D99"/>
    <w:rsid w:val="00670E2B"/>
    <w:rsid w:val="00672BFC"/>
    <w:rsid w:val="006734BB"/>
    <w:rsid w:val="00673D31"/>
    <w:rsid w:val="00677433"/>
    <w:rsid w:val="00681298"/>
    <w:rsid w:val="00681A34"/>
    <w:rsid w:val="006821EB"/>
    <w:rsid w:val="006A485E"/>
    <w:rsid w:val="006B2286"/>
    <w:rsid w:val="006B2B77"/>
    <w:rsid w:val="006B56BB"/>
    <w:rsid w:val="006B5812"/>
    <w:rsid w:val="006C027C"/>
    <w:rsid w:val="006C1EBF"/>
    <w:rsid w:val="006C77A8"/>
    <w:rsid w:val="006C7A94"/>
    <w:rsid w:val="006D4098"/>
    <w:rsid w:val="006D501D"/>
    <w:rsid w:val="006D6941"/>
    <w:rsid w:val="006D7681"/>
    <w:rsid w:val="006D7B2E"/>
    <w:rsid w:val="006E02EA"/>
    <w:rsid w:val="006E0968"/>
    <w:rsid w:val="006E2AF6"/>
    <w:rsid w:val="006E618B"/>
    <w:rsid w:val="006E6A26"/>
    <w:rsid w:val="006F2DF5"/>
    <w:rsid w:val="006F70E9"/>
    <w:rsid w:val="006F73CD"/>
    <w:rsid w:val="00701275"/>
    <w:rsid w:val="007053DA"/>
    <w:rsid w:val="00707F56"/>
    <w:rsid w:val="007106B3"/>
    <w:rsid w:val="00713558"/>
    <w:rsid w:val="00720D08"/>
    <w:rsid w:val="00723080"/>
    <w:rsid w:val="007256CE"/>
    <w:rsid w:val="00725F05"/>
    <w:rsid w:val="007263B9"/>
    <w:rsid w:val="007334F8"/>
    <w:rsid w:val="007339CD"/>
    <w:rsid w:val="007359D8"/>
    <w:rsid w:val="007362D4"/>
    <w:rsid w:val="0074477E"/>
    <w:rsid w:val="00744E60"/>
    <w:rsid w:val="0075089A"/>
    <w:rsid w:val="00751A23"/>
    <w:rsid w:val="0076672A"/>
    <w:rsid w:val="007751D7"/>
    <w:rsid w:val="00775E45"/>
    <w:rsid w:val="0077685C"/>
    <w:rsid w:val="00776E74"/>
    <w:rsid w:val="00785169"/>
    <w:rsid w:val="00785AC4"/>
    <w:rsid w:val="007954AB"/>
    <w:rsid w:val="007A14C5"/>
    <w:rsid w:val="007A2ABA"/>
    <w:rsid w:val="007A3E38"/>
    <w:rsid w:val="007A4A10"/>
    <w:rsid w:val="007B1760"/>
    <w:rsid w:val="007B4CAE"/>
    <w:rsid w:val="007C6A4B"/>
    <w:rsid w:val="007C6D9C"/>
    <w:rsid w:val="007C7DDB"/>
    <w:rsid w:val="007D0CDD"/>
    <w:rsid w:val="007D2CC7"/>
    <w:rsid w:val="007D5C79"/>
    <w:rsid w:val="007D673D"/>
    <w:rsid w:val="007D68DD"/>
    <w:rsid w:val="007F2220"/>
    <w:rsid w:val="007F4B3E"/>
    <w:rsid w:val="007F588A"/>
    <w:rsid w:val="00802D89"/>
    <w:rsid w:val="00804564"/>
    <w:rsid w:val="008127AF"/>
    <w:rsid w:val="00812B46"/>
    <w:rsid w:val="00815700"/>
    <w:rsid w:val="00817B70"/>
    <w:rsid w:val="0082216B"/>
    <w:rsid w:val="008264EB"/>
    <w:rsid w:val="00826B8F"/>
    <w:rsid w:val="00831E8A"/>
    <w:rsid w:val="008326B6"/>
    <w:rsid w:val="00835C76"/>
    <w:rsid w:val="00841111"/>
    <w:rsid w:val="00841D17"/>
    <w:rsid w:val="00843049"/>
    <w:rsid w:val="008443BF"/>
    <w:rsid w:val="0085209B"/>
    <w:rsid w:val="00856B66"/>
    <w:rsid w:val="00861A5F"/>
    <w:rsid w:val="00861D7A"/>
    <w:rsid w:val="008644AD"/>
    <w:rsid w:val="00865735"/>
    <w:rsid w:val="00865DDB"/>
    <w:rsid w:val="00867538"/>
    <w:rsid w:val="00873D90"/>
    <w:rsid w:val="00873FC8"/>
    <w:rsid w:val="00881899"/>
    <w:rsid w:val="00884C63"/>
    <w:rsid w:val="00885908"/>
    <w:rsid w:val="008864B7"/>
    <w:rsid w:val="00886F49"/>
    <w:rsid w:val="0089677E"/>
    <w:rsid w:val="00896E8C"/>
    <w:rsid w:val="008A05E3"/>
    <w:rsid w:val="008A7438"/>
    <w:rsid w:val="008A7F08"/>
    <w:rsid w:val="008B1334"/>
    <w:rsid w:val="008C0278"/>
    <w:rsid w:val="008C21F5"/>
    <w:rsid w:val="008C24E9"/>
    <w:rsid w:val="008C424C"/>
    <w:rsid w:val="008D0533"/>
    <w:rsid w:val="008D42CB"/>
    <w:rsid w:val="008D48C9"/>
    <w:rsid w:val="008D5B79"/>
    <w:rsid w:val="008D6381"/>
    <w:rsid w:val="008D6CE1"/>
    <w:rsid w:val="008E0094"/>
    <w:rsid w:val="008E0C77"/>
    <w:rsid w:val="008E51D9"/>
    <w:rsid w:val="008E625F"/>
    <w:rsid w:val="008F1BC0"/>
    <w:rsid w:val="008F264D"/>
    <w:rsid w:val="009029F5"/>
    <w:rsid w:val="009032E3"/>
    <w:rsid w:val="009074E1"/>
    <w:rsid w:val="0091091B"/>
    <w:rsid w:val="009112F7"/>
    <w:rsid w:val="009122AF"/>
    <w:rsid w:val="009127BC"/>
    <w:rsid w:val="00912D54"/>
    <w:rsid w:val="0091389F"/>
    <w:rsid w:val="00915D0F"/>
    <w:rsid w:val="009208F7"/>
    <w:rsid w:val="00922517"/>
    <w:rsid w:val="00922722"/>
    <w:rsid w:val="00925BA6"/>
    <w:rsid w:val="00925CE0"/>
    <w:rsid w:val="009261E6"/>
    <w:rsid w:val="009268E1"/>
    <w:rsid w:val="00931DE6"/>
    <w:rsid w:val="00945E7F"/>
    <w:rsid w:val="009557C1"/>
    <w:rsid w:val="00960BBA"/>
    <w:rsid w:val="00960D58"/>
    <w:rsid w:val="00960D6E"/>
    <w:rsid w:val="009707F9"/>
    <w:rsid w:val="00972BC1"/>
    <w:rsid w:val="00974B59"/>
    <w:rsid w:val="0098340B"/>
    <w:rsid w:val="00985C1E"/>
    <w:rsid w:val="00986830"/>
    <w:rsid w:val="009924C3"/>
    <w:rsid w:val="00993102"/>
    <w:rsid w:val="009957D0"/>
    <w:rsid w:val="009B1266"/>
    <w:rsid w:val="009B3D41"/>
    <w:rsid w:val="009B6D66"/>
    <w:rsid w:val="009C0777"/>
    <w:rsid w:val="009C4A39"/>
    <w:rsid w:val="009C4BE7"/>
    <w:rsid w:val="009C4DED"/>
    <w:rsid w:val="009C6F10"/>
    <w:rsid w:val="009D148F"/>
    <w:rsid w:val="009D3D70"/>
    <w:rsid w:val="009E6F7E"/>
    <w:rsid w:val="009E7A57"/>
    <w:rsid w:val="009F43FF"/>
    <w:rsid w:val="009F4F6A"/>
    <w:rsid w:val="00A04084"/>
    <w:rsid w:val="00A12C45"/>
    <w:rsid w:val="00A15059"/>
    <w:rsid w:val="00A16E36"/>
    <w:rsid w:val="00A17209"/>
    <w:rsid w:val="00A24961"/>
    <w:rsid w:val="00A24B10"/>
    <w:rsid w:val="00A25AD0"/>
    <w:rsid w:val="00A27229"/>
    <w:rsid w:val="00A30E9B"/>
    <w:rsid w:val="00A4512D"/>
    <w:rsid w:val="00A50244"/>
    <w:rsid w:val="00A529E0"/>
    <w:rsid w:val="00A54D17"/>
    <w:rsid w:val="00A56F17"/>
    <w:rsid w:val="00A57A41"/>
    <w:rsid w:val="00A627D7"/>
    <w:rsid w:val="00A656C7"/>
    <w:rsid w:val="00A705AF"/>
    <w:rsid w:val="00A72454"/>
    <w:rsid w:val="00A73F3C"/>
    <w:rsid w:val="00A77696"/>
    <w:rsid w:val="00A80557"/>
    <w:rsid w:val="00A81D33"/>
    <w:rsid w:val="00A841F5"/>
    <w:rsid w:val="00A85766"/>
    <w:rsid w:val="00A86341"/>
    <w:rsid w:val="00A9164C"/>
    <w:rsid w:val="00A930AE"/>
    <w:rsid w:val="00A9753C"/>
    <w:rsid w:val="00AA1A95"/>
    <w:rsid w:val="00AA260F"/>
    <w:rsid w:val="00AA2881"/>
    <w:rsid w:val="00AA63C2"/>
    <w:rsid w:val="00AA763F"/>
    <w:rsid w:val="00AB0067"/>
    <w:rsid w:val="00AB1EE7"/>
    <w:rsid w:val="00AB3FD0"/>
    <w:rsid w:val="00AB4B37"/>
    <w:rsid w:val="00AB5762"/>
    <w:rsid w:val="00AB71E3"/>
    <w:rsid w:val="00AC0C70"/>
    <w:rsid w:val="00AC2679"/>
    <w:rsid w:val="00AC4BE4"/>
    <w:rsid w:val="00AC6BF9"/>
    <w:rsid w:val="00AD05E6"/>
    <w:rsid w:val="00AD0D3F"/>
    <w:rsid w:val="00AD598B"/>
    <w:rsid w:val="00AE004D"/>
    <w:rsid w:val="00AE1D7D"/>
    <w:rsid w:val="00AE2A8B"/>
    <w:rsid w:val="00AE3F64"/>
    <w:rsid w:val="00AF45C4"/>
    <w:rsid w:val="00AF5DA0"/>
    <w:rsid w:val="00AF6E75"/>
    <w:rsid w:val="00AF7386"/>
    <w:rsid w:val="00AF7934"/>
    <w:rsid w:val="00B00B81"/>
    <w:rsid w:val="00B023BF"/>
    <w:rsid w:val="00B04580"/>
    <w:rsid w:val="00B04B09"/>
    <w:rsid w:val="00B135AA"/>
    <w:rsid w:val="00B16A51"/>
    <w:rsid w:val="00B2001F"/>
    <w:rsid w:val="00B24E94"/>
    <w:rsid w:val="00B25440"/>
    <w:rsid w:val="00B277F4"/>
    <w:rsid w:val="00B32222"/>
    <w:rsid w:val="00B326A3"/>
    <w:rsid w:val="00B3618D"/>
    <w:rsid w:val="00B36233"/>
    <w:rsid w:val="00B42851"/>
    <w:rsid w:val="00B45AC7"/>
    <w:rsid w:val="00B51585"/>
    <w:rsid w:val="00B519DF"/>
    <w:rsid w:val="00B5372F"/>
    <w:rsid w:val="00B54087"/>
    <w:rsid w:val="00B61129"/>
    <w:rsid w:val="00B63B57"/>
    <w:rsid w:val="00B6464D"/>
    <w:rsid w:val="00B67E7F"/>
    <w:rsid w:val="00B7222E"/>
    <w:rsid w:val="00B75A04"/>
    <w:rsid w:val="00B839B2"/>
    <w:rsid w:val="00B845E7"/>
    <w:rsid w:val="00B87959"/>
    <w:rsid w:val="00B94252"/>
    <w:rsid w:val="00B94828"/>
    <w:rsid w:val="00B9715A"/>
    <w:rsid w:val="00BA14BE"/>
    <w:rsid w:val="00BA2732"/>
    <w:rsid w:val="00BA293D"/>
    <w:rsid w:val="00BA49BC"/>
    <w:rsid w:val="00BA56B7"/>
    <w:rsid w:val="00BA70AB"/>
    <w:rsid w:val="00BA7A1E"/>
    <w:rsid w:val="00BA7CA9"/>
    <w:rsid w:val="00BB2F6C"/>
    <w:rsid w:val="00BB3875"/>
    <w:rsid w:val="00BB3B2B"/>
    <w:rsid w:val="00BB5860"/>
    <w:rsid w:val="00BB6AAD"/>
    <w:rsid w:val="00BC2486"/>
    <w:rsid w:val="00BC4A19"/>
    <w:rsid w:val="00BC4E6D"/>
    <w:rsid w:val="00BC5990"/>
    <w:rsid w:val="00BC7224"/>
    <w:rsid w:val="00BC794E"/>
    <w:rsid w:val="00BD0617"/>
    <w:rsid w:val="00BD2E9B"/>
    <w:rsid w:val="00BE6C53"/>
    <w:rsid w:val="00BE6F5E"/>
    <w:rsid w:val="00BF6D20"/>
    <w:rsid w:val="00C00918"/>
    <w:rsid w:val="00C00930"/>
    <w:rsid w:val="00C060AD"/>
    <w:rsid w:val="00C0670D"/>
    <w:rsid w:val="00C113BF"/>
    <w:rsid w:val="00C16EAB"/>
    <w:rsid w:val="00C2176E"/>
    <w:rsid w:val="00C23430"/>
    <w:rsid w:val="00C25BD3"/>
    <w:rsid w:val="00C26878"/>
    <w:rsid w:val="00C26DE8"/>
    <w:rsid w:val="00C27D67"/>
    <w:rsid w:val="00C37018"/>
    <w:rsid w:val="00C416F3"/>
    <w:rsid w:val="00C4631F"/>
    <w:rsid w:val="00C50E16"/>
    <w:rsid w:val="00C51DD5"/>
    <w:rsid w:val="00C55258"/>
    <w:rsid w:val="00C55313"/>
    <w:rsid w:val="00C56E88"/>
    <w:rsid w:val="00C64C3C"/>
    <w:rsid w:val="00C66607"/>
    <w:rsid w:val="00C76C2E"/>
    <w:rsid w:val="00C82EEB"/>
    <w:rsid w:val="00C971DC"/>
    <w:rsid w:val="00CA16B7"/>
    <w:rsid w:val="00CA4BE3"/>
    <w:rsid w:val="00CA62AE"/>
    <w:rsid w:val="00CA79CF"/>
    <w:rsid w:val="00CB5B1A"/>
    <w:rsid w:val="00CC1153"/>
    <w:rsid w:val="00CC220B"/>
    <w:rsid w:val="00CC2667"/>
    <w:rsid w:val="00CC4523"/>
    <w:rsid w:val="00CC518D"/>
    <w:rsid w:val="00CC5C43"/>
    <w:rsid w:val="00CD02AE"/>
    <w:rsid w:val="00CD2120"/>
    <w:rsid w:val="00CD2A4F"/>
    <w:rsid w:val="00CD50DB"/>
    <w:rsid w:val="00CE03CA"/>
    <w:rsid w:val="00CE22F1"/>
    <w:rsid w:val="00CE2B1A"/>
    <w:rsid w:val="00CE50F2"/>
    <w:rsid w:val="00CE6502"/>
    <w:rsid w:val="00CF1216"/>
    <w:rsid w:val="00CF14A6"/>
    <w:rsid w:val="00CF7D3C"/>
    <w:rsid w:val="00D10543"/>
    <w:rsid w:val="00D147EB"/>
    <w:rsid w:val="00D17E4D"/>
    <w:rsid w:val="00D26F6E"/>
    <w:rsid w:val="00D31FEA"/>
    <w:rsid w:val="00D3278F"/>
    <w:rsid w:val="00D34667"/>
    <w:rsid w:val="00D401E1"/>
    <w:rsid w:val="00D408B4"/>
    <w:rsid w:val="00D41DEE"/>
    <w:rsid w:val="00D45D94"/>
    <w:rsid w:val="00D471E9"/>
    <w:rsid w:val="00D47838"/>
    <w:rsid w:val="00D524C8"/>
    <w:rsid w:val="00D53030"/>
    <w:rsid w:val="00D56CF2"/>
    <w:rsid w:val="00D572CC"/>
    <w:rsid w:val="00D5782D"/>
    <w:rsid w:val="00D60E25"/>
    <w:rsid w:val="00D709A2"/>
    <w:rsid w:val="00D70E24"/>
    <w:rsid w:val="00D716B3"/>
    <w:rsid w:val="00D72B61"/>
    <w:rsid w:val="00D76521"/>
    <w:rsid w:val="00D83587"/>
    <w:rsid w:val="00D871BC"/>
    <w:rsid w:val="00DA3D1D"/>
    <w:rsid w:val="00DB0138"/>
    <w:rsid w:val="00DB6286"/>
    <w:rsid w:val="00DB645F"/>
    <w:rsid w:val="00DB76E9"/>
    <w:rsid w:val="00DC0A67"/>
    <w:rsid w:val="00DC1D5E"/>
    <w:rsid w:val="00DC2313"/>
    <w:rsid w:val="00DC5220"/>
    <w:rsid w:val="00DC7910"/>
    <w:rsid w:val="00DD2061"/>
    <w:rsid w:val="00DD7DAB"/>
    <w:rsid w:val="00DE2C34"/>
    <w:rsid w:val="00DE3355"/>
    <w:rsid w:val="00DF3C0E"/>
    <w:rsid w:val="00DF486F"/>
    <w:rsid w:val="00DF5B5B"/>
    <w:rsid w:val="00DF7619"/>
    <w:rsid w:val="00E042D8"/>
    <w:rsid w:val="00E07EE7"/>
    <w:rsid w:val="00E1103B"/>
    <w:rsid w:val="00E17B44"/>
    <w:rsid w:val="00E21AC3"/>
    <w:rsid w:val="00E268BD"/>
    <w:rsid w:val="00E27FEA"/>
    <w:rsid w:val="00E4086F"/>
    <w:rsid w:val="00E4293C"/>
    <w:rsid w:val="00E43B3C"/>
    <w:rsid w:val="00E440A5"/>
    <w:rsid w:val="00E46CAA"/>
    <w:rsid w:val="00E50188"/>
    <w:rsid w:val="00E515CB"/>
    <w:rsid w:val="00E518A6"/>
    <w:rsid w:val="00E51901"/>
    <w:rsid w:val="00E52260"/>
    <w:rsid w:val="00E54729"/>
    <w:rsid w:val="00E607E0"/>
    <w:rsid w:val="00E61697"/>
    <w:rsid w:val="00E639B6"/>
    <w:rsid w:val="00E6434B"/>
    <w:rsid w:val="00E6463D"/>
    <w:rsid w:val="00E72E9B"/>
    <w:rsid w:val="00E73B2D"/>
    <w:rsid w:val="00E760C8"/>
    <w:rsid w:val="00E849DA"/>
    <w:rsid w:val="00E911F2"/>
    <w:rsid w:val="00E9462E"/>
    <w:rsid w:val="00EA470E"/>
    <w:rsid w:val="00EA47A7"/>
    <w:rsid w:val="00EA57EB"/>
    <w:rsid w:val="00EB30C0"/>
    <w:rsid w:val="00EB3226"/>
    <w:rsid w:val="00EB7BAB"/>
    <w:rsid w:val="00EC213A"/>
    <w:rsid w:val="00EC3EF6"/>
    <w:rsid w:val="00EC6603"/>
    <w:rsid w:val="00EC7744"/>
    <w:rsid w:val="00ED0DAD"/>
    <w:rsid w:val="00ED0F46"/>
    <w:rsid w:val="00ED2373"/>
    <w:rsid w:val="00EE0544"/>
    <w:rsid w:val="00EE3E8A"/>
    <w:rsid w:val="00EE4383"/>
    <w:rsid w:val="00EE663A"/>
    <w:rsid w:val="00EF4E34"/>
    <w:rsid w:val="00EF6ECA"/>
    <w:rsid w:val="00EF766E"/>
    <w:rsid w:val="00F004C6"/>
    <w:rsid w:val="00F019D7"/>
    <w:rsid w:val="00F024E1"/>
    <w:rsid w:val="00F06C10"/>
    <w:rsid w:val="00F10041"/>
    <w:rsid w:val="00F1096F"/>
    <w:rsid w:val="00F12589"/>
    <w:rsid w:val="00F12595"/>
    <w:rsid w:val="00F1277C"/>
    <w:rsid w:val="00F134D9"/>
    <w:rsid w:val="00F1403D"/>
    <w:rsid w:val="00F1463F"/>
    <w:rsid w:val="00F21302"/>
    <w:rsid w:val="00F321DE"/>
    <w:rsid w:val="00F3359A"/>
    <w:rsid w:val="00F33777"/>
    <w:rsid w:val="00F40648"/>
    <w:rsid w:val="00F47DA2"/>
    <w:rsid w:val="00F519FC"/>
    <w:rsid w:val="00F6239D"/>
    <w:rsid w:val="00F715D2"/>
    <w:rsid w:val="00F7274F"/>
    <w:rsid w:val="00F76FA8"/>
    <w:rsid w:val="00F82DF9"/>
    <w:rsid w:val="00F86F85"/>
    <w:rsid w:val="00F93F08"/>
    <w:rsid w:val="00F94CED"/>
    <w:rsid w:val="00FA1E8D"/>
    <w:rsid w:val="00FA2CEE"/>
    <w:rsid w:val="00FA318C"/>
    <w:rsid w:val="00FB6F92"/>
    <w:rsid w:val="00FB73FA"/>
    <w:rsid w:val="00FC026E"/>
    <w:rsid w:val="00FC0C05"/>
    <w:rsid w:val="00FC26A8"/>
    <w:rsid w:val="00FC5124"/>
    <w:rsid w:val="00FC799C"/>
    <w:rsid w:val="00FD29C0"/>
    <w:rsid w:val="00FD4731"/>
    <w:rsid w:val="00FE353A"/>
    <w:rsid w:val="00FE3E1D"/>
    <w:rsid w:val="00FF0AB0"/>
    <w:rsid w:val="00FF28AC"/>
    <w:rsid w:val="00FF5A07"/>
    <w:rsid w:val="00FF7F62"/>
    <w:rsid w:val="4094CF4E"/>
    <w:rsid w:val="51BC17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C30C82FA-DC6A-4FB8-9410-5CD0ACF6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7DCC"/>
    <w:pPr>
      <w:spacing w:before="120" w:after="120" w:line="276" w:lineRule="auto"/>
    </w:pPr>
    <w:rPr>
      <w:rFonts w:ascii="Arial" w:eastAsiaTheme="majorEastAsia" w:hAnsi="Arial"/>
      <w:color w:val="000000" w:themeColor="text1"/>
      <w:sz w:val="22"/>
      <w:szCs w:val="24"/>
      <w:lang w:eastAsia="en-US"/>
    </w:rPr>
  </w:style>
  <w:style w:type="paragraph" w:styleId="Heading1">
    <w:name w:val="heading 1"/>
    <w:next w:val="Normal"/>
    <w:link w:val="Heading1Char"/>
    <w:qFormat/>
    <w:rsid w:val="00FE3E1D"/>
    <w:pPr>
      <w:keepNext/>
      <w:spacing w:before="240" w:after="60"/>
      <w:outlineLvl w:val="0"/>
    </w:pPr>
    <w:rPr>
      <w:rFonts w:ascii="Arial" w:hAnsi="Arial" w:cs="Arial"/>
      <w:b/>
      <w:bCs/>
      <w:color w:val="3F4A75"/>
      <w:kern w:val="28"/>
      <w:sz w:val="36"/>
      <w:szCs w:val="36"/>
      <w:lang w:eastAsia="en-US"/>
    </w:rPr>
  </w:style>
  <w:style w:type="paragraph" w:styleId="Heading2">
    <w:name w:val="heading 2"/>
    <w:next w:val="Normal"/>
    <w:link w:val="Heading2Char"/>
    <w:qFormat/>
    <w:rsid w:val="00FE3E1D"/>
    <w:pPr>
      <w:keepNext/>
      <w:spacing w:before="240" w:after="60"/>
      <w:outlineLvl w:val="1"/>
    </w:pPr>
    <w:rPr>
      <w:rFonts w:ascii="Arial" w:hAnsi="Arial" w:cs="Arial"/>
      <w:b/>
      <w:bCs/>
      <w:iCs/>
      <w:color w:val="358189"/>
      <w:sz w:val="32"/>
      <w:szCs w:val="28"/>
      <w:lang w:eastAsia="en-US"/>
    </w:rPr>
  </w:style>
  <w:style w:type="paragraph" w:styleId="Heading3">
    <w:name w:val="heading 3"/>
    <w:next w:val="Normal"/>
    <w:link w:val="Heading3Char"/>
    <w:qFormat/>
    <w:rsid w:val="00361FC9"/>
    <w:pPr>
      <w:keepNext/>
      <w:numPr>
        <w:numId w:val="31"/>
      </w:numPr>
      <w:spacing w:before="180" w:after="60"/>
      <w:outlineLvl w:val="2"/>
    </w:pPr>
    <w:rPr>
      <w:rFonts w:ascii="Arial" w:hAnsi="Arial" w:cs="Arial"/>
      <w:b/>
      <w:bCs/>
      <w:color w:val="358189"/>
      <w:sz w:val="24"/>
      <w:szCs w:val="26"/>
      <w:lang w:eastAsia="en-US"/>
    </w:rPr>
  </w:style>
  <w:style w:type="paragraph" w:styleId="Heading4">
    <w:name w:val="heading 4"/>
    <w:next w:val="Normal"/>
    <w:qFormat/>
    <w:rsid w:val="004F1E3D"/>
    <w:pPr>
      <w:keepNext/>
      <w:spacing w:before="240" w:after="60"/>
      <w:outlineLvl w:val="3"/>
    </w:pPr>
    <w:rPr>
      <w:rFonts w:ascii="Arial" w:eastAsia="Calibri" w:hAnsi="Arial"/>
      <w:b/>
      <w:bCs/>
      <w:i/>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FE3E1D"/>
    <w:pPr>
      <w:numPr>
        <w:numId w:val="5"/>
      </w:numPr>
      <w:spacing w:before="60" w:after="60"/>
      <w:ind w:left="567" w:hanging="340"/>
    </w:pPr>
    <w:rPr>
      <w:rFonts w:eastAsia="Calibri"/>
    </w:rPr>
  </w:style>
  <w:style w:type="paragraph" w:customStyle="1" w:styleId="NormalRedtext">
    <w:name w:val="Normal (Red text)"/>
    <w:basedOn w:val="Normal"/>
    <w:rsid w:val="00925BA6"/>
    <w:pPr>
      <w:spacing w:line="240" w:lineRule="auto"/>
      <w:jc w:val="center"/>
    </w:pPr>
    <w:rPr>
      <w:rFonts w:asciiTheme="minorHAnsi" w:hAnsiTheme="minorHAnsi"/>
      <w:color w:val="FF0000"/>
      <w:szCs w:val="22"/>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D3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6E6E6" w:themeFill="background2"/>
      </w:tc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25BA6"/>
    <w:pPr>
      <w:spacing w:before="60" w:after="60"/>
    </w:pPr>
    <w:rPr>
      <w:rFonts w:ascii="Arial" w:hAnsi="Arial" w:cs="Arial"/>
      <w:color w:val="000000" w:themeColor="text1"/>
      <w:szCs w:val="21"/>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TOC2">
    <w:name w:val="toc 2"/>
    <w:basedOn w:val="Normal"/>
    <w:next w:val="Normal"/>
    <w:autoRedefine/>
    <w:uiPriority w:val="39"/>
    <w:unhideWhenUsed/>
    <w:rsid w:val="00E61697"/>
    <w:pPr>
      <w:tabs>
        <w:tab w:val="right" w:leader="dot" w:pos="9060"/>
      </w:tabs>
      <w:spacing w:before="0" w:after="0" w:line="240" w:lineRule="auto"/>
      <w:ind w:left="220"/>
    </w:pPr>
  </w:style>
  <w:style w:type="paragraph" w:styleId="TOC1">
    <w:name w:val="toc 1"/>
    <w:basedOn w:val="Normal"/>
    <w:next w:val="Normal"/>
    <w:autoRedefine/>
    <w:uiPriority w:val="39"/>
    <w:unhideWhenUsed/>
    <w:rsid w:val="0075089A"/>
    <w:pPr>
      <w:spacing w:before="0" w:after="100" w:line="240" w:lineRule="auto"/>
    </w:pPr>
  </w:style>
  <w:style w:type="character" w:customStyle="1" w:styleId="Heading2Char">
    <w:name w:val="Heading 2 Char"/>
    <w:basedOn w:val="DefaultParagraphFont"/>
    <w:link w:val="Heading2"/>
    <w:rsid w:val="00FE3E1D"/>
    <w:rPr>
      <w:rFonts w:ascii="Arial" w:hAnsi="Arial" w:cs="Arial"/>
      <w:b/>
      <w:bCs/>
      <w:iCs/>
      <w:color w:val="358189"/>
      <w:sz w:val="32"/>
      <w:szCs w:val="28"/>
      <w:lang w:eastAsia="en-US"/>
    </w:rPr>
  </w:style>
  <w:style w:type="character" w:styleId="CommentReference">
    <w:name w:val="annotation reference"/>
    <w:basedOn w:val="DefaultParagraphFont"/>
    <w:uiPriority w:val="99"/>
    <w:semiHidden/>
    <w:unhideWhenUsed/>
    <w:rsid w:val="008A7F08"/>
    <w:rPr>
      <w:sz w:val="16"/>
      <w:szCs w:val="16"/>
    </w:rPr>
  </w:style>
  <w:style w:type="paragraph" w:styleId="CommentText">
    <w:name w:val="annotation text"/>
    <w:basedOn w:val="Normal"/>
    <w:link w:val="CommentTextChar"/>
    <w:uiPriority w:val="99"/>
    <w:unhideWhenUsed/>
    <w:rsid w:val="008A7F08"/>
    <w:pPr>
      <w:spacing w:before="0" w:after="0" w:line="240" w:lineRule="auto"/>
    </w:pPr>
    <w:rPr>
      <w:sz w:val="20"/>
      <w:szCs w:val="20"/>
    </w:rPr>
  </w:style>
  <w:style w:type="character" w:customStyle="1" w:styleId="CommentTextChar">
    <w:name w:val="Comment Text Char"/>
    <w:basedOn w:val="DefaultParagraphFont"/>
    <w:link w:val="CommentText"/>
    <w:uiPriority w:val="99"/>
    <w:rsid w:val="008A7F08"/>
    <w:rPr>
      <w:rFonts w:ascii="Arial" w:hAnsi="Arial"/>
      <w:color w:val="000000" w:themeColor="text1"/>
      <w:lang w:eastAsia="en-US"/>
    </w:rPr>
  </w:style>
  <w:style w:type="paragraph" w:styleId="TOC3">
    <w:name w:val="toc 3"/>
    <w:basedOn w:val="Normal"/>
    <w:next w:val="Normal"/>
    <w:autoRedefine/>
    <w:uiPriority w:val="39"/>
    <w:unhideWhenUsed/>
    <w:rsid w:val="00F10041"/>
    <w:pPr>
      <w:spacing w:after="100"/>
      <w:ind w:left="440"/>
    </w:pPr>
  </w:style>
  <w:style w:type="paragraph" w:customStyle="1" w:styleId="Heading3nonumbered">
    <w:name w:val="Heading 3 (no numbered)"/>
    <w:basedOn w:val="Heading3"/>
    <w:link w:val="Heading3nonumberedChar"/>
    <w:qFormat/>
    <w:rsid w:val="004F1E3D"/>
    <w:pPr>
      <w:numPr>
        <w:numId w:val="0"/>
      </w:numPr>
    </w:pPr>
  </w:style>
  <w:style w:type="character" w:customStyle="1" w:styleId="Heading1Char">
    <w:name w:val="Heading 1 Char"/>
    <w:basedOn w:val="DefaultParagraphFont"/>
    <w:link w:val="Heading1"/>
    <w:rsid w:val="00FE3E1D"/>
    <w:rPr>
      <w:rFonts w:ascii="Arial" w:hAnsi="Arial" w:cs="Arial"/>
      <w:b/>
      <w:bCs/>
      <w:color w:val="3F4A75"/>
      <w:kern w:val="28"/>
      <w:sz w:val="36"/>
      <w:szCs w:val="36"/>
      <w:lang w:eastAsia="en-US"/>
    </w:rPr>
  </w:style>
  <w:style w:type="character" w:styleId="UnresolvedMention">
    <w:name w:val="Unresolved Mention"/>
    <w:basedOn w:val="DefaultParagraphFont"/>
    <w:uiPriority w:val="99"/>
    <w:semiHidden/>
    <w:unhideWhenUsed/>
    <w:rsid w:val="006129C1"/>
    <w:rPr>
      <w:color w:val="605E5C"/>
      <w:shd w:val="clear" w:color="auto" w:fill="E1DFDD"/>
    </w:rPr>
  </w:style>
  <w:style w:type="paragraph" w:styleId="Revision">
    <w:name w:val="Revision"/>
    <w:hidden/>
    <w:uiPriority w:val="99"/>
    <w:semiHidden/>
    <w:rsid w:val="00284179"/>
    <w:rPr>
      <w:rFonts w:ascii="Arial" w:hAnsi="Arial"/>
      <w:color w:val="000000" w:themeColor="text1"/>
      <w:sz w:val="22"/>
      <w:szCs w:val="24"/>
      <w:lang w:eastAsia="en-US"/>
    </w:rPr>
  </w:style>
  <w:style w:type="character" w:styleId="FollowedHyperlink">
    <w:name w:val="FollowedHyperlink"/>
    <w:basedOn w:val="DefaultParagraphFont"/>
    <w:semiHidden/>
    <w:unhideWhenUsed/>
    <w:rsid w:val="00284179"/>
    <w:rPr>
      <w:color w:val="800080" w:themeColor="followedHyperlink"/>
      <w:u w:val="single"/>
    </w:rPr>
  </w:style>
  <w:style w:type="paragraph" w:styleId="CommentSubject">
    <w:name w:val="annotation subject"/>
    <w:basedOn w:val="CommentText"/>
    <w:next w:val="CommentText"/>
    <w:link w:val="CommentSubjectChar"/>
    <w:semiHidden/>
    <w:unhideWhenUsed/>
    <w:rsid w:val="00AF5DA0"/>
    <w:pPr>
      <w:spacing w:before="120" w:after="120"/>
    </w:pPr>
    <w:rPr>
      <w:b/>
      <w:bCs/>
    </w:rPr>
  </w:style>
  <w:style w:type="character" w:customStyle="1" w:styleId="CommentSubjectChar">
    <w:name w:val="Comment Subject Char"/>
    <w:basedOn w:val="CommentTextChar"/>
    <w:link w:val="CommentSubject"/>
    <w:semiHidden/>
    <w:rsid w:val="00AF5DA0"/>
    <w:rPr>
      <w:rFonts w:ascii="Arial" w:hAnsi="Arial"/>
      <w:b/>
      <w:bCs/>
      <w:color w:val="000000" w:themeColor="text1"/>
      <w:lang w:eastAsia="en-US"/>
    </w:rPr>
  </w:style>
  <w:style w:type="paragraph" w:styleId="TOCHeading">
    <w:name w:val="TOC Heading"/>
    <w:basedOn w:val="Heading1"/>
    <w:next w:val="Normal"/>
    <w:uiPriority w:val="39"/>
    <w:unhideWhenUsed/>
    <w:qFormat/>
    <w:rsid w:val="007106B3"/>
    <w:pPr>
      <w:keepLines/>
      <w:spacing w:after="0" w:line="259" w:lineRule="auto"/>
      <w:outlineLvl w:val="9"/>
    </w:pPr>
    <w:rPr>
      <w:rFonts w:eastAsiaTheme="majorEastAsia" w:cstheme="majorBidi"/>
      <w:bCs w:val="0"/>
      <w:color w:val="2F3757" w:themeColor="accent1" w:themeShade="BF"/>
      <w:kern w:val="0"/>
      <w:sz w:val="32"/>
      <w:szCs w:val="32"/>
      <w:lang w:eastAsia="en-AU"/>
    </w:rPr>
  </w:style>
  <w:style w:type="character" w:customStyle="1" w:styleId="Heading3Char">
    <w:name w:val="Heading 3 Char"/>
    <w:basedOn w:val="DefaultParagraphFont"/>
    <w:link w:val="Heading3"/>
    <w:rsid w:val="004F1E3D"/>
    <w:rPr>
      <w:rFonts w:ascii="Arial" w:hAnsi="Arial" w:cs="Arial"/>
      <w:b/>
      <w:bCs/>
      <w:color w:val="358189"/>
      <w:sz w:val="24"/>
      <w:szCs w:val="26"/>
      <w:lang w:eastAsia="en-US"/>
    </w:rPr>
  </w:style>
  <w:style w:type="character" w:customStyle="1" w:styleId="Heading3nonumberedChar">
    <w:name w:val="Heading 3 (no numbered) Char"/>
    <w:basedOn w:val="Heading3Char"/>
    <w:link w:val="Heading3nonumbered"/>
    <w:rsid w:val="004F1E3D"/>
    <w:rPr>
      <w:rFonts w:ascii="Arial" w:hAnsi="Arial" w:cs="Arial"/>
      <w:b/>
      <w:bCs/>
      <w:color w:val="358189"/>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600">
      <w:bodyDiv w:val="1"/>
      <w:marLeft w:val="0"/>
      <w:marRight w:val="0"/>
      <w:marTop w:val="0"/>
      <w:marBottom w:val="0"/>
      <w:divBdr>
        <w:top w:val="none" w:sz="0" w:space="0" w:color="auto"/>
        <w:left w:val="none" w:sz="0" w:space="0" w:color="auto"/>
        <w:bottom w:val="none" w:sz="0" w:space="0" w:color="auto"/>
        <w:right w:val="none" w:sz="0" w:space="0" w:color="auto"/>
      </w:divBdr>
    </w:div>
    <w:div w:id="71775346">
      <w:bodyDiv w:val="1"/>
      <w:marLeft w:val="0"/>
      <w:marRight w:val="0"/>
      <w:marTop w:val="0"/>
      <w:marBottom w:val="0"/>
      <w:divBdr>
        <w:top w:val="none" w:sz="0" w:space="0" w:color="auto"/>
        <w:left w:val="none" w:sz="0" w:space="0" w:color="auto"/>
        <w:bottom w:val="none" w:sz="0" w:space="0" w:color="auto"/>
        <w:right w:val="none" w:sz="0" w:space="0" w:color="auto"/>
      </w:divBdr>
    </w:div>
    <w:div w:id="106581118">
      <w:bodyDiv w:val="1"/>
      <w:marLeft w:val="0"/>
      <w:marRight w:val="0"/>
      <w:marTop w:val="0"/>
      <w:marBottom w:val="0"/>
      <w:divBdr>
        <w:top w:val="none" w:sz="0" w:space="0" w:color="auto"/>
        <w:left w:val="none" w:sz="0" w:space="0" w:color="auto"/>
        <w:bottom w:val="none" w:sz="0" w:space="0" w:color="auto"/>
        <w:right w:val="none" w:sz="0" w:space="0" w:color="auto"/>
      </w:divBdr>
    </w:div>
    <w:div w:id="137191207">
      <w:bodyDiv w:val="1"/>
      <w:marLeft w:val="0"/>
      <w:marRight w:val="0"/>
      <w:marTop w:val="0"/>
      <w:marBottom w:val="0"/>
      <w:divBdr>
        <w:top w:val="none" w:sz="0" w:space="0" w:color="auto"/>
        <w:left w:val="none" w:sz="0" w:space="0" w:color="auto"/>
        <w:bottom w:val="none" w:sz="0" w:space="0" w:color="auto"/>
        <w:right w:val="none" w:sz="0" w:space="0" w:color="auto"/>
      </w:divBdr>
    </w:div>
    <w:div w:id="192882436">
      <w:bodyDiv w:val="1"/>
      <w:marLeft w:val="0"/>
      <w:marRight w:val="0"/>
      <w:marTop w:val="0"/>
      <w:marBottom w:val="0"/>
      <w:divBdr>
        <w:top w:val="none" w:sz="0" w:space="0" w:color="auto"/>
        <w:left w:val="none" w:sz="0" w:space="0" w:color="auto"/>
        <w:bottom w:val="none" w:sz="0" w:space="0" w:color="auto"/>
        <w:right w:val="none" w:sz="0" w:space="0" w:color="auto"/>
      </w:divBdr>
    </w:div>
    <w:div w:id="28346498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860320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193028">
      <w:bodyDiv w:val="1"/>
      <w:marLeft w:val="0"/>
      <w:marRight w:val="0"/>
      <w:marTop w:val="0"/>
      <w:marBottom w:val="0"/>
      <w:divBdr>
        <w:top w:val="none" w:sz="0" w:space="0" w:color="auto"/>
        <w:left w:val="none" w:sz="0" w:space="0" w:color="auto"/>
        <w:bottom w:val="none" w:sz="0" w:space="0" w:color="auto"/>
        <w:right w:val="none" w:sz="0" w:space="0" w:color="auto"/>
      </w:divBdr>
    </w:div>
    <w:div w:id="59578953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7463735">
      <w:bodyDiv w:val="1"/>
      <w:marLeft w:val="0"/>
      <w:marRight w:val="0"/>
      <w:marTop w:val="0"/>
      <w:marBottom w:val="0"/>
      <w:divBdr>
        <w:top w:val="none" w:sz="0" w:space="0" w:color="auto"/>
        <w:left w:val="none" w:sz="0" w:space="0" w:color="auto"/>
        <w:bottom w:val="none" w:sz="0" w:space="0" w:color="auto"/>
        <w:right w:val="none" w:sz="0" w:space="0" w:color="auto"/>
      </w:divBdr>
    </w:div>
    <w:div w:id="117063410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22487263">
      <w:bodyDiv w:val="1"/>
      <w:marLeft w:val="0"/>
      <w:marRight w:val="0"/>
      <w:marTop w:val="0"/>
      <w:marBottom w:val="0"/>
      <w:divBdr>
        <w:top w:val="none" w:sz="0" w:space="0" w:color="auto"/>
        <w:left w:val="none" w:sz="0" w:space="0" w:color="auto"/>
        <w:bottom w:val="none" w:sz="0" w:space="0" w:color="auto"/>
        <w:right w:val="none" w:sz="0" w:space="0" w:color="auto"/>
      </w:divBdr>
    </w:div>
    <w:div w:id="1464231748">
      <w:bodyDiv w:val="1"/>
      <w:marLeft w:val="0"/>
      <w:marRight w:val="0"/>
      <w:marTop w:val="0"/>
      <w:marBottom w:val="0"/>
      <w:divBdr>
        <w:top w:val="none" w:sz="0" w:space="0" w:color="auto"/>
        <w:left w:val="none" w:sz="0" w:space="0" w:color="auto"/>
        <w:bottom w:val="none" w:sz="0" w:space="0" w:color="auto"/>
        <w:right w:val="none" w:sz="0" w:space="0" w:color="auto"/>
      </w:divBdr>
    </w:div>
    <w:div w:id="1608000674">
      <w:bodyDiv w:val="1"/>
      <w:marLeft w:val="0"/>
      <w:marRight w:val="0"/>
      <w:marTop w:val="0"/>
      <w:marBottom w:val="0"/>
      <w:divBdr>
        <w:top w:val="none" w:sz="0" w:space="0" w:color="auto"/>
        <w:left w:val="none" w:sz="0" w:space="0" w:color="auto"/>
        <w:bottom w:val="none" w:sz="0" w:space="0" w:color="auto"/>
        <w:right w:val="none" w:sz="0" w:space="0" w:color="auto"/>
      </w:divBdr>
    </w:div>
    <w:div w:id="1643075354">
      <w:bodyDiv w:val="1"/>
      <w:marLeft w:val="0"/>
      <w:marRight w:val="0"/>
      <w:marTop w:val="0"/>
      <w:marBottom w:val="0"/>
      <w:divBdr>
        <w:top w:val="none" w:sz="0" w:space="0" w:color="auto"/>
        <w:left w:val="none" w:sz="0" w:space="0" w:color="auto"/>
        <w:bottom w:val="none" w:sz="0" w:space="0" w:color="auto"/>
        <w:right w:val="none" w:sz="0" w:space="0" w:color="auto"/>
      </w:divBdr>
    </w:div>
    <w:div w:id="1857888978">
      <w:bodyDiv w:val="1"/>
      <w:marLeft w:val="0"/>
      <w:marRight w:val="0"/>
      <w:marTop w:val="0"/>
      <w:marBottom w:val="0"/>
      <w:divBdr>
        <w:top w:val="none" w:sz="0" w:space="0" w:color="auto"/>
        <w:left w:val="none" w:sz="0" w:space="0" w:color="auto"/>
        <w:bottom w:val="none" w:sz="0" w:space="0" w:color="auto"/>
        <w:right w:val="none" w:sz="0" w:space="0" w:color="auto"/>
      </w:divBdr>
    </w:div>
    <w:div w:id="1909532823">
      <w:bodyDiv w:val="1"/>
      <w:marLeft w:val="0"/>
      <w:marRight w:val="0"/>
      <w:marTop w:val="0"/>
      <w:marBottom w:val="0"/>
      <w:divBdr>
        <w:top w:val="none" w:sz="0" w:space="0" w:color="auto"/>
        <w:left w:val="none" w:sz="0" w:space="0" w:color="auto"/>
        <w:bottom w:val="none" w:sz="0" w:space="0" w:color="auto"/>
        <w:right w:val="none" w:sz="0" w:space="0" w:color="auto"/>
      </w:divBdr>
    </w:div>
    <w:div w:id="1932280193">
      <w:bodyDiv w:val="1"/>
      <w:marLeft w:val="0"/>
      <w:marRight w:val="0"/>
      <w:marTop w:val="0"/>
      <w:marBottom w:val="0"/>
      <w:divBdr>
        <w:top w:val="none" w:sz="0" w:space="0" w:color="auto"/>
        <w:left w:val="none" w:sz="0" w:space="0" w:color="auto"/>
        <w:bottom w:val="none" w:sz="0" w:space="0" w:color="auto"/>
        <w:right w:val="none" w:sz="0" w:space="0" w:color="auto"/>
      </w:divBdr>
    </w:div>
    <w:div w:id="21194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agpt-program-aboriginal-and-torres-strait-islander-salary-support-program-policy-2024?language=en" TargetMode="External"/><Relationship Id="rId26" Type="http://schemas.openxmlformats.org/officeDocument/2006/relationships/hyperlink" Target="https://www.acrrm.org.au/fellowship/fellowship-faqs/payments-faqs" TargetMode="External"/><Relationship Id="rId39" Type="http://schemas.openxmlformats.org/officeDocument/2006/relationships/hyperlink" Target="https://www.health.gov.au/topics/rural-health-workforce/classifications/mmm" TargetMode="External"/><Relationship Id="rId21" Type="http://schemas.openxmlformats.org/officeDocument/2006/relationships/hyperlink" Target="http://www.servicesaustralia.gov.au/provider-digital-access-proda" TargetMode="External"/><Relationship Id="rId34" Type="http://schemas.openxmlformats.org/officeDocument/2006/relationships/hyperlink" Target="mailto:agpt.support@racgp.org.au" TargetMode="External"/><Relationship Id="rId42" Type="http://schemas.openxmlformats.org/officeDocument/2006/relationships/header" Target="header4.xml"/><Relationship Id="rId47" Type="http://schemas.openxmlformats.org/officeDocument/2006/relationships/footer" Target="footer5.xml"/><Relationship Id="rId50" Type="http://schemas.openxmlformats.org/officeDocument/2006/relationships/footer" Target="footer6.xml"/><Relationship Id="rId55"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our-work/gp-training-incentive-payments" TargetMode="External"/><Relationship Id="rId25" Type="http://schemas.openxmlformats.org/officeDocument/2006/relationships/hyperlink" Target="mailto:agpt.support@racgp.org.au" TargetMode="External"/><Relationship Id="rId33" Type="http://schemas.openxmlformats.org/officeDocument/2006/relationships/hyperlink" Target="mailto:payments@acrrm.org.au" TargetMode="External"/><Relationship Id="rId38" Type="http://schemas.openxmlformats.org/officeDocument/2006/relationships/hyperlink" Target="https://www.acrrm.org.au/docs/default-source/all-files/leave-from-training-policy.pdf?sfvrsn=5262372a_10" TargetMode="External"/><Relationship Id="rId46" Type="http://schemas.openxmlformats.org/officeDocument/2006/relationships/header" Target="header6.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our-work/gp-training-incentive-payments" TargetMode="External"/><Relationship Id="rId20" Type="http://schemas.openxmlformats.org/officeDocument/2006/relationships/hyperlink" Target="https://www.health.gov.au/our-work/gp-training-incentive-payments" TargetMode="External"/><Relationship Id="rId29" Type="http://schemas.openxmlformats.org/officeDocument/2006/relationships/hyperlink" Target="https://www.servicesaustralia.gov.au/health-professionals-contact-information?context=20" TargetMode="External"/><Relationship Id="rId41" Type="http://schemas.openxmlformats.org/officeDocument/2006/relationships/hyperlink" Target="http://www.racgp.org.au/education/gp-trainings/leave-policy"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ayments@acrrm.org.au" TargetMode="External"/><Relationship Id="rId32" Type="http://schemas.openxmlformats.org/officeDocument/2006/relationships/hyperlink" Target="https://www.servicesaustralia.gov.au/general-practice-training-payments-consent-and-privacy-notice?context=1" TargetMode="External"/><Relationship Id="rId37" Type="http://schemas.openxmlformats.org/officeDocument/2006/relationships/hyperlink" Target="mailto:AGPTManagement@health.gov.au" TargetMode="External"/><Relationship Id="rId40" Type="http://schemas.openxmlformats.org/officeDocument/2006/relationships/hyperlink" Target="https://www.racgp.org.au/education/gp-training/gp-training/education-policy-and-supporting-documents/training-program-policies/leave-policy" TargetMode="External"/><Relationship Id="rId45" Type="http://schemas.openxmlformats.org/officeDocument/2006/relationships/footer" Target="footer4.xml"/><Relationship Id="rId53" Type="http://schemas.openxmlformats.org/officeDocument/2006/relationships/footer" Target="footer8.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ORGANISATION.REGISTER@servicesaustralia.gov.au" TargetMode="External"/><Relationship Id="rId28" Type="http://schemas.openxmlformats.org/officeDocument/2006/relationships/hyperlink" Target="https://hpe.servicesaustralia.gov.au/" TargetMode="External"/><Relationship Id="rId36" Type="http://schemas.openxmlformats.org/officeDocument/2006/relationships/hyperlink" Target="mailto:ORGANISATION.REGISTER@servicesaustralia.gov.au" TargetMode="Externa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www.health.gov.au/our-work/gp-training-incentive-payments" TargetMode="External"/><Relationship Id="rId31" Type="http://schemas.openxmlformats.org/officeDocument/2006/relationships/hyperlink" Target="https://www.racgp.org.au/privacy-policy" TargetMode="External"/><Relationship Id="rId44" Type="http://schemas.openxmlformats.org/officeDocument/2006/relationships/footer" Target="footer3.xm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da@servicesaustralia.gov.au" TargetMode="External"/><Relationship Id="rId27" Type="http://schemas.openxmlformats.org/officeDocument/2006/relationships/hyperlink" Target="https://www.racgp.org.au/education/registrars/fellowship-pathways/policy-framework/training-program-policies/flexible-funds-policy" TargetMode="External"/><Relationship Id="rId30" Type="http://schemas.openxmlformats.org/officeDocument/2006/relationships/hyperlink" Target="https://www.acrrm.org.au/privacy" TargetMode="External"/><Relationship Id="rId35" Type="http://schemas.openxmlformats.org/officeDocument/2006/relationships/hyperlink" Target="mailto:proda@servicesaustralia.gov.au" TargetMode="External"/><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541E0E9A03184581380AF6335247A7" ma:contentTypeVersion="6" ma:contentTypeDescription="Create a new document." ma:contentTypeScope="" ma:versionID="63c016ce4446f9d4d3050abb768fb401">
  <xsd:schema xmlns:xsd="http://www.w3.org/2001/XMLSchema" xmlns:xs="http://www.w3.org/2001/XMLSchema" xmlns:p="http://schemas.microsoft.com/office/2006/metadata/properties" xmlns:ns2="5f3531ba-02e5-405f-9520-cc8abd8790c7" xmlns:ns3="c3232ca1-086a-48b3-9a32-dc112752d4af" targetNamespace="http://schemas.microsoft.com/office/2006/metadata/properties" ma:root="true" ma:fieldsID="2cdbf70e5ce0313dfb4d6ae639955050" ns2:_="" ns3:_="">
    <xsd:import namespace="5f3531ba-02e5-405f-9520-cc8abd8790c7"/>
    <xsd:import namespace="c3232ca1-086a-48b3-9a32-dc112752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31ba-02e5-405f-9520-cc8abd879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32ca1-086a-48b3-9a32-dc112752d4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CD9DB190-AAC3-4F1A-9AB0-630A3B0B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31ba-02e5-405f-9520-cc8abd8790c7"/>
    <ds:schemaRef ds:uri="c3232ca1-086a-48b3-9a32-dc112752d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TotalTime>
  <Pages>23</Pages>
  <Words>6153</Words>
  <Characters>34521</Characters>
  <Application>Microsoft Office Word</Application>
  <DocSecurity>0</DocSecurity>
  <Lines>916</Lines>
  <Paragraphs>518</Paragraphs>
  <ScaleCrop>false</ScaleCrop>
  <HeadingPairs>
    <vt:vector size="2" baseType="variant">
      <vt:variant>
        <vt:lpstr>Title</vt:lpstr>
      </vt:variant>
      <vt:variant>
        <vt:i4>1</vt:i4>
      </vt:variant>
    </vt:vector>
  </HeadingPairs>
  <TitlesOfParts>
    <vt:vector size="1" baseType="lpstr">
      <vt:lpstr>National Consistent Payments (NCP) Guidelines</vt:lpstr>
    </vt:vector>
  </TitlesOfParts>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(NCP) Guidelines</dc:title>
  <dc:subject>Health workforce</dc:subject>
  <dc:creator>Australian Government Department of Health, Disability and Ageing</dc:creator>
  <cp:keywords>Australian General Practice Training (AGPT) Program</cp:keywords>
  <cp:lastModifiedBy>MASCHKE, Elvia</cp:lastModifiedBy>
  <cp:revision>4</cp:revision>
  <cp:lastPrinted>2025-10-28T00:50:00Z</cp:lastPrinted>
  <dcterms:created xsi:type="dcterms:W3CDTF">2025-10-28T00:50:00Z</dcterms:created>
  <dcterms:modified xsi:type="dcterms:W3CDTF">2025-10-28T00:51:00Z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0x0101004E541E0E9A03184581380AF6335247A7</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6ec188b8,28171b26,2d9ea67,3f8f5762,71dfe00e,65248a2,2f0c56e,47905576,6891a44a,5949149,4709fa3b,1ea82ea</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88e6187,77bcf927,32fc533f,7095d081,2b058dd8,74aead8b,47931185,349dc303,67354e95,e976f9</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2025-09-30T04:29:10Z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bef84f58-533f-43e9-9720-12281e634df5</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