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07D" w14:textId="3607C934" w:rsidR="002C341A" w:rsidRDefault="00C07D82" w:rsidP="002C341A">
      <w:pPr>
        <w:pStyle w:val="Title"/>
        <w:rPr>
          <w:b/>
          <w:sz w:val="28"/>
          <w:szCs w:val="28"/>
        </w:rPr>
      </w:pPr>
      <w:r w:rsidRPr="00DC1851">
        <w:rPr>
          <w:noProof/>
        </w:rPr>
        <w:drawing>
          <wp:anchor distT="0" distB="0" distL="114300" distR="114300" simplePos="0" relativeHeight="251658240" behindDoc="1" locked="0" layoutInCell="1" allowOverlap="1" wp14:anchorId="63BE94BF" wp14:editId="4373C824">
            <wp:simplePos x="0" y="0"/>
            <wp:positionH relativeFrom="column">
              <wp:posOffset>0</wp:posOffset>
            </wp:positionH>
            <wp:positionV relativeFrom="paragraph">
              <wp:posOffset>98</wp:posOffset>
            </wp:positionV>
            <wp:extent cx="3495600" cy="554400"/>
            <wp:effectExtent l="0" t="0" r="0" b="0"/>
            <wp:wrapTight wrapText="bothSides">
              <wp:wrapPolygon edited="0">
                <wp:start x="1884" y="0"/>
                <wp:lineTo x="589" y="2969"/>
                <wp:lineTo x="0" y="6680"/>
                <wp:lineTo x="0" y="18557"/>
                <wp:lineTo x="1413" y="20784"/>
                <wp:lineTo x="21427" y="20784"/>
                <wp:lineTo x="21427" y="11876"/>
                <wp:lineTo x="14246" y="11134"/>
                <wp:lineTo x="14128" y="5938"/>
                <wp:lineTo x="2708" y="0"/>
                <wp:lineTo x="1884" y="0"/>
              </wp:wrapPolygon>
            </wp:wrapTight>
            <wp:docPr id="69138415" name="Picture 2" descr="Australian Government Department of Health, Disability and Age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38415" name="Picture 2" descr="Australian Government Department of Health, Disability and Age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5075A9" w14:textId="77777777" w:rsidR="002C341A" w:rsidRPr="00DE0186" w:rsidRDefault="002C341A" w:rsidP="002C341A">
      <w:pPr>
        <w:pStyle w:val="Paragraphtext"/>
      </w:pPr>
      <w:r>
        <w:rPr>
          <w:rFonts w:cs="Arial"/>
          <w:noProof/>
          <w:color w:val="1F497D"/>
          <w:sz w:val="20"/>
          <w:szCs w:val="20"/>
          <w:lang w:eastAsia="en-AU"/>
        </w:rPr>
        <w:drawing>
          <wp:inline distT="0" distB="0" distL="0" distR="0" wp14:anchorId="1CD94219" wp14:editId="55C98B34">
            <wp:extent cx="5759450" cy="119864"/>
            <wp:effectExtent l="0" t="0" r="0" b="0"/>
            <wp:docPr id="3" name="Picture 3" descr="cid:image003.png@01D51610.1D98D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51610.1D98D2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1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6304" w14:textId="12F33D2F" w:rsidR="002C341A" w:rsidRPr="008733C0" w:rsidRDefault="002C341A" w:rsidP="00B10CC5">
      <w:pPr>
        <w:pStyle w:val="Title"/>
        <w:spacing w:before="360" w:line="276" w:lineRule="auto"/>
        <w:contextualSpacing w:val="0"/>
        <w:rPr>
          <w:b/>
          <w:sz w:val="36"/>
          <w:szCs w:val="36"/>
        </w:rPr>
      </w:pPr>
      <w:r w:rsidRPr="008733C0">
        <w:rPr>
          <w:b/>
          <w:sz w:val="36"/>
          <w:szCs w:val="36"/>
        </w:rPr>
        <w:t xml:space="preserve">National Clinical Quality Registry Program </w:t>
      </w:r>
    </w:p>
    <w:p w14:paraId="609E6B6A" w14:textId="231059A0" w:rsidR="002C341A" w:rsidRDefault="002C341A" w:rsidP="008733C0">
      <w:pPr>
        <w:pStyle w:val="Title"/>
        <w:spacing w:before="120" w:line="276" w:lineRule="auto"/>
        <w:contextualSpacing w:val="0"/>
        <w:rPr>
          <w:b/>
          <w:sz w:val="36"/>
          <w:szCs w:val="36"/>
        </w:rPr>
      </w:pPr>
      <w:r w:rsidRPr="008733C0">
        <w:rPr>
          <w:b/>
          <w:sz w:val="36"/>
          <w:szCs w:val="36"/>
        </w:rPr>
        <w:t xml:space="preserve">Communique: </w:t>
      </w:r>
      <w:r w:rsidR="00940075">
        <w:rPr>
          <w:b/>
          <w:sz w:val="36"/>
          <w:szCs w:val="36"/>
        </w:rPr>
        <w:t>September</w:t>
      </w:r>
      <w:r w:rsidRPr="008733C0">
        <w:rPr>
          <w:b/>
          <w:sz w:val="36"/>
          <w:szCs w:val="36"/>
        </w:rPr>
        <w:t xml:space="preserve"> 202</w:t>
      </w:r>
      <w:r w:rsidR="00EA086C">
        <w:rPr>
          <w:b/>
          <w:sz w:val="36"/>
          <w:szCs w:val="36"/>
        </w:rPr>
        <w:t>5</w:t>
      </w:r>
    </w:p>
    <w:p w14:paraId="293DD310" w14:textId="77777777" w:rsidR="00E924A7" w:rsidRPr="00E924A7" w:rsidRDefault="00E924A7" w:rsidP="00E924A7">
      <w:pPr>
        <w:pStyle w:val="Paragraphtext"/>
        <w:rPr>
          <w:sz w:val="4"/>
          <w:szCs w:val="4"/>
        </w:rPr>
      </w:pPr>
    </w:p>
    <w:p w14:paraId="388BAEFB" w14:textId="05804D86" w:rsidR="002C341A" w:rsidRDefault="002C341A" w:rsidP="008733C0">
      <w:pPr>
        <w:pStyle w:val="Intropara"/>
        <w:spacing w:before="120" w:after="120" w:line="259" w:lineRule="auto"/>
        <w:rPr>
          <w:rFonts w:cs="Arial"/>
          <w:szCs w:val="22"/>
        </w:rPr>
      </w:pPr>
      <w:r w:rsidRPr="00071634">
        <w:rPr>
          <w:color w:val="auto"/>
          <w:sz w:val="22"/>
          <w:szCs w:val="22"/>
        </w:rPr>
        <w:t>The National Clinical Quality Registry Program (the Program)</w:t>
      </w:r>
      <w:r w:rsidR="005959AB">
        <w:rPr>
          <w:color w:val="auto"/>
          <w:sz w:val="22"/>
          <w:szCs w:val="22"/>
        </w:rPr>
        <w:t xml:space="preserve"> aims </w:t>
      </w:r>
      <w:r w:rsidRPr="00071634">
        <w:rPr>
          <w:color w:val="auto"/>
          <w:sz w:val="22"/>
          <w:szCs w:val="22"/>
        </w:rPr>
        <w:t xml:space="preserve">to improve the quality of health care and ensure better health outcomes for Australian patients. It is designed to reflect the key priorities of the </w:t>
      </w:r>
      <w:hyperlink r:id="rId11" w:history="1">
        <w:r w:rsidRPr="00BC55AD">
          <w:rPr>
            <w:rStyle w:val="Hyperlink"/>
            <w:sz w:val="22"/>
            <w:szCs w:val="22"/>
          </w:rPr>
          <w:t>National Clinical Quality Registry and Virtual Strategy 2020-2030</w:t>
        </w:r>
      </w:hyperlink>
      <w:r w:rsidRPr="00071634">
        <w:rPr>
          <w:color w:val="auto"/>
          <w:sz w:val="22"/>
          <w:szCs w:val="22"/>
        </w:rPr>
        <w:t xml:space="preserve"> (the Strategy).</w:t>
      </w:r>
      <w:r w:rsidRPr="00E36D7C">
        <w:rPr>
          <w:rFonts w:cs="Arial"/>
          <w:szCs w:val="22"/>
        </w:rPr>
        <w:t xml:space="preserve"> </w:t>
      </w:r>
    </w:p>
    <w:p w14:paraId="61C4951E" w14:textId="221BCBDE" w:rsidR="002C341A" w:rsidRDefault="002C341A" w:rsidP="008733C0">
      <w:pPr>
        <w:pStyle w:val="Intropara"/>
        <w:spacing w:before="120" w:after="120" w:line="259" w:lineRule="auto"/>
        <w:rPr>
          <w:color w:val="auto"/>
          <w:sz w:val="22"/>
          <w:szCs w:val="22"/>
        </w:rPr>
      </w:pPr>
      <w:r w:rsidRPr="00253979">
        <w:rPr>
          <w:color w:val="auto"/>
          <w:sz w:val="22"/>
          <w:szCs w:val="22"/>
        </w:rPr>
        <w:t>This</w:t>
      </w:r>
      <w:r>
        <w:rPr>
          <w:color w:val="auto"/>
          <w:sz w:val="22"/>
          <w:szCs w:val="22"/>
        </w:rPr>
        <w:t xml:space="preserve"> is</w:t>
      </w:r>
      <w:r w:rsidRPr="00253979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the </w:t>
      </w:r>
      <w:r w:rsidR="00841834">
        <w:rPr>
          <w:color w:val="auto"/>
          <w:sz w:val="22"/>
          <w:szCs w:val="22"/>
        </w:rPr>
        <w:t>third</w:t>
      </w:r>
      <w:r>
        <w:rPr>
          <w:color w:val="auto"/>
          <w:sz w:val="22"/>
          <w:szCs w:val="22"/>
        </w:rPr>
        <w:t xml:space="preserve"> </w:t>
      </w:r>
      <w:r w:rsidRPr="00253979">
        <w:rPr>
          <w:color w:val="auto"/>
          <w:sz w:val="22"/>
          <w:szCs w:val="22"/>
        </w:rPr>
        <w:t xml:space="preserve">communique </w:t>
      </w:r>
      <w:r>
        <w:rPr>
          <w:color w:val="auto"/>
          <w:sz w:val="22"/>
          <w:szCs w:val="22"/>
        </w:rPr>
        <w:t xml:space="preserve">providing updates on the Program. Further details can be found on the Department’s </w:t>
      </w:r>
      <w:bookmarkStart w:id="0" w:name="_Hlk143503902"/>
      <w:r>
        <w:fldChar w:fldCharType="begin"/>
      </w:r>
      <w:r>
        <w:instrText xml:space="preserve"> HYPERLINK "https://www.health.gov.au/our-work/national-clinical-quality-registry-program?utm_source=health.gov.au&amp;utm_medium=callout-auto-custom&amp;utm_campaign=digital_transformation" </w:instrText>
      </w:r>
      <w:r>
        <w:fldChar w:fldCharType="separate"/>
      </w:r>
      <w:r w:rsidRPr="00BC55AD">
        <w:rPr>
          <w:rStyle w:val="Hyperlink"/>
          <w:sz w:val="22"/>
          <w:szCs w:val="22"/>
        </w:rPr>
        <w:t>website</w:t>
      </w:r>
      <w:r>
        <w:rPr>
          <w:rStyle w:val="Hyperlink"/>
          <w:sz w:val="22"/>
          <w:szCs w:val="22"/>
        </w:rPr>
        <w:fldChar w:fldCharType="end"/>
      </w:r>
      <w:bookmarkEnd w:id="0"/>
      <w:r>
        <w:rPr>
          <w:color w:val="auto"/>
          <w:sz w:val="22"/>
          <w:szCs w:val="22"/>
        </w:rPr>
        <w:t>.</w:t>
      </w:r>
    </w:p>
    <w:p w14:paraId="269C5B2F" w14:textId="77777777" w:rsidR="005B4910" w:rsidRPr="005B4910" w:rsidRDefault="005B4910" w:rsidP="008733C0">
      <w:pPr>
        <w:pStyle w:val="Intropara"/>
        <w:spacing w:before="120" w:after="120" w:line="259" w:lineRule="auto"/>
        <w:rPr>
          <w:color w:val="auto"/>
          <w:sz w:val="4"/>
          <w:szCs w:val="4"/>
        </w:rPr>
      </w:pPr>
    </w:p>
    <w:p w14:paraId="235347CB" w14:textId="31F9A7D5" w:rsidR="004376B1" w:rsidRDefault="004376B1" w:rsidP="008733C0">
      <w:pPr>
        <w:pStyle w:val="Heading2"/>
        <w:rPr>
          <w:b/>
          <w:bCs w:val="0"/>
        </w:rPr>
      </w:pPr>
      <w:r>
        <w:rPr>
          <w:b/>
          <w:bCs w:val="0"/>
        </w:rPr>
        <w:t>Latest news</w:t>
      </w:r>
    </w:p>
    <w:p w14:paraId="5110F69F" w14:textId="726E89F5" w:rsidR="00FD7C1E" w:rsidRDefault="00FD7C1E" w:rsidP="00825DEB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  <w:r w:rsidRPr="00FD7C1E">
        <w:rPr>
          <w:rFonts w:eastAsiaTheme="majorEastAsia" w:cs="Arial"/>
          <w:szCs w:val="22"/>
        </w:rPr>
        <w:t xml:space="preserve">A new Stream 2 Grant opportunity </w:t>
      </w:r>
      <w:r w:rsidR="00FA247A">
        <w:rPr>
          <w:rFonts w:eastAsiaTheme="majorEastAsia" w:cs="Arial"/>
          <w:szCs w:val="22"/>
        </w:rPr>
        <w:t xml:space="preserve">has </w:t>
      </w:r>
      <w:r w:rsidRPr="00FD7C1E">
        <w:rPr>
          <w:rFonts w:eastAsiaTheme="majorEastAsia" w:cs="Arial"/>
          <w:szCs w:val="22"/>
        </w:rPr>
        <w:t xml:space="preserve">opened, focussing on expanding national CQR coverage and enabling real-world surveillance. See </w:t>
      </w:r>
      <w:hyperlink r:id="rId12" w:history="1">
        <w:r w:rsidRPr="00003587">
          <w:rPr>
            <w:rStyle w:val="Hyperlink"/>
            <w:rFonts w:eastAsiaTheme="majorEastAsia" w:cs="Arial"/>
            <w:szCs w:val="22"/>
          </w:rPr>
          <w:t>Grant Connect</w:t>
        </w:r>
      </w:hyperlink>
      <w:r w:rsidRPr="00FD7C1E">
        <w:rPr>
          <w:rFonts w:eastAsiaTheme="majorEastAsia" w:cs="Arial"/>
          <w:szCs w:val="22"/>
        </w:rPr>
        <w:t xml:space="preserve"> for details</w:t>
      </w:r>
      <w:r w:rsidR="00FA247A">
        <w:rPr>
          <w:rFonts w:eastAsiaTheme="majorEastAsia" w:cs="Arial"/>
          <w:szCs w:val="22"/>
        </w:rPr>
        <w:t>.</w:t>
      </w:r>
    </w:p>
    <w:p w14:paraId="7DC85115" w14:textId="77777777" w:rsidR="00FA247A" w:rsidRDefault="00FA247A" w:rsidP="00825DEB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</w:p>
    <w:p w14:paraId="0F8430DF" w14:textId="3430D966" w:rsidR="00825DEB" w:rsidRDefault="004376B1" w:rsidP="00825DEB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  <w:r>
        <w:rPr>
          <w:rFonts w:eastAsiaTheme="majorEastAsia" w:cs="Arial"/>
          <w:szCs w:val="22"/>
        </w:rPr>
        <w:t xml:space="preserve">A range of new CQR best practice guides are now available on the </w:t>
      </w:r>
      <w:r w:rsidRPr="004376B1">
        <w:rPr>
          <w:rFonts w:eastAsiaTheme="majorEastAsia" w:cs="Arial"/>
          <w:szCs w:val="22"/>
        </w:rPr>
        <w:t>Department</w:t>
      </w:r>
      <w:r>
        <w:rPr>
          <w:rFonts w:eastAsiaTheme="majorEastAsia" w:cs="Arial"/>
          <w:szCs w:val="22"/>
        </w:rPr>
        <w:t>’s websit</w:t>
      </w:r>
      <w:r w:rsidR="005B4910">
        <w:rPr>
          <w:rFonts w:eastAsiaTheme="majorEastAsia" w:cs="Arial"/>
          <w:szCs w:val="22"/>
        </w:rPr>
        <w:t>e</w:t>
      </w:r>
      <w:r>
        <w:rPr>
          <w:rFonts w:eastAsiaTheme="majorEastAsia" w:cs="Arial"/>
          <w:szCs w:val="22"/>
        </w:rPr>
        <w:t>:</w:t>
      </w:r>
    </w:p>
    <w:p w14:paraId="29D989EE" w14:textId="53CB8D33" w:rsidR="004376B1" w:rsidRPr="004376B1" w:rsidRDefault="004376B1" w:rsidP="00825DEB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  <w:r>
        <w:rPr>
          <w:rFonts w:eastAsiaTheme="majorEastAsia" w:cs="Arial"/>
          <w:szCs w:val="22"/>
        </w:rPr>
        <w:t xml:space="preserve"> </w:t>
      </w:r>
    </w:p>
    <w:p w14:paraId="54DCB8EF" w14:textId="058FEEA6" w:rsidR="004376B1" w:rsidRPr="007A21DC" w:rsidRDefault="004376B1" w:rsidP="00825DEB">
      <w:pPr>
        <w:pStyle w:val="Heading3"/>
        <w:numPr>
          <w:ilvl w:val="0"/>
          <w:numId w:val="23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hyperlink r:id="rId13" w:history="1">
        <w:r w:rsidRPr="002F429C">
          <w:rPr>
            <w:rStyle w:val="Hyperlink"/>
            <w:rFonts w:ascii="Arial" w:hAnsi="Arial" w:cs="Arial"/>
            <w:b/>
            <w:bCs/>
            <w:sz w:val="22"/>
            <w:szCs w:val="22"/>
          </w:rPr>
          <w:t>Good Clinical Quality Registry Practice Guide</w:t>
        </w:r>
      </w:hyperlink>
      <w:r w:rsidRPr="007A21D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5D0BE6" w14:textId="5D0F99C3" w:rsidR="00825DEB" w:rsidRPr="007A21DC" w:rsidRDefault="004376B1" w:rsidP="00825DEB">
      <w:pPr>
        <w:pStyle w:val="pf0"/>
        <w:spacing w:before="60" w:beforeAutospacing="0" w:after="6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7A21DC">
        <w:rPr>
          <w:rFonts w:ascii="Arial" w:hAnsi="Arial" w:cs="Arial"/>
          <w:color w:val="000000" w:themeColor="text1"/>
          <w:sz w:val="22"/>
          <w:szCs w:val="22"/>
        </w:rPr>
        <w:t>This Guide provides best practice training for hospital staff and clinicians as they begin participating in national CQRs.</w:t>
      </w:r>
    </w:p>
    <w:p w14:paraId="7723EF4A" w14:textId="77777777" w:rsidR="00825DEB" w:rsidRPr="007A21DC" w:rsidRDefault="00825DEB" w:rsidP="00825DEB">
      <w:pPr>
        <w:pStyle w:val="pf0"/>
        <w:spacing w:before="60" w:beforeAutospacing="0" w:after="60" w:afterAutospacing="0"/>
        <w:rPr>
          <w:rFonts w:ascii="Arial" w:hAnsi="Arial" w:cs="Arial"/>
          <w:color w:val="000000" w:themeColor="text1"/>
          <w:sz w:val="22"/>
          <w:szCs w:val="22"/>
        </w:rPr>
      </w:pPr>
    </w:p>
    <w:p w14:paraId="5BF4035C" w14:textId="6DE0E64D" w:rsidR="004376B1" w:rsidRPr="007A21DC" w:rsidRDefault="004376B1" w:rsidP="00825DEB">
      <w:pPr>
        <w:pStyle w:val="Heading3"/>
        <w:numPr>
          <w:ilvl w:val="0"/>
          <w:numId w:val="23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hyperlink r:id="rId14" w:history="1">
        <w:r w:rsidRPr="002F429C">
          <w:rPr>
            <w:rStyle w:val="Hyperlink"/>
            <w:rFonts w:ascii="Arial" w:hAnsi="Arial" w:cs="Arial"/>
            <w:b/>
            <w:bCs/>
            <w:sz w:val="22"/>
            <w:szCs w:val="22"/>
          </w:rPr>
          <w:t>Registry based trials Guide</w:t>
        </w:r>
      </w:hyperlink>
    </w:p>
    <w:p w14:paraId="027D9792" w14:textId="62484519" w:rsidR="004376B1" w:rsidRPr="007A21DC" w:rsidRDefault="00825DEB" w:rsidP="00825DEB">
      <w:pPr>
        <w:pStyle w:val="pf0"/>
        <w:spacing w:before="60" w:beforeAutospacing="0" w:after="60" w:afterAutospacing="0"/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7A21DC">
        <w:rPr>
          <w:rFonts w:ascii="Arial" w:hAnsi="Arial" w:cs="Arial"/>
          <w:color w:val="000000" w:themeColor="text1"/>
          <w:sz w:val="22"/>
          <w:szCs w:val="22"/>
        </w:rPr>
        <w:t xml:space="preserve">This Guide provides national best practice guidance on how to conduct clinical trials within a registry setting. </w:t>
      </w:r>
    </w:p>
    <w:p w14:paraId="448C9BE5" w14:textId="77777777" w:rsidR="00825DEB" w:rsidRPr="007A21DC" w:rsidRDefault="00825DEB" w:rsidP="00825DEB">
      <w:pPr>
        <w:pStyle w:val="ListParagraph"/>
        <w:spacing w:before="60" w:after="60"/>
        <w:rPr>
          <w:rFonts w:cs="Arial"/>
          <w:color w:val="000000" w:themeColor="text1"/>
          <w:szCs w:val="22"/>
        </w:rPr>
      </w:pPr>
    </w:p>
    <w:p w14:paraId="0CE124CD" w14:textId="782B9287" w:rsidR="00871F90" w:rsidRPr="007A21DC" w:rsidRDefault="00871F90" w:rsidP="00871F90">
      <w:pPr>
        <w:pStyle w:val="Heading3"/>
        <w:numPr>
          <w:ilvl w:val="0"/>
          <w:numId w:val="23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hyperlink r:id="rId15" w:history="1">
        <w:r w:rsidRPr="008249B4">
          <w:rPr>
            <w:rStyle w:val="Hyperlink"/>
            <w:rFonts w:ascii="Arial" w:hAnsi="Arial" w:cs="Arial"/>
            <w:b/>
            <w:bCs/>
            <w:sz w:val="22"/>
            <w:szCs w:val="22"/>
          </w:rPr>
          <w:t>A Registry Guide to Co-Designing Consumer Friendly Resources</w:t>
        </w:r>
      </w:hyperlink>
    </w:p>
    <w:p w14:paraId="4A3FEFCF" w14:textId="1198B8A9" w:rsidR="00071D0E" w:rsidRDefault="00071D0E" w:rsidP="00071D0E">
      <w:pPr>
        <w:ind w:firstLine="709"/>
      </w:pPr>
      <w:bookmarkStart w:id="1" w:name="_Hlk209448015"/>
      <w:r>
        <w:t>T</w:t>
      </w:r>
      <w:r w:rsidRPr="00071D0E">
        <w:t xml:space="preserve">he guide has been developed </w:t>
      </w:r>
      <w:r>
        <w:t xml:space="preserve">to help </w:t>
      </w:r>
      <w:r w:rsidRPr="00071D0E">
        <w:t xml:space="preserve">clinical quality registries to </w:t>
      </w:r>
      <w:bookmarkEnd w:id="1"/>
      <w:r w:rsidRPr="00071D0E">
        <w:t xml:space="preserve">create clear, consumer-friendly </w:t>
      </w:r>
      <w:r>
        <w:t xml:space="preserve"> </w:t>
      </w:r>
    </w:p>
    <w:p w14:paraId="44B30169" w14:textId="77777777" w:rsidR="00D4036D" w:rsidRDefault="00071D0E" w:rsidP="00D4036D">
      <w:pPr>
        <w:ind w:firstLine="709"/>
      </w:pPr>
      <w:r w:rsidRPr="00071D0E">
        <w:t>resources from registry data.</w:t>
      </w:r>
      <w:r w:rsidRPr="00D4036D" w:rsidDel="00071D0E">
        <w:t xml:space="preserve"> </w:t>
      </w:r>
    </w:p>
    <w:p w14:paraId="0A8C93DD" w14:textId="77777777" w:rsidR="00D4036D" w:rsidRPr="00D4036D" w:rsidRDefault="00D4036D" w:rsidP="00D4036D">
      <w:pPr>
        <w:ind w:firstLine="709"/>
      </w:pPr>
    </w:p>
    <w:p w14:paraId="344D75AF" w14:textId="0CBC6DA9" w:rsidR="00871F90" w:rsidRPr="007A21DC" w:rsidRDefault="00871F90" w:rsidP="00871F90">
      <w:pPr>
        <w:pStyle w:val="Heading3"/>
        <w:numPr>
          <w:ilvl w:val="0"/>
          <w:numId w:val="23"/>
        </w:numPr>
        <w:spacing w:before="60" w:after="60"/>
        <w:rPr>
          <w:rFonts w:ascii="Arial" w:hAnsi="Arial" w:cs="Arial"/>
          <w:b/>
          <w:bCs/>
          <w:sz w:val="22"/>
          <w:szCs w:val="22"/>
        </w:rPr>
      </w:pPr>
      <w:hyperlink r:id="rId16" w:history="1">
        <w:r w:rsidRPr="008249B4">
          <w:rPr>
            <w:rStyle w:val="Hyperlink"/>
            <w:rFonts w:ascii="Arial" w:hAnsi="Arial" w:cs="Arial"/>
            <w:b/>
            <w:bCs/>
            <w:sz w:val="22"/>
            <w:szCs w:val="22"/>
          </w:rPr>
          <w:t>Registry Establishment Cost Drivers</w:t>
        </w:r>
      </w:hyperlink>
    </w:p>
    <w:p w14:paraId="7AD99249" w14:textId="0D60FD7F" w:rsidR="00871F90" w:rsidRDefault="00871F90">
      <w:pPr>
        <w:ind w:left="709"/>
      </w:pPr>
      <w:r w:rsidRPr="00244004">
        <w:t>This Guide</w:t>
      </w:r>
      <w:r w:rsidR="00071D0E" w:rsidRPr="00244004">
        <w:t xml:space="preserve"> has</w:t>
      </w:r>
      <w:r w:rsidR="00071D0E">
        <w:t xml:space="preserve"> been developed for clinical quality registries to support consistent, transparent, and informed decision-making when planning and funding registries</w:t>
      </w:r>
      <w:r w:rsidR="00CA02CA">
        <w:t>.</w:t>
      </w:r>
    </w:p>
    <w:p w14:paraId="7E852B72" w14:textId="77777777" w:rsidR="00CA02CA" w:rsidRPr="00871F90" w:rsidRDefault="00CA02CA" w:rsidP="00613931">
      <w:pPr>
        <w:ind w:left="709"/>
      </w:pPr>
    </w:p>
    <w:p w14:paraId="7D65BE03" w14:textId="012AE03A" w:rsidR="0081119B" w:rsidRPr="00613931" w:rsidRDefault="0081119B" w:rsidP="00613931">
      <w:pPr>
        <w:pStyle w:val="Heading3"/>
        <w:numPr>
          <w:ilvl w:val="0"/>
          <w:numId w:val="23"/>
        </w:numPr>
        <w:spacing w:before="60" w:after="60"/>
        <w:rPr>
          <w:rStyle w:val="Hyperlink"/>
          <w:rFonts w:ascii="Arial" w:hAnsi="Arial" w:cs="Arial"/>
          <w:b/>
          <w:bCs/>
          <w:sz w:val="22"/>
          <w:szCs w:val="22"/>
        </w:rPr>
      </w:pPr>
      <w:hyperlink r:id="rId17" w:history="1">
        <w:r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A </w:t>
        </w:r>
        <w:r w:rsidR="00766597"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>G</w:t>
        </w:r>
        <w:r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uide to </w:t>
        </w:r>
        <w:r w:rsidR="00766597"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>D</w:t>
        </w:r>
        <w:r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>emonstrating C</w:t>
        </w:r>
        <w:r w:rsidR="00077178"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>linical Quality Registry</w:t>
        </w:r>
        <w:r w:rsidRPr="00E4786A">
          <w:rPr>
            <w:rStyle w:val="Hyperlink"/>
            <w:rFonts w:ascii="Arial" w:hAnsi="Arial" w:cs="Arial"/>
            <w:b/>
            <w:bCs/>
            <w:sz w:val="22"/>
            <w:szCs w:val="22"/>
          </w:rPr>
          <w:t xml:space="preserve"> impact </w:t>
        </w:r>
      </w:hyperlink>
    </w:p>
    <w:p w14:paraId="79CED687" w14:textId="0AE3E59D" w:rsidR="00825DEB" w:rsidRPr="00613931" w:rsidRDefault="001D436E" w:rsidP="00613931">
      <w:pPr>
        <w:ind w:left="709"/>
      </w:pPr>
      <w:r w:rsidRPr="00613931">
        <w:t>This document provides registries with the knowledge and practical tools to better understand and communicate the impact of their work</w:t>
      </w:r>
    </w:p>
    <w:p w14:paraId="65B6D696" w14:textId="77777777" w:rsidR="009D7142" w:rsidRDefault="009D7142" w:rsidP="00952EA6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</w:p>
    <w:p w14:paraId="5386E466" w14:textId="4967E458" w:rsidR="00071D0E" w:rsidRDefault="001D5CDB" w:rsidP="00952EA6">
      <w:pPr>
        <w:keepNext/>
        <w:keepLines/>
        <w:spacing w:before="60" w:after="60"/>
        <w:outlineLvl w:val="2"/>
        <w:rPr>
          <w:rFonts w:cs="Arial"/>
          <w:szCs w:val="22"/>
          <w:lang w:eastAsia="en-AU"/>
        </w:rPr>
      </w:pPr>
      <w:r>
        <w:rPr>
          <w:rFonts w:eastAsiaTheme="majorEastAsia" w:cs="Arial"/>
          <w:szCs w:val="22"/>
        </w:rPr>
        <w:t xml:space="preserve">Fact sheets are also </w:t>
      </w:r>
      <w:r w:rsidR="00071D0E" w:rsidRPr="002C20E6">
        <w:rPr>
          <w:rFonts w:cs="Arial"/>
          <w:szCs w:val="22"/>
          <w:lang w:eastAsia="en-AU"/>
        </w:rPr>
        <w:t>available to support new registries:</w:t>
      </w:r>
    </w:p>
    <w:p w14:paraId="4363CB19" w14:textId="77777777" w:rsidR="00213692" w:rsidRPr="002C20E6" w:rsidRDefault="00213692" w:rsidP="00952EA6">
      <w:pPr>
        <w:keepNext/>
        <w:keepLines/>
        <w:spacing w:before="60" w:after="60"/>
        <w:outlineLvl w:val="2"/>
        <w:rPr>
          <w:rFonts w:cs="Arial"/>
          <w:szCs w:val="22"/>
          <w:lang w:eastAsia="en-AU"/>
        </w:rPr>
      </w:pPr>
    </w:p>
    <w:p w14:paraId="78F509C6" w14:textId="52F07F83" w:rsidR="00071D0E" w:rsidRPr="008249B4" w:rsidRDefault="008249B4" w:rsidP="00071D0E">
      <w:pPr>
        <w:pStyle w:val="Heading3"/>
        <w:numPr>
          <w:ilvl w:val="0"/>
          <w:numId w:val="23"/>
        </w:numPr>
        <w:spacing w:before="60" w:after="60"/>
        <w:rPr>
          <w:rStyle w:val="Hyperlink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>HYPERLINK "https://www.health.gov.au/resources/publications/clinical-quality-registry-cqr-establishment-feasibility?language=en"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71D0E" w:rsidRPr="008249B4">
        <w:rPr>
          <w:rStyle w:val="Hyperlink"/>
          <w:rFonts w:ascii="Arial" w:hAnsi="Arial" w:cs="Arial"/>
          <w:b/>
          <w:bCs/>
          <w:sz w:val="22"/>
          <w:szCs w:val="22"/>
        </w:rPr>
        <w:t>Clinical Quality Registry (CQR) Establishment Feasibility</w:t>
      </w:r>
    </w:p>
    <w:p w14:paraId="7E4840FF" w14:textId="59E13D82" w:rsidR="002221DD" w:rsidRPr="00077178" w:rsidRDefault="008249B4" w:rsidP="00077178">
      <w:pPr>
        <w:ind w:left="720"/>
        <w:rPr>
          <w:rFonts w:eastAsiaTheme="majorEastAsia"/>
        </w:rPr>
      </w:pPr>
      <w:r>
        <w:rPr>
          <w:rFonts w:eastAsiaTheme="majorEastAsia" w:cs="Arial"/>
          <w:b/>
          <w:bCs/>
          <w:color w:val="1F3763" w:themeColor="accent1" w:themeShade="7F"/>
          <w:szCs w:val="22"/>
        </w:rPr>
        <w:fldChar w:fldCharType="end"/>
      </w:r>
      <w:r w:rsidR="002221DD" w:rsidRPr="00077178">
        <w:rPr>
          <w:rFonts w:eastAsiaTheme="majorEastAsia"/>
        </w:rPr>
        <w:t xml:space="preserve">CQR Establishment Feasibility: This checklist </w:t>
      </w:r>
      <w:r w:rsidR="001D5CDB" w:rsidRPr="00077178">
        <w:rPr>
          <w:rFonts w:eastAsiaTheme="majorEastAsia"/>
        </w:rPr>
        <w:t>helps consideration of</w:t>
      </w:r>
      <w:r w:rsidR="003B6CC2" w:rsidRPr="00077178">
        <w:rPr>
          <w:rFonts w:eastAsiaTheme="majorEastAsia"/>
        </w:rPr>
        <w:t xml:space="preserve"> </w:t>
      </w:r>
      <w:r w:rsidR="002221DD" w:rsidRPr="00077178">
        <w:rPr>
          <w:rFonts w:eastAsiaTheme="majorEastAsia"/>
        </w:rPr>
        <w:t xml:space="preserve">whether developing a clinical registry </w:t>
      </w:r>
      <w:r w:rsidR="001D5CDB" w:rsidRPr="00077178">
        <w:rPr>
          <w:rFonts w:eastAsiaTheme="majorEastAsia"/>
        </w:rPr>
        <w:t xml:space="preserve">is appropriate </w:t>
      </w:r>
      <w:r w:rsidR="002221DD" w:rsidRPr="00077178">
        <w:rPr>
          <w:rFonts w:eastAsiaTheme="majorEastAsia"/>
        </w:rPr>
        <w:t xml:space="preserve">to answer your research </w:t>
      </w:r>
      <w:proofErr w:type="gramStart"/>
      <w:r w:rsidR="002221DD" w:rsidRPr="00077178">
        <w:rPr>
          <w:rFonts w:eastAsiaTheme="majorEastAsia"/>
        </w:rPr>
        <w:t>question, or</w:t>
      </w:r>
      <w:proofErr w:type="gramEnd"/>
      <w:r w:rsidR="002221DD" w:rsidRPr="00077178">
        <w:rPr>
          <w:rFonts w:eastAsiaTheme="majorEastAsia"/>
        </w:rPr>
        <w:t xml:space="preserve"> intended purpose.</w:t>
      </w:r>
    </w:p>
    <w:p w14:paraId="69968078" w14:textId="77777777" w:rsidR="00071D0E" w:rsidRPr="00077178" w:rsidRDefault="00071D0E" w:rsidP="003B6CC2">
      <w:pPr>
        <w:rPr>
          <w:rFonts w:eastAsiaTheme="majorEastAsia"/>
        </w:rPr>
      </w:pPr>
    </w:p>
    <w:p w14:paraId="261748CC" w14:textId="59B47367" w:rsidR="00071D0E" w:rsidRPr="008249B4" w:rsidRDefault="008249B4" w:rsidP="008249B4">
      <w:pPr>
        <w:pStyle w:val="Heading3"/>
        <w:numPr>
          <w:ilvl w:val="0"/>
          <w:numId w:val="23"/>
        </w:numPr>
        <w:spacing w:before="60" w:after="60"/>
        <w:rPr>
          <w:rStyle w:val="Hyperlink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fldChar w:fldCharType="begin"/>
      </w:r>
      <w:r>
        <w:rPr>
          <w:rFonts w:ascii="Arial" w:hAnsi="Arial" w:cs="Arial"/>
          <w:b/>
          <w:bCs/>
          <w:sz w:val="22"/>
          <w:szCs w:val="22"/>
        </w:rPr>
        <w:instrText>HYPERLINK "https://www.health.gov.au/resources/publications/10-steps-to-establish-a-clinical-quality-registry?language=en"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 w:rsidR="00071D0E" w:rsidRPr="008249B4">
        <w:rPr>
          <w:rStyle w:val="Hyperlink"/>
          <w:rFonts w:ascii="Arial" w:hAnsi="Arial" w:cs="Arial"/>
          <w:b/>
          <w:bCs/>
          <w:sz w:val="22"/>
          <w:szCs w:val="22"/>
        </w:rPr>
        <w:t>10 Steps to establish a Clinical Quality Registry</w:t>
      </w:r>
    </w:p>
    <w:p w14:paraId="1DB8F158" w14:textId="01AB8D10" w:rsidR="00071D0E" w:rsidRPr="008249B4" w:rsidRDefault="008249B4" w:rsidP="00077178">
      <w:pPr>
        <w:ind w:left="720"/>
      </w:pPr>
      <w:r>
        <w:rPr>
          <w:rFonts w:eastAsiaTheme="majorEastAsia" w:cs="Arial"/>
          <w:b/>
          <w:bCs/>
          <w:color w:val="1F3763" w:themeColor="accent1" w:themeShade="7F"/>
          <w:szCs w:val="22"/>
        </w:rPr>
        <w:fldChar w:fldCharType="end"/>
      </w:r>
      <w:r w:rsidR="00071D0E" w:rsidRPr="008249B4">
        <w:t xml:space="preserve">This 10-step guide has been developed to provide a clear, structured approach to developing a     </w:t>
      </w:r>
    </w:p>
    <w:p w14:paraId="208AEE5D" w14:textId="13D303FE" w:rsidR="00071D0E" w:rsidRDefault="00071D0E" w:rsidP="00077178">
      <w:pPr>
        <w:ind w:left="720"/>
      </w:pPr>
      <w:r w:rsidRPr="008249B4">
        <w:t>clinical quality registry.</w:t>
      </w:r>
    </w:p>
    <w:p w14:paraId="686FF634" w14:textId="77777777" w:rsidR="00CA02CA" w:rsidRPr="008249B4" w:rsidRDefault="00CA02CA" w:rsidP="008249B4">
      <w:pPr>
        <w:ind w:firstLine="851"/>
      </w:pPr>
    </w:p>
    <w:p w14:paraId="546DB7F0" w14:textId="1F1D863D" w:rsidR="0081119B" w:rsidRDefault="0081119B" w:rsidP="001D436E">
      <w:pPr>
        <w:pStyle w:val="Heading3"/>
        <w:numPr>
          <w:ilvl w:val="0"/>
          <w:numId w:val="23"/>
        </w:numPr>
        <w:spacing w:before="60" w:after="60"/>
        <w:rPr>
          <w:rStyle w:val="Hyperlink"/>
          <w:rFonts w:ascii="Arial" w:hAnsi="Arial"/>
          <w:b/>
          <w:bCs/>
          <w:sz w:val="22"/>
        </w:rPr>
      </w:pPr>
      <w:hyperlink r:id="rId18" w:history="1">
        <w:r w:rsidRPr="00FB32C0">
          <w:rPr>
            <w:rStyle w:val="Hyperlink"/>
            <w:rFonts w:ascii="Arial" w:hAnsi="Arial"/>
            <w:b/>
            <w:bCs/>
            <w:sz w:val="22"/>
          </w:rPr>
          <w:t xml:space="preserve">Framework </w:t>
        </w:r>
        <w:r w:rsidR="00DA704D" w:rsidRPr="00FB32C0">
          <w:rPr>
            <w:rStyle w:val="Hyperlink"/>
            <w:rFonts w:ascii="Arial" w:hAnsi="Arial"/>
            <w:b/>
            <w:bCs/>
            <w:sz w:val="22"/>
          </w:rPr>
          <w:t>R</w:t>
        </w:r>
        <w:r w:rsidRPr="00FB32C0">
          <w:rPr>
            <w:rStyle w:val="Hyperlink"/>
            <w:rFonts w:ascii="Arial" w:hAnsi="Arial"/>
            <w:b/>
            <w:bCs/>
            <w:sz w:val="22"/>
          </w:rPr>
          <w:t xml:space="preserve">eporting </w:t>
        </w:r>
        <w:r w:rsidR="00DA704D" w:rsidRPr="00FB32C0">
          <w:rPr>
            <w:rStyle w:val="Hyperlink"/>
            <w:rFonts w:ascii="Arial" w:hAnsi="Arial"/>
            <w:b/>
            <w:bCs/>
            <w:sz w:val="22"/>
          </w:rPr>
          <w:t>A</w:t>
        </w:r>
        <w:r w:rsidRPr="00FB32C0">
          <w:rPr>
            <w:rStyle w:val="Hyperlink"/>
            <w:rFonts w:ascii="Arial" w:hAnsi="Arial"/>
            <w:b/>
            <w:bCs/>
            <w:sz w:val="22"/>
          </w:rPr>
          <w:t xml:space="preserve">ssessment </w:t>
        </w:r>
        <w:r w:rsidR="00DA704D" w:rsidRPr="00FB32C0">
          <w:rPr>
            <w:rStyle w:val="Hyperlink"/>
            <w:rFonts w:ascii="Arial" w:hAnsi="Arial"/>
            <w:b/>
            <w:bCs/>
            <w:sz w:val="22"/>
          </w:rPr>
          <w:t>T</w:t>
        </w:r>
        <w:r w:rsidRPr="00FB32C0">
          <w:rPr>
            <w:rStyle w:val="Hyperlink"/>
            <w:rFonts w:ascii="Arial" w:hAnsi="Arial"/>
            <w:b/>
            <w:bCs/>
            <w:sz w:val="22"/>
          </w:rPr>
          <w:t>ool</w:t>
        </w:r>
      </w:hyperlink>
    </w:p>
    <w:p w14:paraId="29F3CC5E" w14:textId="32065A98" w:rsidR="001D436E" w:rsidRDefault="001D436E" w:rsidP="001D436E">
      <w:pPr>
        <w:keepNext/>
        <w:keepLines/>
        <w:spacing w:before="60" w:after="60"/>
        <w:ind w:left="720"/>
        <w:outlineLvl w:val="2"/>
        <w:rPr>
          <w:rFonts w:eastAsiaTheme="majorEastAsia"/>
        </w:rPr>
      </w:pPr>
      <w:r w:rsidRPr="001D436E">
        <w:rPr>
          <w:rFonts w:eastAsiaTheme="majorEastAsia"/>
        </w:rPr>
        <w:t xml:space="preserve">This </w:t>
      </w:r>
      <w:r w:rsidR="004D09D3">
        <w:rPr>
          <w:rFonts w:eastAsiaTheme="majorEastAsia"/>
        </w:rPr>
        <w:t>tool</w:t>
      </w:r>
      <w:r w:rsidRPr="001D436E">
        <w:rPr>
          <w:rFonts w:eastAsiaTheme="majorEastAsia"/>
        </w:rPr>
        <w:t xml:space="preserve"> helps registries assess their compliance with the Australian Framework for National Clinical Quality Registries 2024 and identify areas needing improvement</w:t>
      </w:r>
      <w:r w:rsidR="00CA02CA">
        <w:rPr>
          <w:rFonts w:eastAsiaTheme="majorEastAsia"/>
        </w:rPr>
        <w:t>.</w:t>
      </w:r>
    </w:p>
    <w:p w14:paraId="2F9146E7" w14:textId="77777777" w:rsidR="00CA02CA" w:rsidRDefault="00CA02CA" w:rsidP="001D436E">
      <w:pPr>
        <w:keepNext/>
        <w:keepLines/>
        <w:spacing w:before="60" w:after="60"/>
        <w:ind w:left="720"/>
        <w:outlineLvl w:val="2"/>
        <w:rPr>
          <w:rFonts w:eastAsiaTheme="majorEastAsia"/>
        </w:rPr>
      </w:pPr>
    </w:p>
    <w:p w14:paraId="103666EE" w14:textId="68A174CF" w:rsidR="0081119B" w:rsidRPr="00CA02CA" w:rsidRDefault="0081119B" w:rsidP="00CA02CA">
      <w:pPr>
        <w:pStyle w:val="Heading3"/>
        <w:numPr>
          <w:ilvl w:val="0"/>
          <w:numId w:val="23"/>
        </w:numPr>
        <w:spacing w:before="60" w:after="60"/>
        <w:rPr>
          <w:rStyle w:val="Hyperlink"/>
          <w:rFonts w:ascii="Arial" w:hAnsi="Arial"/>
          <w:b/>
          <w:bCs/>
          <w:sz w:val="22"/>
        </w:rPr>
      </w:pPr>
      <w:hyperlink r:id="rId19" w:history="1">
        <w:r w:rsidRPr="00A95FAC">
          <w:rPr>
            <w:rStyle w:val="Hyperlink"/>
            <w:rFonts w:ascii="Arial" w:hAnsi="Arial"/>
            <w:b/>
            <w:bCs/>
            <w:sz w:val="22"/>
          </w:rPr>
          <w:t xml:space="preserve">Collated Case </w:t>
        </w:r>
        <w:r w:rsidR="00FB32C0" w:rsidRPr="00A95FAC">
          <w:rPr>
            <w:rStyle w:val="Hyperlink"/>
            <w:rFonts w:ascii="Arial" w:hAnsi="Arial"/>
            <w:b/>
            <w:bCs/>
            <w:sz w:val="22"/>
          </w:rPr>
          <w:t>S</w:t>
        </w:r>
        <w:r w:rsidRPr="00A95FAC">
          <w:rPr>
            <w:rStyle w:val="Hyperlink"/>
            <w:rFonts w:ascii="Arial" w:hAnsi="Arial"/>
            <w:b/>
            <w:bCs/>
            <w:sz w:val="22"/>
          </w:rPr>
          <w:t>tudies</w:t>
        </w:r>
      </w:hyperlink>
    </w:p>
    <w:p w14:paraId="48FE4DBE" w14:textId="71E8752D" w:rsidR="00071D0E" w:rsidRDefault="001D436E" w:rsidP="001D436E">
      <w:pPr>
        <w:keepNext/>
        <w:keepLines/>
        <w:spacing w:before="60" w:after="60"/>
        <w:ind w:left="720"/>
        <w:outlineLvl w:val="2"/>
        <w:rPr>
          <w:rFonts w:eastAsiaTheme="majorEastAsia"/>
        </w:rPr>
      </w:pPr>
      <w:r w:rsidRPr="001D436E">
        <w:rPr>
          <w:rFonts w:eastAsiaTheme="majorEastAsia"/>
        </w:rPr>
        <w:t>This showcases case studies from the SAHMRI Registry Centre, demonstrating the value and clinical relevance of registry reporting and outputs, and how registry data supports clinical insights and decision-making</w:t>
      </w:r>
      <w:r>
        <w:rPr>
          <w:rFonts w:eastAsiaTheme="majorEastAsia"/>
        </w:rPr>
        <w:t>.</w:t>
      </w:r>
    </w:p>
    <w:p w14:paraId="509DC125" w14:textId="77777777" w:rsidR="001D436E" w:rsidRPr="001D436E" w:rsidRDefault="001D436E" w:rsidP="00CA02CA">
      <w:pPr>
        <w:keepNext/>
        <w:keepLines/>
        <w:spacing w:before="60" w:after="60"/>
        <w:ind w:left="720"/>
        <w:outlineLvl w:val="2"/>
        <w:rPr>
          <w:rFonts w:eastAsiaTheme="majorEastAsia"/>
        </w:rPr>
      </w:pPr>
    </w:p>
    <w:p w14:paraId="17E2F518" w14:textId="31017C02" w:rsidR="00E924A7" w:rsidRDefault="00825DEB" w:rsidP="00825DEB">
      <w:pPr>
        <w:keepNext/>
        <w:keepLines/>
        <w:spacing w:before="60" w:after="60"/>
        <w:outlineLvl w:val="2"/>
        <w:rPr>
          <w:rFonts w:eastAsiaTheme="majorEastAsia" w:cs="Arial"/>
          <w:szCs w:val="22"/>
        </w:rPr>
      </w:pPr>
      <w:r>
        <w:rPr>
          <w:rFonts w:eastAsiaTheme="majorEastAsia" w:cs="Arial"/>
          <w:szCs w:val="22"/>
        </w:rPr>
        <w:t xml:space="preserve">The Department has developed </w:t>
      </w:r>
      <w:r w:rsidRPr="00825DEB">
        <w:rPr>
          <w:rFonts w:eastAsiaTheme="majorEastAsia" w:cs="Arial"/>
          <w:szCs w:val="22"/>
        </w:rPr>
        <w:t>a </w:t>
      </w:r>
      <w:hyperlink r:id="rId20" w:anchor="national-clinical-quality-registry-program-participating-sites" w:history="1">
        <w:r w:rsidRPr="00825DEB">
          <w:rPr>
            <w:rStyle w:val="Hyperlink"/>
            <w:rFonts w:eastAsiaTheme="majorEastAsia" w:cs="Arial"/>
            <w:szCs w:val="22"/>
          </w:rPr>
          <w:t>new interactive map</w:t>
        </w:r>
      </w:hyperlink>
      <w:r w:rsidRPr="00825DEB">
        <w:rPr>
          <w:rFonts w:eastAsiaTheme="majorEastAsia" w:cs="Arial"/>
          <w:szCs w:val="22"/>
        </w:rPr>
        <w:t xml:space="preserve"> showing which hospitals and health services are currently participating in the CQRs funded under the National </w:t>
      </w:r>
      <w:r>
        <w:rPr>
          <w:rFonts w:eastAsiaTheme="majorEastAsia" w:cs="Arial"/>
          <w:szCs w:val="22"/>
        </w:rPr>
        <w:t>CQR</w:t>
      </w:r>
      <w:r w:rsidRPr="00825DEB">
        <w:rPr>
          <w:rFonts w:eastAsiaTheme="majorEastAsia" w:cs="Arial"/>
          <w:szCs w:val="22"/>
        </w:rPr>
        <w:t xml:space="preserve"> Program.</w:t>
      </w:r>
    </w:p>
    <w:p w14:paraId="56B54F99" w14:textId="77777777" w:rsidR="005B4910" w:rsidRPr="005B4910" w:rsidRDefault="005B4910" w:rsidP="00825DEB">
      <w:pPr>
        <w:keepNext/>
        <w:keepLines/>
        <w:spacing w:before="60" w:after="60"/>
        <w:outlineLvl w:val="2"/>
        <w:rPr>
          <w:b/>
          <w:bCs/>
          <w:sz w:val="4"/>
          <w:szCs w:val="4"/>
        </w:rPr>
      </w:pPr>
    </w:p>
    <w:p w14:paraId="4D999A1B" w14:textId="4CF60592" w:rsidR="002C341A" w:rsidRPr="008733C0" w:rsidRDefault="00841834" w:rsidP="008733C0">
      <w:pPr>
        <w:pStyle w:val="Heading2"/>
        <w:rPr>
          <w:b/>
          <w:bCs w:val="0"/>
        </w:rPr>
      </w:pPr>
      <w:r>
        <w:rPr>
          <w:b/>
          <w:bCs w:val="0"/>
        </w:rPr>
        <w:t>Current and u</w:t>
      </w:r>
      <w:r w:rsidR="002C341A" w:rsidRPr="008733C0">
        <w:rPr>
          <w:b/>
          <w:bCs w:val="0"/>
        </w:rPr>
        <w:t xml:space="preserve">pcoming </w:t>
      </w:r>
      <w:r w:rsidR="00F95915">
        <w:rPr>
          <w:b/>
          <w:bCs w:val="0"/>
        </w:rPr>
        <w:t>f</w:t>
      </w:r>
      <w:r w:rsidR="002C341A" w:rsidRPr="008733C0">
        <w:rPr>
          <w:b/>
          <w:bCs w:val="0"/>
        </w:rPr>
        <w:t xml:space="preserve">unding </w:t>
      </w:r>
      <w:bookmarkStart w:id="2" w:name="_Hlk127437867"/>
      <w:r w:rsidR="00F95915">
        <w:rPr>
          <w:b/>
          <w:bCs w:val="0"/>
        </w:rPr>
        <w:t>op</w:t>
      </w:r>
      <w:r w:rsidR="00F95915" w:rsidRPr="008733C0">
        <w:rPr>
          <w:b/>
          <w:bCs w:val="0"/>
        </w:rPr>
        <w:t>portunities</w:t>
      </w:r>
    </w:p>
    <w:p w14:paraId="59992B6E" w14:textId="51598613" w:rsidR="00E924A7" w:rsidRPr="005B4910" w:rsidRDefault="008249B4" w:rsidP="00E924A7">
      <w:pPr>
        <w:spacing w:before="120" w:after="120" w:line="259" w:lineRule="auto"/>
        <w:rPr>
          <w:rFonts w:cs="Arial"/>
          <w:color w:val="FF0000"/>
          <w:szCs w:val="22"/>
        </w:rPr>
      </w:pPr>
      <w:r w:rsidRPr="008249B4">
        <w:rPr>
          <w:rFonts w:cs="Arial"/>
          <w:szCs w:val="22"/>
        </w:rPr>
        <w:t xml:space="preserve">A new Stream 2 Grant opportunity </w:t>
      </w:r>
      <w:r w:rsidR="00CC3470">
        <w:rPr>
          <w:rFonts w:cs="Arial"/>
          <w:szCs w:val="22"/>
        </w:rPr>
        <w:t xml:space="preserve">has </w:t>
      </w:r>
      <w:r w:rsidRPr="008249B4">
        <w:rPr>
          <w:rFonts w:cs="Arial"/>
          <w:szCs w:val="22"/>
        </w:rPr>
        <w:t xml:space="preserve">opened, focussing on expanding national CQR coverage and enabling real-world surveillance. See </w:t>
      </w:r>
      <w:hyperlink r:id="rId21" w:history="1">
        <w:r w:rsidRPr="00003587">
          <w:rPr>
            <w:rStyle w:val="Hyperlink"/>
            <w:rFonts w:cs="Arial"/>
            <w:szCs w:val="22"/>
          </w:rPr>
          <w:t>Grant Connect</w:t>
        </w:r>
      </w:hyperlink>
      <w:r w:rsidRPr="008249B4">
        <w:rPr>
          <w:rFonts w:cs="Arial"/>
          <w:szCs w:val="22"/>
        </w:rPr>
        <w:t xml:space="preserve"> for details</w:t>
      </w:r>
      <w:r w:rsidR="00E924A7" w:rsidRPr="005B4910">
        <w:rPr>
          <w:color w:val="FF0000"/>
          <w:szCs w:val="22"/>
        </w:rPr>
        <w:t xml:space="preserve">. </w:t>
      </w:r>
    </w:p>
    <w:p w14:paraId="29455D82" w14:textId="77777777" w:rsidR="00CD2845" w:rsidRDefault="00CD2845" w:rsidP="00CD2845">
      <w:pPr>
        <w:pStyle w:val="Heading2"/>
        <w:rPr>
          <w:b/>
          <w:bCs w:val="0"/>
        </w:rPr>
      </w:pPr>
      <w:r>
        <w:rPr>
          <w:b/>
          <w:bCs w:val="0"/>
        </w:rPr>
        <w:t>Outcomes of previous f</w:t>
      </w:r>
      <w:r w:rsidRPr="008733C0">
        <w:rPr>
          <w:b/>
          <w:bCs w:val="0"/>
        </w:rPr>
        <w:t xml:space="preserve">unding </w:t>
      </w:r>
      <w:r>
        <w:rPr>
          <w:b/>
          <w:bCs w:val="0"/>
        </w:rPr>
        <w:t>op</w:t>
      </w:r>
      <w:r w:rsidRPr="008733C0">
        <w:rPr>
          <w:b/>
          <w:bCs w:val="0"/>
        </w:rPr>
        <w:t>portunities</w:t>
      </w:r>
    </w:p>
    <w:p w14:paraId="2EB2C336" w14:textId="6D65A039" w:rsidR="004376B1" w:rsidRPr="005B4910" w:rsidRDefault="004376B1" w:rsidP="004376B1">
      <w:pPr>
        <w:pStyle w:val="Heading2"/>
        <w:rPr>
          <w:sz w:val="28"/>
          <w:szCs w:val="24"/>
        </w:rPr>
      </w:pPr>
      <w:r w:rsidRPr="005B4910">
        <w:rPr>
          <w:sz w:val="28"/>
          <w:szCs w:val="24"/>
        </w:rPr>
        <w:t>Stream 1</w:t>
      </w:r>
    </w:p>
    <w:p w14:paraId="3782DE45" w14:textId="5138CA65" w:rsidR="001A70CF" w:rsidRPr="005B4910" w:rsidRDefault="005B4910" w:rsidP="001A70CF">
      <w:pPr>
        <w:pStyle w:val="Paragraphtext"/>
        <w:rPr>
          <w:sz w:val="22"/>
          <w:szCs w:val="22"/>
        </w:rPr>
      </w:pPr>
      <w:r w:rsidRPr="005B4910">
        <w:rPr>
          <w:sz w:val="22"/>
          <w:szCs w:val="22"/>
        </w:rPr>
        <w:t>Two</w:t>
      </w:r>
      <w:r w:rsidR="001A70CF" w:rsidRPr="005B4910">
        <w:rPr>
          <w:sz w:val="22"/>
          <w:szCs w:val="22"/>
        </w:rPr>
        <w:t xml:space="preserve"> national CQRs were successful in the recent Stream 1 (Round 2) </w:t>
      </w:r>
      <w:r w:rsidR="004376B1" w:rsidRPr="005B4910">
        <w:rPr>
          <w:sz w:val="22"/>
          <w:szCs w:val="22"/>
        </w:rPr>
        <w:t>process</w:t>
      </w:r>
      <w:r w:rsidR="001A70CF" w:rsidRPr="005B4910">
        <w:rPr>
          <w:sz w:val="22"/>
          <w:szCs w:val="22"/>
        </w:rPr>
        <w:t>:</w:t>
      </w:r>
    </w:p>
    <w:p w14:paraId="69A0B99A" w14:textId="796FC3DB" w:rsidR="001A70CF" w:rsidRPr="005B4910" w:rsidRDefault="001A70CF" w:rsidP="001A70CF">
      <w:pPr>
        <w:pStyle w:val="Paragraphtext"/>
        <w:numPr>
          <w:ilvl w:val="0"/>
          <w:numId w:val="21"/>
        </w:numPr>
        <w:rPr>
          <w:sz w:val="22"/>
          <w:szCs w:val="22"/>
        </w:rPr>
      </w:pPr>
      <w:hyperlink r:id="rId22" w:history="1">
        <w:r w:rsidRPr="00804D30">
          <w:rPr>
            <w:rStyle w:val="Hyperlink"/>
            <w:sz w:val="22"/>
            <w:szCs w:val="22"/>
          </w:rPr>
          <w:t>The Australian and New Zealand Emergency Laparotomy Audit - Quality Improvement</w:t>
        </w:r>
      </w:hyperlink>
      <w:r w:rsidRPr="005B4910">
        <w:rPr>
          <w:sz w:val="22"/>
          <w:szCs w:val="22"/>
        </w:rPr>
        <w:t xml:space="preserve"> </w:t>
      </w:r>
    </w:p>
    <w:p w14:paraId="3814E2F5" w14:textId="0D6E0D12" w:rsidR="001A70CF" w:rsidRPr="005B4910" w:rsidRDefault="001A70CF" w:rsidP="007A6544">
      <w:pPr>
        <w:pStyle w:val="Paragraphtext"/>
        <w:numPr>
          <w:ilvl w:val="0"/>
          <w:numId w:val="21"/>
        </w:numPr>
        <w:rPr>
          <w:sz w:val="22"/>
          <w:szCs w:val="22"/>
        </w:rPr>
      </w:pPr>
      <w:hyperlink r:id="rId23" w:history="1">
        <w:r w:rsidRPr="00804D30">
          <w:rPr>
            <w:rStyle w:val="Hyperlink"/>
            <w:sz w:val="22"/>
            <w:szCs w:val="22"/>
          </w:rPr>
          <w:t>The Australian and New Zealand Neonatal Network (ANZNN).</w:t>
        </w:r>
      </w:hyperlink>
    </w:p>
    <w:p w14:paraId="6D487B5B" w14:textId="77777777" w:rsidR="004376B1" w:rsidRPr="004376B1" w:rsidRDefault="004376B1" w:rsidP="007A6544">
      <w:pPr>
        <w:pStyle w:val="Paragraphtext"/>
        <w:rPr>
          <w:sz w:val="4"/>
          <w:szCs w:val="4"/>
        </w:rPr>
      </w:pPr>
    </w:p>
    <w:p w14:paraId="7A692BA4" w14:textId="76FC595A" w:rsidR="004376B1" w:rsidRPr="005B4910" w:rsidRDefault="004376B1" w:rsidP="004376B1">
      <w:pPr>
        <w:pStyle w:val="Heading2"/>
        <w:rPr>
          <w:sz w:val="28"/>
          <w:szCs w:val="24"/>
        </w:rPr>
      </w:pPr>
      <w:r w:rsidRPr="005B4910">
        <w:rPr>
          <w:sz w:val="28"/>
          <w:szCs w:val="24"/>
        </w:rPr>
        <w:t>Stream 2</w:t>
      </w:r>
    </w:p>
    <w:p w14:paraId="3357DFD1" w14:textId="0445B354" w:rsidR="00E924A7" w:rsidRPr="005B4910" w:rsidRDefault="00CB1625" w:rsidP="00CD2845">
      <w:pPr>
        <w:spacing w:before="120" w:after="120" w:line="259" w:lineRule="auto"/>
        <w:rPr>
          <w:rFonts w:cs="Arial"/>
          <w:szCs w:val="22"/>
        </w:rPr>
      </w:pPr>
      <w:r w:rsidRPr="005B4910">
        <w:rPr>
          <w:rFonts w:cs="Arial"/>
          <w:szCs w:val="22"/>
        </w:rPr>
        <w:t>F</w:t>
      </w:r>
      <w:r w:rsidR="005F1D8F" w:rsidRPr="005B4910">
        <w:rPr>
          <w:rFonts w:cs="Arial"/>
          <w:szCs w:val="22"/>
        </w:rPr>
        <w:t>our</w:t>
      </w:r>
      <w:r w:rsidR="00CD2845" w:rsidRPr="005B4910">
        <w:rPr>
          <w:rFonts w:cs="Arial"/>
          <w:szCs w:val="22"/>
        </w:rPr>
        <w:t xml:space="preserve"> CQR</w:t>
      </w:r>
      <w:r w:rsidR="004376B1" w:rsidRPr="005B4910">
        <w:rPr>
          <w:rFonts w:cs="Arial"/>
          <w:szCs w:val="22"/>
        </w:rPr>
        <w:t xml:space="preserve"> projects</w:t>
      </w:r>
      <w:r w:rsidR="00CD2845" w:rsidRPr="005B4910">
        <w:rPr>
          <w:rFonts w:cs="Arial"/>
          <w:szCs w:val="22"/>
        </w:rPr>
        <w:t xml:space="preserve"> were successful in the</w:t>
      </w:r>
      <w:r w:rsidRPr="005B4910">
        <w:rPr>
          <w:rFonts w:cs="Arial"/>
          <w:szCs w:val="22"/>
        </w:rPr>
        <w:t xml:space="preserve"> </w:t>
      </w:r>
      <w:r w:rsidR="00E924A7">
        <w:rPr>
          <w:rFonts w:cs="Arial"/>
          <w:szCs w:val="22"/>
        </w:rPr>
        <w:t xml:space="preserve">recent </w:t>
      </w:r>
      <w:r w:rsidR="00CD2845" w:rsidRPr="005B4910">
        <w:rPr>
          <w:rFonts w:cs="Arial"/>
          <w:szCs w:val="22"/>
        </w:rPr>
        <w:t xml:space="preserve">Stream </w:t>
      </w:r>
      <w:r w:rsidR="00D451D8" w:rsidRPr="005B4910">
        <w:rPr>
          <w:rFonts w:cs="Arial"/>
          <w:szCs w:val="22"/>
        </w:rPr>
        <w:t>2</w:t>
      </w:r>
      <w:r w:rsidR="001A70CF" w:rsidRPr="005B4910">
        <w:rPr>
          <w:rFonts w:cs="Arial"/>
          <w:szCs w:val="22"/>
        </w:rPr>
        <w:t xml:space="preserve"> </w:t>
      </w:r>
      <w:r w:rsidR="004376B1" w:rsidRPr="005B4910">
        <w:rPr>
          <w:rFonts w:cs="Arial"/>
          <w:szCs w:val="22"/>
        </w:rPr>
        <w:t>(</w:t>
      </w:r>
      <w:r w:rsidR="001A70CF" w:rsidRPr="005B4910">
        <w:rPr>
          <w:rFonts w:cs="Arial"/>
          <w:szCs w:val="22"/>
        </w:rPr>
        <w:t>Round 2</w:t>
      </w:r>
      <w:r w:rsidR="004376B1" w:rsidRPr="005B4910">
        <w:rPr>
          <w:rFonts w:cs="Arial"/>
          <w:szCs w:val="22"/>
        </w:rPr>
        <w:t>)</w:t>
      </w:r>
      <w:r w:rsidR="00E924A7">
        <w:rPr>
          <w:rFonts w:cs="Arial"/>
          <w:szCs w:val="22"/>
        </w:rPr>
        <w:t xml:space="preserve"> process</w:t>
      </w:r>
      <w:r w:rsidR="0026693E">
        <w:rPr>
          <w:rFonts w:cs="Arial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924A7" w14:paraId="16C32506" w14:textId="77777777" w:rsidTr="007D46D4">
        <w:tc>
          <w:tcPr>
            <w:tcW w:w="10456" w:type="dxa"/>
            <w:gridSpan w:val="2"/>
          </w:tcPr>
          <w:p w14:paraId="798FA53E" w14:textId="6CF40766" w:rsidR="00E924A7" w:rsidRPr="00E924A7" w:rsidRDefault="00E924A7" w:rsidP="00497A52">
            <w:pPr>
              <w:spacing w:before="120" w:after="120" w:line="259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E924A7">
              <w:rPr>
                <w:rFonts w:cs="Arial"/>
                <w:b/>
                <w:bCs/>
                <w:sz w:val="22"/>
                <w:szCs w:val="22"/>
              </w:rPr>
              <w:t>National CQR Automation and Innovation Capacity Building Grants grant opportunity</w:t>
            </w:r>
          </w:p>
        </w:tc>
      </w:tr>
      <w:tr w:rsidR="00B32578" w14:paraId="192E10E7" w14:textId="77777777" w:rsidTr="00B32578">
        <w:tc>
          <w:tcPr>
            <w:tcW w:w="5228" w:type="dxa"/>
          </w:tcPr>
          <w:p w14:paraId="3167C554" w14:textId="19316053" w:rsidR="00B32578" w:rsidRPr="00497A52" w:rsidRDefault="00BD436D" w:rsidP="00497A52">
            <w:pPr>
              <w:spacing w:before="120" w:after="120" w:line="259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497A52">
              <w:rPr>
                <w:rFonts w:cs="Arial"/>
                <w:b/>
                <w:bCs/>
                <w:szCs w:val="20"/>
              </w:rPr>
              <w:t>Grantee</w:t>
            </w:r>
          </w:p>
        </w:tc>
        <w:tc>
          <w:tcPr>
            <w:tcW w:w="5228" w:type="dxa"/>
          </w:tcPr>
          <w:p w14:paraId="7509EF4B" w14:textId="67D25193" w:rsidR="00B32578" w:rsidRPr="00497A52" w:rsidRDefault="00BD436D" w:rsidP="00497A52">
            <w:pPr>
              <w:spacing w:before="120" w:after="120" w:line="259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497A52">
              <w:rPr>
                <w:rFonts w:cs="Arial"/>
                <w:b/>
                <w:bCs/>
                <w:szCs w:val="20"/>
              </w:rPr>
              <w:t>Project</w:t>
            </w:r>
            <w:r w:rsidR="00142637" w:rsidRPr="00BD53F1">
              <w:rPr>
                <w:rFonts w:cs="Arial"/>
                <w:b/>
                <w:bCs/>
                <w:szCs w:val="20"/>
              </w:rPr>
              <w:t xml:space="preserve"> Name</w:t>
            </w:r>
          </w:p>
        </w:tc>
      </w:tr>
      <w:tr w:rsidR="00563545" w14:paraId="45C6B0F4" w14:textId="77777777" w:rsidTr="00B32578">
        <w:tc>
          <w:tcPr>
            <w:tcW w:w="5228" w:type="dxa"/>
          </w:tcPr>
          <w:p w14:paraId="174B1CC0" w14:textId="65FA3946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The Thoracic Society of Australia and New Zealand Limited</w:t>
            </w:r>
          </w:p>
        </w:tc>
        <w:tc>
          <w:tcPr>
            <w:tcW w:w="5228" w:type="dxa"/>
          </w:tcPr>
          <w:p w14:paraId="379AB962" w14:textId="423A945F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Transforming Severe Asthma Care: Transitioning the Clinical Quality Registry to digital surveys and real-time dashboards</w:t>
            </w:r>
          </w:p>
        </w:tc>
      </w:tr>
      <w:tr w:rsidR="00563545" w14:paraId="56B3ECEE" w14:textId="77777777" w:rsidTr="00B32578">
        <w:tc>
          <w:tcPr>
            <w:tcW w:w="5228" w:type="dxa"/>
          </w:tcPr>
          <w:p w14:paraId="4FD41094" w14:textId="5C5AD328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University of New South Wales</w:t>
            </w:r>
          </w:p>
        </w:tc>
        <w:tc>
          <w:tcPr>
            <w:tcW w:w="5228" w:type="dxa"/>
          </w:tcPr>
          <w:p w14:paraId="158CD429" w14:textId="6BC0E1E9" w:rsidR="00563545" w:rsidRPr="003E7A19" w:rsidRDefault="007A21DC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 xml:space="preserve">Australian and New Zealand Neonatal Network (ANZNN) - </w:t>
            </w:r>
            <w:r w:rsidR="00563545" w:rsidRPr="003E7A19">
              <w:rPr>
                <w:rFonts w:cs="Arial"/>
                <w:sz w:val="22"/>
                <w:szCs w:val="22"/>
              </w:rPr>
              <w:t>Neonatal Collaborative Analytics &amp; Reporting Environment (Neo-Care)</w:t>
            </w:r>
          </w:p>
        </w:tc>
      </w:tr>
      <w:tr w:rsidR="00563545" w14:paraId="6951D762" w14:textId="77777777" w:rsidTr="00B32578">
        <w:tc>
          <w:tcPr>
            <w:tcW w:w="5228" w:type="dxa"/>
          </w:tcPr>
          <w:p w14:paraId="727F5E00" w14:textId="1219BBE5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The University of Adelaide</w:t>
            </w:r>
          </w:p>
        </w:tc>
        <w:tc>
          <w:tcPr>
            <w:tcW w:w="5228" w:type="dxa"/>
          </w:tcPr>
          <w:p w14:paraId="1B460C48" w14:textId="764BC6C6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My Kidney Insights: Development of a</w:t>
            </w:r>
            <w:r w:rsidR="001C1F6B">
              <w:rPr>
                <w:rFonts w:cs="Arial"/>
                <w:sz w:val="22"/>
                <w:szCs w:val="22"/>
              </w:rPr>
              <w:t>n</w:t>
            </w:r>
            <w:r w:rsidRPr="003E7A19">
              <w:rPr>
                <w:rFonts w:cs="Arial"/>
                <w:sz w:val="22"/>
                <w:szCs w:val="22"/>
              </w:rPr>
              <w:t xml:space="preserve"> Interactive Reporting Dashboard for the Australia and New Zealand Dialysis and Transplant Registry </w:t>
            </w:r>
          </w:p>
        </w:tc>
      </w:tr>
      <w:tr w:rsidR="00563545" w14:paraId="36E9D582" w14:textId="77777777" w:rsidTr="00B32578">
        <w:tc>
          <w:tcPr>
            <w:tcW w:w="5228" w:type="dxa"/>
          </w:tcPr>
          <w:p w14:paraId="094D4494" w14:textId="5A05C19B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Southern Adelaide Local Health Network Incorporated</w:t>
            </w:r>
          </w:p>
        </w:tc>
        <w:tc>
          <w:tcPr>
            <w:tcW w:w="5228" w:type="dxa"/>
          </w:tcPr>
          <w:p w14:paraId="744C8727" w14:textId="36E8EEFC" w:rsidR="00563545" w:rsidRPr="003E7A19" w:rsidRDefault="00563545" w:rsidP="00563545">
            <w:pPr>
              <w:spacing w:before="120" w:after="120" w:line="259" w:lineRule="auto"/>
              <w:rPr>
                <w:rFonts w:cs="Arial"/>
                <w:sz w:val="22"/>
                <w:szCs w:val="22"/>
              </w:rPr>
            </w:pPr>
            <w:r w:rsidRPr="003E7A19">
              <w:rPr>
                <w:rFonts w:cs="Arial"/>
                <w:sz w:val="22"/>
                <w:szCs w:val="22"/>
              </w:rPr>
              <w:t>Australian and New Zealand Collaborative Perfusion Registry</w:t>
            </w:r>
            <w:r w:rsidR="00E924A7" w:rsidRPr="003E7A19">
              <w:rPr>
                <w:rFonts w:cs="Arial"/>
                <w:sz w:val="22"/>
                <w:szCs w:val="22"/>
              </w:rPr>
              <w:t xml:space="preserve"> </w:t>
            </w:r>
            <w:r w:rsidRPr="003E7A19">
              <w:rPr>
                <w:rFonts w:cs="Arial"/>
                <w:sz w:val="22"/>
                <w:szCs w:val="22"/>
              </w:rPr>
              <w:t>- Revolutionizing the Australian and New Zealand Collaborative Perfusion Registry</w:t>
            </w:r>
          </w:p>
        </w:tc>
      </w:tr>
    </w:tbl>
    <w:p w14:paraId="6903C51B" w14:textId="77777777" w:rsidR="00407154" w:rsidRPr="007065A0" w:rsidRDefault="00407154" w:rsidP="00BA6BE7">
      <w:pPr>
        <w:pStyle w:val="Paragraphtext"/>
        <w:spacing w:after="120" w:line="259" w:lineRule="auto"/>
        <w:rPr>
          <w:sz w:val="4"/>
          <w:szCs w:val="4"/>
        </w:rPr>
      </w:pPr>
    </w:p>
    <w:bookmarkEnd w:id="2"/>
    <w:p w14:paraId="69E343A4" w14:textId="41D0847C" w:rsidR="002C341A" w:rsidRPr="007065A0" w:rsidRDefault="002C341A" w:rsidP="00BA6BE7">
      <w:pPr>
        <w:pStyle w:val="Heading2"/>
        <w:spacing w:before="120" w:after="120" w:line="259" w:lineRule="auto"/>
        <w:rPr>
          <w:b/>
          <w:bCs w:val="0"/>
        </w:rPr>
      </w:pPr>
      <w:r w:rsidRPr="00646C38">
        <w:rPr>
          <w:b/>
          <w:bCs w:val="0"/>
        </w:rPr>
        <w:t>Contact</w:t>
      </w:r>
      <w:r w:rsidR="00E924A7">
        <w:rPr>
          <w:b/>
          <w:bCs w:val="0"/>
        </w:rPr>
        <w:t xml:space="preserve"> us</w:t>
      </w:r>
    </w:p>
    <w:p w14:paraId="4EA6CD68" w14:textId="6CB51B83" w:rsidR="002C341A" w:rsidRDefault="00407154" w:rsidP="00BA6BE7">
      <w:pPr>
        <w:spacing w:before="120" w:after="120" w:line="259" w:lineRule="auto"/>
        <w:rPr>
          <w:szCs w:val="22"/>
        </w:rPr>
      </w:pPr>
      <w:r>
        <w:rPr>
          <w:szCs w:val="22"/>
        </w:rPr>
        <w:t>P</w:t>
      </w:r>
      <w:r w:rsidR="00E924A7">
        <w:rPr>
          <w:szCs w:val="22"/>
        </w:rPr>
        <w:t>l</w:t>
      </w:r>
      <w:r w:rsidR="002C341A" w:rsidRPr="004552FD">
        <w:rPr>
          <w:szCs w:val="22"/>
        </w:rPr>
        <w:t xml:space="preserve">ease email the CQR Policy Inbox at </w:t>
      </w:r>
      <w:hyperlink r:id="rId24" w:history="1">
        <w:r w:rsidR="002C341A" w:rsidRPr="005E4338">
          <w:rPr>
            <w:rStyle w:val="Hyperlink"/>
            <w:color w:val="44546A" w:themeColor="text2"/>
            <w:szCs w:val="22"/>
          </w:rPr>
          <w:t>cqrpolicy@health.gov.au</w:t>
        </w:r>
      </w:hyperlink>
      <w:r w:rsidR="002C341A" w:rsidRPr="005E4338">
        <w:rPr>
          <w:color w:val="44546A" w:themeColor="text2"/>
          <w:szCs w:val="22"/>
        </w:rPr>
        <w:t>.</w:t>
      </w:r>
    </w:p>
    <w:p w14:paraId="4D23F536" w14:textId="77777777" w:rsidR="00F80A18" w:rsidRDefault="00F80A18" w:rsidP="00BA6BE7">
      <w:pPr>
        <w:spacing w:before="120" w:after="120" w:line="259" w:lineRule="auto"/>
      </w:pPr>
    </w:p>
    <w:sectPr w:rsidR="00F80A18" w:rsidSect="00D976DC">
      <w:headerReference w:type="even" r:id="rId25"/>
      <w:footerReference w:type="even" r:id="rId26"/>
      <w:headerReference w:type="first" r:id="rId27"/>
      <w:footerReference w:type="first" r:id="rId28"/>
      <w:pgSz w:w="11906" w:h="16838"/>
      <w:pgMar w:top="720" w:right="720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62768" w14:textId="77777777" w:rsidR="00715A2F" w:rsidRDefault="00715A2F">
      <w:r>
        <w:separator/>
      </w:r>
    </w:p>
  </w:endnote>
  <w:endnote w:type="continuationSeparator" w:id="0">
    <w:p w14:paraId="405D6F07" w14:textId="77777777" w:rsidR="00715A2F" w:rsidRDefault="0071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3FDF1" w14:textId="18B5BE18" w:rsidR="00804D30" w:rsidRDefault="00804D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F4A5A5D" wp14:editId="5758D7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25882828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C0CAE" w14:textId="64CF3AD0" w:rsidR="00804D30" w:rsidRPr="00804D30" w:rsidRDefault="00804D30" w:rsidP="00804D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804D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A5A5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3.45pt;height:29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318C0CAE" w14:textId="64CF3AD0" w:rsidR="00804D30" w:rsidRPr="00804D30" w:rsidRDefault="00804D30" w:rsidP="00804D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804D3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DC4D" w14:textId="37DCE47C" w:rsidR="00804D30" w:rsidRDefault="00804D3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364330" wp14:editId="79E4E7F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82194966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C822D7" w14:textId="01ED9C81" w:rsidR="00804D30" w:rsidRPr="00804D30" w:rsidRDefault="00804D30" w:rsidP="00804D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804D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6433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3.45pt;height:29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ALjs90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7DC822D7" w14:textId="01ED9C81" w:rsidR="00804D30" w:rsidRPr="00804D30" w:rsidRDefault="00804D30" w:rsidP="00804D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804D3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95E4B" w14:textId="77777777" w:rsidR="00715A2F" w:rsidRDefault="00715A2F">
      <w:r>
        <w:separator/>
      </w:r>
    </w:p>
  </w:footnote>
  <w:footnote w:type="continuationSeparator" w:id="0">
    <w:p w14:paraId="6854FBE3" w14:textId="77777777" w:rsidR="00715A2F" w:rsidRDefault="0071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B6B8" w14:textId="1B647A43" w:rsidR="00804D30" w:rsidRDefault="00804D3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B30E77" wp14:editId="55BD68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3190531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D2F09" w14:textId="39322AD6" w:rsidR="00804D30" w:rsidRPr="00804D30" w:rsidRDefault="00804D30" w:rsidP="00804D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804D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B30E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2FED2F09" w14:textId="39322AD6" w:rsidR="00804D30" w:rsidRPr="00804D30" w:rsidRDefault="00804D30" w:rsidP="00804D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804D3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6A04" w14:textId="66702F02" w:rsidR="00804D30" w:rsidRDefault="00804D30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C857E9" wp14:editId="67183F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211463843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0656D" w14:textId="484FC769" w:rsidR="00804D30" w:rsidRPr="00804D30" w:rsidRDefault="00804D30" w:rsidP="00804D30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804D30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C857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D49iz9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1550656D" w14:textId="484FC769" w:rsidR="00804D30" w:rsidRPr="00804D30" w:rsidRDefault="00804D30" w:rsidP="00804D30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804D30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D506B"/>
    <w:multiLevelType w:val="multilevel"/>
    <w:tmpl w:val="DE66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75769"/>
    <w:multiLevelType w:val="hybridMultilevel"/>
    <w:tmpl w:val="C10ED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119E2"/>
    <w:multiLevelType w:val="hybridMultilevel"/>
    <w:tmpl w:val="687CFA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768C0"/>
    <w:multiLevelType w:val="hybridMultilevel"/>
    <w:tmpl w:val="C82A7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24BD"/>
    <w:multiLevelType w:val="hybridMultilevel"/>
    <w:tmpl w:val="517A2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3874"/>
    <w:multiLevelType w:val="hybridMultilevel"/>
    <w:tmpl w:val="F4FAC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821A97"/>
    <w:multiLevelType w:val="hybridMultilevel"/>
    <w:tmpl w:val="E1AAE5F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8807B0"/>
    <w:multiLevelType w:val="hybridMultilevel"/>
    <w:tmpl w:val="1F964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44F8"/>
    <w:multiLevelType w:val="hybridMultilevel"/>
    <w:tmpl w:val="5E429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015C5"/>
    <w:multiLevelType w:val="multilevel"/>
    <w:tmpl w:val="D7E6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352C6E"/>
    <w:multiLevelType w:val="hybridMultilevel"/>
    <w:tmpl w:val="35E28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01115"/>
    <w:multiLevelType w:val="hybridMultilevel"/>
    <w:tmpl w:val="78CC9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0D07"/>
    <w:multiLevelType w:val="hybridMultilevel"/>
    <w:tmpl w:val="FF5E82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A6196"/>
    <w:multiLevelType w:val="hybridMultilevel"/>
    <w:tmpl w:val="0ED8C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55CCB"/>
    <w:multiLevelType w:val="hybridMultilevel"/>
    <w:tmpl w:val="511AAE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10406"/>
    <w:multiLevelType w:val="hybridMultilevel"/>
    <w:tmpl w:val="15AA995A"/>
    <w:lvl w:ilvl="0" w:tplc="23A0F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CF2FFF8">
      <w:numFmt w:val="bullet"/>
      <w:lvlText w:val="•"/>
      <w:lvlJc w:val="left"/>
      <w:pPr>
        <w:ind w:left="1800" w:hanging="720"/>
      </w:pPr>
      <w:rPr>
        <w:rFonts w:ascii="Arial" w:eastAsiaTheme="maj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201EC"/>
    <w:multiLevelType w:val="hybridMultilevel"/>
    <w:tmpl w:val="F2E025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25C41"/>
    <w:multiLevelType w:val="hybridMultilevel"/>
    <w:tmpl w:val="FC0E5B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A6D6C"/>
    <w:multiLevelType w:val="hybridMultilevel"/>
    <w:tmpl w:val="FD368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D5400"/>
    <w:multiLevelType w:val="multilevel"/>
    <w:tmpl w:val="8FBE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573C2D"/>
    <w:multiLevelType w:val="hybridMultilevel"/>
    <w:tmpl w:val="9D2AD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573DB"/>
    <w:multiLevelType w:val="hybridMultilevel"/>
    <w:tmpl w:val="B7328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82B98"/>
    <w:multiLevelType w:val="hybridMultilevel"/>
    <w:tmpl w:val="50FE7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442964">
    <w:abstractNumId w:val="17"/>
  </w:num>
  <w:num w:numId="2" w16cid:durableId="733090678">
    <w:abstractNumId w:val="18"/>
  </w:num>
  <w:num w:numId="3" w16cid:durableId="1553610653">
    <w:abstractNumId w:val="20"/>
  </w:num>
  <w:num w:numId="4" w16cid:durableId="1144127611">
    <w:abstractNumId w:val="5"/>
  </w:num>
  <w:num w:numId="5" w16cid:durableId="736827211">
    <w:abstractNumId w:val="1"/>
  </w:num>
  <w:num w:numId="6" w16cid:durableId="131338109">
    <w:abstractNumId w:val="16"/>
  </w:num>
  <w:num w:numId="7" w16cid:durableId="1618020286">
    <w:abstractNumId w:val="11"/>
  </w:num>
  <w:num w:numId="8" w16cid:durableId="1570076792">
    <w:abstractNumId w:val="6"/>
  </w:num>
  <w:num w:numId="9" w16cid:durableId="544489172">
    <w:abstractNumId w:val="12"/>
  </w:num>
  <w:num w:numId="10" w16cid:durableId="1237784765">
    <w:abstractNumId w:val="11"/>
  </w:num>
  <w:num w:numId="11" w16cid:durableId="637145487">
    <w:abstractNumId w:val="9"/>
  </w:num>
  <w:num w:numId="12" w16cid:durableId="1681391935">
    <w:abstractNumId w:val="21"/>
  </w:num>
  <w:num w:numId="13" w16cid:durableId="891620459">
    <w:abstractNumId w:val="10"/>
  </w:num>
  <w:num w:numId="14" w16cid:durableId="862859869">
    <w:abstractNumId w:val="15"/>
  </w:num>
  <w:num w:numId="15" w16cid:durableId="1371689623">
    <w:abstractNumId w:val="8"/>
  </w:num>
  <w:num w:numId="16" w16cid:durableId="752581797">
    <w:abstractNumId w:val="2"/>
  </w:num>
  <w:num w:numId="17" w16cid:durableId="32585270">
    <w:abstractNumId w:val="0"/>
  </w:num>
  <w:num w:numId="18" w16cid:durableId="1106196118">
    <w:abstractNumId w:val="11"/>
  </w:num>
  <w:num w:numId="19" w16cid:durableId="1110049735">
    <w:abstractNumId w:val="4"/>
  </w:num>
  <w:num w:numId="20" w16cid:durableId="334721797">
    <w:abstractNumId w:val="14"/>
  </w:num>
  <w:num w:numId="21" w16cid:durableId="454645058">
    <w:abstractNumId w:val="3"/>
  </w:num>
  <w:num w:numId="22" w16cid:durableId="888229224">
    <w:abstractNumId w:val="13"/>
  </w:num>
  <w:num w:numId="23" w16cid:durableId="332226118">
    <w:abstractNumId w:val="22"/>
  </w:num>
  <w:num w:numId="24" w16cid:durableId="981345649">
    <w:abstractNumId w:val="7"/>
  </w:num>
  <w:num w:numId="25" w16cid:durableId="10570512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1A"/>
    <w:rsid w:val="00001426"/>
    <w:rsid w:val="00003587"/>
    <w:rsid w:val="000042DE"/>
    <w:rsid w:val="000045D0"/>
    <w:rsid w:val="00006C77"/>
    <w:rsid w:val="00007C86"/>
    <w:rsid w:val="000154B3"/>
    <w:rsid w:val="000213F8"/>
    <w:rsid w:val="00032F0C"/>
    <w:rsid w:val="000501A7"/>
    <w:rsid w:val="000534DC"/>
    <w:rsid w:val="00071D0E"/>
    <w:rsid w:val="00074DB1"/>
    <w:rsid w:val="00077178"/>
    <w:rsid w:val="0009266A"/>
    <w:rsid w:val="00092B04"/>
    <w:rsid w:val="000B78AC"/>
    <w:rsid w:val="000C04C3"/>
    <w:rsid w:val="000C2474"/>
    <w:rsid w:val="000D7EF5"/>
    <w:rsid w:val="000E5BF1"/>
    <w:rsid w:val="000E752F"/>
    <w:rsid w:val="000F0AF1"/>
    <w:rsid w:val="000F515E"/>
    <w:rsid w:val="000F6460"/>
    <w:rsid w:val="00104D23"/>
    <w:rsid w:val="001108CE"/>
    <w:rsid w:val="00121C27"/>
    <w:rsid w:val="001271ED"/>
    <w:rsid w:val="00130248"/>
    <w:rsid w:val="0014217F"/>
    <w:rsid w:val="00142637"/>
    <w:rsid w:val="00151729"/>
    <w:rsid w:val="001519B9"/>
    <w:rsid w:val="00152F95"/>
    <w:rsid w:val="00155712"/>
    <w:rsid w:val="001565D9"/>
    <w:rsid w:val="00166A61"/>
    <w:rsid w:val="001764D0"/>
    <w:rsid w:val="00183062"/>
    <w:rsid w:val="00186B07"/>
    <w:rsid w:val="001973DD"/>
    <w:rsid w:val="001A70CF"/>
    <w:rsid w:val="001B1D2F"/>
    <w:rsid w:val="001B6F41"/>
    <w:rsid w:val="001C1F6B"/>
    <w:rsid w:val="001D1ABF"/>
    <w:rsid w:val="001D436E"/>
    <w:rsid w:val="001D5CDB"/>
    <w:rsid w:val="001E6459"/>
    <w:rsid w:val="001F5E23"/>
    <w:rsid w:val="00202642"/>
    <w:rsid w:val="002027A6"/>
    <w:rsid w:val="002028A1"/>
    <w:rsid w:val="0020377C"/>
    <w:rsid w:val="00204935"/>
    <w:rsid w:val="00207649"/>
    <w:rsid w:val="00213692"/>
    <w:rsid w:val="002221DD"/>
    <w:rsid w:val="00244004"/>
    <w:rsid w:val="00245F58"/>
    <w:rsid w:val="00253192"/>
    <w:rsid w:val="00254F2F"/>
    <w:rsid w:val="00263563"/>
    <w:rsid w:val="0026693E"/>
    <w:rsid w:val="00266CA9"/>
    <w:rsid w:val="00267844"/>
    <w:rsid w:val="002720DB"/>
    <w:rsid w:val="0028162F"/>
    <w:rsid w:val="00292964"/>
    <w:rsid w:val="00293D28"/>
    <w:rsid w:val="00296E55"/>
    <w:rsid w:val="002A57E2"/>
    <w:rsid w:val="002B47E1"/>
    <w:rsid w:val="002C20E6"/>
    <w:rsid w:val="002C341A"/>
    <w:rsid w:val="002D2ABA"/>
    <w:rsid w:val="002D3B5A"/>
    <w:rsid w:val="002D5DD7"/>
    <w:rsid w:val="002E6354"/>
    <w:rsid w:val="002F429C"/>
    <w:rsid w:val="00303F29"/>
    <w:rsid w:val="0031535B"/>
    <w:rsid w:val="0032136A"/>
    <w:rsid w:val="00325D0F"/>
    <w:rsid w:val="00337AA1"/>
    <w:rsid w:val="0034375C"/>
    <w:rsid w:val="003505D8"/>
    <w:rsid w:val="00352735"/>
    <w:rsid w:val="00357650"/>
    <w:rsid w:val="00363D38"/>
    <w:rsid w:val="00364570"/>
    <w:rsid w:val="0037538F"/>
    <w:rsid w:val="00376819"/>
    <w:rsid w:val="00386A8E"/>
    <w:rsid w:val="00386D45"/>
    <w:rsid w:val="003908E3"/>
    <w:rsid w:val="00390F1A"/>
    <w:rsid w:val="003A1A09"/>
    <w:rsid w:val="003A7677"/>
    <w:rsid w:val="003B463B"/>
    <w:rsid w:val="003B6CC2"/>
    <w:rsid w:val="003D34D3"/>
    <w:rsid w:val="003E599E"/>
    <w:rsid w:val="003E7A19"/>
    <w:rsid w:val="003F2BA6"/>
    <w:rsid w:val="003F3970"/>
    <w:rsid w:val="00400089"/>
    <w:rsid w:val="00400B22"/>
    <w:rsid w:val="00407154"/>
    <w:rsid w:val="0042537C"/>
    <w:rsid w:val="00425FF4"/>
    <w:rsid w:val="00436D32"/>
    <w:rsid w:val="004376B1"/>
    <w:rsid w:val="00464C5E"/>
    <w:rsid w:val="004728CC"/>
    <w:rsid w:val="0048732E"/>
    <w:rsid w:val="00497A52"/>
    <w:rsid w:val="004A0ABD"/>
    <w:rsid w:val="004C1D66"/>
    <w:rsid w:val="004D09D3"/>
    <w:rsid w:val="004D57FC"/>
    <w:rsid w:val="004E3569"/>
    <w:rsid w:val="004E6E8D"/>
    <w:rsid w:val="0050103B"/>
    <w:rsid w:val="00505521"/>
    <w:rsid w:val="005108EC"/>
    <w:rsid w:val="0052290C"/>
    <w:rsid w:val="00523E40"/>
    <w:rsid w:val="00527867"/>
    <w:rsid w:val="00542F6C"/>
    <w:rsid w:val="00551ABB"/>
    <w:rsid w:val="005529E7"/>
    <w:rsid w:val="00563545"/>
    <w:rsid w:val="0056608F"/>
    <w:rsid w:val="00566BDF"/>
    <w:rsid w:val="0056787E"/>
    <w:rsid w:val="0057197C"/>
    <w:rsid w:val="00577F32"/>
    <w:rsid w:val="00584597"/>
    <w:rsid w:val="00587A13"/>
    <w:rsid w:val="005959AB"/>
    <w:rsid w:val="005A354E"/>
    <w:rsid w:val="005B4910"/>
    <w:rsid w:val="005B4B65"/>
    <w:rsid w:val="005B78CF"/>
    <w:rsid w:val="005C678A"/>
    <w:rsid w:val="005E0015"/>
    <w:rsid w:val="005E2605"/>
    <w:rsid w:val="005E3609"/>
    <w:rsid w:val="005F1D8F"/>
    <w:rsid w:val="005F3194"/>
    <w:rsid w:val="005F6B4F"/>
    <w:rsid w:val="005F77FF"/>
    <w:rsid w:val="00605F38"/>
    <w:rsid w:val="00613931"/>
    <w:rsid w:val="00630EB6"/>
    <w:rsid w:val="0063115B"/>
    <w:rsid w:val="00646410"/>
    <w:rsid w:val="00663954"/>
    <w:rsid w:val="00665617"/>
    <w:rsid w:val="00674ABB"/>
    <w:rsid w:val="006857F1"/>
    <w:rsid w:val="006A4F98"/>
    <w:rsid w:val="006A5F45"/>
    <w:rsid w:val="006A6ACE"/>
    <w:rsid w:val="006B090C"/>
    <w:rsid w:val="006B2A6E"/>
    <w:rsid w:val="006B3039"/>
    <w:rsid w:val="006B3AC5"/>
    <w:rsid w:val="006C0CC7"/>
    <w:rsid w:val="006C1F74"/>
    <w:rsid w:val="006C2F49"/>
    <w:rsid w:val="006D1FB5"/>
    <w:rsid w:val="006D3E17"/>
    <w:rsid w:val="006D482E"/>
    <w:rsid w:val="006D686C"/>
    <w:rsid w:val="006E202C"/>
    <w:rsid w:val="006E2EA7"/>
    <w:rsid w:val="006F485A"/>
    <w:rsid w:val="00700297"/>
    <w:rsid w:val="0070261D"/>
    <w:rsid w:val="007065A0"/>
    <w:rsid w:val="00706E19"/>
    <w:rsid w:val="00710E13"/>
    <w:rsid w:val="00715A2F"/>
    <w:rsid w:val="00747BCC"/>
    <w:rsid w:val="007504F0"/>
    <w:rsid w:val="00752026"/>
    <w:rsid w:val="00763663"/>
    <w:rsid w:val="007660DC"/>
    <w:rsid w:val="00766597"/>
    <w:rsid w:val="0077246E"/>
    <w:rsid w:val="007821AB"/>
    <w:rsid w:val="00786DCF"/>
    <w:rsid w:val="007A21DC"/>
    <w:rsid w:val="007A50CD"/>
    <w:rsid w:val="007A5C99"/>
    <w:rsid w:val="007A6544"/>
    <w:rsid w:val="007B23E2"/>
    <w:rsid w:val="007B4E74"/>
    <w:rsid w:val="007C30DC"/>
    <w:rsid w:val="007D3B3C"/>
    <w:rsid w:val="007D69AB"/>
    <w:rsid w:val="007E3910"/>
    <w:rsid w:val="007E71D9"/>
    <w:rsid w:val="007F61B7"/>
    <w:rsid w:val="008030A8"/>
    <w:rsid w:val="00804D30"/>
    <w:rsid w:val="0081119B"/>
    <w:rsid w:val="00817F0B"/>
    <w:rsid w:val="008228B7"/>
    <w:rsid w:val="008249B4"/>
    <w:rsid w:val="00825DEB"/>
    <w:rsid w:val="00841834"/>
    <w:rsid w:val="00844374"/>
    <w:rsid w:val="00851685"/>
    <w:rsid w:val="00857459"/>
    <w:rsid w:val="00864518"/>
    <w:rsid w:val="00871F90"/>
    <w:rsid w:val="008733C0"/>
    <w:rsid w:val="008C3A8F"/>
    <w:rsid w:val="008C6E82"/>
    <w:rsid w:val="008C78D8"/>
    <w:rsid w:val="008E7B11"/>
    <w:rsid w:val="00901C60"/>
    <w:rsid w:val="00917C36"/>
    <w:rsid w:val="00927D99"/>
    <w:rsid w:val="0093009A"/>
    <w:rsid w:val="00935BEE"/>
    <w:rsid w:val="009361E7"/>
    <w:rsid w:val="00940075"/>
    <w:rsid w:val="00940E5B"/>
    <w:rsid w:val="00952EA6"/>
    <w:rsid w:val="0097265B"/>
    <w:rsid w:val="00972DBF"/>
    <w:rsid w:val="0097735F"/>
    <w:rsid w:val="00980961"/>
    <w:rsid w:val="00981798"/>
    <w:rsid w:val="0098462A"/>
    <w:rsid w:val="0098496E"/>
    <w:rsid w:val="0098662E"/>
    <w:rsid w:val="009876C8"/>
    <w:rsid w:val="00995E21"/>
    <w:rsid w:val="009A310C"/>
    <w:rsid w:val="009A666E"/>
    <w:rsid w:val="009B0E0C"/>
    <w:rsid w:val="009C1F63"/>
    <w:rsid w:val="009C2061"/>
    <w:rsid w:val="009D1095"/>
    <w:rsid w:val="009D1C00"/>
    <w:rsid w:val="009D621F"/>
    <w:rsid w:val="009D7142"/>
    <w:rsid w:val="009E1D36"/>
    <w:rsid w:val="00A04777"/>
    <w:rsid w:val="00A04B41"/>
    <w:rsid w:val="00A12E55"/>
    <w:rsid w:val="00A16073"/>
    <w:rsid w:val="00A20C9F"/>
    <w:rsid w:val="00A239A8"/>
    <w:rsid w:val="00A3168B"/>
    <w:rsid w:val="00A35138"/>
    <w:rsid w:val="00A351B1"/>
    <w:rsid w:val="00A353FE"/>
    <w:rsid w:val="00A35BD9"/>
    <w:rsid w:val="00A371CE"/>
    <w:rsid w:val="00A62BE6"/>
    <w:rsid w:val="00A6380B"/>
    <w:rsid w:val="00A825AE"/>
    <w:rsid w:val="00A825CC"/>
    <w:rsid w:val="00A86402"/>
    <w:rsid w:val="00A87E80"/>
    <w:rsid w:val="00A9389C"/>
    <w:rsid w:val="00A95FAC"/>
    <w:rsid w:val="00A96BC7"/>
    <w:rsid w:val="00A97ADB"/>
    <w:rsid w:val="00AA2BB8"/>
    <w:rsid w:val="00AB2439"/>
    <w:rsid w:val="00AB7A09"/>
    <w:rsid w:val="00AC1B20"/>
    <w:rsid w:val="00AC21AB"/>
    <w:rsid w:val="00AC37AD"/>
    <w:rsid w:val="00AE07C2"/>
    <w:rsid w:val="00AF2E7A"/>
    <w:rsid w:val="00B10CC5"/>
    <w:rsid w:val="00B2323B"/>
    <w:rsid w:val="00B32578"/>
    <w:rsid w:val="00B409CE"/>
    <w:rsid w:val="00B40EA3"/>
    <w:rsid w:val="00B44FE8"/>
    <w:rsid w:val="00B50097"/>
    <w:rsid w:val="00B523E6"/>
    <w:rsid w:val="00B5399F"/>
    <w:rsid w:val="00B55A01"/>
    <w:rsid w:val="00B66A6B"/>
    <w:rsid w:val="00B7740F"/>
    <w:rsid w:val="00B814CE"/>
    <w:rsid w:val="00B91C2A"/>
    <w:rsid w:val="00B925BF"/>
    <w:rsid w:val="00BA630D"/>
    <w:rsid w:val="00BA6BE7"/>
    <w:rsid w:val="00BB5132"/>
    <w:rsid w:val="00BB65C9"/>
    <w:rsid w:val="00BC71FC"/>
    <w:rsid w:val="00BC7750"/>
    <w:rsid w:val="00BD436D"/>
    <w:rsid w:val="00BD53F1"/>
    <w:rsid w:val="00BF5CAA"/>
    <w:rsid w:val="00BF6AEF"/>
    <w:rsid w:val="00C07D82"/>
    <w:rsid w:val="00C14576"/>
    <w:rsid w:val="00C17E81"/>
    <w:rsid w:val="00C23F9A"/>
    <w:rsid w:val="00C406E6"/>
    <w:rsid w:val="00C40AEE"/>
    <w:rsid w:val="00C61547"/>
    <w:rsid w:val="00C6362A"/>
    <w:rsid w:val="00C6404A"/>
    <w:rsid w:val="00C7369A"/>
    <w:rsid w:val="00C86350"/>
    <w:rsid w:val="00C86597"/>
    <w:rsid w:val="00C96C47"/>
    <w:rsid w:val="00CA0117"/>
    <w:rsid w:val="00CA02CA"/>
    <w:rsid w:val="00CA73F4"/>
    <w:rsid w:val="00CB03E0"/>
    <w:rsid w:val="00CB1625"/>
    <w:rsid w:val="00CB3937"/>
    <w:rsid w:val="00CB3E24"/>
    <w:rsid w:val="00CC3470"/>
    <w:rsid w:val="00CD0C3A"/>
    <w:rsid w:val="00CD2845"/>
    <w:rsid w:val="00CD2FD4"/>
    <w:rsid w:val="00CE0BDE"/>
    <w:rsid w:val="00CE0E60"/>
    <w:rsid w:val="00CE17D5"/>
    <w:rsid w:val="00CF1D39"/>
    <w:rsid w:val="00CF2F4D"/>
    <w:rsid w:val="00CF3C1E"/>
    <w:rsid w:val="00D0662B"/>
    <w:rsid w:val="00D10AEB"/>
    <w:rsid w:val="00D10BC0"/>
    <w:rsid w:val="00D10F2A"/>
    <w:rsid w:val="00D1671A"/>
    <w:rsid w:val="00D2566E"/>
    <w:rsid w:val="00D3027E"/>
    <w:rsid w:val="00D3525B"/>
    <w:rsid w:val="00D4036D"/>
    <w:rsid w:val="00D451D8"/>
    <w:rsid w:val="00D55948"/>
    <w:rsid w:val="00D707D2"/>
    <w:rsid w:val="00D748BD"/>
    <w:rsid w:val="00D75D43"/>
    <w:rsid w:val="00DA60ED"/>
    <w:rsid w:val="00DA6CD7"/>
    <w:rsid w:val="00DA704D"/>
    <w:rsid w:val="00DD3D2A"/>
    <w:rsid w:val="00DE5873"/>
    <w:rsid w:val="00DF6928"/>
    <w:rsid w:val="00E1776B"/>
    <w:rsid w:val="00E41733"/>
    <w:rsid w:val="00E43816"/>
    <w:rsid w:val="00E4786A"/>
    <w:rsid w:val="00E50386"/>
    <w:rsid w:val="00E50AE9"/>
    <w:rsid w:val="00E54D93"/>
    <w:rsid w:val="00E67B01"/>
    <w:rsid w:val="00E71A20"/>
    <w:rsid w:val="00E910A4"/>
    <w:rsid w:val="00E91D3A"/>
    <w:rsid w:val="00E924A7"/>
    <w:rsid w:val="00EA086C"/>
    <w:rsid w:val="00EA3CB4"/>
    <w:rsid w:val="00EB6663"/>
    <w:rsid w:val="00EB6782"/>
    <w:rsid w:val="00EC0C23"/>
    <w:rsid w:val="00EE158D"/>
    <w:rsid w:val="00EE6C52"/>
    <w:rsid w:val="00EF36AC"/>
    <w:rsid w:val="00F06581"/>
    <w:rsid w:val="00F177D9"/>
    <w:rsid w:val="00F21435"/>
    <w:rsid w:val="00F27BA9"/>
    <w:rsid w:val="00F304F9"/>
    <w:rsid w:val="00F31D0F"/>
    <w:rsid w:val="00F36871"/>
    <w:rsid w:val="00F412E0"/>
    <w:rsid w:val="00F80A18"/>
    <w:rsid w:val="00F84261"/>
    <w:rsid w:val="00F85F84"/>
    <w:rsid w:val="00F86215"/>
    <w:rsid w:val="00F95915"/>
    <w:rsid w:val="00FA247A"/>
    <w:rsid w:val="00FA6CF6"/>
    <w:rsid w:val="00FB32C0"/>
    <w:rsid w:val="00FC0721"/>
    <w:rsid w:val="00FC1FFC"/>
    <w:rsid w:val="00FC31E4"/>
    <w:rsid w:val="00FD454F"/>
    <w:rsid w:val="00FD6503"/>
    <w:rsid w:val="00FD7C1E"/>
    <w:rsid w:val="00FE353B"/>
    <w:rsid w:val="00FE3DCC"/>
    <w:rsid w:val="00FE61C5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8A175"/>
  <w15:chartTrackingRefBased/>
  <w15:docId w15:val="{DCB741D0-33AF-4127-8F01-10D30800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5C82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7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Paragraphtext"/>
    <w:link w:val="Heading2Char"/>
    <w:qFormat/>
    <w:rsid w:val="002C341A"/>
    <w:pPr>
      <w:keepNext/>
      <w:spacing w:before="240" w:after="60" w:line="240" w:lineRule="auto"/>
      <w:outlineLvl w:val="1"/>
    </w:pPr>
    <w:rPr>
      <w:rFonts w:ascii="Arial" w:eastAsia="Times New Roman" w:hAnsi="Arial" w:cs="Arial"/>
      <w:bCs/>
      <w:iCs/>
      <w:color w:val="358189"/>
      <w:kern w:val="0"/>
      <w:sz w:val="32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BA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341A"/>
    <w:rPr>
      <w:rFonts w:ascii="Arial" w:eastAsia="Times New Roman" w:hAnsi="Arial" w:cs="Arial"/>
      <w:bCs/>
      <w:iCs/>
      <w:color w:val="358189"/>
      <w:kern w:val="0"/>
      <w:sz w:val="32"/>
      <w:szCs w:val="28"/>
      <w14:ligatures w14:val="none"/>
    </w:rPr>
  </w:style>
  <w:style w:type="paragraph" w:customStyle="1" w:styleId="Paragraphtext">
    <w:name w:val="Paragraph text"/>
    <w:basedOn w:val="Normal"/>
    <w:qFormat/>
    <w:rsid w:val="002C341A"/>
    <w:pPr>
      <w:spacing w:before="120" w:after="60"/>
    </w:pPr>
    <w:rPr>
      <w:color w:val="000000" w:themeColor="text1"/>
      <w:sz w:val="21"/>
    </w:rPr>
  </w:style>
  <w:style w:type="paragraph" w:styleId="Title">
    <w:name w:val="Title"/>
    <w:basedOn w:val="Normal"/>
    <w:next w:val="Paragraphtext"/>
    <w:link w:val="TitleChar"/>
    <w:qFormat/>
    <w:rsid w:val="002C341A"/>
    <w:pPr>
      <w:spacing w:before="480" w:after="120"/>
      <w:contextualSpacing/>
    </w:pPr>
    <w:rPr>
      <w:rFonts w:eastAsiaTheme="majorEastAsia" w:cstheme="majorBidi"/>
      <w:color w:val="3F4A7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2C341A"/>
    <w:rPr>
      <w:rFonts w:ascii="Arial" w:eastAsiaTheme="majorEastAsia" w:hAnsi="Arial" w:cstheme="majorBidi"/>
      <w:color w:val="3F4A75"/>
      <w:kern w:val="28"/>
      <w:sz w:val="48"/>
      <w:szCs w:val="52"/>
      <w14:ligatures w14:val="none"/>
    </w:rPr>
  </w:style>
  <w:style w:type="paragraph" w:styleId="ListParagraph">
    <w:name w:val="List Paragraph"/>
    <w:aliases w:val="L,List Paragraph1,List Paragraph11,Recommendation,bullet point list,Bullet point,Bullets,CV text,Dot pt,F5 List Paragraph,FooterText,List Paragraph111,List Paragraph2,Medium Grid 1 - Accent 21,NAST Quote,NFP GP Bulleted List,列,Body text"/>
    <w:basedOn w:val="Normal"/>
    <w:link w:val="ListParagraphChar"/>
    <w:uiPriority w:val="34"/>
    <w:qFormat/>
    <w:rsid w:val="002C3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2C3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41A"/>
    <w:rPr>
      <w:rFonts w:ascii="Arial" w:eastAsia="Times New Roman" w:hAnsi="Arial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qFormat/>
    <w:rsid w:val="002C341A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C341A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qFormat/>
    <w:rsid w:val="002C341A"/>
    <w:rPr>
      <w:color w:val="0563C1" w:themeColor="hyperlink"/>
      <w:u w:val="single"/>
    </w:rPr>
  </w:style>
  <w:style w:type="paragraph" w:customStyle="1" w:styleId="Intropara">
    <w:name w:val="Intro para"/>
    <w:basedOn w:val="Normal"/>
    <w:rsid w:val="002C341A"/>
    <w:pPr>
      <w:spacing w:before="480" w:after="240" w:line="400" w:lineRule="exact"/>
    </w:pPr>
    <w:rPr>
      <w:rFonts w:eastAsiaTheme="minorHAnsi"/>
      <w:color w:val="358189"/>
      <w:sz w:val="28"/>
    </w:rPr>
  </w:style>
  <w:style w:type="character" w:customStyle="1" w:styleId="ListParagraphChar">
    <w:name w:val="List Paragraph Char"/>
    <w:aliases w:val="L Char,List Paragraph1 Char,List Paragraph11 Char,Recommendation Char,bullet point list Char,Bullet point Char,Bullets Char,CV text Char,Dot pt Char,F5 List Paragraph Char,FooterText Char,List Paragraph111 Char,List Paragraph2 Char"/>
    <w:basedOn w:val="DefaultParagraphFont"/>
    <w:link w:val="ListParagraph"/>
    <w:uiPriority w:val="34"/>
    <w:qFormat/>
    <w:locked/>
    <w:rsid w:val="002C341A"/>
    <w:rPr>
      <w:rFonts w:ascii="Arial" w:eastAsia="Times New Roman" w:hAnsi="Arial" w:cs="Times New Roman"/>
      <w:kern w:val="0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C3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C341A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C341A"/>
    <w:rPr>
      <w:rFonts w:eastAsiaTheme="minorEastAsia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34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E00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B47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27BA9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F27BA9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EB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EB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B4B65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A5C99"/>
    <w:rPr>
      <w:color w:val="954F72" w:themeColor="followedHyperlink"/>
      <w:u w:val="single"/>
    </w:rPr>
  </w:style>
  <w:style w:type="paragraph" w:customStyle="1" w:styleId="pf0">
    <w:name w:val="pf0"/>
    <w:basedOn w:val="Normal"/>
    <w:rsid w:val="002E63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cf01">
    <w:name w:val="cf01"/>
    <w:basedOn w:val="DefaultParagraphFont"/>
    <w:rsid w:val="002E635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health.gov.au/resources/publications/good-clinical-quality-registry-practice-guide?language=en" TargetMode="External"/><Relationship Id="rId18" Type="http://schemas.openxmlformats.org/officeDocument/2006/relationships/hyperlink" Target="https://www.health.gov.au/resources/publications/clinical-quality-registry-cqr-framework-assessment-tool-reportin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grants.gov.au/Go/Show?GoUuid=d7ffea38-823e-4b4b-9332-0977230a81e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rants.gov.au/Go/Show?GoUuid=d7ffea38-823e-4b4b-9332-0977230a81ef" TargetMode="External"/><Relationship Id="rId17" Type="http://schemas.openxmlformats.org/officeDocument/2006/relationships/hyperlink" Target="https://www.health.gov.au/resources/publications/a-guide-to-demonstrating-clinical-quality-registry-impact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resources/publications/registry-establishment-cost-drivers?language=en" TargetMode="External"/><Relationship Id="rId20" Type="http://schemas.openxmlformats.org/officeDocument/2006/relationships/hyperlink" Target="https://www.health.gov.au/our-work/national-clinical-quality-registry-progra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a-national-strategy-for-clinical-quality-registries-and-virtual-registries-2020-2030" TargetMode="External"/><Relationship Id="rId24" Type="http://schemas.openxmlformats.org/officeDocument/2006/relationships/hyperlink" Target="mailto:cqrpolicy@health.gov.a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resources/publications/a-registry-guide-to-co-designing-consumer-friendly-resources?language=en" TargetMode="External"/><Relationship Id="rId23" Type="http://schemas.openxmlformats.org/officeDocument/2006/relationships/hyperlink" Target="https://anznn.net/" TargetMode="External"/><Relationship Id="rId28" Type="http://schemas.openxmlformats.org/officeDocument/2006/relationships/footer" Target="footer2.xml"/><Relationship Id="rId10" Type="http://schemas.openxmlformats.org/officeDocument/2006/relationships/image" Target="cid:image001.png@01D545EF.D584D410" TargetMode="External"/><Relationship Id="rId19" Type="http://schemas.openxmlformats.org/officeDocument/2006/relationships/hyperlink" Target="https://www.health.gov.au/resources/publications/clinical-quality-registries-cqrs-collated-impact-case-stud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health.gov.au/resources/publications/a-guide-for-registry-based-trials-national-clinical-quality-registry-program?language=en" TargetMode="External"/><Relationship Id="rId22" Type="http://schemas.openxmlformats.org/officeDocument/2006/relationships/hyperlink" Target="https://www.surgeons.org/research-audit/morbidity-audits/morbidity-audits-managed-by-racs/anz-emergency-laparotomy-audit-quality-improvement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876A2-37DF-48DD-9971-79DB2D259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dcterms:created xsi:type="dcterms:W3CDTF">2025-09-29T09:15:00Z</dcterms:created>
  <dcterms:modified xsi:type="dcterms:W3CDTF">2025-10-03T02:41:00Z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7e0ad25f,13045d32,20fe24fd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30fdf4de,4b0831fe,1435b9cd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2025-09-18T04:29:57Z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5e7420d9-6f74-437e-8e09-dfbc27d3d981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