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93554" w14:textId="0F414117" w:rsidR="00865A27" w:rsidRPr="00602824" w:rsidRDefault="00570F6E">
      <w:pPr>
        <w:pStyle w:val="Covertitle"/>
        <w:rPr>
          <w:rFonts w:cs="Segoe UI"/>
          <w:b/>
          <w:color w:val="FFFFFF" w:themeColor="background1"/>
          <w:sz w:val="64"/>
          <w:szCs w:val="64"/>
        </w:rPr>
      </w:pPr>
      <w:r w:rsidRPr="00BB1BDE">
        <w:rPr>
          <w:noProof/>
          <w:color w:val="FFFFFF" w:themeColor="background1"/>
        </w:rPr>
        <w:drawing>
          <wp:anchor distT="0" distB="0" distL="114300" distR="114300" simplePos="0" relativeHeight="251658242" behindDoc="1" locked="0" layoutInCell="1" allowOverlap="1" wp14:anchorId="7D46CD70" wp14:editId="401E59A2">
            <wp:simplePos x="0" y="0"/>
            <wp:positionH relativeFrom="page">
              <wp:posOffset>2540</wp:posOffset>
            </wp:positionH>
            <wp:positionV relativeFrom="page">
              <wp:posOffset>635</wp:posOffset>
            </wp:positionV>
            <wp:extent cx="7559998" cy="10693741"/>
            <wp:effectExtent l="0" t="0" r="3175" b="0"/>
            <wp:wrapNone/>
            <wp:docPr id="503" name="Picture 5" descr="A blue background with white murm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 descr="A blue background with white murmuration."/>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bookmarkStart w:id="0" w:name="_Ref202377252"/>
      <w:bookmarkEnd w:id="0"/>
      <w:sdt>
        <w:sdtPr>
          <w:rPr>
            <w:rFonts w:cs="Segoe UI"/>
            <w:b/>
            <w:color w:val="FFFFFF" w:themeColor="background1"/>
            <w:sz w:val="64"/>
            <w:szCs w:val="64"/>
          </w:rPr>
          <w:id w:val="803730555"/>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50469689"/>
              <w:dataBinding w:prefixMappings="xmlns:ns0='http://purl.org/dc/elements/1.1/' xmlns:ns1='http://schemas.openxmlformats.org/package/2006/metadata/core-properties' " w:xpath="/ns1:coreProperties[1]/ns0:title[1]" w:storeItemID="{6C3C8BC8-F283-45AE-878A-BAB7291924A1}"/>
              <w:text/>
            </w:sdtPr>
            <w:sdtEndPr/>
            <w:sdtContent>
              <w:r w:rsidRPr="00602824">
                <w:rPr>
                  <w:rFonts w:cs="Segoe UI"/>
                  <w:b/>
                  <w:color w:val="FFFFFF" w:themeColor="background1"/>
                  <w:sz w:val="64"/>
                  <w:szCs w:val="64"/>
                </w:rPr>
                <w:t>Interim Evaluation #2 of the Prescribed List Reforms</w:t>
              </w:r>
            </w:sdtContent>
          </w:sdt>
        </w:sdtContent>
      </w:sdt>
    </w:p>
    <w:p w14:paraId="073F9842" w14:textId="19ED6E2B" w:rsidR="00865A27" w:rsidRPr="00602824" w:rsidRDefault="005824D1">
      <w:pPr>
        <w:pStyle w:val="CoverPage-Client"/>
        <w:spacing w:before="360"/>
        <w:rPr>
          <w:rFonts w:cs="Segoe UI"/>
          <w:color w:val="F8981D" w:themeColor="accent3"/>
        </w:rPr>
      </w:pPr>
      <w:sdt>
        <w:sdtPr>
          <w:rPr>
            <w:rStyle w:val="CoverPage-ClientChar"/>
            <w:rFonts w:cs="Segoe UI"/>
            <w:color w:val="F8981D" w:themeColor="accent3"/>
          </w:rPr>
          <w:alias w:val="Subject"/>
          <w:tag w:val=""/>
          <w:id w:val="-1755584571"/>
          <w:showingPlcHdr/>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Pr>
              <w:rStyle w:val="CoverPage-ClientChar"/>
              <w:rFonts w:cs="Segoe UI"/>
              <w:color w:val="F8981D" w:themeColor="accent3"/>
            </w:rPr>
            <w:t xml:space="preserve">     </w:t>
          </w:r>
        </w:sdtContent>
      </w:sdt>
    </w:p>
    <w:p w14:paraId="2DC0CD0E" w14:textId="3548FD64" w:rsidR="00865A27" w:rsidRPr="00602824" w:rsidRDefault="005824D1">
      <w:pPr>
        <w:pStyle w:val="CoverPage-Date"/>
        <w:spacing w:before="240"/>
        <w:rPr>
          <w:color w:val="FFFFFF" w:themeColor="background1"/>
        </w:rPr>
      </w:pPr>
      <w:sdt>
        <w:sdtPr>
          <w:rPr>
            <w:rStyle w:val="CoverPage-DateChar"/>
            <w:rFonts w:cs="Segoe UI"/>
            <w:color w:val="FFFFFF" w:themeColor="background1"/>
            <w:sz w:val="20"/>
            <w:szCs w:val="20"/>
          </w:rPr>
          <w:alias w:val="Publish Date"/>
          <w:tag w:val=""/>
          <w:id w:val="-443608997"/>
          <w:dataBinding w:prefixMappings="xmlns:ns0='http://schemas.microsoft.com/office/2006/coverPageProps' " w:xpath="/ns0:CoverPageProperties[1]/ns0:PublishDate[1]" w:storeItemID="{55AF091B-3C7A-41E3-B477-F2FDAA23CFDA}"/>
          <w:date w:fullDate="2025-09-19T00:00:00Z">
            <w:dateFormat w:val="d MMMM yyyy"/>
            <w:lid w:val="en-AU"/>
            <w:storeMappedDataAs w:val="dateTime"/>
            <w:calendar w:val="gregorian"/>
          </w:date>
        </w:sdtPr>
        <w:sdtEndPr>
          <w:rPr>
            <w:rStyle w:val="DefaultParagraphFont"/>
            <w:rFonts w:cs="Times New Roman"/>
            <w:sz w:val="24"/>
            <w:szCs w:val="19"/>
          </w:rPr>
        </w:sdtEndPr>
        <w:sdtContent>
          <w:r w:rsidR="00FD418B">
            <w:rPr>
              <w:rStyle w:val="CoverPage-DateChar"/>
              <w:rFonts w:cs="Segoe UI"/>
              <w:color w:val="FFFFFF" w:themeColor="background1"/>
              <w:sz w:val="20"/>
              <w:szCs w:val="20"/>
            </w:rPr>
            <w:t>19 September 2025</w:t>
          </w:r>
        </w:sdtContent>
      </w:sdt>
    </w:p>
    <w:p w14:paraId="37C47656" w14:textId="77777777" w:rsidR="00865A27" w:rsidRPr="00602824" w:rsidRDefault="00865A27" w:rsidP="00C76C1E">
      <w:pPr>
        <w:pStyle w:val="Heading4"/>
        <w:ind w:right="2409"/>
        <w:sectPr w:rsidR="00865A27" w:rsidRPr="00602824" w:rsidSect="00904D09">
          <w:headerReference w:type="default" r:id="rId13"/>
          <w:footerReference w:type="default" r:id="rId14"/>
          <w:type w:val="continuous"/>
          <w:pgSz w:w="11907" w:h="16839" w:code="9"/>
          <w:pgMar w:top="5954" w:right="1418" w:bottom="1701" w:left="1559" w:header="737" w:footer="720" w:gutter="0"/>
          <w:pgNumType w:start="1"/>
          <w:cols w:space="720"/>
          <w:docGrid w:linePitch="360"/>
        </w:sectPr>
      </w:pPr>
    </w:p>
    <w:p w14:paraId="5E1ED673" w14:textId="1791C42B" w:rsidR="00C76C1E" w:rsidRPr="00602824" w:rsidRDefault="008022D7" w:rsidP="00C76C1E">
      <w:pPr>
        <w:pStyle w:val="Heading4"/>
        <w:ind w:right="2409"/>
        <w:rPr>
          <w:rFonts w:asciiTheme="minorHAnsi" w:hAnsiTheme="minorHAnsi" w:cstheme="minorHAnsi"/>
          <w:sz w:val="23"/>
          <w:szCs w:val="23"/>
        </w:rPr>
      </w:pPr>
      <w:r w:rsidRPr="00602824">
        <w:lastRenderedPageBreak/>
        <w:br/>
      </w:r>
      <w:r w:rsidR="00C76C1E" w:rsidRPr="00AC7E3F">
        <w:rPr>
          <w:rFonts w:cs="Segoe UI Semibold"/>
          <w:i/>
          <w:noProof/>
          <w:sz w:val="16"/>
          <w:szCs w:val="16"/>
        </w:rPr>
        <w:drawing>
          <wp:anchor distT="0" distB="0" distL="114300" distR="114300" simplePos="0" relativeHeight="251658240" behindDoc="1" locked="0" layoutInCell="1" allowOverlap="1" wp14:anchorId="26FE44F1" wp14:editId="346D0C2E">
            <wp:simplePos x="0" y="0"/>
            <wp:positionH relativeFrom="page">
              <wp:align>center</wp:align>
            </wp:positionH>
            <wp:positionV relativeFrom="page">
              <wp:posOffset>112395</wp:posOffset>
            </wp:positionV>
            <wp:extent cx="7559907" cy="9608399"/>
            <wp:effectExtent l="0" t="0" r="3175" b="0"/>
            <wp:wrapNone/>
            <wp:docPr id="806" name="Picture 806" descr="Grey background including an artwork developed by Marcus Le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descr="Grey background including an artwork developed by Marcus Lee Design."/>
                    <pic:cNvPicPr/>
                  </pic:nvPicPr>
                  <pic:blipFill>
                    <a:blip r:embed="rId15">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00C76C1E" w:rsidRPr="00602824">
        <w:rPr>
          <w:rFonts w:asciiTheme="minorHAnsi" w:hAnsiTheme="minorHAnsi" w:cstheme="minorHAnsi"/>
          <w:b/>
          <w:bCs/>
          <w:sz w:val="23"/>
          <w:szCs w:val="23"/>
        </w:rPr>
        <w:t>Nous Group</w:t>
      </w:r>
      <w:r w:rsidR="00C76C1E" w:rsidRPr="00602824">
        <w:rPr>
          <w:sz w:val="23"/>
          <w:szCs w:val="23"/>
        </w:rPr>
        <w:t xml:space="preserve"> </w:t>
      </w:r>
      <w:r w:rsidR="00C76C1E" w:rsidRPr="00602824">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6015E260" w14:textId="77777777" w:rsidR="00C76C1E" w:rsidRPr="00602824" w:rsidRDefault="00C76C1E" w:rsidP="000673BA">
      <w:pPr>
        <w:pBdr>
          <w:bottom w:val="single" w:sz="12" w:space="1" w:color="auto"/>
        </w:pBdr>
        <w:spacing w:before="480"/>
        <w:ind w:right="2267"/>
        <w:rPr>
          <w:sz w:val="18"/>
          <w:szCs w:val="18"/>
          <w:lang w:eastAsia="en-AU"/>
        </w:rPr>
      </w:pPr>
      <w:r w:rsidRPr="00602824">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r w:rsidRPr="00602824">
        <w:rPr>
          <w:sz w:val="18"/>
          <w:szCs w:val="18"/>
          <w:lang w:eastAsia="en-AU"/>
        </w:rPr>
        <w:br/>
      </w:r>
    </w:p>
    <w:p w14:paraId="429A6C98" w14:textId="77777777" w:rsidR="00C76C1E" w:rsidRPr="00602824" w:rsidRDefault="00C76C1E" w:rsidP="00C76C1E">
      <w:pPr>
        <w:spacing w:before="1680" w:after="240"/>
        <w:ind w:right="-1"/>
        <w:rPr>
          <w:rFonts w:ascii="Segoe UI Semibold" w:hAnsi="Segoe UI Semibold" w:cs="Segoe UI Semibold"/>
          <w:i/>
          <w:sz w:val="16"/>
          <w:szCs w:val="16"/>
        </w:rPr>
      </w:pPr>
      <w:r w:rsidRPr="00602824">
        <w:rPr>
          <w:rFonts w:ascii="Segoe UI Semibold" w:hAnsi="Segoe UI Semibold" w:cs="Segoe UI Semibold"/>
          <w:i/>
          <w:sz w:val="16"/>
          <w:szCs w:val="16"/>
        </w:rPr>
        <w:t>Disclaimer:</w:t>
      </w:r>
    </w:p>
    <w:p w14:paraId="3944D664" w14:textId="38561AD6" w:rsidR="00C76C1E" w:rsidRPr="00602824" w:rsidRDefault="00C76C1E" w:rsidP="00C76C1E">
      <w:pPr>
        <w:ind w:right="-1"/>
        <w:rPr>
          <w:i/>
          <w:sz w:val="16"/>
          <w:szCs w:val="16"/>
        </w:rPr>
      </w:pPr>
      <w:r w:rsidRPr="00602824">
        <w:rPr>
          <w:i/>
          <w:sz w:val="16"/>
          <w:szCs w:val="16"/>
        </w:rPr>
        <w:t>Nous Group (</w:t>
      </w:r>
      <w:r w:rsidRPr="00602824">
        <w:rPr>
          <w:b/>
          <w:i/>
          <w:sz w:val="16"/>
          <w:szCs w:val="16"/>
        </w:rPr>
        <w:t>Nous</w:t>
      </w:r>
      <w:r w:rsidRPr="00602824">
        <w:rPr>
          <w:i/>
          <w:sz w:val="16"/>
          <w:szCs w:val="16"/>
        </w:rPr>
        <w:t xml:space="preserve">) has prepared this report for the benefit of </w:t>
      </w:r>
      <w:r w:rsidR="009372A3" w:rsidRPr="00602824">
        <w:rPr>
          <w:i/>
          <w:sz w:val="16"/>
          <w:szCs w:val="16"/>
        </w:rPr>
        <w:t>the Department of Health</w:t>
      </w:r>
      <w:r w:rsidR="006273C9" w:rsidRPr="00602824">
        <w:rPr>
          <w:i/>
          <w:sz w:val="16"/>
          <w:szCs w:val="16"/>
        </w:rPr>
        <w:t>, Disability</w:t>
      </w:r>
      <w:r w:rsidR="009372A3" w:rsidRPr="00602824">
        <w:rPr>
          <w:i/>
          <w:sz w:val="16"/>
          <w:szCs w:val="16"/>
        </w:rPr>
        <w:t xml:space="preserve"> and Age</w:t>
      </w:r>
      <w:r w:rsidR="006273C9" w:rsidRPr="00602824">
        <w:rPr>
          <w:i/>
          <w:sz w:val="16"/>
          <w:szCs w:val="16"/>
        </w:rPr>
        <w:t>ing</w:t>
      </w:r>
      <w:r w:rsidRPr="00602824">
        <w:rPr>
          <w:i/>
          <w:sz w:val="16"/>
          <w:szCs w:val="16"/>
        </w:rPr>
        <w:t xml:space="preserve"> (the </w:t>
      </w:r>
      <w:r w:rsidRPr="00602824">
        <w:rPr>
          <w:b/>
          <w:i/>
          <w:sz w:val="16"/>
          <w:szCs w:val="16"/>
        </w:rPr>
        <w:t>Client</w:t>
      </w:r>
      <w:r w:rsidRPr="00602824">
        <w:rPr>
          <w:i/>
          <w:sz w:val="16"/>
          <w:szCs w:val="16"/>
        </w:rPr>
        <w:t>).</w:t>
      </w:r>
    </w:p>
    <w:p w14:paraId="20E185A2" w14:textId="77777777" w:rsidR="00C76C1E" w:rsidRPr="00602824" w:rsidRDefault="00C76C1E" w:rsidP="00C76C1E">
      <w:pPr>
        <w:rPr>
          <w:i/>
          <w:sz w:val="16"/>
          <w:szCs w:val="16"/>
        </w:rPr>
      </w:pPr>
      <w:r w:rsidRPr="00602824">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06D06063" w14:textId="77777777" w:rsidR="00C76C1E" w:rsidRPr="00602824" w:rsidRDefault="00C76C1E" w:rsidP="00C76C1E">
      <w:pPr>
        <w:rPr>
          <w:i/>
          <w:sz w:val="16"/>
          <w:szCs w:val="16"/>
        </w:rPr>
      </w:pPr>
      <w:r w:rsidRPr="00AC7E3F">
        <w:rPr>
          <w:noProof/>
          <w:sz w:val="16"/>
          <w:szCs w:val="16"/>
          <w:lang w:eastAsia="en-AU"/>
        </w:rPr>
        <mc:AlternateContent>
          <mc:Choice Requires="wps">
            <w:drawing>
              <wp:anchor distT="0" distB="0" distL="114300" distR="114300" simplePos="0" relativeHeight="251658241" behindDoc="0" locked="0" layoutInCell="0" allowOverlap="1" wp14:anchorId="4D0EAA8F" wp14:editId="46B20E6F">
                <wp:simplePos x="0" y="0"/>
                <wp:positionH relativeFrom="margin">
                  <wp:align>left</wp:align>
                </wp:positionH>
                <wp:positionV relativeFrom="bottomMargin">
                  <wp:posOffset>-426361</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4FE3A" w14:textId="77777777" w:rsidR="00C76C1E" w:rsidRPr="00602824" w:rsidRDefault="00C76C1E" w:rsidP="00C76C1E">
                            <w:pPr>
                              <w:rPr>
                                <w:color w:val="808080" w:themeColor="background1" w:themeShade="80"/>
                              </w:rPr>
                            </w:pPr>
                            <w:r w:rsidRPr="00602824">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EAA8F" id="_x0000_t202" coordsize="21600,21600" o:spt="202" path="m,l,21600r21600,l21600,xe">
                <v:stroke joinstyle="miter"/>
                <v:path gradientshapeok="t" o:connecttype="rect"/>
              </v:shapetype>
              <v:shape id="Text Box 805" o:spid="_x0000_s1026" type="#_x0000_t202" style="position:absolute;margin-left:0;margin-top:-33.55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3CF4FE3A" w14:textId="77777777" w:rsidR="00C76C1E" w:rsidRPr="00602824" w:rsidRDefault="00C76C1E" w:rsidP="00C76C1E">
                      <w:pPr>
                        <w:rPr>
                          <w:color w:val="808080" w:themeColor="background1" w:themeShade="80"/>
                        </w:rPr>
                      </w:pPr>
                      <w:r w:rsidRPr="00602824">
                        <w:rPr>
                          <w:color w:val="808080" w:themeColor="background1" w:themeShade="80"/>
                        </w:rPr>
                        <w:t>© Nous Group</w:t>
                      </w:r>
                    </w:p>
                  </w:txbxContent>
                </v:textbox>
                <w10:wrap anchorx="margin" anchory="margin"/>
              </v:shape>
            </w:pict>
          </mc:Fallback>
        </mc:AlternateContent>
      </w:r>
      <w:r w:rsidRPr="00602824">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Pr="00602824">
        <w:rPr>
          <w:i/>
          <w:sz w:val="16"/>
          <w:szCs w:val="16"/>
        </w:rPr>
        <w:br w:type="page"/>
      </w:r>
    </w:p>
    <w:p w14:paraId="030E62DA" w14:textId="77777777" w:rsidR="00FD4AB1" w:rsidRPr="00602824" w:rsidRDefault="00FD4AB1" w:rsidP="00C76C1E">
      <w:pPr>
        <w:ind w:right="-1"/>
        <w:rPr>
          <w:sz w:val="16"/>
          <w:szCs w:val="16"/>
        </w:rPr>
        <w:sectPr w:rsidR="00FD4AB1" w:rsidRPr="00602824" w:rsidSect="00F42F09">
          <w:pgSz w:w="11907" w:h="16839" w:code="9"/>
          <w:pgMar w:top="5954" w:right="1418" w:bottom="1701" w:left="1559" w:header="737" w:footer="720" w:gutter="0"/>
          <w:pgNumType w:start="1"/>
          <w:cols w:space="720"/>
          <w:docGrid w:linePitch="360"/>
        </w:sectPr>
      </w:pPr>
    </w:p>
    <w:p w14:paraId="59F2F11A" w14:textId="77777777" w:rsidR="00CF7BA0" w:rsidRPr="00602824" w:rsidRDefault="00CF7BA0" w:rsidP="000424CD">
      <w:pPr>
        <w:pStyle w:val="ContentsHeading"/>
        <w:spacing w:before="0" w:after="360"/>
      </w:pPr>
      <w:r w:rsidRPr="00602824">
        <w:lastRenderedPageBreak/>
        <w:t>Contents</w:t>
      </w:r>
    </w:p>
    <w:p w14:paraId="3DF69AEC" w14:textId="415225E7" w:rsidR="009B481F" w:rsidRDefault="00B658A0">
      <w:pPr>
        <w:pStyle w:val="TOC1"/>
        <w:tabs>
          <w:tab w:val="right" w:leader="dot" w:pos="8920"/>
        </w:tabs>
        <w:rPr>
          <w:rFonts w:asciiTheme="minorHAnsi" w:eastAsiaTheme="minorEastAsia" w:hAnsiTheme="minorHAnsi"/>
          <w:noProof/>
          <w:kern w:val="2"/>
          <w:sz w:val="24"/>
          <w:szCs w:val="24"/>
          <w:lang w:eastAsia="en-AU"/>
          <w14:ligatures w14:val="standardContextual"/>
        </w:rPr>
      </w:pPr>
      <w:r w:rsidRPr="00602824">
        <w:rPr>
          <w:b/>
        </w:rPr>
        <w:fldChar w:fldCharType="begin"/>
      </w:r>
      <w:r w:rsidRPr="00602824">
        <w:rPr>
          <w:b/>
        </w:rPr>
        <w:instrText xml:space="preserve"> TOC \o "1-2" \h \z \u </w:instrText>
      </w:r>
      <w:r w:rsidRPr="00602824">
        <w:rPr>
          <w:b/>
        </w:rPr>
        <w:fldChar w:fldCharType="separate"/>
      </w:r>
      <w:hyperlink w:anchor="_Toc209176962" w:history="1">
        <w:r w:rsidR="009B481F" w:rsidRPr="00D71E8C">
          <w:rPr>
            <w:rStyle w:val="Hyperlink"/>
            <w:noProof/>
          </w:rPr>
          <w:t>Glossary of commonly used terms and acronyms</w:t>
        </w:r>
        <w:r w:rsidR="009B481F">
          <w:rPr>
            <w:noProof/>
            <w:webHidden/>
          </w:rPr>
          <w:tab/>
        </w:r>
        <w:r w:rsidR="009B481F">
          <w:rPr>
            <w:noProof/>
            <w:webHidden/>
          </w:rPr>
          <w:fldChar w:fldCharType="begin"/>
        </w:r>
        <w:r w:rsidR="009B481F">
          <w:rPr>
            <w:noProof/>
            <w:webHidden/>
          </w:rPr>
          <w:instrText xml:space="preserve"> PAGEREF _Toc209176962 \h </w:instrText>
        </w:r>
        <w:r w:rsidR="009B481F">
          <w:rPr>
            <w:noProof/>
            <w:webHidden/>
          </w:rPr>
        </w:r>
        <w:r w:rsidR="009B481F">
          <w:rPr>
            <w:noProof/>
            <w:webHidden/>
          </w:rPr>
          <w:fldChar w:fldCharType="separate"/>
        </w:r>
        <w:r w:rsidR="00D30634">
          <w:rPr>
            <w:noProof/>
            <w:webHidden/>
          </w:rPr>
          <w:t>2</w:t>
        </w:r>
        <w:r w:rsidR="009B481F">
          <w:rPr>
            <w:noProof/>
            <w:webHidden/>
          </w:rPr>
          <w:fldChar w:fldCharType="end"/>
        </w:r>
      </w:hyperlink>
    </w:p>
    <w:p w14:paraId="38A229F3" w14:textId="215C448C" w:rsidR="009B481F" w:rsidRDefault="009B481F">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209176963" w:history="1">
        <w:r w:rsidRPr="00D71E8C">
          <w:rPr>
            <w:rStyle w:val="Hyperlink"/>
            <w:noProof/>
          </w:rPr>
          <w:t>Background on the Prescribed List</w:t>
        </w:r>
        <w:r>
          <w:rPr>
            <w:noProof/>
            <w:webHidden/>
          </w:rPr>
          <w:tab/>
        </w:r>
        <w:r>
          <w:rPr>
            <w:noProof/>
            <w:webHidden/>
          </w:rPr>
          <w:fldChar w:fldCharType="begin"/>
        </w:r>
        <w:r>
          <w:rPr>
            <w:noProof/>
            <w:webHidden/>
          </w:rPr>
          <w:instrText xml:space="preserve"> PAGEREF _Toc209176963 \h </w:instrText>
        </w:r>
        <w:r>
          <w:rPr>
            <w:noProof/>
            <w:webHidden/>
          </w:rPr>
        </w:r>
        <w:r>
          <w:rPr>
            <w:noProof/>
            <w:webHidden/>
          </w:rPr>
          <w:fldChar w:fldCharType="separate"/>
        </w:r>
        <w:r w:rsidR="00D30634">
          <w:rPr>
            <w:noProof/>
            <w:webHidden/>
          </w:rPr>
          <w:t>3</w:t>
        </w:r>
        <w:r>
          <w:rPr>
            <w:noProof/>
            <w:webHidden/>
          </w:rPr>
          <w:fldChar w:fldCharType="end"/>
        </w:r>
      </w:hyperlink>
    </w:p>
    <w:p w14:paraId="40301D6E" w14:textId="03677C8E" w:rsidR="009B481F" w:rsidRDefault="009B481F">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209176964" w:history="1">
        <w:r w:rsidRPr="00D71E8C">
          <w:rPr>
            <w:rStyle w:val="Hyperlink"/>
            <w:noProof/>
          </w:rPr>
          <w:t>Executive summary</w:t>
        </w:r>
        <w:r>
          <w:rPr>
            <w:noProof/>
            <w:webHidden/>
          </w:rPr>
          <w:tab/>
        </w:r>
        <w:r>
          <w:rPr>
            <w:noProof/>
            <w:webHidden/>
          </w:rPr>
          <w:fldChar w:fldCharType="begin"/>
        </w:r>
        <w:r>
          <w:rPr>
            <w:noProof/>
            <w:webHidden/>
          </w:rPr>
          <w:instrText xml:space="preserve"> PAGEREF _Toc209176964 \h </w:instrText>
        </w:r>
        <w:r>
          <w:rPr>
            <w:noProof/>
            <w:webHidden/>
          </w:rPr>
        </w:r>
        <w:r>
          <w:rPr>
            <w:noProof/>
            <w:webHidden/>
          </w:rPr>
          <w:fldChar w:fldCharType="separate"/>
        </w:r>
        <w:r w:rsidR="00D30634">
          <w:rPr>
            <w:noProof/>
            <w:webHidden/>
          </w:rPr>
          <w:t>4</w:t>
        </w:r>
        <w:r>
          <w:rPr>
            <w:noProof/>
            <w:webHidden/>
          </w:rPr>
          <w:fldChar w:fldCharType="end"/>
        </w:r>
      </w:hyperlink>
    </w:p>
    <w:p w14:paraId="10E5C9C0" w14:textId="16EED413" w:rsidR="009B481F" w:rsidRDefault="009B481F">
      <w:pPr>
        <w:pStyle w:val="TOC2"/>
        <w:tabs>
          <w:tab w:val="right" w:leader="dot" w:pos="8920"/>
        </w:tabs>
        <w:rPr>
          <w:rFonts w:asciiTheme="minorHAnsi" w:eastAsiaTheme="minorEastAsia" w:hAnsiTheme="minorHAnsi"/>
          <w:noProof/>
          <w:kern w:val="2"/>
          <w:sz w:val="24"/>
          <w:szCs w:val="24"/>
          <w:lang w:eastAsia="en-AU"/>
          <w14:ligatures w14:val="standardContextual"/>
        </w:rPr>
      </w:pPr>
      <w:hyperlink w:anchor="_Toc209176965" w:history="1">
        <w:r w:rsidRPr="00D71E8C">
          <w:rPr>
            <w:rStyle w:val="Hyperlink"/>
            <w:noProof/>
          </w:rPr>
          <w:t>Current state of the reforms</w:t>
        </w:r>
        <w:r>
          <w:rPr>
            <w:noProof/>
            <w:webHidden/>
          </w:rPr>
          <w:tab/>
        </w:r>
        <w:r>
          <w:rPr>
            <w:noProof/>
            <w:webHidden/>
          </w:rPr>
          <w:fldChar w:fldCharType="begin"/>
        </w:r>
        <w:r>
          <w:rPr>
            <w:noProof/>
            <w:webHidden/>
          </w:rPr>
          <w:instrText xml:space="preserve"> PAGEREF _Toc209176965 \h </w:instrText>
        </w:r>
        <w:r>
          <w:rPr>
            <w:noProof/>
            <w:webHidden/>
          </w:rPr>
        </w:r>
        <w:r>
          <w:rPr>
            <w:noProof/>
            <w:webHidden/>
          </w:rPr>
          <w:fldChar w:fldCharType="separate"/>
        </w:r>
        <w:r w:rsidR="00D30634">
          <w:rPr>
            <w:noProof/>
            <w:webHidden/>
          </w:rPr>
          <w:t>7</w:t>
        </w:r>
        <w:r>
          <w:rPr>
            <w:noProof/>
            <w:webHidden/>
          </w:rPr>
          <w:fldChar w:fldCharType="end"/>
        </w:r>
      </w:hyperlink>
    </w:p>
    <w:p w14:paraId="5A79747C" w14:textId="42014356" w:rsidR="009B481F" w:rsidRDefault="009B481F">
      <w:pPr>
        <w:pStyle w:val="TOC1"/>
        <w:tabs>
          <w:tab w:val="left" w:pos="380"/>
          <w:tab w:val="right" w:leader="dot" w:pos="8920"/>
        </w:tabs>
        <w:rPr>
          <w:rFonts w:asciiTheme="minorHAnsi" w:eastAsiaTheme="minorEastAsia" w:hAnsiTheme="minorHAnsi"/>
          <w:noProof/>
          <w:kern w:val="2"/>
          <w:sz w:val="24"/>
          <w:szCs w:val="24"/>
          <w:lang w:eastAsia="en-AU"/>
          <w14:ligatures w14:val="standardContextual"/>
        </w:rPr>
      </w:pPr>
      <w:hyperlink w:anchor="_Toc209176966" w:history="1">
        <w:r w:rsidRPr="00D71E8C">
          <w:rPr>
            <w:rStyle w:val="Hyperlink"/>
            <w:noProof/>
          </w:rPr>
          <w:t>1</w:t>
        </w:r>
        <w:r>
          <w:rPr>
            <w:rFonts w:asciiTheme="minorHAnsi" w:eastAsiaTheme="minorEastAsia" w:hAnsiTheme="minorHAnsi"/>
            <w:noProof/>
            <w:kern w:val="2"/>
            <w:sz w:val="24"/>
            <w:szCs w:val="24"/>
            <w:lang w:eastAsia="en-AU"/>
            <w14:ligatures w14:val="standardContextual"/>
          </w:rPr>
          <w:tab/>
        </w:r>
        <w:r w:rsidRPr="00D71E8C">
          <w:rPr>
            <w:rStyle w:val="Hyperlink"/>
            <w:noProof/>
          </w:rPr>
          <w:t>About this Report</w:t>
        </w:r>
        <w:r>
          <w:rPr>
            <w:noProof/>
            <w:webHidden/>
          </w:rPr>
          <w:tab/>
        </w:r>
        <w:r>
          <w:rPr>
            <w:noProof/>
            <w:webHidden/>
          </w:rPr>
          <w:fldChar w:fldCharType="begin"/>
        </w:r>
        <w:r>
          <w:rPr>
            <w:noProof/>
            <w:webHidden/>
          </w:rPr>
          <w:instrText xml:space="preserve"> PAGEREF _Toc209176966 \h </w:instrText>
        </w:r>
        <w:r>
          <w:rPr>
            <w:noProof/>
            <w:webHidden/>
          </w:rPr>
        </w:r>
        <w:r>
          <w:rPr>
            <w:noProof/>
            <w:webHidden/>
          </w:rPr>
          <w:fldChar w:fldCharType="separate"/>
        </w:r>
        <w:r w:rsidR="00D30634">
          <w:rPr>
            <w:noProof/>
            <w:webHidden/>
          </w:rPr>
          <w:t>11</w:t>
        </w:r>
        <w:r>
          <w:rPr>
            <w:noProof/>
            <w:webHidden/>
          </w:rPr>
          <w:fldChar w:fldCharType="end"/>
        </w:r>
      </w:hyperlink>
    </w:p>
    <w:p w14:paraId="0076998F" w14:textId="0498B38C" w:rsidR="009B481F" w:rsidRDefault="009B481F">
      <w:pPr>
        <w:pStyle w:val="TOC1"/>
        <w:tabs>
          <w:tab w:val="left" w:pos="380"/>
          <w:tab w:val="right" w:leader="dot" w:pos="8920"/>
        </w:tabs>
        <w:rPr>
          <w:rFonts w:asciiTheme="minorHAnsi" w:eastAsiaTheme="minorEastAsia" w:hAnsiTheme="minorHAnsi"/>
          <w:noProof/>
          <w:kern w:val="2"/>
          <w:sz w:val="24"/>
          <w:szCs w:val="24"/>
          <w:lang w:eastAsia="en-AU"/>
          <w14:ligatures w14:val="standardContextual"/>
        </w:rPr>
      </w:pPr>
      <w:hyperlink w:anchor="_Toc209176967" w:history="1">
        <w:r w:rsidRPr="00D71E8C">
          <w:rPr>
            <w:rStyle w:val="Hyperlink"/>
            <w:noProof/>
          </w:rPr>
          <w:t>2</w:t>
        </w:r>
        <w:r>
          <w:rPr>
            <w:rFonts w:asciiTheme="minorHAnsi" w:eastAsiaTheme="minorEastAsia" w:hAnsiTheme="minorHAnsi"/>
            <w:noProof/>
            <w:kern w:val="2"/>
            <w:sz w:val="24"/>
            <w:szCs w:val="24"/>
            <w:lang w:eastAsia="en-AU"/>
            <w14:ligatures w14:val="standardContextual"/>
          </w:rPr>
          <w:tab/>
        </w:r>
        <w:r w:rsidRPr="00D71E8C">
          <w:rPr>
            <w:rStyle w:val="Hyperlink"/>
            <w:noProof/>
          </w:rPr>
          <w:t xml:space="preserve">Findings of </w:t>
        </w:r>
        <w:r w:rsidRPr="00D71E8C">
          <w:rPr>
            <w:rStyle w:val="Hyperlink"/>
            <w:i/>
            <w:iCs/>
            <w:noProof/>
          </w:rPr>
          <w:t>Interim Evaluation #2</w:t>
        </w:r>
        <w:r w:rsidRPr="00D71E8C">
          <w:rPr>
            <w:rStyle w:val="Hyperlink"/>
            <w:noProof/>
          </w:rPr>
          <w:t xml:space="preserve"> report</w:t>
        </w:r>
        <w:r>
          <w:rPr>
            <w:noProof/>
            <w:webHidden/>
          </w:rPr>
          <w:tab/>
        </w:r>
        <w:r>
          <w:rPr>
            <w:noProof/>
            <w:webHidden/>
          </w:rPr>
          <w:fldChar w:fldCharType="begin"/>
        </w:r>
        <w:r>
          <w:rPr>
            <w:noProof/>
            <w:webHidden/>
          </w:rPr>
          <w:instrText xml:space="preserve"> PAGEREF _Toc209176967 \h </w:instrText>
        </w:r>
        <w:r>
          <w:rPr>
            <w:noProof/>
            <w:webHidden/>
          </w:rPr>
        </w:r>
        <w:r>
          <w:rPr>
            <w:noProof/>
            <w:webHidden/>
          </w:rPr>
          <w:fldChar w:fldCharType="separate"/>
        </w:r>
        <w:r w:rsidR="00D30634">
          <w:rPr>
            <w:noProof/>
            <w:webHidden/>
          </w:rPr>
          <w:t>13</w:t>
        </w:r>
        <w:r>
          <w:rPr>
            <w:noProof/>
            <w:webHidden/>
          </w:rPr>
          <w:fldChar w:fldCharType="end"/>
        </w:r>
      </w:hyperlink>
    </w:p>
    <w:p w14:paraId="60EDB4A0" w14:textId="5894D42D"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68" w:history="1">
        <w:r w:rsidRPr="00D71E8C">
          <w:rPr>
            <w:rStyle w:val="Hyperlink"/>
            <w:noProof/>
          </w:rPr>
          <w:t>2.1</w:t>
        </w:r>
        <w:r>
          <w:rPr>
            <w:rFonts w:asciiTheme="minorHAnsi" w:eastAsiaTheme="minorEastAsia" w:hAnsiTheme="minorHAnsi"/>
            <w:noProof/>
            <w:kern w:val="2"/>
            <w:sz w:val="24"/>
            <w:szCs w:val="24"/>
            <w:lang w:eastAsia="en-AU"/>
            <w14:ligatures w14:val="standardContextual"/>
          </w:rPr>
          <w:tab/>
        </w:r>
        <w:r w:rsidRPr="00D71E8C">
          <w:rPr>
            <w:rStyle w:val="Hyperlink"/>
            <w:noProof/>
          </w:rPr>
          <w:t>Objective 1: Improve the alignment of the scheduled benefits of the PL with the prices paid in more competitive markets</w:t>
        </w:r>
        <w:r>
          <w:rPr>
            <w:noProof/>
            <w:webHidden/>
          </w:rPr>
          <w:tab/>
        </w:r>
        <w:r>
          <w:rPr>
            <w:noProof/>
            <w:webHidden/>
          </w:rPr>
          <w:fldChar w:fldCharType="begin"/>
        </w:r>
        <w:r>
          <w:rPr>
            <w:noProof/>
            <w:webHidden/>
          </w:rPr>
          <w:instrText xml:space="preserve"> PAGEREF _Toc209176968 \h </w:instrText>
        </w:r>
        <w:r>
          <w:rPr>
            <w:noProof/>
            <w:webHidden/>
          </w:rPr>
        </w:r>
        <w:r>
          <w:rPr>
            <w:noProof/>
            <w:webHidden/>
          </w:rPr>
          <w:fldChar w:fldCharType="separate"/>
        </w:r>
        <w:r w:rsidR="00D30634">
          <w:rPr>
            <w:noProof/>
            <w:webHidden/>
          </w:rPr>
          <w:t>14</w:t>
        </w:r>
        <w:r>
          <w:rPr>
            <w:noProof/>
            <w:webHidden/>
          </w:rPr>
          <w:fldChar w:fldCharType="end"/>
        </w:r>
      </w:hyperlink>
    </w:p>
    <w:p w14:paraId="1A374861" w14:textId="73D8A6D4"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69" w:history="1">
        <w:r w:rsidRPr="00D71E8C">
          <w:rPr>
            <w:rStyle w:val="Hyperlink"/>
            <w:noProof/>
          </w:rPr>
          <w:t>2.2</w:t>
        </w:r>
        <w:r>
          <w:rPr>
            <w:rFonts w:asciiTheme="minorHAnsi" w:eastAsiaTheme="minorEastAsia" w:hAnsiTheme="minorHAnsi"/>
            <w:noProof/>
            <w:kern w:val="2"/>
            <w:sz w:val="24"/>
            <w:szCs w:val="24"/>
            <w:lang w:eastAsia="en-AU"/>
            <w14:ligatures w14:val="standardContextual"/>
          </w:rPr>
          <w:tab/>
        </w:r>
        <w:r w:rsidRPr="00D71E8C">
          <w:rPr>
            <w:rStyle w:val="Hyperlink"/>
            <w:noProof/>
          </w:rPr>
          <w:t>Objective 2: Maintain no additional out-of-pocket costs associated with the PL devices for consumers</w:t>
        </w:r>
        <w:r>
          <w:rPr>
            <w:noProof/>
            <w:webHidden/>
          </w:rPr>
          <w:tab/>
        </w:r>
        <w:r>
          <w:rPr>
            <w:noProof/>
            <w:webHidden/>
          </w:rPr>
          <w:fldChar w:fldCharType="begin"/>
        </w:r>
        <w:r>
          <w:rPr>
            <w:noProof/>
            <w:webHidden/>
          </w:rPr>
          <w:instrText xml:space="preserve"> PAGEREF _Toc209176969 \h </w:instrText>
        </w:r>
        <w:r>
          <w:rPr>
            <w:noProof/>
            <w:webHidden/>
          </w:rPr>
        </w:r>
        <w:r>
          <w:rPr>
            <w:noProof/>
            <w:webHidden/>
          </w:rPr>
          <w:fldChar w:fldCharType="separate"/>
        </w:r>
        <w:r w:rsidR="00D30634">
          <w:rPr>
            <w:noProof/>
            <w:webHidden/>
          </w:rPr>
          <w:t>24</w:t>
        </w:r>
        <w:r>
          <w:rPr>
            <w:noProof/>
            <w:webHidden/>
          </w:rPr>
          <w:fldChar w:fldCharType="end"/>
        </w:r>
      </w:hyperlink>
    </w:p>
    <w:p w14:paraId="55E05F8B" w14:textId="61E5D596"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70" w:history="1">
        <w:r w:rsidRPr="00D71E8C">
          <w:rPr>
            <w:rStyle w:val="Hyperlink"/>
            <w:noProof/>
          </w:rPr>
          <w:t>2.3</w:t>
        </w:r>
        <w:r>
          <w:rPr>
            <w:rFonts w:asciiTheme="minorHAnsi" w:eastAsiaTheme="minorEastAsia" w:hAnsiTheme="minorHAnsi"/>
            <w:noProof/>
            <w:kern w:val="2"/>
            <w:sz w:val="24"/>
            <w:szCs w:val="24"/>
            <w:lang w:eastAsia="en-AU"/>
            <w14:ligatures w14:val="standardContextual"/>
          </w:rPr>
          <w:tab/>
        </w:r>
        <w:r w:rsidRPr="00D71E8C">
          <w:rPr>
            <w:rStyle w:val="Hyperlink"/>
            <w:noProof/>
          </w:rPr>
          <w:t>Objective 3: Maintain clinician choice of appropriate prostheses for their patients</w:t>
        </w:r>
        <w:r>
          <w:rPr>
            <w:noProof/>
            <w:webHidden/>
          </w:rPr>
          <w:tab/>
        </w:r>
        <w:r>
          <w:rPr>
            <w:noProof/>
            <w:webHidden/>
          </w:rPr>
          <w:fldChar w:fldCharType="begin"/>
        </w:r>
        <w:r>
          <w:rPr>
            <w:noProof/>
            <w:webHidden/>
          </w:rPr>
          <w:instrText xml:space="preserve"> PAGEREF _Toc209176970 \h </w:instrText>
        </w:r>
        <w:r>
          <w:rPr>
            <w:noProof/>
            <w:webHidden/>
          </w:rPr>
        </w:r>
        <w:r>
          <w:rPr>
            <w:noProof/>
            <w:webHidden/>
          </w:rPr>
          <w:fldChar w:fldCharType="separate"/>
        </w:r>
        <w:r w:rsidR="00D30634">
          <w:rPr>
            <w:noProof/>
            <w:webHidden/>
          </w:rPr>
          <w:t>28</w:t>
        </w:r>
        <w:r>
          <w:rPr>
            <w:noProof/>
            <w:webHidden/>
          </w:rPr>
          <w:fldChar w:fldCharType="end"/>
        </w:r>
      </w:hyperlink>
    </w:p>
    <w:p w14:paraId="1BBE3B14" w14:textId="3182F159"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71" w:history="1">
        <w:r w:rsidRPr="00D71E8C">
          <w:rPr>
            <w:rStyle w:val="Hyperlink"/>
            <w:noProof/>
          </w:rPr>
          <w:t>2.4</w:t>
        </w:r>
        <w:r>
          <w:rPr>
            <w:rFonts w:asciiTheme="minorHAnsi" w:eastAsiaTheme="minorEastAsia" w:hAnsiTheme="minorHAnsi"/>
            <w:noProof/>
            <w:kern w:val="2"/>
            <w:sz w:val="24"/>
            <w:szCs w:val="24"/>
            <w:lang w:eastAsia="en-AU"/>
            <w14:ligatures w14:val="standardContextual"/>
          </w:rPr>
          <w:tab/>
        </w:r>
        <w:r w:rsidRPr="00D71E8C">
          <w:rPr>
            <w:rStyle w:val="Hyperlink"/>
            <w:noProof/>
          </w:rPr>
          <w:t>Objective 4: Improve the affordability and value of PHI for privately insured Australians</w:t>
        </w:r>
        <w:r>
          <w:rPr>
            <w:noProof/>
            <w:webHidden/>
          </w:rPr>
          <w:tab/>
        </w:r>
        <w:r>
          <w:rPr>
            <w:noProof/>
            <w:webHidden/>
          </w:rPr>
          <w:fldChar w:fldCharType="begin"/>
        </w:r>
        <w:r>
          <w:rPr>
            <w:noProof/>
            <w:webHidden/>
          </w:rPr>
          <w:instrText xml:space="preserve"> PAGEREF _Toc209176971 \h </w:instrText>
        </w:r>
        <w:r>
          <w:rPr>
            <w:noProof/>
            <w:webHidden/>
          </w:rPr>
        </w:r>
        <w:r>
          <w:rPr>
            <w:noProof/>
            <w:webHidden/>
          </w:rPr>
          <w:fldChar w:fldCharType="separate"/>
        </w:r>
        <w:r w:rsidR="00D30634">
          <w:rPr>
            <w:noProof/>
            <w:webHidden/>
          </w:rPr>
          <w:t>31</w:t>
        </w:r>
        <w:r>
          <w:rPr>
            <w:noProof/>
            <w:webHidden/>
          </w:rPr>
          <w:fldChar w:fldCharType="end"/>
        </w:r>
      </w:hyperlink>
    </w:p>
    <w:p w14:paraId="6BED3119" w14:textId="2D87DFCB"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72" w:history="1">
        <w:r w:rsidRPr="00D71E8C">
          <w:rPr>
            <w:rStyle w:val="Hyperlink"/>
            <w:noProof/>
          </w:rPr>
          <w:t>2.5</w:t>
        </w:r>
        <w:r>
          <w:rPr>
            <w:rFonts w:asciiTheme="minorHAnsi" w:eastAsiaTheme="minorEastAsia" w:hAnsiTheme="minorHAnsi"/>
            <w:noProof/>
            <w:kern w:val="2"/>
            <w:sz w:val="24"/>
            <w:szCs w:val="24"/>
            <w:lang w:eastAsia="en-AU"/>
            <w14:ligatures w14:val="standardContextual"/>
          </w:rPr>
          <w:tab/>
        </w:r>
        <w:r w:rsidRPr="00D71E8C">
          <w:rPr>
            <w:rStyle w:val="Hyperlink"/>
            <w:noProof/>
          </w:rPr>
          <w:t>Objective 5: Clarify the purpose, definition and scope of the PL in legislation</w:t>
        </w:r>
        <w:r>
          <w:rPr>
            <w:noProof/>
            <w:webHidden/>
          </w:rPr>
          <w:tab/>
        </w:r>
        <w:r>
          <w:rPr>
            <w:noProof/>
            <w:webHidden/>
          </w:rPr>
          <w:fldChar w:fldCharType="begin"/>
        </w:r>
        <w:r>
          <w:rPr>
            <w:noProof/>
            <w:webHidden/>
          </w:rPr>
          <w:instrText xml:space="preserve"> PAGEREF _Toc209176972 \h </w:instrText>
        </w:r>
        <w:r>
          <w:rPr>
            <w:noProof/>
            <w:webHidden/>
          </w:rPr>
        </w:r>
        <w:r>
          <w:rPr>
            <w:noProof/>
            <w:webHidden/>
          </w:rPr>
          <w:fldChar w:fldCharType="separate"/>
        </w:r>
        <w:r w:rsidR="00D30634">
          <w:rPr>
            <w:noProof/>
            <w:webHidden/>
          </w:rPr>
          <w:t>39</w:t>
        </w:r>
        <w:r>
          <w:rPr>
            <w:noProof/>
            <w:webHidden/>
          </w:rPr>
          <w:fldChar w:fldCharType="end"/>
        </w:r>
      </w:hyperlink>
    </w:p>
    <w:p w14:paraId="05818D30" w14:textId="536AF6B1"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73" w:history="1">
        <w:r w:rsidRPr="00D71E8C">
          <w:rPr>
            <w:rStyle w:val="Hyperlink"/>
            <w:noProof/>
          </w:rPr>
          <w:t>2.6</w:t>
        </w:r>
        <w:r>
          <w:rPr>
            <w:rFonts w:asciiTheme="minorHAnsi" w:eastAsiaTheme="minorEastAsia" w:hAnsiTheme="minorHAnsi"/>
            <w:noProof/>
            <w:kern w:val="2"/>
            <w:sz w:val="24"/>
            <w:szCs w:val="24"/>
            <w:lang w:eastAsia="en-AU"/>
            <w14:ligatures w14:val="standardContextual"/>
          </w:rPr>
          <w:tab/>
        </w:r>
        <w:r w:rsidRPr="00D71E8C">
          <w:rPr>
            <w:rStyle w:val="Hyperlink"/>
            <w:noProof/>
          </w:rPr>
          <w:t>Objective 6: Implement new PL assessment pathways aligned to Health Technology Assessment principles and streamline the application process through simple and robust IT infrastructure</w:t>
        </w:r>
        <w:r>
          <w:rPr>
            <w:noProof/>
            <w:webHidden/>
          </w:rPr>
          <w:tab/>
        </w:r>
        <w:r>
          <w:rPr>
            <w:noProof/>
            <w:webHidden/>
          </w:rPr>
          <w:fldChar w:fldCharType="begin"/>
        </w:r>
        <w:r>
          <w:rPr>
            <w:noProof/>
            <w:webHidden/>
          </w:rPr>
          <w:instrText xml:space="preserve"> PAGEREF _Toc209176973 \h </w:instrText>
        </w:r>
        <w:r>
          <w:rPr>
            <w:noProof/>
            <w:webHidden/>
          </w:rPr>
        </w:r>
        <w:r>
          <w:rPr>
            <w:noProof/>
            <w:webHidden/>
          </w:rPr>
          <w:fldChar w:fldCharType="separate"/>
        </w:r>
        <w:r w:rsidR="00D30634">
          <w:rPr>
            <w:noProof/>
            <w:webHidden/>
          </w:rPr>
          <w:t>49</w:t>
        </w:r>
        <w:r>
          <w:rPr>
            <w:noProof/>
            <w:webHidden/>
          </w:rPr>
          <w:fldChar w:fldCharType="end"/>
        </w:r>
      </w:hyperlink>
    </w:p>
    <w:p w14:paraId="56121CB7" w14:textId="55133064"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74" w:history="1">
        <w:r w:rsidRPr="00D71E8C">
          <w:rPr>
            <w:rStyle w:val="Hyperlink"/>
            <w:noProof/>
          </w:rPr>
          <w:t>2.7</w:t>
        </w:r>
        <w:r>
          <w:rPr>
            <w:rFonts w:asciiTheme="minorHAnsi" w:eastAsiaTheme="minorEastAsia" w:hAnsiTheme="minorHAnsi"/>
            <w:noProof/>
            <w:kern w:val="2"/>
            <w:sz w:val="24"/>
            <w:szCs w:val="24"/>
            <w:lang w:eastAsia="en-AU"/>
            <w14:ligatures w14:val="standardContextual"/>
          </w:rPr>
          <w:tab/>
        </w:r>
        <w:r w:rsidRPr="00D71E8C">
          <w:rPr>
            <w:rStyle w:val="Hyperlink"/>
            <w:noProof/>
          </w:rPr>
          <w:t>Objective 7: Develop and implement PL post-listing reviews and PL compliance frameworks to safeguard the PL Reforms</w:t>
        </w:r>
        <w:r>
          <w:rPr>
            <w:noProof/>
            <w:webHidden/>
          </w:rPr>
          <w:tab/>
        </w:r>
        <w:r>
          <w:rPr>
            <w:noProof/>
            <w:webHidden/>
          </w:rPr>
          <w:fldChar w:fldCharType="begin"/>
        </w:r>
        <w:r>
          <w:rPr>
            <w:noProof/>
            <w:webHidden/>
          </w:rPr>
          <w:instrText xml:space="preserve"> PAGEREF _Toc209176974 \h </w:instrText>
        </w:r>
        <w:r>
          <w:rPr>
            <w:noProof/>
            <w:webHidden/>
          </w:rPr>
        </w:r>
        <w:r>
          <w:rPr>
            <w:noProof/>
            <w:webHidden/>
          </w:rPr>
          <w:fldChar w:fldCharType="separate"/>
        </w:r>
        <w:r w:rsidR="00D30634">
          <w:rPr>
            <w:noProof/>
            <w:webHidden/>
          </w:rPr>
          <w:t>57</w:t>
        </w:r>
        <w:r>
          <w:rPr>
            <w:noProof/>
            <w:webHidden/>
          </w:rPr>
          <w:fldChar w:fldCharType="end"/>
        </w:r>
      </w:hyperlink>
    </w:p>
    <w:p w14:paraId="0FE46DC1" w14:textId="5D4687DA"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75" w:history="1">
        <w:r w:rsidRPr="00D71E8C">
          <w:rPr>
            <w:rStyle w:val="Hyperlink"/>
            <w:noProof/>
          </w:rPr>
          <w:t>2.8</w:t>
        </w:r>
        <w:r>
          <w:rPr>
            <w:rFonts w:asciiTheme="minorHAnsi" w:eastAsiaTheme="minorEastAsia" w:hAnsiTheme="minorHAnsi"/>
            <w:noProof/>
            <w:kern w:val="2"/>
            <w:sz w:val="24"/>
            <w:szCs w:val="24"/>
            <w:lang w:eastAsia="en-AU"/>
            <w14:ligatures w14:val="standardContextual"/>
          </w:rPr>
          <w:tab/>
        </w:r>
        <w:r w:rsidRPr="00D71E8C">
          <w:rPr>
            <w:rStyle w:val="Hyperlink"/>
            <w:noProof/>
          </w:rPr>
          <w:t>Objective 8: Ensure ongoing financial sustainability of PL administration through effective and efficient cost recovery arrangements that are compliant with the AGCF</w:t>
        </w:r>
        <w:r>
          <w:rPr>
            <w:noProof/>
            <w:webHidden/>
          </w:rPr>
          <w:tab/>
        </w:r>
        <w:r>
          <w:rPr>
            <w:noProof/>
            <w:webHidden/>
          </w:rPr>
          <w:fldChar w:fldCharType="begin"/>
        </w:r>
        <w:r>
          <w:rPr>
            <w:noProof/>
            <w:webHidden/>
          </w:rPr>
          <w:instrText xml:space="preserve"> PAGEREF _Toc209176975 \h </w:instrText>
        </w:r>
        <w:r>
          <w:rPr>
            <w:noProof/>
            <w:webHidden/>
          </w:rPr>
        </w:r>
        <w:r>
          <w:rPr>
            <w:noProof/>
            <w:webHidden/>
          </w:rPr>
          <w:fldChar w:fldCharType="separate"/>
        </w:r>
        <w:r w:rsidR="00D30634">
          <w:rPr>
            <w:noProof/>
            <w:webHidden/>
          </w:rPr>
          <w:t>66</w:t>
        </w:r>
        <w:r>
          <w:rPr>
            <w:noProof/>
            <w:webHidden/>
          </w:rPr>
          <w:fldChar w:fldCharType="end"/>
        </w:r>
      </w:hyperlink>
    </w:p>
    <w:p w14:paraId="49532D59" w14:textId="4438113E" w:rsidR="009B481F" w:rsidRDefault="009B481F">
      <w:pPr>
        <w:pStyle w:val="TOC1"/>
        <w:tabs>
          <w:tab w:val="left" w:pos="1440"/>
          <w:tab w:val="right" w:leader="dot" w:pos="8920"/>
        </w:tabs>
        <w:rPr>
          <w:rFonts w:asciiTheme="minorHAnsi" w:eastAsiaTheme="minorEastAsia" w:hAnsiTheme="minorHAnsi"/>
          <w:noProof/>
          <w:kern w:val="2"/>
          <w:sz w:val="24"/>
          <w:szCs w:val="24"/>
          <w:lang w:eastAsia="en-AU"/>
          <w14:ligatures w14:val="standardContextual"/>
        </w:rPr>
      </w:pPr>
      <w:hyperlink w:anchor="_Toc209176976" w:history="1">
        <w:r w:rsidRPr="00D71E8C">
          <w:rPr>
            <w:rStyle w:val="Hyperlink"/>
            <w:noProof/>
          </w:rPr>
          <w:t>Appendix A</w:t>
        </w:r>
        <w:r>
          <w:rPr>
            <w:rFonts w:asciiTheme="minorHAnsi" w:eastAsiaTheme="minorEastAsia" w:hAnsiTheme="minorHAnsi"/>
            <w:noProof/>
            <w:kern w:val="2"/>
            <w:sz w:val="24"/>
            <w:szCs w:val="24"/>
            <w:lang w:eastAsia="en-AU"/>
            <w14:ligatures w14:val="standardContextual"/>
          </w:rPr>
          <w:tab/>
        </w:r>
        <w:r w:rsidRPr="00D71E8C">
          <w:rPr>
            <w:rStyle w:val="Hyperlink"/>
            <w:noProof/>
          </w:rPr>
          <w:t>Methodology</w:t>
        </w:r>
        <w:r>
          <w:rPr>
            <w:noProof/>
            <w:webHidden/>
          </w:rPr>
          <w:tab/>
        </w:r>
        <w:r>
          <w:rPr>
            <w:noProof/>
            <w:webHidden/>
          </w:rPr>
          <w:fldChar w:fldCharType="begin"/>
        </w:r>
        <w:r>
          <w:rPr>
            <w:noProof/>
            <w:webHidden/>
          </w:rPr>
          <w:instrText xml:space="preserve"> PAGEREF _Toc209176976 \h </w:instrText>
        </w:r>
        <w:r>
          <w:rPr>
            <w:noProof/>
            <w:webHidden/>
          </w:rPr>
        </w:r>
        <w:r>
          <w:rPr>
            <w:noProof/>
            <w:webHidden/>
          </w:rPr>
          <w:fldChar w:fldCharType="separate"/>
        </w:r>
        <w:r w:rsidR="00D30634">
          <w:rPr>
            <w:noProof/>
            <w:webHidden/>
          </w:rPr>
          <w:t>70</w:t>
        </w:r>
        <w:r>
          <w:rPr>
            <w:noProof/>
            <w:webHidden/>
          </w:rPr>
          <w:fldChar w:fldCharType="end"/>
        </w:r>
      </w:hyperlink>
    </w:p>
    <w:p w14:paraId="16FF9DEE" w14:textId="5EAE72DA"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77" w:history="1">
        <w:r w:rsidRPr="00D71E8C">
          <w:rPr>
            <w:rStyle w:val="Hyperlink"/>
            <w:noProof/>
          </w:rPr>
          <w:t>A.1</w:t>
        </w:r>
        <w:r>
          <w:rPr>
            <w:rFonts w:asciiTheme="minorHAnsi" w:eastAsiaTheme="minorEastAsia" w:hAnsiTheme="minorHAnsi"/>
            <w:noProof/>
            <w:kern w:val="2"/>
            <w:sz w:val="24"/>
            <w:szCs w:val="24"/>
            <w:lang w:eastAsia="en-AU"/>
            <w14:ligatures w14:val="standardContextual"/>
          </w:rPr>
          <w:tab/>
        </w:r>
        <w:r w:rsidRPr="00D71E8C">
          <w:rPr>
            <w:rStyle w:val="Hyperlink"/>
            <w:noProof/>
          </w:rPr>
          <w:t>Purpose and key objectives</w:t>
        </w:r>
        <w:r>
          <w:rPr>
            <w:noProof/>
            <w:webHidden/>
          </w:rPr>
          <w:tab/>
        </w:r>
        <w:r>
          <w:rPr>
            <w:noProof/>
            <w:webHidden/>
          </w:rPr>
          <w:fldChar w:fldCharType="begin"/>
        </w:r>
        <w:r>
          <w:rPr>
            <w:noProof/>
            <w:webHidden/>
          </w:rPr>
          <w:instrText xml:space="preserve"> PAGEREF _Toc209176977 \h </w:instrText>
        </w:r>
        <w:r>
          <w:rPr>
            <w:noProof/>
            <w:webHidden/>
          </w:rPr>
        </w:r>
        <w:r>
          <w:rPr>
            <w:noProof/>
            <w:webHidden/>
          </w:rPr>
          <w:fldChar w:fldCharType="separate"/>
        </w:r>
        <w:r w:rsidR="00D30634">
          <w:rPr>
            <w:noProof/>
            <w:webHidden/>
          </w:rPr>
          <w:t>70</w:t>
        </w:r>
        <w:r>
          <w:rPr>
            <w:noProof/>
            <w:webHidden/>
          </w:rPr>
          <w:fldChar w:fldCharType="end"/>
        </w:r>
      </w:hyperlink>
    </w:p>
    <w:p w14:paraId="675A6AD5" w14:textId="6F25D385"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78" w:history="1">
        <w:r w:rsidRPr="00D71E8C">
          <w:rPr>
            <w:rStyle w:val="Hyperlink"/>
            <w:noProof/>
          </w:rPr>
          <w:t>A.2</w:t>
        </w:r>
        <w:r>
          <w:rPr>
            <w:rFonts w:asciiTheme="minorHAnsi" w:eastAsiaTheme="minorEastAsia" w:hAnsiTheme="minorHAnsi"/>
            <w:noProof/>
            <w:kern w:val="2"/>
            <w:sz w:val="24"/>
            <w:szCs w:val="24"/>
            <w:lang w:eastAsia="en-AU"/>
            <w14:ligatures w14:val="standardContextual"/>
          </w:rPr>
          <w:tab/>
        </w:r>
        <w:r w:rsidRPr="00D71E8C">
          <w:rPr>
            <w:rStyle w:val="Hyperlink"/>
            <w:noProof/>
          </w:rPr>
          <w:t>Evaluation plan and theory of change</w:t>
        </w:r>
        <w:r>
          <w:rPr>
            <w:noProof/>
            <w:webHidden/>
          </w:rPr>
          <w:tab/>
        </w:r>
        <w:r>
          <w:rPr>
            <w:noProof/>
            <w:webHidden/>
          </w:rPr>
          <w:fldChar w:fldCharType="begin"/>
        </w:r>
        <w:r>
          <w:rPr>
            <w:noProof/>
            <w:webHidden/>
          </w:rPr>
          <w:instrText xml:space="preserve"> PAGEREF _Toc209176978 \h </w:instrText>
        </w:r>
        <w:r>
          <w:rPr>
            <w:noProof/>
            <w:webHidden/>
          </w:rPr>
        </w:r>
        <w:r>
          <w:rPr>
            <w:noProof/>
            <w:webHidden/>
          </w:rPr>
          <w:fldChar w:fldCharType="separate"/>
        </w:r>
        <w:r w:rsidR="00D30634">
          <w:rPr>
            <w:noProof/>
            <w:webHidden/>
          </w:rPr>
          <w:t>70</w:t>
        </w:r>
        <w:r>
          <w:rPr>
            <w:noProof/>
            <w:webHidden/>
          </w:rPr>
          <w:fldChar w:fldCharType="end"/>
        </w:r>
      </w:hyperlink>
    </w:p>
    <w:p w14:paraId="12C15023" w14:textId="767AB15B"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79" w:history="1">
        <w:r w:rsidRPr="00D71E8C">
          <w:rPr>
            <w:rStyle w:val="Hyperlink"/>
            <w:noProof/>
          </w:rPr>
          <w:t>A.3</w:t>
        </w:r>
        <w:r>
          <w:rPr>
            <w:rFonts w:asciiTheme="minorHAnsi" w:eastAsiaTheme="minorEastAsia" w:hAnsiTheme="minorHAnsi"/>
            <w:noProof/>
            <w:kern w:val="2"/>
            <w:sz w:val="24"/>
            <w:szCs w:val="24"/>
            <w:lang w:eastAsia="en-AU"/>
            <w14:ligatures w14:val="standardContextual"/>
          </w:rPr>
          <w:tab/>
        </w:r>
        <w:r w:rsidRPr="00D71E8C">
          <w:rPr>
            <w:rStyle w:val="Hyperlink"/>
            <w:noProof/>
          </w:rPr>
          <w:t>Overall approach and KEQs</w:t>
        </w:r>
        <w:r>
          <w:rPr>
            <w:noProof/>
            <w:webHidden/>
          </w:rPr>
          <w:tab/>
        </w:r>
        <w:r>
          <w:rPr>
            <w:noProof/>
            <w:webHidden/>
          </w:rPr>
          <w:fldChar w:fldCharType="begin"/>
        </w:r>
        <w:r>
          <w:rPr>
            <w:noProof/>
            <w:webHidden/>
          </w:rPr>
          <w:instrText xml:space="preserve"> PAGEREF _Toc209176979 \h </w:instrText>
        </w:r>
        <w:r>
          <w:rPr>
            <w:noProof/>
            <w:webHidden/>
          </w:rPr>
        </w:r>
        <w:r>
          <w:rPr>
            <w:noProof/>
            <w:webHidden/>
          </w:rPr>
          <w:fldChar w:fldCharType="separate"/>
        </w:r>
        <w:r w:rsidR="00D30634">
          <w:rPr>
            <w:noProof/>
            <w:webHidden/>
          </w:rPr>
          <w:t>74</w:t>
        </w:r>
        <w:r>
          <w:rPr>
            <w:noProof/>
            <w:webHidden/>
          </w:rPr>
          <w:fldChar w:fldCharType="end"/>
        </w:r>
      </w:hyperlink>
    </w:p>
    <w:p w14:paraId="1D2C11A1" w14:textId="1045FF8B"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80" w:history="1">
        <w:r w:rsidRPr="00D71E8C">
          <w:rPr>
            <w:rStyle w:val="Hyperlink"/>
            <w:noProof/>
          </w:rPr>
          <w:t>A.4</w:t>
        </w:r>
        <w:r>
          <w:rPr>
            <w:rFonts w:asciiTheme="minorHAnsi" w:eastAsiaTheme="minorEastAsia" w:hAnsiTheme="minorHAnsi"/>
            <w:noProof/>
            <w:kern w:val="2"/>
            <w:sz w:val="24"/>
            <w:szCs w:val="24"/>
            <w:lang w:eastAsia="en-AU"/>
            <w14:ligatures w14:val="standardContextual"/>
          </w:rPr>
          <w:tab/>
        </w:r>
        <w:r w:rsidRPr="00D71E8C">
          <w:rPr>
            <w:rStyle w:val="Hyperlink"/>
            <w:noProof/>
          </w:rPr>
          <w:t>Approach to data collection and engagement</w:t>
        </w:r>
        <w:r>
          <w:rPr>
            <w:noProof/>
            <w:webHidden/>
          </w:rPr>
          <w:tab/>
        </w:r>
        <w:r>
          <w:rPr>
            <w:noProof/>
            <w:webHidden/>
          </w:rPr>
          <w:fldChar w:fldCharType="begin"/>
        </w:r>
        <w:r>
          <w:rPr>
            <w:noProof/>
            <w:webHidden/>
          </w:rPr>
          <w:instrText xml:space="preserve"> PAGEREF _Toc209176980 \h </w:instrText>
        </w:r>
        <w:r>
          <w:rPr>
            <w:noProof/>
            <w:webHidden/>
          </w:rPr>
        </w:r>
        <w:r>
          <w:rPr>
            <w:noProof/>
            <w:webHidden/>
          </w:rPr>
          <w:fldChar w:fldCharType="separate"/>
        </w:r>
        <w:r w:rsidR="00D30634">
          <w:rPr>
            <w:noProof/>
            <w:webHidden/>
          </w:rPr>
          <w:t>76</w:t>
        </w:r>
        <w:r>
          <w:rPr>
            <w:noProof/>
            <w:webHidden/>
          </w:rPr>
          <w:fldChar w:fldCharType="end"/>
        </w:r>
      </w:hyperlink>
    </w:p>
    <w:p w14:paraId="3EAD08D5" w14:textId="26D5F64B" w:rsidR="009B481F" w:rsidRDefault="009B481F">
      <w:pPr>
        <w:pStyle w:val="TOC1"/>
        <w:tabs>
          <w:tab w:val="left" w:pos="1200"/>
          <w:tab w:val="right" w:leader="dot" w:pos="8920"/>
        </w:tabs>
        <w:rPr>
          <w:rFonts w:asciiTheme="minorHAnsi" w:eastAsiaTheme="minorEastAsia" w:hAnsiTheme="minorHAnsi"/>
          <w:noProof/>
          <w:kern w:val="2"/>
          <w:sz w:val="24"/>
          <w:szCs w:val="24"/>
          <w:lang w:eastAsia="en-AU"/>
          <w14:ligatures w14:val="standardContextual"/>
        </w:rPr>
      </w:pPr>
      <w:hyperlink w:anchor="_Toc209176981" w:history="1">
        <w:r w:rsidRPr="00D71E8C">
          <w:rPr>
            <w:rStyle w:val="Hyperlink"/>
            <w:noProof/>
          </w:rPr>
          <w:t>Appendix B</w:t>
        </w:r>
        <w:r>
          <w:rPr>
            <w:rFonts w:asciiTheme="minorHAnsi" w:eastAsiaTheme="minorEastAsia" w:hAnsiTheme="minorHAnsi"/>
            <w:noProof/>
            <w:kern w:val="2"/>
            <w:sz w:val="24"/>
            <w:szCs w:val="24"/>
            <w:lang w:eastAsia="en-AU"/>
            <w14:ligatures w14:val="standardContextual"/>
          </w:rPr>
          <w:tab/>
        </w:r>
        <w:r w:rsidRPr="00D71E8C">
          <w:rPr>
            <w:rStyle w:val="Hyperlink"/>
            <w:noProof/>
          </w:rPr>
          <w:t xml:space="preserve">List of external stakeholders consulted for </w:t>
        </w:r>
        <w:r w:rsidRPr="00D71E8C">
          <w:rPr>
            <w:rStyle w:val="Hyperlink"/>
            <w:i/>
            <w:iCs/>
            <w:noProof/>
          </w:rPr>
          <w:t>Interim Evaluation #2 report</w:t>
        </w:r>
        <w:r>
          <w:rPr>
            <w:noProof/>
            <w:webHidden/>
          </w:rPr>
          <w:tab/>
        </w:r>
        <w:r>
          <w:rPr>
            <w:noProof/>
            <w:webHidden/>
          </w:rPr>
          <w:fldChar w:fldCharType="begin"/>
        </w:r>
        <w:r>
          <w:rPr>
            <w:noProof/>
            <w:webHidden/>
          </w:rPr>
          <w:instrText xml:space="preserve"> PAGEREF _Toc209176981 \h </w:instrText>
        </w:r>
        <w:r>
          <w:rPr>
            <w:noProof/>
            <w:webHidden/>
          </w:rPr>
        </w:r>
        <w:r>
          <w:rPr>
            <w:noProof/>
            <w:webHidden/>
          </w:rPr>
          <w:fldChar w:fldCharType="separate"/>
        </w:r>
        <w:r w:rsidR="00D30634">
          <w:rPr>
            <w:noProof/>
            <w:webHidden/>
          </w:rPr>
          <w:t>77</w:t>
        </w:r>
        <w:r>
          <w:rPr>
            <w:noProof/>
            <w:webHidden/>
          </w:rPr>
          <w:fldChar w:fldCharType="end"/>
        </w:r>
      </w:hyperlink>
    </w:p>
    <w:p w14:paraId="0F38A7D4" w14:textId="01EE202A" w:rsidR="009B481F" w:rsidRDefault="009B481F">
      <w:pPr>
        <w:pStyle w:val="TOC1"/>
        <w:tabs>
          <w:tab w:val="left" w:pos="1440"/>
          <w:tab w:val="right" w:leader="dot" w:pos="8920"/>
        </w:tabs>
        <w:rPr>
          <w:rFonts w:asciiTheme="minorHAnsi" w:eastAsiaTheme="minorEastAsia" w:hAnsiTheme="minorHAnsi"/>
          <w:noProof/>
          <w:kern w:val="2"/>
          <w:sz w:val="24"/>
          <w:szCs w:val="24"/>
          <w:lang w:eastAsia="en-AU"/>
          <w14:ligatures w14:val="standardContextual"/>
        </w:rPr>
      </w:pPr>
      <w:hyperlink w:anchor="_Toc209176982" w:history="1">
        <w:r w:rsidRPr="00D71E8C">
          <w:rPr>
            <w:rStyle w:val="Hyperlink"/>
            <w:noProof/>
          </w:rPr>
          <w:t>Appendix C</w:t>
        </w:r>
        <w:r>
          <w:rPr>
            <w:rFonts w:asciiTheme="minorHAnsi" w:eastAsiaTheme="minorEastAsia" w:hAnsiTheme="minorHAnsi"/>
            <w:noProof/>
            <w:kern w:val="2"/>
            <w:sz w:val="24"/>
            <w:szCs w:val="24"/>
            <w:lang w:eastAsia="en-AU"/>
            <w14:ligatures w14:val="standardContextual"/>
          </w:rPr>
          <w:tab/>
        </w:r>
        <w:r w:rsidRPr="00D71E8C">
          <w:rPr>
            <w:rStyle w:val="Hyperlink"/>
            <w:noProof/>
          </w:rPr>
          <w:t>Overview of indicators and measures</w:t>
        </w:r>
        <w:r>
          <w:rPr>
            <w:noProof/>
            <w:webHidden/>
          </w:rPr>
          <w:tab/>
        </w:r>
        <w:r>
          <w:rPr>
            <w:noProof/>
            <w:webHidden/>
          </w:rPr>
          <w:fldChar w:fldCharType="begin"/>
        </w:r>
        <w:r>
          <w:rPr>
            <w:noProof/>
            <w:webHidden/>
          </w:rPr>
          <w:instrText xml:space="preserve"> PAGEREF _Toc209176982 \h </w:instrText>
        </w:r>
        <w:r>
          <w:rPr>
            <w:noProof/>
            <w:webHidden/>
          </w:rPr>
        </w:r>
        <w:r>
          <w:rPr>
            <w:noProof/>
            <w:webHidden/>
          </w:rPr>
          <w:fldChar w:fldCharType="separate"/>
        </w:r>
        <w:r w:rsidR="00D30634">
          <w:rPr>
            <w:noProof/>
            <w:webHidden/>
          </w:rPr>
          <w:t>78</w:t>
        </w:r>
        <w:r>
          <w:rPr>
            <w:noProof/>
            <w:webHidden/>
          </w:rPr>
          <w:fldChar w:fldCharType="end"/>
        </w:r>
      </w:hyperlink>
    </w:p>
    <w:p w14:paraId="0B8B1855" w14:textId="73467062" w:rsidR="009B481F" w:rsidRDefault="009B481F">
      <w:pPr>
        <w:pStyle w:val="TOC1"/>
        <w:tabs>
          <w:tab w:val="left" w:pos="1440"/>
          <w:tab w:val="right" w:leader="dot" w:pos="8920"/>
        </w:tabs>
        <w:rPr>
          <w:rFonts w:asciiTheme="minorHAnsi" w:eastAsiaTheme="minorEastAsia" w:hAnsiTheme="minorHAnsi"/>
          <w:noProof/>
          <w:kern w:val="2"/>
          <w:sz w:val="24"/>
          <w:szCs w:val="24"/>
          <w:lang w:eastAsia="en-AU"/>
          <w14:ligatures w14:val="standardContextual"/>
        </w:rPr>
      </w:pPr>
      <w:hyperlink w:anchor="_Toc209176983" w:history="1">
        <w:r w:rsidRPr="00D71E8C">
          <w:rPr>
            <w:rStyle w:val="Hyperlink"/>
            <w:noProof/>
          </w:rPr>
          <w:t>Appendix D</w:t>
        </w:r>
        <w:r>
          <w:rPr>
            <w:rFonts w:asciiTheme="minorHAnsi" w:eastAsiaTheme="minorEastAsia" w:hAnsiTheme="minorHAnsi"/>
            <w:noProof/>
            <w:kern w:val="2"/>
            <w:sz w:val="24"/>
            <w:szCs w:val="24"/>
            <w:lang w:eastAsia="en-AU"/>
            <w14:ligatures w14:val="standardContextual"/>
          </w:rPr>
          <w:tab/>
        </w:r>
        <w:r w:rsidRPr="00D71E8C">
          <w:rPr>
            <w:rStyle w:val="Hyperlink"/>
            <w:noProof/>
          </w:rPr>
          <w:t>Measures detail</w:t>
        </w:r>
        <w:r>
          <w:rPr>
            <w:noProof/>
            <w:webHidden/>
          </w:rPr>
          <w:tab/>
        </w:r>
        <w:r>
          <w:rPr>
            <w:noProof/>
            <w:webHidden/>
          </w:rPr>
          <w:fldChar w:fldCharType="begin"/>
        </w:r>
        <w:r>
          <w:rPr>
            <w:noProof/>
            <w:webHidden/>
          </w:rPr>
          <w:instrText xml:space="preserve"> PAGEREF _Toc209176983 \h </w:instrText>
        </w:r>
        <w:r>
          <w:rPr>
            <w:noProof/>
            <w:webHidden/>
          </w:rPr>
        </w:r>
        <w:r>
          <w:rPr>
            <w:noProof/>
            <w:webHidden/>
          </w:rPr>
          <w:fldChar w:fldCharType="separate"/>
        </w:r>
        <w:r w:rsidR="00D30634">
          <w:rPr>
            <w:noProof/>
            <w:webHidden/>
          </w:rPr>
          <w:t>81</w:t>
        </w:r>
        <w:r>
          <w:rPr>
            <w:noProof/>
            <w:webHidden/>
          </w:rPr>
          <w:fldChar w:fldCharType="end"/>
        </w:r>
      </w:hyperlink>
    </w:p>
    <w:p w14:paraId="72311DB6" w14:textId="229F9A1B"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84" w:history="1">
        <w:r w:rsidRPr="00D71E8C">
          <w:rPr>
            <w:rStyle w:val="Hyperlink"/>
            <w:noProof/>
          </w:rPr>
          <w:t>D.1</w:t>
        </w:r>
        <w:r>
          <w:rPr>
            <w:rFonts w:asciiTheme="minorHAnsi" w:eastAsiaTheme="minorEastAsia" w:hAnsiTheme="minorHAnsi"/>
            <w:noProof/>
            <w:kern w:val="2"/>
            <w:sz w:val="24"/>
            <w:szCs w:val="24"/>
            <w:lang w:eastAsia="en-AU"/>
            <w14:ligatures w14:val="standardContextual"/>
          </w:rPr>
          <w:tab/>
        </w:r>
        <w:r w:rsidRPr="00D71E8C">
          <w:rPr>
            <w:rStyle w:val="Hyperlink"/>
            <w:noProof/>
          </w:rPr>
          <w:t>Indicator 1: Reduction in benefits</w:t>
        </w:r>
        <w:r>
          <w:rPr>
            <w:noProof/>
            <w:webHidden/>
          </w:rPr>
          <w:tab/>
        </w:r>
        <w:r>
          <w:rPr>
            <w:noProof/>
            <w:webHidden/>
          </w:rPr>
          <w:fldChar w:fldCharType="begin"/>
        </w:r>
        <w:r>
          <w:rPr>
            <w:noProof/>
            <w:webHidden/>
          </w:rPr>
          <w:instrText xml:space="preserve"> PAGEREF _Toc209176984 \h </w:instrText>
        </w:r>
        <w:r>
          <w:rPr>
            <w:noProof/>
            <w:webHidden/>
          </w:rPr>
        </w:r>
        <w:r>
          <w:rPr>
            <w:noProof/>
            <w:webHidden/>
          </w:rPr>
          <w:fldChar w:fldCharType="separate"/>
        </w:r>
        <w:r w:rsidR="00D30634">
          <w:rPr>
            <w:noProof/>
            <w:webHidden/>
          </w:rPr>
          <w:t>81</w:t>
        </w:r>
        <w:r>
          <w:rPr>
            <w:noProof/>
            <w:webHidden/>
          </w:rPr>
          <w:fldChar w:fldCharType="end"/>
        </w:r>
      </w:hyperlink>
    </w:p>
    <w:p w14:paraId="614DCF18" w14:textId="593AF027"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85" w:history="1">
        <w:r w:rsidRPr="00D71E8C">
          <w:rPr>
            <w:rStyle w:val="Hyperlink"/>
            <w:noProof/>
          </w:rPr>
          <w:t>D.2</w:t>
        </w:r>
        <w:r>
          <w:rPr>
            <w:rFonts w:asciiTheme="minorHAnsi" w:eastAsiaTheme="minorEastAsia" w:hAnsiTheme="minorHAnsi"/>
            <w:noProof/>
            <w:kern w:val="2"/>
            <w:sz w:val="24"/>
            <w:szCs w:val="24"/>
            <w:lang w:eastAsia="en-AU"/>
            <w14:ligatures w14:val="standardContextual"/>
          </w:rPr>
          <w:tab/>
        </w:r>
        <w:r w:rsidRPr="00D71E8C">
          <w:rPr>
            <w:rStyle w:val="Hyperlink"/>
            <w:noProof/>
          </w:rPr>
          <w:t>Indicator 2: Change in the size of the gap between PL benefits and prices paid in more competitive markets</w:t>
        </w:r>
        <w:r>
          <w:rPr>
            <w:noProof/>
            <w:webHidden/>
          </w:rPr>
          <w:tab/>
        </w:r>
        <w:r>
          <w:rPr>
            <w:noProof/>
            <w:webHidden/>
          </w:rPr>
          <w:fldChar w:fldCharType="begin"/>
        </w:r>
        <w:r>
          <w:rPr>
            <w:noProof/>
            <w:webHidden/>
          </w:rPr>
          <w:instrText xml:space="preserve"> PAGEREF _Toc209176985 \h </w:instrText>
        </w:r>
        <w:r>
          <w:rPr>
            <w:noProof/>
            <w:webHidden/>
          </w:rPr>
        </w:r>
        <w:r>
          <w:rPr>
            <w:noProof/>
            <w:webHidden/>
          </w:rPr>
          <w:fldChar w:fldCharType="separate"/>
        </w:r>
        <w:r w:rsidR="00D30634">
          <w:rPr>
            <w:noProof/>
            <w:webHidden/>
          </w:rPr>
          <w:t>82</w:t>
        </w:r>
        <w:r>
          <w:rPr>
            <w:noProof/>
            <w:webHidden/>
          </w:rPr>
          <w:fldChar w:fldCharType="end"/>
        </w:r>
      </w:hyperlink>
    </w:p>
    <w:p w14:paraId="010EAEDA" w14:textId="5AEAEAB0"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86" w:history="1">
        <w:r w:rsidRPr="00D71E8C">
          <w:rPr>
            <w:rStyle w:val="Hyperlink"/>
            <w:noProof/>
          </w:rPr>
          <w:t>D.3</w:t>
        </w:r>
        <w:r>
          <w:rPr>
            <w:rFonts w:asciiTheme="minorHAnsi" w:eastAsiaTheme="minorEastAsia" w:hAnsiTheme="minorHAnsi"/>
            <w:noProof/>
            <w:kern w:val="2"/>
            <w:sz w:val="24"/>
            <w:szCs w:val="24"/>
            <w:lang w:eastAsia="en-AU"/>
            <w14:ligatures w14:val="standardContextual"/>
          </w:rPr>
          <w:tab/>
        </w:r>
        <w:r w:rsidRPr="00D71E8C">
          <w:rPr>
            <w:rStyle w:val="Hyperlink"/>
            <w:noProof/>
          </w:rPr>
          <w:t>Indicator 3: Change in out-of-pocket expenses related to PL items</w:t>
        </w:r>
        <w:r>
          <w:rPr>
            <w:noProof/>
            <w:webHidden/>
          </w:rPr>
          <w:tab/>
        </w:r>
        <w:r>
          <w:rPr>
            <w:noProof/>
            <w:webHidden/>
          </w:rPr>
          <w:fldChar w:fldCharType="begin"/>
        </w:r>
        <w:r>
          <w:rPr>
            <w:noProof/>
            <w:webHidden/>
          </w:rPr>
          <w:instrText xml:space="preserve"> PAGEREF _Toc209176986 \h </w:instrText>
        </w:r>
        <w:r>
          <w:rPr>
            <w:noProof/>
            <w:webHidden/>
          </w:rPr>
        </w:r>
        <w:r>
          <w:rPr>
            <w:noProof/>
            <w:webHidden/>
          </w:rPr>
          <w:fldChar w:fldCharType="separate"/>
        </w:r>
        <w:r w:rsidR="00D30634">
          <w:rPr>
            <w:noProof/>
            <w:webHidden/>
          </w:rPr>
          <w:t>86</w:t>
        </w:r>
        <w:r>
          <w:rPr>
            <w:noProof/>
            <w:webHidden/>
          </w:rPr>
          <w:fldChar w:fldCharType="end"/>
        </w:r>
      </w:hyperlink>
    </w:p>
    <w:p w14:paraId="2B56A096" w14:textId="35896B22"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87" w:history="1">
        <w:r w:rsidRPr="00D71E8C">
          <w:rPr>
            <w:rStyle w:val="Hyperlink"/>
            <w:noProof/>
          </w:rPr>
          <w:t>D.4</w:t>
        </w:r>
        <w:r>
          <w:rPr>
            <w:rFonts w:asciiTheme="minorHAnsi" w:eastAsiaTheme="minorEastAsia" w:hAnsiTheme="minorHAnsi"/>
            <w:noProof/>
            <w:kern w:val="2"/>
            <w:sz w:val="24"/>
            <w:szCs w:val="24"/>
            <w:lang w:eastAsia="en-AU"/>
            <w14:ligatures w14:val="standardContextual"/>
          </w:rPr>
          <w:tab/>
        </w:r>
        <w:r w:rsidRPr="00D71E8C">
          <w:rPr>
            <w:rStyle w:val="Hyperlink"/>
            <w:noProof/>
          </w:rPr>
          <w:t>Indicator 6: Change in PHI premium increases</w:t>
        </w:r>
        <w:r>
          <w:rPr>
            <w:noProof/>
            <w:webHidden/>
          </w:rPr>
          <w:tab/>
        </w:r>
        <w:r>
          <w:rPr>
            <w:noProof/>
            <w:webHidden/>
          </w:rPr>
          <w:fldChar w:fldCharType="begin"/>
        </w:r>
        <w:r>
          <w:rPr>
            <w:noProof/>
            <w:webHidden/>
          </w:rPr>
          <w:instrText xml:space="preserve"> PAGEREF _Toc209176987 \h </w:instrText>
        </w:r>
        <w:r>
          <w:rPr>
            <w:noProof/>
            <w:webHidden/>
          </w:rPr>
        </w:r>
        <w:r>
          <w:rPr>
            <w:noProof/>
            <w:webHidden/>
          </w:rPr>
          <w:fldChar w:fldCharType="separate"/>
        </w:r>
        <w:r w:rsidR="00D30634">
          <w:rPr>
            <w:noProof/>
            <w:webHidden/>
          </w:rPr>
          <w:t>88</w:t>
        </w:r>
        <w:r>
          <w:rPr>
            <w:noProof/>
            <w:webHidden/>
          </w:rPr>
          <w:fldChar w:fldCharType="end"/>
        </w:r>
      </w:hyperlink>
    </w:p>
    <w:p w14:paraId="355B6798" w14:textId="6BD96867"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88" w:history="1">
        <w:r w:rsidRPr="00D71E8C">
          <w:rPr>
            <w:rStyle w:val="Hyperlink"/>
            <w:noProof/>
          </w:rPr>
          <w:t>D.5</w:t>
        </w:r>
        <w:r>
          <w:rPr>
            <w:rFonts w:asciiTheme="minorHAnsi" w:eastAsiaTheme="minorEastAsia" w:hAnsiTheme="minorHAnsi"/>
            <w:noProof/>
            <w:kern w:val="2"/>
            <w:sz w:val="24"/>
            <w:szCs w:val="24"/>
            <w:lang w:eastAsia="en-AU"/>
            <w14:ligatures w14:val="standardContextual"/>
          </w:rPr>
          <w:tab/>
        </w:r>
        <w:r w:rsidRPr="00D71E8C">
          <w:rPr>
            <w:rStyle w:val="Hyperlink"/>
            <w:noProof/>
          </w:rPr>
          <w:t>Indicator 7: Change in PHI coverage and for whom</w:t>
        </w:r>
        <w:r>
          <w:rPr>
            <w:noProof/>
            <w:webHidden/>
          </w:rPr>
          <w:tab/>
        </w:r>
        <w:r>
          <w:rPr>
            <w:noProof/>
            <w:webHidden/>
          </w:rPr>
          <w:fldChar w:fldCharType="begin"/>
        </w:r>
        <w:r>
          <w:rPr>
            <w:noProof/>
            <w:webHidden/>
          </w:rPr>
          <w:instrText xml:space="preserve"> PAGEREF _Toc209176988 \h </w:instrText>
        </w:r>
        <w:r>
          <w:rPr>
            <w:noProof/>
            <w:webHidden/>
          </w:rPr>
        </w:r>
        <w:r>
          <w:rPr>
            <w:noProof/>
            <w:webHidden/>
          </w:rPr>
          <w:fldChar w:fldCharType="separate"/>
        </w:r>
        <w:r w:rsidR="00D30634">
          <w:rPr>
            <w:noProof/>
            <w:webHidden/>
          </w:rPr>
          <w:t>89</w:t>
        </w:r>
        <w:r>
          <w:rPr>
            <w:noProof/>
            <w:webHidden/>
          </w:rPr>
          <w:fldChar w:fldCharType="end"/>
        </w:r>
      </w:hyperlink>
    </w:p>
    <w:p w14:paraId="0EA2140A" w14:textId="6F8E18A2" w:rsidR="009B481F" w:rsidRDefault="009B481F">
      <w:pPr>
        <w:pStyle w:val="TOC2"/>
        <w:tabs>
          <w:tab w:val="left" w:pos="720"/>
          <w:tab w:val="right" w:leader="dot" w:pos="8920"/>
        </w:tabs>
        <w:rPr>
          <w:rFonts w:asciiTheme="minorHAnsi" w:eastAsiaTheme="minorEastAsia" w:hAnsiTheme="minorHAnsi"/>
          <w:noProof/>
          <w:kern w:val="2"/>
          <w:sz w:val="24"/>
          <w:szCs w:val="24"/>
          <w:lang w:eastAsia="en-AU"/>
          <w14:ligatures w14:val="standardContextual"/>
        </w:rPr>
      </w:pPr>
      <w:hyperlink w:anchor="_Toc209176989" w:history="1">
        <w:r w:rsidRPr="00D71E8C">
          <w:rPr>
            <w:rStyle w:val="Hyperlink"/>
            <w:noProof/>
          </w:rPr>
          <w:t>D.6</w:t>
        </w:r>
        <w:r>
          <w:rPr>
            <w:rFonts w:asciiTheme="minorHAnsi" w:eastAsiaTheme="minorEastAsia" w:hAnsiTheme="minorHAnsi"/>
            <w:noProof/>
            <w:kern w:val="2"/>
            <w:sz w:val="24"/>
            <w:szCs w:val="24"/>
            <w:lang w:eastAsia="en-AU"/>
            <w14:ligatures w14:val="standardContextual"/>
          </w:rPr>
          <w:tab/>
        </w:r>
        <w:r w:rsidRPr="00D71E8C">
          <w:rPr>
            <w:rStyle w:val="Hyperlink"/>
            <w:noProof/>
          </w:rPr>
          <w:t>Indicator 9: Implementation of PL regrouping</w:t>
        </w:r>
        <w:r>
          <w:rPr>
            <w:noProof/>
            <w:webHidden/>
          </w:rPr>
          <w:tab/>
        </w:r>
        <w:r>
          <w:rPr>
            <w:noProof/>
            <w:webHidden/>
          </w:rPr>
          <w:fldChar w:fldCharType="begin"/>
        </w:r>
        <w:r>
          <w:rPr>
            <w:noProof/>
            <w:webHidden/>
          </w:rPr>
          <w:instrText xml:space="preserve"> PAGEREF _Toc209176989 \h </w:instrText>
        </w:r>
        <w:r>
          <w:rPr>
            <w:noProof/>
            <w:webHidden/>
          </w:rPr>
        </w:r>
        <w:r>
          <w:rPr>
            <w:noProof/>
            <w:webHidden/>
          </w:rPr>
          <w:fldChar w:fldCharType="separate"/>
        </w:r>
        <w:r w:rsidR="00D30634">
          <w:rPr>
            <w:noProof/>
            <w:webHidden/>
          </w:rPr>
          <w:t>89</w:t>
        </w:r>
        <w:r>
          <w:rPr>
            <w:noProof/>
            <w:webHidden/>
          </w:rPr>
          <w:fldChar w:fldCharType="end"/>
        </w:r>
      </w:hyperlink>
    </w:p>
    <w:p w14:paraId="58185D38" w14:textId="7AE78F58" w:rsidR="000D5CE3" w:rsidRPr="00602824" w:rsidRDefault="00B658A0" w:rsidP="004D7D4F">
      <w:pPr>
        <w:pStyle w:val="Heading1"/>
        <w:numPr>
          <w:ilvl w:val="0"/>
          <w:numId w:val="0"/>
        </w:numPr>
      </w:pPr>
      <w:r w:rsidRPr="00602824">
        <w:rPr>
          <w:rFonts w:eastAsiaTheme="minorHAnsi" w:cstheme="minorBidi"/>
          <w:b w:val="0"/>
          <w:color w:val="auto"/>
          <w:sz w:val="19"/>
          <w:szCs w:val="22"/>
        </w:rPr>
        <w:lastRenderedPageBreak/>
        <w:fldChar w:fldCharType="end"/>
      </w:r>
      <w:bookmarkStart w:id="1" w:name="_Toc209176962"/>
      <w:r w:rsidR="004D7D4F" w:rsidRPr="00602824">
        <w:t xml:space="preserve">Glossary of </w:t>
      </w:r>
      <w:r w:rsidR="003F02E7" w:rsidRPr="00602824">
        <w:t xml:space="preserve">commonly used </w:t>
      </w:r>
      <w:r w:rsidR="004D7D4F" w:rsidRPr="00602824">
        <w:t>terms and acronyms</w:t>
      </w:r>
      <w:bookmarkEnd w:id="1"/>
      <w:r w:rsidR="004D7D4F" w:rsidRPr="00602824">
        <w:t xml:space="preserve"> </w:t>
      </w:r>
    </w:p>
    <w:tbl>
      <w:tblPr>
        <w:tblStyle w:val="NOUSSideHeader"/>
        <w:tblW w:w="0" w:type="auto"/>
        <w:tblLook w:val="04A0" w:firstRow="1" w:lastRow="0" w:firstColumn="1" w:lastColumn="0" w:noHBand="0" w:noVBand="1"/>
      </w:tblPr>
      <w:tblGrid>
        <w:gridCol w:w="1813"/>
        <w:gridCol w:w="7087"/>
      </w:tblGrid>
      <w:tr w:rsidR="004D7D4F" w:rsidRPr="00602824" w14:paraId="36314CE9"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bottom w:val="single" w:sz="8" w:space="0" w:color="FFFFFF"/>
            </w:tcBorders>
          </w:tcPr>
          <w:p w14:paraId="569E236F" w14:textId="25845B33" w:rsidR="004D7D4F" w:rsidRPr="00602824" w:rsidRDefault="005C4F4F" w:rsidP="00FB712C">
            <w:pPr>
              <w:pStyle w:val="TableNheader"/>
              <w:spacing w:before="60" w:after="60" w:line="240" w:lineRule="auto"/>
              <w:rPr>
                <w:b/>
              </w:rPr>
            </w:pPr>
            <w:r w:rsidRPr="00602824">
              <w:t>CIED</w:t>
            </w:r>
          </w:p>
        </w:tc>
        <w:tc>
          <w:tcPr>
            <w:tcW w:w="7087" w:type="dxa"/>
          </w:tcPr>
          <w:p w14:paraId="0BC24081" w14:textId="79611AFC" w:rsidR="004D7D4F" w:rsidRPr="00602824" w:rsidRDefault="005C4F4F"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Cardiac Implantable Electronic Device</w:t>
            </w:r>
          </w:p>
        </w:tc>
      </w:tr>
      <w:tr w:rsidR="005C4F4F" w:rsidRPr="00602824" w14:paraId="0A515A63"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45EB338A" w14:textId="5AA2AF9B" w:rsidR="005C4F4F" w:rsidRPr="00602824" w:rsidRDefault="00B76B60" w:rsidP="00FB712C">
            <w:pPr>
              <w:pStyle w:val="TableNheader"/>
              <w:spacing w:before="60" w:after="60" w:line="240" w:lineRule="auto"/>
              <w:rPr>
                <w:b/>
              </w:rPr>
            </w:pPr>
            <w:r w:rsidRPr="00602824">
              <w:t xml:space="preserve">Consumers </w:t>
            </w:r>
          </w:p>
        </w:tc>
        <w:tc>
          <w:tcPr>
            <w:tcW w:w="7087" w:type="dxa"/>
          </w:tcPr>
          <w:p w14:paraId="6B252034" w14:textId="08A0D197" w:rsidR="005C4F4F" w:rsidRPr="00602824" w:rsidRDefault="00B76B60"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 xml:space="preserve">Also alternatively referred to </w:t>
            </w:r>
            <w:r w:rsidR="008E27B5" w:rsidRPr="00602824">
              <w:t xml:space="preserve">as </w:t>
            </w:r>
            <w:r w:rsidRPr="00602824">
              <w:rPr>
                <w:i/>
                <w:iCs/>
              </w:rPr>
              <w:t>patients</w:t>
            </w:r>
            <w:r w:rsidRPr="00602824">
              <w:t xml:space="preserve"> </w:t>
            </w:r>
          </w:p>
        </w:tc>
      </w:tr>
      <w:tr w:rsidR="00B76B60" w:rsidRPr="00602824" w14:paraId="4DF29E9B"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2A616B14" w14:textId="2C680DDB" w:rsidR="00B76B60" w:rsidRPr="00602824" w:rsidRDefault="00974101" w:rsidP="00FB712C">
            <w:pPr>
              <w:pStyle w:val="TableNheader"/>
              <w:spacing w:before="60" w:after="60" w:line="240" w:lineRule="auto"/>
              <w:rPr>
                <w:b/>
              </w:rPr>
            </w:pPr>
            <w:r w:rsidRPr="00602824">
              <w:t>ECAG</w:t>
            </w:r>
          </w:p>
        </w:tc>
        <w:tc>
          <w:tcPr>
            <w:tcW w:w="7087" w:type="dxa"/>
          </w:tcPr>
          <w:p w14:paraId="7655A046" w14:textId="0EADD1BF" w:rsidR="00B76B60" w:rsidRPr="00602824" w:rsidRDefault="00974101"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 xml:space="preserve">Expert Clinical Advisory Committee </w:t>
            </w:r>
          </w:p>
        </w:tc>
      </w:tr>
      <w:tr w:rsidR="00170753" w:rsidRPr="00602824" w14:paraId="36D1F07E"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60FA9345" w14:textId="1991D4BA" w:rsidR="00170753" w:rsidRPr="00602824" w:rsidRDefault="00170753" w:rsidP="00FB712C">
            <w:pPr>
              <w:pStyle w:val="TableNheader"/>
              <w:spacing w:before="60" w:after="60" w:line="240" w:lineRule="auto"/>
              <w:rPr>
                <w:b/>
              </w:rPr>
            </w:pPr>
            <w:r w:rsidRPr="00602824">
              <w:t>GUI</w:t>
            </w:r>
          </w:p>
        </w:tc>
        <w:tc>
          <w:tcPr>
            <w:tcW w:w="7087" w:type="dxa"/>
          </w:tcPr>
          <w:p w14:paraId="07F0AAB7" w14:textId="7617198D" w:rsidR="00170753" w:rsidRPr="00602824" w:rsidRDefault="0017075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General Use Item</w:t>
            </w:r>
          </w:p>
        </w:tc>
      </w:tr>
      <w:tr w:rsidR="00170753" w:rsidRPr="00602824" w14:paraId="734B52E1"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1C44E109" w14:textId="773590DE" w:rsidR="00170753" w:rsidRPr="00602824" w:rsidRDefault="00170753" w:rsidP="00FB712C">
            <w:pPr>
              <w:pStyle w:val="TableNheader"/>
              <w:spacing w:before="60" w:after="60" w:line="240" w:lineRule="auto"/>
              <w:rPr>
                <w:b/>
              </w:rPr>
            </w:pPr>
            <w:r w:rsidRPr="00602824">
              <w:t>HPP</w:t>
            </w:r>
          </w:p>
        </w:tc>
        <w:tc>
          <w:tcPr>
            <w:tcW w:w="7087" w:type="dxa"/>
          </w:tcPr>
          <w:p w14:paraId="1979DE21" w14:textId="047CDE0C" w:rsidR="00170753" w:rsidRPr="00602824" w:rsidRDefault="0017075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 xml:space="preserve">Health Products Portal </w:t>
            </w:r>
          </w:p>
        </w:tc>
      </w:tr>
      <w:tr w:rsidR="002E6133" w:rsidRPr="00602824" w14:paraId="3D786E8D"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6A21A7E4" w14:textId="1D5439C6" w:rsidR="002E6133" w:rsidRPr="00602824" w:rsidRDefault="002E6133" w:rsidP="00FB712C">
            <w:pPr>
              <w:pStyle w:val="TableNheader"/>
              <w:spacing w:before="60" w:after="60" w:line="240" w:lineRule="auto"/>
              <w:rPr>
                <w:b/>
              </w:rPr>
            </w:pPr>
            <w:r w:rsidRPr="00602824">
              <w:t>HTA</w:t>
            </w:r>
          </w:p>
        </w:tc>
        <w:tc>
          <w:tcPr>
            <w:tcW w:w="7087" w:type="dxa"/>
          </w:tcPr>
          <w:p w14:paraId="2832BC8E" w14:textId="4E4ABFEF" w:rsidR="002E6133" w:rsidRPr="00602824" w:rsidRDefault="002E613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 xml:space="preserve">Health Technology Assessment </w:t>
            </w:r>
          </w:p>
        </w:tc>
      </w:tr>
      <w:tr w:rsidR="00170753" w:rsidRPr="00602824" w14:paraId="472B5860"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6774AC21" w14:textId="525A7765" w:rsidR="00170753" w:rsidRPr="00602824" w:rsidRDefault="00170753" w:rsidP="00FB712C">
            <w:pPr>
              <w:pStyle w:val="TableNheader"/>
              <w:spacing w:before="60" w:after="60" w:line="240" w:lineRule="auto"/>
              <w:rPr>
                <w:b/>
              </w:rPr>
            </w:pPr>
            <w:r w:rsidRPr="00602824">
              <w:t>IHACPA</w:t>
            </w:r>
          </w:p>
        </w:tc>
        <w:tc>
          <w:tcPr>
            <w:tcW w:w="7087" w:type="dxa"/>
          </w:tcPr>
          <w:p w14:paraId="01FC4D3A" w14:textId="6C974CD3" w:rsidR="00170753" w:rsidRPr="00602824" w:rsidRDefault="008E27B5"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Independent Health and Aged Care Pricing Authority</w:t>
            </w:r>
          </w:p>
        </w:tc>
      </w:tr>
      <w:tr w:rsidR="009E355E" w:rsidRPr="00602824" w14:paraId="13B57EF9"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6B8D5786" w14:textId="5F456D04" w:rsidR="009E355E" w:rsidRPr="00602824" w:rsidRDefault="009E355E" w:rsidP="00FB712C">
            <w:pPr>
              <w:pStyle w:val="TableNheader"/>
              <w:spacing w:before="60" w:after="60" w:line="240" w:lineRule="auto"/>
              <w:rPr>
                <w:b/>
              </w:rPr>
            </w:pPr>
            <w:r w:rsidRPr="00602824">
              <w:t>IECT</w:t>
            </w:r>
          </w:p>
        </w:tc>
        <w:tc>
          <w:tcPr>
            <w:tcW w:w="7087" w:type="dxa"/>
          </w:tcPr>
          <w:p w14:paraId="2863B222" w14:textId="0DD8C49E" w:rsidR="009E355E" w:rsidRPr="00602824" w:rsidRDefault="009E355E"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 xml:space="preserve">Industry Employed Cardiac Technician </w:t>
            </w:r>
          </w:p>
        </w:tc>
      </w:tr>
      <w:tr w:rsidR="009E355E" w:rsidRPr="00602824" w14:paraId="49B59CDB"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1CE0617B" w14:textId="117B2AF2" w:rsidR="009E355E" w:rsidRPr="00602824" w:rsidRDefault="007971AF" w:rsidP="00FB712C">
            <w:pPr>
              <w:pStyle w:val="TableNheader"/>
              <w:spacing w:before="60" w:after="60" w:line="240" w:lineRule="auto"/>
              <w:rPr>
                <w:b/>
              </w:rPr>
            </w:pPr>
            <w:r w:rsidRPr="00602824">
              <w:t>MDHTAC</w:t>
            </w:r>
          </w:p>
        </w:tc>
        <w:tc>
          <w:tcPr>
            <w:tcW w:w="7087" w:type="dxa"/>
          </w:tcPr>
          <w:p w14:paraId="67086FCB" w14:textId="60205CAD" w:rsidR="009E355E" w:rsidRPr="00602824" w:rsidRDefault="007971AF"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 xml:space="preserve">Medical Device and Human Tissue Advisory Committee </w:t>
            </w:r>
          </w:p>
        </w:tc>
      </w:tr>
      <w:tr w:rsidR="008E27B5" w:rsidRPr="00602824" w14:paraId="5094E472"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71F83F1F" w14:textId="192174F1" w:rsidR="008E27B5" w:rsidRPr="00602824" w:rsidRDefault="008E27B5" w:rsidP="00FB712C">
            <w:pPr>
              <w:pStyle w:val="TableNheader"/>
              <w:spacing w:before="60" w:after="60" w:line="240" w:lineRule="auto"/>
              <w:rPr>
                <w:b/>
              </w:rPr>
            </w:pPr>
            <w:r w:rsidRPr="00602824">
              <w:t>Medical device sponsor</w:t>
            </w:r>
          </w:p>
        </w:tc>
        <w:tc>
          <w:tcPr>
            <w:tcW w:w="7087" w:type="dxa"/>
          </w:tcPr>
          <w:p w14:paraId="5B9A7C06" w14:textId="1268733F" w:rsidR="008E27B5" w:rsidRPr="00602824" w:rsidRDefault="00DB22D4"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rPr>
                <w:i/>
                <w:iCs/>
              </w:rPr>
            </w:pPr>
            <w:r w:rsidRPr="00602824">
              <w:t>A</w:t>
            </w:r>
            <w:r w:rsidR="00610B1A" w:rsidRPr="00602824">
              <w:t>lso a</w:t>
            </w:r>
            <w:r w:rsidRPr="00602824">
              <w:t>lternatively</w:t>
            </w:r>
            <w:r w:rsidR="008E27B5" w:rsidRPr="00602824">
              <w:t xml:space="preserve"> referred to as </w:t>
            </w:r>
            <w:r w:rsidR="008E27B5" w:rsidRPr="00602824">
              <w:rPr>
                <w:i/>
                <w:iCs/>
              </w:rPr>
              <w:t>medical technology company, medical technology sponsor or industry</w:t>
            </w:r>
          </w:p>
        </w:tc>
      </w:tr>
      <w:tr w:rsidR="008E27B5" w:rsidRPr="00602824" w14:paraId="23E999D7"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27E076BD" w14:textId="2DC86A1C" w:rsidR="008E27B5" w:rsidRPr="00602824" w:rsidRDefault="007971AF" w:rsidP="00FB712C">
            <w:pPr>
              <w:pStyle w:val="TableNheader"/>
              <w:spacing w:before="60" w:after="60" w:line="240" w:lineRule="auto"/>
              <w:rPr>
                <w:b/>
              </w:rPr>
            </w:pPr>
            <w:r w:rsidRPr="00602824">
              <w:t>MOU</w:t>
            </w:r>
          </w:p>
        </w:tc>
        <w:tc>
          <w:tcPr>
            <w:tcW w:w="7087" w:type="dxa"/>
          </w:tcPr>
          <w:p w14:paraId="6937FCC9" w14:textId="0C49494A" w:rsidR="008E27B5" w:rsidRPr="00602824" w:rsidRDefault="000A422F"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Memorandum of Understanding</w:t>
            </w:r>
          </w:p>
        </w:tc>
      </w:tr>
      <w:tr w:rsidR="000A422F" w:rsidRPr="00602824" w14:paraId="4919F024"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476EDBFA" w14:textId="1D258D98" w:rsidR="000A422F" w:rsidRPr="00602824" w:rsidRDefault="000A422F" w:rsidP="00FB712C">
            <w:pPr>
              <w:pStyle w:val="TableNheader"/>
              <w:spacing w:before="60" w:after="60" w:line="240" w:lineRule="auto"/>
              <w:rPr>
                <w:b/>
              </w:rPr>
            </w:pPr>
            <w:r w:rsidRPr="00602824">
              <w:t>MSAC</w:t>
            </w:r>
          </w:p>
        </w:tc>
        <w:tc>
          <w:tcPr>
            <w:tcW w:w="7087" w:type="dxa"/>
          </w:tcPr>
          <w:p w14:paraId="02F9ED86" w14:textId="280BD873" w:rsidR="000A422F" w:rsidRPr="00602824" w:rsidRDefault="002E613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Medical Servies Advisory Committee</w:t>
            </w:r>
          </w:p>
        </w:tc>
      </w:tr>
      <w:tr w:rsidR="002E6133" w:rsidRPr="00602824" w14:paraId="5E7F415F"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0EB1EC1A" w14:textId="7A14BB84" w:rsidR="002E6133" w:rsidRPr="00602824" w:rsidRDefault="002E6133" w:rsidP="00FB712C">
            <w:pPr>
              <w:pStyle w:val="TableNheader"/>
              <w:spacing w:before="60" w:after="60" w:line="240" w:lineRule="auto"/>
              <w:rPr>
                <w:b/>
              </w:rPr>
            </w:pPr>
            <w:r w:rsidRPr="00602824">
              <w:t>PHI</w:t>
            </w:r>
          </w:p>
        </w:tc>
        <w:tc>
          <w:tcPr>
            <w:tcW w:w="7087" w:type="dxa"/>
          </w:tcPr>
          <w:p w14:paraId="5ABB4CD4" w14:textId="1689D191" w:rsidR="002E6133" w:rsidRPr="00602824" w:rsidRDefault="002E613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Private Health Insurance</w:t>
            </w:r>
          </w:p>
        </w:tc>
      </w:tr>
      <w:tr w:rsidR="003F02E7" w:rsidRPr="00602824" w14:paraId="3793393F"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302D060F" w14:textId="238643E1" w:rsidR="003F02E7" w:rsidRPr="00602824" w:rsidRDefault="003F02E7" w:rsidP="00FB712C">
            <w:pPr>
              <w:pStyle w:val="TableNheader"/>
              <w:spacing w:before="60" w:after="60" w:line="240" w:lineRule="auto"/>
              <w:rPr>
                <w:b/>
              </w:rPr>
            </w:pPr>
            <w:r w:rsidRPr="00602824">
              <w:t xml:space="preserve">PL </w:t>
            </w:r>
          </w:p>
        </w:tc>
        <w:tc>
          <w:tcPr>
            <w:tcW w:w="7087" w:type="dxa"/>
          </w:tcPr>
          <w:p w14:paraId="4A4E43FE" w14:textId="29547B19" w:rsidR="003F02E7" w:rsidRPr="00602824" w:rsidRDefault="003F02E7"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 xml:space="preserve">Prescribed List (previously known as the </w:t>
            </w:r>
            <w:r w:rsidRPr="00602824">
              <w:rPr>
                <w:i/>
                <w:iCs/>
              </w:rPr>
              <w:t>Prostheses List</w:t>
            </w:r>
            <w:r w:rsidRPr="00602824">
              <w:t xml:space="preserve">) </w:t>
            </w:r>
          </w:p>
        </w:tc>
      </w:tr>
      <w:tr w:rsidR="002E6133" w:rsidRPr="00602824" w14:paraId="0E0A0D75"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37046329" w14:textId="379DA01E" w:rsidR="002E6133" w:rsidRPr="00602824" w:rsidRDefault="002E6133" w:rsidP="00FB712C">
            <w:pPr>
              <w:pStyle w:val="TableNheader"/>
              <w:spacing w:before="60" w:after="60" w:line="240" w:lineRule="auto"/>
              <w:rPr>
                <w:b/>
              </w:rPr>
            </w:pPr>
            <w:r w:rsidRPr="00602824">
              <w:t xml:space="preserve">Private hospitals </w:t>
            </w:r>
          </w:p>
        </w:tc>
        <w:tc>
          <w:tcPr>
            <w:tcW w:w="7087" w:type="dxa"/>
          </w:tcPr>
          <w:p w14:paraId="3E5CED58" w14:textId="4E2B646D" w:rsidR="002E6133" w:rsidRPr="00602824" w:rsidRDefault="002E613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rPr>
                <w:i/>
                <w:iCs/>
              </w:rPr>
            </w:pPr>
            <w:r w:rsidRPr="00602824">
              <w:t xml:space="preserve">Also alternatively referred to as </w:t>
            </w:r>
            <w:r w:rsidRPr="00602824">
              <w:rPr>
                <w:i/>
                <w:iCs/>
              </w:rPr>
              <w:t>private healthcare providers</w:t>
            </w:r>
          </w:p>
        </w:tc>
      </w:tr>
      <w:tr w:rsidR="002E6133" w:rsidRPr="00602824" w14:paraId="5DD92AED"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bottom w:val="single" w:sz="8" w:space="0" w:color="FFFFFF"/>
            </w:tcBorders>
          </w:tcPr>
          <w:p w14:paraId="3B17F255" w14:textId="2138A45F" w:rsidR="002E6133" w:rsidRPr="00602824" w:rsidRDefault="002E6133" w:rsidP="00FB712C">
            <w:pPr>
              <w:pStyle w:val="TableNheader"/>
              <w:spacing w:before="60" w:after="60" w:line="240" w:lineRule="auto"/>
              <w:rPr>
                <w:b/>
                <w:highlight w:val="yellow"/>
              </w:rPr>
            </w:pPr>
            <w:r w:rsidRPr="00602824">
              <w:t xml:space="preserve">Public benchmark </w:t>
            </w:r>
          </w:p>
        </w:tc>
        <w:tc>
          <w:tcPr>
            <w:tcW w:w="7087" w:type="dxa"/>
          </w:tcPr>
          <w:p w14:paraId="20B86A77" w14:textId="7D06F748" w:rsidR="002E6133" w:rsidRPr="00602824" w:rsidRDefault="00CA0E8F"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 xml:space="preserve">Benchmark pricing for PL items sold to Australian public </w:t>
            </w:r>
            <w:r w:rsidR="00DB22D4" w:rsidRPr="00602824">
              <w:t xml:space="preserve">hospitals – alternatively referred to as </w:t>
            </w:r>
            <w:r w:rsidR="00DB22D4" w:rsidRPr="00602824">
              <w:rPr>
                <w:i/>
                <w:iCs/>
              </w:rPr>
              <w:t>Weighted Average Price (WAP)</w:t>
            </w:r>
          </w:p>
        </w:tc>
      </w:tr>
      <w:tr w:rsidR="002E6133" w:rsidRPr="00602824" w14:paraId="599C5E99" w14:textId="77777777" w:rsidTr="00477331">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FFFFFF"/>
            </w:tcBorders>
          </w:tcPr>
          <w:p w14:paraId="3CD85CAC" w14:textId="6956B73E" w:rsidR="002E6133" w:rsidRPr="00602824" w:rsidRDefault="002E6133" w:rsidP="00FB712C">
            <w:pPr>
              <w:pStyle w:val="TableNheader"/>
              <w:spacing w:before="60" w:after="60" w:line="240" w:lineRule="auto"/>
              <w:rPr>
                <w:b/>
              </w:rPr>
            </w:pPr>
            <w:r w:rsidRPr="00602824">
              <w:t>TSS</w:t>
            </w:r>
          </w:p>
        </w:tc>
        <w:tc>
          <w:tcPr>
            <w:tcW w:w="7087" w:type="dxa"/>
          </w:tcPr>
          <w:p w14:paraId="53680BDF" w14:textId="4B4B9DA2" w:rsidR="002E6133" w:rsidRPr="00602824" w:rsidRDefault="002E613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pPr>
            <w:r w:rsidRPr="00602824">
              <w:t>Technical Support Services (for CIEDs)</w:t>
            </w:r>
          </w:p>
        </w:tc>
      </w:tr>
    </w:tbl>
    <w:p w14:paraId="05C350CD" w14:textId="6D24E3D1" w:rsidR="004D7D4F" w:rsidRPr="00602824" w:rsidRDefault="004D7D4F" w:rsidP="00810945">
      <w:pPr>
        <w:pStyle w:val="Heading1"/>
        <w:numPr>
          <w:ilvl w:val="0"/>
          <w:numId w:val="0"/>
        </w:numPr>
      </w:pPr>
      <w:bookmarkStart w:id="2" w:name="_Toc209176963"/>
      <w:r w:rsidRPr="00602824">
        <w:lastRenderedPageBreak/>
        <w:t>Background on the Prescribed List</w:t>
      </w:r>
      <w:bookmarkEnd w:id="2"/>
      <w:r w:rsidRPr="00602824">
        <w:t xml:space="preserve"> </w:t>
      </w:r>
    </w:p>
    <w:tbl>
      <w:tblPr>
        <w:tblStyle w:val="NOUSSideHeader4"/>
        <w:tblW w:w="8931" w:type="dxa"/>
        <w:tblLook w:val="04A0" w:firstRow="1" w:lastRow="0" w:firstColumn="1" w:lastColumn="0" w:noHBand="0" w:noVBand="1"/>
      </w:tblPr>
      <w:tblGrid>
        <w:gridCol w:w="8931"/>
      </w:tblGrid>
      <w:tr w:rsidR="008B6B10" w:rsidRPr="00602824" w14:paraId="208E187C" w14:textId="77777777" w:rsidTr="00FB712C">
        <w:trPr>
          <w:cnfStyle w:val="100000000000" w:firstRow="1" w:lastRow="0" w:firstColumn="0" w:lastColumn="0" w:oddVBand="0" w:evenVBand="0" w:oddHBand="0" w:evenHBand="0" w:firstRowFirstColumn="0" w:firstRowLastColumn="0" w:lastRowFirstColumn="0" w:lastRowLastColumn="0"/>
        </w:trPr>
        <w:tc>
          <w:tcPr>
            <w:tcW w:w="8931" w:type="dxa"/>
          </w:tcPr>
          <w:p w14:paraId="02CFA2C0" w14:textId="772C09D3" w:rsidR="008B6B10" w:rsidRPr="00602824" w:rsidRDefault="008B6B10" w:rsidP="009D3921">
            <w:pPr>
              <w:rPr>
                <w:b/>
                <w:bCs/>
              </w:rPr>
            </w:pPr>
            <w:bookmarkStart w:id="3" w:name="_Hlk202782382"/>
            <w:r w:rsidRPr="00602824">
              <w:rPr>
                <w:b/>
                <w:bCs/>
              </w:rPr>
              <w:t xml:space="preserve">The Prescribed List of </w:t>
            </w:r>
            <w:r w:rsidR="002974DB" w:rsidRPr="00602824">
              <w:rPr>
                <w:b/>
                <w:bCs/>
              </w:rPr>
              <w:t xml:space="preserve">Medical Devices and Human Tissue Products </w:t>
            </w:r>
          </w:p>
          <w:p w14:paraId="149B202F" w14:textId="215F0C7A" w:rsidR="002974DB" w:rsidRPr="00602824" w:rsidRDefault="002974DB" w:rsidP="009D3921">
            <w:r w:rsidRPr="00602824">
              <w:t xml:space="preserve">The Prescribed List (PL), </w:t>
            </w:r>
            <w:r w:rsidR="004B585C" w:rsidRPr="00602824">
              <w:t>(</w:t>
            </w:r>
            <w:r w:rsidRPr="00602824">
              <w:t>previously known as the Prostheses List) is a schedule to the Private Health Insurance (Medical Devices and Human Tissue Products) Rules 2024 that sets the minimum price a private health insurer must pay a hospital for medical devices and human tissue products received by private patients in privately insured episodes of care. This is a legislative instrument made under the Private Health Insurance Act 2007.</w:t>
            </w:r>
          </w:p>
          <w:p w14:paraId="1E3351E4" w14:textId="6B1B6405" w:rsidR="002974DB" w:rsidRPr="00602824" w:rsidRDefault="002974DB" w:rsidP="009D3921">
            <w:r w:rsidRPr="00602824">
              <w:t xml:space="preserve">The Minister of Health, Disability and Aged Care is responsible for administration of the PHI Act, including the PL. A range of stakeholders are involved in the provision, acquisition, funding and receipt of medical devices. These include the Department, private health insurers, private healthcare providers (i.e., private hospitals and day hospitals), medical technology companies, clinicians, and consumers. Their interactions in respect </w:t>
            </w:r>
            <w:r w:rsidR="0070173D" w:rsidRPr="00602824">
              <w:t xml:space="preserve">of </w:t>
            </w:r>
            <w:r w:rsidRPr="00602824">
              <w:t>the Prescribed List are summarised in Figure 1 below.</w:t>
            </w:r>
          </w:p>
          <w:p w14:paraId="5C3261AE" w14:textId="77777777" w:rsidR="002974DB" w:rsidRPr="00602824" w:rsidRDefault="002974DB" w:rsidP="009D3921">
            <w:r w:rsidRPr="00602824">
              <w:t xml:space="preserve">Since its introduction in 1985, the PL has undergone several reforms, reviews and changes. The PL is currently in four parts. For a device or product to be listed on the PL it must satisfy the criteria for listing for one of the four parts of the PL. </w:t>
            </w:r>
          </w:p>
          <w:p w14:paraId="13DA337E" w14:textId="1C761679" w:rsidR="002974DB" w:rsidRPr="00602824" w:rsidRDefault="002974DB" w:rsidP="009D3921">
            <w:pPr>
              <w:pStyle w:val="Bullet"/>
            </w:pPr>
            <w:r w:rsidRPr="00602824">
              <w:t>Part A – consists of medical devices used for specific therapy (not general use) that must be either surgically implantable devices or be essential and specifically designed as an integral single-use aid for implanting a device or be critical to the continuing function of the surgically implanted device.</w:t>
            </w:r>
          </w:p>
          <w:p w14:paraId="34F6361A" w14:textId="7B17AD28" w:rsidR="002974DB" w:rsidRPr="00602824" w:rsidRDefault="002974DB" w:rsidP="009D3921">
            <w:pPr>
              <w:pStyle w:val="Bullet"/>
            </w:pPr>
            <w:r w:rsidRPr="00602824">
              <w:t xml:space="preserve">Part B – consists of human tissue products. </w:t>
            </w:r>
          </w:p>
          <w:p w14:paraId="6486484D" w14:textId="732D7A68" w:rsidR="002974DB" w:rsidRPr="00602824" w:rsidRDefault="002974DB" w:rsidP="009D3921">
            <w:pPr>
              <w:pStyle w:val="Bullet"/>
            </w:pPr>
            <w:r w:rsidRPr="00602824">
              <w:t>Part C – covers the specified groups of medical devices stated in the Rules that do not meet the listing criteria for Part A, but which the Minister considers suitable for benefit payments by private health insurers.</w:t>
            </w:r>
          </w:p>
          <w:p w14:paraId="0E90AF68" w14:textId="39CFE7DA" w:rsidR="002974DB" w:rsidRPr="00602824" w:rsidRDefault="002974DB" w:rsidP="009D3921">
            <w:pPr>
              <w:pStyle w:val="Bullet"/>
            </w:pPr>
            <w:r w:rsidRPr="00602824">
              <w:t>Part D – consists of General Use Items (GUIs). GUIs include items not originally intended for the PL, including surgical consumables such as surgical glues.</w:t>
            </w:r>
          </w:p>
          <w:p w14:paraId="715D3A2F" w14:textId="5FA5DECE" w:rsidR="002974DB" w:rsidRPr="00602824" w:rsidRDefault="002974DB" w:rsidP="009D3921">
            <w:r w:rsidRPr="00602824">
              <w:t>The Department accepts applications on a continuous basis, and from 2019, the Prescribed List is typically published three times per year (effective 1 March, 1 July and 1 November).</w:t>
            </w:r>
          </w:p>
        </w:tc>
      </w:tr>
    </w:tbl>
    <w:p w14:paraId="76ABD0BF" w14:textId="6CCDB7A4" w:rsidR="0063269B" w:rsidRPr="00602824" w:rsidRDefault="0063269B" w:rsidP="00FB712C">
      <w:pPr>
        <w:pStyle w:val="Caption"/>
        <w:spacing w:before="360"/>
      </w:pPr>
      <w:bookmarkStart w:id="4" w:name="_Ref201055421"/>
      <w:bookmarkEnd w:id="3"/>
      <w:r w:rsidRPr="00602824">
        <w:t xml:space="preserve">Figure </w:t>
      </w:r>
      <w:r w:rsidR="002604D0">
        <w:fldChar w:fldCharType="begin"/>
      </w:r>
      <w:r w:rsidR="002604D0">
        <w:instrText xml:space="preserve"> SEQ Figure \* ARABIC </w:instrText>
      </w:r>
      <w:r w:rsidR="002604D0">
        <w:fldChar w:fldCharType="separate"/>
      </w:r>
      <w:r w:rsidR="00D30634">
        <w:rPr>
          <w:noProof/>
        </w:rPr>
        <w:t>1</w:t>
      </w:r>
      <w:r w:rsidR="002604D0">
        <w:fldChar w:fldCharType="end"/>
      </w:r>
      <w:bookmarkEnd w:id="4"/>
      <w:r w:rsidRPr="00602824">
        <w:t xml:space="preserve"> </w:t>
      </w:r>
      <w:bookmarkStart w:id="5" w:name="_Ref201055417"/>
      <w:r w:rsidRPr="00602824">
        <w:t>| Mechanism of the Prescribed List</w:t>
      </w:r>
      <w:bookmarkEnd w:id="5"/>
    </w:p>
    <w:p w14:paraId="387414D7" w14:textId="77777777" w:rsidR="0063269B" w:rsidRPr="00602824" w:rsidRDefault="0063269B" w:rsidP="0063269B">
      <w:pPr>
        <w:rPr>
          <w:lang w:eastAsia="en-AU"/>
        </w:rPr>
      </w:pPr>
      <w:r w:rsidRPr="00AC7E3F">
        <w:rPr>
          <w:noProof/>
          <w:sz w:val="16"/>
          <w:szCs w:val="16"/>
        </w:rPr>
        <w:drawing>
          <wp:inline distT="0" distB="0" distL="0" distR="0" wp14:anchorId="19F5088E" wp14:editId="4735AB4F">
            <wp:extent cx="5667469" cy="2567886"/>
            <wp:effectExtent l="0" t="0" r="0" b="4445"/>
            <wp:docPr id="772858009" name="Picture 26" descr="Diagram showing the mechanism of the Prescribed List, mapping interactions between the Department, insurers, hospitals, clinicians, device companies, and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58009" name="Picture 26" descr="Diagram showing the mechanism of the Prescribed List, mapping interactions between the Department, insurers, hospitals, clinicians, device companies, and consumer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3719" cy="2570718"/>
                    </a:xfrm>
                    <a:prstGeom prst="rect">
                      <a:avLst/>
                    </a:prstGeom>
                  </pic:spPr>
                </pic:pic>
              </a:graphicData>
            </a:graphic>
          </wp:inline>
        </w:drawing>
      </w:r>
    </w:p>
    <w:p w14:paraId="6AF6608B" w14:textId="77777777" w:rsidR="00C11184" w:rsidRPr="00602824" w:rsidRDefault="00C11184" w:rsidP="00C11184">
      <w:pPr>
        <w:pStyle w:val="Heading1"/>
        <w:numPr>
          <w:ilvl w:val="0"/>
          <w:numId w:val="0"/>
        </w:numPr>
        <w:ind w:left="360" w:hanging="360"/>
      </w:pPr>
      <w:bookmarkStart w:id="6" w:name="_Toc209176964"/>
      <w:r w:rsidRPr="00602824">
        <w:lastRenderedPageBreak/>
        <w:t>Executive summary</w:t>
      </w:r>
      <w:bookmarkEnd w:id="6"/>
    </w:p>
    <w:p w14:paraId="30A1D347" w14:textId="77777777" w:rsidR="002B429A" w:rsidRPr="00602824" w:rsidRDefault="00AC68AD" w:rsidP="00B553AF">
      <w:pPr>
        <w:rPr>
          <w:lang w:eastAsia="en-AU"/>
        </w:rPr>
      </w:pPr>
      <w:r w:rsidRPr="00602824">
        <w:rPr>
          <w:lang w:eastAsia="en-AU"/>
        </w:rPr>
        <w:t xml:space="preserve">The Department of Health, Disability and Aged Care commissioned the Nous Group to evaluate the reforms to the PL reforms between 2022 and 2026. The reforms were introduced in the 2021-22 Federal Budget, seeking to “reduce the cost of medical devices used in the private health sector and streamline access to new medical devices.”  </w:t>
      </w:r>
    </w:p>
    <w:p w14:paraId="11113554" w14:textId="6DCD26D8" w:rsidR="00A337E4" w:rsidRPr="00602824" w:rsidRDefault="00AC68AD" w:rsidP="00B553AF">
      <w:pPr>
        <w:rPr>
          <w:lang w:eastAsia="en-AU"/>
        </w:rPr>
      </w:pPr>
      <w:r w:rsidRPr="00602824">
        <w:rPr>
          <w:lang w:eastAsia="en-AU"/>
        </w:rPr>
        <w:t xml:space="preserve">To date, Nous has developed an Evaluation Framework, a Baseline </w:t>
      </w:r>
      <w:r w:rsidR="003D4197" w:rsidRPr="00602824">
        <w:rPr>
          <w:lang w:eastAsia="en-AU"/>
        </w:rPr>
        <w:t>Evaluation rep</w:t>
      </w:r>
      <w:r w:rsidRPr="00602824">
        <w:rPr>
          <w:lang w:eastAsia="en-AU"/>
        </w:rPr>
        <w:t xml:space="preserve">ort and Interim </w:t>
      </w:r>
      <w:r w:rsidR="0081254B" w:rsidRPr="00602824">
        <w:rPr>
          <w:lang w:eastAsia="en-AU"/>
        </w:rPr>
        <w:t>Evaluation</w:t>
      </w:r>
      <w:r w:rsidRPr="00602824">
        <w:rPr>
          <w:lang w:eastAsia="en-AU"/>
        </w:rPr>
        <w:t xml:space="preserve"> #1</w:t>
      </w:r>
      <w:r w:rsidR="003D4197" w:rsidRPr="00602824">
        <w:rPr>
          <w:lang w:eastAsia="en-AU"/>
        </w:rPr>
        <w:t xml:space="preserve"> report</w:t>
      </w:r>
      <w:r w:rsidRPr="00602824">
        <w:rPr>
          <w:lang w:eastAsia="en-AU"/>
        </w:rPr>
        <w:t xml:space="preserve">, which covered the implementation of the reforms until June 2024.  </w:t>
      </w:r>
    </w:p>
    <w:p w14:paraId="00FB173B" w14:textId="01C5DAE5" w:rsidR="00B553AF" w:rsidRPr="00602824" w:rsidRDefault="007B16EF" w:rsidP="00B553AF">
      <w:r w:rsidRPr="00602824">
        <w:rPr>
          <w:lang w:eastAsia="en-AU"/>
        </w:rPr>
        <w:t xml:space="preserve">This </w:t>
      </w:r>
      <w:r w:rsidR="007164FA" w:rsidRPr="00602824">
        <w:rPr>
          <w:i/>
          <w:lang w:eastAsia="en-AU"/>
        </w:rPr>
        <w:t xml:space="preserve">Interim </w:t>
      </w:r>
      <w:r w:rsidR="0081254B" w:rsidRPr="00602824">
        <w:rPr>
          <w:i/>
          <w:iCs/>
          <w:lang w:eastAsia="en-AU"/>
        </w:rPr>
        <w:t xml:space="preserve">Evaluation </w:t>
      </w:r>
      <w:r w:rsidR="007164FA" w:rsidRPr="00602824">
        <w:rPr>
          <w:i/>
          <w:iCs/>
          <w:lang w:eastAsia="en-AU"/>
        </w:rPr>
        <w:t>#2</w:t>
      </w:r>
      <w:r w:rsidR="007164FA" w:rsidRPr="00602824">
        <w:rPr>
          <w:lang w:eastAsia="en-AU"/>
        </w:rPr>
        <w:t xml:space="preserve"> </w:t>
      </w:r>
      <w:r w:rsidR="003D4197" w:rsidRPr="00602824">
        <w:rPr>
          <w:i/>
          <w:iCs/>
          <w:lang w:eastAsia="en-AU"/>
        </w:rPr>
        <w:t>report</w:t>
      </w:r>
      <w:r w:rsidR="007164FA" w:rsidRPr="00602824">
        <w:rPr>
          <w:lang w:eastAsia="en-AU"/>
        </w:rPr>
        <w:t xml:space="preserve"> </w:t>
      </w:r>
      <w:r w:rsidR="00B553AF" w:rsidRPr="00602824">
        <w:rPr>
          <w:lang w:eastAsia="en-AU"/>
        </w:rPr>
        <w:t>broadly covers the period from July 2024 to June 2025 and builds on the first interim report.</w:t>
      </w:r>
      <w:r w:rsidR="00B553AF" w:rsidRPr="00602824">
        <w:t xml:space="preserve"> The various timeframes for the data used in this report are:</w:t>
      </w:r>
    </w:p>
    <w:p w14:paraId="19901C87" w14:textId="18F98FFD" w:rsidR="00083D0C" w:rsidRPr="00602824" w:rsidRDefault="00083D0C" w:rsidP="00083D0C">
      <w:pPr>
        <w:pStyle w:val="Bullet"/>
      </w:pPr>
      <w:r w:rsidRPr="00602824">
        <w:t>Reform activity from July 2024 to June 2025, with additional commentary on ongoing implementation</w:t>
      </w:r>
      <w:r w:rsidR="00300CAF">
        <w:t>.</w:t>
      </w:r>
    </w:p>
    <w:p w14:paraId="48A32B01" w14:textId="66380B3C" w:rsidR="00083D0C" w:rsidRPr="00602824" w:rsidRDefault="00083D0C" w:rsidP="00083D0C">
      <w:pPr>
        <w:pStyle w:val="Bullet"/>
      </w:pPr>
      <w:r w:rsidRPr="00602824">
        <w:rPr>
          <w:rFonts w:asciiTheme="minorHAnsi" w:hAnsiTheme="minorHAnsi" w:cstheme="minorHAnsi"/>
        </w:rPr>
        <w:t>Stakeholder</w:t>
      </w:r>
      <w:r w:rsidR="007D350D" w:rsidRPr="00602824">
        <w:rPr>
          <w:rFonts w:asciiTheme="minorHAnsi" w:hAnsiTheme="minorHAnsi" w:cstheme="minorHAnsi"/>
        </w:rPr>
        <w:t xml:space="preserve"> </w:t>
      </w:r>
      <w:r w:rsidR="007D350D" w:rsidRPr="00927CEC">
        <w:rPr>
          <w:rFonts w:asciiTheme="minorHAnsi" w:hAnsiTheme="minorHAnsi" w:cstheme="minorHAnsi"/>
        </w:rPr>
        <w:t>c</w:t>
      </w:r>
      <w:r w:rsidRPr="00602824">
        <w:t xml:space="preserve">onsultations </w:t>
      </w:r>
      <w:r w:rsidR="00C31193" w:rsidRPr="00602824">
        <w:t>undertaken</w:t>
      </w:r>
      <w:r w:rsidRPr="00602824">
        <w:t xml:space="preserve"> between April and June 2025</w:t>
      </w:r>
      <w:r w:rsidR="00300CAF">
        <w:t>.</w:t>
      </w:r>
    </w:p>
    <w:p w14:paraId="6F36903E" w14:textId="55E605E5" w:rsidR="00083D0C" w:rsidRPr="00602824" w:rsidRDefault="00083D0C" w:rsidP="00E067BF">
      <w:pPr>
        <w:pStyle w:val="Bullet"/>
      </w:pPr>
      <w:r w:rsidRPr="00602824">
        <w:t>Measures based on published data are reported up to June 2024, unless otherwise stated, due to standard delays in data availability</w:t>
      </w:r>
      <w:r w:rsidR="001B22B5" w:rsidRPr="00E067BF">
        <w:rPr>
          <w:iCs/>
        </w:rPr>
        <w:t>.</w:t>
      </w:r>
    </w:p>
    <w:p w14:paraId="2A7EFE14" w14:textId="558FEA68" w:rsidR="00AC68AD" w:rsidRPr="00602824" w:rsidRDefault="00B553AF" w:rsidP="00AC68AD">
      <w:r w:rsidRPr="00602824">
        <w:t xml:space="preserve">Like </w:t>
      </w:r>
      <w:r w:rsidRPr="00602824">
        <w:rPr>
          <w:i/>
        </w:rPr>
        <w:t xml:space="preserve">Interim </w:t>
      </w:r>
      <w:r w:rsidR="0081254B" w:rsidRPr="00602824">
        <w:rPr>
          <w:i/>
          <w:iCs/>
        </w:rPr>
        <w:t>Evaluation</w:t>
      </w:r>
      <w:r w:rsidRPr="00602824">
        <w:rPr>
          <w:i/>
        </w:rPr>
        <w:t xml:space="preserve"> #1</w:t>
      </w:r>
      <w:r w:rsidR="003D4197" w:rsidRPr="00602824">
        <w:rPr>
          <w:i/>
          <w:iCs/>
        </w:rPr>
        <w:t xml:space="preserve"> report</w:t>
      </w:r>
      <w:r w:rsidRPr="00602824">
        <w:t>, this report is structured by the eight stated reform objectives from the original Evaluation Framework which sit alongside the series of reform projects identified to achieve them.</w:t>
      </w:r>
    </w:p>
    <w:p w14:paraId="3B509165" w14:textId="77777777" w:rsidR="002E48B3" w:rsidRPr="00602824" w:rsidRDefault="002E48B3" w:rsidP="002E48B3">
      <w:pPr>
        <w:pStyle w:val="Heading4"/>
      </w:pPr>
      <w:r w:rsidRPr="00602824">
        <w:t>Findings from this report</w:t>
      </w:r>
    </w:p>
    <w:p w14:paraId="0F413191" w14:textId="16998CF8" w:rsidR="00141F36" w:rsidRPr="00602824" w:rsidRDefault="0033521C" w:rsidP="00B553AF">
      <w:r w:rsidRPr="00602824">
        <w:t>Finding</w:t>
      </w:r>
      <w:r w:rsidR="006C0BB8" w:rsidRPr="00602824">
        <w:t xml:space="preserve">s </w:t>
      </w:r>
      <w:r w:rsidR="003A6D26" w:rsidRPr="00602824">
        <w:t xml:space="preserve">from </w:t>
      </w:r>
      <w:r w:rsidR="003A6D26" w:rsidRPr="00602824">
        <w:rPr>
          <w:i/>
        </w:rPr>
        <w:t xml:space="preserve">Interim </w:t>
      </w:r>
      <w:r w:rsidR="0081254B" w:rsidRPr="00602824">
        <w:rPr>
          <w:i/>
          <w:iCs/>
        </w:rPr>
        <w:t xml:space="preserve">Evaluation </w:t>
      </w:r>
      <w:r w:rsidR="003A6D26" w:rsidRPr="00602824">
        <w:rPr>
          <w:i/>
          <w:iCs/>
        </w:rPr>
        <w:t>#2</w:t>
      </w:r>
      <w:r w:rsidR="003D4197" w:rsidRPr="00602824">
        <w:rPr>
          <w:i/>
          <w:iCs/>
        </w:rPr>
        <w:t xml:space="preserve"> report</w:t>
      </w:r>
      <w:r w:rsidR="003A6D26" w:rsidRPr="00602824">
        <w:t xml:space="preserve"> </w:t>
      </w:r>
      <w:r w:rsidR="006038A3" w:rsidRPr="00602824">
        <w:t>rei</w:t>
      </w:r>
      <w:r w:rsidR="006C0E06" w:rsidRPr="00602824">
        <w:t xml:space="preserve">nforce </w:t>
      </w:r>
      <w:r w:rsidR="00D83B07" w:rsidRPr="00602824">
        <w:t xml:space="preserve">and provide further commentary on </w:t>
      </w:r>
      <w:r w:rsidR="006C0E06" w:rsidRPr="00602824">
        <w:t xml:space="preserve">many of the </w:t>
      </w:r>
      <w:r w:rsidR="008D6D29" w:rsidRPr="00602824">
        <w:t xml:space="preserve">findings </w:t>
      </w:r>
      <w:r w:rsidR="00635EC0" w:rsidRPr="00602824">
        <w:t xml:space="preserve">from </w:t>
      </w:r>
      <w:r w:rsidR="00635EC0" w:rsidRPr="00602824">
        <w:rPr>
          <w:i/>
        </w:rPr>
        <w:t xml:space="preserve">Interim </w:t>
      </w:r>
      <w:r w:rsidR="0081254B" w:rsidRPr="00602824">
        <w:rPr>
          <w:i/>
          <w:iCs/>
        </w:rPr>
        <w:t xml:space="preserve">Evaluation </w:t>
      </w:r>
      <w:r w:rsidR="00635EC0" w:rsidRPr="00602824">
        <w:rPr>
          <w:i/>
        </w:rPr>
        <w:t>#1</w:t>
      </w:r>
      <w:r w:rsidR="003D4197" w:rsidRPr="00602824">
        <w:rPr>
          <w:i/>
          <w:iCs/>
        </w:rPr>
        <w:t xml:space="preserve"> report</w:t>
      </w:r>
      <w:r w:rsidR="00635EC0" w:rsidRPr="00602824">
        <w:t xml:space="preserve">. </w:t>
      </w:r>
    </w:p>
    <w:p w14:paraId="7B65E1CF" w14:textId="496C0F23" w:rsidR="0033521C" w:rsidRPr="00602824" w:rsidRDefault="00D44E07" w:rsidP="00B553AF">
      <w:r w:rsidRPr="00602824">
        <w:rPr>
          <w:rFonts w:asciiTheme="majorHAnsi" w:hAnsiTheme="majorHAnsi" w:cstheme="majorHAnsi"/>
        </w:rPr>
        <w:t xml:space="preserve">Findings </w:t>
      </w:r>
      <w:r w:rsidR="004A48D7" w:rsidRPr="00602824">
        <w:rPr>
          <w:rFonts w:asciiTheme="majorHAnsi" w:hAnsiTheme="majorHAnsi" w:cstheme="majorHAnsi"/>
        </w:rPr>
        <w:t xml:space="preserve">that indicate </w:t>
      </w:r>
      <w:r w:rsidR="008719EA" w:rsidRPr="00602824">
        <w:rPr>
          <w:rFonts w:asciiTheme="majorHAnsi" w:hAnsiTheme="majorHAnsi" w:cstheme="majorHAnsi"/>
        </w:rPr>
        <w:t>the reforms are continuing to achieve their objectives include</w:t>
      </w:r>
      <w:r w:rsidR="00DA3890" w:rsidRPr="00602824">
        <w:t>:</w:t>
      </w:r>
    </w:p>
    <w:p w14:paraId="392BA6AC" w14:textId="30D3ADE1" w:rsidR="0028715C" w:rsidRPr="00602824" w:rsidRDefault="000B4294">
      <w:pPr>
        <w:pStyle w:val="Bullet"/>
      </w:pPr>
      <w:r w:rsidRPr="00602824">
        <w:t xml:space="preserve">Overall, benefit reductions </w:t>
      </w:r>
      <w:r w:rsidR="00893C90" w:rsidRPr="00602824">
        <w:t xml:space="preserve">were implemented as planned, </w:t>
      </w:r>
      <w:r w:rsidR="008D5DF9" w:rsidRPr="00602824">
        <w:t xml:space="preserve">although the </w:t>
      </w:r>
      <w:r w:rsidR="003803A3" w:rsidRPr="00602824">
        <w:t xml:space="preserve">benefit reductions for CIED </w:t>
      </w:r>
      <w:r w:rsidR="00AB5A03" w:rsidRPr="00602824">
        <w:t>were amended</w:t>
      </w:r>
      <w:r w:rsidR="00300CAF">
        <w:t xml:space="preserve"> </w:t>
      </w:r>
      <w:r w:rsidR="00E2293F" w:rsidRPr="00602824">
        <w:t>(Objective 1)</w:t>
      </w:r>
      <w:r w:rsidR="00300CAF">
        <w:t>.</w:t>
      </w:r>
    </w:p>
    <w:p w14:paraId="5F75FF18" w14:textId="10EFE491" w:rsidR="00001FC8" w:rsidRPr="00602824" w:rsidRDefault="008A69F5">
      <w:pPr>
        <w:pStyle w:val="Bullet"/>
      </w:pPr>
      <w:r w:rsidRPr="00602824">
        <w:t xml:space="preserve">The Objectives of </w:t>
      </w:r>
      <w:r w:rsidR="0055330E" w:rsidRPr="00602824">
        <w:t xml:space="preserve">no additional out of pocket costs and maintaining clinician choice </w:t>
      </w:r>
      <w:r w:rsidR="00480C41" w:rsidRPr="00602824">
        <w:t xml:space="preserve">continued to be </w:t>
      </w:r>
      <w:r w:rsidR="008C3B1F" w:rsidRPr="00602824">
        <w:t xml:space="preserve">broadly </w:t>
      </w:r>
      <w:r w:rsidR="00480C41" w:rsidRPr="00602824">
        <w:t>achieved</w:t>
      </w:r>
      <w:r w:rsidR="008C3B1F" w:rsidRPr="00602824">
        <w:t xml:space="preserve"> (Objectives 2 and 3)</w:t>
      </w:r>
      <w:r w:rsidR="00F95C13" w:rsidRPr="00602824">
        <w:t xml:space="preserve"> although concerns were expressed at the margin</w:t>
      </w:r>
      <w:r w:rsidR="0011515C" w:rsidRPr="00602824">
        <w:t>.</w:t>
      </w:r>
      <w:r w:rsidR="00643C13" w:rsidRPr="00602824">
        <w:t xml:space="preserve"> Concerns relate to </w:t>
      </w:r>
      <w:r w:rsidR="00112F06" w:rsidRPr="00602824">
        <w:t>the risk of cost-shifting behaviou</w:t>
      </w:r>
      <w:r w:rsidR="00384663" w:rsidRPr="00602824">
        <w:t>r on out of pockets</w:t>
      </w:r>
      <w:r w:rsidR="00112F06" w:rsidRPr="00602824">
        <w:t xml:space="preserve"> and </w:t>
      </w:r>
      <w:r w:rsidR="00384663" w:rsidRPr="00602824">
        <w:t xml:space="preserve">potential limitations on clinician choice </w:t>
      </w:r>
      <w:r w:rsidR="00CD75B4" w:rsidRPr="00602824">
        <w:t>related to</w:t>
      </w:r>
      <w:r w:rsidR="00384663" w:rsidRPr="00602824">
        <w:t xml:space="preserve"> </w:t>
      </w:r>
      <w:r w:rsidR="00CD75B4" w:rsidRPr="00602824">
        <w:t>high cost/more advanced technologies.</w:t>
      </w:r>
    </w:p>
    <w:p w14:paraId="3EFF03A5" w14:textId="43C26795" w:rsidR="008C3B1F" w:rsidRPr="00602824" w:rsidRDefault="00A802F2">
      <w:pPr>
        <w:pStyle w:val="Bullet"/>
      </w:pPr>
      <w:r w:rsidRPr="00602824">
        <w:t>The</w:t>
      </w:r>
      <w:r w:rsidR="00F03121" w:rsidRPr="00602824">
        <w:t xml:space="preserve"> </w:t>
      </w:r>
      <w:r w:rsidR="00795E84" w:rsidRPr="00602824">
        <w:t xml:space="preserve">benefit reductions have continued to place downward pressure on the </w:t>
      </w:r>
      <w:r w:rsidR="00F03121" w:rsidRPr="00602824">
        <w:t>affordability of private health insurance</w:t>
      </w:r>
      <w:r w:rsidR="009C7E47" w:rsidRPr="00602824">
        <w:t xml:space="preserve">. </w:t>
      </w:r>
      <w:r w:rsidR="00E30E39" w:rsidRPr="00602824">
        <w:t xml:space="preserve">But while the benefit reductions have resulted in PHI premiums being lower than they otherwise would have been, premiums have continued to rise </w:t>
      </w:r>
      <w:r w:rsidR="002E3D08" w:rsidRPr="00602824">
        <w:t>due</w:t>
      </w:r>
      <w:r w:rsidR="00E30E39" w:rsidRPr="00602824">
        <w:t xml:space="preserve"> to </w:t>
      </w:r>
      <w:r w:rsidR="002E3D08" w:rsidRPr="00602824">
        <w:t>other</w:t>
      </w:r>
      <w:r w:rsidR="00E30E39" w:rsidRPr="00602824">
        <w:t xml:space="preserve"> </w:t>
      </w:r>
      <w:r w:rsidR="00D372D2" w:rsidRPr="00602824">
        <w:t>forces</w:t>
      </w:r>
      <w:r w:rsidR="00A73786" w:rsidRPr="00602824">
        <w:t>, particularly the growth in volume of devices listed on the PL</w:t>
      </w:r>
      <w:r w:rsidR="00D372D2" w:rsidRPr="00602824">
        <w:t xml:space="preserve"> </w:t>
      </w:r>
      <w:r w:rsidR="00795E84" w:rsidRPr="00602824">
        <w:t>(Objective 4)</w:t>
      </w:r>
      <w:r w:rsidR="00300CAF">
        <w:t>.</w:t>
      </w:r>
    </w:p>
    <w:p w14:paraId="7BD2BEA5" w14:textId="54BD8500" w:rsidR="00B63607" w:rsidRPr="00602824" w:rsidRDefault="00B63607">
      <w:pPr>
        <w:pStyle w:val="Bullet"/>
      </w:pPr>
      <w:r w:rsidRPr="00602824">
        <w:t xml:space="preserve">Changes to governance have improved </w:t>
      </w:r>
      <w:r w:rsidR="003A0A35" w:rsidRPr="00602824">
        <w:t xml:space="preserve">the </w:t>
      </w:r>
      <w:r w:rsidRPr="00602824">
        <w:t xml:space="preserve">efficiency </w:t>
      </w:r>
      <w:r w:rsidR="003A0A35" w:rsidRPr="00602824">
        <w:t xml:space="preserve">of decision-making. </w:t>
      </w:r>
      <w:r w:rsidR="00CA078A" w:rsidRPr="00602824">
        <w:t>There are c</w:t>
      </w:r>
      <w:r w:rsidR="003A0A35" w:rsidRPr="00602824">
        <w:t>alls for greater transp</w:t>
      </w:r>
      <w:r w:rsidR="00CA078A" w:rsidRPr="00602824">
        <w:t xml:space="preserve">arency by some stakeholders and more opportunity </w:t>
      </w:r>
      <w:r w:rsidR="00B613ED" w:rsidRPr="00602824">
        <w:t>to impact decisions</w:t>
      </w:r>
      <w:r w:rsidR="00CA078A" w:rsidRPr="00602824">
        <w:t xml:space="preserve"> </w:t>
      </w:r>
      <w:r w:rsidRPr="00602824">
        <w:t xml:space="preserve">(Objective </w:t>
      </w:r>
      <w:r w:rsidR="0024221C" w:rsidRPr="00602824">
        <w:t>6)</w:t>
      </w:r>
      <w:r w:rsidR="00300CAF">
        <w:t>.</w:t>
      </w:r>
    </w:p>
    <w:p w14:paraId="575E6246" w14:textId="3F94F373" w:rsidR="00A802F2" w:rsidRPr="00602824" w:rsidRDefault="00F03121">
      <w:pPr>
        <w:pStyle w:val="Bullet"/>
      </w:pPr>
      <w:r w:rsidRPr="00602824">
        <w:t>Post Listing reviews have continued</w:t>
      </w:r>
      <w:r w:rsidR="008F488C" w:rsidRPr="00602824">
        <w:t>, with two reviews completed and a further two still underway</w:t>
      </w:r>
      <w:r w:rsidR="00FC7944" w:rsidRPr="00602824">
        <w:t xml:space="preserve"> over an extended period</w:t>
      </w:r>
      <w:r w:rsidR="00815237" w:rsidRPr="00602824">
        <w:t>. A new framework for future reviews has been developed (Objective 7)</w:t>
      </w:r>
      <w:r w:rsidR="00300CAF">
        <w:t>.</w:t>
      </w:r>
    </w:p>
    <w:p w14:paraId="7FE4A7C3" w14:textId="1D45F3D4" w:rsidR="007B4033" w:rsidRPr="00602824" w:rsidRDefault="007B4033">
      <w:pPr>
        <w:pStyle w:val="Bullet"/>
      </w:pPr>
      <w:r w:rsidRPr="00602824">
        <w:t xml:space="preserve">Cost recovery fees </w:t>
      </w:r>
      <w:r w:rsidR="00E51046">
        <w:t xml:space="preserve">and a cost recovery levy </w:t>
      </w:r>
      <w:r w:rsidRPr="00602824">
        <w:t>have been implemented (Objective 8)</w:t>
      </w:r>
      <w:r w:rsidR="00300CAF">
        <w:t>.</w:t>
      </w:r>
    </w:p>
    <w:p w14:paraId="408F1334" w14:textId="08054B48" w:rsidR="00FF4188" w:rsidRPr="00602824" w:rsidRDefault="00FF4188" w:rsidP="008E1342">
      <w:pPr>
        <w:rPr>
          <w:rFonts w:asciiTheme="majorHAnsi" w:hAnsiTheme="majorHAnsi" w:cstheme="majorHAnsi"/>
        </w:rPr>
      </w:pPr>
      <w:r w:rsidRPr="00602824">
        <w:rPr>
          <w:rFonts w:asciiTheme="majorHAnsi" w:hAnsiTheme="majorHAnsi" w:cstheme="majorHAnsi"/>
        </w:rPr>
        <w:t xml:space="preserve">Reform activities that </w:t>
      </w:r>
      <w:r w:rsidR="009C5C57" w:rsidRPr="00602824">
        <w:rPr>
          <w:rFonts w:asciiTheme="majorHAnsi" w:hAnsiTheme="majorHAnsi" w:cstheme="majorHAnsi"/>
        </w:rPr>
        <w:t>have not achieved</w:t>
      </w:r>
      <w:r w:rsidRPr="00602824">
        <w:rPr>
          <w:rFonts w:asciiTheme="majorHAnsi" w:hAnsiTheme="majorHAnsi" w:cstheme="majorHAnsi"/>
        </w:rPr>
        <w:t xml:space="preserve"> the</w:t>
      </w:r>
      <w:r w:rsidR="00DE082C" w:rsidRPr="00602824">
        <w:rPr>
          <w:rFonts w:asciiTheme="majorHAnsi" w:hAnsiTheme="majorHAnsi" w:cstheme="majorHAnsi"/>
        </w:rPr>
        <w:t>ir</w:t>
      </w:r>
      <w:r w:rsidRPr="00602824">
        <w:rPr>
          <w:rFonts w:asciiTheme="majorHAnsi" w:hAnsiTheme="majorHAnsi" w:cstheme="majorHAnsi"/>
        </w:rPr>
        <w:t xml:space="preserve"> planned </w:t>
      </w:r>
      <w:r w:rsidR="00DE082C" w:rsidRPr="00602824">
        <w:rPr>
          <w:rFonts w:asciiTheme="majorHAnsi" w:hAnsiTheme="majorHAnsi" w:cstheme="majorHAnsi"/>
        </w:rPr>
        <w:t>objectives</w:t>
      </w:r>
      <w:r w:rsidRPr="00602824">
        <w:rPr>
          <w:rFonts w:asciiTheme="majorHAnsi" w:hAnsiTheme="majorHAnsi" w:cstheme="majorHAnsi"/>
        </w:rPr>
        <w:t xml:space="preserve"> include</w:t>
      </w:r>
      <w:r w:rsidR="00DE082C" w:rsidRPr="00602824">
        <w:rPr>
          <w:rFonts w:asciiTheme="majorHAnsi" w:hAnsiTheme="majorHAnsi" w:cstheme="majorHAnsi"/>
        </w:rPr>
        <w:t>:</w:t>
      </w:r>
    </w:p>
    <w:p w14:paraId="0F041E52" w14:textId="6C08AEFC" w:rsidR="00296224" w:rsidRPr="00602824" w:rsidRDefault="00296224" w:rsidP="004545AC">
      <w:pPr>
        <w:pStyle w:val="Bullet"/>
      </w:pPr>
      <w:r w:rsidRPr="00602824">
        <w:t>Benefit reduction</w:t>
      </w:r>
      <w:r w:rsidR="00B613ED" w:rsidRPr="00602824">
        <w:t>s</w:t>
      </w:r>
      <w:r w:rsidRPr="00602824">
        <w:t xml:space="preserve"> for CIEDs</w:t>
      </w:r>
      <w:r w:rsidR="00887A05" w:rsidRPr="00602824">
        <w:t xml:space="preserve"> </w:t>
      </w:r>
      <w:r w:rsidR="003A2F08" w:rsidRPr="00602824">
        <w:t xml:space="preserve">remain unresolved </w:t>
      </w:r>
      <w:r w:rsidR="00B613ED" w:rsidRPr="00602824">
        <w:t xml:space="preserve">due to the complexity of arrangements for technical support services </w:t>
      </w:r>
      <w:r w:rsidR="00887A05" w:rsidRPr="00602824">
        <w:t>(Objective 1)</w:t>
      </w:r>
      <w:r w:rsidR="00300CAF">
        <w:t>.</w:t>
      </w:r>
    </w:p>
    <w:p w14:paraId="734F0E9A" w14:textId="05833B6F" w:rsidR="007C5E8C" w:rsidRPr="00602824" w:rsidRDefault="007C5E8C" w:rsidP="007C5E8C">
      <w:pPr>
        <w:pStyle w:val="Bullet"/>
      </w:pPr>
      <w:r w:rsidRPr="00602824">
        <w:t>Regrouping</w:t>
      </w:r>
      <w:r w:rsidR="0048165E" w:rsidRPr="00602824">
        <w:t xml:space="preserve"> </w:t>
      </w:r>
      <w:r w:rsidR="00D71D67" w:rsidRPr="00602824">
        <w:t xml:space="preserve">of the PL was </w:t>
      </w:r>
      <w:r w:rsidR="00D820FD" w:rsidRPr="00602824">
        <w:t xml:space="preserve">formally </w:t>
      </w:r>
      <w:r w:rsidR="00D71D67" w:rsidRPr="00602824">
        <w:t xml:space="preserve">discontinued </w:t>
      </w:r>
      <w:r w:rsidR="00D820FD" w:rsidRPr="00602824">
        <w:t xml:space="preserve">in May 2025, following </w:t>
      </w:r>
      <w:r w:rsidR="006731BF" w:rsidRPr="00602824">
        <w:t>the previous</w:t>
      </w:r>
      <w:r w:rsidR="00D820FD" w:rsidRPr="00602824">
        <w:t xml:space="preserve"> pause in implementation</w:t>
      </w:r>
      <w:r w:rsidR="006731BF" w:rsidRPr="00602824">
        <w:t xml:space="preserve"> </w:t>
      </w:r>
      <w:r w:rsidR="0048165E" w:rsidRPr="00602824">
        <w:t>(Objective 5)</w:t>
      </w:r>
      <w:r w:rsidR="00300CAF">
        <w:t>.</w:t>
      </w:r>
    </w:p>
    <w:p w14:paraId="08860D0A" w14:textId="52515295" w:rsidR="004545AC" w:rsidRPr="00602824" w:rsidRDefault="009712C6" w:rsidP="004545AC">
      <w:pPr>
        <w:pStyle w:val="Bullet"/>
      </w:pPr>
      <w:r w:rsidRPr="00602824">
        <w:t xml:space="preserve">The proposal to remove GUIs from the </w:t>
      </w:r>
      <w:r w:rsidR="00A119DB" w:rsidRPr="00602824">
        <w:t>PL</w:t>
      </w:r>
      <w:r w:rsidR="00963C25" w:rsidRPr="00602824">
        <w:t xml:space="preserve"> </w:t>
      </w:r>
      <w:r w:rsidR="00A119DB" w:rsidRPr="00602824">
        <w:t xml:space="preserve">was </w:t>
      </w:r>
      <w:r w:rsidR="00A4623B" w:rsidRPr="00602824">
        <w:t>abandoned</w:t>
      </w:r>
      <w:r w:rsidR="009B4E20" w:rsidRPr="00602824">
        <w:t xml:space="preserve"> </w:t>
      </w:r>
      <w:r w:rsidR="00140880" w:rsidRPr="00602824">
        <w:t xml:space="preserve">in </w:t>
      </w:r>
      <w:r w:rsidR="00CE642C" w:rsidRPr="00602824">
        <w:t xml:space="preserve">May 2024 </w:t>
      </w:r>
      <w:r w:rsidR="009B4E20" w:rsidRPr="00602824">
        <w:t>(O</w:t>
      </w:r>
      <w:r w:rsidR="0048165E" w:rsidRPr="00602824">
        <w:t>bjective 5)</w:t>
      </w:r>
      <w:r w:rsidR="00300CAF">
        <w:t>.</w:t>
      </w:r>
    </w:p>
    <w:p w14:paraId="417D4A36" w14:textId="05CB69CF" w:rsidR="00A9065D" w:rsidRPr="00602824" w:rsidRDefault="00A9065D" w:rsidP="004545AC">
      <w:pPr>
        <w:pStyle w:val="Bullet"/>
      </w:pPr>
      <w:r w:rsidRPr="00602824">
        <w:t xml:space="preserve">Reforms to the assessment pathways have been challenged by </w:t>
      </w:r>
      <w:r w:rsidR="0048165E" w:rsidRPr="00602824">
        <w:t>resourcing limitations (</w:t>
      </w:r>
      <w:r w:rsidR="009B4E20" w:rsidRPr="00602824">
        <w:t>O</w:t>
      </w:r>
      <w:r w:rsidR="0048165E" w:rsidRPr="00602824">
        <w:t>bjective 6</w:t>
      </w:r>
      <w:r w:rsidR="00887A05" w:rsidRPr="00602824">
        <w:t>)</w:t>
      </w:r>
      <w:r w:rsidR="00300CAF">
        <w:t>.</w:t>
      </w:r>
    </w:p>
    <w:p w14:paraId="487DDF73" w14:textId="7D35A5BA" w:rsidR="008D2211" w:rsidRPr="00602824" w:rsidRDefault="0024221C" w:rsidP="008D2211">
      <w:pPr>
        <w:pStyle w:val="Bullet"/>
      </w:pPr>
      <w:r w:rsidRPr="00602824">
        <w:lastRenderedPageBreak/>
        <w:t xml:space="preserve">Post listing reviews have </w:t>
      </w:r>
      <w:r w:rsidR="008D2211" w:rsidRPr="00602824">
        <w:t>taken excessive time in two cases (Objective 7)</w:t>
      </w:r>
      <w:r w:rsidR="00300CAF">
        <w:t>.</w:t>
      </w:r>
    </w:p>
    <w:p w14:paraId="66D97AC8" w14:textId="611F5453" w:rsidR="0066466D" w:rsidRPr="00F01993" w:rsidRDefault="0066466D">
      <w:pPr>
        <w:pStyle w:val="Bullet"/>
      </w:pPr>
      <w:r w:rsidRPr="00F01993">
        <w:t>Compliance activities have stalled</w:t>
      </w:r>
      <w:r w:rsidR="003A28CA" w:rsidRPr="00F01993">
        <w:t xml:space="preserve">, </w:t>
      </w:r>
      <w:r w:rsidR="006D46BD" w:rsidRPr="00F01993">
        <w:t xml:space="preserve">with </w:t>
      </w:r>
      <w:r w:rsidR="003A28CA" w:rsidRPr="00F01993">
        <w:t xml:space="preserve">the current level of compliance activity </w:t>
      </w:r>
      <w:r w:rsidR="006D46BD" w:rsidRPr="00F01993">
        <w:t>likely</w:t>
      </w:r>
      <w:r w:rsidR="003A28CA" w:rsidRPr="00F01993">
        <w:t xml:space="preserve"> insufficient to safeguard the PL</w:t>
      </w:r>
      <w:r w:rsidR="006D46BD" w:rsidRPr="00F01993">
        <w:t xml:space="preserve"> </w:t>
      </w:r>
      <w:r w:rsidRPr="00F01993">
        <w:t>(Objective 7)</w:t>
      </w:r>
      <w:r w:rsidR="003A2F08" w:rsidRPr="00F01993">
        <w:t>.</w:t>
      </w:r>
    </w:p>
    <w:p w14:paraId="6D59CE1B" w14:textId="0287874A" w:rsidR="00141F36" w:rsidRPr="00602824" w:rsidRDefault="00141F36" w:rsidP="002B39FD">
      <w:pPr>
        <w:pStyle w:val="Heading4"/>
      </w:pPr>
      <w:r w:rsidRPr="00602824">
        <w:t xml:space="preserve">Stakeholder perspectives remain </w:t>
      </w:r>
      <w:r w:rsidR="002B39FD" w:rsidRPr="00602824">
        <w:t>divided</w:t>
      </w:r>
    </w:p>
    <w:p w14:paraId="7B549273" w14:textId="15FFE4F6" w:rsidR="005456F4" w:rsidRPr="00602824" w:rsidRDefault="005456F4" w:rsidP="005456F4">
      <w:r w:rsidRPr="00602824">
        <w:t>Consumer representatives reported broad support for the PL mechanism</w:t>
      </w:r>
      <w:r w:rsidR="00475F6B" w:rsidRPr="00602824">
        <w:t xml:space="preserve"> and for the reform process, which they</w:t>
      </w:r>
      <w:r w:rsidRPr="00602824">
        <w:t xml:space="preserve"> believe contribute to </w:t>
      </w:r>
      <w:r w:rsidR="00F34AC2" w:rsidRPr="00602824">
        <w:t xml:space="preserve">constraining the </w:t>
      </w:r>
      <w:r w:rsidR="00F711FE" w:rsidRPr="00602824">
        <w:t>c</w:t>
      </w:r>
      <w:r w:rsidR="00F34AC2" w:rsidRPr="00602824">
        <w:t xml:space="preserve">ost of </w:t>
      </w:r>
      <w:r w:rsidR="00F711FE" w:rsidRPr="00602824">
        <w:t>private health insurance and maintaining safety and quality of care</w:t>
      </w:r>
      <w:r w:rsidR="00475F6B" w:rsidRPr="00602824">
        <w:t xml:space="preserve">. </w:t>
      </w:r>
    </w:p>
    <w:p w14:paraId="76833917" w14:textId="2B5392A0" w:rsidR="005456F4" w:rsidRPr="00602824" w:rsidRDefault="005456F4" w:rsidP="005456F4">
      <w:r w:rsidRPr="00602824">
        <w:t>The reforms are largely viewed as a contest between private sector stakeholders, who hold divergent views on the pace, depth</w:t>
      </w:r>
      <w:r w:rsidR="00F711FE" w:rsidRPr="00602824">
        <w:t>, r</w:t>
      </w:r>
      <w:r w:rsidRPr="00602824">
        <w:t>ationale</w:t>
      </w:r>
      <w:r w:rsidR="00F97D7C" w:rsidRPr="00602824">
        <w:t xml:space="preserve"> for</w:t>
      </w:r>
      <w:r w:rsidRPr="00602824">
        <w:t xml:space="preserve"> </w:t>
      </w:r>
      <w:r w:rsidR="00F711FE" w:rsidRPr="00602824">
        <w:t xml:space="preserve">and impact </w:t>
      </w:r>
      <w:r w:rsidRPr="00602824">
        <w:t>of benefit reductions.</w:t>
      </w:r>
      <w:r w:rsidR="00F97D7C" w:rsidRPr="00602824">
        <w:t xml:space="preserve"> These divergent views are set out </w:t>
      </w:r>
      <w:r w:rsidR="004A48D7" w:rsidRPr="00602824">
        <w:t>in this report</w:t>
      </w:r>
      <w:r w:rsidR="0026251E" w:rsidRPr="00602824">
        <w:t xml:space="preserve"> </w:t>
      </w:r>
      <w:r w:rsidR="00727BD5" w:rsidRPr="00602824">
        <w:t>against</w:t>
      </w:r>
      <w:r w:rsidR="0026251E" w:rsidRPr="00602824">
        <w:t xml:space="preserve"> </w:t>
      </w:r>
      <w:r w:rsidR="00BE4175" w:rsidRPr="00602824">
        <w:t>each</w:t>
      </w:r>
      <w:r w:rsidR="0026251E" w:rsidRPr="00602824">
        <w:t xml:space="preserve"> </w:t>
      </w:r>
      <w:r w:rsidR="00BE4175" w:rsidRPr="00602824">
        <w:t>o</w:t>
      </w:r>
      <w:r w:rsidR="0026251E" w:rsidRPr="00602824">
        <w:t>bjective of the reforms.</w:t>
      </w:r>
      <w:r w:rsidR="00FC1259" w:rsidRPr="00602824">
        <w:t xml:space="preserve"> </w:t>
      </w:r>
      <w:r w:rsidR="00F26722" w:rsidRPr="00602824">
        <w:t xml:space="preserve">The feedback received from </w:t>
      </w:r>
      <w:r w:rsidR="003B6D0F" w:rsidRPr="00602824">
        <w:t>stakeholders</w:t>
      </w:r>
      <w:r w:rsidR="00F26722" w:rsidRPr="00602824">
        <w:t xml:space="preserve"> </w:t>
      </w:r>
      <w:r w:rsidR="00B13DDA" w:rsidRPr="00602824">
        <w:t>has been summarised</w:t>
      </w:r>
      <w:r w:rsidR="00AF2D86" w:rsidRPr="00602824">
        <w:t xml:space="preserve"> for the purpose of clarity and brevity. Whilst efforts have been made to capture the essential content and key themes, the summaries in this report may not refle</w:t>
      </w:r>
      <w:r w:rsidR="00B17460" w:rsidRPr="00602824">
        <w:t xml:space="preserve">ct </w:t>
      </w:r>
      <w:r w:rsidR="009E50DB" w:rsidRPr="00602824">
        <w:t xml:space="preserve">all </w:t>
      </w:r>
      <w:r w:rsidR="00B17460" w:rsidRPr="00602824">
        <w:t xml:space="preserve">the nuances and particulars of the </w:t>
      </w:r>
      <w:r w:rsidR="002B2289" w:rsidRPr="00602824">
        <w:t>written feedback provided to the evaluation.</w:t>
      </w:r>
    </w:p>
    <w:p w14:paraId="1D2B0AB2" w14:textId="67CC20CF" w:rsidR="003C0566" w:rsidRPr="00602824" w:rsidRDefault="003C0566" w:rsidP="003C0566">
      <w:pPr>
        <w:pStyle w:val="Heading4"/>
      </w:pPr>
      <w:r w:rsidRPr="00602824">
        <w:t>Recommendations</w:t>
      </w:r>
    </w:p>
    <w:p w14:paraId="1CB53470" w14:textId="2682109B" w:rsidR="00AF07D2" w:rsidRPr="00602824" w:rsidRDefault="008E5A0E" w:rsidP="008E5A0E">
      <w:pPr>
        <w:rPr>
          <w:lang w:eastAsia="en-AU"/>
        </w:rPr>
      </w:pPr>
      <w:r w:rsidRPr="00602824">
        <w:rPr>
          <w:lang w:eastAsia="en-AU"/>
        </w:rPr>
        <w:fldChar w:fldCharType="begin"/>
      </w:r>
      <w:r w:rsidRPr="00602824">
        <w:rPr>
          <w:lang w:eastAsia="en-AU"/>
        </w:rPr>
        <w:instrText xml:space="preserve"> REF _Ref202918173 \h </w:instrText>
      </w:r>
      <w:r w:rsidRPr="00602824">
        <w:rPr>
          <w:lang w:eastAsia="en-AU"/>
        </w:rPr>
      </w:r>
      <w:r w:rsidRPr="00602824">
        <w:rPr>
          <w:lang w:eastAsia="en-AU"/>
        </w:rPr>
        <w:fldChar w:fldCharType="separate"/>
      </w:r>
      <w:r w:rsidR="00D30634" w:rsidRPr="00602824">
        <w:t xml:space="preserve">Table </w:t>
      </w:r>
      <w:r w:rsidR="00D30634">
        <w:rPr>
          <w:noProof/>
        </w:rPr>
        <w:t>1</w:t>
      </w:r>
      <w:r w:rsidRPr="00602824">
        <w:rPr>
          <w:lang w:eastAsia="en-AU"/>
        </w:rPr>
        <w:fldChar w:fldCharType="end"/>
      </w:r>
      <w:r w:rsidR="00807685" w:rsidRPr="00602824">
        <w:rPr>
          <w:lang w:eastAsia="en-AU"/>
        </w:rPr>
        <w:t xml:space="preserve"> outlines </w:t>
      </w:r>
      <w:r w:rsidR="00A15CEA" w:rsidRPr="00602824">
        <w:rPr>
          <w:lang w:eastAsia="en-AU"/>
        </w:rPr>
        <w:t>recommendations based</w:t>
      </w:r>
      <w:r w:rsidR="003C0566" w:rsidRPr="00602824">
        <w:rPr>
          <w:lang w:eastAsia="en-AU"/>
        </w:rPr>
        <w:t xml:space="preserve"> on the analysis undertak</w:t>
      </w:r>
      <w:r w:rsidR="00607E60" w:rsidRPr="00602824">
        <w:rPr>
          <w:lang w:eastAsia="en-AU"/>
        </w:rPr>
        <w:t>e</w:t>
      </w:r>
      <w:r w:rsidR="003C0566" w:rsidRPr="00602824">
        <w:rPr>
          <w:lang w:eastAsia="en-AU"/>
        </w:rPr>
        <w:t>n for this report</w:t>
      </w:r>
      <w:r w:rsidR="00A15CEA" w:rsidRPr="00602824">
        <w:rPr>
          <w:lang w:eastAsia="en-AU"/>
        </w:rPr>
        <w:t xml:space="preserve">. </w:t>
      </w:r>
      <w:r w:rsidR="00807685" w:rsidRPr="00602824">
        <w:rPr>
          <w:lang w:eastAsia="en-AU"/>
        </w:rPr>
        <w:t>These are interim recommendations that will be tested and expanded upon for</w:t>
      </w:r>
      <w:r w:rsidR="003C0566" w:rsidRPr="00602824">
        <w:rPr>
          <w:lang w:eastAsia="en-AU"/>
        </w:rPr>
        <w:t xml:space="preserve"> </w:t>
      </w:r>
      <w:r w:rsidR="00607E60" w:rsidRPr="00602824">
        <w:rPr>
          <w:lang w:eastAsia="en-AU"/>
        </w:rPr>
        <w:t xml:space="preserve">the </w:t>
      </w:r>
      <w:r w:rsidR="00807685" w:rsidRPr="00602824">
        <w:rPr>
          <w:lang w:eastAsia="en-AU"/>
        </w:rPr>
        <w:t>final evaluation report in 2026.</w:t>
      </w:r>
    </w:p>
    <w:p w14:paraId="173F1C2E" w14:textId="306E60F6" w:rsidR="008E5A0E" w:rsidRPr="00602824" w:rsidRDefault="008E5A0E" w:rsidP="00B50EE7">
      <w:pPr>
        <w:pStyle w:val="Caption"/>
      </w:pPr>
      <w:bookmarkStart w:id="7" w:name="_Ref202918173"/>
      <w:r w:rsidRPr="00602824">
        <w:t xml:space="preserve">Table </w:t>
      </w:r>
      <w:r w:rsidR="002604D0">
        <w:fldChar w:fldCharType="begin"/>
      </w:r>
      <w:r w:rsidR="002604D0">
        <w:instrText xml:space="preserve"> SEQ Table \* ARABIC </w:instrText>
      </w:r>
      <w:r w:rsidR="002604D0">
        <w:fldChar w:fldCharType="separate"/>
      </w:r>
      <w:r w:rsidR="00D30634">
        <w:rPr>
          <w:noProof/>
        </w:rPr>
        <w:t>1</w:t>
      </w:r>
      <w:r w:rsidR="002604D0">
        <w:fldChar w:fldCharType="end"/>
      </w:r>
      <w:bookmarkEnd w:id="7"/>
      <w:r w:rsidRPr="00602824">
        <w:t xml:space="preserve"> | </w:t>
      </w:r>
      <w:r w:rsidRPr="0007510A">
        <w:rPr>
          <w:i/>
          <w:iCs/>
        </w:rPr>
        <w:t>Interim Evaluation #2 report</w:t>
      </w:r>
      <w:r w:rsidRPr="00602824">
        <w:t xml:space="preserve"> recommendations</w:t>
      </w:r>
    </w:p>
    <w:tbl>
      <w:tblPr>
        <w:tblStyle w:val="NOUS1"/>
        <w:tblW w:w="0" w:type="auto"/>
        <w:tblLook w:val="04A0" w:firstRow="1" w:lastRow="0" w:firstColumn="1" w:lastColumn="0" w:noHBand="0" w:noVBand="1"/>
      </w:tblPr>
      <w:tblGrid>
        <w:gridCol w:w="7088"/>
        <w:gridCol w:w="1832"/>
      </w:tblGrid>
      <w:tr w:rsidR="008E5A0E" w:rsidRPr="00602824" w14:paraId="5119F46B" w14:textId="77777777" w:rsidTr="008E5A0E">
        <w:trPr>
          <w:cnfStyle w:val="100000000000" w:firstRow="1" w:lastRow="0" w:firstColumn="0" w:lastColumn="0" w:oddVBand="0" w:evenVBand="0" w:oddHBand="0" w:evenHBand="0" w:firstRowFirstColumn="0" w:firstRowLastColumn="0" w:lastRowFirstColumn="0" w:lastRowLastColumn="0"/>
        </w:trPr>
        <w:tc>
          <w:tcPr>
            <w:tcW w:w="7088" w:type="dxa"/>
          </w:tcPr>
          <w:p w14:paraId="788AA73C" w14:textId="77DCC018" w:rsidR="008E5A0E" w:rsidRPr="00602824" w:rsidRDefault="008E5A0E" w:rsidP="00FB712C">
            <w:pPr>
              <w:pStyle w:val="TableNheader"/>
              <w:keepNext w:val="0"/>
              <w:spacing w:before="60" w:after="60" w:line="240" w:lineRule="auto"/>
            </w:pPr>
            <w:r w:rsidRPr="00602824">
              <w:t>Recommendation</w:t>
            </w:r>
          </w:p>
        </w:tc>
        <w:tc>
          <w:tcPr>
            <w:tcW w:w="1832" w:type="dxa"/>
          </w:tcPr>
          <w:p w14:paraId="7A3EAA58" w14:textId="46EAD68D" w:rsidR="008E5A0E" w:rsidRPr="00602824" w:rsidRDefault="008E5A0E" w:rsidP="00FB712C">
            <w:pPr>
              <w:pStyle w:val="TableNheader"/>
              <w:keepNext w:val="0"/>
              <w:spacing w:before="60" w:after="60" w:line="240" w:lineRule="auto"/>
            </w:pPr>
            <w:r w:rsidRPr="00602824">
              <w:t>Reform project</w:t>
            </w:r>
          </w:p>
        </w:tc>
      </w:tr>
      <w:tr w:rsidR="008E5A0E" w:rsidRPr="00602824" w14:paraId="2C5D266F" w14:textId="77777777" w:rsidTr="008E5A0E">
        <w:tc>
          <w:tcPr>
            <w:tcW w:w="7088" w:type="dxa"/>
          </w:tcPr>
          <w:p w14:paraId="1CCFDD6E" w14:textId="77777777" w:rsidR="008E5A0E" w:rsidRPr="00602824" w:rsidRDefault="008E5A0E" w:rsidP="00FB712C">
            <w:pPr>
              <w:pStyle w:val="TableNheader"/>
              <w:keepNext w:val="0"/>
              <w:spacing w:before="60" w:after="60" w:line="240" w:lineRule="auto"/>
            </w:pPr>
            <w:r w:rsidRPr="00602824">
              <w:t xml:space="preserve">1. Review the potential role of international benchmarking in benefit setting and future reforms </w:t>
            </w:r>
          </w:p>
          <w:p w14:paraId="6BC28FD9" w14:textId="4B0FD6BC" w:rsidR="008E5A0E" w:rsidRPr="00602824" w:rsidRDefault="008E5A0E" w:rsidP="00FB712C">
            <w:pPr>
              <w:pStyle w:val="TableNText"/>
              <w:keepNext w:val="0"/>
              <w:spacing w:before="60" w:after="60" w:line="240" w:lineRule="auto"/>
            </w:pPr>
            <w:r w:rsidRPr="00602824">
              <w:t xml:space="preserve">While PL benefits are now better aligned with public sector prices, there is limited transparency around how they compare with international markets. A methodology could be developed to establish international benchmarks that include an appropriate Australian market premium – </w:t>
            </w:r>
            <w:proofErr w:type="gramStart"/>
            <w:r w:rsidRPr="00602824">
              <w:t>similar to</w:t>
            </w:r>
            <w:proofErr w:type="gramEnd"/>
            <w:r w:rsidRPr="00602824">
              <w:t xml:space="preserve"> how the 7% price floor was applied above public sector benchmarks during the reforms. This methodology could be applied to develop and update a comprehensive reference list</w:t>
            </w:r>
            <w:r w:rsidR="00AE3EBA" w:rsidRPr="00602824">
              <w:t xml:space="preserve"> that could</w:t>
            </w:r>
            <w:r w:rsidRPr="00602824">
              <w:t xml:space="preserve"> be used to review a subset of products (e.g. high-cost devices</w:t>
            </w:r>
            <w:r w:rsidR="00163D22" w:rsidRPr="00602824">
              <w:t>) or</w:t>
            </w:r>
            <w:r w:rsidRPr="00602824">
              <w:t xml:space="preserve"> used on an ad hoc basis. If established, these international benchmarks could provide a useful additional input into PL application assessments, post-listing reviews and future reform decisions.</w:t>
            </w:r>
          </w:p>
        </w:tc>
        <w:tc>
          <w:tcPr>
            <w:tcW w:w="1832" w:type="dxa"/>
          </w:tcPr>
          <w:p w14:paraId="22157603" w14:textId="2CC61BAE" w:rsidR="008E5A0E" w:rsidRPr="00602824" w:rsidRDefault="008E5A0E" w:rsidP="00FB712C">
            <w:pPr>
              <w:pStyle w:val="TableNText"/>
              <w:keepNext w:val="0"/>
              <w:spacing w:before="60" w:after="60" w:line="240" w:lineRule="auto"/>
            </w:pPr>
            <w:r w:rsidRPr="00602824">
              <w:t>Benefit reductions (Objective 1)</w:t>
            </w:r>
          </w:p>
        </w:tc>
      </w:tr>
      <w:tr w:rsidR="008E5A0E" w:rsidRPr="00602824" w14:paraId="41D03615" w14:textId="77777777" w:rsidTr="008E5A0E">
        <w:tc>
          <w:tcPr>
            <w:tcW w:w="7088" w:type="dxa"/>
          </w:tcPr>
          <w:p w14:paraId="63E0B18D" w14:textId="77777777" w:rsidR="008E5A0E" w:rsidRPr="00602824" w:rsidRDefault="008E5A0E" w:rsidP="00FB712C">
            <w:pPr>
              <w:pStyle w:val="TableNheader"/>
              <w:keepNext w:val="0"/>
              <w:spacing w:before="60" w:after="60" w:line="240" w:lineRule="auto"/>
            </w:pPr>
            <w:r w:rsidRPr="00602824">
              <w:t xml:space="preserve">2. Explore alternative funding models that separate CIED device and service costs </w:t>
            </w:r>
          </w:p>
          <w:p w14:paraId="0C9845E5" w14:textId="3E086848" w:rsidR="008E5A0E" w:rsidRPr="00602824" w:rsidRDefault="008E5A0E" w:rsidP="00FB712C">
            <w:pPr>
              <w:pStyle w:val="TableNText"/>
              <w:keepNext w:val="0"/>
              <w:spacing w:before="60" w:after="60" w:line="240" w:lineRule="auto"/>
            </w:pPr>
            <w:r w:rsidRPr="00602824">
              <w:t>In the medium term, the Department and the sector should explore alternative funding models that separate device and service costs, including the benefits and risks of the alternatives. Unbundling would support greater transparency and allow each component to be priced appropriately. Reform efforts could also include continued support for remote monitoring – in line with technological advances – and the potential development of a national CIED registry to improve oversight and service quality.</w:t>
            </w:r>
          </w:p>
        </w:tc>
        <w:tc>
          <w:tcPr>
            <w:tcW w:w="1832" w:type="dxa"/>
          </w:tcPr>
          <w:p w14:paraId="48BE264D" w14:textId="47209D54" w:rsidR="008E5A0E" w:rsidRPr="00602824" w:rsidRDefault="008E5A0E" w:rsidP="00FB712C">
            <w:pPr>
              <w:pStyle w:val="TableNText"/>
              <w:keepNext w:val="0"/>
              <w:spacing w:before="60" w:after="60" w:line="240" w:lineRule="auto"/>
            </w:pPr>
            <w:r w:rsidRPr="00602824">
              <w:t xml:space="preserve">Benefit reductions (Objective 1) </w:t>
            </w:r>
          </w:p>
        </w:tc>
      </w:tr>
      <w:tr w:rsidR="008E5A0E" w:rsidRPr="00602824" w14:paraId="5096905F" w14:textId="77777777" w:rsidTr="008E5A0E">
        <w:tc>
          <w:tcPr>
            <w:tcW w:w="7088" w:type="dxa"/>
          </w:tcPr>
          <w:p w14:paraId="773E1BC7" w14:textId="77777777" w:rsidR="008E5A0E" w:rsidRPr="00602824" w:rsidRDefault="008E5A0E" w:rsidP="00FB712C">
            <w:pPr>
              <w:pStyle w:val="TableNheader"/>
              <w:keepNext w:val="0"/>
              <w:spacing w:before="60" w:after="60" w:line="240" w:lineRule="auto"/>
            </w:pPr>
            <w:r w:rsidRPr="00602824">
              <w:t>3. Monitor the impact of PL conditions on clinician choice and access to advanced devices</w:t>
            </w:r>
          </w:p>
          <w:p w14:paraId="6BB7A2DC" w14:textId="39ADCBEE" w:rsidR="008E5A0E" w:rsidRPr="00602824" w:rsidRDefault="008E5A0E" w:rsidP="00FB712C">
            <w:pPr>
              <w:pStyle w:val="TableNText"/>
              <w:keepNext w:val="0"/>
              <w:spacing w:before="60" w:after="60" w:line="240" w:lineRule="auto"/>
            </w:pPr>
            <w:r w:rsidRPr="00602824">
              <w:t xml:space="preserve">Ongoing monitoring is needed to assess whether recent PL changes are limiting clinician choice or affecting timely access to advanced devices such as CIEDs, surgical guides and </w:t>
            </w:r>
            <w:r w:rsidR="00163D22">
              <w:t>biomodels</w:t>
            </w:r>
            <w:r w:rsidRPr="00602824">
              <w:t>. This will help ensure that reforms do not unintentionally compromise clinical decision-making or patient care.</w:t>
            </w:r>
          </w:p>
        </w:tc>
        <w:tc>
          <w:tcPr>
            <w:tcW w:w="1832" w:type="dxa"/>
          </w:tcPr>
          <w:p w14:paraId="7EEFCCF3" w14:textId="4940856B" w:rsidR="008E5A0E" w:rsidRPr="00602824" w:rsidRDefault="008E5A0E" w:rsidP="00FB712C">
            <w:pPr>
              <w:pStyle w:val="TableNText"/>
              <w:keepNext w:val="0"/>
              <w:spacing w:before="60" w:after="60" w:line="240" w:lineRule="auto"/>
            </w:pPr>
            <w:r w:rsidRPr="00602824">
              <w:t>Clinician choice (Objective 3)</w:t>
            </w:r>
          </w:p>
        </w:tc>
      </w:tr>
      <w:tr w:rsidR="008E5A0E" w:rsidRPr="00602824" w14:paraId="3F2EB8A9" w14:textId="77777777" w:rsidTr="008E5A0E">
        <w:tc>
          <w:tcPr>
            <w:tcW w:w="7088" w:type="dxa"/>
          </w:tcPr>
          <w:p w14:paraId="2D276F05" w14:textId="77777777" w:rsidR="008E5A0E" w:rsidRPr="00602824" w:rsidRDefault="008E5A0E" w:rsidP="00FB712C">
            <w:pPr>
              <w:pStyle w:val="TableNheader"/>
              <w:keepNext w:val="0"/>
              <w:spacing w:before="60" w:after="60" w:line="240" w:lineRule="auto"/>
            </w:pPr>
            <w:r w:rsidRPr="00602824">
              <w:t>4. Revisit the objective to regroup the PL by clinical use</w:t>
            </w:r>
          </w:p>
          <w:p w14:paraId="3B2D5D5C" w14:textId="5CDAE7A2" w:rsidR="008E5A0E" w:rsidRPr="00602824" w:rsidRDefault="008E5A0E" w:rsidP="00FB712C">
            <w:pPr>
              <w:pStyle w:val="TableNText"/>
              <w:keepNext w:val="0"/>
              <w:spacing w:before="60" w:after="60" w:line="240" w:lineRule="auto"/>
            </w:pPr>
            <w:r w:rsidRPr="00602824">
              <w:t xml:space="preserve">There is an opportunity to build on previous regrouping work to improve transparency and simplify the structure of the PL. Without the constraint of the former MOU ban on savings, a </w:t>
            </w:r>
            <w:r w:rsidRPr="00602824">
              <w:lastRenderedPageBreak/>
              <w:t>renewed effort could also help reduce pressure on PHI premiums. Any future regrouping would require updated analysis and consultation with stakeholders.</w:t>
            </w:r>
          </w:p>
        </w:tc>
        <w:tc>
          <w:tcPr>
            <w:tcW w:w="1832" w:type="dxa"/>
          </w:tcPr>
          <w:p w14:paraId="56636BE3" w14:textId="4B4B34E9" w:rsidR="008E5A0E" w:rsidRPr="00602824" w:rsidRDefault="008E5A0E" w:rsidP="00FB712C">
            <w:pPr>
              <w:pStyle w:val="TableNText"/>
              <w:keepNext w:val="0"/>
              <w:spacing w:before="60" w:after="60" w:line="240" w:lineRule="auto"/>
            </w:pPr>
            <w:r w:rsidRPr="00602824">
              <w:lastRenderedPageBreak/>
              <w:t>Regrouping (Objective 5)</w:t>
            </w:r>
          </w:p>
        </w:tc>
      </w:tr>
      <w:tr w:rsidR="008E5A0E" w:rsidRPr="00602824" w14:paraId="78CA71A0" w14:textId="77777777" w:rsidTr="008E5A0E">
        <w:tc>
          <w:tcPr>
            <w:tcW w:w="7088" w:type="dxa"/>
          </w:tcPr>
          <w:p w14:paraId="25F58ECC" w14:textId="38AEDB0C" w:rsidR="008E5A0E" w:rsidRPr="00602824" w:rsidRDefault="008E5A0E" w:rsidP="00FB712C">
            <w:pPr>
              <w:pStyle w:val="TableNheader"/>
              <w:keepNext w:val="0"/>
              <w:spacing w:before="60" w:after="60" w:line="240" w:lineRule="auto"/>
            </w:pPr>
            <w:r w:rsidRPr="00602824">
              <w:t xml:space="preserve">5. </w:t>
            </w:r>
            <w:r w:rsidR="00307B2A" w:rsidRPr="00307B2A">
              <w:t>Continue to explore development of a sustainable funding model for general use items</w:t>
            </w:r>
          </w:p>
          <w:p w14:paraId="7E6EF306" w14:textId="5873E3AD" w:rsidR="008E5A0E" w:rsidRPr="00602824" w:rsidRDefault="008E5A0E" w:rsidP="00FB712C">
            <w:pPr>
              <w:pStyle w:val="TableNText"/>
              <w:keepNext w:val="0"/>
              <w:spacing w:before="60" w:after="60" w:line="240" w:lineRule="auto"/>
            </w:pPr>
            <w:r w:rsidRPr="00602824">
              <w:t>The work undertaken during the reform process to explore alternative funding approaches for GUIs should be leveraged in the post-reform context. There is an opportunity to build on this investment to develop a workable, clinically appropriate model that reduces system costs without adverse outcomes. Any future approach should align with the broader policy objective of streamlining the PL’s scope to reduce cost pressures on private health insurers.</w:t>
            </w:r>
          </w:p>
        </w:tc>
        <w:tc>
          <w:tcPr>
            <w:tcW w:w="1832" w:type="dxa"/>
          </w:tcPr>
          <w:p w14:paraId="016E1FE6" w14:textId="1F399CB9" w:rsidR="008E5A0E" w:rsidRPr="00602824" w:rsidRDefault="008E5A0E" w:rsidP="00FB712C">
            <w:pPr>
              <w:pStyle w:val="TableNText"/>
              <w:keepNext w:val="0"/>
              <w:spacing w:before="60" w:after="60" w:line="240" w:lineRule="auto"/>
            </w:pPr>
            <w:r w:rsidRPr="00602824">
              <w:t xml:space="preserve">General use items (Objective 5) </w:t>
            </w:r>
          </w:p>
        </w:tc>
      </w:tr>
      <w:tr w:rsidR="008E5A0E" w:rsidRPr="00602824" w14:paraId="0128DE54" w14:textId="77777777" w:rsidTr="008E5A0E">
        <w:tc>
          <w:tcPr>
            <w:tcW w:w="7088" w:type="dxa"/>
          </w:tcPr>
          <w:p w14:paraId="068B92CA" w14:textId="2452C235" w:rsidR="008E5A0E" w:rsidRPr="00602824" w:rsidRDefault="008E5A0E" w:rsidP="00FB712C">
            <w:pPr>
              <w:pStyle w:val="TableNheader"/>
              <w:keepNext w:val="0"/>
              <w:spacing w:before="60" w:after="60" w:line="240" w:lineRule="auto"/>
            </w:pPr>
            <w:r w:rsidRPr="00602824">
              <w:t>6. R</w:t>
            </w:r>
            <w:r w:rsidR="00626D7C">
              <w:t>egularly r</w:t>
            </w:r>
            <w:r w:rsidRPr="00602824">
              <w:t>eview resourcing needs to strengthen application pathways and inform cost recovery planning</w:t>
            </w:r>
          </w:p>
          <w:p w14:paraId="483AF5E5" w14:textId="338B0CD3" w:rsidR="008E5A0E" w:rsidRPr="00602824" w:rsidRDefault="008E5A0E" w:rsidP="00FB712C">
            <w:pPr>
              <w:pStyle w:val="TableNText"/>
              <w:keepNext w:val="0"/>
              <w:spacing w:before="60" w:after="60" w:line="240" w:lineRule="auto"/>
            </w:pPr>
            <w:r w:rsidRPr="00602824">
              <w:t>The effectiveness of the application pathways would benefit from a review of resourcing requirements, including the level of expertise required, appropriate service standards, and the staffing structure needed to meet those standards. The findings should directly inform the design of the cost recovery model to ensure it supports a fit-for-purpose workforce.</w:t>
            </w:r>
          </w:p>
        </w:tc>
        <w:tc>
          <w:tcPr>
            <w:tcW w:w="1832" w:type="dxa"/>
          </w:tcPr>
          <w:p w14:paraId="137E150D" w14:textId="77777777" w:rsidR="008E5A0E" w:rsidRPr="00602824" w:rsidRDefault="008E5A0E" w:rsidP="00FB712C">
            <w:pPr>
              <w:pStyle w:val="TableNText"/>
              <w:keepNext w:val="0"/>
              <w:spacing w:before="60" w:after="60" w:line="240" w:lineRule="auto"/>
            </w:pPr>
            <w:r w:rsidRPr="00602824">
              <w:t>Assessment pathways (Objective 6)</w:t>
            </w:r>
          </w:p>
          <w:p w14:paraId="18F81ACD" w14:textId="66FA434D" w:rsidR="008E5A0E" w:rsidRPr="00602824" w:rsidRDefault="008E5A0E" w:rsidP="00FB712C">
            <w:pPr>
              <w:pStyle w:val="TableNText"/>
              <w:keepNext w:val="0"/>
              <w:spacing w:before="60" w:after="60" w:line="240" w:lineRule="auto"/>
            </w:pPr>
            <w:r w:rsidRPr="00602824">
              <w:t>Financial sustainability (Objective 8)</w:t>
            </w:r>
          </w:p>
        </w:tc>
      </w:tr>
      <w:tr w:rsidR="008E5A0E" w:rsidRPr="00602824" w14:paraId="2D2605DD" w14:textId="77777777" w:rsidTr="008E5A0E">
        <w:tc>
          <w:tcPr>
            <w:tcW w:w="7088" w:type="dxa"/>
          </w:tcPr>
          <w:p w14:paraId="7831D290" w14:textId="77777777" w:rsidR="008E5A0E" w:rsidRPr="00602824" w:rsidRDefault="008E5A0E" w:rsidP="00FB712C">
            <w:pPr>
              <w:pStyle w:val="TableNheader"/>
              <w:keepNext w:val="0"/>
              <w:spacing w:before="60" w:after="60" w:line="240" w:lineRule="auto"/>
            </w:pPr>
            <w:r w:rsidRPr="00602824">
              <w:t>7. Review application pathways and update guidance to reflect experience and clarify processes</w:t>
            </w:r>
          </w:p>
          <w:p w14:paraId="17E5E44E" w14:textId="2A67C74A" w:rsidR="008E5A0E" w:rsidRPr="00602824" w:rsidRDefault="008E5A0E" w:rsidP="00FB712C">
            <w:pPr>
              <w:pStyle w:val="TableNText"/>
              <w:keepNext w:val="0"/>
              <w:spacing w:before="60" w:after="60" w:line="240" w:lineRule="auto"/>
            </w:pPr>
            <w:r w:rsidRPr="00602824">
              <w:t>Following two years of implementation, the revised application pathways should be reviewed to identify targeted improvements that enhance clarity, efficiency and alignment with evidence. This review should inform updates to the PL Guide, including clearer guidance on assessment pathways, criteria for Ministerial recommendations, and the focused HTA process. Drawing on international experience may also support improvements. Clearer, more detailed guidance will help sponsors better navigate the system and reduce delays or confusion.</w:t>
            </w:r>
          </w:p>
        </w:tc>
        <w:tc>
          <w:tcPr>
            <w:tcW w:w="1832" w:type="dxa"/>
          </w:tcPr>
          <w:p w14:paraId="6974491E" w14:textId="53E0CB65" w:rsidR="008E5A0E" w:rsidRPr="00602824" w:rsidRDefault="008E5A0E" w:rsidP="00FB712C">
            <w:pPr>
              <w:pStyle w:val="TableNText"/>
              <w:keepNext w:val="0"/>
              <w:spacing w:before="60" w:after="60" w:line="240" w:lineRule="auto"/>
            </w:pPr>
            <w:r w:rsidRPr="00602824">
              <w:t>Assessment pathways (Objective 6)</w:t>
            </w:r>
          </w:p>
        </w:tc>
      </w:tr>
    </w:tbl>
    <w:p w14:paraId="41B54FF8" w14:textId="77777777" w:rsidR="00C20C57" w:rsidRPr="00602824" w:rsidRDefault="00C20C57" w:rsidP="000D5CE3">
      <w:pPr>
        <w:rPr>
          <w:lang w:eastAsia="en-AU"/>
        </w:rPr>
      </w:pPr>
    </w:p>
    <w:p w14:paraId="6699C0F7" w14:textId="77777777" w:rsidR="00C20C57" w:rsidRPr="00602824" w:rsidRDefault="00C20C57" w:rsidP="000D5CE3"/>
    <w:p w14:paraId="652EFCA1" w14:textId="77777777" w:rsidR="00C20C57" w:rsidRPr="00602824" w:rsidRDefault="00C20C57" w:rsidP="000D5CE3">
      <w:pPr>
        <w:sectPr w:rsidR="00C20C57" w:rsidRPr="00602824" w:rsidSect="00904D09">
          <w:footerReference w:type="default" r:id="rId17"/>
          <w:type w:val="continuous"/>
          <w:pgSz w:w="11907" w:h="16839" w:code="9"/>
          <w:pgMar w:top="1247" w:right="1418" w:bottom="1701" w:left="1559" w:header="720" w:footer="720" w:gutter="0"/>
          <w:pgNumType w:start="1"/>
          <w:cols w:space="720"/>
          <w:docGrid w:linePitch="360"/>
        </w:sectPr>
      </w:pPr>
    </w:p>
    <w:p w14:paraId="255FD707" w14:textId="1189F928" w:rsidR="00580898" w:rsidRPr="00602824" w:rsidRDefault="008E280C" w:rsidP="00205FAD">
      <w:pPr>
        <w:pStyle w:val="Heading2"/>
        <w:numPr>
          <w:ilvl w:val="0"/>
          <w:numId w:val="0"/>
        </w:numPr>
        <w:spacing w:before="0"/>
      </w:pPr>
      <w:bookmarkStart w:id="8" w:name="_Toc209176965"/>
      <w:r w:rsidRPr="00602824">
        <w:lastRenderedPageBreak/>
        <w:t>Current state of the reforms</w:t>
      </w:r>
      <w:bookmarkEnd w:id="8"/>
    </w:p>
    <w:p w14:paraId="76E7B223" w14:textId="1C8C6F31" w:rsidR="00A77AD0" w:rsidRPr="00602824" w:rsidRDefault="00A77AD0" w:rsidP="00B50EE7">
      <w:pPr>
        <w:pStyle w:val="Caption"/>
      </w:pPr>
      <w:bookmarkStart w:id="9" w:name="_Ref159507697"/>
      <w:r w:rsidRPr="00602824">
        <w:t xml:space="preserve">Table </w:t>
      </w:r>
      <w:r w:rsidR="002604D0">
        <w:fldChar w:fldCharType="begin"/>
      </w:r>
      <w:r w:rsidR="002604D0">
        <w:instrText xml:space="preserve"> SEQ Table \* ARABIC </w:instrText>
      </w:r>
      <w:r w:rsidR="002604D0">
        <w:fldChar w:fldCharType="separate"/>
      </w:r>
      <w:r w:rsidR="00D30634">
        <w:rPr>
          <w:noProof/>
        </w:rPr>
        <w:t>2</w:t>
      </w:r>
      <w:r w:rsidR="002604D0">
        <w:fldChar w:fldCharType="end"/>
      </w:r>
      <w:bookmarkEnd w:id="9"/>
      <w:r w:rsidRPr="00602824">
        <w:t xml:space="preserve"> | Overview of reform objectives, their baseline position and current progress</w:t>
      </w:r>
    </w:p>
    <w:tbl>
      <w:tblPr>
        <w:tblStyle w:val="NOUS1"/>
        <w:tblW w:w="13892" w:type="dxa"/>
        <w:tblLook w:val="04A0" w:firstRow="1" w:lastRow="0" w:firstColumn="1" w:lastColumn="0" w:noHBand="0" w:noVBand="1"/>
      </w:tblPr>
      <w:tblGrid>
        <w:gridCol w:w="1701"/>
        <w:gridCol w:w="1843"/>
        <w:gridCol w:w="1843"/>
        <w:gridCol w:w="1984"/>
        <w:gridCol w:w="1000"/>
        <w:gridCol w:w="2119"/>
        <w:gridCol w:w="3402"/>
      </w:tblGrid>
      <w:tr w:rsidR="00B008F8" w:rsidRPr="00602824" w14:paraId="3340C8EB" w14:textId="77777777" w:rsidTr="00FB712C">
        <w:trPr>
          <w:cnfStyle w:val="100000000000" w:firstRow="1" w:lastRow="0" w:firstColumn="0" w:lastColumn="0" w:oddVBand="0" w:evenVBand="0" w:oddHBand="0" w:evenHBand="0" w:firstRowFirstColumn="0" w:firstRowLastColumn="0" w:lastRowFirstColumn="0" w:lastRowLastColumn="0"/>
        </w:trPr>
        <w:tc>
          <w:tcPr>
            <w:tcW w:w="1701" w:type="dxa"/>
            <w:vAlign w:val="center"/>
          </w:tcPr>
          <w:p w14:paraId="31A9EDB7" w14:textId="77777777" w:rsidR="00A77AD0" w:rsidRPr="00602824" w:rsidRDefault="00A77AD0" w:rsidP="00FB712C">
            <w:pPr>
              <w:pStyle w:val="TableNheader"/>
              <w:keepNext w:val="0"/>
              <w:keepLines/>
              <w:spacing w:line="240" w:lineRule="auto"/>
            </w:pPr>
            <w:r w:rsidRPr="00602824">
              <w:t>Reform objective</w:t>
            </w:r>
          </w:p>
        </w:tc>
        <w:tc>
          <w:tcPr>
            <w:tcW w:w="1843" w:type="dxa"/>
            <w:vAlign w:val="center"/>
          </w:tcPr>
          <w:p w14:paraId="5F1148D7" w14:textId="77777777" w:rsidR="00A77AD0" w:rsidRPr="00602824" w:rsidRDefault="00A77AD0" w:rsidP="00FB712C">
            <w:pPr>
              <w:pStyle w:val="TableNheader"/>
              <w:keepNext w:val="0"/>
              <w:keepLines/>
              <w:spacing w:line="240" w:lineRule="auto"/>
            </w:pPr>
            <w:r w:rsidRPr="00602824">
              <w:t>Baseline state</w:t>
            </w:r>
          </w:p>
        </w:tc>
        <w:tc>
          <w:tcPr>
            <w:tcW w:w="1843" w:type="dxa"/>
            <w:vAlign w:val="center"/>
          </w:tcPr>
          <w:p w14:paraId="35244542" w14:textId="77777777" w:rsidR="00A77AD0" w:rsidRPr="00602824" w:rsidRDefault="00A77AD0" w:rsidP="00FB712C">
            <w:pPr>
              <w:pStyle w:val="TableNheader"/>
              <w:keepNext w:val="0"/>
              <w:keepLines/>
              <w:spacing w:line="240" w:lineRule="auto"/>
            </w:pPr>
            <w:r w:rsidRPr="00602824">
              <w:t>Rationale for objective</w:t>
            </w:r>
          </w:p>
        </w:tc>
        <w:tc>
          <w:tcPr>
            <w:tcW w:w="1984" w:type="dxa"/>
            <w:vAlign w:val="center"/>
          </w:tcPr>
          <w:p w14:paraId="4B81D70F" w14:textId="77777777" w:rsidR="00A77AD0" w:rsidRPr="00602824" w:rsidRDefault="00A77AD0" w:rsidP="00FB712C">
            <w:pPr>
              <w:pStyle w:val="TableNheader"/>
              <w:keepNext w:val="0"/>
              <w:keepLines/>
              <w:spacing w:line="240" w:lineRule="auto"/>
            </w:pPr>
            <w:r w:rsidRPr="00602824">
              <w:t>How it is intended to be achieved</w:t>
            </w:r>
          </w:p>
        </w:tc>
        <w:tc>
          <w:tcPr>
            <w:tcW w:w="1000" w:type="dxa"/>
            <w:vAlign w:val="center"/>
          </w:tcPr>
          <w:p w14:paraId="4F242B5F" w14:textId="77777777" w:rsidR="00A77AD0" w:rsidRPr="00602824" w:rsidRDefault="00A77AD0" w:rsidP="00FB712C">
            <w:pPr>
              <w:pStyle w:val="TableNheader"/>
              <w:keepNext w:val="0"/>
              <w:keepLines/>
              <w:spacing w:line="240" w:lineRule="auto"/>
              <w:jc w:val="center"/>
            </w:pPr>
            <w:r w:rsidRPr="00602824">
              <w:t>Progress status</w:t>
            </w:r>
          </w:p>
        </w:tc>
        <w:tc>
          <w:tcPr>
            <w:tcW w:w="2119" w:type="dxa"/>
            <w:vAlign w:val="center"/>
          </w:tcPr>
          <w:p w14:paraId="39A0BBF2" w14:textId="77777777" w:rsidR="00A77AD0" w:rsidRPr="00602824" w:rsidRDefault="00A77AD0" w:rsidP="00FB712C">
            <w:pPr>
              <w:pStyle w:val="TableNheader"/>
              <w:keepNext w:val="0"/>
              <w:keepLines/>
              <w:spacing w:line="240" w:lineRule="auto"/>
            </w:pPr>
            <w:r w:rsidRPr="00602824">
              <w:t>Progress against reform timetable</w:t>
            </w:r>
          </w:p>
        </w:tc>
        <w:tc>
          <w:tcPr>
            <w:tcW w:w="3402" w:type="dxa"/>
            <w:vAlign w:val="center"/>
          </w:tcPr>
          <w:p w14:paraId="665703FC" w14:textId="4488488E" w:rsidR="00A77AD0" w:rsidRPr="00602824" w:rsidRDefault="00B128FA" w:rsidP="00FB712C">
            <w:pPr>
              <w:pStyle w:val="TableNheader"/>
              <w:keepNext w:val="0"/>
              <w:keepLines/>
              <w:spacing w:line="240" w:lineRule="auto"/>
            </w:pPr>
            <w:r w:rsidRPr="00602824">
              <w:t>Outcome to date</w:t>
            </w:r>
            <w:r w:rsidR="00A77AD0" w:rsidRPr="00602824">
              <w:t xml:space="preserve"> </w:t>
            </w:r>
          </w:p>
        </w:tc>
      </w:tr>
      <w:tr w:rsidR="000811EA" w:rsidRPr="00602824" w14:paraId="22248421" w14:textId="77777777" w:rsidTr="00FB712C">
        <w:tc>
          <w:tcPr>
            <w:tcW w:w="0" w:type="dxa"/>
          </w:tcPr>
          <w:p w14:paraId="5768A833" w14:textId="77777777" w:rsidR="00A77AD0" w:rsidRPr="00602824" w:rsidRDefault="00A77AD0" w:rsidP="00FB712C">
            <w:pPr>
              <w:pStyle w:val="TableNText"/>
              <w:keepNext w:val="0"/>
              <w:keepLines/>
              <w:spacing w:line="240" w:lineRule="auto"/>
              <w:rPr>
                <w:rFonts w:asciiTheme="majorHAnsi" w:hAnsiTheme="majorHAnsi" w:cstheme="majorHAnsi"/>
              </w:rPr>
            </w:pPr>
            <w:r w:rsidRPr="00602824">
              <w:rPr>
                <w:rFonts w:asciiTheme="majorHAnsi" w:hAnsiTheme="majorHAnsi" w:cstheme="majorHAnsi"/>
              </w:rPr>
              <w:t>1. Improve the alignment of the scheduled benefits of the PL with the prices paid in more competitive markets</w:t>
            </w:r>
          </w:p>
        </w:tc>
        <w:tc>
          <w:tcPr>
            <w:tcW w:w="0" w:type="dxa"/>
          </w:tcPr>
          <w:p w14:paraId="65099BA5" w14:textId="77777777" w:rsidR="00A77AD0" w:rsidRPr="00602824" w:rsidRDefault="00A77AD0" w:rsidP="00FB712C">
            <w:pPr>
              <w:pStyle w:val="TableNText"/>
              <w:keepNext w:val="0"/>
              <w:keepLines/>
              <w:spacing w:line="240" w:lineRule="auto"/>
            </w:pPr>
            <w:r w:rsidRPr="00602824">
              <w:t>PL benefits are significantly higher than prices in comparable markets.</w:t>
            </w:r>
          </w:p>
        </w:tc>
        <w:tc>
          <w:tcPr>
            <w:tcW w:w="0" w:type="dxa"/>
          </w:tcPr>
          <w:p w14:paraId="3CA4F118" w14:textId="77777777" w:rsidR="00A77AD0" w:rsidRPr="00602824" w:rsidRDefault="00A77AD0" w:rsidP="00FB712C">
            <w:pPr>
              <w:pStyle w:val="TableNText"/>
              <w:keepNext w:val="0"/>
              <w:keepLines/>
              <w:spacing w:line="240" w:lineRule="auto"/>
            </w:pPr>
            <w:r w:rsidRPr="00602824">
              <w:t>High PL benefits contribute to PHI costs and issues of affordability.</w:t>
            </w:r>
          </w:p>
        </w:tc>
        <w:tc>
          <w:tcPr>
            <w:tcW w:w="0" w:type="dxa"/>
          </w:tcPr>
          <w:p w14:paraId="1EC1EBA1" w14:textId="77777777" w:rsidR="00A77AD0" w:rsidRPr="00602824" w:rsidRDefault="00A77AD0" w:rsidP="00FB712C">
            <w:pPr>
              <w:pStyle w:val="TableNText"/>
              <w:keepNext w:val="0"/>
              <w:keepLines/>
              <w:spacing w:line="240" w:lineRule="auto"/>
            </w:pPr>
            <w:r w:rsidRPr="00602824">
              <w:t>PL benefits to be reduced incrementally over reform period in reference to IHACPA’s public benchmark prices (by 80% of the gap or within a 7% floor for most items).</w:t>
            </w:r>
          </w:p>
        </w:tc>
        <w:tc>
          <w:tcPr>
            <w:tcW w:w="0" w:type="dxa"/>
          </w:tcPr>
          <w:p w14:paraId="10794506" w14:textId="77777777" w:rsidR="00A77AD0" w:rsidRPr="00602824" w:rsidRDefault="00A77AD0" w:rsidP="00FB712C">
            <w:pPr>
              <w:pStyle w:val="TableNText"/>
              <w:keepNext w:val="0"/>
              <w:keepLines/>
              <w:spacing w:line="240" w:lineRule="auto"/>
              <w:jc w:val="center"/>
              <w:rPr>
                <w:highlight w:val="green"/>
              </w:rPr>
            </w:pPr>
            <w:r w:rsidRPr="00FB712C">
              <w:rPr>
                <w:noProof/>
              </w:rPr>
              <w:drawing>
                <wp:inline distT="0" distB="0" distL="0" distR="0" wp14:anchorId="05A44697" wp14:editId="0A34BE10">
                  <wp:extent cx="288000" cy="288000"/>
                  <wp:effectExtent l="0" t="0" r="0" b="0"/>
                  <wp:docPr id="1038124066"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24066"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4154" t="24040" r="24169" b="24025"/>
                          <a:stretch/>
                        </pic:blipFill>
                        <pic:spPr>
                          <a:xfrm>
                            <a:off x="0" y="0"/>
                            <a:ext cx="288000" cy="288000"/>
                          </a:xfrm>
                          <a:prstGeom prst="rect">
                            <a:avLst/>
                          </a:prstGeom>
                        </pic:spPr>
                      </pic:pic>
                    </a:graphicData>
                  </a:graphic>
                </wp:inline>
              </w:drawing>
            </w:r>
          </w:p>
        </w:tc>
        <w:tc>
          <w:tcPr>
            <w:tcW w:w="2119" w:type="dxa"/>
          </w:tcPr>
          <w:p w14:paraId="1759C03D" w14:textId="2CA42C67" w:rsidR="00A77AD0" w:rsidRPr="00602824" w:rsidRDefault="00A77AD0" w:rsidP="00FB712C">
            <w:pPr>
              <w:pStyle w:val="TableNText"/>
              <w:keepNext w:val="0"/>
              <w:keepLines/>
              <w:spacing w:line="240" w:lineRule="auto"/>
            </w:pPr>
            <w:r w:rsidRPr="00602824">
              <w:rPr>
                <w:rFonts w:asciiTheme="majorHAnsi" w:hAnsiTheme="majorHAnsi" w:cstheme="majorHAnsi"/>
                <w:color w:val="25B3E0" w:themeColor="accent6"/>
              </w:rPr>
              <w:t>On track</w:t>
            </w:r>
            <w:r w:rsidRPr="00602824">
              <w:rPr>
                <w:color w:val="25B3E0" w:themeColor="accent6"/>
              </w:rPr>
              <w:t xml:space="preserve"> </w:t>
            </w:r>
            <w:r w:rsidRPr="00602824">
              <w:t>–</w:t>
            </w:r>
            <w:r w:rsidR="00A41CF8" w:rsidRPr="00602824">
              <w:t xml:space="preserve"> All scheduled benefit reductions for Part A and the device portion of CIEDs </w:t>
            </w:r>
            <w:r w:rsidR="000625C2" w:rsidRPr="00602824">
              <w:t>have occurred as of 1 July 2025</w:t>
            </w:r>
            <w:r w:rsidR="00A41CF8" w:rsidRPr="00602824">
              <w:t xml:space="preserve">.  </w:t>
            </w:r>
            <w:r w:rsidRPr="00602824">
              <w:t xml:space="preserve"> </w:t>
            </w:r>
          </w:p>
        </w:tc>
        <w:tc>
          <w:tcPr>
            <w:tcW w:w="3402" w:type="dxa"/>
          </w:tcPr>
          <w:p w14:paraId="69309B74" w14:textId="77777777" w:rsidR="00A77AD0" w:rsidRPr="00602824" w:rsidRDefault="00A77AD0" w:rsidP="00FB712C">
            <w:pPr>
              <w:pStyle w:val="TableNText"/>
              <w:keepNext w:val="0"/>
              <w:keepLines/>
              <w:spacing w:line="240" w:lineRule="auto"/>
            </w:pPr>
            <w:r w:rsidRPr="00602824">
              <w:t>Benefits have been reduced across eligible sections of the PL.</w:t>
            </w:r>
          </w:p>
          <w:p w14:paraId="08C8B34B" w14:textId="77777777" w:rsidR="00A77AD0" w:rsidRPr="00602824" w:rsidRDefault="00A77AD0" w:rsidP="00FB712C">
            <w:pPr>
              <w:pStyle w:val="TableNText"/>
              <w:spacing w:line="240" w:lineRule="auto"/>
            </w:pPr>
            <w:r w:rsidRPr="00602824">
              <w:t>Benefits are more closely aligned with prices in Australian public hospitals.</w:t>
            </w:r>
          </w:p>
          <w:p w14:paraId="23C4D0A6" w14:textId="77777777" w:rsidR="00A77AD0" w:rsidRPr="00602824" w:rsidRDefault="00A77AD0" w:rsidP="00FB712C">
            <w:pPr>
              <w:pStyle w:val="TableNText"/>
              <w:spacing w:line="240" w:lineRule="auto"/>
            </w:pPr>
            <w:r w:rsidRPr="00602824">
              <w:t>Case studies comparing PL benefits with prices paid for the same products in New Zealand and France indicate a closer alignment with international markets. However, the case studies also indicate the gap in prices remains substantial in some instances.</w:t>
            </w:r>
          </w:p>
          <w:p w14:paraId="16930B48" w14:textId="733CC8DD" w:rsidR="00462A6E" w:rsidRPr="00602824" w:rsidRDefault="00462A6E" w:rsidP="00FB712C">
            <w:pPr>
              <w:pStyle w:val="TableNText"/>
              <w:spacing w:line="240" w:lineRule="auto"/>
            </w:pPr>
            <w:r w:rsidRPr="00602824">
              <w:t>CIED</w:t>
            </w:r>
            <w:r w:rsidR="00BF658E" w:rsidRPr="00602824">
              <w:t xml:space="preserve"> reductions have been completed for the device portion only, and future funding arrangements for technical support services (TSS) are unresolved. </w:t>
            </w:r>
          </w:p>
        </w:tc>
      </w:tr>
      <w:tr w:rsidR="000811EA" w:rsidRPr="00602824" w14:paraId="6F27DCFE" w14:textId="77777777" w:rsidTr="00FB712C">
        <w:tc>
          <w:tcPr>
            <w:tcW w:w="0" w:type="dxa"/>
          </w:tcPr>
          <w:p w14:paraId="6DED9797" w14:textId="77777777" w:rsidR="00A77AD0" w:rsidRPr="00602824" w:rsidRDefault="00A77AD0" w:rsidP="00FB712C">
            <w:pPr>
              <w:pStyle w:val="TableNText"/>
              <w:keepNext w:val="0"/>
              <w:keepLines/>
              <w:spacing w:line="240" w:lineRule="auto"/>
              <w:rPr>
                <w:rFonts w:asciiTheme="majorHAnsi" w:hAnsiTheme="majorHAnsi" w:cstheme="majorBidi"/>
              </w:rPr>
            </w:pPr>
            <w:r w:rsidRPr="00602824">
              <w:rPr>
                <w:rFonts w:asciiTheme="majorHAnsi" w:hAnsiTheme="majorHAnsi" w:cstheme="majorBidi"/>
              </w:rPr>
              <w:t>2. Maintain no additional out-of-pocket costs associated with the PL devices for consumers</w:t>
            </w:r>
          </w:p>
        </w:tc>
        <w:tc>
          <w:tcPr>
            <w:tcW w:w="0" w:type="dxa"/>
          </w:tcPr>
          <w:p w14:paraId="4EDD5F23" w14:textId="77777777" w:rsidR="00A77AD0" w:rsidRPr="00602824" w:rsidRDefault="00A77AD0" w:rsidP="00FB712C">
            <w:pPr>
              <w:pStyle w:val="TableNText"/>
              <w:keepNext w:val="0"/>
              <w:keepLines/>
              <w:spacing w:line="240" w:lineRule="auto"/>
            </w:pPr>
            <w:r w:rsidRPr="00602824">
              <w:t>Out-of-pocket costs for devices are charged in &lt;1% of episodes.</w:t>
            </w:r>
          </w:p>
        </w:tc>
        <w:tc>
          <w:tcPr>
            <w:tcW w:w="0" w:type="dxa"/>
          </w:tcPr>
          <w:p w14:paraId="1D978F1E" w14:textId="77777777" w:rsidR="00A77AD0" w:rsidRPr="00602824" w:rsidRDefault="00A77AD0" w:rsidP="00FB712C">
            <w:pPr>
              <w:pStyle w:val="TableNText"/>
              <w:keepNext w:val="0"/>
              <w:keepLines/>
              <w:spacing w:line="240" w:lineRule="auto"/>
            </w:pPr>
            <w:r w:rsidRPr="00602824">
              <w:t>Minimising out-of-pocket expenses is important for maintaining access to devices.</w:t>
            </w:r>
          </w:p>
        </w:tc>
        <w:tc>
          <w:tcPr>
            <w:tcW w:w="0" w:type="dxa"/>
          </w:tcPr>
          <w:p w14:paraId="5A5A3DB9" w14:textId="77777777" w:rsidR="00A77AD0" w:rsidRPr="00602824" w:rsidRDefault="00A77AD0" w:rsidP="00FB712C">
            <w:pPr>
              <w:pStyle w:val="TableNText"/>
              <w:keepNext w:val="0"/>
              <w:keepLines/>
              <w:spacing w:line="240" w:lineRule="auto"/>
            </w:pPr>
            <w:r w:rsidRPr="00602824">
              <w:t>Maintaining minimal out-of-pocket costs establishes guardrails for the benefit reduction exercise and other policy decisions.</w:t>
            </w:r>
          </w:p>
        </w:tc>
        <w:tc>
          <w:tcPr>
            <w:tcW w:w="0" w:type="dxa"/>
          </w:tcPr>
          <w:p w14:paraId="52FEDB84" w14:textId="77777777" w:rsidR="00A77AD0" w:rsidRPr="00602824" w:rsidRDefault="00A77AD0" w:rsidP="00FB712C">
            <w:pPr>
              <w:pStyle w:val="TableNText"/>
              <w:keepNext w:val="0"/>
              <w:keepLines/>
              <w:spacing w:line="240" w:lineRule="auto"/>
              <w:jc w:val="center"/>
              <w:rPr>
                <w:rFonts w:asciiTheme="majorHAnsi" w:hAnsiTheme="majorHAnsi" w:cstheme="majorHAnsi"/>
                <w:color w:val="25B3E0" w:themeColor="accent6"/>
              </w:rPr>
            </w:pPr>
            <w:r w:rsidRPr="00FB712C">
              <w:rPr>
                <w:noProof/>
              </w:rPr>
              <w:drawing>
                <wp:inline distT="0" distB="0" distL="0" distR="0" wp14:anchorId="246C2FED" wp14:editId="65774ED8">
                  <wp:extent cx="288000" cy="288000"/>
                  <wp:effectExtent l="0" t="0" r="0" b="0"/>
                  <wp:docPr id="776717602"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17602"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4154" t="24040" r="24169" b="24025"/>
                          <a:stretch/>
                        </pic:blipFill>
                        <pic:spPr>
                          <a:xfrm>
                            <a:off x="0" y="0"/>
                            <a:ext cx="288000" cy="288000"/>
                          </a:xfrm>
                          <a:prstGeom prst="rect">
                            <a:avLst/>
                          </a:prstGeom>
                        </pic:spPr>
                      </pic:pic>
                    </a:graphicData>
                  </a:graphic>
                </wp:inline>
              </w:drawing>
            </w:r>
          </w:p>
        </w:tc>
        <w:tc>
          <w:tcPr>
            <w:tcW w:w="2119" w:type="dxa"/>
          </w:tcPr>
          <w:p w14:paraId="163833B8" w14:textId="13E48A0F" w:rsidR="00A77AD0" w:rsidRPr="00602824" w:rsidRDefault="00A77AD0" w:rsidP="00FB712C">
            <w:pPr>
              <w:pStyle w:val="TableNText"/>
              <w:keepNext w:val="0"/>
              <w:keepLines/>
              <w:spacing w:line="240" w:lineRule="auto"/>
              <w:rPr>
                <w:highlight w:val="green"/>
              </w:rPr>
            </w:pPr>
            <w:r w:rsidRPr="00602824">
              <w:rPr>
                <w:rFonts w:asciiTheme="majorHAnsi" w:hAnsiTheme="majorHAnsi" w:cstheme="majorHAnsi"/>
                <w:color w:val="25B3E0" w:themeColor="accent6"/>
              </w:rPr>
              <w:t>On track</w:t>
            </w:r>
            <w:r w:rsidRPr="00602824">
              <w:rPr>
                <w:color w:val="25B3E0" w:themeColor="accent6"/>
              </w:rPr>
              <w:t xml:space="preserve"> </w:t>
            </w:r>
            <w:r w:rsidRPr="00602824">
              <w:t xml:space="preserve">– Policy settings that drive ‘no out-of-pocket costs’ have </w:t>
            </w:r>
            <w:r w:rsidR="00E139D8" w:rsidRPr="00602824">
              <w:t xml:space="preserve">largely </w:t>
            </w:r>
            <w:r w:rsidRPr="00602824">
              <w:t>been maintained.</w:t>
            </w:r>
          </w:p>
        </w:tc>
        <w:tc>
          <w:tcPr>
            <w:tcW w:w="3402" w:type="dxa"/>
          </w:tcPr>
          <w:p w14:paraId="0524C861" w14:textId="0EE47A08" w:rsidR="00A77AD0" w:rsidRPr="00602824" w:rsidRDefault="00A77AD0" w:rsidP="00FB712C">
            <w:pPr>
              <w:pStyle w:val="TableNText"/>
              <w:keepNext w:val="0"/>
              <w:keepLines/>
              <w:spacing w:line="240" w:lineRule="auto"/>
              <w:rPr>
                <w:color w:val="FF3A40" w:themeColor="accent1"/>
              </w:rPr>
            </w:pPr>
            <w:r w:rsidRPr="00602824">
              <w:t xml:space="preserve">Out-of-pocket costs for devices continue to be </w:t>
            </w:r>
            <w:r w:rsidR="00D95C59" w:rsidRPr="00602824">
              <w:t xml:space="preserve">rare, </w:t>
            </w:r>
            <w:r w:rsidR="000418DB" w:rsidRPr="00602824">
              <w:t xml:space="preserve">however </w:t>
            </w:r>
            <w:r w:rsidR="009C4A5A" w:rsidRPr="00602824">
              <w:t xml:space="preserve">stakeholders have reported some instances. </w:t>
            </w:r>
            <w:r w:rsidR="00C800BC" w:rsidRPr="00602824">
              <w:t xml:space="preserve">Overall, gaps </w:t>
            </w:r>
            <w:r w:rsidR="00D95C59" w:rsidRPr="00602824">
              <w:t xml:space="preserve">are </w:t>
            </w:r>
            <w:r w:rsidR="00C800BC" w:rsidRPr="00602824">
              <w:t>evident</w:t>
            </w:r>
            <w:r w:rsidRPr="00602824">
              <w:t xml:space="preserve"> in &lt;1% of episodes</w:t>
            </w:r>
            <w:r w:rsidR="00D95C59" w:rsidRPr="00602824">
              <w:t xml:space="preserve"> for most categories of the PL</w:t>
            </w:r>
            <w:r w:rsidRPr="00602824">
              <w:t>.</w:t>
            </w:r>
            <w:r w:rsidR="00DB0B5E" w:rsidRPr="00602824">
              <w:t xml:space="preserve"> This suggests that the PL continues to meet the goal of minimising consumer out-of-pocket costs</w:t>
            </w:r>
            <w:r w:rsidR="00DB0B5E" w:rsidRPr="00602824">
              <w:rPr>
                <w:color w:val="FF3A40" w:themeColor="accent1"/>
              </w:rPr>
              <w:t xml:space="preserve">. </w:t>
            </w:r>
          </w:p>
        </w:tc>
      </w:tr>
      <w:tr w:rsidR="000811EA" w:rsidRPr="00602824" w14:paraId="5CBB9EB2" w14:textId="77777777" w:rsidTr="00FB712C">
        <w:tc>
          <w:tcPr>
            <w:tcW w:w="0" w:type="dxa"/>
          </w:tcPr>
          <w:p w14:paraId="6755FF79" w14:textId="77777777" w:rsidR="00A77AD0" w:rsidRPr="00602824" w:rsidRDefault="00A77AD0" w:rsidP="00FB712C">
            <w:pPr>
              <w:pStyle w:val="TableNText"/>
              <w:keepNext w:val="0"/>
              <w:keepLines/>
              <w:spacing w:line="240" w:lineRule="auto"/>
              <w:rPr>
                <w:rFonts w:asciiTheme="majorHAnsi" w:hAnsiTheme="majorHAnsi" w:cstheme="majorBidi"/>
              </w:rPr>
            </w:pPr>
            <w:r w:rsidRPr="00602824">
              <w:rPr>
                <w:rFonts w:asciiTheme="majorHAnsi" w:hAnsiTheme="majorHAnsi" w:cstheme="majorBidi"/>
              </w:rPr>
              <w:t>3. Maintain clinician choice of appropriate prostheses for their patients</w:t>
            </w:r>
          </w:p>
        </w:tc>
        <w:tc>
          <w:tcPr>
            <w:tcW w:w="0" w:type="dxa"/>
          </w:tcPr>
          <w:p w14:paraId="6936A0E4" w14:textId="77777777" w:rsidR="00A77AD0" w:rsidRPr="00602824" w:rsidRDefault="00A77AD0" w:rsidP="00FB712C">
            <w:pPr>
              <w:pStyle w:val="TableNText"/>
              <w:keepNext w:val="0"/>
              <w:keepLines/>
              <w:spacing w:line="240" w:lineRule="auto"/>
            </w:pPr>
            <w:r w:rsidRPr="00602824">
              <w:t>Clinicians have a choice of PL-listed items.</w:t>
            </w:r>
          </w:p>
        </w:tc>
        <w:tc>
          <w:tcPr>
            <w:tcW w:w="0" w:type="dxa"/>
          </w:tcPr>
          <w:p w14:paraId="6FC74628" w14:textId="77777777" w:rsidR="00A77AD0" w:rsidRPr="00602824" w:rsidRDefault="00A77AD0" w:rsidP="00FB712C">
            <w:pPr>
              <w:pStyle w:val="TableNText"/>
              <w:keepNext w:val="0"/>
              <w:keepLines/>
              <w:spacing w:line="240" w:lineRule="auto"/>
            </w:pPr>
            <w:r w:rsidRPr="00602824">
              <w:t>Ensuring clinician choice is a core principle of the PL design.</w:t>
            </w:r>
          </w:p>
        </w:tc>
        <w:tc>
          <w:tcPr>
            <w:tcW w:w="0" w:type="dxa"/>
          </w:tcPr>
          <w:p w14:paraId="4ADB6BFC" w14:textId="77777777" w:rsidR="00A77AD0" w:rsidRPr="00602824" w:rsidRDefault="00A77AD0" w:rsidP="00FB712C">
            <w:pPr>
              <w:pStyle w:val="TableNText"/>
              <w:keepNext w:val="0"/>
              <w:keepLines/>
              <w:spacing w:line="240" w:lineRule="auto"/>
            </w:pPr>
            <w:r w:rsidRPr="00602824">
              <w:t>Maintain policy position enabling clinician choice of appropriate prostheses.</w:t>
            </w:r>
          </w:p>
        </w:tc>
        <w:tc>
          <w:tcPr>
            <w:tcW w:w="0" w:type="dxa"/>
          </w:tcPr>
          <w:p w14:paraId="5ECA7B56" w14:textId="77777777" w:rsidR="00A77AD0" w:rsidRPr="00602824" w:rsidRDefault="00A77AD0" w:rsidP="00FB712C">
            <w:pPr>
              <w:pStyle w:val="TableNText"/>
              <w:keepNext w:val="0"/>
              <w:keepLines/>
              <w:spacing w:line="240" w:lineRule="auto"/>
              <w:jc w:val="center"/>
              <w:rPr>
                <w:rFonts w:asciiTheme="majorHAnsi" w:hAnsiTheme="majorHAnsi" w:cstheme="majorHAnsi"/>
                <w:color w:val="25B3E0" w:themeColor="accent6"/>
              </w:rPr>
            </w:pPr>
            <w:r w:rsidRPr="00FB712C">
              <w:rPr>
                <w:noProof/>
              </w:rPr>
              <w:drawing>
                <wp:inline distT="0" distB="0" distL="0" distR="0" wp14:anchorId="2D1893B4" wp14:editId="22E73510">
                  <wp:extent cx="288000" cy="288000"/>
                  <wp:effectExtent l="0" t="0" r="0" b="0"/>
                  <wp:docPr id="1320669790"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69790"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4154" t="24040" r="24169" b="24025"/>
                          <a:stretch/>
                        </pic:blipFill>
                        <pic:spPr>
                          <a:xfrm>
                            <a:off x="0" y="0"/>
                            <a:ext cx="288000" cy="288000"/>
                          </a:xfrm>
                          <a:prstGeom prst="rect">
                            <a:avLst/>
                          </a:prstGeom>
                        </pic:spPr>
                      </pic:pic>
                    </a:graphicData>
                  </a:graphic>
                </wp:inline>
              </w:drawing>
            </w:r>
          </w:p>
        </w:tc>
        <w:tc>
          <w:tcPr>
            <w:tcW w:w="2119" w:type="dxa"/>
          </w:tcPr>
          <w:p w14:paraId="18EA7573" w14:textId="7543E943" w:rsidR="00A77AD0" w:rsidRPr="00602824" w:rsidRDefault="00A77AD0" w:rsidP="00FB712C">
            <w:pPr>
              <w:pStyle w:val="TableNText"/>
              <w:keepNext w:val="0"/>
              <w:keepLines/>
              <w:spacing w:line="240" w:lineRule="auto"/>
            </w:pPr>
            <w:r w:rsidRPr="00602824">
              <w:rPr>
                <w:rFonts w:asciiTheme="majorHAnsi" w:hAnsiTheme="majorHAnsi" w:cstheme="majorHAnsi"/>
                <w:color w:val="25B3E0" w:themeColor="accent6"/>
              </w:rPr>
              <w:t>On track</w:t>
            </w:r>
            <w:r w:rsidRPr="00602824">
              <w:rPr>
                <w:color w:val="25B3E0" w:themeColor="accent6"/>
              </w:rPr>
              <w:t xml:space="preserve"> </w:t>
            </w:r>
            <w:r w:rsidRPr="00602824">
              <w:t>– Policy settings that embed clinician choice have</w:t>
            </w:r>
            <w:r w:rsidR="00E139D8" w:rsidRPr="00602824">
              <w:t xml:space="preserve"> largely</w:t>
            </w:r>
            <w:r w:rsidRPr="00602824">
              <w:t xml:space="preserve"> been maintained.</w:t>
            </w:r>
          </w:p>
        </w:tc>
        <w:tc>
          <w:tcPr>
            <w:tcW w:w="3402" w:type="dxa"/>
          </w:tcPr>
          <w:p w14:paraId="71890309" w14:textId="51E4E198" w:rsidR="00D95C59" w:rsidRPr="00602824" w:rsidRDefault="00A77AD0" w:rsidP="00FB712C">
            <w:pPr>
              <w:pStyle w:val="TableNText"/>
              <w:keepNext w:val="0"/>
              <w:keepLines/>
              <w:spacing w:line="240" w:lineRule="auto"/>
            </w:pPr>
            <w:r w:rsidRPr="00602824">
              <w:t xml:space="preserve">There </w:t>
            </w:r>
            <w:r w:rsidR="00D95C59" w:rsidRPr="00602824">
              <w:t>are no</w:t>
            </w:r>
            <w:r w:rsidRPr="00602824">
              <w:t xml:space="preserve"> </w:t>
            </w:r>
            <w:r w:rsidR="00D95C59" w:rsidRPr="00602824">
              <w:t>clear patterns that indicate</w:t>
            </w:r>
            <w:r w:rsidRPr="00602824">
              <w:t xml:space="preserve"> clinicians’ choice of devices ha</w:t>
            </w:r>
            <w:r w:rsidR="00F33CC8" w:rsidRPr="00602824">
              <w:t>ve</w:t>
            </w:r>
            <w:r w:rsidRPr="00602824">
              <w:t xml:space="preserve"> been systemically impacted by the reforms</w:t>
            </w:r>
            <w:r w:rsidR="00D95C59" w:rsidRPr="00602824">
              <w:t>.</w:t>
            </w:r>
          </w:p>
          <w:p w14:paraId="75A88322" w14:textId="31B4DCE9" w:rsidR="00D95C59" w:rsidRPr="00602824" w:rsidRDefault="004566DE" w:rsidP="00FB712C">
            <w:pPr>
              <w:pStyle w:val="TableNText"/>
              <w:keepNext w:val="0"/>
              <w:keepLines/>
              <w:spacing w:line="240" w:lineRule="auto"/>
            </w:pPr>
            <w:r w:rsidRPr="00602824">
              <w:lastRenderedPageBreak/>
              <w:t xml:space="preserve">Stakeholders have reported some instances where clinician choice has been either constrained or is at risk, particularly for advanced devices. </w:t>
            </w:r>
            <w:r w:rsidR="00F33CC8" w:rsidRPr="00602824">
              <w:t>The extent of this should be examined over time.</w:t>
            </w:r>
          </w:p>
        </w:tc>
      </w:tr>
      <w:tr w:rsidR="000811EA" w:rsidRPr="00602824" w14:paraId="715C3DB4" w14:textId="77777777" w:rsidTr="00FB712C">
        <w:tc>
          <w:tcPr>
            <w:tcW w:w="0" w:type="dxa"/>
          </w:tcPr>
          <w:p w14:paraId="24C3E982" w14:textId="77777777" w:rsidR="00A77AD0" w:rsidRPr="00602824" w:rsidRDefault="00A77AD0" w:rsidP="00FB712C">
            <w:pPr>
              <w:pStyle w:val="TableNText"/>
              <w:keepNext w:val="0"/>
              <w:keepLines/>
              <w:spacing w:line="240" w:lineRule="auto"/>
              <w:rPr>
                <w:rFonts w:asciiTheme="majorHAnsi" w:hAnsiTheme="majorHAnsi" w:cstheme="majorHAnsi"/>
              </w:rPr>
            </w:pPr>
            <w:r w:rsidRPr="00602824">
              <w:rPr>
                <w:rFonts w:asciiTheme="majorHAnsi" w:hAnsiTheme="majorHAnsi" w:cstheme="majorHAnsi"/>
              </w:rPr>
              <w:lastRenderedPageBreak/>
              <w:t>4. Improve the affordability and value of PHI for privately insured Australians</w:t>
            </w:r>
          </w:p>
        </w:tc>
        <w:tc>
          <w:tcPr>
            <w:tcW w:w="0" w:type="dxa"/>
          </w:tcPr>
          <w:p w14:paraId="0AE1E7B6" w14:textId="77777777" w:rsidR="00A77AD0" w:rsidRPr="00602824" w:rsidRDefault="00A77AD0" w:rsidP="00FB712C">
            <w:pPr>
              <w:pStyle w:val="TableNText"/>
              <w:keepNext w:val="0"/>
              <w:keepLines/>
              <w:spacing w:line="240" w:lineRule="auto"/>
            </w:pPr>
            <w:r w:rsidRPr="00602824">
              <w:t xml:space="preserve">PHI affordability is currently an issue of </w:t>
            </w:r>
            <w:proofErr w:type="gramStart"/>
            <w:r w:rsidRPr="00602824">
              <w:t>concern,</w:t>
            </w:r>
            <w:proofErr w:type="gramEnd"/>
            <w:r w:rsidRPr="00602824">
              <w:t xml:space="preserve"> participation rates are decreasing and risk profiles increasing.</w:t>
            </w:r>
          </w:p>
        </w:tc>
        <w:tc>
          <w:tcPr>
            <w:tcW w:w="0" w:type="dxa"/>
          </w:tcPr>
          <w:p w14:paraId="1782EF89" w14:textId="77777777" w:rsidR="00A77AD0" w:rsidRPr="00602824" w:rsidRDefault="00A77AD0" w:rsidP="00FB712C">
            <w:pPr>
              <w:pStyle w:val="TableNText"/>
              <w:keepNext w:val="0"/>
              <w:keepLines/>
              <w:spacing w:line="240" w:lineRule="auto"/>
            </w:pPr>
            <w:r w:rsidRPr="00602824">
              <w:t>Low PHI participation places strain on the rest of the health system.</w:t>
            </w:r>
          </w:p>
        </w:tc>
        <w:tc>
          <w:tcPr>
            <w:tcW w:w="0" w:type="dxa"/>
          </w:tcPr>
          <w:p w14:paraId="152C1A03" w14:textId="77777777" w:rsidR="00A77AD0" w:rsidRPr="00602824" w:rsidRDefault="00A77AD0" w:rsidP="00FB712C">
            <w:pPr>
              <w:pStyle w:val="TableNText"/>
              <w:keepNext w:val="0"/>
              <w:keepLines/>
              <w:spacing w:line="240" w:lineRule="auto"/>
            </w:pPr>
            <w:r w:rsidRPr="00602824">
              <w:t>Reduction in PL benefits while maintaining device availability and access.</w:t>
            </w:r>
          </w:p>
        </w:tc>
        <w:tc>
          <w:tcPr>
            <w:tcW w:w="0" w:type="dxa"/>
          </w:tcPr>
          <w:p w14:paraId="57EEA441" w14:textId="77777777" w:rsidR="00A77AD0" w:rsidRPr="00602824" w:rsidRDefault="00A77AD0" w:rsidP="00FB712C">
            <w:pPr>
              <w:pStyle w:val="TableNText"/>
              <w:keepNext w:val="0"/>
              <w:keepLines/>
              <w:spacing w:line="240" w:lineRule="auto"/>
              <w:jc w:val="center"/>
              <w:rPr>
                <w:highlight w:val="green"/>
              </w:rPr>
            </w:pPr>
            <w:r w:rsidRPr="00FB712C">
              <w:rPr>
                <w:noProof/>
              </w:rPr>
              <w:drawing>
                <wp:inline distT="0" distB="0" distL="0" distR="0" wp14:anchorId="1AEB6408" wp14:editId="536949BE">
                  <wp:extent cx="288000" cy="288000"/>
                  <wp:effectExtent l="0" t="0" r="0" b="0"/>
                  <wp:docPr id="512981605"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81605"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4154" t="24040" r="24169" b="24025"/>
                          <a:stretch/>
                        </pic:blipFill>
                        <pic:spPr>
                          <a:xfrm>
                            <a:off x="0" y="0"/>
                            <a:ext cx="288000" cy="288000"/>
                          </a:xfrm>
                          <a:prstGeom prst="rect">
                            <a:avLst/>
                          </a:prstGeom>
                        </pic:spPr>
                      </pic:pic>
                    </a:graphicData>
                  </a:graphic>
                </wp:inline>
              </w:drawing>
            </w:r>
          </w:p>
        </w:tc>
        <w:tc>
          <w:tcPr>
            <w:tcW w:w="2119" w:type="dxa"/>
          </w:tcPr>
          <w:p w14:paraId="7920302B" w14:textId="77777777" w:rsidR="00A77AD0" w:rsidRPr="00602824" w:rsidRDefault="00A77AD0" w:rsidP="00FB712C">
            <w:pPr>
              <w:pStyle w:val="TableNText"/>
              <w:keepNext w:val="0"/>
              <w:keepLines/>
              <w:spacing w:line="240" w:lineRule="auto"/>
            </w:pPr>
            <w:r w:rsidRPr="00602824">
              <w:rPr>
                <w:rFonts w:asciiTheme="majorHAnsi" w:hAnsiTheme="majorHAnsi" w:cstheme="majorHAnsi"/>
                <w:color w:val="25B3E0" w:themeColor="accent6"/>
              </w:rPr>
              <w:t>On track</w:t>
            </w:r>
            <w:r w:rsidRPr="00602824">
              <w:rPr>
                <w:color w:val="25B3E0" w:themeColor="accent6"/>
              </w:rPr>
              <w:t xml:space="preserve"> </w:t>
            </w:r>
            <w:r w:rsidRPr="00602824">
              <w:t>– Progress achieved through objectives 1-3.</w:t>
            </w:r>
          </w:p>
        </w:tc>
        <w:tc>
          <w:tcPr>
            <w:tcW w:w="3402" w:type="dxa"/>
          </w:tcPr>
          <w:p w14:paraId="62E4EAAA" w14:textId="400664F6" w:rsidR="00A77AD0" w:rsidRPr="00602824" w:rsidRDefault="00A77AD0" w:rsidP="00FB712C">
            <w:pPr>
              <w:pStyle w:val="TableNText"/>
              <w:keepNext w:val="0"/>
              <w:keepLines/>
              <w:spacing w:line="240" w:lineRule="auto"/>
            </w:pPr>
            <w:r w:rsidRPr="00602824">
              <w:t>Savings gained through benefit reductions have placed downward pressure on PHI premiums for consumers.</w:t>
            </w:r>
            <w:r w:rsidR="00C32EE7" w:rsidRPr="00602824">
              <w:t xml:space="preserve"> Over $</w:t>
            </w:r>
            <w:r w:rsidR="00D9661A">
              <w:t>3</w:t>
            </w:r>
            <w:r w:rsidR="00C32EE7" w:rsidRPr="00602824">
              <w:t xml:space="preserve">00 million in estimated savings </w:t>
            </w:r>
            <w:r w:rsidR="002453E8">
              <w:t>were</w:t>
            </w:r>
            <w:r w:rsidR="00C32EE7" w:rsidRPr="00602824">
              <w:t xml:space="preserve"> achieved </w:t>
            </w:r>
            <w:r w:rsidR="0089557A">
              <w:t>from FY23 to FY24</w:t>
            </w:r>
            <w:r w:rsidR="00C32EE7" w:rsidRPr="00602824">
              <w:t>.</w:t>
            </w:r>
            <w:r w:rsidR="00AD18A0" w:rsidRPr="00602824">
              <w:rPr>
                <w:rStyle w:val="FootnoteReference"/>
              </w:rPr>
              <w:footnoteReference w:id="2"/>
            </w:r>
          </w:p>
          <w:p w14:paraId="7B927AB6" w14:textId="2A83B086" w:rsidR="00457B24" w:rsidRPr="00602824" w:rsidRDefault="00457B24" w:rsidP="00FB712C">
            <w:pPr>
              <w:pStyle w:val="TableNText"/>
              <w:keepNext w:val="0"/>
              <w:keepLines/>
              <w:spacing w:line="240" w:lineRule="auto"/>
            </w:pPr>
            <w:r w:rsidRPr="00602824">
              <w:t>Despite this, premiums have continued to rise</w:t>
            </w:r>
            <w:r w:rsidR="00F9163E" w:rsidRPr="00602824">
              <w:t xml:space="preserve"> due to factors unrelated to the reforms.</w:t>
            </w:r>
            <w:r w:rsidR="007717D7" w:rsidRPr="00602824">
              <w:t xml:space="preserve"> Prostheses utilisation growth has </w:t>
            </w:r>
            <w:r w:rsidR="00AF562E" w:rsidRPr="00602824">
              <w:t xml:space="preserve">partially </w:t>
            </w:r>
            <w:r w:rsidR="007717D7" w:rsidRPr="00602824">
              <w:t xml:space="preserve">offset </w:t>
            </w:r>
            <w:r w:rsidR="00AF562E" w:rsidRPr="00602824">
              <w:t xml:space="preserve">the effect of </w:t>
            </w:r>
            <w:r w:rsidR="007717D7" w:rsidRPr="00602824">
              <w:t>benefit reductions</w:t>
            </w:r>
            <w:r w:rsidR="00AF562E" w:rsidRPr="00602824">
              <w:t>, and insurance claims have increased at a rate above inflation.</w:t>
            </w:r>
          </w:p>
          <w:p w14:paraId="0D6EDE8B" w14:textId="0C7F1383" w:rsidR="00A77AD0" w:rsidRPr="00602824" w:rsidRDefault="00A77AD0" w:rsidP="00FB712C">
            <w:pPr>
              <w:pStyle w:val="TableNText"/>
              <w:keepNext w:val="0"/>
              <w:keepLines/>
              <w:spacing w:line="240" w:lineRule="auto"/>
            </w:pPr>
            <w:r w:rsidRPr="00602824">
              <w:t>The value of PHI in relation to PL access has been maintained for consumers.</w:t>
            </w:r>
            <w:r w:rsidR="00332967" w:rsidRPr="00602824">
              <w:t xml:space="preserve"> PHI coverage has increased marginally since baseline.</w:t>
            </w:r>
          </w:p>
        </w:tc>
      </w:tr>
      <w:tr w:rsidR="000811EA" w:rsidRPr="00602824" w14:paraId="307154CE" w14:textId="77777777" w:rsidTr="00FB712C">
        <w:tc>
          <w:tcPr>
            <w:tcW w:w="0" w:type="dxa"/>
          </w:tcPr>
          <w:p w14:paraId="7AB81FF8" w14:textId="77777777" w:rsidR="00A77AD0" w:rsidRPr="00602824" w:rsidRDefault="00A77AD0" w:rsidP="00FB712C">
            <w:pPr>
              <w:pStyle w:val="TableNText"/>
              <w:keepNext w:val="0"/>
              <w:keepLines/>
              <w:spacing w:line="240" w:lineRule="auto"/>
              <w:rPr>
                <w:rFonts w:asciiTheme="majorHAnsi" w:hAnsiTheme="majorHAnsi" w:cstheme="majorBidi"/>
              </w:rPr>
            </w:pPr>
            <w:r w:rsidRPr="00602824">
              <w:rPr>
                <w:rFonts w:asciiTheme="majorHAnsi" w:hAnsiTheme="majorHAnsi" w:cstheme="majorBidi"/>
              </w:rPr>
              <w:t>5. Clarify the purpose, definition and scope of the PL in legislation</w:t>
            </w:r>
          </w:p>
        </w:tc>
        <w:tc>
          <w:tcPr>
            <w:tcW w:w="0" w:type="dxa"/>
          </w:tcPr>
          <w:p w14:paraId="04AF576C" w14:textId="77777777" w:rsidR="00A77AD0" w:rsidRPr="00602824" w:rsidRDefault="00A77AD0" w:rsidP="00FB712C">
            <w:pPr>
              <w:pStyle w:val="TableNText"/>
              <w:keepNext w:val="0"/>
              <w:keepLines/>
              <w:spacing w:line="240" w:lineRule="auto"/>
            </w:pPr>
            <w:r w:rsidRPr="00602824">
              <w:t>Only high-level definition of PL in legislation.</w:t>
            </w:r>
          </w:p>
          <w:p w14:paraId="55B9741E" w14:textId="77777777" w:rsidR="00A77AD0" w:rsidRPr="00602824" w:rsidRDefault="00A77AD0" w:rsidP="00FB712C">
            <w:pPr>
              <w:pStyle w:val="TableNText"/>
              <w:keepNext w:val="0"/>
              <w:keepLines/>
              <w:spacing w:line="240" w:lineRule="auto"/>
            </w:pPr>
            <w:r w:rsidRPr="00602824">
              <w:t>Expanding PL scope over time is seen as a major driver of costs.</w:t>
            </w:r>
          </w:p>
          <w:p w14:paraId="46A89158" w14:textId="77777777" w:rsidR="00A77AD0" w:rsidRPr="00602824" w:rsidRDefault="00A77AD0" w:rsidP="00FB712C">
            <w:pPr>
              <w:pStyle w:val="TableNText"/>
              <w:keepNext w:val="0"/>
              <w:keepLines/>
              <w:spacing w:line="240" w:lineRule="auto"/>
            </w:pPr>
            <w:r w:rsidRPr="00602824">
              <w:t>PL structure has become complex and difficult to navigate.</w:t>
            </w:r>
          </w:p>
        </w:tc>
        <w:tc>
          <w:tcPr>
            <w:tcW w:w="0" w:type="dxa"/>
          </w:tcPr>
          <w:p w14:paraId="4BDCACC4" w14:textId="77777777" w:rsidR="00A77AD0" w:rsidRPr="00602824" w:rsidRDefault="00A77AD0" w:rsidP="00FB712C">
            <w:pPr>
              <w:pStyle w:val="TableNText"/>
              <w:keepNext w:val="0"/>
              <w:keepLines/>
              <w:spacing w:line="240" w:lineRule="auto"/>
            </w:pPr>
            <w:r w:rsidRPr="00602824">
              <w:t>Lack of clarity and complex structure leads to reduced effectiveness and unwanted outcomes.</w:t>
            </w:r>
          </w:p>
        </w:tc>
        <w:tc>
          <w:tcPr>
            <w:tcW w:w="0" w:type="dxa"/>
          </w:tcPr>
          <w:p w14:paraId="6BDCC633" w14:textId="77777777" w:rsidR="00A77AD0" w:rsidRPr="00602824" w:rsidRDefault="00A77AD0" w:rsidP="00FB712C">
            <w:pPr>
              <w:pStyle w:val="TableNText"/>
              <w:keepNext w:val="0"/>
              <w:keepLines/>
              <w:spacing w:line="240" w:lineRule="auto"/>
            </w:pPr>
            <w:r w:rsidRPr="00602824">
              <w:t>Establishment of new legislation regarding the PL.</w:t>
            </w:r>
          </w:p>
          <w:p w14:paraId="0FAC7B0E" w14:textId="77777777" w:rsidR="00A77AD0" w:rsidRPr="00602824" w:rsidRDefault="00A77AD0" w:rsidP="00FB712C">
            <w:pPr>
              <w:pStyle w:val="TableNText"/>
              <w:keepNext w:val="0"/>
              <w:keepLines/>
              <w:spacing w:line="240" w:lineRule="auto"/>
            </w:pPr>
            <w:r w:rsidRPr="00602824">
              <w:t>PL groups to be reviewed and restructured.</w:t>
            </w:r>
          </w:p>
          <w:p w14:paraId="66F98A8C" w14:textId="77777777" w:rsidR="00A77AD0" w:rsidRPr="00602824" w:rsidRDefault="00A77AD0" w:rsidP="00FB712C">
            <w:pPr>
              <w:pStyle w:val="TableNText"/>
              <w:keepNext w:val="0"/>
              <w:keepLines/>
              <w:spacing w:line="240" w:lineRule="auto"/>
            </w:pPr>
            <w:r w:rsidRPr="00602824">
              <w:t>General use items (GUIs) to be removed from the PL.</w:t>
            </w:r>
          </w:p>
        </w:tc>
        <w:tc>
          <w:tcPr>
            <w:tcW w:w="0" w:type="dxa"/>
          </w:tcPr>
          <w:p w14:paraId="0E44FB1F" w14:textId="3357CB66" w:rsidR="00A77AD0" w:rsidRPr="00602824" w:rsidRDefault="00C929A9" w:rsidP="00FB712C">
            <w:pPr>
              <w:pStyle w:val="TableNText"/>
              <w:keepNext w:val="0"/>
              <w:keepLines/>
              <w:spacing w:line="240" w:lineRule="auto"/>
              <w:jc w:val="center"/>
            </w:pPr>
            <w:r w:rsidRPr="00FB712C">
              <w:rPr>
                <w:noProof/>
              </w:rPr>
              <w:drawing>
                <wp:inline distT="0" distB="0" distL="0" distR="0" wp14:anchorId="4A22C44C" wp14:editId="32D172F3">
                  <wp:extent cx="288000" cy="288000"/>
                  <wp:effectExtent l="0" t="0" r="0" b="0"/>
                  <wp:docPr id="696923535"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81605"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4154" t="24040" r="24169" b="24025"/>
                          <a:stretch/>
                        </pic:blipFill>
                        <pic:spPr>
                          <a:xfrm>
                            <a:off x="0" y="0"/>
                            <a:ext cx="288000" cy="288000"/>
                          </a:xfrm>
                          <a:prstGeom prst="rect">
                            <a:avLst/>
                          </a:prstGeom>
                        </pic:spPr>
                      </pic:pic>
                    </a:graphicData>
                  </a:graphic>
                </wp:inline>
              </w:drawing>
            </w:r>
          </w:p>
          <w:p w14:paraId="07629B13" w14:textId="77777777" w:rsidR="00A77AD0" w:rsidRPr="00602824" w:rsidRDefault="00A77AD0" w:rsidP="00FB712C">
            <w:pPr>
              <w:pStyle w:val="TableNText"/>
              <w:keepNext w:val="0"/>
              <w:keepLines/>
              <w:spacing w:line="240" w:lineRule="auto"/>
              <w:jc w:val="center"/>
            </w:pPr>
          </w:p>
          <w:p w14:paraId="6CE3CDF7" w14:textId="77777777" w:rsidR="00A77AD0" w:rsidRPr="00602824" w:rsidRDefault="00A77AD0" w:rsidP="00FB712C">
            <w:pPr>
              <w:pStyle w:val="TableNText"/>
              <w:keepNext w:val="0"/>
              <w:keepLines/>
              <w:spacing w:line="240" w:lineRule="auto"/>
              <w:jc w:val="center"/>
            </w:pPr>
          </w:p>
          <w:p w14:paraId="7A61610E" w14:textId="77777777" w:rsidR="00A77AD0" w:rsidRPr="00602824" w:rsidRDefault="00A77AD0" w:rsidP="00FB712C">
            <w:pPr>
              <w:pStyle w:val="TableNText"/>
              <w:keepNext w:val="0"/>
              <w:keepLines/>
              <w:spacing w:line="240" w:lineRule="auto"/>
              <w:jc w:val="center"/>
            </w:pPr>
          </w:p>
          <w:p w14:paraId="04D55EAF" w14:textId="77777777" w:rsidR="00A77AD0" w:rsidRPr="00602824" w:rsidRDefault="00A77AD0" w:rsidP="00FB712C">
            <w:pPr>
              <w:pStyle w:val="TableNText"/>
              <w:keepNext w:val="0"/>
              <w:keepLines/>
              <w:spacing w:line="240" w:lineRule="auto"/>
              <w:jc w:val="center"/>
            </w:pPr>
          </w:p>
          <w:p w14:paraId="1AD77DD9" w14:textId="77777777" w:rsidR="00D8361C" w:rsidRPr="00602824" w:rsidRDefault="00D8361C" w:rsidP="00FB712C">
            <w:pPr>
              <w:pStyle w:val="TableNText"/>
              <w:keepNext w:val="0"/>
              <w:keepLines/>
              <w:spacing w:line="240" w:lineRule="auto"/>
              <w:jc w:val="center"/>
            </w:pPr>
          </w:p>
          <w:p w14:paraId="124B1149" w14:textId="77777777" w:rsidR="00D8361C" w:rsidRPr="00602824" w:rsidRDefault="00D8361C" w:rsidP="00FB712C">
            <w:pPr>
              <w:pStyle w:val="TableNText"/>
              <w:keepNext w:val="0"/>
              <w:keepLines/>
              <w:spacing w:line="240" w:lineRule="auto"/>
              <w:jc w:val="center"/>
            </w:pPr>
          </w:p>
          <w:p w14:paraId="6BB5211A" w14:textId="77777777" w:rsidR="00D8361C" w:rsidRPr="00602824" w:rsidRDefault="00D8361C" w:rsidP="00FB712C">
            <w:pPr>
              <w:pStyle w:val="TableNText"/>
              <w:keepNext w:val="0"/>
              <w:keepLines/>
              <w:spacing w:line="240" w:lineRule="auto"/>
              <w:jc w:val="center"/>
            </w:pPr>
          </w:p>
          <w:p w14:paraId="57CA3ADE" w14:textId="77777777" w:rsidR="00D8361C" w:rsidRPr="00602824" w:rsidRDefault="00D8361C" w:rsidP="00FB712C">
            <w:pPr>
              <w:pStyle w:val="TableNText"/>
              <w:keepNext w:val="0"/>
              <w:keepLines/>
              <w:spacing w:line="240" w:lineRule="auto"/>
              <w:jc w:val="center"/>
            </w:pPr>
          </w:p>
          <w:p w14:paraId="6B5CD0EB" w14:textId="77777777" w:rsidR="00A77AD0" w:rsidRPr="00FB712C" w:rsidRDefault="00A77AD0" w:rsidP="00FB712C">
            <w:pPr>
              <w:pStyle w:val="TableNText"/>
              <w:keepNext w:val="0"/>
              <w:keepLines/>
              <w:spacing w:line="240" w:lineRule="auto"/>
              <w:jc w:val="center"/>
              <w:rPr>
                <w:rFonts w:asciiTheme="majorHAnsi" w:hAnsiTheme="majorHAnsi" w:cstheme="majorHAnsi"/>
                <w:color w:val="25B3E0" w:themeColor="accent6"/>
              </w:rPr>
            </w:pPr>
            <w:r w:rsidRPr="00FB712C">
              <w:rPr>
                <w:rFonts w:asciiTheme="majorHAnsi" w:hAnsiTheme="majorHAnsi" w:cstheme="majorHAnsi"/>
                <w:noProof/>
                <w:color w:val="25B3E0" w:themeColor="accent6"/>
              </w:rPr>
              <w:lastRenderedPageBreak/>
              <w:drawing>
                <wp:inline distT="0" distB="0" distL="0" distR="0" wp14:anchorId="07BA2916" wp14:editId="0BC6DD5A">
                  <wp:extent cx="288000" cy="288000"/>
                  <wp:effectExtent l="0" t="0" r="0" b="0"/>
                  <wp:docPr id="1890953485" name="Graphic 6" descr="Cross outline">
                    <a:extLst xmlns:a="http://schemas.openxmlformats.org/drawingml/2006/main">
                      <a:ext uri="{FF2B5EF4-FFF2-40B4-BE49-F238E27FC236}">
                        <a16:creationId xmlns:a16="http://schemas.microsoft.com/office/drawing/2014/main" id="{375809FF-B5B3-2652-171A-ECE806814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53485" name="Graphic 6" descr="Cross outline">
                            <a:extLst>
                              <a:ext uri="{FF2B5EF4-FFF2-40B4-BE49-F238E27FC236}">
                                <a16:creationId xmlns:a16="http://schemas.microsoft.com/office/drawing/2014/main" id="{375809FF-B5B3-2652-171A-ECE8068146E3}"/>
                              </a:ext>
                            </a:extLst>
                          </pic:cNvPr>
                          <pic:cNvPicPr>
                            <a:picLocks noChangeAspect="1"/>
                          </pic:cNvPicPr>
                        </pic:nvPicPr>
                        <pic:blipFill rotWithShape="1">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rcRect l="9925" t="9988" r="9867" b="9335"/>
                          <a:stretch/>
                        </pic:blipFill>
                        <pic:spPr>
                          <a:xfrm>
                            <a:off x="0" y="0"/>
                            <a:ext cx="288000" cy="288000"/>
                          </a:xfrm>
                          <a:prstGeom prst="rect">
                            <a:avLst/>
                          </a:prstGeom>
                        </pic:spPr>
                      </pic:pic>
                    </a:graphicData>
                  </a:graphic>
                </wp:inline>
              </w:drawing>
            </w:r>
          </w:p>
          <w:p w14:paraId="2573E1D3" w14:textId="77777777" w:rsidR="0095174B" w:rsidRPr="00FB712C" w:rsidRDefault="0095174B" w:rsidP="00FB712C">
            <w:pPr>
              <w:spacing w:before="40" w:after="40"/>
              <w:jc w:val="center"/>
              <w:rPr>
                <w:rFonts w:asciiTheme="majorHAnsi" w:eastAsia="Times New Roman" w:hAnsiTheme="majorHAnsi" w:cstheme="majorHAnsi"/>
                <w:color w:val="25B3E0" w:themeColor="accent6"/>
                <w:sz w:val="17"/>
                <w:szCs w:val="24"/>
                <w:lang w:eastAsia="en-AU"/>
              </w:rPr>
            </w:pPr>
          </w:p>
          <w:p w14:paraId="00AF76EB" w14:textId="77777777" w:rsidR="0095174B" w:rsidRPr="00FB712C" w:rsidRDefault="0095174B" w:rsidP="00FB712C">
            <w:pPr>
              <w:spacing w:before="40" w:after="40"/>
              <w:jc w:val="center"/>
              <w:rPr>
                <w:rFonts w:asciiTheme="majorHAnsi" w:eastAsia="Times New Roman" w:hAnsiTheme="majorHAnsi" w:cstheme="majorHAnsi"/>
                <w:color w:val="25B3E0" w:themeColor="accent6"/>
                <w:sz w:val="17"/>
                <w:szCs w:val="24"/>
                <w:lang w:eastAsia="en-AU"/>
              </w:rPr>
            </w:pPr>
          </w:p>
          <w:p w14:paraId="36751B88" w14:textId="77777777" w:rsidR="0095174B" w:rsidRPr="00FB712C" w:rsidRDefault="0095174B" w:rsidP="00FB712C">
            <w:pPr>
              <w:spacing w:before="40" w:after="40"/>
              <w:jc w:val="center"/>
              <w:rPr>
                <w:rFonts w:asciiTheme="majorHAnsi" w:eastAsia="Times New Roman" w:hAnsiTheme="majorHAnsi" w:cstheme="majorHAnsi"/>
                <w:color w:val="25B3E0" w:themeColor="accent6"/>
                <w:sz w:val="17"/>
                <w:szCs w:val="24"/>
                <w:lang w:eastAsia="en-AU"/>
              </w:rPr>
            </w:pPr>
          </w:p>
          <w:p w14:paraId="63CC0703" w14:textId="77777777" w:rsidR="0095174B" w:rsidRPr="00FB712C" w:rsidRDefault="0095174B" w:rsidP="00FB712C">
            <w:pPr>
              <w:spacing w:before="40" w:after="40"/>
              <w:jc w:val="center"/>
              <w:rPr>
                <w:rFonts w:asciiTheme="majorHAnsi" w:eastAsia="Times New Roman" w:hAnsiTheme="majorHAnsi" w:cstheme="majorHAnsi"/>
                <w:color w:val="25B3E0" w:themeColor="accent6"/>
                <w:sz w:val="17"/>
                <w:szCs w:val="24"/>
                <w:lang w:eastAsia="en-AU"/>
              </w:rPr>
            </w:pPr>
          </w:p>
          <w:p w14:paraId="5E4CCACB" w14:textId="77777777" w:rsidR="00332967" w:rsidRDefault="00332967" w:rsidP="00FB712C">
            <w:pPr>
              <w:spacing w:before="40" w:after="40"/>
              <w:jc w:val="center"/>
              <w:rPr>
                <w:rFonts w:asciiTheme="majorHAnsi" w:eastAsia="Times New Roman" w:hAnsiTheme="majorHAnsi" w:cstheme="majorHAnsi"/>
                <w:color w:val="25B3E0" w:themeColor="accent6"/>
                <w:sz w:val="17"/>
                <w:szCs w:val="24"/>
                <w:lang w:eastAsia="en-AU"/>
              </w:rPr>
            </w:pPr>
          </w:p>
          <w:p w14:paraId="606698B5" w14:textId="77777777" w:rsidR="00B008F8" w:rsidRDefault="00B008F8" w:rsidP="00FB712C">
            <w:pPr>
              <w:spacing w:before="40" w:after="40"/>
              <w:jc w:val="center"/>
              <w:rPr>
                <w:rFonts w:asciiTheme="majorHAnsi" w:eastAsia="Times New Roman" w:hAnsiTheme="majorHAnsi" w:cstheme="majorHAnsi"/>
                <w:color w:val="25B3E0" w:themeColor="accent6"/>
                <w:sz w:val="17"/>
                <w:szCs w:val="24"/>
                <w:lang w:eastAsia="en-AU"/>
              </w:rPr>
            </w:pPr>
          </w:p>
          <w:p w14:paraId="3E963941" w14:textId="77777777" w:rsidR="00B008F8" w:rsidRPr="00FB712C" w:rsidRDefault="00B008F8" w:rsidP="00FB712C">
            <w:pPr>
              <w:spacing w:before="40" w:after="40"/>
              <w:jc w:val="center"/>
              <w:rPr>
                <w:rFonts w:asciiTheme="majorHAnsi" w:eastAsia="Times New Roman" w:hAnsiTheme="majorHAnsi" w:cstheme="majorHAnsi"/>
                <w:color w:val="25B3E0" w:themeColor="accent6"/>
                <w:sz w:val="2"/>
                <w:szCs w:val="8"/>
                <w:lang w:eastAsia="en-AU"/>
              </w:rPr>
            </w:pPr>
          </w:p>
          <w:p w14:paraId="3411229A" w14:textId="2535D78E" w:rsidR="0095174B" w:rsidRPr="00602824" w:rsidRDefault="0095174B" w:rsidP="00FB712C">
            <w:pPr>
              <w:spacing w:before="40" w:after="40"/>
              <w:jc w:val="center"/>
              <w:rPr>
                <w:lang w:eastAsia="en-AU"/>
              </w:rPr>
            </w:pPr>
            <w:r w:rsidRPr="00AC7E3F">
              <w:rPr>
                <w:rFonts w:asciiTheme="majorHAnsi" w:hAnsiTheme="majorHAnsi" w:cstheme="majorHAnsi"/>
                <w:noProof/>
                <w:color w:val="25B3E0" w:themeColor="accent6"/>
              </w:rPr>
              <w:drawing>
                <wp:inline distT="0" distB="0" distL="0" distR="0" wp14:anchorId="1D9B37C8" wp14:editId="66B7BB49">
                  <wp:extent cx="288000" cy="288000"/>
                  <wp:effectExtent l="0" t="0" r="0" b="0"/>
                  <wp:docPr id="1886589765" name="Graphic 6" descr="Cross outline">
                    <a:extLst xmlns:a="http://schemas.openxmlformats.org/drawingml/2006/main">
                      <a:ext uri="{FF2B5EF4-FFF2-40B4-BE49-F238E27FC236}">
                        <a16:creationId xmlns:a16="http://schemas.microsoft.com/office/drawing/2014/main" id="{375809FF-B5B3-2652-171A-ECE806814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53485" name="Graphic 6" descr="Cross outline">
                            <a:extLst>
                              <a:ext uri="{FF2B5EF4-FFF2-40B4-BE49-F238E27FC236}">
                                <a16:creationId xmlns:a16="http://schemas.microsoft.com/office/drawing/2014/main" id="{375809FF-B5B3-2652-171A-ECE8068146E3}"/>
                              </a:ext>
                            </a:extLst>
                          </pic:cNvPr>
                          <pic:cNvPicPr>
                            <a:picLocks noChangeAspect="1"/>
                          </pic:cNvPicPr>
                        </pic:nvPicPr>
                        <pic:blipFill rotWithShape="1">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rcRect l="9925" t="9988" r="9867" b="9335"/>
                          <a:stretch/>
                        </pic:blipFill>
                        <pic:spPr>
                          <a:xfrm>
                            <a:off x="0" y="0"/>
                            <a:ext cx="288000" cy="288000"/>
                          </a:xfrm>
                          <a:prstGeom prst="rect">
                            <a:avLst/>
                          </a:prstGeom>
                        </pic:spPr>
                      </pic:pic>
                    </a:graphicData>
                  </a:graphic>
                </wp:inline>
              </w:drawing>
            </w:r>
          </w:p>
        </w:tc>
        <w:tc>
          <w:tcPr>
            <w:tcW w:w="2119" w:type="dxa"/>
          </w:tcPr>
          <w:p w14:paraId="302210A5" w14:textId="668C5D6B" w:rsidR="00A77AD0" w:rsidRPr="00602824" w:rsidRDefault="00C929A9" w:rsidP="00FB712C">
            <w:pPr>
              <w:pStyle w:val="TableNText"/>
              <w:keepNext w:val="0"/>
              <w:keepLines/>
              <w:spacing w:line="240" w:lineRule="auto"/>
            </w:pPr>
            <w:r w:rsidRPr="00602824">
              <w:rPr>
                <w:rFonts w:asciiTheme="majorHAnsi" w:hAnsiTheme="majorHAnsi" w:cstheme="majorBidi"/>
                <w:color w:val="25B3E0" w:themeColor="accent6"/>
              </w:rPr>
              <w:lastRenderedPageBreak/>
              <w:t>On track</w:t>
            </w:r>
            <w:r w:rsidR="00A77AD0" w:rsidRPr="00602824">
              <w:rPr>
                <w:color w:val="25B3E0" w:themeColor="accent6"/>
              </w:rPr>
              <w:t xml:space="preserve"> </w:t>
            </w:r>
            <w:r w:rsidR="00A77AD0" w:rsidRPr="00602824">
              <w:t xml:space="preserve">– Legislation addressing </w:t>
            </w:r>
            <w:r w:rsidR="002A0575" w:rsidRPr="00602824">
              <w:t xml:space="preserve">the </w:t>
            </w:r>
            <w:r w:rsidR="00A77AD0" w:rsidRPr="00602824">
              <w:t>purpose, definition and scope</w:t>
            </w:r>
            <w:r w:rsidR="00EC70C1" w:rsidRPr="00602824">
              <w:t xml:space="preserve"> of the PL</w:t>
            </w:r>
            <w:r w:rsidR="00A77AD0" w:rsidRPr="00602824">
              <w:t xml:space="preserve"> has </w:t>
            </w:r>
            <w:r w:rsidR="00EC70C1" w:rsidRPr="00602824">
              <w:t>been achieved during the reforms.</w:t>
            </w:r>
            <w:r w:rsidR="00A77AD0" w:rsidRPr="00602824">
              <w:t xml:space="preserve"> The decision to retain GUIs</w:t>
            </w:r>
            <w:r w:rsidR="00EC70C1" w:rsidRPr="00602824">
              <w:t xml:space="preserve"> has required a subsequent update to the PL Rules to permit these </w:t>
            </w:r>
            <w:r w:rsidRPr="00602824">
              <w:t>items</w:t>
            </w:r>
            <w:r w:rsidR="00EC70C1" w:rsidRPr="00602824">
              <w:t xml:space="preserve"> to remain on the PL. </w:t>
            </w:r>
          </w:p>
          <w:p w14:paraId="69C7F0D6" w14:textId="1F908868" w:rsidR="00BE4BB7" w:rsidRPr="00602824" w:rsidRDefault="0053331F" w:rsidP="00FB712C">
            <w:pPr>
              <w:pStyle w:val="TableNText"/>
              <w:keepNext w:val="0"/>
              <w:keepLines/>
              <w:spacing w:line="240" w:lineRule="auto"/>
            </w:pPr>
            <w:r w:rsidRPr="00602824">
              <w:rPr>
                <w:rFonts w:asciiTheme="majorHAnsi" w:hAnsiTheme="majorHAnsi" w:cstheme="majorHAnsi"/>
                <w:color w:val="FF3A40" w:themeColor="accent1"/>
              </w:rPr>
              <w:lastRenderedPageBreak/>
              <w:t>Not</w:t>
            </w:r>
            <w:r w:rsidR="00A77AD0" w:rsidRPr="00602824">
              <w:rPr>
                <w:rFonts w:asciiTheme="majorHAnsi" w:hAnsiTheme="majorHAnsi" w:cstheme="majorHAnsi"/>
                <w:color w:val="FF3A40" w:themeColor="accent1"/>
              </w:rPr>
              <w:t xml:space="preserve"> achieved</w:t>
            </w:r>
            <w:r w:rsidR="00A77AD0" w:rsidRPr="00602824">
              <w:rPr>
                <w:color w:val="FF3A40" w:themeColor="accent1"/>
              </w:rPr>
              <w:t xml:space="preserve"> </w:t>
            </w:r>
            <w:r w:rsidR="00A77AD0" w:rsidRPr="00602824">
              <w:t xml:space="preserve">– Regrouping </w:t>
            </w:r>
            <w:r w:rsidRPr="00602824">
              <w:t xml:space="preserve">has </w:t>
            </w:r>
            <w:r w:rsidR="0092134B" w:rsidRPr="00602824">
              <w:t xml:space="preserve">not been </w:t>
            </w:r>
            <w:r w:rsidR="00BF26E7" w:rsidRPr="00602824">
              <w:t>implemented,</w:t>
            </w:r>
            <w:r w:rsidR="0092134B" w:rsidRPr="00602824">
              <w:t xml:space="preserve"> a</w:t>
            </w:r>
            <w:r w:rsidR="00BF26E7" w:rsidRPr="00602824">
              <w:t xml:space="preserve">nd the project has been discontinued. </w:t>
            </w:r>
          </w:p>
          <w:p w14:paraId="63C643A8" w14:textId="77777777" w:rsidR="00BE4BB7" w:rsidRPr="00602824" w:rsidRDefault="00BE4BB7" w:rsidP="00FB712C">
            <w:pPr>
              <w:pStyle w:val="TableNText"/>
              <w:keepNext w:val="0"/>
              <w:keepLines/>
              <w:spacing w:line="240" w:lineRule="auto"/>
              <w:rPr>
                <w:color w:val="EE0000"/>
              </w:rPr>
            </w:pPr>
          </w:p>
          <w:p w14:paraId="09EE6CF9" w14:textId="77777777" w:rsidR="00C30B21" w:rsidRPr="00602824" w:rsidRDefault="00C30B21" w:rsidP="00FB712C">
            <w:pPr>
              <w:pStyle w:val="TableNText"/>
              <w:keepNext w:val="0"/>
              <w:keepLines/>
              <w:spacing w:line="240" w:lineRule="auto"/>
              <w:rPr>
                <w:rFonts w:asciiTheme="majorHAnsi" w:hAnsiTheme="majorHAnsi" w:cstheme="majorHAnsi"/>
                <w:color w:val="FF3A40" w:themeColor="accent1"/>
              </w:rPr>
            </w:pPr>
          </w:p>
          <w:p w14:paraId="3FF20798" w14:textId="77777777" w:rsidR="00332967" w:rsidRPr="00602824" w:rsidRDefault="00332967" w:rsidP="00FB712C">
            <w:pPr>
              <w:pStyle w:val="TableNText"/>
              <w:keepNext w:val="0"/>
              <w:keepLines/>
              <w:spacing w:line="240" w:lineRule="auto"/>
              <w:rPr>
                <w:rFonts w:asciiTheme="majorHAnsi" w:hAnsiTheme="majorHAnsi" w:cstheme="majorHAnsi"/>
                <w:color w:val="FF3A40" w:themeColor="accent1"/>
              </w:rPr>
            </w:pPr>
          </w:p>
          <w:p w14:paraId="68B0E9AD" w14:textId="71D5D040" w:rsidR="00A77AD0" w:rsidRPr="00602824" w:rsidRDefault="00BE4BB7" w:rsidP="00FB712C">
            <w:pPr>
              <w:pStyle w:val="TableNText"/>
              <w:keepNext w:val="0"/>
              <w:keepLines/>
              <w:spacing w:line="240" w:lineRule="auto"/>
              <w:rPr>
                <w:highlight w:val="red"/>
              </w:rPr>
            </w:pPr>
            <w:r w:rsidRPr="00602824">
              <w:rPr>
                <w:rFonts w:asciiTheme="majorHAnsi" w:hAnsiTheme="majorHAnsi" w:cstheme="majorHAnsi"/>
                <w:color w:val="FF3A40" w:themeColor="accent1"/>
              </w:rPr>
              <w:t>Not achieved</w:t>
            </w:r>
            <w:r w:rsidRPr="00602824">
              <w:rPr>
                <w:color w:val="EE0000"/>
              </w:rPr>
              <w:t xml:space="preserve"> </w:t>
            </w:r>
            <w:r w:rsidRPr="00602824">
              <w:t xml:space="preserve">– </w:t>
            </w:r>
            <w:r w:rsidR="00A77AD0" w:rsidRPr="00602824">
              <w:t xml:space="preserve">GUIs </w:t>
            </w:r>
            <w:r w:rsidR="00516392">
              <w:t>have not been removed from</w:t>
            </w:r>
            <w:r w:rsidR="00A77AD0" w:rsidRPr="00602824">
              <w:t xml:space="preserve"> </w:t>
            </w:r>
            <w:r w:rsidR="00D432EE">
              <w:t xml:space="preserve">the </w:t>
            </w:r>
            <w:r w:rsidR="00A77AD0" w:rsidRPr="00602824">
              <w:t>PL</w:t>
            </w:r>
            <w:r w:rsidR="00516392">
              <w:t xml:space="preserve"> (</w:t>
            </w:r>
            <w:r w:rsidR="00D432EE">
              <w:t>however, benefits were aligned with public benchmarks).</w:t>
            </w:r>
          </w:p>
        </w:tc>
        <w:tc>
          <w:tcPr>
            <w:tcW w:w="3402" w:type="dxa"/>
          </w:tcPr>
          <w:p w14:paraId="66017F04" w14:textId="108BE3FC" w:rsidR="00A77AD0" w:rsidRPr="00602824" w:rsidRDefault="00A77AD0" w:rsidP="00FB712C">
            <w:pPr>
              <w:pStyle w:val="TableNText"/>
              <w:keepNext w:val="0"/>
              <w:keepLines/>
              <w:spacing w:line="240" w:lineRule="auto"/>
            </w:pPr>
            <w:r w:rsidRPr="00602824">
              <w:lastRenderedPageBreak/>
              <w:t>Legislated changes have incorporated new terminology and definitions of PL scope. However, the decision to retain GUIs on the PL</w:t>
            </w:r>
            <w:r w:rsidR="00C929A9" w:rsidRPr="00602824">
              <w:t xml:space="preserve">, and </w:t>
            </w:r>
            <w:r w:rsidR="00D41417" w:rsidRPr="00602824">
              <w:t xml:space="preserve">having </w:t>
            </w:r>
            <w:r w:rsidR="00693D05" w:rsidRPr="00602824">
              <w:t xml:space="preserve">no </w:t>
            </w:r>
            <w:r w:rsidR="001A265F" w:rsidRPr="00602824">
              <w:t>long-term</w:t>
            </w:r>
            <w:r w:rsidR="00D41417" w:rsidRPr="00602824">
              <w:t xml:space="preserve"> position for</w:t>
            </w:r>
            <w:r w:rsidR="00693D05" w:rsidRPr="00602824">
              <w:t xml:space="preserve"> </w:t>
            </w:r>
            <w:r w:rsidR="00EB1BD9" w:rsidRPr="00602824">
              <w:t xml:space="preserve">the </w:t>
            </w:r>
            <w:r w:rsidR="00D41417" w:rsidRPr="00602824">
              <w:t>services attached to</w:t>
            </w:r>
            <w:r w:rsidR="00693D05" w:rsidRPr="00602824">
              <w:t xml:space="preserve"> </w:t>
            </w:r>
            <w:r w:rsidR="007E3D47" w:rsidRPr="00602824">
              <w:t>CIEDs</w:t>
            </w:r>
            <w:r w:rsidRPr="00602824">
              <w:t xml:space="preserve"> has diluted the impact </w:t>
            </w:r>
            <w:r w:rsidR="00231935" w:rsidRPr="00602824">
              <w:t>of this reform project</w:t>
            </w:r>
            <w:r w:rsidRPr="00602824">
              <w:t xml:space="preserve">. </w:t>
            </w:r>
          </w:p>
          <w:p w14:paraId="6272AF3E" w14:textId="77777777" w:rsidR="00A77AD0" w:rsidRPr="00602824" w:rsidRDefault="00A77AD0" w:rsidP="00FB712C">
            <w:pPr>
              <w:pStyle w:val="TableNText"/>
              <w:keepNext w:val="0"/>
              <w:keepLines/>
              <w:spacing w:line="240" w:lineRule="auto"/>
            </w:pPr>
          </w:p>
          <w:p w14:paraId="64B9C1DA" w14:textId="77777777" w:rsidR="00A77AD0" w:rsidRPr="00602824" w:rsidRDefault="00A77AD0" w:rsidP="00FB712C">
            <w:pPr>
              <w:pStyle w:val="TableNText"/>
              <w:keepNext w:val="0"/>
              <w:keepLines/>
              <w:spacing w:line="240" w:lineRule="auto"/>
            </w:pPr>
          </w:p>
          <w:p w14:paraId="55901B26" w14:textId="77777777" w:rsidR="0095174B" w:rsidRPr="00602824" w:rsidRDefault="0095174B" w:rsidP="00FB712C">
            <w:pPr>
              <w:pStyle w:val="TableNText"/>
              <w:keepNext w:val="0"/>
              <w:keepLines/>
              <w:spacing w:line="240" w:lineRule="auto"/>
              <w:rPr>
                <w:color w:val="FF3A40" w:themeColor="accent1"/>
                <w:highlight w:val="yellow"/>
              </w:rPr>
            </w:pPr>
          </w:p>
          <w:p w14:paraId="454EAA5A" w14:textId="68DBBC0C" w:rsidR="00A77AD0" w:rsidRPr="00602824" w:rsidRDefault="00442ECF" w:rsidP="00FB712C">
            <w:pPr>
              <w:pStyle w:val="TableNText"/>
              <w:keepNext w:val="0"/>
              <w:keepLines/>
              <w:spacing w:line="240" w:lineRule="auto"/>
            </w:pPr>
            <w:r w:rsidRPr="00602824">
              <w:lastRenderedPageBreak/>
              <w:t xml:space="preserve">The proposed PL regrouping framework introduced </w:t>
            </w:r>
            <w:r w:rsidR="00402B31" w:rsidRPr="00602824">
              <w:t>mixed</w:t>
            </w:r>
            <w:r w:rsidRPr="00602824">
              <w:t xml:space="preserve"> benefit</w:t>
            </w:r>
            <w:r w:rsidR="00402B31" w:rsidRPr="00602824">
              <w:t xml:space="preserve"> groupings</w:t>
            </w:r>
            <w:r w:rsidRPr="00602824">
              <w:t xml:space="preserve"> that added complexity to the regrouping process. This led to the decision to withdraw the project from the reform program.</w:t>
            </w:r>
            <w:r w:rsidR="00A77AD0" w:rsidRPr="00602824">
              <w:t xml:space="preserve"> The expected benefits of reduced </w:t>
            </w:r>
            <w:r w:rsidR="00402B31" w:rsidRPr="00602824">
              <w:t xml:space="preserve">grouping </w:t>
            </w:r>
            <w:r w:rsidR="00A77AD0" w:rsidRPr="00602824">
              <w:t xml:space="preserve">complexity and increased alignment with clinical use </w:t>
            </w:r>
            <w:r w:rsidR="00C30B21" w:rsidRPr="00602824">
              <w:t>have</w:t>
            </w:r>
            <w:r w:rsidR="00A77AD0" w:rsidRPr="00602824">
              <w:t xml:space="preserve"> not been achieved. </w:t>
            </w:r>
          </w:p>
          <w:p w14:paraId="5A7C33C5" w14:textId="77777777" w:rsidR="0095174B" w:rsidRPr="00602824" w:rsidRDefault="0095174B" w:rsidP="00FB712C">
            <w:pPr>
              <w:pStyle w:val="TableNText"/>
              <w:keepNext w:val="0"/>
              <w:keepLines/>
              <w:spacing w:line="240" w:lineRule="auto"/>
            </w:pPr>
          </w:p>
          <w:p w14:paraId="75EA1695" w14:textId="6B31399D" w:rsidR="00A77AD0" w:rsidRPr="00602824" w:rsidRDefault="00A77AD0" w:rsidP="00FB712C">
            <w:pPr>
              <w:pStyle w:val="TableNText"/>
              <w:keepNext w:val="0"/>
              <w:keepLines/>
              <w:spacing w:line="240" w:lineRule="auto"/>
            </w:pPr>
            <w:r w:rsidRPr="00602824">
              <w:t>GUIs will remain on the PL and will not be part of the reforms’ aim to clarify the PL scope.</w:t>
            </w:r>
          </w:p>
        </w:tc>
      </w:tr>
      <w:tr w:rsidR="000811EA" w:rsidRPr="00602824" w14:paraId="6684CBA3" w14:textId="77777777" w:rsidTr="00FB712C">
        <w:tc>
          <w:tcPr>
            <w:tcW w:w="0" w:type="dxa"/>
          </w:tcPr>
          <w:p w14:paraId="06CF3449" w14:textId="77777777" w:rsidR="00A77AD0" w:rsidRPr="00602824" w:rsidRDefault="00A77AD0" w:rsidP="00FB712C">
            <w:pPr>
              <w:pStyle w:val="TableNText"/>
              <w:keepNext w:val="0"/>
              <w:keepLines/>
              <w:spacing w:line="240" w:lineRule="auto"/>
              <w:rPr>
                <w:rFonts w:asciiTheme="majorHAnsi" w:hAnsiTheme="majorHAnsi" w:cstheme="majorHAnsi"/>
              </w:rPr>
            </w:pPr>
            <w:r w:rsidRPr="00602824">
              <w:rPr>
                <w:rFonts w:asciiTheme="majorHAnsi" w:hAnsiTheme="majorHAnsi" w:cstheme="majorHAnsi"/>
              </w:rPr>
              <w:lastRenderedPageBreak/>
              <w:t>6. Implement new PL assessment pathways aligned to Health Technology Assessment principles and streamline the application process through simple and robust IT infrastructure</w:t>
            </w:r>
          </w:p>
        </w:tc>
        <w:tc>
          <w:tcPr>
            <w:tcW w:w="0" w:type="dxa"/>
          </w:tcPr>
          <w:p w14:paraId="56159901" w14:textId="77777777" w:rsidR="00A77AD0" w:rsidRPr="00602824" w:rsidRDefault="00A77AD0" w:rsidP="00FB712C">
            <w:pPr>
              <w:pStyle w:val="TableNText"/>
              <w:keepNext w:val="0"/>
              <w:keepLines/>
              <w:spacing w:line="240" w:lineRule="auto"/>
            </w:pPr>
            <w:r w:rsidRPr="00602824">
              <w:t>No distinct assessment pathways based on complexity.</w:t>
            </w:r>
          </w:p>
          <w:p w14:paraId="159B95F4" w14:textId="77777777" w:rsidR="00A77AD0" w:rsidRPr="00602824" w:rsidRDefault="00A77AD0" w:rsidP="00FB712C">
            <w:pPr>
              <w:pStyle w:val="TableNText"/>
              <w:keepNext w:val="0"/>
              <w:keepLines/>
              <w:spacing w:line="240" w:lineRule="auto"/>
            </w:pPr>
            <w:r w:rsidRPr="00602824">
              <w:t>Assessment process has mixed alignment with HTA principles.</w:t>
            </w:r>
          </w:p>
        </w:tc>
        <w:tc>
          <w:tcPr>
            <w:tcW w:w="0" w:type="dxa"/>
          </w:tcPr>
          <w:p w14:paraId="0CD47C46" w14:textId="77777777" w:rsidR="00A77AD0" w:rsidRPr="00602824" w:rsidRDefault="00A77AD0" w:rsidP="00FB712C">
            <w:pPr>
              <w:pStyle w:val="TableNText"/>
              <w:keepNext w:val="0"/>
              <w:keepLines/>
              <w:spacing w:line="240" w:lineRule="auto"/>
            </w:pPr>
            <w:r w:rsidRPr="00602824">
              <w:t>Effective and efficient assessment crucial to maintain integrity of the PL.</w:t>
            </w:r>
          </w:p>
        </w:tc>
        <w:tc>
          <w:tcPr>
            <w:tcW w:w="0" w:type="dxa"/>
          </w:tcPr>
          <w:p w14:paraId="4EB0399C" w14:textId="77777777" w:rsidR="00A77AD0" w:rsidRPr="00602824" w:rsidRDefault="00A77AD0" w:rsidP="00FB712C">
            <w:pPr>
              <w:pStyle w:val="TableNText"/>
              <w:keepNext w:val="0"/>
              <w:keepLines/>
              <w:spacing w:line="240" w:lineRule="auto"/>
            </w:pPr>
            <w:r w:rsidRPr="00602824">
              <w:t>Multi-tiered application process to be established.</w:t>
            </w:r>
          </w:p>
          <w:p w14:paraId="599EE7A4" w14:textId="77777777" w:rsidR="00A77AD0" w:rsidRPr="00602824" w:rsidRDefault="00A77AD0" w:rsidP="00FB712C">
            <w:pPr>
              <w:pStyle w:val="TableNText"/>
              <w:keepNext w:val="0"/>
              <w:keepLines/>
              <w:spacing w:line="240" w:lineRule="auto"/>
            </w:pPr>
            <w:r w:rsidRPr="00602824">
              <w:t>Changes to assessment governance processes.</w:t>
            </w:r>
          </w:p>
        </w:tc>
        <w:tc>
          <w:tcPr>
            <w:tcW w:w="0" w:type="dxa"/>
          </w:tcPr>
          <w:p w14:paraId="402973D7" w14:textId="428461A0" w:rsidR="00A77AD0" w:rsidRPr="00602824" w:rsidRDefault="003E4F02" w:rsidP="00FB712C">
            <w:pPr>
              <w:pStyle w:val="TableNText"/>
              <w:keepNext w:val="0"/>
              <w:keepLines/>
              <w:spacing w:line="240" w:lineRule="auto"/>
              <w:jc w:val="center"/>
              <w:rPr>
                <w:highlight w:val="green"/>
              </w:rPr>
            </w:pPr>
            <w:r w:rsidRPr="00FB712C">
              <w:rPr>
                <w:rFonts w:asciiTheme="majorHAnsi" w:hAnsiTheme="majorHAnsi" w:cstheme="majorHAnsi"/>
                <w:noProof/>
                <w:color w:val="25B3E0" w:themeColor="accent6"/>
              </w:rPr>
              <w:drawing>
                <wp:inline distT="0" distB="0" distL="0" distR="0" wp14:anchorId="6BA21BC0" wp14:editId="450F92C8">
                  <wp:extent cx="288000" cy="288000"/>
                  <wp:effectExtent l="0" t="0" r="0" b="0"/>
                  <wp:docPr id="4702800"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54102"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9771" t="9359" r="9239" b="9130"/>
                          <a:stretch/>
                        </pic:blipFill>
                        <pic:spPr>
                          <a:xfrm>
                            <a:off x="0" y="0"/>
                            <a:ext cx="288000" cy="288000"/>
                          </a:xfrm>
                          <a:prstGeom prst="rect">
                            <a:avLst/>
                          </a:prstGeom>
                        </pic:spPr>
                      </pic:pic>
                    </a:graphicData>
                  </a:graphic>
                </wp:inline>
              </w:drawing>
            </w:r>
          </w:p>
        </w:tc>
        <w:tc>
          <w:tcPr>
            <w:tcW w:w="2119" w:type="dxa"/>
          </w:tcPr>
          <w:p w14:paraId="74125BDE" w14:textId="460C332D" w:rsidR="00A77AD0" w:rsidRPr="00602824" w:rsidRDefault="001D54ED" w:rsidP="00FB712C">
            <w:pPr>
              <w:pStyle w:val="TableNText"/>
              <w:keepNext w:val="0"/>
              <w:keepLines/>
              <w:spacing w:line="240" w:lineRule="auto"/>
            </w:pPr>
            <w:r w:rsidRPr="00602824">
              <w:rPr>
                <w:rFonts w:asciiTheme="majorHAnsi" w:hAnsiTheme="majorHAnsi" w:cstheme="majorHAnsi"/>
                <w:color w:val="F8981D" w:themeColor="accent3"/>
              </w:rPr>
              <w:t>Ongoing</w:t>
            </w:r>
            <w:r w:rsidR="00A77AD0" w:rsidRPr="00602824">
              <w:rPr>
                <w:color w:val="F8981D" w:themeColor="accent3"/>
              </w:rPr>
              <w:t xml:space="preserve"> </w:t>
            </w:r>
            <w:r w:rsidR="00A77AD0" w:rsidRPr="00602824">
              <w:t xml:space="preserve">– New governance arrangements and </w:t>
            </w:r>
            <w:r w:rsidR="00E139D8" w:rsidRPr="00602824">
              <w:t>tiered assessment</w:t>
            </w:r>
            <w:r w:rsidR="00A77AD0" w:rsidRPr="00602824">
              <w:t xml:space="preserve"> pathways have been implemented</w:t>
            </w:r>
            <w:r w:rsidRPr="00602824">
              <w:t xml:space="preserve">, though </w:t>
            </w:r>
            <w:r w:rsidR="003E4F02" w:rsidRPr="00602824">
              <w:t>some elements remain in an interim state.</w:t>
            </w:r>
          </w:p>
        </w:tc>
        <w:tc>
          <w:tcPr>
            <w:tcW w:w="3402" w:type="dxa"/>
          </w:tcPr>
          <w:p w14:paraId="697C7441" w14:textId="467A3275" w:rsidR="00A77AD0" w:rsidRPr="00602824" w:rsidRDefault="00A77AD0" w:rsidP="00FB712C">
            <w:pPr>
              <w:pStyle w:val="TableNText"/>
              <w:keepNext w:val="0"/>
              <w:keepLines/>
              <w:spacing w:line="240" w:lineRule="auto"/>
            </w:pPr>
            <w:r w:rsidRPr="00602824">
              <w:t>New PL assessment pathways</w:t>
            </w:r>
            <w:r w:rsidR="001A5E72" w:rsidRPr="00602824">
              <w:t xml:space="preserve"> and governance </w:t>
            </w:r>
            <w:r w:rsidR="00BB5B77" w:rsidRPr="00602824">
              <w:t>arrangement</w:t>
            </w:r>
            <w:r w:rsidR="001A5E72" w:rsidRPr="00602824">
              <w:t xml:space="preserve"> are in operation. </w:t>
            </w:r>
            <w:r w:rsidRPr="00602824">
              <w:t xml:space="preserve"> </w:t>
            </w:r>
            <w:r w:rsidR="009832D1" w:rsidRPr="00602824">
              <w:t xml:space="preserve">However, challenges with the </w:t>
            </w:r>
            <w:r w:rsidRPr="00602824">
              <w:t>new assessment pathways and application process</w:t>
            </w:r>
            <w:r w:rsidR="00BB5B77" w:rsidRPr="00602824">
              <w:t>es</w:t>
            </w:r>
            <w:r w:rsidRPr="00602824">
              <w:t xml:space="preserve"> </w:t>
            </w:r>
            <w:r w:rsidR="009832D1" w:rsidRPr="00602824">
              <w:t xml:space="preserve">means </w:t>
            </w:r>
            <w:r w:rsidR="00CB0300" w:rsidRPr="00602824">
              <w:t xml:space="preserve">the expected efficiency gains have not yet been realised. </w:t>
            </w:r>
            <w:r w:rsidRPr="00602824">
              <w:t xml:space="preserve"> </w:t>
            </w:r>
          </w:p>
        </w:tc>
      </w:tr>
      <w:tr w:rsidR="000811EA" w:rsidRPr="00602824" w14:paraId="1621CED8" w14:textId="77777777" w:rsidTr="00FB712C">
        <w:tc>
          <w:tcPr>
            <w:tcW w:w="0" w:type="dxa"/>
          </w:tcPr>
          <w:p w14:paraId="0F8506E2" w14:textId="77777777" w:rsidR="00A77AD0" w:rsidRPr="00602824" w:rsidRDefault="00A77AD0" w:rsidP="00FB712C">
            <w:pPr>
              <w:pStyle w:val="TableNText"/>
              <w:keepNext w:val="0"/>
              <w:keepLines/>
              <w:spacing w:line="240" w:lineRule="auto"/>
              <w:rPr>
                <w:rFonts w:asciiTheme="majorHAnsi" w:hAnsiTheme="majorHAnsi" w:cstheme="majorHAnsi"/>
              </w:rPr>
            </w:pPr>
            <w:r w:rsidRPr="00602824">
              <w:rPr>
                <w:rFonts w:asciiTheme="majorHAnsi" w:hAnsiTheme="majorHAnsi" w:cstheme="majorHAnsi"/>
              </w:rPr>
              <w:t>7. Develop and implement PL listing reviews and PL compliance frameworks to safeguard the PL Reform</w:t>
            </w:r>
          </w:p>
        </w:tc>
        <w:tc>
          <w:tcPr>
            <w:tcW w:w="0" w:type="dxa"/>
          </w:tcPr>
          <w:p w14:paraId="7D65B755" w14:textId="77777777" w:rsidR="00A77AD0" w:rsidRPr="00602824" w:rsidRDefault="00A77AD0" w:rsidP="00FB712C">
            <w:pPr>
              <w:pStyle w:val="TableNText"/>
              <w:keepNext w:val="0"/>
              <w:keepLines/>
              <w:spacing w:line="240" w:lineRule="auto"/>
            </w:pPr>
            <w:r w:rsidRPr="00602824">
              <w:t>No formal compliance strategy.</w:t>
            </w:r>
          </w:p>
          <w:p w14:paraId="423730AA" w14:textId="77777777" w:rsidR="00A77AD0" w:rsidRPr="00602824" w:rsidRDefault="00A77AD0" w:rsidP="00FB712C">
            <w:pPr>
              <w:pStyle w:val="TableNText"/>
              <w:keepNext w:val="0"/>
              <w:keepLines/>
              <w:spacing w:line="240" w:lineRule="auto"/>
            </w:pPr>
            <w:r w:rsidRPr="00602824">
              <w:t>No formal post-listing review framework.</w:t>
            </w:r>
          </w:p>
        </w:tc>
        <w:tc>
          <w:tcPr>
            <w:tcW w:w="0" w:type="dxa"/>
          </w:tcPr>
          <w:p w14:paraId="5A52BC1A" w14:textId="77777777" w:rsidR="00A77AD0" w:rsidRPr="00602824" w:rsidRDefault="00A77AD0" w:rsidP="00FB712C">
            <w:pPr>
              <w:pStyle w:val="TableNText"/>
              <w:keepNext w:val="0"/>
              <w:keepLines/>
              <w:spacing w:line="240" w:lineRule="auto"/>
            </w:pPr>
            <w:r w:rsidRPr="00602824">
              <w:t>Effective compliance crucial to safeguard the PL reform.</w:t>
            </w:r>
          </w:p>
          <w:p w14:paraId="33072330" w14:textId="77777777" w:rsidR="00A77AD0" w:rsidRPr="00602824" w:rsidRDefault="00A77AD0" w:rsidP="00FB712C">
            <w:pPr>
              <w:pStyle w:val="TableNText"/>
              <w:keepNext w:val="0"/>
              <w:keepLines/>
              <w:spacing w:line="240" w:lineRule="auto"/>
            </w:pPr>
            <w:r w:rsidRPr="00602824">
              <w:t>Post-listing review mechanisms important to maintaining the integrity of the PL.</w:t>
            </w:r>
          </w:p>
        </w:tc>
        <w:tc>
          <w:tcPr>
            <w:tcW w:w="0" w:type="dxa"/>
          </w:tcPr>
          <w:p w14:paraId="33DDB7F0" w14:textId="77777777" w:rsidR="00A77AD0" w:rsidRPr="00602824" w:rsidRDefault="00A77AD0" w:rsidP="00FB712C">
            <w:pPr>
              <w:pStyle w:val="TableNText"/>
              <w:keepNext w:val="0"/>
              <w:keepLines/>
              <w:spacing w:line="240" w:lineRule="auto"/>
            </w:pPr>
            <w:r w:rsidRPr="00602824">
              <w:t>Development of formal compliance strategy and associated functions.</w:t>
            </w:r>
          </w:p>
          <w:p w14:paraId="5BE6414F" w14:textId="77777777" w:rsidR="00A77AD0" w:rsidRPr="00602824" w:rsidRDefault="00A77AD0" w:rsidP="00FB712C">
            <w:pPr>
              <w:pStyle w:val="TableNText"/>
              <w:keepNext w:val="0"/>
              <w:keepLines/>
              <w:spacing w:line="240" w:lineRule="auto"/>
            </w:pPr>
            <w:r w:rsidRPr="00602824">
              <w:t>Development of post-listing review framework and completion of pilots.</w:t>
            </w:r>
          </w:p>
        </w:tc>
        <w:tc>
          <w:tcPr>
            <w:tcW w:w="0" w:type="dxa"/>
          </w:tcPr>
          <w:p w14:paraId="096BB8F0" w14:textId="77777777" w:rsidR="00A77AD0" w:rsidRPr="00602824" w:rsidRDefault="00A77AD0" w:rsidP="00FB712C">
            <w:pPr>
              <w:pStyle w:val="TableNText"/>
              <w:keepNext w:val="0"/>
              <w:keepLines/>
              <w:spacing w:line="240" w:lineRule="auto"/>
              <w:jc w:val="center"/>
              <w:rPr>
                <w:highlight w:val="yellow"/>
              </w:rPr>
            </w:pPr>
            <w:r w:rsidRPr="00FB712C">
              <w:rPr>
                <w:rFonts w:asciiTheme="majorHAnsi" w:hAnsiTheme="majorHAnsi" w:cstheme="majorHAnsi"/>
                <w:noProof/>
                <w:color w:val="25B3E0" w:themeColor="accent6"/>
              </w:rPr>
              <w:drawing>
                <wp:inline distT="0" distB="0" distL="0" distR="0" wp14:anchorId="2923AEAF" wp14:editId="58F1309C">
                  <wp:extent cx="288000" cy="288000"/>
                  <wp:effectExtent l="0" t="0" r="0" b="0"/>
                  <wp:docPr id="220054102"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54102"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9771" t="9359" r="9239" b="9130"/>
                          <a:stretch/>
                        </pic:blipFill>
                        <pic:spPr>
                          <a:xfrm>
                            <a:off x="0" y="0"/>
                            <a:ext cx="288000" cy="288000"/>
                          </a:xfrm>
                          <a:prstGeom prst="rect">
                            <a:avLst/>
                          </a:prstGeom>
                        </pic:spPr>
                      </pic:pic>
                    </a:graphicData>
                  </a:graphic>
                </wp:inline>
              </w:drawing>
            </w:r>
          </w:p>
          <w:p w14:paraId="683C73C8" w14:textId="77777777" w:rsidR="004D4011" w:rsidRPr="00602824" w:rsidRDefault="004D4011" w:rsidP="00FB712C">
            <w:pPr>
              <w:pStyle w:val="TableNText"/>
              <w:keepNext w:val="0"/>
              <w:keepLines/>
              <w:spacing w:line="240" w:lineRule="auto"/>
              <w:jc w:val="center"/>
              <w:rPr>
                <w:highlight w:val="yellow"/>
              </w:rPr>
            </w:pPr>
          </w:p>
          <w:p w14:paraId="1F75D26A" w14:textId="77777777" w:rsidR="004D4011" w:rsidRPr="00602824" w:rsidRDefault="004D4011" w:rsidP="00FB712C">
            <w:pPr>
              <w:pStyle w:val="TableNText"/>
              <w:keepNext w:val="0"/>
              <w:keepLines/>
              <w:spacing w:line="240" w:lineRule="auto"/>
              <w:jc w:val="center"/>
              <w:rPr>
                <w:highlight w:val="yellow"/>
              </w:rPr>
            </w:pPr>
          </w:p>
          <w:p w14:paraId="14FBA1A5" w14:textId="77777777" w:rsidR="004D4011" w:rsidRPr="00602824" w:rsidRDefault="004D4011" w:rsidP="00FB712C">
            <w:pPr>
              <w:pStyle w:val="TableNText"/>
              <w:keepNext w:val="0"/>
              <w:keepLines/>
              <w:spacing w:line="240" w:lineRule="auto"/>
              <w:jc w:val="center"/>
              <w:rPr>
                <w:highlight w:val="yellow"/>
              </w:rPr>
            </w:pPr>
          </w:p>
          <w:p w14:paraId="6817B116" w14:textId="77777777" w:rsidR="004D4011" w:rsidRDefault="004D4011" w:rsidP="00FB712C">
            <w:pPr>
              <w:pStyle w:val="TableNText"/>
              <w:keepNext w:val="0"/>
              <w:keepLines/>
              <w:spacing w:line="240" w:lineRule="auto"/>
              <w:jc w:val="center"/>
              <w:rPr>
                <w:highlight w:val="yellow"/>
              </w:rPr>
            </w:pPr>
          </w:p>
          <w:p w14:paraId="6DC1974A" w14:textId="77777777" w:rsidR="00B008F8" w:rsidRDefault="00B008F8" w:rsidP="00FB712C">
            <w:pPr>
              <w:pStyle w:val="TableNText"/>
              <w:keepNext w:val="0"/>
              <w:keepLines/>
              <w:spacing w:line="240" w:lineRule="auto"/>
              <w:jc w:val="center"/>
              <w:rPr>
                <w:highlight w:val="yellow"/>
              </w:rPr>
            </w:pPr>
          </w:p>
          <w:p w14:paraId="29F40F97" w14:textId="77777777" w:rsidR="00B008F8" w:rsidRPr="00602824" w:rsidRDefault="00B008F8" w:rsidP="00FB712C">
            <w:pPr>
              <w:pStyle w:val="TableNText"/>
              <w:keepNext w:val="0"/>
              <w:keepLines/>
              <w:spacing w:line="240" w:lineRule="auto"/>
              <w:jc w:val="center"/>
              <w:rPr>
                <w:highlight w:val="yellow"/>
              </w:rPr>
            </w:pPr>
          </w:p>
          <w:p w14:paraId="2B646CB6" w14:textId="6FF19525" w:rsidR="004D4011" w:rsidRPr="00602824" w:rsidRDefault="004D4011" w:rsidP="00FB712C">
            <w:pPr>
              <w:pStyle w:val="TableNText"/>
              <w:keepNext w:val="0"/>
              <w:keepLines/>
              <w:spacing w:line="240" w:lineRule="auto"/>
              <w:jc w:val="center"/>
              <w:rPr>
                <w:highlight w:val="yellow"/>
              </w:rPr>
            </w:pPr>
            <w:r w:rsidRPr="00FB712C">
              <w:rPr>
                <w:rFonts w:asciiTheme="majorHAnsi" w:hAnsiTheme="majorHAnsi" w:cstheme="majorHAnsi"/>
                <w:noProof/>
                <w:color w:val="25B3E0" w:themeColor="accent6"/>
              </w:rPr>
              <w:drawing>
                <wp:inline distT="0" distB="0" distL="0" distR="0" wp14:anchorId="21F3ABD2" wp14:editId="1C13690A">
                  <wp:extent cx="288000" cy="288000"/>
                  <wp:effectExtent l="0" t="0" r="0" b="0"/>
                  <wp:docPr id="578389145"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54102"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9771" t="9359" r="9239" b="9130"/>
                          <a:stretch/>
                        </pic:blipFill>
                        <pic:spPr>
                          <a:xfrm>
                            <a:off x="0" y="0"/>
                            <a:ext cx="288000" cy="288000"/>
                          </a:xfrm>
                          <a:prstGeom prst="rect">
                            <a:avLst/>
                          </a:prstGeom>
                        </pic:spPr>
                      </pic:pic>
                    </a:graphicData>
                  </a:graphic>
                </wp:inline>
              </w:drawing>
            </w:r>
          </w:p>
        </w:tc>
        <w:tc>
          <w:tcPr>
            <w:tcW w:w="2119" w:type="dxa"/>
          </w:tcPr>
          <w:p w14:paraId="46AB4301" w14:textId="1642F30D" w:rsidR="00A77AD0" w:rsidRPr="00602824" w:rsidRDefault="00A77AD0" w:rsidP="00FB712C">
            <w:pPr>
              <w:pStyle w:val="TableNText"/>
              <w:keepNext w:val="0"/>
              <w:keepLines/>
              <w:spacing w:line="240" w:lineRule="auto"/>
            </w:pPr>
            <w:r w:rsidRPr="00602824">
              <w:rPr>
                <w:rFonts w:asciiTheme="majorHAnsi" w:hAnsiTheme="majorHAnsi" w:cstheme="majorHAnsi"/>
                <w:color w:val="F8981D" w:themeColor="accent3"/>
              </w:rPr>
              <w:lastRenderedPageBreak/>
              <w:t>Ongoing</w:t>
            </w:r>
            <w:r w:rsidRPr="00602824">
              <w:t xml:space="preserve"> –</w:t>
            </w:r>
            <w:r w:rsidR="0043790F" w:rsidRPr="00602824">
              <w:t xml:space="preserve"> P</w:t>
            </w:r>
            <w:r w:rsidRPr="00602824">
              <w:t>lanned legislative changes to increase compliance powers</w:t>
            </w:r>
            <w:r w:rsidR="0043790F" w:rsidRPr="00602824">
              <w:t xml:space="preserve"> have not yet been implemented.</w:t>
            </w:r>
          </w:p>
          <w:p w14:paraId="67C1959E" w14:textId="77777777" w:rsidR="004D4011" w:rsidRPr="00602824" w:rsidRDefault="004D4011" w:rsidP="00FB712C">
            <w:pPr>
              <w:pStyle w:val="TableNText"/>
              <w:keepNext w:val="0"/>
              <w:keepLines/>
              <w:spacing w:line="240" w:lineRule="auto"/>
              <w:rPr>
                <w:color w:val="EE0000"/>
              </w:rPr>
            </w:pPr>
          </w:p>
          <w:p w14:paraId="333662BE" w14:textId="2DBFC35F" w:rsidR="00A77AD0" w:rsidRPr="00602824" w:rsidRDefault="004D4011" w:rsidP="00FB712C">
            <w:pPr>
              <w:pStyle w:val="TableNText"/>
              <w:keepNext w:val="0"/>
              <w:keepLines/>
              <w:spacing w:line="240" w:lineRule="auto"/>
            </w:pPr>
            <w:r w:rsidRPr="00602824">
              <w:rPr>
                <w:rFonts w:asciiTheme="majorHAnsi" w:hAnsiTheme="majorHAnsi" w:cstheme="majorHAnsi"/>
                <w:color w:val="F8981D" w:themeColor="accent3"/>
              </w:rPr>
              <w:lastRenderedPageBreak/>
              <w:t>O</w:t>
            </w:r>
            <w:r w:rsidR="00466F8C">
              <w:rPr>
                <w:rFonts w:asciiTheme="majorHAnsi" w:hAnsiTheme="majorHAnsi" w:cstheme="majorHAnsi"/>
                <w:color w:val="F8981D" w:themeColor="accent3"/>
              </w:rPr>
              <w:t>n</w:t>
            </w:r>
            <w:r w:rsidRPr="00602824">
              <w:rPr>
                <w:rFonts w:asciiTheme="majorHAnsi" w:hAnsiTheme="majorHAnsi" w:cstheme="majorHAnsi"/>
                <w:color w:val="F8981D" w:themeColor="accent3"/>
              </w:rPr>
              <w:t>going</w:t>
            </w:r>
            <w:r w:rsidRPr="00602824">
              <w:rPr>
                <w:color w:val="EE0000"/>
              </w:rPr>
              <w:t xml:space="preserve"> </w:t>
            </w:r>
            <w:r w:rsidRPr="00602824">
              <w:t xml:space="preserve">– </w:t>
            </w:r>
            <w:r w:rsidR="0043790F" w:rsidRPr="00602824">
              <w:t>The Post-Listing Review Framework has been finalised,</w:t>
            </w:r>
            <w:r w:rsidR="00A77AD0" w:rsidRPr="00602824">
              <w:t xml:space="preserve"> and two of the four pilot</w:t>
            </w:r>
            <w:r w:rsidR="00F8307B" w:rsidRPr="00602824">
              <w:t xml:space="preserve"> </w:t>
            </w:r>
            <w:r w:rsidR="00A77AD0" w:rsidRPr="00602824">
              <w:t>post</w:t>
            </w:r>
            <w:r w:rsidR="00F8307B" w:rsidRPr="00602824">
              <w:t>-</w:t>
            </w:r>
            <w:r w:rsidR="00A77AD0" w:rsidRPr="00602824">
              <w:t>listing reviews have been completed</w:t>
            </w:r>
            <w:r w:rsidR="00F8307B" w:rsidRPr="00602824">
              <w:t>.</w:t>
            </w:r>
            <w:r w:rsidR="00A77AD0" w:rsidRPr="00602824">
              <w:t xml:space="preserve">  </w:t>
            </w:r>
          </w:p>
        </w:tc>
        <w:tc>
          <w:tcPr>
            <w:tcW w:w="3402" w:type="dxa"/>
          </w:tcPr>
          <w:p w14:paraId="4876E3A5" w14:textId="6EED2CBB" w:rsidR="00A77AD0" w:rsidRPr="00602824" w:rsidRDefault="00A77AD0" w:rsidP="00FB712C">
            <w:pPr>
              <w:pStyle w:val="TableNText"/>
              <w:keepNext w:val="0"/>
              <w:keepLines/>
              <w:spacing w:line="240" w:lineRule="auto"/>
            </w:pPr>
            <w:r w:rsidRPr="00602824">
              <w:lastRenderedPageBreak/>
              <w:t>Implementation of compliance measures has not progressed sufficiently to assess impact.</w:t>
            </w:r>
            <w:r w:rsidR="00CD31CE" w:rsidRPr="00602824">
              <w:t xml:space="preserve"> </w:t>
            </w:r>
          </w:p>
          <w:p w14:paraId="7956148C" w14:textId="3DA59C5B" w:rsidR="0082184A" w:rsidRPr="00602824" w:rsidRDefault="00BC7893" w:rsidP="00FB712C">
            <w:pPr>
              <w:pStyle w:val="TableNText"/>
              <w:keepNext w:val="0"/>
              <w:keepLines/>
              <w:spacing w:line="240" w:lineRule="auto"/>
            </w:pPr>
            <w:r w:rsidRPr="00602824">
              <w:t>While two of the four reviews are still ongoing, the</w:t>
            </w:r>
            <w:r w:rsidR="0082184A" w:rsidRPr="00602824">
              <w:t xml:space="preserve"> </w:t>
            </w:r>
            <w:r w:rsidR="00071A02" w:rsidRPr="00602824">
              <w:t>post-listing review framework has been updated to provide increased clarity and certainty</w:t>
            </w:r>
            <w:r w:rsidRPr="00602824">
              <w:t xml:space="preserve"> surrounding the process of </w:t>
            </w:r>
            <w:r w:rsidR="00071A02" w:rsidRPr="00602824">
              <w:t xml:space="preserve">future reviews.  </w:t>
            </w:r>
          </w:p>
          <w:p w14:paraId="14081BDE" w14:textId="0DA8DEB0" w:rsidR="00A77AD0" w:rsidRPr="00602824" w:rsidRDefault="00555BCB" w:rsidP="00FB712C">
            <w:pPr>
              <w:pStyle w:val="TableNText"/>
              <w:keepNext w:val="0"/>
              <w:keepLines/>
              <w:spacing w:line="240" w:lineRule="auto"/>
            </w:pPr>
            <w:r w:rsidRPr="00602824">
              <w:lastRenderedPageBreak/>
              <w:t>Stakeholders have expressed concerns about the Department’s capacity to effectively operate compliance and post-listing activities.</w:t>
            </w:r>
          </w:p>
        </w:tc>
      </w:tr>
      <w:tr w:rsidR="000811EA" w:rsidRPr="00602824" w14:paraId="7EA6D46A" w14:textId="77777777" w:rsidTr="00FB712C">
        <w:tc>
          <w:tcPr>
            <w:tcW w:w="0" w:type="dxa"/>
          </w:tcPr>
          <w:p w14:paraId="2A08FAFA" w14:textId="77777777" w:rsidR="00A77AD0" w:rsidRPr="00602824" w:rsidRDefault="00A77AD0" w:rsidP="00FB712C">
            <w:pPr>
              <w:pStyle w:val="TableNText"/>
              <w:keepNext w:val="0"/>
              <w:keepLines/>
              <w:spacing w:line="240" w:lineRule="auto"/>
              <w:rPr>
                <w:rFonts w:asciiTheme="majorHAnsi" w:hAnsiTheme="majorHAnsi" w:cstheme="majorHAnsi"/>
              </w:rPr>
            </w:pPr>
            <w:r w:rsidRPr="00602824">
              <w:rPr>
                <w:rFonts w:asciiTheme="majorHAnsi" w:hAnsiTheme="majorHAnsi" w:cstheme="majorHAnsi"/>
              </w:rPr>
              <w:lastRenderedPageBreak/>
              <w:t>8. Ensure ongoing financial sustainability of PL administration through effective and efficient cost recovery arrangements that are compliant with the Australian Government Charging Framework</w:t>
            </w:r>
          </w:p>
        </w:tc>
        <w:tc>
          <w:tcPr>
            <w:tcW w:w="0" w:type="dxa"/>
          </w:tcPr>
          <w:p w14:paraId="35911FBD" w14:textId="77777777" w:rsidR="00A77AD0" w:rsidRPr="00602824" w:rsidRDefault="00A77AD0" w:rsidP="00FB712C">
            <w:pPr>
              <w:pStyle w:val="TableNText"/>
              <w:keepNext w:val="0"/>
              <w:keepLines/>
              <w:spacing w:line="240" w:lineRule="auto"/>
            </w:pPr>
            <w:r w:rsidRPr="00602824">
              <w:t>Historically established cost recovery arrangements are non-sustainable and misaligned with Australian Government Charging Framework.</w:t>
            </w:r>
          </w:p>
        </w:tc>
        <w:tc>
          <w:tcPr>
            <w:tcW w:w="0" w:type="dxa"/>
          </w:tcPr>
          <w:p w14:paraId="1B7B641D" w14:textId="77777777" w:rsidR="00A77AD0" w:rsidRPr="00602824" w:rsidRDefault="00A77AD0" w:rsidP="00FB712C">
            <w:pPr>
              <w:pStyle w:val="TableNText"/>
              <w:keepNext w:val="0"/>
              <w:keepLines/>
              <w:spacing w:line="240" w:lineRule="auto"/>
            </w:pPr>
            <w:r w:rsidRPr="00602824">
              <w:t>PL administration should be cost-neutral to Government.</w:t>
            </w:r>
          </w:p>
        </w:tc>
        <w:tc>
          <w:tcPr>
            <w:tcW w:w="0" w:type="dxa"/>
          </w:tcPr>
          <w:p w14:paraId="67BC66D4" w14:textId="77777777" w:rsidR="00A77AD0" w:rsidRPr="00602824" w:rsidRDefault="00A77AD0" w:rsidP="00FB712C">
            <w:pPr>
              <w:pStyle w:val="TableNText"/>
              <w:keepNext w:val="0"/>
              <w:keepLines/>
              <w:spacing w:line="240" w:lineRule="auto"/>
            </w:pPr>
            <w:r w:rsidRPr="00602824">
              <w:t>Cost recovery arrangements to be revised.</w:t>
            </w:r>
          </w:p>
        </w:tc>
        <w:tc>
          <w:tcPr>
            <w:tcW w:w="0" w:type="dxa"/>
          </w:tcPr>
          <w:p w14:paraId="41C1B8FE" w14:textId="68CDB940" w:rsidR="00A77AD0" w:rsidRPr="00602824" w:rsidRDefault="003E21C2" w:rsidP="00FB712C">
            <w:pPr>
              <w:pStyle w:val="TableNText"/>
              <w:keepNext w:val="0"/>
              <w:keepLines/>
              <w:spacing w:line="240" w:lineRule="auto"/>
              <w:jc w:val="center"/>
              <w:rPr>
                <w:highlight w:val="yellow"/>
              </w:rPr>
            </w:pPr>
            <w:r w:rsidRPr="00FB712C">
              <w:rPr>
                <w:noProof/>
              </w:rPr>
              <w:drawing>
                <wp:inline distT="0" distB="0" distL="0" distR="0" wp14:anchorId="3748B586" wp14:editId="7B68B762">
                  <wp:extent cx="288000" cy="288000"/>
                  <wp:effectExtent l="0" t="0" r="0" b="0"/>
                  <wp:docPr id="1820511265"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81605"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4154" t="24040" r="24169" b="24025"/>
                          <a:stretch/>
                        </pic:blipFill>
                        <pic:spPr>
                          <a:xfrm>
                            <a:off x="0" y="0"/>
                            <a:ext cx="288000" cy="288000"/>
                          </a:xfrm>
                          <a:prstGeom prst="rect">
                            <a:avLst/>
                          </a:prstGeom>
                        </pic:spPr>
                      </pic:pic>
                    </a:graphicData>
                  </a:graphic>
                </wp:inline>
              </w:drawing>
            </w:r>
          </w:p>
        </w:tc>
        <w:tc>
          <w:tcPr>
            <w:tcW w:w="2119" w:type="dxa"/>
          </w:tcPr>
          <w:p w14:paraId="7A76F61B" w14:textId="132CC978" w:rsidR="00A77AD0" w:rsidRPr="00602824" w:rsidRDefault="001727DD" w:rsidP="00FB712C">
            <w:pPr>
              <w:pStyle w:val="TableNText"/>
              <w:keepNext w:val="0"/>
              <w:keepLines/>
              <w:spacing w:line="240" w:lineRule="auto"/>
            </w:pPr>
            <w:r w:rsidRPr="00602824">
              <w:rPr>
                <w:rFonts w:asciiTheme="majorHAnsi" w:hAnsiTheme="majorHAnsi" w:cstheme="majorHAnsi"/>
                <w:color w:val="25B3E0" w:themeColor="accent6"/>
              </w:rPr>
              <w:t xml:space="preserve">On track </w:t>
            </w:r>
            <w:r w:rsidR="00A77AD0" w:rsidRPr="00602824">
              <w:t xml:space="preserve">– Revised cost recovery arrangements </w:t>
            </w:r>
            <w:r w:rsidR="00467941" w:rsidRPr="00602824">
              <w:t xml:space="preserve">have been </w:t>
            </w:r>
            <w:r w:rsidR="00B559EE" w:rsidRPr="00602824">
              <w:t>implemented,</w:t>
            </w:r>
            <w:r w:rsidR="00467941" w:rsidRPr="00602824">
              <w:t xml:space="preserve"> and </w:t>
            </w:r>
            <w:r w:rsidR="00FA3B00" w:rsidRPr="00602824">
              <w:t xml:space="preserve">the </w:t>
            </w:r>
            <w:r w:rsidR="00B559EE" w:rsidRPr="00602824">
              <w:t>first</w:t>
            </w:r>
            <w:r w:rsidR="00467941" w:rsidRPr="00602824">
              <w:t xml:space="preserve"> PL Levy </w:t>
            </w:r>
            <w:r w:rsidR="00B559EE" w:rsidRPr="00602824">
              <w:t>occurred for 2024-25.</w:t>
            </w:r>
          </w:p>
        </w:tc>
        <w:tc>
          <w:tcPr>
            <w:tcW w:w="3402" w:type="dxa"/>
          </w:tcPr>
          <w:p w14:paraId="3D535170" w14:textId="77777777" w:rsidR="00A77AD0" w:rsidRPr="00602824" w:rsidRDefault="00A77AD0" w:rsidP="00FB712C">
            <w:pPr>
              <w:pStyle w:val="TableNText"/>
              <w:keepNext w:val="0"/>
              <w:keepLines/>
              <w:spacing w:line="240" w:lineRule="auto"/>
            </w:pPr>
            <w:r w:rsidRPr="00602824">
              <w:t xml:space="preserve">The Department’s revised cost recovery arrangements </w:t>
            </w:r>
            <w:r w:rsidR="00AD2F66" w:rsidRPr="00602824">
              <w:t xml:space="preserve">have been implemented </w:t>
            </w:r>
            <w:r w:rsidRPr="00602824">
              <w:t>and are aligned with the modernised PL and the Australian Government Charging Framework.</w:t>
            </w:r>
          </w:p>
          <w:p w14:paraId="40CC74BA" w14:textId="6E4E067A" w:rsidR="00CF178C" w:rsidRPr="00602824" w:rsidRDefault="00CF178C" w:rsidP="00FB712C">
            <w:pPr>
              <w:pStyle w:val="TableNText"/>
              <w:keepNext w:val="0"/>
              <w:keepLines/>
              <w:spacing w:line="240" w:lineRule="auto"/>
            </w:pPr>
            <w:r w:rsidRPr="00602824">
              <w:t xml:space="preserve">The Department </w:t>
            </w:r>
            <w:r w:rsidR="00B23349" w:rsidRPr="00602824">
              <w:t xml:space="preserve">should </w:t>
            </w:r>
            <w:r w:rsidR="006A0043" w:rsidRPr="00602824">
              <w:t xml:space="preserve">continue to review activity to </w:t>
            </w:r>
            <w:r w:rsidR="00645B63" w:rsidRPr="00602824">
              <w:t xml:space="preserve">ensure that </w:t>
            </w:r>
            <w:r w:rsidR="006A0043" w:rsidRPr="00602824">
              <w:t xml:space="preserve">the </w:t>
            </w:r>
            <w:r w:rsidR="00645B63" w:rsidRPr="00602824">
              <w:t xml:space="preserve">cost-recovery </w:t>
            </w:r>
            <w:r w:rsidR="006A0043" w:rsidRPr="00602824">
              <w:t xml:space="preserve">model </w:t>
            </w:r>
            <w:r w:rsidR="00A950C0">
              <w:t xml:space="preserve">sustainably </w:t>
            </w:r>
            <w:r w:rsidR="0078462F">
              <w:t>supports</w:t>
            </w:r>
            <w:r w:rsidR="00D95C59" w:rsidRPr="00602824">
              <w:t xml:space="preserve"> the PL.  </w:t>
            </w:r>
          </w:p>
        </w:tc>
      </w:tr>
    </w:tbl>
    <w:p w14:paraId="7776B2AB" w14:textId="77777777" w:rsidR="006E1F1E" w:rsidRPr="00602824" w:rsidRDefault="006E1F1E" w:rsidP="00580898">
      <w:pPr>
        <w:rPr>
          <w:lang w:eastAsia="en-AU"/>
        </w:rPr>
        <w:sectPr w:rsidR="006E1F1E" w:rsidRPr="00602824" w:rsidSect="00A31063">
          <w:pgSz w:w="16839" w:h="11907" w:orient="landscape" w:code="9"/>
          <w:pgMar w:top="1418" w:right="1418" w:bottom="1418" w:left="1418" w:header="720" w:footer="720" w:gutter="0"/>
          <w:cols w:space="720"/>
          <w:docGrid w:linePitch="360"/>
        </w:sectPr>
      </w:pPr>
    </w:p>
    <w:p w14:paraId="6EADEAC4" w14:textId="43FE0B97" w:rsidR="00A048F5" w:rsidRPr="00602824" w:rsidRDefault="009C67B7" w:rsidP="009C67B7">
      <w:pPr>
        <w:pStyle w:val="Heading1"/>
      </w:pPr>
      <w:bookmarkStart w:id="10" w:name="_Toc209176966"/>
      <w:r w:rsidRPr="00602824">
        <w:lastRenderedPageBreak/>
        <w:t xml:space="preserve">About this </w:t>
      </w:r>
      <w:r w:rsidR="00A54AD1" w:rsidRPr="00602824">
        <w:t>Report</w:t>
      </w:r>
      <w:bookmarkEnd w:id="10"/>
    </w:p>
    <w:p w14:paraId="107318CE" w14:textId="1128DE98" w:rsidR="00265CB0" w:rsidRPr="00602824" w:rsidRDefault="00265CB0" w:rsidP="00A048F5">
      <w:pPr>
        <w:rPr>
          <w:lang w:eastAsia="en-AU"/>
        </w:rPr>
      </w:pPr>
      <w:r w:rsidRPr="00602824">
        <w:rPr>
          <w:lang w:eastAsia="en-AU"/>
        </w:rPr>
        <w:t xml:space="preserve">The </w:t>
      </w:r>
      <w:r w:rsidR="00AD7DB3" w:rsidRPr="00602824">
        <w:rPr>
          <w:lang w:eastAsia="en-AU"/>
        </w:rPr>
        <w:t>P</w:t>
      </w:r>
      <w:r w:rsidR="000F464D" w:rsidRPr="00602824">
        <w:rPr>
          <w:lang w:eastAsia="en-AU"/>
        </w:rPr>
        <w:t>rescribed List</w:t>
      </w:r>
      <w:r w:rsidR="00AD7DB3" w:rsidRPr="00602824">
        <w:rPr>
          <w:lang w:eastAsia="en-AU"/>
        </w:rPr>
        <w:t xml:space="preserve"> reforms were introduced </w:t>
      </w:r>
      <w:r w:rsidR="00FC5F8A" w:rsidRPr="00602824">
        <w:rPr>
          <w:lang w:eastAsia="en-AU"/>
        </w:rPr>
        <w:t xml:space="preserve">in the </w:t>
      </w:r>
      <w:r w:rsidR="00F05286" w:rsidRPr="00602824">
        <w:rPr>
          <w:lang w:eastAsia="en-AU"/>
        </w:rPr>
        <w:t xml:space="preserve">2021-22 </w:t>
      </w:r>
      <w:r w:rsidR="00017E84" w:rsidRPr="00602824">
        <w:rPr>
          <w:lang w:eastAsia="en-AU"/>
        </w:rPr>
        <w:t xml:space="preserve">Australian </w:t>
      </w:r>
      <w:r w:rsidR="00F05286" w:rsidRPr="00602824">
        <w:rPr>
          <w:lang w:eastAsia="en-AU"/>
        </w:rPr>
        <w:t>Federal Budget</w:t>
      </w:r>
      <w:r w:rsidR="00A048F5" w:rsidRPr="00602824">
        <w:rPr>
          <w:lang w:eastAsia="en-AU"/>
        </w:rPr>
        <w:t xml:space="preserve"> to “reduce the cost of medical devices used in the private health sector and streamline access to new medical devices</w:t>
      </w:r>
      <w:r w:rsidR="00901276" w:rsidRPr="00602824">
        <w:rPr>
          <w:lang w:eastAsia="en-AU"/>
        </w:rPr>
        <w:t>”</w:t>
      </w:r>
      <w:r w:rsidR="00DE3D85" w:rsidRPr="00602824">
        <w:rPr>
          <w:lang w:eastAsia="en-AU"/>
        </w:rPr>
        <w:t>. The</w:t>
      </w:r>
      <w:r w:rsidR="00782B18" w:rsidRPr="00602824">
        <w:rPr>
          <w:lang w:eastAsia="en-AU"/>
        </w:rPr>
        <w:t xml:space="preserve"> </w:t>
      </w:r>
      <w:r w:rsidR="00DE3D85" w:rsidRPr="00602824">
        <w:rPr>
          <w:lang w:eastAsia="en-AU"/>
        </w:rPr>
        <w:t xml:space="preserve">Department of Health, Disability and Ageing (the Department) </w:t>
      </w:r>
      <w:r w:rsidR="00FB0201" w:rsidRPr="00602824">
        <w:rPr>
          <w:lang w:eastAsia="en-AU"/>
        </w:rPr>
        <w:t xml:space="preserve">implemented the reforms </w:t>
      </w:r>
      <w:r w:rsidR="00DE3D85" w:rsidRPr="00602824">
        <w:rPr>
          <w:lang w:eastAsia="en-AU"/>
        </w:rPr>
        <w:t>from 1 July 2021 to 30 June 2025.</w:t>
      </w:r>
    </w:p>
    <w:p w14:paraId="58C13DDD" w14:textId="4720004B" w:rsidR="005B2B1D" w:rsidRPr="00602824" w:rsidRDefault="00EF01DB" w:rsidP="005B2B1D">
      <w:pPr>
        <w:rPr>
          <w:lang w:eastAsia="en-AU"/>
        </w:rPr>
      </w:pPr>
      <w:r w:rsidRPr="00602824">
        <w:rPr>
          <w:lang w:eastAsia="en-AU"/>
        </w:rPr>
        <w:t>The Department commissioned Nous Group (Nous) to conduct an independent evaluation of the reforms from September 2023 to June 2026, using the Prostheses List Evaluation Framework</w:t>
      </w:r>
      <w:r w:rsidR="00872C80" w:rsidRPr="00602824">
        <w:rPr>
          <w:lang w:eastAsia="en-AU"/>
        </w:rPr>
        <w:t xml:space="preserve"> (see Appendix </w:t>
      </w:r>
      <w:r w:rsidR="00872C80" w:rsidRPr="00602824">
        <w:rPr>
          <w:lang w:eastAsia="en-AU"/>
        </w:rPr>
        <w:fldChar w:fldCharType="begin"/>
      </w:r>
      <w:r w:rsidR="00872C80" w:rsidRPr="00602824">
        <w:rPr>
          <w:lang w:eastAsia="en-AU"/>
        </w:rPr>
        <w:instrText xml:space="preserve"> REF _Ref172225544 \r \h </w:instrText>
      </w:r>
      <w:r w:rsidR="00872C80" w:rsidRPr="00602824">
        <w:rPr>
          <w:lang w:eastAsia="en-AU"/>
        </w:rPr>
      </w:r>
      <w:r w:rsidR="00872C80" w:rsidRPr="00602824">
        <w:rPr>
          <w:lang w:eastAsia="en-AU"/>
        </w:rPr>
        <w:fldChar w:fldCharType="separate"/>
      </w:r>
      <w:r w:rsidR="00D30634">
        <w:rPr>
          <w:lang w:eastAsia="en-AU"/>
        </w:rPr>
        <w:t>A.2</w:t>
      </w:r>
      <w:r w:rsidR="00872C80" w:rsidRPr="00602824">
        <w:rPr>
          <w:lang w:eastAsia="en-AU"/>
        </w:rPr>
        <w:fldChar w:fldCharType="end"/>
      </w:r>
      <w:r w:rsidR="00872C80" w:rsidRPr="00602824">
        <w:rPr>
          <w:lang w:eastAsia="en-AU"/>
        </w:rPr>
        <w:t xml:space="preserve">). </w:t>
      </w:r>
      <w:r w:rsidR="005B2B1D" w:rsidRPr="00602824">
        <w:rPr>
          <w:lang w:eastAsia="en-AU"/>
        </w:rPr>
        <w:t xml:space="preserve">The evaluation seeks to understand the extent to which reform activities have delivered the objectives of the Prescribed List reforms and </w:t>
      </w:r>
      <w:r w:rsidR="00CD294C" w:rsidRPr="00602824">
        <w:rPr>
          <w:lang w:eastAsia="en-AU"/>
        </w:rPr>
        <w:t xml:space="preserve">to </w:t>
      </w:r>
      <w:r w:rsidR="005B2B1D" w:rsidRPr="00602824">
        <w:rPr>
          <w:lang w:eastAsia="en-AU"/>
        </w:rPr>
        <w:t>provide formative insight</w:t>
      </w:r>
      <w:r w:rsidR="00CD294C" w:rsidRPr="00602824">
        <w:rPr>
          <w:lang w:eastAsia="en-AU"/>
        </w:rPr>
        <w:t>s</w:t>
      </w:r>
      <w:r w:rsidR="005B2B1D" w:rsidRPr="00602824">
        <w:rPr>
          <w:lang w:eastAsia="en-AU"/>
        </w:rPr>
        <w:t xml:space="preserve"> into implementation. To support this, Nous developed an evaluation plan that articulates the program theory of change, defines a set of Key Evaluation Questions (KEQs), and outlines indicators and measures to guide the evaluation.</w:t>
      </w:r>
    </w:p>
    <w:p w14:paraId="0AC08478" w14:textId="7E09FC48" w:rsidR="00B80BC5" w:rsidRPr="00602824" w:rsidRDefault="005B2B1D" w:rsidP="0048466F">
      <w:pPr>
        <w:rPr>
          <w:lang w:eastAsia="en-AU"/>
        </w:rPr>
      </w:pPr>
      <w:r w:rsidRPr="00602824">
        <w:rPr>
          <w:lang w:eastAsia="en-AU"/>
        </w:rPr>
        <w:t xml:space="preserve">Further detail on the evaluation methodology is provided in </w:t>
      </w:r>
      <w:r w:rsidRPr="00602824">
        <w:rPr>
          <w:lang w:eastAsia="en-AU"/>
        </w:rPr>
        <w:fldChar w:fldCharType="begin"/>
      </w:r>
      <w:r w:rsidRPr="00602824">
        <w:rPr>
          <w:lang w:eastAsia="en-AU"/>
        </w:rPr>
        <w:instrText xml:space="preserve"> REF _Ref202373269 \r \h </w:instrText>
      </w:r>
      <w:r w:rsidRPr="00602824">
        <w:rPr>
          <w:lang w:eastAsia="en-AU"/>
        </w:rPr>
      </w:r>
      <w:r w:rsidRPr="00602824">
        <w:rPr>
          <w:lang w:eastAsia="en-AU"/>
        </w:rPr>
        <w:fldChar w:fldCharType="separate"/>
      </w:r>
      <w:r w:rsidR="00D30634">
        <w:rPr>
          <w:lang w:eastAsia="en-AU"/>
        </w:rPr>
        <w:t>Appendix A</w:t>
      </w:r>
      <w:r w:rsidRPr="00602824">
        <w:rPr>
          <w:lang w:eastAsia="en-AU"/>
        </w:rPr>
        <w:fldChar w:fldCharType="end"/>
      </w:r>
      <w:r w:rsidRPr="00602824">
        <w:rPr>
          <w:lang w:eastAsia="en-AU"/>
        </w:rPr>
        <w:t>.</w:t>
      </w:r>
      <w:r w:rsidR="00B80BC5" w:rsidRPr="00602824">
        <w:rPr>
          <w:lang w:eastAsia="en-AU"/>
        </w:rPr>
        <w:t xml:space="preserve"> </w:t>
      </w:r>
    </w:p>
    <w:p w14:paraId="600477BA" w14:textId="44E532EE" w:rsidR="005B2B1D" w:rsidRPr="00602824" w:rsidRDefault="00B80BC5" w:rsidP="0048466F">
      <w:pPr>
        <w:rPr>
          <w:lang w:eastAsia="en-AU"/>
        </w:rPr>
      </w:pPr>
      <w:r w:rsidRPr="00602824">
        <w:rPr>
          <w:lang w:eastAsia="en-AU"/>
        </w:rPr>
        <w:t xml:space="preserve">Nous has previously delivered two reports: the </w:t>
      </w:r>
      <w:r w:rsidRPr="00602824">
        <w:rPr>
          <w:i/>
          <w:iCs/>
          <w:lang w:eastAsia="en-AU"/>
        </w:rPr>
        <w:t>Baseline Evaluation report</w:t>
      </w:r>
      <w:r w:rsidRPr="00602824">
        <w:rPr>
          <w:rStyle w:val="FootnoteReference"/>
          <w:lang w:eastAsia="en-AU"/>
        </w:rPr>
        <w:footnoteReference w:id="3"/>
      </w:r>
      <w:r w:rsidRPr="00602824">
        <w:rPr>
          <w:lang w:eastAsia="en-AU"/>
        </w:rPr>
        <w:t xml:space="preserve"> and</w:t>
      </w:r>
      <w:r w:rsidRPr="00602824">
        <w:rPr>
          <w:i/>
          <w:lang w:eastAsia="en-AU"/>
        </w:rPr>
        <w:t xml:space="preserve"> </w:t>
      </w:r>
      <w:r w:rsidRPr="00602824">
        <w:rPr>
          <w:i/>
          <w:iCs/>
          <w:lang w:eastAsia="en-AU"/>
        </w:rPr>
        <w:t>Interim Evaluation #1 report</w:t>
      </w:r>
      <w:r w:rsidRPr="00602824">
        <w:rPr>
          <w:rStyle w:val="FootnoteReference"/>
          <w:lang w:eastAsia="en-AU"/>
        </w:rPr>
        <w:footnoteReference w:id="4"/>
      </w:r>
      <w:r w:rsidRPr="00602824">
        <w:rPr>
          <w:lang w:eastAsia="en-AU"/>
        </w:rPr>
        <w:t>, which covered the period from May 2021 to June 2024.</w:t>
      </w:r>
    </w:p>
    <w:p w14:paraId="0F72C554" w14:textId="43C598BE" w:rsidR="00702504" w:rsidRPr="00602824" w:rsidRDefault="00702504" w:rsidP="008E70ED">
      <w:pPr>
        <w:pStyle w:val="Heading4"/>
      </w:pPr>
      <w:r w:rsidRPr="00602824">
        <w:t xml:space="preserve">Building on earlier findings, this </w:t>
      </w:r>
      <w:r w:rsidR="00B06863" w:rsidRPr="00602824">
        <w:t xml:space="preserve">second interim evaluation focuses on </w:t>
      </w:r>
      <w:r w:rsidR="00AA77C2" w:rsidRPr="00602824">
        <w:t xml:space="preserve">reform activity through </w:t>
      </w:r>
      <w:r w:rsidR="00EC1C8F" w:rsidRPr="00602824">
        <w:t>2024-25</w:t>
      </w:r>
    </w:p>
    <w:p w14:paraId="39CE822F" w14:textId="7875BA32" w:rsidR="005B2B1D" w:rsidRPr="00602824" w:rsidRDefault="007B5A29" w:rsidP="00792658">
      <w:pPr>
        <w:rPr>
          <w:lang w:eastAsia="en-AU"/>
        </w:rPr>
      </w:pPr>
      <w:r w:rsidRPr="00602824">
        <w:rPr>
          <w:lang w:eastAsia="en-AU"/>
        </w:rPr>
        <w:t xml:space="preserve">This </w:t>
      </w:r>
      <w:r w:rsidR="00EC1C8F" w:rsidRPr="00602824">
        <w:rPr>
          <w:i/>
          <w:iCs/>
          <w:lang w:eastAsia="en-AU"/>
        </w:rPr>
        <w:t>Interim Evaluation #2</w:t>
      </w:r>
      <w:r w:rsidRPr="00602824">
        <w:rPr>
          <w:i/>
          <w:lang w:eastAsia="en-AU"/>
        </w:rPr>
        <w:t xml:space="preserve"> report</w:t>
      </w:r>
      <w:r w:rsidRPr="00602824">
        <w:rPr>
          <w:lang w:eastAsia="en-AU"/>
        </w:rPr>
        <w:t xml:space="preserve"> </w:t>
      </w:r>
      <w:r w:rsidR="00F934B5" w:rsidRPr="00602824">
        <w:rPr>
          <w:lang w:eastAsia="en-AU"/>
        </w:rPr>
        <w:t>extends</w:t>
      </w:r>
      <w:r w:rsidR="00A60398" w:rsidRPr="00602824">
        <w:rPr>
          <w:lang w:eastAsia="en-AU"/>
        </w:rPr>
        <w:t xml:space="preserve"> the</w:t>
      </w:r>
      <w:r w:rsidR="00764CA7" w:rsidRPr="00602824">
        <w:rPr>
          <w:lang w:eastAsia="en-AU"/>
        </w:rPr>
        <w:t xml:space="preserve"> </w:t>
      </w:r>
      <w:r w:rsidR="00F934B5" w:rsidRPr="00602824">
        <w:rPr>
          <w:lang w:eastAsia="en-AU"/>
        </w:rPr>
        <w:t>analysis to include reform activity undertaken between</w:t>
      </w:r>
      <w:r w:rsidRPr="00602824">
        <w:rPr>
          <w:lang w:eastAsia="en-AU"/>
        </w:rPr>
        <w:t xml:space="preserve"> July 2024 </w:t>
      </w:r>
      <w:r w:rsidR="00F934B5" w:rsidRPr="00602824">
        <w:rPr>
          <w:lang w:eastAsia="en-AU"/>
        </w:rPr>
        <w:t>and</w:t>
      </w:r>
      <w:r w:rsidRPr="00602824">
        <w:rPr>
          <w:lang w:eastAsia="en-AU"/>
        </w:rPr>
        <w:t xml:space="preserve"> June 2025</w:t>
      </w:r>
      <w:r w:rsidR="00764CA7" w:rsidRPr="00602824">
        <w:rPr>
          <w:lang w:eastAsia="en-AU"/>
        </w:rPr>
        <w:t>.</w:t>
      </w:r>
    </w:p>
    <w:p w14:paraId="2C2DB6B3" w14:textId="16D3A635" w:rsidR="00F934B5" w:rsidRPr="00602824" w:rsidRDefault="00F934B5" w:rsidP="00792658">
      <w:pPr>
        <w:rPr>
          <w:lang w:eastAsia="en-AU"/>
        </w:rPr>
      </w:pPr>
      <w:r w:rsidRPr="00602824">
        <w:rPr>
          <w:lang w:eastAsia="en-AU"/>
        </w:rPr>
        <w:t xml:space="preserve">The report draws on multiple timeframes to present a comprehensive view of progress and impacts: </w:t>
      </w:r>
    </w:p>
    <w:p w14:paraId="23C44633" w14:textId="2C8F9121" w:rsidR="00F5796D" w:rsidRPr="00602824" w:rsidRDefault="00F5796D" w:rsidP="00F5796D">
      <w:pPr>
        <w:pStyle w:val="Bullet"/>
      </w:pPr>
      <w:bookmarkStart w:id="11" w:name="_Hlk202643302"/>
      <w:r w:rsidRPr="00602824">
        <w:rPr>
          <w:rFonts w:asciiTheme="majorHAnsi" w:hAnsiTheme="majorHAnsi" w:cstheme="majorHAnsi"/>
        </w:rPr>
        <w:t>Primary focus:</w:t>
      </w:r>
      <w:r w:rsidRPr="00602824">
        <w:t xml:space="preserve"> Reform activity from July 2024 to June 2025, </w:t>
      </w:r>
      <w:r w:rsidR="000F43A9" w:rsidRPr="00602824">
        <w:t>with additional commentary</w:t>
      </w:r>
      <w:r w:rsidRPr="00602824">
        <w:t xml:space="preserve"> </w:t>
      </w:r>
      <w:r w:rsidR="00C30993" w:rsidRPr="00602824">
        <w:t xml:space="preserve">on </w:t>
      </w:r>
      <w:r w:rsidRPr="00602824">
        <w:t>ongoing implementation, stakeholder perspectives, and emerging outcomes across the full span of the reforms.</w:t>
      </w:r>
    </w:p>
    <w:p w14:paraId="32B64792" w14:textId="2C692C7D" w:rsidR="00F5796D" w:rsidRPr="00602824" w:rsidRDefault="00F5796D" w:rsidP="00F5796D">
      <w:pPr>
        <w:pStyle w:val="Bullet"/>
      </w:pPr>
      <w:r w:rsidRPr="00602824">
        <w:rPr>
          <w:rFonts w:asciiTheme="majorHAnsi" w:hAnsiTheme="majorHAnsi" w:cstheme="majorHAnsi"/>
        </w:rPr>
        <w:t>Stakeholder insights:</w:t>
      </w:r>
      <w:r w:rsidRPr="00602824">
        <w:t xml:space="preserve"> Consultations for this report took place between April and June 2025. As a result, stakeholder perspectives may not fully reflect developments occurring in the final weeks of the reporting period.</w:t>
      </w:r>
    </w:p>
    <w:p w14:paraId="7B89338D" w14:textId="0ACC9863" w:rsidR="00F5796D" w:rsidRPr="00602824" w:rsidRDefault="00F5796D" w:rsidP="00F5796D">
      <w:pPr>
        <w:pStyle w:val="Bullet"/>
      </w:pPr>
      <w:r w:rsidRPr="00602824">
        <w:rPr>
          <w:rFonts w:asciiTheme="majorHAnsi" w:hAnsiTheme="majorHAnsi" w:cstheme="majorHAnsi"/>
        </w:rPr>
        <w:t>Data reporting:</w:t>
      </w:r>
      <w:r w:rsidRPr="00602824">
        <w:t xml:space="preserve"> Measures based on published data are reported up to June 2024, unless otherwise stated, due to standard delays in data availability.</w:t>
      </w:r>
    </w:p>
    <w:bookmarkEnd w:id="11"/>
    <w:p w14:paraId="1E0FBB46" w14:textId="6F90959C" w:rsidR="007D60CB" w:rsidRPr="00602824" w:rsidRDefault="00344932" w:rsidP="007D60CB">
      <w:pPr>
        <w:rPr>
          <w:lang w:eastAsia="en-AU"/>
        </w:rPr>
      </w:pPr>
      <w:r w:rsidRPr="00602824">
        <w:rPr>
          <w:lang w:eastAsia="en-AU"/>
        </w:rPr>
        <w:t xml:space="preserve">This </w:t>
      </w:r>
      <w:r w:rsidR="00C67A59" w:rsidRPr="00602824">
        <w:rPr>
          <w:lang w:eastAsia="en-AU"/>
        </w:rPr>
        <w:t>report</w:t>
      </w:r>
      <w:r w:rsidRPr="00602824">
        <w:rPr>
          <w:lang w:eastAsia="en-AU"/>
        </w:rPr>
        <w:t xml:space="preserve"> follows</w:t>
      </w:r>
      <w:r w:rsidR="0013348E" w:rsidRPr="00602824">
        <w:rPr>
          <w:lang w:eastAsia="en-AU"/>
        </w:rPr>
        <w:t xml:space="preserve"> the </w:t>
      </w:r>
      <w:r w:rsidR="00E10F16" w:rsidRPr="00602824">
        <w:rPr>
          <w:lang w:eastAsia="en-AU"/>
        </w:rPr>
        <w:t>established</w:t>
      </w:r>
      <w:r w:rsidR="000678C7" w:rsidRPr="00602824">
        <w:rPr>
          <w:lang w:eastAsia="en-AU"/>
        </w:rPr>
        <w:t xml:space="preserve"> </w:t>
      </w:r>
      <w:r w:rsidR="0013348E" w:rsidRPr="00602824">
        <w:rPr>
          <w:lang w:eastAsia="en-AU"/>
        </w:rPr>
        <w:t>structure</w:t>
      </w:r>
      <w:r w:rsidR="004C2EF7" w:rsidRPr="00602824">
        <w:rPr>
          <w:lang w:eastAsia="en-AU"/>
        </w:rPr>
        <w:t xml:space="preserve">, </w:t>
      </w:r>
      <w:r w:rsidRPr="00602824">
        <w:rPr>
          <w:lang w:eastAsia="en-AU"/>
        </w:rPr>
        <w:t>organised around</w:t>
      </w:r>
      <w:r w:rsidR="007D60CB" w:rsidRPr="00602824">
        <w:rPr>
          <w:lang w:eastAsia="en-AU"/>
        </w:rPr>
        <w:t xml:space="preserve"> the eight reform objectives </w:t>
      </w:r>
      <w:r w:rsidRPr="00602824">
        <w:rPr>
          <w:lang w:eastAsia="en-AU"/>
        </w:rPr>
        <w:t>set out in</w:t>
      </w:r>
      <w:r w:rsidR="00C44F01" w:rsidRPr="00602824">
        <w:rPr>
          <w:lang w:eastAsia="en-AU"/>
        </w:rPr>
        <w:t xml:space="preserve"> </w:t>
      </w:r>
      <w:r w:rsidR="003746F2" w:rsidRPr="00602824">
        <w:rPr>
          <w:lang w:eastAsia="en-AU"/>
        </w:rPr>
        <w:t xml:space="preserve">the </w:t>
      </w:r>
      <w:r w:rsidR="00C44F01" w:rsidRPr="00602824">
        <w:rPr>
          <w:lang w:eastAsia="en-AU"/>
        </w:rPr>
        <w:t>Department’s</w:t>
      </w:r>
      <w:r w:rsidR="007D60CB" w:rsidRPr="00602824">
        <w:rPr>
          <w:lang w:eastAsia="en-AU"/>
        </w:rPr>
        <w:t xml:space="preserve"> original Evaluation Framework</w:t>
      </w:r>
      <w:r w:rsidR="00C44F01" w:rsidRPr="00602824">
        <w:rPr>
          <w:lang w:eastAsia="en-AU"/>
        </w:rPr>
        <w:t xml:space="preserve">. </w:t>
      </w:r>
      <w:r w:rsidR="00D87B0F" w:rsidRPr="00602824">
        <w:rPr>
          <w:lang w:eastAsia="en-AU"/>
        </w:rPr>
        <w:fldChar w:fldCharType="begin"/>
      </w:r>
      <w:r w:rsidR="00D87B0F" w:rsidRPr="00602824">
        <w:rPr>
          <w:lang w:eastAsia="en-AU"/>
        </w:rPr>
        <w:instrText xml:space="preserve"> REF _Ref201058721 \h </w:instrText>
      </w:r>
      <w:r w:rsidR="00D87B0F" w:rsidRPr="00602824">
        <w:rPr>
          <w:lang w:eastAsia="en-AU"/>
        </w:rPr>
      </w:r>
      <w:r w:rsidR="00D87B0F" w:rsidRPr="00602824">
        <w:rPr>
          <w:lang w:eastAsia="en-AU"/>
        </w:rPr>
        <w:fldChar w:fldCharType="separate"/>
      </w:r>
      <w:r w:rsidR="00D30634" w:rsidRPr="00602824">
        <w:t xml:space="preserve">Figure </w:t>
      </w:r>
      <w:r w:rsidR="00D30634">
        <w:rPr>
          <w:noProof/>
        </w:rPr>
        <w:t>2</w:t>
      </w:r>
      <w:r w:rsidR="00D87B0F" w:rsidRPr="00602824">
        <w:rPr>
          <w:lang w:eastAsia="en-AU"/>
        </w:rPr>
        <w:fldChar w:fldCharType="end"/>
      </w:r>
      <w:r w:rsidRPr="00602824">
        <w:rPr>
          <w:lang w:eastAsia="en-AU"/>
        </w:rPr>
        <w:t xml:space="preserve"> maps these objectives to the key reform projects intended to achieve them.</w:t>
      </w:r>
    </w:p>
    <w:p w14:paraId="13AE50E0" w14:textId="5FC894E1" w:rsidR="007D60CB" w:rsidRPr="00602824" w:rsidRDefault="006521FE" w:rsidP="00B50EE7">
      <w:pPr>
        <w:pStyle w:val="Caption"/>
      </w:pPr>
      <w:bookmarkStart w:id="12" w:name="_Ref201058721"/>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2</w:t>
      </w:r>
      <w:r w:rsidR="002604D0">
        <w:fldChar w:fldCharType="end"/>
      </w:r>
      <w:bookmarkEnd w:id="12"/>
      <w:r w:rsidRPr="00602824">
        <w:t xml:space="preserve"> | Reform objectives and associated reform projects</w:t>
      </w:r>
    </w:p>
    <w:p w14:paraId="1275DDFC" w14:textId="242DFF77" w:rsidR="006521FE" w:rsidRPr="00602824" w:rsidRDefault="007D60CB" w:rsidP="00B50EE7">
      <w:pPr>
        <w:pStyle w:val="Caption"/>
      </w:pPr>
      <w:r w:rsidRPr="00AC7E3F">
        <w:rPr>
          <w:noProof/>
        </w:rPr>
        <w:drawing>
          <wp:inline distT="0" distB="0" distL="0" distR="0" wp14:anchorId="76F1FF68" wp14:editId="416081CE">
            <wp:extent cx="5740400" cy="6365864"/>
            <wp:effectExtent l="0" t="0" r="0" b="0"/>
            <wp:docPr id="1901348855" name="Picture 1" descr="A diagram showing the reform objectives alongside the reform projects. Objective 1. Alignment of scheduled benefit reductions is connected to the Benefit reductions. Objective 2. Maintain no additional out-of-pocket costs is maintained through guardrails on benefit reductions. Objective 3. Maintain clinician choice is maintain baseline policy position. Objective 4. Affordability and value of PHI is achieved through objectives 1, 2 and 3. Objective 5. Purpose, definition and scope of the PL is connected to clarifying scope and definition in legislation, regrouping of the PL, and review general use items. Objective 6. PL assessment pathways is connected to modernised pathways and governance arrangements. Objective 7. PL listing reviews and PL compliance frameworks is connected to post-listing reviews and compliance activities. Objective 8. Financial sustainability is connected to cost recovery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06230" name="Picture 1" descr="A diagram showing the reform objectives alongside the reform projects. Objective 1. Alignment of scheduled benefit reductions is connected to the Benefit reductions. Objective 2. Maintain no additional out-of-pocket costs is maintained through guardrails on benefit reductions. Objective 3. Maintain clinician choice is maintain baseline policy position. Objective 4. Affordability and value of PHI is achieved through objectives 1, 2 and 3. Objective 5. Purpose, definition and scope of the PL is connected to clarifying scope and definition in legislation, regrouping of the PL, and review general use items. Objective 6. PL assessment pathways is connected to modernised pathways and governance arrangements. Objective 7. PL listing reviews and PL compliance frameworks is connected to post-listing reviews and compliance activities. Objective 8. Financial sustainability is connected to cost recovery fees."/>
                    <pic:cNvPicPr/>
                  </pic:nvPicPr>
                  <pic:blipFill>
                    <a:blip r:embed="rId24"/>
                    <a:stretch>
                      <a:fillRect/>
                    </a:stretch>
                  </pic:blipFill>
                  <pic:spPr>
                    <a:xfrm>
                      <a:off x="0" y="0"/>
                      <a:ext cx="5756210" cy="6383397"/>
                    </a:xfrm>
                    <a:prstGeom prst="rect">
                      <a:avLst/>
                    </a:prstGeom>
                  </pic:spPr>
                </pic:pic>
              </a:graphicData>
            </a:graphic>
          </wp:inline>
        </w:drawing>
      </w:r>
    </w:p>
    <w:p w14:paraId="550A2F04" w14:textId="77777777" w:rsidR="0021786A" w:rsidRPr="00602824" w:rsidRDefault="0021786A" w:rsidP="0021786A"/>
    <w:p w14:paraId="03CD4D54" w14:textId="587D6C6F" w:rsidR="00854AA9" w:rsidRPr="00602824" w:rsidRDefault="00854AA9" w:rsidP="006273C9">
      <w:r w:rsidRPr="00602824">
        <w:br w:type="page"/>
      </w:r>
    </w:p>
    <w:p w14:paraId="68DDDB3E" w14:textId="00D2AF68" w:rsidR="00ED41DD" w:rsidRPr="00602824" w:rsidRDefault="00191564" w:rsidP="00ED41DD">
      <w:pPr>
        <w:pStyle w:val="Heading1"/>
      </w:pPr>
      <w:bookmarkStart w:id="13" w:name="_Ref202376991"/>
      <w:bookmarkStart w:id="14" w:name="_Toc209176967"/>
      <w:r w:rsidRPr="00602824">
        <w:lastRenderedPageBreak/>
        <w:t>F</w:t>
      </w:r>
      <w:r w:rsidR="00ED41DD" w:rsidRPr="00602824">
        <w:t>indings</w:t>
      </w:r>
      <w:r w:rsidRPr="00602824">
        <w:t xml:space="preserve"> </w:t>
      </w:r>
      <w:r w:rsidR="0015641D" w:rsidRPr="00602824">
        <w:t xml:space="preserve">of </w:t>
      </w:r>
      <w:r w:rsidR="0015641D" w:rsidRPr="0007510A">
        <w:rPr>
          <w:i/>
          <w:iCs/>
        </w:rPr>
        <w:t xml:space="preserve">Interim </w:t>
      </w:r>
      <w:r w:rsidR="00B0280E" w:rsidRPr="0007510A">
        <w:rPr>
          <w:i/>
          <w:iCs/>
        </w:rPr>
        <w:t>Evaluation</w:t>
      </w:r>
      <w:r w:rsidR="0015641D" w:rsidRPr="0007510A">
        <w:rPr>
          <w:i/>
          <w:iCs/>
        </w:rPr>
        <w:t xml:space="preserve"> #2</w:t>
      </w:r>
      <w:bookmarkEnd w:id="13"/>
      <w:r w:rsidR="00B0280E" w:rsidRPr="00602824">
        <w:t xml:space="preserve"> report</w:t>
      </w:r>
      <w:bookmarkEnd w:id="14"/>
    </w:p>
    <w:p w14:paraId="1F235B4A" w14:textId="37F17509" w:rsidR="005A1101" w:rsidRPr="00602824" w:rsidRDefault="00ED5D43" w:rsidP="00042C69">
      <w:pPr>
        <w:pStyle w:val="Heading4"/>
      </w:pPr>
      <w:r w:rsidRPr="00602824">
        <w:t xml:space="preserve">Multiple reform projects </w:t>
      </w:r>
      <w:r w:rsidR="000A7DD7" w:rsidRPr="00602824">
        <w:t xml:space="preserve">have </w:t>
      </w:r>
      <w:r w:rsidRPr="00602824">
        <w:t>progress</w:t>
      </w:r>
      <w:r w:rsidR="000A7DD7" w:rsidRPr="00602824">
        <w:t>ed over</w:t>
      </w:r>
      <w:r w:rsidRPr="00602824">
        <w:t xml:space="preserve"> </w:t>
      </w:r>
      <w:r w:rsidR="0050338B" w:rsidRPr="00602824">
        <w:t>t</w:t>
      </w:r>
      <w:r w:rsidR="00780437" w:rsidRPr="00602824">
        <w:t xml:space="preserve">he year </w:t>
      </w:r>
      <w:r w:rsidR="002A7552" w:rsidRPr="00602824">
        <w:t>to June 2025</w:t>
      </w:r>
    </w:p>
    <w:p w14:paraId="3F82DFD5" w14:textId="2037686F" w:rsidR="00042C69" w:rsidRPr="00602824" w:rsidRDefault="00042C69" w:rsidP="00010A88">
      <w:pPr>
        <w:rPr>
          <w:lang w:eastAsia="en-AU"/>
        </w:rPr>
      </w:pPr>
      <w:r w:rsidRPr="00602824">
        <w:rPr>
          <w:lang w:eastAsia="en-AU"/>
        </w:rPr>
        <w:t>In the period July 2024 t</w:t>
      </w:r>
      <w:r w:rsidR="00AF4AF4" w:rsidRPr="00602824">
        <w:rPr>
          <w:lang w:eastAsia="en-AU"/>
        </w:rPr>
        <w:t>o</w:t>
      </w:r>
      <w:r w:rsidRPr="00602824">
        <w:rPr>
          <w:lang w:eastAsia="en-AU"/>
        </w:rPr>
        <w:t xml:space="preserve"> June 2025</w:t>
      </w:r>
      <w:r w:rsidR="001623D8" w:rsidRPr="00602824">
        <w:rPr>
          <w:lang w:eastAsia="en-AU"/>
        </w:rPr>
        <w:t xml:space="preserve"> </w:t>
      </w:r>
      <w:r w:rsidR="0050503D" w:rsidRPr="00602824">
        <w:rPr>
          <w:lang w:eastAsia="en-AU"/>
        </w:rPr>
        <w:t xml:space="preserve">new activities </w:t>
      </w:r>
      <w:r w:rsidR="00A02B87" w:rsidRPr="00602824">
        <w:rPr>
          <w:lang w:eastAsia="en-AU"/>
        </w:rPr>
        <w:t xml:space="preserve">under the reforms </w:t>
      </w:r>
      <w:r w:rsidR="0050503D" w:rsidRPr="00602824">
        <w:rPr>
          <w:lang w:eastAsia="en-AU"/>
        </w:rPr>
        <w:t>included:</w:t>
      </w:r>
    </w:p>
    <w:p w14:paraId="08529A82" w14:textId="62506A85" w:rsidR="00C14327" w:rsidRPr="00602824" w:rsidRDefault="00C14327" w:rsidP="00C14327">
      <w:pPr>
        <w:pStyle w:val="Bullet"/>
      </w:pPr>
      <w:r w:rsidRPr="00602824">
        <w:t xml:space="preserve">The third and final benefit reduction of 20% of the gap for Part A devices that occurred as planned on 1 July 2024. </w:t>
      </w:r>
    </w:p>
    <w:p w14:paraId="774DF8EF" w14:textId="6F4AC3F4" w:rsidR="003834F7" w:rsidRPr="00602824" w:rsidRDefault="003834F7" w:rsidP="003834F7">
      <w:pPr>
        <w:pStyle w:val="Bullet"/>
      </w:pPr>
      <w:r w:rsidRPr="00602824">
        <w:t xml:space="preserve">The second benefit reduction of 20% of the gap for the device component of CIEDs (estimated as 56.3%) that occurred on 1 July 2024. </w:t>
      </w:r>
    </w:p>
    <w:p w14:paraId="4D1DA51B" w14:textId="07A54668" w:rsidR="0047170B" w:rsidRPr="00602824" w:rsidRDefault="0047170B" w:rsidP="003834F7">
      <w:pPr>
        <w:pStyle w:val="Bullet"/>
      </w:pPr>
      <w:r w:rsidRPr="00602824">
        <w:t>Stakeholder consultation on how to implement the MSAC advice and reduce benefits for technical support services for CIEDs, via Consultation paper 9 between 12 July and 6 September 2024.</w:t>
      </w:r>
      <w:r w:rsidR="001F5EF8" w:rsidRPr="00602824">
        <w:rPr>
          <w:rStyle w:val="FootnoteReference"/>
        </w:rPr>
        <w:footnoteReference w:id="5"/>
      </w:r>
      <w:r w:rsidRPr="00602824">
        <w:t xml:space="preserve">  </w:t>
      </w:r>
    </w:p>
    <w:p w14:paraId="2FD1CAD8" w14:textId="2977F0C1" w:rsidR="007B3C94" w:rsidRPr="00602824" w:rsidRDefault="00D34F40" w:rsidP="00D34F40">
      <w:pPr>
        <w:pStyle w:val="Bullet"/>
      </w:pPr>
      <w:r w:rsidRPr="00602824">
        <w:t>Stakeholder consultation on various aspects relating to integrity, utilisation and growth in expenditure of General Use Items (GUIs) on the PL between 9 August 2024 and 20 September 2024. A summary of the feedback and individual responses were published on 20 January 2025.</w:t>
      </w:r>
      <w:r w:rsidRPr="00602824">
        <w:rPr>
          <w:rStyle w:val="FootnoteReference"/>
        </w:rPr>
        <w:footnoteReference w:id="6"/>
      </w:r>
      <w:r w:rsidRPr="00602824">
        <w:t xml:space="preserve">  </w:t>
      </w:r>
    </w:p>
    <w:p w14:paraId="6D25DBB9" w14:textId="28008DFB" w:rsidR="003834F7" w:rsidRPr="00602824" w:rsidRDefault="003834F7" w:rsidP="003834F7">
      <w:pPr>
        <w:pStyle w:val="Bullet"/>
      </w:pPr>
      <w:r w:rsidRPr="00602824">
        <w:t>The removal of 26 billing codes (medicines and accessories to medicines) from the PL</w:t>
      </w:r>
      <w:r w:rsidR="006744A5" w:rsidRPr="00602824">
        <w:t xml:space="preserve"> on 1 November 2024.</w:t>
      </w:r>
      <w:r w:rsidR="006744A5" w:rsidRPr="00602824">
        <w:rPr>
          <w:rStyle w:val="FootnoteReference"/>
        </w:rPr>
        <w:footnoteReference w:id="7"/>
      </w:r>
    </w:p>
    <w:p w14:paraId="38D033F0" w14:textId="50A57AE6" w:rsidR="00571785" w:rsidRPr="00602824" w:rsidRDefault="00571785" w:rsidP="003834F7">
      <w:pPr>
        <w:pStyle w:val="Bullet"/>
      </w:pPr>
      <w:r w:rsidRPr="00602824">
        <w:t>The release of the updated PL post-listing review framework on 12 December 2024.</w:t>
      </w:r>
      <w:r w:rsidRPr="00602824">
        <w:rPr>
          <w:rStyle w:val="FootnoteReference"/>
        </w:rPr>
        <w:footnoteReference w:id="8"/>
      </w:r>
      <w:r w:rsidRPr="00602824">
        <w:t xml:space="preserve"> </w:t>
      </w:r>
    </w:p>
    <w:p w14:paraId="2E4106A2" w14:textId="5EA4EDF0" w:rsidR="00F45E29" w:rsidRPr="00602824" w:rsidRDefault="004346A4" w:rsidP="003834F7">
      <w:pPr>
        <w:pStyle w:val="Bullet"/>
      </w:pPr>
      <w:r w:rsidRPr="00602824">
        <w:t xml:space="preserve">An announcement by the Department </w:t>
      </w:r>
      <w:r w:rsidR="001F0AC6" w:rsidRPr="00602824">
        <w:t xml:space="preserve">that </w:t>
      </w:r>
      <w:r w:rsidRPr="00602824">
        <w:t xml:space="preserve">the measures for </w:t>
      </w:r>
      <w:r w:rsidR="001F0AC6" w:rsidRPr="00602824">
        <w:t>compliance, a</w:t>
      </w:r>
      <w:r w:rsidRPr="00602824">
        <w:t>ssurance and information sharing proposed in Consultation Papers 8a and 8b would not be legislated</w:t>
      </w:r>
      <w:r w:rsidR="001F0AC6" w:rsidRPr="00602824">
        <w:t>,</w:t>
      </w:r>
      <w:r w:rsidRPr="00602824">
        <w:t xml:space="preserve"> on </w:t>
      </w:r>
      <w:r w:rsidR="001F0AC6" w:rsidRPr="00602824">
        <w:t>9 January 2025.</w:t>
      </w:r>
      <w:r w:rsidR="0034758C" w:rsidRPr="00602824">
        <w:rPr>
          <w:rStyle w:val="FootnoteReference"/>
        </w:rPr>
        <w:footnoteReference w:id="9"/>
      </w:r>
      <w:r w:rsidR="001F0AC6" w:rsidRPr="00602824">
        <w:t xml:space="preserve"> </w:t>
      </w:r>
    </w:p>
    <w:p w14:paraId="20678883" w14:textId="101D0A8F" w:rsidR="00FB11C9" w:rsidRPr="00602824" w:rsidRDefault="00C66B68" w:rsidP="00C210D6">
      <w:pPr>
        <w:pStyle w:val="Bullet"/>
      </w:pPr>
      <w:r w:rsidRPr="00602824">
        <w:t xml:space="preserve">The first instance of the Prescribed List cost recovery levy, with the levy date </w:t>
      </w:r>
      <w:r w:rsidR="00C210D6" w:rsidRPr="00602824">
        <w:t>for the 2024-25 PL occurring on 15 March 2025.</w:t>
      </w:r>
      <w:r w:rsidR="00C210D6" w:rsidRPr="00602824">
        <w:rPr>
          <w:rStyle w:val="FootnoteReference"/>
        </w:rPr>
        <w:footnoteReference w:id="10"/>
      </w:r>
      <w:r w:rsidR="00C210D6" w:rsidRPr="00602824">
        <w:t xml:space="preserve"> </w:t>
      </w:r>
    </w:p>
    <w:p w14:paraId="79C4C300" w14:textId="322F33A5" w:rsidR="00230CCF" w:rsidRPr="00602824" w:rsidRDefault="002126BA" w:rsidP="00230CCF">
      <w:pPr>
        <w:pStyle w:val="Bullet"/>
      </w:pPr>
      <w:r w:rsidRPr="00602824">
        <w:t>An announcement by the</w:t>
      </w:r>
      <w:r w:rsidR="00DF07CD" w:rsidRPr="00602824">
        <w:t xml:space="preserve"> </w:t>
      </w:r>
      <w:r w:rsidR="005F4724" w:rsidRPr="00602824">
        <w:t>Department</w:t>
      </w:r>
      <w:r w:rsidRPr="00602824">
        <w:t xml:space="preserve"> </w:t>
      </w:r>
      <w:r w:rsidR="005F4724" w:rsidRPr="00602824">
        <w:t xml:space="preserve">that </w:t>
      </w:r>
      <w:r w:rsidR="00A253EE" w:rsidRPr="00602824">
        <w:t xml:space="preserve">the regrouping of Part A of the PL will not be continued as a </w:t>
      </w:r>
      <w:r w:rsidR="00361793" w:rsidRPr="00602824">
        <w:t>reform measure</w:t>
      </w:r>
      <w:r w:rsidR="00A253EE" w:rsidRPr="00602824">
        <w:t xml:space="preserve"> on 12 May 2025.</w:t>
      </w:r>
      <w:r w:rsidR="00A253EE" w:rsidRPr="00602824">
        <w:rPr>
          <w:rStyle w:val="FootnoteReference"/>
        </w:rPr>
        <w:footnoteReference w:id="11"/>
      </w:r>
    </w:p>
    <w:p w14:paraId="1AB31B80" w14:textId="632AEFC2" w:rsidR="00230CCF" w:rsidRPr="00602824" w:rsidRDefault="00D55A85" w:rsidP="00010A88">
      <w:pPr>
        <w:pStyle w:val="Bullet"/>
      </w:pPr>
      <w:r w:rsidRPr="00602824">
        <w:t xml:space="preserve">The third and final benefit reduction of 20% of the gap for the device component of CIEDs occurred on 1 July 2025. </w:t>
      </w:r>
    </w:p>
    <w:p w14:paraId="3CF74725" w14:textId="50777272" w:rsidR="00F53FE7" w:rsidRPr="00602824" w:rsidRDefault="00D92F7C" w:rsidP="0050503D">
      <w:pPr>
        <w:pStyle w:val="Bullet"/>
      </w:pPr>
      <w:r w:rsidRPr="00602824">
        <w:t xml:space="preserve">Two </w:t>
      </w:r>
      <w:r w:rsidR="00AF4AF4" w:rsidRPr="00602824">
        <w:t>of four</w:t>
      </w:r>
      <w:r w:rsidRPr="00602824">
        <w:t xml:space="preserve"> </w:t>
      </w:r>
      <w:r w:rsidR="00AF4AF4" w:rsidRPr="00602824">
        <w:t>p</w:t>
      </w:r>
      <w:r w:rsidRPr="00602824">
        <w:t>ost</w:t>
      </w:r>
      <w:r w:rsidR="00AF4AF4" w:rsidRPr="00602824">
        <w:t>-l</w:t>
      </w:r>
      <w:r w:rsidRPr="00602824">
        <w:t xml:space="preserve">isting </w:t>
      </w:r>
      <w:r w:rsidR="00AF4AF4" w:rsidRPr="00602824">
        <w:t>r</w:t>
      </w:r>
      <w:r w:rsidRPr="00602824">
        <w:t xml:space="preserve">eviews </w:t>
      </w:r>
      <w:r w:rsidR="009E419D" w:rsidRPr="00602824">
        <w:t>have been finalised</w:t>
      </w:r>
      <w:r w:rsidR="009325A1" w:rsidRPr="00602824">
        <w:t xml:space="preserve">, while two </w:t>
      </w:r>
      <w:r w:rsidR="009E419D" w:rsidRPr="00602824">
        <w:t xml:space="preserve">are ongoing. </w:t>
      </w:r>
    </w:p>
    <w:p w14:paraId="20662057" w14:textId="58FF016F" w:rsidR="000E3D22" w:rsidRPr="00602824" w:rsidRDefault="00E02048" w:rsidP="00010A88">
      <w:pPr>
        <w:rPr>
          <w:lang w:eastAsia="en-AU"/>
        </w:rPr>
      </w:pPr>
      <w:r w:rsidRPr="00602824">
        <w:rPr>
          <w:lang w:eastAsia="en-AU"/>
        </w:rPr>
        <w:t xml:space="preserve">Section </w:t>
      </w:r>
      <w:r w:rsidRPr="00602824">
        <w:rPr>
          <w:lang w:eastAsia="en-AU"/>
        </w:rPr>
        <w:fldChar w:fldCharType="begin"/>
      </w:r>
      <w:r w:rsidRPr="00602824">
        <w:rPr>
          <w:lang w:eastAsia="en-AU"/>
        </w:rPr>
        <w:instrText xml:space="preserve"> REF _Ref202376991 \r \h </w:instrText>
      </w:r>
      <w:r w:rsidRPr="00602824">
        <w:rPr>
          <w:lang w:eastAsia="en-AU"/>
        </w:rPr>
      </w:r>
      <w:r w:rsidRPr="00602824">
        <w:rPr>
          <w:lang w:eastAsia="en-AU"/>
        </w:rPr>
        <w:fldChar w:fldCharType="separate"/>
      </w:r>
      <w:r w:rsidR="00D30634">
        <w:rPr>
          <w:lang w:eastAsia="en-AU"/>
        </w:rPr>
        <w:t>2</w:t>
      </w:r>
      <w:r w:rsidRPr="00602824">
        <w:rPr>
          <w:lang w:eastAsia="en-AU"/>
        </w:rPr>
        <w:fldChar w:fldCharType="end"/>
      </w:r>
      <w:r w:rsidR="003D7F2A" w:rsidRPr="00602824">
        <w:rPr>
          <w:lang w:eastAsia="en-AU"/>
        </w:rPr>
        <w:t xml:space="preserve"> </w:t>
      </w:r>
      <w:r w:rsidR="00D17078" w:rsidRPr="00602824">
        <w:rPr>
          <w:lang w:eastAsia="en-AU"/>
        </w:rPr>
        <w:t xml:space="preserve">documents and </w:t>
      </w:r>
      <w:r w:rsidR="003D7F2A" w:rsidRPr="00602824">
        <w:rPr>
          <w:lang w:eastAsia="en-AU"/>
        </w:rPr>
        <w:t xml:space="preserve">evaluates </w:t>
      </w:r>
      <w:r w:rsidR="00363182" w:rsidRPr="00602824">
        <w:rPr>
          <w:lang w:eastAsia="en-AU"/>
        </w:rPr>
        <w:t xml:space="preserve">the implementation of </w:t>
      </w:r>
      <w:r w:rsidR="00BC2C9F" w:rsidRPr="00602824">
        <w:rPr>
          <w:lang w:eastAsia="en-AU"/>
        </w:rPr>
        <w:t xml:space="preserve">reform activity conducted </w:t>
      </w:r>
      <w:r w:rsidR="00D17078" w:rsidRPr="00602824">
        <w:rPr>
          <w:lang w:eastAsia="en-AU"/>
        </w:rPr>
        <w:t xml:space="preserve">over the past year and builds on </w:t>
      </w:r>
      <w:r w:rsidR="00AC5147" w:rsidRPr="00602824">
        <w:rPr>
          <w:lang w:eastAsia="en-AU"/>
        </w:rPr>
        <w:t xml:space="preserve">the </w:t>
      </w:r>
      <w:r w:rsidR="001D63F9" w:rsidRPr="00602824">
        <w:rPr>
          <w:i/>
          <w:lang w:eastAsia="en-AU"/>
        </w:rPr>
        <w:t>Interim Evaluation #1 report</w:t>
      </w:r>
      <w:r w:rsidR="001D63F9" w:rsidRPr="00602824">
        <w:rPr>
          <w:lang w:eastAsia="en-AU"/>
        </w:rPr>
        <w:t xml:space="preserve"> to assess the </w:t>
      </w:r>
      <w:r w:rsidR="00EA55AC" w:rsidRPr="00602824">
        <w:rPr>
          <w:lang w:eastAsia="en-AU"/>
        </w:rPr>
        <w:t>evolving</w:t>
      </w:r>
      <w:r w:rsidR="001D63F9" w:rsidRPr="00602824">
        <w:rPr>
          <w:lang w:eastAsia="en-AU"/>
        </w:rPr>
        <w:t xml:space="preserve"> </w:t>
      </w:r>
      <w:r w:rsidR="00C73656" w:rsidRPr="00602824">
        <w:rPr>
          <w:lang w:eastAsia="en-AU"/>
        </w:rPr>
        <w:t>impact of</w:t>
      </w:r>
      <w:r w:rsidR="001D63F9" w:rsidRPr="00602824">
        <w:rPr>
          <w:lang w:eastAsia="en-AU"/>
        </w:rPr>
        <w:t xml:space="preserve"> </w:t>
      </w:r>
      <w:r w:rsidR="00EA55AC" w:rsidRPr="00602824">
        <w:rPr>
          <w:lang w:eastAsia="en-AU"/>
        </w:rPr>
        <w:t>activity</w:t>
      </w:r>
      <w:r w:rsidR="00D17078" w:rsidRPr="00602824">
        <w:rPr>
          <w:lang w:eastAsia="en-AU"/>
        </w:rPr>
        <w:t xml:space="preserve"> conducted</w:t>
      </w:r>
      <w:r w:rsidR="00EA55AC" w:rsidRPr="00602824">
        <w:rPr>
          <w:lang w:eastAsia="en-AU"/>
        </w:rPr>
        <w:t xml:space="preserve"> over the </w:t>
      </w:r>
      <w:r w:rsidR="00577A15" w:rsidRPr="00602824">
        <w:rPr>
          <w:lang w:eastAsia="en-AU"/>
        </w:rPr>
        <w:t>full reform period.</w:t>
      </w:r>
    </w:p>
    <w:p w14:paraId="1E89283E" w14:textId="77777777" w:rsidR="00AC2A73" w:rsidRPr="00602824" w:rsidRDefault="00AC2A73" w:rsidP="00AC2A73">
      <w:pPr>
        <w:pStyle w:val="Heading2"/>
      </w:pPr>
      <w:bookmarkStart w:id="15" w:name="_Ref172292503"/>
      <w:bookmarkStart w:id="16" w:name="_Toc181405071"/>
      <w:bookmarkStart w:id="17" w:name="_Toc209176968"/>
      <w:r w:rsidRPr="00602824">
        <w:lastRenderedPageBreak/>
        <w:t xml:space="preserve">Objective 1: </w:t>
      </w:r>
      <w:bookmarkStart w:id="18" w:name="_Ref159095636"/>
      <w:bookmarkStart w:id="19" w:name="_Ref160185071"/>
      <w:bookmarkStart w:id="20" w:name="_Toc164439315"/>
      <w:r w:rsidRPr="00602824">
        <w:t>Improve the alignment of the scheduled benefits of the PL with the prices paid in more competitive markets</w:t>
      </w:r>
      <w:bookmarkEnd w:id="15"/>
      <w:bookmarkEnd w:id="16"/>
      <w:bookmarkEnd w:id="17"/>
      <w:bookmarkEnd w:id="18"/>
      <w:bookmarkEnd w:id="19"/>
      <w:bookmarkEnd w:id="20"/>
    </w:p>
    <w:p w14:paraId="0ED9A0C0" w14:textId="71391AD3" w:rsidR="00AC2A73" w:rsidRPr="00602824" w:rsidRDefault="00AC2A73" w:rsidP="00AC2A73">
      <w:pPr>
        <w:rPr>
          <w:iCs/>
        </w:rPr>
      </w:pPr>
      <w:r w:rsidRPr="00602824">
        <w:rPr>
          <w:i/>
        </w:rPr>
        <w:t xml:space="preserve">This section considers the reduction of benefits and the resulting change in the size of the gap between PL benefits and prices paid in more </w:t>
      </w:r>
      <w:r w:rsidRPr="00602824">
        <w:rPr>
          <w:i/>
          <w:iCs/>
        </w:rPr>
        <w:t>competitive markets</w:t>
      </w:r>
      <w:r w:rsidRPr="00602824">
        <w:rPr>
          <w:i/>
        </w:rPr>
        <w:t xml:space="preserve">. It </w:t>
      </w:r>
      <w:r w:rsidR="008F23C7" w:rsidRPr="00602824">
        <w:rPr>
          <w:i/>
        </w:rPr>
        <w:t>in</w:t>
      </w:r>
      <w:r w:rsidR="005D5259" w:rsidRPr="00602824">
        <w:rPr>
          <w:i/>
        </w:rPr>
        <w:t>cludes an</w:t>
      </w:r>
      <w:r w:rsidRPr="00602824">
        <w:rPr>
          <w:i/>
        </w:rPr>
        <w:t xml:space="preserve"> estimate </w:t>
      </w:r>
      <w:r w:rsidR="005D5259" w:rsidRPr="00602824">
        <w:rPr>
          <w:i/>
        </w:rPr>
        <w:t>of</w:t>
      </w:r>
      <w:r w:rsidRPr="00602824">
        <w:rPr>
          <w:i/>
        </w:rPr>
        <w:t xml:space="preserve"> the overall savings associated with benefit reductions and </w:t>
      </w:r>
      <w:r w:rsidR="006B334B" w:rsidRPr="00602824">
        <w:rPr>
          <w:i/>
        </w:rPr>
        <w:t xml:space="preserve">related stakeholder </w:t>
      </w:r>
      <w:r w:rsidRPr="00602824">
        <w:rPr>
          <w:i/>
        </w:rPr>
        <w:t>perspectives</w:t>
      </w:r>
      <w:r w:rsidR="000C626D" w:rsidRPr="00602824">
        <w:rPr>
          <w:i/>
        </w:rPr>
        <w:t>.</w:t>
      </w:r>
    </w:p>
    <w:p w14:paraId="4DF8B181" w14:textId="046CD806" w:rsidR="00AC2A73" w:rsidRPr="00602824" w:rsidRDefault="00AC2A73" w:rsidP="00B50EE7">
      <w:pPr>
        <w:pStyle w:val="Caption"/>
        <w:rPr>
          <w:lang w:eastAsia="en-AU"/>
        </w:rPr>
      </w:pPr>
      <w:r w:rsidRPr="00602824">
        <w:t xml:space="preserve">Figure </w:t>
      </w:r>
      <w:r w:rsidR="002604D0">
        <w:fldChar w:fldCharType="begin"/>
      </w:r>
      <w:r w:rsidR="002604D0">
        <w:instrText xml:space="preserve"> SEQ Figure \* ARABIC </w:instrText>
      </w:r>
      <w:r w:rsidR="002604D0">
        <w:fldChar w:fldCharType="separate"/>
      </w:r>
      <w:r w:rsidR="00D30634">
        <w:rPr>
          <w:noProof/>
        </w:rPr>
        <w:t>3</w:t>
      </w:r>
      <w:r w:rsidR="002604D0">
        <w:fldChar w:fldCharType="end"/>
      </w:r>
      <w:r w:rsidRPr="00602824">
        <w:t xml:space="preserve"> | Reform projects related to reform objective 1</w:t>
      </w:r>
    </w:p>
    <w:p w14:paraId="58BE6DD7" w14:textId="10355DB7" w:rsidR="00AC2A73" w:rsidRPr="00602824" w:rsidRDefault="00013627" w:rsidP="00AC2A73">
      <w:pPr>
        <w:rPr>
          <w:lang w:eastAsia="en-AU"/>
        </w:rPr>
      </w:pPr>
      <w:r w:rsidRPr="00AC7E3F">
        <w:rPr>
          <w:noProof/>
          <w:lang w:eastAsia="en-AU"/>
        </w:rPr>
        <w:drawing>
          <wp:inline distT="0" distB="0" distL="0" distR="0" wp14:anchorId="36F19033" wp14:editId="2F0A3F55">
            <wp:extent cx="5739897" cy="1028065"/>
            <wp:effectExtent l="0" t="0" r="0" b="635"/>
            <wp:docPr id="2127102576" name="Picture 1" descr="A figure showing that reform objective 1. Alignment of scheduled benefits is connected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02576" name="Picture 1" descr="A figure showing that reform objective 1. Alignment of scheduled benefits is connected to benefit reductions."/>
                    <pic:cNvPicPr/>
                  </pic:nvPicPr>
                  <pic:blipFill>
                    <a:blip r:embed="rId25"/>
                    <a:stretch>
                      <a:fillRect/>
                    </a:stretch>
                  </pic:blipFill>
                  <pic:spPr>
                    <a:xfrm>
                      <a:off x="0" y="0"/>
                      <a:ext cx="5751434" cy="1030131"/>
                    </a:xfrm>
                    <a:prstGeom prst="rect">
                      <a:avLst/>
                    </a:prstGeom>
                  </pic:spPr>
                </pic:pic>
              </a:graphicData>
            </a:graphic>
          </wp:inline>
        </w:drawing>
      </w:r>
      <w:r w:rsidR="00DD30B1" w:rsidRPr="00602824">
        <w:rPr>
          <w:lang w:eastAsia="en-AU"/>
        </w:rPr>
        <w:t xml:space="preserve"> </w:t>
      </w:r>
    </w:p>
    <w:p w14:paraId="747A19F9" w14:textId="4447B4A1" w:rsidR="00ED41DD" w:rsidRPr="00602824" w:rsidRDefault="00C25FE0" w:rsidP="00AC2A73">
      <w:pPr>
        <w:pStyle w:val="Heading3"/>
      </w:pPr>
      <w:r w:rsidRPr="00602824">
        <w:t xml:space="preserve">Implementation </w:t>
      </w:r>
      <w:r w:rsidR="00592B9F" w:rsidRPr="00602824">
        <w:t>p</w:t>
      </w:r>
      <w:r w:rsidRPr="00602824">
        <w:t>rogress</w:t>
      </w:r>
      <w:r w:rsidR="0039604D" w:rsidRPr="00602824">
        <w:t xml:space="preserve">: </w:t>
      </w:r>
      <w:r w:rsidR="00592B9F" w:rsidRPr="00602824">
        <w:t>b</w:t>
      </w:r>
      <w:r w:rsidR="0039604D" w:rsidRPr="00602824">
        <w:t>enefit reductions</w:t>
      </w:r>
    </w:p>
    <w:tbl>
      <w:tblPr>
        <w:tblStyle w:val="NOUSSideHeader4"/>
        <w:tblW w:w="0" w:type="auto"/>
        <w:tblLook w:val="04A0" w:firstRow="1" w:lastRow="0" w:firstColumn="1" w:lastColumn="0" w:noHBand="0" w:noVBand="1"/>
      </w:tblPr>
      <w:tblGrid>
        <w:gridCol w:w="9061"/>
      </w:tblGrid>
      <w:tr w:rsidR="00CB6CC3" w:rsidRPr="00602824" w14:paraId="28047458" w14:textId="77777777" w:rsidTr="008663D9">
        <w:trPr>
          <w:cnfStyle w:val="100000000000" w:firstRow="1" w:lastRow="0" w:firstColumn="0" w:lastColumn="0" w:oddVBand="0" w:evenVBand="0" w:oddHBand="0" w:evenHBand="0" w:firstRowFirstColumn="0" w:firstRowLastColumn="0" w:lastRowFirstColumn="0" w:lastRowLastColumn="0"/>
        </w:trPr>
        <w:tc>
          <w:tcPr>
            <w:tcW w:w="9061" w:type="dxa"/>
          </w:tcPr>
          <w:p w14:paraId="5ACE5C65" w14:textId="1AC2AA21" w:rsidR="00706C98" w:rsidRPr="00602824" w:rsidRDefault="00706C98" w:rsidP="00706C98">
            <w:r w:rsidRPr="00602824">
              <w:t xml:space="preserve">At baseline, there was a notable gap between PL benefits and prices in the </w:t>
            </w:r>
            <w:r w:rsidR="00263CC8" w:rsidRPr="00602824">
              <w:t xml:space="preserve">Australian </w:t>
            </w:r>
            <w:r w:rsidRPr="00602824">
              <w:t xml:space="preserve">public </w:t>
            </w:r>
            <w:r w:rsidR="00263CC8" w:rsidRPr="00602824">
              <w:t xml:space="preserve">health </w:t>
            </w:r>
            <w:r w:rsidRPr="00602824">
              <w:t>system</w:t>
            </w:r>
            <w:r w:rsidR="00C763DB" w:rsidRPr="00602824">
              <w:t xml:space="preserve"> (</w:t>
            </w:r>
            <w:r w:rsidR="00BF3B5B" w:rsidRPr="00602824">
              <w:t>where compared to</w:t>
            </w:r>
            <w:r w:rsidR="00587F0E" w:rsidRPr="00602824">
              <w:t xml:space="preserve"> IHACPA’s Weighted Average Prices</w:t>
            </w:r>
            <w:r w:rsidR="003E6EB5" w:rsidRPr="00602824">
              <w:t>,</w:t>
            </w:r>
            <w:r w:rsidR="00FB0A04" w:rsidRPr="00602824">
              <w:t xml:space="preserve"> </w:t>
            </w:r>
            <w:r w:rsidR="00744945" w:rsidRPr="00602824">
              <w:t xml:space="preserve">public </w:t>
            </w:r>
            <w:r w:rsidR="003E6EB5" w:rsidRPr="00602824">
              <w:t>benchmarks of PL items</w:t>
            </w:r>
            <w:r w:rsidR="00CA10C0" w:rsidRPr="00602824">
              <w:rPr>
                <w:rStyle w:val="FootnoteReference"/>
              </w:rPr>
              <w:footnoteReference w:id="12"/>
            </w:r>
            <w:r w:rsidR="00744945" w:rsidRPr="00602824">
              <w:t>)</w:t>
            </w:r>
            <w:r w:rsidRPr="00602824">
              <w:t xml:space="preserve"> despite a series of benefit reductions between 2018 and 2020. </w:t>
            </w:r>
          </w:p>
          <w:p w14:paraId="27F848B7" w14:textId="2CCCA790" w:rsidR="004C59E6" w:rsidRPr="00602824" w:rsidRDefault="00427284" w:rsidP="00940EB8">
            <w:pPr>
              <w:rPr>
                <w:lang w:eastAsia="en-AU"/>
              </w:rPr>
            </w:pPr>
            <w:r w:rsidRPr="00602824">
              <w:rPr>
                <w:lang w:eastAsia="en-AU"/>
              </w:rPr>
              <w:t xml:space="preserve">As outlined in </w:t>
            </w:r>
            <w:r w:rsidR="0034552A" w:rsidRPr="00602824">
              <w:rPr>
                <w:lang w:eastAsia="en-AU"/>
              </w:rPr>
              <w:t>the</w:t>
            </w:r>
            <w:r w:rsidRPr="00602824">
              <w:rPr>
                <w:lang w:eastAsia="en-AU"/>
              </w:rPr>
              <w:t xml:space="preserve"> </w:t>
            </w:r>
            <w:r w:rsidRPr="00602824">
              <w:rPr>
                <w:rFonts w:asciiTheme="minorHAnsi" w:hAnsiTheme="minorHAnsi" w:cstheme="minorHAnsi"/>
                <w:i/>
                <w:lang w:eastAsia="en-AU"/>
              </w:rPr>
              <w:t xml:space="preserve">Interim Evaluation </w:t>
            </w:r>
            <w:r w:rsidR="0034552A" w:rsidRPr="00602824">
              <w:rPr>
                <w:rFonts w:asciiTheme="minorHAnsi" w:hAnsiTheme="minorHAnsi" w:cstheme="minorHAnsi"/>
                <w:i/>
                <w:iCs/>
                <w:lang w:eastAsia="en-AU"/>
              </w:rPr>
              <w:t>#</w:t>
            </w:r>
            <w:r w:rsidRPr="00602824">
              <w:rPr>
                <w:rFonts w:asciiTheme="minorHAnsi" w:hAnsiTheme="minorHAnsi" w:cstheme="minorHAnsi"/>
                <w:i/>
                <w:lang w:eastAsia="en-AU"/>
              </w:rPr>
              <w:t>1</w:t>
            </w:r>
            <w:r w:rsidR="0034552A" w:rsidRPr="00602824">
              <w:rPr>
                <w:rFonts w:asciiTheme="minorHAnsi" w:hAnsiTheme="minorHAnsi" w:cstheme="minorHAnsi"/>
                <w:i/>
                <w:iCs/>
                <w:lang w:eastAsia="en-AU"/>
              </w:rPr>
              <w:t xml:space="preserve"> report</w:t>
            </w:r>
            <w:r w:rsidRPr="00602824">
              <w:rPr>
                <w:lang w:eastAsia="en-AU"/>
              </w:rPr>
              <w:t xml:space="preserve">, the Department reduced benefits to Part A of the list according to an agreed schedule of benefit reductions over three years </w:t>
            </w:r>
            <w:r w:rsidR="00753611" w:rsidRPr="00602824">
              <w:rPr>
                <w:lang w:eastAsia="en-AU"/>
              </w:rPr>
              <w:t>documented in the Memorandum of Understanding (MOU) between the then Minister and the Medical Technology Association of Australia (MTAA)</w:t>
            </w:r>
            <w:r w:rsidRPr="00602824">
              <w:rPr>
                <w:lang w:eastAsia="en-AU"/>
              </w:rPr>
              <w:t>.</w:t>
            </w:r>
            <w:r w:rsidR="00753611" w:rsidRPr="00602824">
              <w:rPr>
                <w:rStyle w:val="FootnoteReference"/>
                <w:lang w:eastAsia="en-AU"/>
              </w:rPr>
              <w:footnoteReference w:id="13"/>
            </w:r>
            <w:r w:rsidRPr="00602824">
              <w:rPr>
                <w:lang w:eastAsia="en-AU"/>
              </w:rPr>
              <w:t xml:space="preserve"> </w:t>
            </w:r>
            <w:r w:rsidR="003E74B4" w:rsidRPr="00602824">
              <w:rPr>
                <w:lang w:eastAsia="en-AU"/>
              </w:rPr>
              <w:fldChar w:fldCharType="begin"/>
            </w:r>
            <w:r w:rsidR="003E74B4" w:rsidRPr="00602824">
              <w:rPr>
                <w:lang w:eastAsia="en-AU"/>
              </w:rPr>
              <w:instrText xml:space="preserve"> REF _Ref199756234 \h </w:instrText>
            </w:r>
            <w:r w:rsidR="003E74B4" w:rsidRPr="00602824">
              <w:rPr>
                <w:lang w:eastAsia="en-AU"/>
              </w:rPr>
            </w:r>
            <w:r w:rsidR="003E74B4" w:rsidRPr="00602824">
              <w:rPr>
                <w:lang w:eastAsia="en-AU"/>
              </w:rPr>
              <w:fldChar w:fldCharType="separate"/>
            </w:r>
            <w:r w:rsidR="00D30634" w:rsidRPr="00602824">
              <w:t xml:space="preserve">Figure </w:t>
            </w:r>
            <w:r w:rsidR="00D30634">
              <w:rPr>
                <w:noProof/>
              </w:rPr>
              <w:t>4</w:t>
            </w:r>
            <w:r w:rsidR="003E74B4" w:rsidRPr="00602824">
              <w:rPr>
                <w:lang w:eastAsia="en-AU"/>
              </w:rPr>
              <w:fldChar w:fldCharType="end"/>
            </w:r>
            <w:r w:rsidR="004C59E6" w:rsidRPr="00602824">
              <w:rPr>
                <w:lang w:eastAsia="en-AU"/>
              </w:rPr>
              <w:t xml:space="preserve"> summarises the timeline of benefit reductions. </w:t>
            </w:r>
          </w:p>
          <w:p w14:paraId="45A7B664" w14:textId="0B97DDF6" w:rsidR="00E257D8" w:rsidRPr="00602824" w:rsidRDefault="00427284" w:rsidP="00940EB8">
            <w:pPr>
              <w:rPr>
                <w:lang w:eastAsia="en-AU"/>
              </w:rPr>
            </w:pPr>
            <w:r w:rsidRPr="00602824">
              <w:rPr>
                <w:lang w:eastAsia="en-AU"/>
              </w:rPr>
              <w:t>The third</w:t>
            </w:r>
            <w:r w:rsidR="00F1231F" w:rsidRPr="00602824">
              <w:rPr>
                <w:lang w:eastAsia="en-AU"/>
              </w:rPr>
              <w:t xml:space="preserve"> and final</w:t>
            </w:r>
            <w:r w:rsidRPr="00602824">
              <w:rPr>
                <w:lang w:eastAsia="en-AU"/>
              </w:rPr>
              <w:t xml:space="preserve"> </w:t>
            </w:r>
            <w:r w:rsidR="00F1231F" w:rsidRPr="00602824">
              <w:rPr>
                <w:lang w:eastAsia="en-AU"/>
              </w:rPr>
              <w:t xml:space="preserve">reduction </w:t>
            </w:r>
            <w:r w:rsidRPr="00602824">
              <w:rPr>
                <w:lang w:eastAsia="en-AU"/>
              </w:rPr>
              <w:t xml:space="preserve">was implemented in July 2024, a further reduction of 20% of the gap between the current benefit and the public benchmark. </w:t>
            </w:r>
            <w:r w:rsidR="005002F6" w:rsidRPr="00602824">
              <w:rPr>
                <w:lang w:eastAsia="en-AU"/>
              </w:rPr>
              <w:t>This has resulted in all eligible benefits being reduced by 80% of</w:t>
            </w:r>
            <w:r w:rsidR="00016A6C" w:rsidRPr="00602824">
              <w:rPr>
                <w:lang w:eastAsia="en-AU"/>
              </w:rPr>
              <w:t xml:space="preserve"> </w:t>
            </w:r>
            <w:r w:rsidR="005002F6" w:rsidRPr="00602824">
              <w:rPr>
                <w:lang w:eastAsia="en-AU"/>
              </w:rPr>
              <w:t xml:space="preserve">the gap. </w:t>
            </w:r>
          </w:p>
          <w:p w14:paraId="64784AD7" w14:textId="06EE95C0" w:rsidR="00E257D8" w:rsidRPr="00602824" w:rsidRDefault="00DA0FFF" w:rsidP="00940EB8">
            <w:pPr>
              <w:rPr>
                <w:lang w:eastAsia="en-AU"/>
              </w:rPr>
            </w:pPr>
            <w:r w:rsidRPr="00602824">
              <w:rPr>
                <w:lang w:eastAsia="en-AU"/>
              </w:rPr>
              <w:t>The following PL items were subject to an alternative schedule of reductions:</w:t>
            </w:r>
          </w:p>
          <w:p w14:paraId="1F11A956" w14:textId="7A6E550C" w:rsidR="008D7EBD" w:rsidRPr="00602824" w:rsidRDefault="008D7EBD" w:rsidP="008D7EBD">
            <w:pPr>
              <w:pStyle w:val="Bullet"/>
            </w:pPr>
            <w:r w:rsidRPr="00602824">
              <w:rPr>
                <w:rFonts w:asciiTheme="majorHAnsi" w:hAnsiTheme="majorHAnsi" w:cstheme="majorHAnsi"/>
              </w:rPr>
              <w:t>General Use Items (GUIs)</w:t>
            </w:r>
            <w:r w:rsidRPr="00602824">
              <w:t xml:space="preserve"> – </w:t>
            </w:r>
            <w:r w:rsidR="00BF3CE0" w:rsidRPr="00602824">
              <w:t>With the removal of</w:t>
            </w:r>
            <w:r w:rsidR="0038682D" w:rsidRPr="00602824">
              <w:t xml:space="preserve"> </w:t>
            </w:r>
            <w:r w:rsidR="00753611" w:rsidRPr="00602824">
              <w:t xml:space="preserve">GUIs </w:t>
            </w:r>
            <w:r w:rsidR="00BF3CE0" w:rsidRPr="00602824">
              <w:t>initially delayed, the Department</w:t>
            </w:r>
            <w:r w:rsidR="00753611" w:rsidRPr="00602824">
              <w:t xml:space="preserve"> reduced</w:t>
            </w:r>
            <w:r w:rsidRPr="00602824">
              <w:t xml:space="preserve"> </w:t>
            </w:r>
            <w:r w:rsidR="00FD7EDE" w:rsidRPr="00602824">
              <w:t xml:space="preserve">GUI benefits </w:t>
            </w:r>
            <w:r w:rsidRPr="00602824">
              <w:t xml:space="preserve">by 60% of the gap followed by </w:t>
            </w:r>
            <w:r w:rsidR="00F43ECF" w:rsidRPr="00602824">
              <w:t>the remaining</w:t>
            </w:r>
            <w:r w:rsidRPr="00602824">
              <w:t xml:space="preserve"> 40% </w:t>
            </w:r>
            <w:r w:rsidR="00F43ECF" w:rsidRPr="00602824">
              <w:t>of the gap.</w:t>
            </w:r>
            <w:r w:rsidRPr="00602824">
              <w:t xml:space="preserve"> In May 2024, the Minister announced GUIs would </w:t>
            </w:r>
            <w:r w:rsidR="008132C1" w:rsidRPr="00602824">
              <w:t>not be removed</w:t>
            </w:r>
            <w:r w:rsidRPr="00602824">
              <w:t xml:space="preserve"> </w:t>
            </w:r>
            <w:r w:rsidR="00B60569" w:rsidRPr="00602824">
              <w:t>from</w:t>
            </w:r>
            <w:r w:rsidRPr="00602824">
              <w:t xml:space="preserve"> the PL </w:t>
            </w:r>
            <w:r w:rsidR="00B60569" w:rsidRPr="00602824">
              <w:t>but would be</w:t>
            </w:r>
            <w:r w:rsidRPr="00602824">
              <w:t xml:space="preserve"> remain at the reduced benefit levels</w:t>
            </w:r>
            <w:r w:rsidR="00034094" w:rsidRPr="00602824">
              <w:t xml:space="preserve"> (see </w:t>
            </w:r>
            <w:r w:rsidR="00B60569" w:rsidRPr="00602824">
              <w:fldChar w:fldCharType="begin"/>
            </w:r>
            <w:r w:rsidR="00B60569" w:rsidRPr="00602824">
              <w:instrText xml:space="preserve"> REF _Ref202469903 \h </w:instrText>
            </w:r>
            <w:r w:rsidR="00B60569" w:rsidRPr="00602824">
              <w:fldChar w:fldCharType="separate"/>
            </w:r>
            <w:r w:rsidR="00D30634" w:rsidRPr="00602824">
              <w:t xml:space="preserve">Figure </w:t>
            </w:r>
            <w:r w:rsidR="00D30634">
              <w:rPr>
                <w:noProof/>
              </w:rPr>
              <w:t>22</w:t>
            </w:r>
            <w:r w:rsidR="00B60569" w:rsidRPr="00602824">
              <w:fldChar w:fldCharType="end"/>
            </w:r>
            <w:r w:rsidR="00134E1E" w:rsidRPr="00602824">
              <w:t>).</w:t>
            </w:r>
            <w:r w:rsidR="006D42CF" w:rsidRPr="00602824">
              <w:t xml:space="preserve"> GUIs are considered in Objective </w:t>
            </w:r>
            <w:r w:rsidR="00CD6DC4" w:rsidRPr="00602824">
              <w:t>5.</w:t>
            </w:r>
          </w:p>
          <w:p w14:paraId="1435850D" w14:textId="20DBEE44" w:rsidR="00E257D8" w:rsidRPr="00602824" w:rsidRDefault="008D7EBD" w:rsidP="008D7EBD">
            <w:pPr>
              <w:pStyle w:val="Bullet"/>
            </w:pPr>
            <w:r w:rsidRPr="00602824">
              <w:rPr>
                <w:rFonts w:asciiTheme="majorHAnsi" w:hAnsiTheme="majorHAnsi" w:cstheme="majorHAnsi"/>
              </w:rPr>
              <w:t>Cardiac Implantable Electronic Devices (CIEDs)</w:t>
            </w:r>
            <w:r w:rsidRPr="00602824">
              <w:t xml:space="preserve"> – </w:t>
            </w:r>
            <w:r w:rsidR="00B60569" w:rsidRPr="00602824">
              <w:t xml:space="preserve">As </w:t>
            </w:r>
            <w:r w:rsidR="00C3389E" w:rsidRPr="00602824">
              <w:t>agreed</w:t>
            </w:r>
            <w:r w:rsidR="00B60569" w:rsidRPr="00602824">
              <w:t xml:space="preserve"> in the MOU, t</w:t>
            </w:r>
            <w:r w:rsidRPr="00602824">
              <w:t xml:space="preserve">he Department deferred benefit reductions </w:t>
            </w:r>
            <w:r w:rsidR="003164F8" w:rsidRPr="00602824">
              <w:t xml:space="preserve">to CIEDs </w:t>
            </w:r>
            <w:r w:rsidRPr="00602824">
              <w:t>by one year to allow for further consultation on the value of technical support services. The final benefit reduction for CIEDs (</w:t>
            </w:r>
            <w:r w:rsidR="00366743" w:rsidRPr="00602824">
              <w:t xml:space="preserve">20% of the gap </w:t>
            </w:r>
            <w:r w:rsidRPr="00602824">
              <w:t xml:space="preserve">on the device only amount) </w:t>
            </w:r>
            <w:r w:rsidR="004C59E6" w:rsidRPr="00602824">
              <w:t>occurred</w:t>
            </w:r>
            <w:r w:rsidRPr="00602824">
              <w:t xml:space="preserve"> on 1 July 2025.</w:t>
            </w:r>
            <w:r w:rsidR="005F3BB8" w:rsidRPr="00602824">
              <w:t xml:space="preserve"> No benefit reductions </w:t>
            </w:r>
            <w:r w:rsidR="0071781E" w:rsidRPr="00602824">
              <w:t>on the</w:t>
            </w:r>
            <w:r w:rsidR="005F3BB8" w:rsidRPr="00602824">
              <w:t xml:space="preserve"> </w:t>
            </w:r>
            <w:r w:rsidR="00F94B10" w:rsidRPr="00602824">
              <w:t xml:space="preserve">technical support services </w:t>
            </w:r>
            <w:r w:rsidR="005F3BB8" w:rsidRPr="00602824">
              <w:t>component</w:t>
            </w:r>
            <w:r w:rsidR="00F94B10" w:rsidRPr="00602824">
              <w:t xml:space="preserve"> of CIEDs</w:t>
            </w:r>
            <w:r w:rsidR="005F3BB8" w:rsidRPr="00602824">
              <w:t xml:space="preserve"> </w:t>
            </w:r>
            <w:r w:rsidR="0071781E" w:rsidRPr="00602824">
              <w:t>occurred during the reforms.</w:t>
            </w:r>
            <w:r w:rsidR="00CD6DC4" w:rsidRPr="00602824">
              <w:t xml:space="preserve"> CIEDs are considered separately </w:t>
            </w:r>
            <w:r w:rsidR="00C8466A" w:rsidRPr="00602824">
              <w:t xml:space="preserve">in </w:t>
            </w:r>
            <w:r w:rsidR="000377F0">
              <w:t>S</w:t>
            </w:r>
            <w:r w:rsidR="00C8466A" w:rsidRPr="00602824">
              <w:t xml:space="preserve">ection </w:t>
            </w:r>
            <w:r w:rsidR="00DE7FEC" w:rsidRPr="00602824">
              <w:fldChar w:fldCharType="begin"/>
            </w:r>
            <w:r w:rsidR="00DE7FEC" w:rsidRPr="00602824">
              <w:instrText xml:space="preserve"> REF _Ref202181547 \r \h </w:instrText>
            </w:r>
            <w:r w:rsidR="00DE7FEC" w:rsidRPr="00602824">
              <w:fldChar w:fldCharType="separate"/>
            </w:r>
            <w:r w:rsidR="00D30634">
              <w:t>2.1.5</w:t>
            </w:r>
            <w:r w:rsidR="00DE7FEC" w:rsidRPr="00602824">
              <w:fldChar w:fldCharType="end"/>
            </w:r>
            <w:r w:rsidR="00C8466A" w:rsidRPr="00602824">
              <w:t>.</w:t>
            </w:r>
          </w:p>
          <w:p w14:paraId="1A41C941" w14:textId="231EA547" w:rsidR="00DE2EC9" w:rsidRPr="00602824" w:rsidRDefault="00940EB8" w:rsidP="00DE2EC9">
            <w:pPr>
              <w:rPr>
                <w:lang w:eastAsia="en-AU"/>
              </w:rPr>
            </w:pPr>
            <w:r w:rsidRPr="00602824">
              <w:rPr>
                <w:lang w:eastAsia="en-AU"/>
              </w:rPr>
              <w:t xml:space="preserve">The reductions methodology was discussed in </w:t>
            </w:r>
            <w:r w:rsidR="000377F0">
              <w:rPr>
                <w:lang w:eastAsia="en-AU"/>
              </w:rPr>
              <w:t>S</w:t>
            </w:r>
            <w:r w:rsidRPr="00602824">
              <w:rPr>
                <w:lang w:eastAsia="en-AU"/>
              </w:rPr>
              <w:t xml:space="preserve">ection 2.3.4 of the </w:t>
            </w:r>
            <w:r w:rsidRPr="00602824">
              <w:rPr>
                <w:i/>
                <w:lang w:eastAsia="en-AU"/>
              </w:rPr>
              <w:t>Interim Evaluation #1 report</w:t>
            </w:r>
            <w:r w:rsidRPr="00602824">
              <w:rPr>
                <w:lang w:eastAsia="en-AU"/>
              </w:rPr>
              <w:t>, which includes an overview of stakeholder perspectives at the time.</w:t>
            </w:r>
            <w:r w:rsidRPr="00602824">
              <w:rPr>
                <w:rStyle w:val="FootnoteReference"/>
                <w:lang w:eastAsia="en-AU"/>
              </w:rPr>
              <w:footnoteReference w:id="14"/>
            </w:r>
            <w:r w:rsidR="00DE2EC9" w:rsidRPr="00602824">
              <w:rPr>
                <w:lang w:eastAsia="en-AU"/>
              </w:rPr>
              <w:t xml:space="preserve"> </w:t>
            </w:r>
          </w:p>
          <w:p w14:paraId="32C0C2F8" w14:textId="1DAF88E1" w:rsidR="00A77347" w:rsidRPr="00602824" w:rsidRDefault="00DE2EC9" w:rsidP="00126F79">
            <w:pPr>
              <w:rPr>
                <w:lang w:eastAsia="en-AU"/>
              </w:rPr>
            </w:pPr>
            <w:r w:rsidRPr="00602824">
              <w:rPr>
                <w:lang w:eastAsia="en-AU"/>
              </w:rPr>
              <w:t>The estimate of savings from the reductions is discussed under Objective 4.  IHACPA has not updated its estimates of savings from benefit reductions since November 2023. However, these projections based on the scheduled reductions and modelled prostheses utilisation growth remain relevant.</w:t>
            </w:r>
          </w:p>
        </w:tc>
      </w:tr>
    </w:tbl>
    <w:p w14:paraId="61528097" w14:textId="1D1B2150" w:rsidR="00B97959" w:rsidRPr="00602824" w:rsidRDefault="00B97959" w:rsidP="00B97959">
      <w:pPr>
        <w:rPr>
          <w:lang w:eastAsia="en-AU"/>
        </w:rPr>
      </w:pPr>
    </w:p>
    <w:p w14:paraId="602E7DFF" w14:textId="124C9665" w:rsidR="00197135" w:rsidRPr="00602824" w:rsidRDefault="00A13376" w:rsidP="00B50EE7">
      <w:pPr>
        <w:pStyle w:val="Caption"/>
      </w:pPr>
      <w:bookmarkStart w:id="21" w:name="_Ref199756234"/>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4</w:t>
      </w:r>
      <w:r w:rsidR="002604D0">
        <w:fldChar w:fldCharType="end"/>
      </w:r>
      <w:bookmarkEnd w:id="21"/>
      <w:r w:rsidRPr="00602824">
        <w:t xml:space="preserve"> | </w:t>
      </w:r>
      <w:r w:rsidR="00197135" w:rsidRPr="00602824">
        <w:t>Timeline of benefit reductions</w:t>
      </w:r>
    </w:p>
    <w:p w14:paraId="16AFA19C" w14:textId="6E7A4759" w:rsidR="00A03275" w:rsidRPr="00FB712C" w:rsidRDefault="00A03275" w:rsidP="00DD185D">
      <w:r w:rsidRPr="00AC7E3F">
        <w:rPr>
          <w:noProof/>
        </w:rPr>
        <w:drawing>
          <wp:inline distT="0" distB="0" distL="0" distR="0" wp14:anchorId="64101AF0" wp14:editId="6076C378">
            <wp:extent cx="5760085" cy="6152515"/>
            <wp:effectExtent l="0" t="0" r="0" b="635"/>
            <wp:docPr id="748112922" name="Picture 3" descr="Timeline chart illustrating scheduled benefit reductions across PL items from 2022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12922" name="Picture 3" descr="Timeline chart illustrating scheduled benefit reductions across PL items from 2022 to 20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6152515"/>
                    </a:xfrm>
                    <a:prstGeom prst="rect">
                      <a:avLst/>
                    </a:prstGeom>
                  </pic:spPr>
                </pic:pic>
              </a:graphicData>
            </a:graphic>
          </wp:inline>
        </w:drawing>
      </w:r>
    </w:p>
    <w:p w14:paraId="58A46987" w14:textId="7F1D3D62" w:rsidR="00333488" w:rsidRPr="00602824" w:rsidRDefault="000E6E3D" w:rsidP="005D5259">
      <w:pPr>
        <w:pStyle w:val="Heading3"/>
      </w:pPr>
      <w:r w:rsidRPr="00602824">
        <w:t xml:space="preserve">The reforms </w:t>
      </w:r>
      <w:r w:rsidR="00061D32" w:rsidRPr="00602824">
        <w:t xml:space="preserve">delivered </w:t>
      </w:r>
      <w:r w:rsidR="004D3FF7" w:rsidRPr="00602824">
        <w:t xml:space="preserve">benefit </w:t>
      </w:r>
      <w:r w:rsidRPr="00602824">
        <w:t>reduc</w:t>
      </w:r>
      <w:r w:rsidR="00061D32" w:rsidRPr="00602824">
        <w:t xml:space="preserve">tions to </w:t>
      </w:r>
      <w:r w:rsidRPr="00602824">
        <w:t>of</w:t>
      </w:r>
      <w:r w:rsidR="00FB4EE5" w:rsidRPr="00602824">
        <w:t xml:space="preserve"> </w:t>
      </w:r>
      <w:r w:rsidR="00B15496" w:rsidRPr="00602824">
        <w:t>51</w:t>
      </w:r>
      <w:r w:rsidR="00333488" w:rsidRPr="00602824">
        <w:t>% of PL items</w:t>
      </w:r>
    </w:p>
    <w:p w14:paraId="38DFBF55" w14:textId="7ADB598F" w:rsidR="00C11535" w:rsidRPr="00602824" w:rsidRDefault="002C3CA8" w:rsidP="002C3CA8">
      <w:pPr>
        <w:rPr>
          <w:lang w:eastAsia="en-AU"/>
        </w:rPr>
      </w:pPr>
      <w:r w:rsidRPr="00602824">
        <w:rPr>
          <w:lang w:eastAsia="en-AU"/>
        </w:rPr>
        <w:t xml:space="preserve">51% of all items on Parts A, C and D of the PL </w:t>
      </w:r>
      <w:r w:rsidR="00992E85" w:rsidRPr="00602824">
        <w:rPr>
          <w:lang w:eastAsia="en-AU"/>
        </w:rPr>
        <w:t xml:space="preserve">were subject to benefit </w:t>
      </w:r>
      <w:r w:rsidR="0031064A" w:rsidRPr="00602824">
        <w:rPr>
          <w:lang w:eastAsia="en-AU"/>
        </w:rPr>
        <w:t>reductions</w:t>
      </w:r>
      <w:r w:rsidR="00992E85" w:rsidRPr="00602824">
        <w:rPr>
          <w:lang w:eastAsia="en-AU"/>
        </w:rPr>
        <w:t xml:space="preserve"> during the reforms</w:t>
      </w:r>
      <w:r w:rsidR="0031064A" w:rsidRPr="00602824">
        <w:rPr>
          <w:lang w:eastAsia="en-AU"/>
        </w:rPr>
        <w:t>.</w:t>
      </w:r>
      <w:r w:rsidR="0096111B" w:rsidRPr="00602824">
        <w:rPr>
          <w:rStyle w:val="FootnoteReference"/>
          <w:lang w:eastAsia="en-AU"/>
        </w:rPr>
        <w:footnoteReference w:id="15"/>
      </w:r>
      <w:r w:rsidR="00992E85" w:rsidRPr="00602824">
        <w:rPr>
          <w:lang w:eastAsia="en-AU"/>
        </w:rPr>
        <w:t xml:space="preserve"> Th</w:t>
      </w:r>
      <w:r w:rsidR="00335282" w:rsidRPr="00602824">
        <w:rPr>
          <w:lang w:eastAsia="en-AU"/>
        </w:rPr>
        <w:t xml:space="preserve">ese items had benefits </w:t>
      </w:r>
      <w:r w:rsidR="00CA602A" w:rsidRPr="00602824">
        <w:rPr>
          <w:lang w:eastAsia="en-AU"/>
        </w:rPr>
        <w:t>that were at least 7% higher t</w:t>
      </w:r>
      <w:r w:rsidR="00752332" w:rsidRPr="00602824">
        <w:rPr>
          <w:lang w:eastAsia="en-AU"/>
        </w:rPr>
        <w:t>han public sector benchmarks</w:t>
      </w:r>
      <w:r w:rsidR="00C11535" w:rsidRPr="00602824">
        <w:rPr>
          <w:lang w:eastAsia="en-AU"/>
        </w:rPr>
        <w:t xml:space="preserve"> at the commencement of the reforms</w:t>
      </w:r>
      <w:r w:rsidR="00AB1F83" w:rsidRPr="00602824">
        <w:rPr>
          <w:lang w:eastAsia="en-AU"/>
        </w:rPr>
        <w:t>. T</w:t>
      </w:r>
      <w:r w:rsidR="00167DB8" w:rsidRPr="00602824">
        <w:rPr>
          <w:lang w:eastAsia="en-AU"/>
        </w:rPr>
        <w:t xml:space="preserve">his represents a </w:t>
      </w:r>
      <w:r w:rsidR="004066EC" w:rsidRPr="00602824">
        <w:rPr>
          <w:lang w:eastAsia="en-AU"/>
        </w:rPr>
        <w:t>significant</w:t>
      </w:r>
      <w:r w:rsidR="00D37510" w:rsidRPr="00602824">
        <w:rPr>
          <w:lang w:eastAsia="en-AU"/>
        </w:rPr>
        <w:t xml:space="preserve"> alignment in pricing.</w:t>
      </w:r>
    </w:p>
    <w:p w14:paraId="65403F6C" w14:textId="58A0AD9B" w:rsidR="00957DE3" w:rsidRPr="00602824" w:rsidRDefault="00E462AA" w:rsidP="002C3CA8">
      <w:pPr>
        <w:rPr>
          <w:lang w:eastAsia="en-AU"/>
        </w:rPr>
      </w:pPr>
      <w:r w:rsidRPr="00602824">
        <w:rPr>
          <w:lang w:eastAsia="en-AU"/>
        </w:rPr>
        <w:lastRenderedPageBreak/>
        <w:t xml:space="preserve">Part C </w:t>
      </w:r>
      <w:r w:rsidR="00C11535" w:rsidRPr="00602824">
        <w:rPr>
          <w:lang w:eastAsia="en-AU"/>
        </w:rPr>
        <w:t>was</w:t>
      </w:r>
      <w:r w:rsidR="00E33DBC" w:rsidRPr="00602824">
        <w:rPr>
          <w:lang w:eastAsia="en-AU"/>
        </w:rPr>
        <w:t xml:space="preserve"> out of</w:t>
      </w:r>
      <w:r w:rsidRPr="00602824">
        <w:rPr>
          <w:lang w:eastAsia="en-AU"/>
        </w:rPr>
        <w:t xml:space="preserve"> scope</w:t>
      </w:r>
      <w:r w:rsidR="00E33DBC" w:rsidRPr="00602824">
        <w:rPr>
          <w:lang w:eastAsia="en-AU"/>
        </w:rPr>
        <w:t xml:space="preserve"> for reductions</w:t>
      </w:r>
      <w:r w:rsidR="00C11535" w:rsidRPr="00602824">
        <w:rPr>
          <w:lang w:eastAsia="en-AU"/>
        </w:rPr>
        <w:t xml:space="preserve"> </w:t>
      </w:r>
      <w:r w:rsidR="00DB5A72" w:rsidRPr="00602824">
        <w:rPr>
          <w:lang w:eastAsia="en-AU"/>
        </w:rPr>
        <w:t>(</w:t>
      </w:r>
      <w:r w:rsidR="00C11535" w:rsidRPr="00602824">
        <w:rPr>
          <w:lang w:eastAsia="en-AU"/>
        </w:rPr>
        <w:t>~</w:t>
      </w:r>
      <w:r w:rsidRPr="00602824">
        <w:rPr>
          <w:lang w:eastAsia="en-AU"/>
        </w:rPr>
        <w:t>1% of items</w:t>
      </w:r>
      <w:r w:rsidR="00DB5A72" w:rsidRPr="00602824">
        <w:rPr>
          <w:lang w:eastAsia="en-AU"/>
        </w:rPr>
        <w:t>),</w:t>
      </w:r>
      <w:r w:rsidR="002A2032" w:rsidRPr="00602824">
        <w:rPr>
          <w:lang w:eastAsia="en-AU"/>
        </w:rPr>
        <w:t xml:space="preserve"> leaving </w:t>
      </w:r>
      <w:r w:rsidR="00981284" w:rsidRPr="00602824">
        <w:rPr>
          <w:lang w:eastAsia="en-AU"/>
        </w:rPr>
        <w:t>~</w:t>
      </w:r>
      <w:r w:rsidR="002A2032" w:rsidRPr="00602824">
        <w:rPr>
          <w:lang w:eastAsia="en-AU"/>
        </w:rPr>
        <w:t xml:space="preserve">48% of items </w:t>
      </w:r>
      <w:r w:rsidR="00E33DBC" w:rsidRPr="00602824">
        <w:rPr>
          <w:lang w:eastAsia="en-AU"/>
        </w:rPr>
        <w:t>already</w:t>
      </w:r>
      <w:r w:rsidR="002A2032" w:rsidRPr="00602824">
        <w:rPr>
          <w:lang w:eastAsia="en-AU"/>
        </w:rPr>
        <w:t xml:space="preserve"> at or below the 7% price floor established by the MOU, and therefore not subject to reductions</w:t>
      </w:r>
      <w:r w:rsidR="00252206" w:rsidRPr="00602824">
        <w:rPr>
          <w:lang w:eastAsia="en-AU"/>
        </w:rPr>
        <w:t>.</w:t>
      </w:r>
      <w:r w:rsidR="00252206" w:rsidRPr="00602824">
        <w:rPr>
          <w:rStyle w:val="FootnoteReference"/>
          <w:lang w:eastAsia="en-AU"/>
        </w:rPr>
        <w:footnoteReference w:id="16"/>
      </w:r>
      <w:r w:rsidR="005A5F16" w:rsidRPr="00602824">
        <w:rPr>
          <w:lang w:eastAsia="en-AU"/>
        </w:rPr>
        <w:t xml:space="preserve"> </w:t>
      </w:r>
      <w:r w:rsidR="005A5F16" w:rsidRPr="00602824">
        <w:rPr>
          <w:lang w:eastAsia="en-AU"/>
        </w:rPr>
        <w:fldChar w:fldCharType="begin"/>
      </w:r>
      <w:r w:rsidR="005A5F16" w:rsidRPr="00602824">
        <w:rPr>
          <w:lang w:eastAsia="en-AU"/>
        </w:rPr>
        <w:instrText xml:space="preserve"> REF _Ref199756905 \h </w:instrText>
      </w:r>
      <w:r w:rsidR="005A5F16" w:rsidRPr="00602824">
        <w:rPr>
          <w:lang w:eastAsia="en-AU"/>
        </w:rPr>
      </w:r>
      <w:r w:rsidR="005A5F16" w:rsidRPr="00602824">
        <w:rPr>
          <w:lang w:eastAsia="en-AU"/>
        </w:rPr>
        <w:fldChar w:fldCharType="separate"/>
      </w:r>
      <w:r w:rsidR="00D30634" w:rsidRPr="00602824">
        <w:t xml:space="preserve">Figure </w:t>
      </w:r>
      <w:r w:rsidR="00D30634">
        <w:rPr>
          <w:noProof/>
        </w:rPr>
        <w:t>5</w:t>
      </w:r>
      <w:r w:rsidR="005A5F16" w:rsidRPr="00602824">
        <w:rPr>
          <w:lang w:eastAsia="en-AU"/>
        </w:rPr>
        <w:fldChar w:fldCharType="end"/>
      </w:r>
      <w:r w:rsidR="005A5F16" w:rsidRPr="00602824">
        <w:rPr>
          <w:lang w:eastAsia="en-AU"/>
        </w:rPr>
        <w:t xml:space="preserve"> </w:t>
      </w:r>
      <w:r w:rsidR="004D644C" w:rsidRPr="00602824">
        <w:rPr>
          <w:lang w:eastAsia="en-AU"/>
        </w:rPr>
        <w:t xml:space="preserve">below </w:t>
      </w:r>
      <w:r w:rsidR="005A5F16" w:rsidRPr="00602824">
        <w:rPr>
          <w:lang w:eastAsia="en-AU"/>
        </w:rPr>
        <w:t>shows the breakdown of items subject to reductions by PL category.</w:t>
      </w:r>
    </w:p>
    <w:p w14:paraId="6BBD1716" w14:textId="1ED0CE35" w:rsidR="00A13376" w:rsidRPr="00602824" w:rsidRDefault="00A13376" w:rsidP="00B50EE7">
      <w:pPr>
        <w:pStyle w:val="Caption"/>
      </w:pPr>
      <w:bookmarkStart w:id="22" w:name="_Ref199756905"/>
      <w:r w:rsidRPr="00602824">
        <w:t xml:space="preserve">Figure </w:t>
      </w:r>
      <w:r w:rsidR="002604D0">
        <w:fldChar w:fldCharType="begin"/>
      </w:r>
      <w:r w:rsidR="002604D0">
        <w:instrText xml:space="preserve"> SEQ Figure \* ARABIC </w:instrText>
      </w:r>
      <w:r w:rsidR="002604D0">
        <w:fldChar w:fldCharType="separate"/>
      </w:r>
      <w:r w:rsidR="00D30634">
        <w:rPr>
          <w:noProof/>
        </w:rPr>
        <w:t>5</w:t>
      </w:r>
      <w:r w:rsidR="002604D0">
        <w:fldChar w:fldCharType="end"/>
      </w:r>
      <w:bookmarkEnd w:id="22"/>
      <w:r w:rsidRPr="00602824">
        <w:t xml:space="preserve"> | PL items subject to reform reductions (Parts A and D, excluding CIED items)</w:t>
      </w:r>
      <w:r w:rsidR="00D124F8" w:rsidRPr="00602824">
        <w:rPr>
          <w:rStyle w:val="FootnoteReference"/>
        </w:rPr>
        <w:footnoteReference w:id="17"/>
      </w:r>
    </w:p>
    <w:p w14:paraId="30A0F5A0" w14:textId="62A8CE91" w:rsidR="00A13376" w:rsidRPr="00602824" w:rsidRDefault="00260802" w:rsidP="00AC2A73">
      <w:r w:rsidRPr="00260802">
        <w:rPr>
          <w:noProof/>
        </w:rPr>
        <w:drawing>
          <wp:inline distT="0" distB="0" distL="0" distR="0" wp14:anchorId="01098E56" wp14:editId="0D46498F">
            <wp:extent cx="5760085" cy="2787015"/>
            <wp:effectExtent l="0" t="0" r="0" b="0"/>
            <wp:docPr id="765669743" name="Picture 1" descr="Bar chart showing proportion of PL items subject to benefit reductions, broken down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69743" name="Picture 1" descr="Bar chart showing proportion of PL items subject to benefit reductions, broken down by category."/>
                    <pic:cNvPicPr/>
                  </pic:nvPicPr>
                  <pic:blipFill>
                    <a:blip r:embed="rId27"/>
                    <a:stretch>
                      <a:fillRect/>
                    </a:stretch>
                  </pic:blipFill>
                  <pic:spPr>
                    <a:xfrm>
                      <a:off x="0" y="0"/>
                      <a:ext cx="5760085" cy="2787015"/>
                    </a:xfrm>
                    <a:prstGeom prst="rect">
                      <a:avLst/>
                    </a:prstGeom>
                  </pic:spPr>
                </pic:pic>
              </a:graphicData>
            </a:graphic>
          </wp:inline>
        </w:drawing>
      </w:r>
    </w:p>
    <w:p w14:paraId="3AAE1347" w14:textId="73025DCF" w:rsidR="004D644C" w:rsidRPr="00602824" w:rsidRDefault="006973ED" w:rsidP="00FB712C">
      <w:pPr>
        <w:spacing w:before="240"/>
      </w:pPr>
      <w:r w:rsidRPr="00602824">
        <w:fldChar w:fldCharType="begin"/>
      </w:r>
      <w:r w:rsidRPr="00602824">
        <w:instrText xml:space="preserve"> REF _Ref202471095 \h </w:instrText>
      </w:r>
      <w:r w:rsidRPr="00602824">
        <w:fldChar w:fldCharType="separate"/>
      </w:r>
      <w:r w:rsidR="00D30634" w:rsidRPr="004A357C">
        <w:t xml:space="preserve">Table </w:t>
      </w:r>
      <w:r w:rsidR="00D30634">
        <w:rPr>
          <w:noProof/>
        </w:rPr>
        <w:t>23</w:t>
      </w:r>
      <w:r w:rsidRPr="00602824">
        <w:fldChar w:fldCharType="end"/>
      </w:r>
      <w:r w:rsidR="004D644C" w:rsidRPr="00602824">
        <w:t xml:space="preserve"> in Appendix </w:t>
      </w:r>
      <w:r w:rsidR="004D644C" w:rsidRPr="00602824">
        <w:fldChar w:fldCharType="begin"/>
      </w:r>
      <w:r w:rsidR="004D644C" w:rsidRPr="00602824">
        <w:instrText xml:space="preserve"> REF _Ref199417547 \r \h  \* MERGEFORMAT </w:instrText>
      </w:r>
      <w:r w:rsidR="004D644C" w:rsidRPr="00602824">
        <w:fldChar w:fldCharType="separate"/>
      </w:r>
      <w:r w:rsidR="00D30634">
        <w:t>D.1</w:t>
      </w:r>
      <w:r w:rsidR="004D644C" w:rsidRPr="00602824">
        <w:fldChar w:fldCharType="end"/>
      </w:r>
      <w:r w:rsidR="004D644C" w:rsidRPr="00602824">
        <w:t xml:space="preserve"> </w:t>
      </w:r>
      <w:r w:rsidR="00CE1ABC" w:rsidRPr="00602824">
        <w:t>lists</w:t>
      </w:r>
      <w:r w:rsidR="004D644C" w:rsidRPr="00602824">
        <w:t xml:space="preserve"> </w:t>
      </w:r>
      <w:r w:rsidR="00CE1ABC" w:rsidRPr="00602824">
        <w:t xml:space="preserve">the benefit groups and items that were </w:t>
      </w:r>
      <w:r w:rsidR="00275629" w:rsidRPr="00602824">
        <w:t>subject</w:t>
      </w:r>
      <w:r w:rsidR="00CE1ABC" w:rsidRPr="00602824">
        <w:t xml:space="preserve"> to reductions across</w:t>
      </w:r>
      <w:r w:rsidR="004D644C" w:rsidRPr="00602824">
        <w:t xml:space="preserve"> the 13 PL categories</w:t>
      </w:r>
      <w:r w:rsidR="00CE1ABC" w:rsidRPr="00602824">
        <w:t>.</w:t>
      </w:r>
      <w:r w:rsidR="00CE2056" w:rsidRPr="00602824">
        <w:t xml:space="preserve"> Over half of the </w:t>
      </w:r>
      <w:r w:rsidR="00D54167" w:rsidRPr="00602824">
        <w:t>50</w:t>
      </w:r>
      <w:r w:rsidR="00EF51F6">
        <w:t>06</w:t>
      </w:r>
      <w:r w:rsidR="00D54167" w:rsidRPr="00602824">
        <w:t xml:space="preserve"> items</w:t>
      </w:r>
      <w:r w:rsidR="005D38B2" w:rsidRPr="00602824">
        <w:t xml:space="preserve"> subject to reductions were in the Specialist </w:t>
      </w:r>
      <w:r w:rsidR="00045EA2" w:rsidRPr="00602824">
        <w:t>Orthopaedic</w:t>
      </w:r>
      <w:r w:rsidR="005D38B2" w:rsidRPr="00602824">
        <w:t xml:space="preserve"> </w:t>
      </w:r>
      <w:r w:rsidR="00E16DAC" w:rsidRPr="00602824">
        <w:t>or Spinal categories.</w:t>
      </w:r>
      <w:r w:rsidR="005D38B2" w:rsidRPr="00602824">
        <w:t xml:space="preserve"> </w:t>
      </w:r>
    </w:p>
    <w:p w14:paraId="33AB8828" w14:textId="736E4C87" w:rsidR="00925D20" w:rsidRPr="00602824" w:rsidRDefault="00925D20" w:rsidP="00FB712C">
      <w:pPr>
        <w:pStyle w:val="Heading3"/>
        <w:spacing w:before="300"/>
      </w:pPr>
      <w:r w:rsidRPr="00602824">
        <w:t>The</w:t>
      </w:r>
      <w:r w:rsidR="007B730E" w:rsidRPr="00602824">
        <w:t xml:space="preserve"> benefit reductions have reduced the</w:t>
      </w:r>
      <w:r w:rsidRPr="00602824">
        <w:t xml:space="preserve"> gap between PL benefits and comparable prices</w:t>
      </w:r>
    </w:p>
    <w:p w14:paraId="56933C53" w14:textId="77777777" w:rsidR="00925D20" w:rsidRPr="00602824" w:rsidRDefault="00925D20" w:rsidP="00925D20">
      <w:pPr>
        <w:rPr>
          <w:lang w:eastAsia="en-AU"/>
        </w:rPr>
      </w:pPr>
      <w:r w:rsidRPr="00602824">
        <w:rPr>
          <w:lang w:eastAsia="en-AU"/>
        </w:rPr>
        <w:t xml:space="preserve">Objective 1 of the reforms is to “Improve the alignment of the scheduled benefits of the PL with the prices paid </w:t>
      </w:r>
      <w:r w:rsidRPr="00602824">
        <w:rPr>
          <w:i/>
          <w:iCs/>
          <w:lang w:eastAsia="en-AU"/>
        </w:rPr>
        <w:t>in more competitive markets</w:t>
      </w:r>
      <w:r w:rsidRPr="00602824">
        <w:rPr>
          <w:lang w:eastAsia="en-AU"/>
        </w:rPr>
        <w:t>”. The evaluation assessed the median gap against Australian public sector benchmark prices as well as limited international comparisons.</w:t>
      </w:r>
    </w:p>
    <w:p w14:paraId="697E152A" w14:textId="12198CC2" w:rsidR="00925D20" w:rsidRPr="00602824" w:rsidRDefault="00705D5C" w:rsidP="00925D20">
      <w:pPr>
        <w:pStyle w:val="Heading4"/>
      </w:pPr>
      <w:r w:rsidRPr="00602824">
        <w:t>For items subject to reductions, the</w:t>
      </w:r>
      <w:r w:rsidR="00925D20" w:rsidRPr="00602824">
        <w:t xml:space="preserve"> median gap </w:t>
      </w:r>
      <w:r w:rsidR="003720A7" w:rsidRPr="00602824">
        <w:t xml:space="preserve">above </w:t>
      </w:r>
      <w:r w:rsidR="00175494" w:rsidRPr="00602824">
        <w:t>Australian</w:t>
      </w:r>
      <w:r w:rsidR="00925D20" w:rsidRPr="00602824">
        <w:t xml:space="preserve"> public </w:t>
      </w:r>
      <w:r w:rsidR="00175494" w:rsidRPr="00602824">
        <w:t xml:space="preserve">sector </w:t>
      </w:r>
      <w:r w:rsidR="00925D20" w:rsidRPr="00602824">
        <w:t xml:space="preserve">prices </w:t>
      </w:r>
      <w:r w:rsidR="00A26197" w:rsidRPr="00602824">
        <w:t>decreased f</w:t>
      </w:r>
      <w:r w:rsidR="003D5520" w:rsidRPr="00602824">
        <w:t>rom</w:t>
      </w:r>
      <w:r w:rsidR="00925D20" w:rsidRPr="00602824">
        <w:t xml:space="preserve"> $177 to $35</w:t>
      </w:r>
    </w:p>
    <w:p w14:paraId="133B0F92" w14:textId="10DBDB88" w:rsidR="00EE6592" w:rsidRPr="00602824" w:rsidRDefault="00B83D47" w:rsidP="00F84D27">
      <w:r w:rsidRPr="00602824">
        <w:t>The narrowing</w:t>
      </w:r>
      <w:r w:rsidR="00EE6592" w:rsidRPr="00602824">
        <w:t xml:space="preserve"> gap between PL benefits and public </w:t>
      </w:r>
      <w:r w:rsidRPr="00602824">
        <w:t xml:space="preserve">sector </w:t>
      </w:r>
      <w:r w:rsidR="00EE6592" w:rsidRPr="00602824">
        <w:t>benchmarks (</w:t>
      </w:r>
      <w:r w:rsidRPr="00602824">
        <w:t xml:space="preserve">as reflected in IHACPA’s </w:t>
      </w:r>
      <w:r w:rsidR="00EE6592" w:rsidRPr="00602824">
        <w:t>Weighted Average Prices</w:t>
      </w:r>
      <w:r w:rsidRPr="00602824">
        <w:t>) suggests that the reforms</w:t>
      </w:r>
      <w:r w:rsidR="00EE6592" w:rsidRPr="00602824">
        <w:t xml:space="preserve"> are improving </w:t>
      </w:r>
      <w:r w:rsidRPr="00602824">
        <w:t>price</w:t>
      </w:r>
      <w:r w:rsidR="00EE6592" w:rsidRPr="00602824">
        <w:t xml:space="preserve"> alignment with more competitive markets.</w:t>
      </w:r>
      <w:r w:rsidR="00384123" w:rsidRPr="00602824">
        <w:t xml:space="preserve"> </w:t>
      </w:r>
      <w:r w:rsidR="00F84D27" w:rsidRPr="00602824">
        <w:fldChar w:fldCharType="begin"/>
      </w:r>
      <w:r w:rsidR="00F84D27" w:rsidRPr="00602824">
        <w:instrText xml:space="preserve"> REF _Ref202471520 \h  \* MERGEFORMAT </w:instrText>
      </w:r>
      <w:r w:rsidR="00F84D27" w:rsidRPr="00602824">
        <w:fldChar w:fldCharType="separate"/>
      </w:r>
      <w:r w:rsidR="00D30634" w:rsidRPr="00602824">
        <w:t xml:space="preserve">Figure </w:t>
      </w:r>
      <w:r w:rsidR="00D30634">
        <w:t>6</w:t>
      </w:r>
      <w:r w:rsidR="00F84D27" w:rsidRPr="00602824">
        <w:fldChar w:fldCharType="end"/>
      </w:r>
      <w:r w:rsidR="00F84D27" w:rsidRPr="00602824">
        <w:t xml:space="preserve"> shows that</w:t>
      </w:r>
      <w:r w:rsidRPr="00602824">
        <w:t>, across all items,</w:t>
      </w:r>
      <w:r w:rsidR="00F84D27" w:rsidRPr="00602824">
        <w:t xml:space="preserve"> the median gap fell from $24 to $</w:t>
      </w:r>
      <w:r w:rsidR="00BA5C4B" w:rsidRPr="00602824">
        <w:t>8</w:t>
      </w:r>
      <w:r w:rsidR="00F84D27" w:rsidRPr="00602824">
        <w:t xml:space="preserve"> </w:t>
      </w:r>
      <w:r w:rsidRPr="00602824">
        <w:t>following</w:t>
      </w:r>
      <w:r w:rsidR="00F84D27" w:rsidRPr="00602824">
        <w:t xml:space="preserve"> </w:t>
      </w:r>
      <w:r w:rsidR="00BA5C4B" w:rsidRPr="00602824">
        <w:t xml:space="preserve">the three rounds of </w:t>
      </w:r>
      <w:r w:rsidR="00F84D27" w:rsidRPr="00602824">
        <w:t xml:space="preserve">reductions. </w:t>
      </w:r>
      <w:r w:rsidRPr="00602824">
        <w:t>Among</w:t>
      </w:r>
      <w:r w:rsidR="00F84D27" w:rsidRPr="00602824">
        <w:t xml:space="preserve"> the items </w:t>
      </w:r>
      <w:r w:rsidRPr="00602824">
        <w:t>specifically targeted for reductions – around</w:t>
      </w:r>
      <w:r w:rsidR="00F84D27" w:rsidRPr="00602824">
        <w:t xml:space="preserve"> half of </w:t>
      </w:r>
      <w:r w:rsidRPr="00602824">
        <w:t>the PL –</w:t>
      </w:r>
      <w:r w:rsidR="00F84D27" w:rsidRPr="00602824">
        <w:t xml:space="preserve"> the median gap </w:t>
      </w:r>
      <w:r w:rsidRPr="00602824">
        <w:t>decreased</w:t>
      </w:r>
      <w:r w:rsidR="00F84D27" w:rsidRPr="00602824">
        <w:t xml:space="preserve"> from $177 to $</w:t>
      </w:r>
      <w:r w:rsidR="00A34AC5" w:rsidRPr="00602824">
        <w:t>35</w:t>
      </w:r>
      <w:r w:rsidR="00F84D27" w:rsidRPr="00602824">
        <w:t>.</w:t>
      </w:r>
    </w:p>
    <w:p w14:paraId="618BCA81" w14:textId="2C23C927" w:rsidR="00925D20" w:rsidRPr="00602824" w:rsidRDefault="00925D20" w:rsidP="00B50EE7">
      <w:pPr>
        <w:pStyle w:val="Caption"/>
        <w:rPr>
          <w:lang w:eastAsia="en-AU"/>
        </w:rPr>
      </w:pPr>
      <w:bookmarkStart w:id="23" w:name="_Ref202471520"/>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6</w:t>
      </w:r>
      <w:r w:rsidR="002604D0">
        <w:fldChar w:fldCharType="end"/>
      </w:r>
      <w:bookmarkEnd w:id="23"/>
      <w:r w:rsidRPr="00602824">
        <w:t xml:space="preserve"> | Median gap with public benchmark prices (Parts A and D, excluding CIEDs)</w:t>
      </w:r>
      <w:r w:rsidRPr="00602824">
        <w:rPr>
          <w:rStyle w:val="FootnoteReference"/>
        </w:rPr>
        <w:footnoteReference w:id="18"/>
      </w:r>
    </w:p>
    <w:p w14:paraId="4AE4A755" w14:textId="77777777" w:rsidR="00925D20" w:rsidRPr="00602824" w:rsidRDefault="00925D20" w:rsidP="00925D20">
      <w:pPr>
        <w:rPr>
          <w:lang w:eastAsia="en-AU"/>
        </w:rPr>
      </w:pPr>
      <w:r w:rsidRPr="00AC7E3F">
        <w:rPr>
          <w:noProof/>
          <w:lang w:eastAsia="en-AU"/>
        </w:rPr>
        <w:drawing>
          <wp:inline distT="0" distB="0" distL="0" distR="0" wp14:anchorId="1DC043BD" wp14:editId="74D13BB4">
            <wp:extent cx="5760085" cy="2009869"/>
            <wp:effectExtent l="0" t="0" r="0" b="9525"/>
            <wp:docPr id="758434153" name="Picture 1" descr="Figure showing decline in median price gap between PL benefits and public benchmarks after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34153" name="Picture 1" descr="Figure showing decline in median price gap between PL benefits and public benchmarks after reductions."/>
                    <pic:cNvPicPr/>
                  </pic:nvPicPr>
                  <pic:blipFill rotWithShape="1">
                    <a:blip r:embed="rId28"/>
                    <a:srcRect b="5150"/>
                    <a:stretch>
                      <a:fillRect/>
                    </a:stretch>
                  </pic:blipFill>
                  <pic:spPr bwMode="auto">
                    <a:xfrm>
                      <a:off x="0" y="0"/>
                      <a:ext cx="5760085" cy="2009869"/>
                    </a:xfrm>
                    <a:prstGeom prst="rect">
                      <a:avLst/>
                    </a:prstGeom>
                    <a:ln>
                      <a:noFill/>
                    </a:ln>
                    <a:extLst>
                      <a:ext uri="{53640926-AAD7-44D8-BBD7-CCE9431645EC}">
                        <a14:shadowObscured xmlns:a14="http://schemas.microsoft.com/office/drawing/2010/main"/>
                      </a:ext>
                    </a:extLst>
                  </pic:spPr>
                </pic:pic>
              </a:graphicData>
            </a:graphic>
          </wp:inline>
        </w:drawing>
      </w:r>
    </w:p>
    <w:p w14:paraId="71E619B8" w14:textId="09AF508A" w:rsidR="002B6F85" w:rsidRPr="00602824" w:rsidRDefault="00D71F10" w:rsidP="00FB712C">
      <w:pPr>
        <w:spacing w:before="240"/>
      </w:pPr>
      <w:r w:rsidRPr="00602824">
        <w:fldChar w:fldCharType="begin"/>
      </w:r>
      <w:r w:rsidRPr="00602824">
        <w:instrText xml:space="preserve"> REF _Ref202878064 \h </w:instrText>
      </w:r>
      <w:r w:rsidRPr="00602824">
        <w:fldChar w:fldCharType="separate"/>
      </w:r>
      <w:r w:rsidR="00D30634" w:rsidRPr="004A357C">
        <w:t xml:space="preserve">Table </w:t>
      </w:r>
      <w:r w:rsidR="00D30634">
        <w:rPr>
          <w:noProof/>
        </w:rPr>
        <w:t>26</w:t>
      </w:r>
      <w:r w:rsidRPr="00602824">
        <w:fldChar w:fldCharType="end"/>
      </w:r>
      <w:r w:rsidR="002B6F85" w:rsidRPr="00602824">
        <w:t xml:space="preserve"> in Appendix </w:t>
      </w:r>
      <w:r w:rsidR="002B6F85" w:rsidRPr="00602824">
        <w:fldChar w:fldCharType="begin"/>
      </w:r>
      <w:r w:rsidR="002B6F85" w:rsidRPr="00602824">
        <w:instrText xml:space="preserve"> REF _Ref199758364 \r \h </w:instrText>
      </w:r>
      <w:r w:rsidR="002B6F85" w:rsidRPr="00602824">
        <w:fldChar w:fldCharType="separate"/>
      </w:r>
      <w:r w:rsidR="00D30634">
        <w:t>D.2</w:t>
      </w:r>
      <w:r w:rsidR="002B6F85" w:rsidRPr="00602824">
        <w:fldChar w:fldCharType="end"/>
      </w:r>
      <w:r w:rsidR="002B6F85" w:rsidRPr="00602824">
        <w:t xml:space="preserve"> </w:t>
      </w:r>
      <w:r w:rsidR="00D843CC" w:rsidRPr="00602824">
        <w:t>shows the median dollar and percentage gaps across PL categories before and after the reforms. All but one category now ha</w:t>
      </w:r>
      <w:r w:rsidR="00CE22C2" w:rsidRPr="00602824">
        <w:t>s</w:t>
      </w:r>
      <w:r w:rsidR="00D843CC" w:rsidRPr="00602824">
        <w:t xml:space="preserve"> a median gap of less than 1</w:t>
      </w:r>
      <w:r w:rsidR="00AA0F68">
        <w:t>2</w:t>
      </w:r>
      <w:r w:rsidR="00D843CC" w:rsidRPr="00602824">
        <w:t>% above public benchmark prices. The exception is the Cardiac category (excluding CIEDs),</w:t>
      </w:r>
      <w:r w:rsidR="002B7047" w:rsidRPr="00602824">
        <w:rPr>
          <w:rStyle w:val="FootnoteReference"/>
        </w:rPr>
        <w:footnoteReference w:id="19"/>
      </w:r>
      <w:r w:rsidR="00D843CC" w:rsidRPr="00602824">
        <w:t xml:space="preserve"> which, </w:t>
      </w:r>
      <w:r w:rsidR="00032F52" w:rsidRPr="00602824">
        <w:t>although</w:t>
      </w:r>
      <w:r w:rsidR="002E7CC9" w:rsidRPr="00602824">
        <w:t xml:space="preserve"> it</w:t>
      </w:r>
      <w:r w:rsidR="00032F52" w:rsidRPr="00602824">
        <w:t xml:space="preserve"> had</w:t>
      </w:r>
      <w:r w:rsidR="00D843CC" w:rsidRPr="00602824">
        <w:t xml:space="preserve"> the largest </w:t>
      </w:r>
      <w:r w:rsidR="006577BD" w:rsidRPr="00602824">
        <w:t xml:space="preserve">percentage </w:t>
      </w:r>
      <w:r w:rsidR="00032F52" w:rsidRPr="00602824">
        <w:t>price reduction</w:t>
      </w:r>
      <w:r w:rsidR="00D843CC" w:rsidRPr="00602824">
        <w:t xml:space="preserve">, </w:t>
      </w:r>
      <w:r w:rsidR="00D843CC" w:rsidRPr="00AA0F68">
        <w:t xml:space="preserve">still has a median gap of </w:t>
      </w:r>
      <w:r w:rsidR="00AA0F68" w:rsidRPr="00AA0F68">
        <w:t>42</w:t>
      </w:r>
      <w:r w:rsidR="00D843CC" w:rsidRPr="00AA0F68">
        <w:t>%.</w:t>
      </w:r>
    </w:p>
    <w:p w14:paraId="4F786361" w14:textId="53B864DB" w:rsidR="00A41382" w:rsidRPr="00602824" w:rsidRDefault="00D82EFF" w:rsidP="002B6F85">
      <w:r w:rsidRPr="00602824">
        <w:fldChar w:fldCharType="begin"/>
      </w:r>
      <w:r w:rsidRPr="00602824">
        <w:instrText xml:space="preserve"> REF _Ref202472568 \h </w:instrText>
      </w:r>
      <w:r w:rsidRPr="00602824">
        <w:fldChar w:fldCharType="separate"/>
      </w:r>
      <w:r w:rsidR="00D30634" w:rsidRPr="00602824">
        <w:t xml:space="preserve">Figure </w:t>
      </w:r>
      <w:r w:rsidR="00D30634">
        <w:rPr>
          <w:noProof/>
        </w:rPr>
        <w:t>7</w:t>
      </w:r>
      <w:r w:rsidRPr="00602824">
        <w:fldChar w:fldCharType="end"/>
      </w:r>
      <w:r w:rsidRPr="00602824">
        <w:t xml:space="preserve"> shows the distribution of </w:t>
      </w:r>
      <w:r w:rsidR="000936F5" w:rsidRPr="00602824">
        <w:t xml:space="preserve">PL items according </w:t>
      </w:r>
      <w:r w:rsidR="00416A89" w:rsidRPr="00602824">
        <w:t xml:space="preserve">to their gap above public benchmarks – the </w:t>
      </w:r>
      <w:r w:rsidR="00955A96" w:rsidRPr="00602824">
        <w:t xml:space="preserve">orange bar represents the </w:t>
      </w:r>
      <w:r w:rsidRPr="00602824">
        <w:t>gaps following the July 2024 reductions</w:t>
      </w:r>
      <w:r w:rsidR="00955A96" w:rsidRPr="00602824">
        <w:t xml:space="preserve"> and the dark blue bars represent the gaps at </w:t>
      </w:r>
      <w:r w:rsidRPr="00602824">
        <w:t xml:space="preserve">baseline. The </w:t>
      </w:r>
      <w:r w:rsidR="00D81D3B" w:rsidRPr="00602824">
        <w:t>number above each bar is the change i</w:t>
      </w:r>
      <w:r w:rsidR="00002F6D" w:rsidRPr="00602824">
        <w:t>n</w:t>
      </w:r>
      <w:r w:rsidR="00D81D3B" w:rsidRPr="00602824">
        <w:t xml:space="preserve"> the </w:t>
      </w:r>
      <w:r w:rsidR="00002F6D" w:rsidRPr="00602824">
        <w:t xml:space="preserve">number of items with that percentage gap. </w:t>
      </w:r>
      <w:r w:rsidR="00B77140" w:rsidRPr="00602824">
        <w:t xml:space="preserve">The </w:t>
      </w:r>
      <w:r w:rsidR="004F5BF9" w:rsidRPr="00602824">
        <w:t xml:space="preserve">absence of orange </w:t>
      </w:r>
      <w:r w:rsidRPr="00602824">
        <w:t xml:space="preserve">areas </w:t>
      </w:r>
      <w:r w:rsidR="004F5BF9" w:rsidRPr="00602824">
        <w:t xml:space="preserve">on the higher percentage gaps </w:t>
      </w:r>
      <w:proofErr w:type="gramStart"/>
      <w:r w:rsidR="004F5BF9" w:rsidRPr="00602824">
        <w:t>demonstrate</w:t>
      </w:r>
      <w:proofErr w:type="gramEnd"/>
      <w:r w:rsidR="004F5BF9" w:rsidRPr="00602824">
        <w:t xml:space="preserve"> there has been</w:t>
      </w:r>
      <w:r w:rsidRPr="00602824">
        <w:t xml:space="preserve"> a significant reduction in items with large gaps. Since the baseline, 491 fewer PL items have a gap above 91%, and 2,360 additional items now have a reduced gap of less than 7%.</w:t>
      </w:r>
      <w:r w:rsidR="0099679F" w:rsidRPr="00602824">
        <w:rPr>
          <w:rStyle w:val="FootnoteReference"/>
        </w:rPr>
        <w:footnoteReference w:id="20"/>
      </w:r>
    </w:p>
    <w:p w14:paraId="40F43402" w14:textId="75F69FD9" w:rsidR="00925D20" w:rsidRPr="00602824" w:rsidRDefault="00925D20" w:rsidP="00B50EE7">
      <w:pPr>
        <w:pStyle w:val="Caption"/>
      </w:pPr>
      <w:bookmarkStart w:id="24" w:name="_Ref202472568"/>
      <w:r w:rsidRPr="00602824">
        <w:t xml:space="preserve">Figure </w:t>
      </w:r>
      <w:r w:rsidR="002604D0">
        <w:fldChar w:fldCharType="begin"/>
      </w:r>
      <w:r w:rsidR="002604D0">
        <w:instrText xml:space="preserve"> SEQ Figure \* ARABIC </w:instrText>
      </w:r>
      <w:r w:rsidR="002604D0">
        <w:fldChar w:fldCharType="separate"/>
      </w:r>
      <w:r w:rsidR="00D30634">
        <w:rPr>
          <w:noProof/>
        </w:rPr>
        <w:t>7</w:t>
      </w:r>
      <w:r w:rsidR="002604D0">
        <w:fldChar w:fldCharType="end"/>
      </w:r>
      <w:bookmarkEnd w:id="24"/>
      <w:r w:rsidRPr="00602824">
        <w:t xml:space="preserve"> | Percentage gap between PL benefits and public benchmark prices (excluding CIED items)</w:t>
      </w:r>
      <w:r w:rsidRPr="00602824">
        <w:rPr>
          <w:rStyle w:val="FootnoteReference"/>
        </w:rPr>
        <w:footnoteReference w:id="21"/>
      </w:r>
    </w:p>
    <w:p w14:paraId="737BF92E" w14:textId="77777777" w:rsidR="00925D20" w:rsidRPr="00602824" w:rsidRDefault="00925D20" w:rsidP="00925D20">
      <w:r w:rsidRPr="00AC7E3F">
        <w:rPr>
          <w:noProof/>
        </w:rPr>
        <w:drawing>
          <wp:inline distT="0" distB="0" distL="0" distR="0" wp14:anchorId="5AE41267" wp14:editId="2970A671">
            <wp:extent cx="5759729" cy="3412943"/>
            <wp:effectExtent l="0" t="0" r="0" b="0"/>
            <wp:docPr id="1818009644" name="Picture 1" descr="Histogram showing distribution of PL items by percentage gap above public benchmarks before and after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09644" name="Picture 1" descr="Histogram showing distribution of PL items by percentage gap above public benchmarks before and after reforms."/>
                    <pic:cNvPicPr/>
                  </pic:nvPicPr>
                  <pic:blipFill rotWithShape="1">
                    <a:blip r:embed="rId29"/>
                    <a:srcRect t="1281" b="2114"/>
                    <a:stretch>
                      <a:fillRect/>
                    </a:stretch>
                  </pic:blipFill>
                  <pic:spPr bwMode="auto">
                    <a:xfrm>
                      <a:off x="0" y="0"/>
                      <a:ext cx="5760085" cy="3413154"/>
                    </a:xfrm>
                    <a:prstGeom prst="rect">
                      <a:avLst/>
                    </a:prstGeom>
                    <a:ln>
                      <a:noFill/>
                    </a:ln>
                    <a:extLst>
                      <a:ext uri="{53640926-AAD7-44D8-BBD7-CCE9431645EC}">
                        <a14:shadowObscured xmlns:a14="http://schemas.microsoft.com/office/drawing/2010/main"/>
                      </a:ext>
                    </a:extLst>
                  </pic:spPr>
                </pic:pic>
              </a:graphicData>
            </a:graphic>
          </wp:inline>
        </w:drawing>
      </w:r>
    </w:p>
    <w:p w14:paraId="76134C59" w14:textId="77777777" w:rsidR="00925D20" w:rsidRPr="00602824" w:rsidRDefault="00925D20" w:rsidP="00925D20">
      <w:pPr>
        <w:pStyle w:val="Heading4"/>
      </w:pPr>
      <w:r w:rsidRPr="00602824">
        <w:lastRenderedPageBreak/>
        <w:t>PL benefits are also better aligned with some international markets</w:t>
      </w:r>
    </w:p>
    <w:p w14:paraId="7E53D75D" w14:textId="3CAFA09A" w:rsidR="00590758" w:rsidRPr="00602824" w:rsidRDefault="001E6454" w:rsidP="00925D20">
      <w:pPr>
        <w:rPr>
          <w:lang w:eastAsia="en-AU"/>
        </w:rPr>
      </w:pPr>
      <w:r w:rsidRPr="00602824">
        <w:rPr>
          <w:lang w:eastAsia="en-AU"/>
        </w:rPr>
        <w:t>A</w:t>
      </w:r>
      <w:r w:rsidR="00854671" w:rsidRPr="00602824">
        <w:rPr>
          <w:lang w:eastAsia="en-AU"/>
        </w:rPr>
        <w:t>n</w:t>
      </w:r>
      <w:r w:rsidR="00CD2E00" w:rsidRPr="00602824">
        <w:rPr>
          <w:lang w:eastAsia="en-AU"/>
        </w:rPr>
        <w:t xml:space="preserve"> updated</w:t>
      </w:r>
      <w:r w:rsidR="002F31DA" w:rsidRPr="00602824">
        <w:rPr>
          <w:lang w:eastAsia="en-AU"/>
        </w:rPr>
        <w:t xml:space="preserve"> case study comparison with New Zealand and France</w:t>
      </w:r>
      <w:r w:rsidR="00BD7AF1" w:rsidRPr="00602824">
        <w:rPr>
          <w:lang w:eastAsia="en-AU"/>
        </w:rPr>
        <w:t xml:space="preserve">, outlined in Appendix </w:t>
      </w:r>
      <w:r w:rsidR="00BD7AF1" w:rsidRPr="00602824">
        <w:rPr>
          <w:lang w:eastAsia="en-AU"/>
        </w:rPr>
        <w:fldChar w:fldCharType="begin"/>
      </w:r>
      <w:r w:rsidR="00BD7AF1" w:rsidRPr="00602824">
        <w:rPr>
          <w:lang w:eastAsia="en-AU"/>
        </w:rPr>
        <w:instrText xml:space="preserve"> REF _Ref199758364 \r \h </w:instrText>
      </w:r>
      <w:r w:rsidR="00BD7AF1" w:rsidRPr="00602824">
        <w:rPr>
          <w:lang w:eastAsia="en-AU"/>
        </w:rPr>
      </w:r>
      <w:r w:rsidR="00BD7AF1" w:rsidRPr="00602824">
        <w:rPr>
          <w:lang w:eastAsia="en-AU"/>
        </w:rPr>
        <w:fldChar w:fldCharType="separate"/>
      </w:r>
      <w:r w:rsidR="00D30634">
        <w:rPr>
          <w:lang w:eastAsia="en-AU"/>
        </w:rPr>
        <w:t>D.2</w:t>
      </w:r>
      <w:r w:rsidR="00BD7AF1" w:rsidRPr="00602824">
        <w:rPr>
          <w:lang w:eastAsia="en-AU"/>
        </w:rPr>
        <w:fldChar w:fldCharType="end"/>
      </w:r>
      <w:r w:rsidR="00BD7AF1" w:rsidRPr="00602824">
        <w:rPr>
          <w:lang w:eastAsia="en-AU"/>
        </w:rPr>
        <w:t xml:space="preserve">, </w:t>
      </w:r>
      <w:r w:rsidR="002F31DA" w:rsidRPr="00602824">
        <w:rPr>
          <w:lang w:eastAsia="en-AU"/>
        </w:rPr>
        <w:t>shows that prices</w:t>
      </w:r>
      <w:r w:rsidR="001D3593" w:rsidRPr="00602824">
        <w:rPr>
          <w:lang w:eastAsia="en-AU"/>
        </w:rPr>
        <w:t xml:space="preserve"> in </w:t>
      </w:r>
      <w:r w:rsidR="002F31DA" w:rsidRPr="00602824">
        <w:rPr>
          <w:lang w:eastAsia="en-AU"/>
        </w:rPr>
        <w:t xml:space="preserve">those markets have </w:t>
      </w:r>
      <w:r w:rsidR="00CD2E00" w:rsidRPr="00602824">
        <w:rPr>
          <w:lang w:eastAsia="en-AU"/>
        </w:rPr>
        <w:t xml:space="preserve">continued to </w:t>
      </w:r>
      <w:r w:rsidR="002F31DA" w:rsidRPr="00602824">
        <w:rPr>
          <w:lang w:eastAsia="en-AU"/>
        </w:rPr>
        <w:t>remain stable</w:t>
      </w:r>
      <w:r w:rsidR="00E40424" w:rsidRPr="00602824">
        <w:rPr>
          <w:lang w:eastAsia="en-AU"/>
        </w:rPr>
        <w:t xml:space="preserve"> throughout the</w:t>
      </w:r>
      <w:r w:rsidR="002F31DA" w:rsidRPr="00602824">
        <w:rPr>
          <w:lang w:eastAsia="en-AU"/>
        </w:rPr>
        <w:t xml:space="preserve"> </w:t>
      </w:r>
      <w:r w:rsidR="00E40424" w:rsidRPr="00602824">
        <w:rPr>
          <w:lang w:eastAsia="en-AU"/>
        </w:rPr>
        <w:t>reform period</w:t>
      </w:r>
      <w:r w:rsidR="008C27F8" w:rsidRPr="00602824">
        <w:rPr>
          <w:lang w:eastAsia="en-AU"/>
        </w:rPr>
        <w:t>, while</w:t>
      </w:r>
      <w:r w:rsidR="00D80700" w:rsidRPr="00602824">
        <w:rPr>
          <w:lang w:eastAsia="en-AU"/>
        </w:rPr>
        <w:t xml:space="preserve"> the Australian PL</w:t>
      </w:r>
      <w:r w:rsidR="008C27F8" w:rsidRPr="00602824">
        <w:rPr>
          <w:lang w:eastAsia="en-AU"/>
        </w:rPr>
        <w:t xml:space="preserve"> benefits have declined</w:t>
      </w:r>
      <w:r w:rsidR="002F31DA" w:rsidRPr="00602824">
        <w:rPr>
          <w:lang w:eastAsia="en-AU"/>
        </w:rPr>
        <w:t>. This has narrowed</w:t>
      </w:r>
      <w:r w:rsidR="00A30F11" w:rsidRPr="00602824">
        <w:rPr>
          <w:lang w:eastAsia="en-AU"/>
        </w:rPr>
        <w:t xml:space="preserve"> the </w:t>
      </w:r>
      <w:r w:rsidR="002F31DA" w:rsidRPr="00602824">
        <w:rPr>
          <w:lang w:eastAsia="en-AU"/>
        </w:rPr>
        <w:t xml:space="preserve">price gap, indicating that the reforms are </w:t>
      </w:r>
      <w:r w:rsidR="00E40424" w:rsidRPr="00602824">
        <w:rPr>
          <w:lang w:eastAsia="en-AU"/>
        </w:rPr>
        <w:t xml:space="preserve">achieving </w:t>
      </w:r>
      <w:r w:rsidR="00D80700" w:rsidRPr="00602824">
        <w:rPr>
          <w:lang w:eastAsia="en-AU"/>
        </w:rPr>
        <w:t>their</w:t>
      </w:r>
      <w:r w:rsidR="004E2185" w:rsidRPr="00602824">
        <w:rPr>
          <w:lang w:eastAsia="en-AU"/>
        </w:rPr>
        <w:t xml:space="preserve"> goal of </w:t>
      </w:r>
      <w:r w:rsidR="002F31DA" w:rsidRPr="00602824">
        <w:rPr>
          <w:lang w:eastAsia="en-AU"/>
        </w:rPr>
        <w:t>improving alignment with prices in more competitive markets</w:t>
      </w:r>
      <w:r w:rsidR="00E40424" w:rsidRPr="00602824">
        <w:rPr>
          <w:lang w:eastAsia="en-AU"/>
        </w:rPr>
        <w:t>.</w:t>
      </w:r>
    </w:p>
    <w:p w14:paraId="5D64EF3C" w14:textId="3CF61768" w:rsidR="00925D20" w:rsidRPr="00602824" w:rsidRDefault="00C1338E" w:rsidP="00925D20">
      <w:pPr>
        <w:rPr>
          <w:lang w:eastAsia="en-AU"/>
        </w:rPr>
      </w:pPr>
      <w:r w:rsidRPr="00602824">
        <w:rPr>
          <w:lang w:eastAsia="en-AU"/>
        </w:rPr>
        <w:t xml:space="preserve">As was discussed in </w:t>
      </w:r>
      <w:r w:rsidR="000377F0">
        <w:rPr>
          <w:lang w:eastAsia="en-AU"/>
        </w:rPr>
        <w:t>Section</w:t>
      </w:r>
      <w:r w:rsidR="000377F0" w:rsidRPr="00602824">
        <w:rPr>
          <w:lang w:eastAsia="en-AU"/>
        </w:rPr>
        <w:t xml:space="preserve"> </w:t>
      </w:r>
      <w:r w:rsidRPr="00602824">
        <w:rPr>
          <w:lang w:eastAsia="en-AU"/>
        </w:rPr>
        <w:t xml:space="preserve">2.3.6 of the </w:t>
      </w:r>
      <w:r w:rsidRPr="00602824">
        <w:rPr>
          <w:i/>
          <w:iCs/>
          <w:lang w:eastAsia="en-AU"/>
        </w:rPr>
        <w:t>Interim Evaluation #1 report</w:t>
      </w:r>
      <w:r w:rsidR="00395412" w:rsidRPr="00602824">
        <w:rPr>
          <w:lang w:eastAsia="en-AU"/>
        </w:rPr>
        <w:t xml:space="preserve">, the reforms have had mixed success in meaningfully reducing the absolute gap with the French market. </w:t>
      </w:r>
      <w:r w:rsidR="003E7E11" w:rsidRPr="00602824">
        <w:rPr>
          <w:lang w:eastAsia="en-AU"/>
        </w:rPr>
        <w:t xml:space="preserve">While alignment has improved in some areas, the price differential with the French </w:t>
      </w:r>
      <w:r w:rsidR="003E7E11" w:rsidRPr="00602824">
        <w:rPr>
          <w:i/>
          <w:iCs/>
          <w:lang w:eastAsia="en-AU"/>
        </w:rPr>
        <w:t>Liste des Produits et Pres</w:t>
      </w:r>
      <w:r w:rsidR="00043178" w:rsidRPr="00602824">
        <w:rPr>
          <w:i/>
          <w:iCs/>
          <w:lang w:eastAsia="en-AU"/>
        </w:rPr>
        <w:t>tation (LPP)</w:t>
      </w:r>
      <w:r w:rsidR="00CD2E00" w:rsidRPr="00602824">
        <w:rPr>
          <w:i/>
          <w:iCs/>
          <w:lang w:eastAsia="en-AU"/>
        </w:rPr>
        <w:t xml:space="preserve"> </w:t>
      </w:r>
      <w:r w:rsidR="00CD2E00" w:rsidRPr="00602824">
        <w:rPr>
          <w:lang w:eastAsia="en-AU"/>
        </w:rPr>
        <w:t xml:space="preserve">remains substantial in </w:t>
      </w:r>
      <w:r w:rsidR="00F341BC" w:rsidRPr="00602824">
        <w:rPr>
          <w:lang w:eastAsia="en-AU"/>
        </w:rPr>
        <w:t>others</w:t>
      </w:r>
      <w:r w:rsidR="00A56CA7" w:rsidRPr="00602824">
        <w:rPr>
          <w:lang w:eastAsia="en-AU"/>
        </w:rPr>
        <w:t>:</w:t>
      </w:r>
    </w:p>
    <w:p w14:paraId="68ECD4D7" w14:textId="3F8FD875" w:rsidR="00CB23E3" w:rsidRPr="00602824" w:rsidRDefault="00CB23E3" w:rsidP="00CB23E3">
      <w:pPr>
        <w:pStyle w:val="Bullet"/>
      </w:pPr>
      <w:r w:rsidRPr="00602824">
        <w:t>A case study of knee implants (12.08.01 PL benefit group</w:t>
      </w:r>
      <w:r w:rsidR="00E97194" w:rsidRPr="00602824">
        <w:t xml:space="preserve">, see </w:t>
      </w:r>
      <w:r w:rsidR="00E97194" w:rsidRPr="00602824">
        <w:fldChar w:fldCharType="begin"/>
      </w:r>
      <w:r w:rsidR="00E97194" w:rsidRPr="00602824">
        <w:instrText xml:space="preserve"> REF _Ref199754519 \h </w:instrText>
      </w:r>
      <w:r w:rsidR="00E97194" w:rsidRPr="00602824">
        <w:fldChar w:fldCharType="separate"/>
      </w:r>
      <w:r w:rsidR="00D30634" w:rsidRPr="004A357C">
        <w:t xml:space="preserve">Figure </w:t>
      </w:r>
      <w:r w:rsidR="00D30634">
        <w:rPr>
          <w:noProof/>
        </w:rPr>
        <w:t>31</w:t>
      </w:r>
      <w:r w:rsidR="00E97194" w:rsidRPr="00602824">
        <w:fldChar w:fldCharType="end"/>
      </w:r>
      <w:r w:rsidRPr="00602824">
        <w:t xml:space="preserve">) shows a </w:t>
      </w:r>
      <w:r w:rsidR="0090359F" w:rsidRPr="00602824">
        <w:t>noteworthy</w:t>
      </w:r>
      <w:r w:rsidRPr="00602824">
        <w:t xml:space="preserve"> improvement</w:t>
      </w:r>
      <w:r w:rsidR="0090359F" w:rsidRPr="00602824">
        <w:t xml:space="preserve"> in alignment</w:t>
      </w:r>
      <w:r w:rsidRPr="00602824">
        <w:t>. The gap between the French and Australian benefits decreased from $321 (a 158% difference) in 2021 to $1</w:t>
      </w:r>
      <w:r w:rsidR="001746F6" w:rsidRPr="00602824">
        <w:t>34</w:t>
      </w:r>
      <w:r w:rsidRPr="00602824">
        <w:t xml:space="preserve"> (</w:t>
      </w:r>
      <w:r w:rsidR="001746F6" w:rsidRPr="00602824">
        <w:t>66</w:t>
      </w:r>
      <w:r w:rsidRPr="00602824">
        <w:t>%) in 2023.</w:t>
      </w:r>
      <w:r w:rsidR="00530037" w:rsidRPr="00602824">
        <w:rPr>
          <w:rStyle w:val="FootnoteReference"/>
        </w:rPr>
        <w:footnoteReference w:id="22"/>
      </w:r>
    </w:p>
    <w:p w14:paraId="11F15210" w14:textId="52F81B64" w:rsidR="00CB23E3" w:rsidRPr="00602824" w:rsidRDefault="00CB23E3" w:rsidP="00CB23E3">
      <w:pPr>
        <w:pStyle w:val="Bullet"/>
      </w:pPr>
      <w:r w:rsidRPr="00602824">
        <w:t>In contrast, a case study of spinal fusion cages (13.10.01.02 PL benefit group</w:t>
      </w:r>
      <w:r w:rsidR="00E97194" w:rsidRPr="00602824">
        <w:t xml:space="preserve">, see </w:t>
      </w:r>
      <w:r w:rsidR="00E97194" w:rsidRPr="00602824">
        <w:fldChar w:fldCharType="begin"/>
      </w:r>
      <w:r w:rsidR="00E97194" w:rsidRPr="00602824">
        <w:instrText xml:space="preserve"> REF _Ref199754522 \h </w:instrText>
      </w:r>
      <w:r w:rsidR="00E97194" w:rsidRPr="00602824">
        <w:fldChar w:fldCharType="separate"/>
      </w:r>
      <w:r w:rsidR="00D30634" w:rsidRPr="004A357C">
        <w:t xml:space="preserve">Figure </w:t>
      </w:r>
      <w:r w:rsidR="00D30634">
        <w:rPr>
          <w:noProof/>
        </w:rPr>
        <w:t>33</w:t>
      </w:r>
      <w:r w:rsidR="00E97194" w:rsidRPr="00602824">
        <w:fldChar w:fldCharType="end"/>
      </w:r>
      <w:r w:rsidRPr="00602824">
        <w:t xml:space="preserve">) shows limited change. The PL benefit remains </w:t>
      </w:r>
      <w:r w:rsidR="009C4BE1" w:rsidRPr="00602824">
        <w:t>approximately</w:t>
      </w:r>
      <w:r w:rsidRPr="00602824">
        <w:t xml:space="preserve"> </w:t>
      </w:r>
      <w:r w:rsidRPr="00602824">
        <w:rPr>
          <w:rFonts w:asciiTheme="majorHAnsi" w:hAnsiTheme="majorHAnsi" w:cstheme="majorHAnsi"/>
        </w:rPr>
        <w:t>six times higher</w:t>
      </w:r>
      <w:r w:rsidRPr="00602824">
        <w:t xml:space="preserve"> than the French LPP price</w:t>
      </w:r>
      <w:r w:rsidR="00451147" w:rsidRPr="00602824">
        <w:t xml:space="preserve"> </w:t>
      </w:r>
      <w:r w:rsidR="000D00FE" w:rsidRPr="00602824">
        <w:t>at the end of reform period</w:t>
      </w:r>
      <w:r w:rsidRPr="00602824">
        <w:t>.</w:t>
      </w:r>
      <w:r w:rsidR="002B0388" w:rsidRPr="00602824">
        <w:rPr>
          <w:rStyle w:val="FootnoteReference"/>
        </w:rPr>
        <w:footnoteReference w:id="23"/>
      </w:r>
    </w:p>
    <w:p w14:paraId="6A4B1B5F" w14:textId="4778AE28" w:rsidR="00FE6883" w:rsidRPr="00602824" w:rsidRDefault="00CB474B" w:rsidP="00FB712C">
      <w:pPr>
        <w:spacing w:after="240"/>
      </w:pPr>
      <w:r w:rsidRPr="00602824">
        <w:t>As the reforms</w:t>
      </w:r>
      <w:r w:rsidR="000854A8" w:rsidRPr="00602824">
        <w:t xml:space="preserve"> were</w:t>
      </w:r>
      <w:r w:rsidRPr="00602824">
        <w:t xml:space="preserve"> based </w:t>
      </w:r>
      <w:r w:rsidR="000854A8" w:rsidRPr="00602824">
        <w:t xml:space="preserve">on </w:t>
      </w:r>
      <w:r w:rsidRPr="00602824">
        <w:t>benefit reductions on public sector pricing, improved alignment with those benchmarks was expected.</w:t>
      </w:r>
      <w:r w:rsidR="00B53A19" w:rsidRPr="00602824">
        <w:rPr>
          <w:rStyle w:val="FootnoteReference"/>
        </w:rPr>
        <w:footnoteReference w:id="24"/>
      </w:r>
      <w:r w:rsidRPr="00602824">
        <w:t xml:space="preserve"> However, </w:t>
      </w:r>
      <w:r w:rsidR="00766EFA" w:rsidRPr="00602824">
        <w:t xml:space="preserve">while </w:t>
      </w:r>
      <w:r w:rsidR="007565D2" w:rsidRPr="00602824">
        <w:t xml:space="preserve">market conditions vary </w:t>
      </w:r>
      <w:r w:rsidR="00C10FC8" w:rsidRPr="00602824">
        <w:t>between countries</w:t>
      </w:r>
      <w:r w:rsidR="00FD1F7A" w:rsidRPr="00602824">
        <w:t>,</w:t>
      </w:r>
      <w:r w:rsidR="0006348B" w:rsidRPr="00602824">
        <w:t xml:space="preserve"> </w:t>
      </w:r>
      <w:r w:rsidRPr="00602824">
        <w:t>the limited international comparisons available suggest that Australian prices – in both the public and private sectors – remain among the highest globally.</w:t>
      </w:r>
      <w:r w:rsidR="00A633F2" w:rsidRPr="00602824">
        <w:t xml:space="preserve"> While there are many factors that </w:t>
      </w:r>
      <w:r w:rsidR="00771324" w:rsidRPr="00602824">
        <w:t xml:space="preserve">cloud a </w:t>
      </w:r>
      <w:r w:rsidR="00D17E39" w:rsidRPr="00602824">
        <w:t>comparative assessment</w:t>
      </w:r>
      <w:r w:rsidR="0069022E" w:rsidRPr="00602824">
        <w:t xml:space="preserve"> (as outlined in Appendix F of the </w:t>
      </w:r>
      <w:r w:rsidR="006A4143" w:rsidRPr="00602824">
        <w:rPr>
          <w:i/>
          <w:iCs/>
        </w:rPr>
        <w:t xml:space="preserve">Baseline </w:t>
      </w:r>
      <w:r w:rsidR="0008715E" w:rsidRPr="00602824">
        <w:rPr>
          <w:i/>
          <w:iCs/>
        </w:rPr>
        <w:t>e</w:t>
      </w:r>
      <w:r w:rsidR="006A4143" w:rsidRPr="00602824">
        <w:rPr>
          <w:i/>
          <w:iCs/>
        </w:rPr>
        <w:t>valuation of the P</w:t>
      </w:r>
      <w:r w:rsidR="00574834" w:rsidRPr="00602824">
        <w:rPr>
          <w:i/>
          <w:iCs/>
        </w:rPr>
        <w:t>rostheses List</w:t>
      </w:r>
      <w:r w:rsidR="0008715E" w:rsidRPr="00602824">
        <w:rPr>
          <w:i/>
          <w:iCs/>
        </w:rPr>
        <w:t xml:space="preserve"> </w:t>
      </w:r>
      <w:r w:rsidR="004004C5" w:rsidRPr="00602824">
        <w:rPr>
          <w:i/>
          <w:iCs/>
        </w:rPr>
        <w:t>R</w:t>
      </w:r>
      <w:r w:rsidR="0008715E" w:rsidRPr="00602824">
        <w:rPr>
          <w:i/>
          <w:iCs/>
        </w:rPr>
        <w:t>eforms</w:t>
      </w:r>
      <w:r w:rsidR="006A4143" w:rsidRPr="00602824">
        <w:rPr>
          <w:i/>
          <w:iCs/>
        </w:rPr>
        <w:t xml:space="preserve"> report</w:t>
      </w:r>
      <w:r w:rsidR="00312BC8" w:rsidRPr="00602824">
        <w:rPr>
          <w:rStyle w:val="FootnoteReference"/>
          <w:i/>
          <w:iCs/>
        </w:rPr>
        <w:footnoteReference w:id="25"/>
      </w:r>
      <w:r w:rsidR="008C101C" w:rsidRPr="00602824">
        <w:rPr>
          <w:i/>
          <w:iCs/>
        </w:rPr>
        <w:t>)</w:t>
      </w:r>
      <w:r w:rsidR="00D17E39" w:rsidRPr="00602824">
        <w:t xml:space="preserve">, further work could be undertaken to understand the differences and highlight where reductions </w:t>
      </w:r>
      <w:r w:rsidR="001A2267" w:rsidRPr="00602824">
        <w:t>could be achieved.</w:t>
      </w:r>
    </w:p>
    <w:tbl>
      <w:tblPr>
        <w:tblStyle w:val="NousLongformcallout"/>
        <w:tblW w:w="4950" w:type="pct"/>
        <w:tblCellMar>
          <w:top w:w="170" w:type="dxa"/>
          <w:bottom w:w="170" w:type="dxa"/>
        </w:tblCellMar>
        <w:tblLook w:val="04A0" w:firstRow="1" w:lastRow="0" w:firstColumn="1" w:lastColumn="0" w:noHBand="0" w:noVBand="1"/>
      </w:tblPr>
      <w:tblGrid>
        <w:gridCol w:w="8958"/>
      </w:tblGrid>
      <w:tr w:rsidR="008A13AD" w:rsidRPr="00602824" w14:paraId="759CEB57" w14:textId="77777777" w:rsidTr="00FB712C">
        <w:trPr>
          <w:trHeight w:val="2731"/>
        </w:trPr>
        <w:tc>
          <w:tcPr>
            <w:tcW w:w="8958" w:type="dxa"/>
            <w:tcBorders>
              <w:left w:val="single" w:sz="18" w:space="0" w:color="2E368F" w:themeColor="text2"/>
            </w:tcBorders>
            <w:shd w:val="clear" w:color="auto" w:fill="F2F2F2" w:themeFill="background1" w:themeFillShade="F2"/>
          </w:tcPr>
          <w:p w14:paraId="0365CD4A" w14:textId="77777777" w:rsidR="00172DF4" w:rsidRPr="00602824" w:rsidRDefault="008A13AD" w:rsidP="00FB712C">
            <w:pPr>
              <w:pStyle w:val="Longformcallout"/>
              <w:spacing w:before="0" w:after="120"/>
              <w:rPr>
                <w:rFonts w:asciiTheme="majorHAnsi" w:hAnsiTheme="majorHAnsi" w:cstheme="majorHAnsi"/>
                <w:color w:val="2E368F" w:themeColor="text2"/>
              </w:rPr>
            </w:pPr>
            <w:r w:rsidRPr="00602824">
              <w:rPr>
                <w:rFonts w:asciiTheme="majorHAnsi" w:hAnsiTheme="majorHAnsi" w:cstheme="majorHAnsi"/>
                <w:color w:val="2E368F" w:themeColor="text2"/>
              </w:rPr>
              <w:t>RECOMMENDATION 1</w:t>
            </w:r>
          </w:p>
          <w:p w14:paraId="2AE67039" w14:textId="7AFE2887" w:rsidR="00543703" w:rsidRPr="00602824" w:rsidRDefault="00543703" w:rsidP="00FB712C">
            <w:pPr>
              <w:pStyle w:val="Longformcallout"/>
              <w:spacing w:before="0" w:after="120"/>
              <w:rPr>
                <w:rFonts w:asciiTheme="majorHAnsi" w:hAnsiTheme="majorHAnsi" w:cstheme="majorHAnsi"/>
              </w:rPr>
            </w:pPr>
            <w:r w:rsidRPr="00602824">
              <w:rPr>
                <w:rFonts w:asciiTheme="majorHAnsi" w:hAnsiTheme="majorHAnsi" w:cstheme="majorHAnsi"/>
              </w:rPr>
              <w:t>Review the potential role of international benchmarking in benefit setting and future reforms</w:t>
            </w:r>
          </w:p>
          <w:p w14:paraId="3EBD0CB2" w14:textId="0AE09DC0" w:rsidR="008A13AD" w:rsidRPr="00602824" w:rsidRDefault="00543703" w:rsidP="00FB712C">
            <w:pPr>
              <w:pStyle w:val="Longformcallout"/>
              <w:spacing w:before="0" w:after="120"/>
            </w:pPr>
            <w:r w:rsidRPr="00602824">
              <w:t xml:space="preserve">While PL benefits are now better aligned with public sector prices, there is limited transparency around how they compare with international markets. A methodology could be developed to establish international benchmarks that include an appropriate Australian market premium – </w:t>
            </w:r>
            <w:proofErr w:type="gramStart"/>
            <w:r w:rsidRPr="00602824">
              <w:t>similar to</w:t>
            </w:r>
            <w:proofErr w:type="gramEnd"/>
            <w:r w:rsidRPr="00602824">
              <w:t xml:space="preserve"> how the 7% price floor was applied above public sector benchmarks during the reforms. This methodology could be applied to develop and update a comprehensive reference list</w:t>
            </w:r>
            <w:r w:rsidR="00AE3EBA" w:rsidRPr="00602824">
              <w:t xml:space="preserve"> that could</w:t>
            </w:r>
            <w:r w:rsidRPr="00602824">
              <w:t xml:space="preserve"> be used to review a subset of products (e.g. high-cost devices) or used on an ad hoc basis. If established, these international benchmarks could provide a useful additional input into PL application assessments, post-listing reviews and future reform decisions</w:t>
            </w:r>
            <w:r w:rsidR="008A13AD" w:rsidRPr="00602824">
              <w:t>.</w:t>
            </w:r>
          </w:p>
        </w:tc>
      </w:tr>
    </w:tbl>
    <w:p w14:paraId="0009C790" w14:textId="1626AF3A" w:rsidR="00A83D7F" w:rsidRPr="00602824" w:rsidRDefault="00A83D7F" w:rsidP="00127A68">
      <w:pPr>
        <w:keepNext/>
        <w:numPr>
          <w:ilvl w:val="2"/>
          <w:numId w:val="7"/>
        </w:numPr>
        <w:tabs>
          <w:tab w:val="num" w:pos="360"/>
        </w:tabs>
        <w:spacing w:before="360" w:line="259" w:lineRule="auto"/>
        <w:outlineLvl w:val="2"/>
        <w:rPr>
          <w:rFonts w:ascii="Segoe UI Semibold" w:eastAsia="Times New Roman" w:hAnsi="Segoe UI Semibold" w:cs="Times New Roman"/>
          <w:color w:val="00264D"/>
          <w:sz w:val="26"/>
          <w:szCs w:val="19"/>
          <w:lang w:eastAsia="en-AU"/>
        </w:rPr>
      </w:pPr>
      <w:r w:rsidRPr="00602824">
        <w:rPr>
          <w:rFonts w:ascii="Segoe UI Semibold" w:eastAsia="Times New Roman" w:hAnsi="Segoe UI Semibold" w:cs="Times New Roman"/>
          <w:color w:val="00264D"/>
          <w:sz w:val="26"/>
          <w:szCs w:val="19"/>
          <w:lang w:eastAsia="en-AU"/>
        </w:rPr>
        <w:t>Stakeholders have expressed varied perspectives on the reductions</w:t>
      </w:r>
    </w:p>
    <w:p w14:paraId="3914D881" w14:textId="178F39F6" w:rsidR="009036ED" w:rsidRPr="00602824" w:rsidRDefault="00D02C6D" w:rsidP="00B16AC6">
      <w:r w:rsidRPr="00602824">
        <w:t>Consumers have limited visibility over the PL and benefit reductions, as these transactions occur at arm’s length from them. Their primary concerns relate to the cost of private health insurance and the safety and quality of medical devices. Consumer representatives expressed broad support for the PL mechanism – which they believe contributes to these objectives – as well as for the overall reform process.</w:t>
      </w:r>
    </w:p>
    <w:p w14:paraId="480D5077" w14:textId="77777777" w:rsidR="003306B1" w:rsidRDefault="003306B1" w:rsidP="00BA1883"/>
    <w:p w14:paraId="6DE27F6C" w14:textId="29DFD2BB" w:rsidR="00B12F03" w:rsidRPr="00602824" w:rsidRDefault="000665B4" w:rsidP="00BA1883">
      <w:r w:rsidRPr="00602824">
        <w:lastRenderedPageBreak/>
        <w:t xml:space="preserve">Among private sector stakeholders, the reforms are largely seen as contested. </w:t>
      </w:r>
      <w:r w:rsidR="007A221A" w:rsidRPr="00602824">
        <w:t xml:space="preserve">Private hospitals </w:t>
      </w:r>
      <w:r w:rsidRPr="00602824">
        <w:t xml:space="preserve">raised concerns </w:t>
      </w:r>
      <w:r w:rsidR="007A221A" w:rsidRPr="00602824">
        <w:t xml:space="preserve">that </w:t>
      </w:r>
      <w:r w:rsidRPr="00602824">
        <w:t>benefit</w:t>
      </w:r>
      <w:r w:rsidR="007A221A" w:rsidRPr="00602824">
        <w:t xml:space="preserve"> reductions have shifted financial pressure onto hospitals, potentially </w:t>
      </w:r>
      <w:r w:rsidRPr="00602824">
        <w:t>compromising</w:t>
      </w:r>
      <w:r w:rsidR="007A221A" w:rsidRPr="00602824">
        <w:t xml:space="preserve"> care quality and limiting access to advanced devices. </w:t>
      </w:r>
      <w:r w:rsidR="2E51CA99">
        <w:t>Some private hospital representatives</w:t>
      </w:r>
      <w:r w:rsidR="007A221A" w:rsidRPr="00602824">
        <w:t xml:space="preserve"> </w:t>
      </w:r>
      <w:r w:rsidR="00C65015">
        <w:t>were of the view</w:t>
      </w:r>
      <w:r w:rsidR="00C65015" w:rsidRPr="00602824">
        <w:t xml:space="preserve"> </w:t>
      </w:r>
      <w:r w:rsidR="007A221A" w:rsidRPr="00602824">
        <w:t xml:space="preserve">that the 7% margin above public benchmarks is </w:t>
      </w:r>
      <w:r w:rsidRPr="00602824">
        <w:t xml:space="preserve">insufficient to </w:t>
      </w:r>
      <w:r w:rsidR="007A221A" w:rsidRPr="00602824">
        <w:t>cover private sector costs</w:t>
      </w:r>
      <w:r w:rsidRPr="00602824">
        <w:t xml:space="preserve">. </w:t>
      </w:r>
    </w:p>
    <w:p w14:paraId="085A9A0E" w14:textId="2FFBE73B" w:rsidR="00F96B84" w:rsidRPr="00602824" w:rsidRDefault="007A221A" w:rsidP="00BA1883">
      <w:r w:rsidRPr="00602824">
        <w:t xml:space="preserve">Medical technology representatives acknowledged </w:t>
      </w:r>
      <w:r w:rsidR="000665B4" w:rsidRPr="00602824">
        <w:t>that benefit levels are now better aligned</w:t>
      </w:r>
      <w:r w:rsidRPr="00602824">
        <w:t xml:space="preserve"> with public </w:t>
      </w:r>
      <w:r w:rsidR="000665B4" w:rsidRPr="00602824">
        <w:t>pricing</w:t>
      </w:r>
      <w:r w:rsidRPr="00602824">
        <w:t xml:space="preserve"> but </w:t>
      </w:r>
      <w:r w:rsidR="000665B4" w:rsidRPr="00602824">
        <w:t xml:space="preserve">cautioned </w:t>
      </w:r>
      <w:r w:rsidRPr="00602824">
        <w:t xml:space="preserve">that inflation and the </w:t>
      </w:r>
      <w:r w:rsidR="000665B4" w:rsidRPr="00602824">
        <w:t>lack</w:t>
      </w:r>
      <w:r w:rsidRPr="00602824">
        <w:t xml:space="preserve"> of mechanisms to increase benefits </w:t>
      </w:r>
      <w:r w:rsidR="000665B4" w:rsidRPr="00602824">
        <w:t>may undermine</w:t>
      </w:r>
      <w:r w:rsidRPr="00602824">
        <w:t xml:space="preserve"> innovation and </w:t>
      </w:r>
      <w:r w:rsidR="000665B4" w:rsidRPr="00602824">
        <w:t xml:space="preserve">limit </w:t>
      </w:r>
      <w:r w:rsidRPr="00602824">
        <w:t>patient access.</w:t>
      </w:r>
      <w:r w:rsidR="000665B4" w:rsidRPr="00602824">
        <w:t xml:space="preserve"> </w:t>
      </w:r>
    </w:p>
    <w:p w14:paraId="1AA89772" w14:textId="293D7A7D" w:rsidR="00213D5B" w:rsidRPr="00602824" w:rsidRDefault="003D2B50" w:rsidP="00BA1883">
      <w:r w:rsidRPr="00602824">
        <w:t xml:space="preserve">Private health insurers </w:t>
      </w:r>
      <w:r>
        <w:t xml:space="preserve">argued that the savings from modest reductions in per-episode costs </w:t>
      </w:r>
      <w:r w:rsidR="007A221A" w:rsidRPr="00602824">
        <w:t xml:space="preserve">are insufficient to reduce premiums and raised concerns about </w:t>
      </w:r>
      <w:r w:rsidR="00CD5140" w:rsidRPr="00602824">
        <w:t xml:space="preserve">what they </w:t>
      </w:r>
      <w:r w:rsidR="000665B4" w:rsidRPr="00602824">
        <w:t>see</w:t>
      </w:r>
      <w:r w:rsidR="000C6CD1" w:rsidRPr="00602824">
        <w:t xml:space="preserve"> as </w:t>
      </w:r>
      <w:r w:rsidR="007A221A" w:rsidRPr="00602824">
        <w:t>ongoing gaming</w:t>
      </w:r>
      <w:r w:rsidR="000665B4" w:rsidRPr="00602824">
        <w:t xml:space="preserve"> of the system.</w:t>
      </w:r>
      <w:r w:rsidR="007A221A" w:rsidRPr="00602824">
        <w:t xml:space="preserve"> They also criticised the use of public sector averages, claiming </w:t>
      </w:r>
      <w:r w:rsidR="000665B4" w:rsidRPr="00602824">
        <w:t>this approach preserves</w:t>
      </w:r>
      <w:r w:rsidR="007A221A" w:rsidRPr="00602824">
        <w:t xml:space="preserve"> ‘supra-economic’ profits for some sponsors and </w:t>
      </w:r>
      <w:r w:rsidR="000665B4" w:rsidRPr="00602824">
        <w:t xml:space="preserve">fails to </w:t>
      </w:r>
      <w:r w:rsidR="007A221A" w:rsidRPr="00602824">
        <w:t>deter high-volume listings.</w:t>
      </w:r>
    </w:p>
    <w:p w14:paraId="3DB74AF9" w14:textId="3DA19F06" w:rsidR="007A221A" w:rsidRPr="00602824" w:rsidRDefault="003D75FA" w:rsidP="00BA1883">
      <w:r w:rsidRPr="00602824">
        <w:t>C</w:t>
      </w:r>
      <w:r w:rsidR="007A221A" w:rsidRPr="00602824">
        <w:t xml:space="preserve">linicians </w:t>
      </w:r>
      <w:r w:rsidR="000665B4" w:rsidRPr="00602824">
        <w:t>were broadly supportive of</w:t>
      </w:r>
      <w:r w:rsidR="007A221A" w:rsidRPr="00602824">
        <w:t xml:space="preserve"> the 7% </w:t>
      </w:r>
      <w:r w:rsidR="00670B50" w:rsidRPr="00602824">
        <w:t>price floor</w:t>
      </w:r>
      <w:r w:rsidR="007A221A" w:rsidRPr="00602824">
        <w:t xml:space="preserve"> and </w:t>
      </w:r>
      <w:r w:rsidR="000665B4" w:rsidRPr="00602824">
        <w:t xml:space="preserve">the use of </w:t>
      </w:r>
      <w:r w:rsidR="007A221A" w:rsidRPr="00602824">
        <w:t xml:space="preserve">public benchmarking but </w:t>
      </w:r>
      <w:r w:rsidR="000665B4" w:rsidRPr="00602824">
        <w:t>stressed the importance of preserving</w:t>
      </w:r>
      <w:r w:rsidR="007A221A" w:rsidRPr="00602824">
        <w:t xml:space="preserve"> clinician choice. They </w:t>
      </w:r>
      <w:r w:rsidR="000665B4" w:rsidRPr="00602824">
        <w:t>warned</w:t>
      </w:r>
      <w:r w:rsidR="007A221A" w:rsidRPr="00602824">
        <w:t xml:space="preserve"> against restricting access to </w:t>
      </w:r>
      <w:r w:rsidR="000665B4" w:rsidRPr="00602824">
        <w:t>devices as a means of reducing</w:t>
      </w:r>
      <w:r w:rsidR="007A221A" w:rsidRPr="00602824">
        <w:t xml:space="preserve"> prices, </w:t>
      </w:r>
      <w:r w:rsidR="000665B4" w:rsidRPr="00602824">
        <w:t>drawing comparisons to more limited choice</w:t>
      </w:r>
      <w:r w:rsidR="007A221A" w:rsidRPr="00602824">
        <w:t xml:space="preserve"> in public systems.</w:t>
      </w:r>
    </w:p>
    <w:p w14:paraId="1291A01A" w14:textId="30AF33F8" w:rsidR="007A221A" w:rsidRPr="00602824" w:rsidRDefault="00722634" w:rsidP="00761FAD">
      <w:r w:rsidRPr="00602824">
        <w:t xml:space="preserve">These perspectives are presented in </w:t>
      </w:r>
      <w:r w:rsidR="00466F19" w:rsidRPr="00602824">
        <w:fldChar w:fldCharType="begin"/>
      </w:r>
      <w:r w:rsidR="00466F19" w:rsidRPr="00602824">
        <w:instrText xml:space="preserve"> REF _Ref202920074 \h </w:instrText>
      </w:r>
      <w:r w:rsidR="00466F19" w:rsidRPr="00602824">
        <w:fldChar w:fldCharType="separate"/>
      </w:r>
      <w:r w:rsidR="00D30634" w:rsidRPr="00602824">
        <w:t xml:space="preserve">Table </w:t>
      </w:r>
      <w:r w:rsidR="00D30634">
        <w:rPr>
          <w:noProof/>
        </w:rPr>
        <w:t>3</w:t>
      </w:r>
      <w:r w:rsidR="00466F19" w:rsidRPr="00602824">
        <w:fldChar w:fldCharType="end"/>
      </w:r>
      <w:r w:rsidRPr="00602824">
        <w:t xml:space="preserve"> below.</w:t>
      </w:r>
    </w:p>
    <w:p w14:paraId="2F5E3A7E" w14:textId="25232EA4" w:rsidR="003A364D" w:rsidRPr="00602824" w:rsidRDefault="003A364D" w:rsidP="00B50EE7">
      <w:pPr>
        <w:pStyle w:val="Caption"/>
      </w:pPr>
      <w:bookmarkStart w:id="25" w:name="_Ref202920074"/>
      <w:r w:rsidRPr="00602824">
        <w:t xml:space="preserve">Table </w:t>
      </w:r>
      <w:r w:rsidR="002604D0">
        <w:fldChar w:fldCharType="begin"/>
      </w:r>
      <w:r w:rsidR="002604D0">
        <w:instrText xml:space="preserve"> SEQ Table \* ARABIC </w:instrText>
      </w:r>
      <w:r w:rsidR="002604D0">
        <w:fldChar w:fldCharType="separate"/>
      </w:r>
      <w:r w:rsidR="00D30634">
        <w:rPr>
          <w:noProof/>
        </w:rPr>
        <w:t>3</w:t>
      </w:r>
      <w:r w:rsidR="002604D0">
        <w:fldChar w:fldCharType="end"/>
      </w:r>
      <w:bookmarkEnd w:id="25"/>
      <w:r w:rsidRPr="00602824">
        <w:t xml:space="preserve"> | Stakeholder perspectives on improving benefit alignment with comparable markets</w:t>
      </w:r>
      <w:r w:rsidR="00620FEA" w:rsidRPr="00602824">
        <w:rPr>
          <w:rStyle w:val="FootnoteReference"/>
        </w:rPr>
        <w:footnoteReference w:id="26"/>
      </w:r>
    </w:p>
    <w:tbl>
      <w:tblPr>
        <w:tblStyle w:val="NOUS1"/>
        <w:tblW w:w="0" w:type="auto"/>
        <w:tblLook w:val="04A0" w:firstRow="1" w:lastRow="0" w:firstColumn="1" w:lastColumn="0" w:noHBand="0" w:noVBand="1"/>
      </w:tblPr>
      <w:tblGrid>
        <w:gridCol w:w="2253"/>
        <w:gridCol w:w="6818"/>
      </w:tblGrid>
      <w:tr w:rsidR="00AF1C68" w:rsidRPr="00602824" w14:paraId="7F0D447C" w14:textId="77777777" w:rsidTr="00AF1C68">
        <w:trPr>
          <w:cnfStyle w:val="100000000000" w:firstRow="1" w:lastRow="0" w:firstColumn="0" w:lastColumn="0" w:oddVBand="0" w:evenVBand="0" w:oddHBand="0" w:evenHBand="0" w:firstRowFirstColumn="0" w:firstRowLastColumn="0" w:lastRowFirstColumn="0" w:lastRowLastColumn="0"/>
        </w:trPr>
        <w:tc>
          <w:tcPr>
            <w:tcW w:w="2268" w:type="dxa"/>
          </w:tcPr>
          <w:p w14:paraId="4CF6B1F7" w14:textId="77777777" w:rsidR="003A364D" w:rsidRPr="00602824" w:rsidRDefault="003A364D" w:rsidP="00FB712C">
            <w:pPr>
              <w:pStyle w:val="TableNheader"/>
              <w:keepNext w:val="0"/>
              <w:spacing w:before="60" w:after="60" w:line="240" w:lineRule="auto"/>
              <w:jc w:val="center"/>
            </w:pPr>
            <w:r w:rsidRPr="00602824">
              <w:t>Stakeholder group</w:t>
            </w:r>
          </w:p>
        </w:tc>
        <w:tc>
          <w:tcPr>
            <w:tcW w:w="6917" w:type="dxa"/>
          </w:tcPr>
          <w:p w14:paraId="2F16216E" w14:textId="77777777" w:rsidR="003A364D" w:rsidRPr="00602824" w:rsidRDefault="003A364D" w:rsidP="00FB712C">
            <w:pPr>
              <w:pStyle w:val="TableNheader"/>
              <w:keepNext w:val="0"/>
              <w:spacing w:before="60" w:after="60" w:line="240" w:lineRule="auto"/>
            </w:pPr>
            <w:r w:rsidRPr="00602824">
              <w:t>Perspectives on reform project</w:t>
            </w:r>
          </w:p>
        </w:tc>
      </w:tr>
      <w:tr w:rsidR="003A364D" w:rsidRPr="00602824" w14:paraId="0A94CADC" w14:textId="77777777" w:rsidTr="00AF1C68">
        <w:tc>
          <w:tcPr>
            <w:tcW w:w="2268" w:type="dxa"/>
            <w:shd w:val="clear" w:color="auto" w:fill="00264D" w:themeFill="background2"/>
          </w:tcPr>
          <w:p w14:paraId="3B094CD9" w14:textId="77777777" w:rsidR="003A364D" w:rsidRPr="00602824" w:rsidRDefault="003A364D" w:rsidP="00FB712C">
            <w:pPr>
              <w:pStyle w:val="TableNheader"/>
              <w:keepNext w:val="0"/>
              <w:spacing w:before="60" w:after="60" w:line="240" w:lineRule="auto"/>
              <w:jc w:val="center"/>
              <w:rPr>
                <w:color w:val="FFFFFF" w:themeColor="background1"/>
              </w:rPr>
            </w:pPr>
            <w:r w:rsidRPr="00602824">
              <w:rPr>
                <w:color w:val="FFFFFF" w:themeColor="background1"/>
              </w:rPr>
              <w:t>Private hospital sector</w:t>
            </w:r>
          </w:p>
          <w:p w14:paraId="1F2A0AC0" w14:textId="29EA67CC" w:rsidR="003A364D" w:rsidRPr="00602824" w:rsidRDefault="003A364D"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211A8B32" wp14:editId="125ABD88">
                      <wp:extent cx="320633" cy="314696"/>
                      <wp:effectExtent l="0" t="0" r="3810" b="9525"/>
                      <wp:docPr id="1589158907" name="Freeform: Shape 1589158907"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589158907"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669F8E0E">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2AEB1DA0" w14:textId="77777777" w:rsidR="003A364D" w:rsidRPr="00602824" w:rsidRDefault="003A364D" w:rsidP="003306B1">
            <w:pPr>
              <w:pStyle w:val="TableNBullet"/>
              <w:spacing w:before="60" w:after="60"/>
            </w:pPr>
            <w:r w:rsidRPr="00602824">
              <w:t>The phased reductions reflect a clear fiscal objective, but stakeholders are concerned that their pace and depth may affect access to essential devices, particularly in complex care.</w:t>
            </w:r>
          </w:p>
          <w:p w14:paraId="18DC4D9B" w14:textId="77777777" w:rsidR="003A364D" w:rsidRPr="00602824" w:rsidRDefault="003A364D" w:rsidP="003306B1">
            <w:pPr>
              <w:pStyle w:val="TableNBullet"/>
              <w:spacing w:before="60" w:after="60"/>
            </w:pPr>
            <w:r w:rsidRPr="00602824">
              <w:t>Reductions have increased financial pressure on private hospitals and made listing new devices more burdensome. Some advanced devices may now be more accessible in the public sector, potentially reducing consumer choice in the private system.</w:t>
            </w:r>
          </w:p>
          <w:p w14:paraId="5699FBEA" w14:textId="77777777" w:rsidR="003A364D" w:rsidRPr="00602824" w:rsidRDefault="003A364D" w:rsidP="003306B1">
            <w:pPr>
              <w:pStyle w:val="TableNBullet"/>
              <w:spacing w:before="60" w:after="60"/>
            </w:pPr>
            <w:r w:rsidRPr="00602824">
              <w:t>The 7% margin above public benchmarks is seen as insufficient to cover private sector costs, particularly for high-cost devices. This could compromise providers’ ability to offer certain treatments and may impact care standards and innovation.</w:t>
            </w:r>
          </w:p>
          <w:p w14:paraId="6C621A38" w14:textId="77777777" w:rsidR="003A364D" w:rsidRPr="00602824" w:rsidRDefault="003A364D" w:rsidP="003306B1">
            <w:pPr>
              <w:pStyle w:val="TableNBullet"/>
              <w:spacing w:before="60" w:after="60"/>
            </w:pPr>
            <w:r w:rsidRPr="00602824">
              <w:t>Stakeholders also questioned whether projected savings account for provider costs, warning that realising benefits without impacting care quality may be difficult.</w:t>
            </w:r>
          </w:p>
        </w:tc>
      </w:tr>
      <w:tr w:rsidR="003A364D" w:rsidRPr="00602824" w14:paraId="712AE6BA" w14:textId="77777777" w:rsidTr="00AF1C68">
        <w:tc>
          <w:tcPr>
            <w:tcW w:w="2268" w:type="dxa"/>
            <w:shd w:val="clear" w:color="auto" w:fill="00264D" w:themeFill="background2"/>
          </w:tcPr>
          <w:p w14:paraId="09371EC9" w14:textId="77777777" w:rsidR="003A364D" w:rsidRPr="00602824" w:rsidRDefault="003A364D" w:rsidP="00FB712C">
            <w:pPr>
              <w:pStyle w:val="TableNheader"/>
              <w:keepNext w:val="0"/>
              <w:spacing w:before="60" w:after="60" w:line="240" w:lineRule="auto"/>
              <w:jc w:val="center"/>
              <w:rPr>
                <w:color w:val="FFFFFF" w:themeColor="background1"/>
              </w:rPr>
            </w:pPr>
            <w:r w:rsidRPr="00602824">
              <w:rPr>
                <w:color w:val="FFFFFF" w:themeColor="background1"/>
              </w:rPr>
              <w:t>Private health insurance representatives</w:t>
            </w:r>
          </w:p>
          <w:p w14:paraId="23DC5698" w14:textId="77777777" w:rsidR="003A364D" w:rsidRPr="00602824" w:rsidRDefault="003A364D"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3E25BF02" wp14:editId="491D76D5">
                      <wp:extent cx="292311" cy="292311"/>
                      <wp:effectExtent l="0" t="0" r="0" b="0"/>
                      <wp:docPr id="727690727" name="Freeform: Shape 727690727"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727690727"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7041B1E2">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56F2DDA2" w14:textId="77777777" w:rsidR="003A364D" w:rsidRPr="00602824" w:rsidRDefault="003A364D" w:rsidP="003306B1">
            <w:pPr>
              <w:pStyle w:val="TableNBullet"/>
              <w:spacing w:before="60" w:after="60"/>
              <w:rPr>
                <w:i/>
                <w:iCs/>
              </w:rPr>
            </w:pPr>
            <w:r w:rsidRPr="00602824">
              <w:t>Insurers noted that benefit reductions for devices align with the MOU, except in the case of CIEDs.</w:t>
            </w:r>
          </w:p>
          <w:p w14:paraId="3E2D7694" w14:textId="77777777" w:rsidR="003A364D" w:rsidRPr="00602824" w:rsidRDefault="003A364D" w:rsidP="00FB712C">
            <w:pPr>
              <w:pStyle w:val="TableNText"/>
              <w:keepNext w:val="0"/>
              <w:spacing w:before="60" w:after="60" w:line="240" w:lineRule="auto"/>
              <w:rPr>
                <w:i/>
                <w:iCs/>
              </w:rPr>
            </w:pPr>
            <w:r w:rsidRPr="00602824">
              <w:rPr>
                <w:i/>
                <w:iCs/>
              </w:rPr>
              <w:t>Insurer perspectives related to medical device spending and savings are included in Objective 4.</w:t>
            </w:r>
          </w:p>
        </w:tc>
      </w:tr>
      <w:tr w:rsidR="003A364D" w:rsidRPr="00602824" w14:paraId="2E213CE0" w14:textId="77777777" w:rsidTr="00AF1C68">
        <w:tc>
          <w:tcPr>
            <w:tcW w:w="2268" w:type="dxa"/>
            <w:shd w:val="clear" w:color="auto" w:fill="00264D" w:themeFill="background2"/>
          </w:tcPr>
          <w:p w14:paraId="15E25B0B" w14:textId="77777777" w:rsidR="003A364D" w:rsidRPr="00602824" w:rsidRDefault="003A364D" w:rsidP="00FB712C">
            <w:pPr>
              <w:pStyle w:val="TableNheader"/>
              <w:keepNext w:val="0"/>
              <w:spacing w:before="60" w:after="60" w:line="240" w:lineRule="auto"/>
              <w:jc w:val="center"/>
              <w:rPr>
                <w:color w:val="FFFFFF" w:themeColor="background1"/>
              </w:rPr>
            </w:pPr>
            <w:r w:rsidRPr="00602824">
              <w:rPr>
                <w:color w:val="FFFFFF" w:themeColor="background1"/>
              </w:rPr>
              <w:t>Medical technology representatives</w:t>
            </w:r>
          </w:p>
          <w:p w14:paraId="43A1628A" w14:textId="77777777" w:rsidR="003A364D" w:rsidRPr="00602824" w:rsidRDefault="003A364D" w:rsidP="00FB712C">
            <w:pPr>
              <w:pStyle w:val="TableNheader"/>
              <w:keepNext w:val="0"/>
              <w:spacing w:before="60" w:after="60" w:line="240" w:lineRule="auto"/>
              <w:jc w:val="center"/>
              <w:rPr>
                <w:color w:val="FFFFFF" w:themeColor="background1"/>
              </w:rPr>
            </w:pPr>
            <w:r w:rsidRPr="00AC7E3F">
              <w:rPr>
                <w:i/>
                <w:iCs/>
                <w:noProof/>
              </w:rPr>
              <w:drawing>
                <wp:inline distT="0" distB="0" distL="0" distR="0" wp14:anchorId="0A64B1AF" wp14:editId="5401340E">
                  <wp:extent cx="309245" cy="336734"/>
                  <wp:effectExtent l="0" t="0" r="0" b="6350"/>
                  <wp:docPr id="1529185508" name="Graphic 1529185508"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214E27AB" w14:textId="77777777" w:rsidR="003A364D" w:rsidRPr="00602824" w:rsidRDefault="003A364D" w:rsidP="003306B1">
            <w:pPr>
              <w:pStyle w:val="TableNBullet"/>
              <w:spacing w:before="60" w:after="60"/>
            </w:pPr>
            <w:r w:rsidRPr="00602824">
              <w:t>The benefit reductions were consistent with the MOU, and prices are now better aligned with the only relevant comparator – the public market.</w:t>
            </w:r>
          </w:p>
          <w:p w14:paraId="4E54954D" w14:textId="6EADFB9E" w:rsidR="003A364D" w:rsidRPr="00602824" w:rsidRDefault="003A364D" w:rsidP="003306B1">
            <w:pPr>
              <w:pStyle w:val="TableNBullet"/>
              <w:spacing w:before="60" w:after="60"/>
            </w:pPr>
            <w:r w:rsidRPr="00602824">
              <w:t>The scale of reductions was seen as appropriate given the reform goal of narrowing the gap between private and public prices. However, stakeholders noted that public markets often achieve lower prices through guaranteed volume, which is not appropriate in a private market where clinician-led choice is critical. This dynamic was not accounted for in the treatment of general use items.</w:t>
            </w:r>
          </w:p>
          <w:p w14:paraId="1DF07E12" w14:textId="77777777" w:rsidR="003A364D" w:rsidRPr="00602824" w:rsidRDefault="003A364D" w:rsidP="003306B1">
            <w:pPr>
              <w:pStyle w:val="TableNBullet"/>
              <w:spacing w:before="60" w:after="60"/>
            </w:pPr>
            <w:r w:rsidRPr="00602824">
              <w:t>There is currently no meaningful mechanism to allow benefit increases where supply costs have risen significantly – for example, due to freight or input costs. Cost inflation has affected the medical device sector as it has other sectors.</w:t>
            </w:r>
          </w:p>
        </w:tc>
      </w:tr>
      <w:tr w:rsidR="003A364D" w:rsidRPr="00602824" w14:paraId="5C247763" w14:textId="77777777" w:rsidTr="00AF1C68">
        <w:tc>
          <w:tcPr>
            <w:tcW w:w="2268" w:type="dxa"/>
            <w:shd w:val="clear" w:color="auto" w:fill="00264D" w:themeFill="background2"/>
          </w:tcPr>
          <w:p w14:paraId="4C292A07" w14:textId="77777777" w:rsidR="003A364D" w:rsidRPr="00602824" w:rsidRDefault="003A364D" w:rsidP="00FB712C">
            <w:pPr>
              <w:pStyle w:val="TableNheader"/>
              <w:keepNext w:val="0"/>
              <w:spacing w:before="60" w:after="60" w:line="240" w:lineRule="auto"/>
              <w:jc w:val="center"/>
              <w:rPr>
                <w:color w:val="FFFFFF" w:themeColor="background1"/>
              </w:rPr>
            </w:pPr>
            <w:r w:rsidRPr="00602824">
              <w:rPr>
                <w:color w:val="FFFFFF" w:themeColor="background1"/>
              </w:rPr>
              <w:t>Clinician representatives</w:t>
            </w:r>
          </w:p>
          <w:p w14:paraId="0494B54E" w14:textId="77777777" w:rsidR="003A364D" w:rsidRPr="00602824" w:rsidRDefault="003A364D" w:rsidP="00FB712C">
            <w:pPr>
              <w:pStyle w:val="TableNheader"/>
              <w:keepNext w:val="0"/>
              <w:spacing w:before="60" w:after="60" w:line="240" w:lineRule="auto"/>
              <w:jc w:val="center"/>
              <w:rPr>
                <w:color w:val="FFFFFF" w:themeColor="background1"/>
              </w:rPr>
            </w:pPr>
            <w:r w:rsidRPr="00AC7E3F">
              <w:rPr>
                <w:noProof/>
              </w:rPr>
              <w:lastRenderedPageBreak/>
              <w:drawing>
                <wp:inline distT="0" distB="0" distL="0" distR="0" wp14:anchorId="4D36E0BD" wp14:editId="4D58A2D4">
                  <wp:extent cx="267970" cy="323215"/>
                  <wp:effectExtent l="0" t="0" r="0" b="635"/>
                  <wp:docPr id="1441818380"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57FC23FD" w14:textId="77777777" w:rsidR="003A364D" w:rsidRPr="00602824" w:rsidRDefault="003A364D" w:rsidP="003306B1">
            <w:pPr>
              <w:pStyle w:val="TableNBullet"/>
              <w:spacing w:before="60" w:after="60"/>
            </w:pPr>
            <w:r w:rsidRPr="00602824">
              <w:lastRenderedPageBreak/>
              <w:t xml:space="preserve">Clinicians identified </w:t>
            </w:r>
            <w:proofErr w:type="gramStart"/>
            <w:r w:rsidRPr="00602824">
              <w:t>a number of</w:t>
            </w:r>
            <w:proofErr w:type="gramEnd"/>
            <w:r w:rsidRPr="00602824">
              <w:t xml:space="preserve"> issues with public price benchmarking and noted it reasonable for PL pricing to be somewhat higher than public sector pricing. The 7% threshold is broadly supported.</w:t>
            </w:r>
          </w:p>
          <w:p w14:paraId="7EFD72A7" w14:textId="77777777" w:rsidR="003A364D" w:rsidRPr="00602824" w:rsidRDefault="003A364D" w:rsidP="003306B1">
            <w:pPr>
              <w:pStyle w:val="TableNBullet"/>
              <w:spacing w:before="60" w:after="60"/>
            </w:pPr>
            <w:r w:rsidRPr="00602824">
              <w:lastRenderedPageBreak/>
              <w:t>While international markets are of limited relevance to PL pricing, stakeholders are supportive of continued use of public sector benchmarks.</w:t>
            </w:r>
          </w:p>
        </w:tc>
      </w:tr>
    </w:tbl>
    <w:p w14:paraId="743544FC" w14:textId="52EF6E63" w:rsidR="00D260E2" w:rsidRPr="00602824" w:rsidRDefault="00D260E2" w:rsidP="00D260E2">
      <w:pPr>
        <w:keepNext/>
        <w:numPr>
          <w:ilvl w:val="2"/>
          <w:numId w:val="7"/>
        </w:numPr>
        <w:tabs>
          <w:tab w:val="num" w:pos="360"/>
        </w:tabs>
        <w:spacing w:before="360" w:line="259" w:lineRule="auto"/>
        <w:outlineLvl w:val="2"/>
        <w:rPr>
          <w:rFonts w:ascii="Segoe UI Semibold" w:eastAsia="Times New Roman" w:hAnsi="Segoe UI Semibold" w:cs="Times New Roman"/>
          <w:color w:val="00264D"/>
          <w:sz w:val="26"/>
          <w:szCs w:val="19"/>
          <w:lang w:eastAsia="en-AU"/>
        </w:rPr>
      </w:pPr>
      <w:bookmarkStart w:id="26" w:name="_Ref199853536"/>
      <w:bookmarkStart w:id="27" w:name="_Ref202181547"/>
      <w:bookmarkStart w:id="28" w:name="_Ref202377257"/>
      <w:r w:rsidRPr="00602824">
        <w:rPr>
          <w:rFonts w:ascii="Segoe UI Semibold" w:eastAsia="Times New Roman" w:hAnsi="Segoe UI Semibold" w:cs="Times New Roman"/>
          <w:color w:val="00264D"/>
          <w:sz w:val="26"/>
          <w:szCs w:val="19"/>
          <w:lang w:eastAsia="en-AU"/>
        </w:rPr>
        <w:lastRenderedPageBreak/>
        <w:t xml:space="preserve">Cardiac </w:t>
      </w:r>
      <w:r w:rsidR="00403949" w:rsidRPr="00602824">
        <w:rPr>
          <w:rFonts w:ascii="Segoe UI Semibold" w:eastAsia="Times New Roman" w:hAnsi="Segoe UI Semibold" w:cs="Times New Roman"/>
          <w:color w:val="00264D"/>
          <w:sz w:val="26"/>
          <w:szCs w:val="19"/>
          <w:lang w:eastAsia="en-AU"/>
        </w:rPr>
        <w:t xml:space="preserve">implantable electronic </w:t>
      </w:r>
      <w:r w:rsidRPr="00602824">
        <w:rPr>
          <w:rFonts w:ascii="Segoe UI Semibold" w:eastAsia="Times New Roman" w:hAnsi="Segoe UI Semibold" w:cs="Times New Roman"/>
          <w:color w:val="00264D"/>
          <w:sz w:val="26"/>
          <w:szCs w:val="19"/>
          <w:lang w:eastAsia="en-AU"/>
        </w:rPr>
        <w:t>devices proved complex, with only partial reductions achieve</w:t>
      </w:r>
      <w:bookmarkEnd w:id="26"/>
      <w:r w:rsidRPr="00602824">
        <w:rPr>
          <w:rFonts w:ascii="Segoe UI Semibold" w:eastAsia="Times New Roman" w:hAnsi="Segoe UI Semibold" w:cs="Times New Roman"/>
          <w:color w:val="00264D"/>
          <w:sz w:val="26"/>
          <w:szCs w:val="19"/>
          <w:lang w:eastAsia="en-AU"/>
        </w:rPr>
        <w:t>d</w:t>
      </w:r>
      <w:bookmarkEnd w:id="27"/>
      <w:bookmarkEnd w:id="28"/>
    </w:p>
    <w:p w14:paraId="4BEE016D" w14:textId="3FA0574F" w:rsidR="00B8002F" w:rsidRPr="00602824" w:rsidRDefault="00B8002F" w:rsidP="00D260E2">
      <w:r w:rsidRPr="00602824">
        <w:t xml:space="preserve">As </w:t>
      </w:r>
      <w:r w:rsidR="00AD01C8" w:rsidRPr="00602824">
        <w:t>discussed</w:t>
      </w:r>
      <w:r w:rsidRPr="00602824">
        <w:t xml:space="preserve"> in </w:t>
      </w:r>
      <w:r w:rsidR="00E2755B" w:rsidRPr="00602824">
        <w:t xml:space="preserve">the </w:t>
      </w:r>
      <w:r w:rsidRPr="00602824">
        <w:rPr>
          <w:i/>
        </w:rPr>
        <w:t xml:space="preserve">Interim </w:t>
      </w:r>
      <w:r w:rsidR="00E2755B" w:rsidRPr="00602824">
        <w:rPr>
          <w:i/>
          <w:iCs/>
        </w:rPr>
        <w:t>Evaluation</w:t>
      </w:r>
      <w:r w:rsidRPr="00602824">
        <w:rPr>
          <w:i/>
        </w:rPr>
        <w:t xml:space="preserve"> #1</w:t>
      </w:r>
      <w:r w:rsidRPr="00602824">
        <w:rPr>
          <w:i/>
          <w:iCs/>
        </w:rPr>
        <w:t xml:space="preserve"> </w:t>
      </w:r>
      <w:r w:rsidR="00E2755B" w:rsidRPr="00602824">
        <w:rPr>
          <w:i/>
          <w:iCs/>
        </w:rPr>
        <w:t>r</w:t>
      </w:r>
      <w:r w:rsidRPr="00602824">
        <w:rPr>
          <w:i/>
          <w:iCs/>
        </w:rPr>
        <w:t>eport</w:t>
      </w:r>
      <w:r w:rsidRPr="00602824">
        <w:t xml:space="preserve">, Australia has an unusual model for funding CIEDs. </w:t>
      </w:r>
      <w:r w:rsidR="00AD01C8" w:rsidRPr="00602824">
        <w:t xml:space="preserve">For patients in private hospitals, the benefit for CIEDs </w:t>
      </w:r>
      <w:r w:rsidR="005B09A6" w:rsidRPr="00602824">
        <w:t xml:space="preserve">has </w:t>
      </w:r>
      <w:r w:rsidR="002D452D" w:rsidRPr="00602824">
        <w:t>covered</w:t>
      </w:r>
      <w:r w:rsidR="00AD01C8" w:rsidRPr="00602824">
        <w:t xml:space="preserve"> the cost of the device and the ongoing costs of the technical services that come with managing the devices after implantation. </w:t>
      </w:r>
      <w:r w:rsidR="00805290" w:rsidRPr="00602824">
        <w:t xml:space="preserve">While these two components are not separately identified on the PL, sponsors advise that CIED benefits are at a level that enables them to </w:t>
      </w:r>
      <w:r w:rsidR="003B4313" w:rsidRPr="00602824">
        <w:t>provide industry-</w:t>
      </w:r>
      <w:r w:rsidR="00805290" w:rsidRPr="00602824">
        <w:t>employ</w:t>
      </w:r>
      <w:r w:rsidR="000553BA" w:rsidRPr="00602824">
        <w:t>ed</w:t>
      </w:r>
      <w:r w:rsidR="00805290" w:rsidRPr="00602824">
        <w:t xml:space="preserve"> cardiac technicians</w:t>
      </w:r>
      <w:r w:rsidR="000553BA" w:rsidRPr="00602824">
        <w:t xml:space="preserve"> (IECTs)</w:t>
      </w:r>
      <w:r w:rsidR="00805290" w:rsidRPr="00602824">
        <w:t xml:space="preserve"> to ensure CIEDs are functioning correctly </w:t>
      </w:r>
      <w:r w:rsidR="005D03A5" w:rsidRPr="00602824">
        <w:t xml:space="preserve">– and the surplus </w:t>
      </w:r>
      <w:r w:rsidR="00741B26" w:rsidRPr="00602824">
        <w:t xml:space="preserve">benefit enables </w:t>
      </w:r>
      <w:r w:rsidR="00FA03B4" w:rsidRPr="00602824">
        <w:t>this workforce to</w:t>
      </w:r>
      <w:r w:rsidR="00805290" w:rsidRPr="00602824">
        <w:t xml:space="preserve"> review any alerts sent by </w:t>
      </w:r>
      <w:r w:rsidR="00FA03B4" w:rsidRPr="00602824">
        <w:t>CIEDs</w:t>
      </w:r>
      <w:r w:rsidR="00805290" w:rsidRPr="00602824">
        <w:t xml:space="preserve"> at no additional cost to the consumer.</w:t>
      </w:r>
      <w:r w:rsidR="00EE323B" w:rsidRPr="00602824">
        <w:t xml:space="preserve"> </w:t>
      </w:r>
    </w:p>
    <w:p w14:paraId="4DAC2802" w14:textId="151F3E04" w:rsidR="004361B3" w:rsidRPr="00602824" w:rsidRDefault="00A029B7" w:rsidP="00D260E2">
      <w:r w:rsidRPr="00602824">
        <w:t>Some</w:t>
      </w:r>
      <w:r w:rsidR="003B4313" w:rsidRPr="00602824">
        <w:t xml:space="preserve"> public cardiac clinics and public hospitals </w:t>
      </w:r>
      <w:r w:rsidR="00706D04" w:rsidRPr="00602824">
        <w:t xml:space="preserve">also </w:t>
      </w:r>
      <w:r w:rsidR="003B4313" w:rsidRPr="00602824">
        <w:t>rely on technical support services</w:t>
      </w:r>
      <w:r w:rsidR="00CE705F" w:rsidRPr="00602824">
        <w:t xml:space="preserve"> (TSS)</w:t>
      </w:r>
      <w:r w:rsidR="003B4313" w:rsidRPr="00602824">
        <w:t xml:space="preserve"> provided </w:t>
      </w:r>
      <w:r w:rsidR="000553BA" w:rsidRPr="00602824">
        <w:t xml:space="preserve">by </w:t>
      </w:r>
      <w:proofErr w:type="gramStart"/>
      <w:r w:rsidR="00FA03B4" w:rsidRPr="00602824">
        <w:t>privately-employed</w:t>
      </w:r>
      <w:proofErr w:type="gramEnd"/>
      <w:r w:rsidR="000553BA" w:rsidRPr="00602824">
        <w:t xml:space="preserve"> IECTs, creating cross-sector </w:t>
      </w:r>
      <w:r w:rsidR="00692E51" w:rsidRPr="00602824">
        <w:t xml:space="preserve">subsidisation. </w:t>
      </w:r>
      <w:r w:rsidR="002A5C2A" w:rsidRPr="00602824">
        <w:t xml:space="preserve">This means that </w:t>
      </w:r>
      <w:r w:rsidR="00407B7B" w:rsidRPr="00602824">
        <w:t xml:space="preserve">funding via the PL intended for the private sector is also supporting </w:t>
      </w:r>
      <w:r w:rsidR="002F3B25" w:rsidRPr="00602824">
        <w:t xml:space="preserve">some </w:t>
      </w:r>
      <w:r w:rsidR="00407B7B" w:rsidRPr="00602824">
        <w:t xml:space="preserve">services in the public system. </w:t>
      </w:r>
      <w:r w:rsidR="004361B3" w:rsidRPr="00602824">
        <w:t>Reliance on IECT</w:t>
      </w:r>
      <w:r w:rsidR="008701B9" w:rsidRPr="00602824">
        <w:t>s</w:t>
      </w:r>
      <w:r w:rsidR="004361B3" w:rsidRPr="00602824">
        <w:t xml:space="preserve"> is reportedly more common in </w:t>
      </w:r>
      <w:r w:rsidR="00CE46CE" w:rsidRPr="00602824">
        <w:t xml:space="preserve">areas with service gaps such as </w:t>
      </w:r>
      <w:r w:rsidR="001C5069" w:rsidRPr="00602824">
        <w:t>rural</w:t>
      </w:r>
      <w:r w:rsidR="00CE46CE" w:rsidRPr="00602824">
        <w:t xml:space="preserve"> and regional areas of Australia, </w:t>
      </w:r>
      <w:r w:rsidR="001C5069" w:rsidRPr="00602824">
        <w:t>and for services involving highly complex CIED patients.</w:t>
      </w:r>
      <w:r w:rsidR="005E12B0" w:rsidRPr="00602824">
        <w:rPr>
          <w:rStyle w:val="FootnoteReference"/>
        </w:rPr>
        <w:footnoteReference w:id="27"/>
      </w:r>
      <w:r w:rsidR="001C5069" w:rsidRPr="00602824">
        <w:t xml:space="preserve"> </w:t>
      </w:r>
    </w:p>
    <w:p w14:paraId="64CA53D3" w14:textId="6C75D34B" w:rsidR="00D260E2" w:rsidRPr="00602824" w:rsidRDefault="0008131C" w:rsidP="00215753">
      <w:pPr>
        <w:pStyle w:val="Heading4"/>
      </w:pPr>
      <w:r w:rsidRPr="00602824">
        <w:t xml:space="preserve">Benefit reductions to </w:t>
      </w:r>
      <w:r w:rsidR="00D260E2" w:rsidRPr="00602824">
        <w:t>CIEDs require</w:t>
      </w:r>
      <w:r w:rsidRPr="00602824">
        <w:t>d</w:t>
      </w:r>
      <w:r w:rsidR="00D260E2" w:rsidRPr="00602824">
        <w:t xml:space="preserve"> </w:t>
      </w:r>
      <w:r w:rsidR="000461A0" w:rsidRPr="00602824">
        <w:t>a tailored approach</w:t>
      </w:r>
      <w:r w:rsidRPr="00602824">
        <w:t xml:space="preserve"> </w:t>
      </w:r>
    </w:p>
    <w:p w14:paraId="222707AB" w14:textId="0DCF41C1" w:rsidR="00280A26" w:rsidRPr="00602824" w:rsidRDefault="00280A26" w:rsidP="00C34EE5">
      <w:pPr>
        <w:rPr>
          <w:lang w:eastAsia="en-AU"/>
        </w:rPr>
      </w:pPr>
      <w:r w:rsidRPr="00602824">
        <w:rPr>
          <w:lang w:eastAsia="en-AU"/>
        </w:rPr>
        <w:t xml:space="preserve">Early in the reform process, the Department identified that CIEDs would need a separate pathway for benefit reductions. The March 2022 MOU between the Minister and MTAA confirmed that CIEDs would follow an alternative schedule to allow </w:t>
      </w:r>
      <w:r w:rsidR="00D75F20" w:rsidRPr="00602824">
        <w:rPr>
          <w:lang w:eastAsia="en-AU"/>
        </w:rPr>
        <w:t>Medical Services Advisory Committee (</w:t>
      </w:r>
      <w:r w:rsidRPr="00602824">
        <w:rPr>
          <w:lang w:eastAsia="en-AU"/>
        </w:rPr>
        <w:t>MSAC</w:t>
      </w:r>
      <w:r w:rsidR="00D75F20" w:rsidRPr="00602824">
        <w:rPr>
          <w:lang w:eastAsia="en-AU"/>
        </w:rPr>
        <w:t>)</w:t>
      </w:r>
      <w:r w:rsidRPr="00602824">
        <w:rPr>
          <w:lang w:eastAsia="en-AU"/>
        </w:rPr>
        <w:t xml:space="preserve"> to assess the value of associated technical support services</w:t>
      </w:r>
      <w:r w:rsidR="006D4393" w:rsidRPr="00602824">
        <w:rPr>
          <w:lang w:eastAsia="en-AU"/>
        </w:rPr>
        <w:t>.</w:t>
      </w:r>
      <w:r w:rsidR="006D4393" w:rsidRPr="00602824">
        <w:rPr>
          <w:rStyle w:val="FootnoteReference"/>
          <w:lang w:eastAsia="en-AU"/>
        </w:rPr>
        <w:footnoteReference w:id="28"/>
      </w:r>
    </w:p>
    <w:p w14:paraId="2D6FAC4A" w14:textId="46333563" w:rsidR="007204C2" w:rsidRPr="00602824" w:rsidRDefault="007204C2" w:rsidP="00C34EE5">
      <w:pPr>
        <w:rPr>
          <w:lang w:eastAsia="en-AU"/>
        </w:rPr>
      </w:pPr>
      <w:r w:rsidRPr="00602824">
        <w:rPr>
          <w:lang w:eastAsia="en-AU"/>
        </w:rPr>
        <w:t xml:space="preserve">Consultation and an MSAC review confirmed that standard benefit reduction methods would not suit CIEDs, as the PL benefits for these devices include bundled funding for technical </w:t>
      </w:r>
      <w:r w:rsidR="00671FF3" w:rsidRPr="00602824">
        <w:rPr>
          <w:lang w:eastAsia="en-AU"/>
        </w:rPr>
        <w:t xml:space="preserve">support </w:t>
      </w:r>
      <w:r w:rsidRPr="00602824">
        <w:rPr>
          <w:lang w:eastAsia="en-AU"/>
        </w:rPr>
        <w:t>services</w:t>
      </w:r>
      <w:r w:rsidR="00671FF3" w:rsidRPr="00602824">
        <w:rPr>
          <w:lang w:eastAsia="en-AU"/>
        </w:rPr>
        <w:t>.</w:t>
      </w:r>
      <w:r w:rsidRPr="00602824">
        <w:rPr>
          <w:lang w:eastAsia="en-AU"/>
        </w:rPr>
        <w:t xml:space="preserve"> While the </w:t>
      </w:r>
      <w:r w:rsidR="00671FF3" w:rsidRPr="00602824">
        <w:rPr>
          <w:lang w:eastAsia="en-AU"/>
        </w:rPr>
        <w:t>PL</w:t>
      </w:r>
      <w:r w:rsidRPr="00602824">
        <w:rPr>
          <w:lang w:eastAsia="en-AU"/>
        </w:rPr>
        <w:t xml:space="preserve"> does not provide for reimbursement of support services, MSAC and the Department adopted </w:t>
      </w:r>
      <w:r w:rsidR="00E14912" w:rsidRPr="00602824">
        <w:rPr>
          <w:lang w:eastAsia="en-AU"/>
        </w:rPr>
        <w:t>industry’s</w:t>
      </w:r>
      <w:r w:rsidRPr="00602824">
        <w:rPr>
          <w:lang w:eastAsia="en-AU"/>
        </w:rPr>
        <w:t xml:space="preserve"> language of 'components' within the CIED benefit – acknowledging that device and service costs </w:t>
      </w:r>
      <w:r w:rsidR="005C4052" w:rsidRPr="00602824">
        <w:rPr>
          <w:lang w:eastAsia="en-AU"/>
        </w:rPr>
        <w:t>are not easily separated.</w:t>
      </w:r>
    </w:p>
    <w:p w14:paraId="12333BAD" w14:textId="3AF2D199" w:rsidR="00D260E2" w:rsidRPr="00602824" w:rsidRDefault="000020E4" w:rsidP="00C34EE5">
      <w:r w:rsidRPr="00602824">
        <w:rPr>
          <w:lang w:eastAsia="en-AU"/>
        </w:rPr>
        <w:t>To avoid disrupting patient care, the Department took a cautious approach. It ultimately adopted the key elements of MSAC’s short-term recommendation, applying benefit reductions to the device component only</w:t>
      </w:r>
      <w:r w:rsidR="00B47492" w:rsidRPr="00602824">
        <w:rPr>
          <w:lang w:eastAsia="en-AU"/>
        </w:rPr>
        <w:t xml:space="preserve"> – estimated to be 56.3% of the total benefit.</w:t>
      </w:r>
      <w:r w:rsidR="00EA36A4" w:rsidRPr="00602824">
        <w:rPr>
          <w:rStyle w:val="FootnoteReference"/>
        </w:rPr>
        <w:footnoteReference w:id="29"/>
      </w:r>
      <w:r w:rsidR="00B47492" w:rsidRPr="00602824">
        <w:rPr>
          <w:lang w:eastAsia="en-AU"/>
        </w:rPr>
        <w:t xml:space="preserve"> Multiple rounds of CIED-</w:t>
      </w:r>
      <w:r w:rsidR="004A1394" w:rsidRPr="00602824">
        <w:rPr>
          <w:lang w:eastAsia="en-AU"/>
        </w:rPr>
        <w:t>specific benefit reductions were implemented</w:t>
      </w:r>
      <w:r w:rsidR="006159DD" w:rsidRPr="00602824">
        <w:rPr>
          <w:lang w:eastAsia="en-AU"/>
        </w:rPr>
        <w:t xml:space="preserve">, </w:t>
      </w:r>
      <w:r w:rsidR="00EB1BB4" w:rsidRPr="00602824">
        <w:rPr>
          <w:lang w:eastAsia="en-AU"/>
        </w:rPr>
        <w:t>with the second reduction of 20% of the gap on the device only</w:t>
      </w:r>
      <w:r w:rsidR="005E4837" w:rsidRPr="00602824">
        <w:rPr>
          <w:lang w:eastAsia="en-AU"/>
        </w:rPr>
        <w:t>,</w:t>
      </w:r>
      <w:r w:rsidR="00EB1BB4" w:rsidRPr="00602824">
        <w:rPr>
          <w:lang w:eastAsia="en-AU"/>
        </w:rPr>
        <w:t xml:space="preserve"> applied in July 2024, </w:t>
      </w:r>
      <w:r w:rsidR="006159DD" w:rsidRPr="00602824">
        <w:rPr>
          <w:lang w:eastAsia="en-AU"/>
        </w:rPr>
        <w:t xml:space="preserve">as shown in </w:t>
      </w:r>
      <w:r w:rsidR="006159DD" w:rsidRPr="00602824">
        <w:fldChar w:fldCharType="begin"/>
      </w:r>
      <w:r w:rsidR="006159DD" w:rsidRPr="00602824">
        <w:instrText xml:space="preserve"> REF _Ref202478155 \h  \* MERGEFORMAT </w:instrText>
      </w:r>
      <w:r w:rsidR="006159DD" w:rsidRPr="00602824">
        <w:fldChar w:fldCharType="separate"/>
      </w:r>
      <w:r w:rsidR="00D30634" w:rsidRPr="00D30634">
        <w:t>Figure 8</w:t>
      </w:r>
      <w:r w:rsidR="006159DD" w:rsidRPr="00602824">
        <w:fldChar w:fldCharType="end"/>
      </w:r>
      <w:r w:rsidR="006159DD" w:rsidRPr="00602824">
        <w:t>.</w:t>
      </w:r>
    </w:p>
    <w:p w14:paraId="3078CBA4" w14:textId="70BCA583" w:rsidR="007944E6" w:rsidRPr="00602824" w:rsidRDefault="007944E6" w:rsidP="007944E6">
      <w:pPr>
        <w:pStyle w:val="Heading4"/>
      </w:pPr>
      <w:r w:rsidRPr="00602824">
        <w:t xml:space="preserve">The current gap between CIED PL benefits and public prices </w:t>
      </w:r>
      <w:r w:rsidR="00023A23" w:rsidRPr="00602824">
        <w:t>was not available</w:t>
      </w:r>
    </w:p>
    <w:p w14:paraId="6A5AEBE4" w14:textId="5DF5905C" w:rsidR="007944E6" w:rsidRPr="00602824" w:rsidRDefault="000E3AA4" w:rsidP="007944E6">
      <w:pPr>
        <w:rPr>
          <w:lang w:eastAsia="en-AU"/>
        </w:rPr>
      </w:pPr>
      <w:r w:rsidRPr="00602824">
        <w:rPr>
          <w:lang w:eastAsia="en-AU"/>
        </w:rPr>
        <w:t>The evaluation</w:t>
      </w:r>
      <w:r w:rsidR="007944E6" w:rsidRPr="00602824">
        <w:rPr>
          <w:lang w:eastAsia="en-AU"/>
        </w:rPr>
        <w:t xml:space="preserve"> has not been provided data showing the gap between PL benefits and public prices for CIED items. CIED items were additionally excluded from aggregated gap analysis provided to Nous for the evaluation (se</w:t>
      </w:r>
      <w:r w:rsidR="008826A3" w:rsidRPr="00602824">
        <w:rPr>
          <w:lang w:eastAsia="en-AU"/>
        </w:rPr>
        <w:t xml:space="preserve">e </w:t>
      </w:r>
      <w:r w:rsidR="008826A3" w:rsidRPr="00602824">
        <w:rPr>
          <w:lang w:eastAsia="en-AU"/>
        </w:rPr>
        <w:fldChar w:fldCharType="begin"/>
      </w:r>
      <w:r w:rsidR="008826A3" w:rsidRPr="00602824">
        <w:rPr>
          <w:lang w:eastAsia="en-AU"/>
        </w:rPr>
        <w:instrText xml:space="preserve"> REF _Ref202878064 \h </w:instrText>
      </w:r>
      <w:r w:rsidR="008826A3" w:rsidRPr="00602824">
        <w:rPr>
          <w:lang w:eastAsia="en-AU"/>
        </w:rPr>
      </w:r>
      <w:r w:rsidR="008826A3" w:rsidRPr="00602824">
        <w:rPr>
          <w:lang w:eastAsia="en-AU"/>
        </w:rPr>
        <w:fldChar w:fldCharType="separate"/>
      </w:r>
      <w:r w:rsidR="00D30634" w:rsidRPr="004A357C">
        <w:t xml:space="preserve">Table </w:t>
      </w:r>
      <w:r w:rsidR="00D30634">
        <w:rPr>
          <w:noProof/>
        </w:rPr>
        <w:t>26</w:t>
      </w:r>
      <w:r w:rsidR="008826A3" w:rsidRPr="00602824">
        <w:rPr>
          <w:lang w:eastAsia="en-AU"/>
        </w:rPr>
        <w:fldChar w:fldCharType="end"/>
      </w:r>
      <w:r w:rsidR="007944E6" w:rsidRPr="00602824">
        <w:rPr>
          <w:lang w:eastAsia="en-AU"/>
        </w:rPr>
        <w:t>). As a result, progress towards aligning CIED benefits with more competitive markets cannot be quantified.</w:t>
      </w:r>
    </w:p>
    <w:p w14:paraId="7FC97526" w14:textId="17655AE7" w:rsidR="00B83ECE" w:rsidRPr="00602824" w:rsidRDefault="007944E6" w:rsidP="00C34EE5">
      <w:pPr>
        <w:rPr>
          <w:lang w:eastAsia="en-AU"/>
        </w:rPr>
      </w:pPr>
      <w:r w:rsidRPr="00602824">
        <w:rPr>
          <w:lang w:eastAsia="en-AU"/>
        </w:rPr>
        <w:t xml:space="preserve">However, as outlined in </w:t>
      </w:r>
      <w:r w:rsidR="000377F0">
        <w:rPr>
          <w:lang w:eastAsia="en-AU"/>
        </w:rPr>
        <w:t>Section</w:t>
      </w:r>
      <w:r w:rsidR="000377F0" w:rsidRPr="00602824">
        <w:rPr>
          <w:lang w:eastAsia="en-AU"/>
        </w:rPr>
        <w:t xml:space="preserve"> </w:t>
      </w:r>
      <w:r w:rsidRPr="00602824">
        <w:rPr>
          <w:lang w:eastAsia="en-AU"/>
        </w:rPr>
        <w:t xml:space="preserve">2.3.5 of the </w:t>
      </w:r>
      <w:r w:rsidRPr="00602824">
        <w:rPr>
          <w:i/>
          <w:iCs/>
          <w:lang w:eastAsia="en-AU"/>
        </w:rPr>
        <w:t>Interim Evaluation #1 report</w:t>
      </w:r>
      <w:r w:rsidRPr="00602824">
        <w:rPr>
          <w:lang w:eastAsia="en-AU"/>
        </w:rPr>
        <w:t xml:space="preserve">, the evaluation estimated the median gap of the CIED items (device component only) to be approximately </w:t>
      </w:r>
      <w:r w:rsidRPr="00602824">
        <w:rPr>
          <w:rFonts w:asciiTheme="majorHAnsi" w:hAnsiTheme="majorHAnsi" w:cstheme="majorHAnsi"/>
          <w:lang w:eastAsia="en-AU"/>
        </w:rPr>
        <w:t>$19,600 (188% gap)</w:t>
      </w:r>
      <w:r w:rsidRPr="00602824">
        <w:rPr>
          <w:lang w:eastAsia="en-AU"/>
        </w:rPr>
        <w:t xml:space="preserve"> and no less than $17,600 (144% gap) at the commencement of the reforms.</w:t>
      </w:r>
    </w:p>
    <w:p w14:paraId="52850A61" w14:textId="6ED21A02" w:rsidR="00D260E2" w:rsidRPr="00602824" w:rsidRDefault="00D260E2" w:rsidP="00FB712C">
      <w:pPr>
        <w:keepNext/>
        <w:spacing w:before="240" w:line="259" w:lineRule="auto"/>
        <w:rPr>
          <w:rFonts w:ascii="Segoe UI Semibold" w:hAnsi="Segoe UI Semibold"/>
          <w:bCs/>
          <w:color w:val="00264D" w:themeColor="background2"/>
          <w:szCs w:val="18"/>
        </w:rPr>
      </w:pPr>
      <w:bookmarkStart w:id="29" w:name="_Ref202478155"/>
      <w:r w:rsidRPr="00602824">
        <w:rPr>
          <w:rFonts w:ascii="Segoe UI Semibold" w:hAnsi="Segoe UI Semibold"/>
          <w:bCs/>
          <w:color w:val="00264D" w:themeColor="background2"/>
          <w:szCs w:val="18"/>
        </w:rPr>
        <w:lastRenderedPageBreak/>
        <w:t xml:space="preserve">Figure </w:t>
      </w:r>
      <w:r w:rsidRPr="00602824">
        <w:rPr>
          <w:rFonts w:ascii="Segoe UI Semibold" w:hAnsi="Segoe UI Semibold"/>
          <w:bCs/>
          <w:color w:val="00264D" w:themeColor="background2"/>
          <w:szCs w:val="18"/>
        </w:rPr>
        <w:fldChar w:fldCharType="begin"/>
      </w:r>
      <w:r w:rsidRPr="00602824">
        <w:rPr>
          <w:rFonts w:ascii="Segoe UI Semibold" w:hAnsi="Segoe UI Semibold"/>
          <w:bCs/>
          <w:color w:val="00264D" w:themeColor="background2"/>
          <w:szCs w:val="18"/>
        </w:rPr>
        <w:instrText xml:space="preserve"> SEQ Figure \* ARABIC </w:instrText>
      </w:r>
      <w:r w:rsidRPr="00602824">
        <w:rPr>
          <w:rFonts w:ascii="Segoe UI Semibold" w:hAnsi="Segoe UI Semibold"/>
          <w:bCs/>
          <w:color w:val="00264D" w:themeColor="background2"/>
          <w:szCs w:val="18"/>
        </w:rPr>
        <w:fldChar w:fldCharType="separate"/>
      </w:r>
      <w:r w:rsidR="00D30634">
        <w:rPr>
          <w:rFonts w:ascii="Segoe UI Semibold" w:hAnsi="Segoe UI Semibold"/>
          <w:bCs/>
          <w:noProof/>
          <w:color w:val="00264D" w:themeColor="background2"/>
          <w:szCs w:val="18"/>
        </w:rPr>
        <w:t>8</w:t>
      </w:r>
      <w:r w:rsidRPr="00602824">
        <w:rPr>
          <w:rFonts w:ascii="Segoe UI Semibold" w:hAnsi="Segoe UI Semibold"/>
          <w:bCs/>
          <w:color w:val="00264D" w:themeColor="background2"/>
          <w:szCs w:val="18"/>
        </w:rPr>
        <w:fldChar w:fldCharType="end"/>
      </w:r>
      <w:bookmarkEnd w:id="29"/>
      <w:r w:rsidRPr="00602824">
        <w:rPr>
          <w:rFonts w:ascii="Segoe UI Semibold" w:hAnsi="Segoe UI Semibold"/>
          <w:bCs/>
          <w:color w:val="00264D" w:themeColor="background2"/>
          <w:szCs w:val="18"/>
        </w:rPr>
        <w:t xml:space="preserve"> | Reform timeline of CIED related activities</w:t>
      </w:r>
    </w:p>
    <w:p w14:paraId="54EBFD5C" w14:textId="77777777" w:rsidR="00D260E2" w:rsidRPr="00602824" w:rsidRDefault="00D260E2" w:rsidP="00D260E2">
      <w:pPr>
        <w:suppressAutoHyphens/>
        <w:ind w:left="340" w:hanging="340"/>
        <w:rPr>
          <w:rFonts w:eastAsia="Times New Roman" w:cs="Times New Roman"/>
          <w:szCs w:val="19"/>
          <w:lang w:eastAsia="en-AU"/>
        </w:rPr>
      </w:pPr>
      <w:r w:rsidRPr="00AC7E3F">
        <w:rPr>
          <w:rFonts w:eastAsia="Times New Roman" w:cs="Times New Roman"/>
          <w:noProof/>
          <w:szCs w:val="19"/>
          <w:lang w:eastAsia="en-AU"/>
        </w:rPr>
        <w:drawing>
          <wp:inline distT="0" distB="0" distL="0" distR="0" wp14:anchorId="5BBBC961" wp14:editId="70162C4A">
            <wp:extent cx="5760085" cy="4525010"/>
            <wp:effectExtent l="0" t="0" r="0" b="8890"/>
            <wp:docPr id="984239589" name="Picture 15" descr="Timeline of reform activities specific to Cardiac Implantable Electronic Devices (CI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39589" name="Picture 15" descr="Timeline of reform activities specific to Cardiac Implantable Electronic Devices (CIED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4525010"/>
                    </a:xfrm>
                    <a:prstGeom prst="rect">
                      <a:avLst/>
                    </a:prstGeom>
                  </pic:spPr>
                </pic:pic>
              </a:graphicData>
            </a:graphic>
          </wp:inline>
        </w:drawing>
      </w:r>
    </w:p>
    <w:p w14:paraId="51676856" w14:textId="446B1017" w:rsidR="00EB62B0" w:rsidRPr="00602824" w:rsidRDefault="00EB62B0" w:rsidP="00C34EE5">
      <w:pPr>
        <w:keepNext/>
        <w:spacing w:before="240" w:after="60" w:line="259" w:lineRule="auto"/>
        <w:outlineLvl w:val="3"/>
        <w:rPr>
          <w:rFonts w:ascii="Segoe UI Semibold" w:eastAsia="Times New Roman" w:hAnsi="Segoe UI Semibold" w:cs="Times New Roman"/>
          <w:color w:val="00264D" w:themeColor="background2"/>
          <w:sz w:val="22"/>
          <w:szCs w:val="19"/>
          <w:lang w:eastAsia="en-AU"/>
        </w:rPr>
      </w:pPr>
      <w:r w:rsidRPr="00602824">
        <w:rPr>
          <w:rFonts w:ascii="Segoe UI Semibold" w:eastAsia="Times New Roman" w:hAnsi="Segoe UI Semibold" w:cs="Times New Roman"/>
          <w:color w:val="00264D" w:themeColor="background2"/>
          <w:sz w:val="22"/>
          <w:szCs w:val="19"/>
          <w:lang w:eastAsia="en-AU"/>
        </w:rPr>
        <w:t>Concerns remain</w:t>
      </w:r>
      <w:r w:rsidR="00D260E2" w:rsidRPr="00602824">
        <w:rPr>
          <w:rFonts w:ascii="Segoe UI Semibold" w:eastAsia="Times New Roman" w:hAnsi="Segoe UI Semibold" w:cs="Times New Roman"/>
          <w:color w:val="00264D" w:themeColor="background2"/>
          <w:sz w:val="22"/>
          <w:szCs w:val="19"/>
          <w:lang w:eastAsia="en-AU"/>
        </w:rPr>
        <w:t xml:space="preserve"> that </w:t>
      </w:r>
      <w:r w:rsidRPr="00602824">
        <w:rPr>
          <w:rFonts w:ascii="Segoe UI Semibold" w:eastAsia="Times New Roman" w:hAnsi="Segoe UI Semibold" w:cs="Times New Roman"/>
          <w:color w:val="00264D" w:themeColor="background2"/>
          <w:sz w:val="22"/>
          <w:szCs w:val="19"/>
          <w:lang w:eastAsia="en-AU"/>
        </w:rPr>
        <w:t>CIED</w:t>
      </w:r>
      <w:r w:rsidR="00D260E2" w:rsidRPr="00602824">
        <w:rPr>
          <w:rFonts w:ascii="Segoe UI Semibold" w:eastAsia="Times New Roman" w:hAnsi="Segoe UI Semibold" w:cs="Times New Roman"/>
          <w:color w:val="00264D" w:themeColor="background2"/>
          <w:sz w:val="22"/>
          <w:szCs w:val="19"/>
          <w:lang w:eastAsia="en-AU"/>
        </w:rPr>
        <w:t xml:space="preserve"> benefit reductions have had unintended </w:t>
      </w:r>
      <w:r w:rsidR="00660776" w:rsidRPr="00602824">
        <w:rPr>
          <w:rFonts w:ascii="Segoe UI Semibold" w:eastAsia="Times New Roman" w:hAnsi="Segoe UI Semibold" w:cs="Times New Roman"/>
          <w:color w:val="00264D" w:themeColor="background2"/>
          <w:sz w:val="22"/>
          <w:szCs w:val="19"/>
          <w:lang w:eastAsia="en-AU"/>
        </w:rPr>
        <w:t>consequences</w:t>
      </w:r>
      <w:r w:rsidR="0087706F" w:rsidRPr="00602824">
        <w:rPr>
          <w:rFonts w:ascii="Segoe UI Semibold" w:eastAsia="Times New Roman" w:hAnsi="Segoe UI Semibold" w:cs="Times New Roman"/>
          <w:color w:val="00264D" w:themeColor="background2"/>
          <w:sz w:val="22"/>
          <w:szCs w:val="19"/>
          <w:lang w:eastAsia="en-AU"/>
        </w:rPr>
        <w:t xml:space="preserve"> on patient care</w:t>
      </w:r>
    </w:p>
    <w:p w14:paraId="0C6FEAD7" w14:textId="38B167E8" w:rsidR="00DA3EDE" w:rsidRPr="00602824" w:rsidRDefault="00024F3F" w:rsidP="00965129">
      <w:pPr>
        <w:rPr>
          <w:lang w:eastAsia="en-AU"/>
        </w:rPr>
      </w:pPr>
      <w:r w:rsidRPr="00602824">
        <w:rPr>
          <w:lang w:eastAsia="en-AU"/>
        </w:rPr>
        <w:t>Some sponsors have reported reducing their IECT workforce or scaling back services in response to CIED benefit reductions, citing financial viability pressures.</w:t>
      </w:r>
      <w:r w:rsidRPr="00602824">
        <w:rPr>
          <w:rStyle w:val="FootnoteReference"/>
          <w:lang w:eastAsia="en-AU"/>
        </w:rPr>
        <w:footnoteReference w:id="30"/>
      </w:r>
      <w:r w:rsidRPr="00602824">
        <w:rPr>
          <w:lang w:eastAsia="en-AU"/>
        </w:rPr>
        <w:t xml:space="preserve"> While the PL does not separately reimburse technical support services, there is a widely acknowledged need to maintain these services to ensure safe and timely care.</w:t>
      </w:r>
      <w:r w:rsidR="00686DF9" w:rsidRPr="00602824">
        <w:t xml:space="preserve"> </w:t>
      </w:r>
    </w:p>
    <w:p w14:paraId="67EE53A1" w14:textId="35116B13" w:rsidR="00686DF9" w:rsidRPr="00602824" w:rsidRDefault="002712B6" w:rsidP="00965129">
      <w:r w:rsidRPr="00602824">
        <w:t xml:space="preserve">The Cardiac Society of Australia and New Zealand (CSANZ) has raised concerns about emerging service gaps, particularly in regional, rural and remote areas. They note that while the public system does employ cardiac technicians, the workforce is limited and often relies on industry support for complex procedures and broad geographic coverage. These unintended consequences </w:t>
      </w:r>
      <w:r w:rsidR="00481A9E" w:rsidRPr="00602824">
        <w:t>risk reducing access to essential CIED support services across both private and public settings</w:t>
      </w:r>
      <w:r w:rsidR="00F54644" w:rsidRPr="00602824">
        <w:t>, at least in the short to medium term.</w:t>
      </w:r>
    </w:p>
    <w:p w14:paraId="6E22E6A3" w14:textId="11339AD3" w:rsidR="00D260E2" w:rsidRPr="00602824" w:rsidRDefault="00D260E2" w:rsidP="00D260E2">
      <w:pPr>
        <w:keepNext/>
        <w:spacing w:before="240" w:after="60" w:line="259" w:lineRule="auto"/>
        <w:outlineLvl w:val="3"/>
        <w:rPr>
          <w:rFonts w:ascii="Segoe UI Semibold" w:eastAsia="Times New Roman" w:hAnsi="Segoe UI Semibold" w:cs="Times New Roman"/>
          <w:color w:val="00264D" w:themeColor="background2"/>
          <w:sz w:val="22"/>
          <w:szCs w:val="19"/>
          <w:lang w:eastAsia="en-AU"/>
        </w:rPr>
      </w:pPr>
      <w:r w:rsidRPr="00602824">
        <w:rPr>
          <w:rFonts w:ascii="Segoe UI Semibold" w:eastAsia="Times New Roman" w:hAnsi="Segoe UI Semibold" w:cs="Times New Roman"/>
          <w:color w:val="00264D" w:themeColor="background2"/>
          <w:sz w:val="22"/>
          <w:szCs w:val="19"/>
          <w:lang w:eastAsia="en-AU"/>
        </w:rPr>
        <w:t xml:space="preserve">The model for funding CIEDs requires further </w:t>
      </w:r>
      <w:r w:rsidR="0045485E" w:rsidRPr="00602824">
        <w:rPr>
          <w:rFonts w:ascii="Segoe UI Semibold" w:eastAsia="Times New Roman" w:hAnsi="Segoe UI Semibold" w:cs="Times New Roman"/>
          <w:color w:val="00264D" w:themeColor="background2"/>
          <w:sz w:val="22"/>
          <w:szCs w:val="19"/>
          <w:lang w:eastAsia="en-AU"/>
        </w:rPr>
        <w:t>reform</w:t>
      </w:r>
    </w:p>
    <w:p w14:paraId="66DC756D" w14:textId="77777777" w:rsidR="009F760C" w:rsidRDefault="00304FC2" w:rsidP="00EE17EF">
      <w:pPr>
        <w:rPr>
          <w:lang w:eastAsia="en-AU"/>
        </w:rPr>
      </w:pPr>
      <w:r w:rsidRPr="00602824">
        <w:rPr>
          <w:lang w:eastAsia="en-AU"/>
        </w:rPr>
        <w:t>Temporarily shielding technical support services from staged benefit reductions has helped protect patient care and avoid</w:t>
      </w:r>
      <w:r w:rsidR="0049235D" w:rsidRPr="00602824">
        <w:rPr>
          <w:lang w:eastAsia="en-AU"/>
        </w:rPr>
        <w:t>ed</w:t>
      </w:r>
      <w:r w:rsidRPr="00602824">
        <w:rPr>
          <w:lang w:eastAsia="en-AU"/>
        </w:rPr>
        <w:t xml:space="preserve"> sudden out-of-pocket costs for people with CIEDs. </w:t>
      </w:r>
    </w:p>
    <w:p w14:paraId="167F3194" w14:textId="01B06341" w:rsidR="004F1442" w:rsidRPr="00602824" w:rsidRDefault="00304FC2" w:rsidP="00EE17EF">
      <w:pPr>
        <w:rPr>
          <w:lang w:eastAsia="en-AU"/>
        </w:rPr>
      </w:pPr>
      <w:r w:rsidRPr="00602824">
        <w:rPr>
          <w:lang w:eastAsia="en-AU"/>
        </w:rPr>
        <w:t xml:space="preserve">However, service gaps have still emerged, and this protection is not guaranteed in the long term. </w:t>
      </w:r>
      <w:r w:rsidR="00EE096F" w:rsidRPr="00602824">
        <w:rPr>
          <w:lang w:eastAsia="en-AU"/>
        </w:rPr>
        <w:t xml:space="preserve">In the meantime, </w:t>
      </w:r>
      <w:r w:rsidR="00501341" w:rsidRPr="00602824">
        <w:rPr>
          <w:lang w:eastAsia="en-AU"/>
        </w:rPr>
        <w:t xml:space="preserve">the impacts of uncertainty are being felt. </w:t>
      </w:r>
      <w:r w:rsidRPr="00602824">
        <w:rPr>
          <w:lang w:eastAsia="en-AU"/>
        </w:rPr>
        <w:t>The unintended consequences point to the need for broader reform of how CIED</w:t>
      </w:r>
      <w:r w:rsidR="007B3BBF" w:rsidRPr="00602824">
        <w:rPr>
          <w:lang w:eastAsia="en-AU"/>
        </w:rPr>
        <w:t>s and their</w:t>
      </w:r>
      <w:r w:rsidR="00472422" w:rsidRPr="00602824">
        <w:rPr>
          <w:lang w:eastAsia="en-AU"/>
        </w:rPr>
        <w:t xml:space="preserve"> supp</w:t>
      </w:r>
      <w:r w:rsidR="007B3BBF" w:rsidRPr="00602824">
        <w:rPr>
          <w:lang w:eastAsia="en-AU"/>
        </w:rPr>
        <w:t xml:space="preserve">ort services </w:t>
      </w:r>
      <w:r w:rsidRPr="00602824">
        <w:rPr>
          <w:lang w:eastAsia="en-AU"/>
        </w:rPr>
        <w:t>are funded.</w:t>
      </w:r>
      <w:r w:rsidR="00590C0E" w:rsidRPr="00602824">
        <w:rPr>
          <w:lang w:eastAsia="en-AU"/>
        </w:rPr>
        <w:t xml:space="preserve"> </w:t>
      </w:r>
    </w:p>
    <w:p w14:paraId="77344EE9" w14:textId="660F2610" w:rsidR="00EE17EF" w:rsidRPr="00602824" w:rsidRDefault="004F1442" w:rsidP="00FB712C">
      <w:pPr>
        <w:spacing w:after="240"/>
      </w:pPr>
      <w:r w:rsidRPr="00602824">
        <w:lastRenderedPageBreak/>
        <w:t>F</w:t>
      </w:r>
      <w:r w:rsidR="00EE17EF" w:rsidRPr="00602824">
        <w:t>uture reform must be staged, data-informed and focused on preserving patient outcomes. Without adequate preparation or viable alternatives for service delivery, further change could reduce access and increase costs for patients.</w:t>
      </w:r>
    </w:p>
    <w:tbl>
      <w:tblPr>
        <w:tblStyle w:val="NousLongformcallout"/>
        <w:tblW w:w="4950" w:type="pct"/>
        <w:tblCellMar>
          <w:top w:w="170" w:type="dxa"/>
          <w:bottom w:w="170" w:type="dxa"/>
        </w:tblCellMar>
        <w:tblLook w:val="04A0" w:firstRow="1" w:lastRow="0" w:firstColumn="1" w:lastColumn="0" w:noHBand="0" w:noVBand="1"/>
      </w:tblPr>
      <w:tblGrid>
        <w:gridCol w:w="8958"/>
      </w:tblGrid>
      <w:tr w:rsidR="009058DE" w:rsidRPr="00602824" w14:paraId="654FD2CA" w14:textId="77777777" w:rsidTr="00D30CB8">
        <w:tc>
          <w:tcPr>
            <w:tcW w:w="7285" w:type="dxa"/>
            <w:tcBorders>
              <w:left w:val="single" w:sz="18" w:space="0" w:color="2E368F" w:themeColor="text2"/>
            </w:tcBorders>
            <w:shd w:val="clear" w:color="auto" w:fill="F2F2F2" w:themeFill="background1" w:themeFillShade="F2"/>
          </w:tcPr>
          <w:p w14:paraId="2CC42BCB" w14:textId="5B8415F5" w:rsidR="009058DE" w:rsidRPr="00602824" w:rsidRDefault="009058DE" w:rsidP="00FB712C">
            <w:pPr>
              <w:pStyle w:val="Longformcallout"/>
              <w:spacing w:before="0" w:after="120"/>
              <w:rPr>
                <w:rFonts w:asciiTheme="majorHAnsi" w:hAnsiTheme="majorHAnsi" w:cstheme="majorHAnsi"/>
                <w:color w:val="2E368F" w:themeColor="text2"/>
              </w:rPr>
            </w:pPr>
            <w:r w:rsidRPr="00602824">
              <w:rPr>
                <w:rFonts w:asciiTheme="majorHAnsi" w:hAnsiTheme="majorHAnsi" w:cstheme="majorHAnsi"/>
                <w:color w:val="2E368F" w:themeColor="text2"/>
              </w:rPr>
              <w:t xml:space="preserve">RECOMMENDATION </w:t>
            </w:r>
            <w:r w:rsidR="00A664FD" w:rsidRPr="00602824">
              <w:rPr>
                <w:rFonts w:asciiTheme="majorHAnsi" w:hAnsiTheme="majorHAnsi" w:cstheme="majorHAnsi"/>
                <w:color w:val="2E368F" w:themeColor="text2"/>
              </w:rPr>
              <w:t>2</w:t>
            </w:r>
          </w:p>
          <w:p w14:paraId="6492714C" w14:textId="0E4F628A" w:rsidR="00A664FD" w:rsidRPr="00602824" w:rsidRDefault="00A664FD" w:rsidP="00FB712C">
            <w:pPr>
              <w:pStyle w:val="Longformcallout"/>
              <w:spacing w:before="0" w:after="120"/>
              <w:rPr>
                <w:rFonts w:asciiTheme="majorHAnsi" w:hAnsiTheme="majorHAnsi" w:cstheme="majorHAnsi"/>
              </w:rPr>
            </w:pPr>
            <w:r w:rsidRPr="00602824">
              <w:rPr>
                <w:rFonts w:asciiTheme="majorHAnsi" w:hAnsiTheme="majorHAnsi" w:cstheme="majorHAnsi"/>
              </w:rPr>
              <w:t>Explore alternative funding models that separate CIED device and service costs</w:t>
            </w:r>
          </w:p>
          <w:p w14:paraId="736E30B7" w14:textId="754B4B3E" w:rsidR="009058DE" w:rsidRPr="00602824" w:rsidRDefault="0026201E" w:rsidP="00FB712C">
            <w:pPr>
              <w:pStyle w:val="Longformcallout"/>
              <w:spacing w:before="0" w:after="120"/>
            </w:pPr>
            <w:r w:rsidRPr="00602824">
              <w:t>In the medium term, the Department and the sector should explore alternative funding models that separate device and service costs, including the benefits and risks of the alternatives. Unbundling would support greater transparency and allow each component to be priced appropriately. Reform efforts could also include continued support for remote monitoring – in line with technological advances – and the potential development of a national CIED registry to improve oversight and service quality.</w:t>
            </w:r>
          </w:p>
        </w:tc>
      </w:tr>
    </w:tbl>
    <w:p w14:paraId="515A923E" w14:textId="77777777" w:rsidR="002330A8" w:rsidRPr="00602824" w:rsidRDefault="00C570A4" w:rsidP="002330A8">
      <w:pPr>
        <w:pStyle w:val="Heading4"/>
      </w:pPr>
      <w:r w:rsidRPr="00602824">
        <w:t xml:space="preserve">Stakeholder perspectives </w:t>
      </w:r>
    </w:p>
    <w:p w14:paraId="687A49DA" w14:textId="2A15B84A" w:rsidR="000406C4" w:rsidRDefault="000406C4" w:rsidP="000406C4">
      <w:r w:rsidRPr="00602824">
        <w:t xml:space="preserve">Stakeholder feedback on CIED reforms highlights a core tension between achieving cost savings and maintaining service continuity. While the Department’s phased approach to benefit reductions </w:t>
      </w:r>
      <w:r w:rsidR="00B7369F" w:rsidRPr="00602824">
        <w:t xml:space="preserve">on the device component only </w:t>
      </w:r>
      <w:r w:rsidRPr="00602824">
        <w:t>was broadly viewed as pragmatic, many stakeholders identified the lack of a sustainable funding model for technical support services as a major risk.</w:t>
      </w:r>
    </w:p>
    <w:p w14:paraId="7B4D160B" w14:textId="0C7C5F7A" w:rsidR="00131E9A" w:rsidRDefault="00131E9A" w:rsidP="000406C4">
      <w:r w:rsidRPr="00602824">
        <w:t>Private health insurers were critical of the existing approach, arguing that technical support services should not be bundled within device rebates, calling for immediate price reductions and clearer accountability for service provision.</w:t>
      </w:r>
    </w:p>
    <w:p w14:paraId="55FC3CE3" w14:textId="68DEC442" w:rsidR="003E7CB6" w:rsidRPr="00602824" w:rsidRDefault="000406C4" w:rsidP="000406C4">
      <w:r w:rsidRPr="00602824">
        <w:t xml:space="preserve">In contrast, medical technology representatives, particularly the MTAA Cardiac Forum, opposed changes to the current model. They argued that it is already cost-effective and warned that further reforms could disrupt service delivery and shift costs onto </w:t>
      </w:r>
      <w:r w:rsidR="00416904">
        <w:t>consumers</w:t>
      </w:r>
      <w:r w:rsidRPr="00602824">
        <w:t xml:space="preserve">. </w:t>
      </w:r>
    </w:p>
    <w:p w14:paraId="68C4CD87" w14:textId="451BFC15" w:rsidR="00153EBD" w:rsidRPr="00602824" w:rsidRDefault="00153EBD" w:rsidP="000406C4">
      <w:r w:rsidRPr="00153EBD">
        <w:t xml:space="preserve">Private hospital and clinician representatives expressed mixed views on separating device and service costs. Some supported the model for its potential to improve transparency, provided it maintained access to technical support and did not compromise care. Others opposed it, arguing </w:t>
      </w:r>
      <w:r w:rsidR="00410072">
        <w:t xml:space="preserve">coupling of devices and follow-up services is cost-efficient and that decoupling </w:t>
      </w:r>
      <w:r w:rsidRPr="00153EBD">
        <w:t xml:space="preserve">would increase costs for </w:t>
      </w:r>
      <w:r>
        <w:t>consumers</w:t>
      </w:r>
      <w:r w:rsidRPr="00153EBD">
        <w:t xml:space="preserve"> and hospitals.</w:t>
      </w:r>
    </w:p>
    <w:p w14:paraId="59A9FDED" w14:textId="7CEDCDF1" w:rsidR="00964BEB" w:rsidRPr="00602824" w:rsidRDefault="00390B94" w:rsidP="00964BEB">
      <w:r w:rsidRPr="00602824">
        <w:fldChar w:fldCharType="begin"/>
      </w:r>
      <w:r w:rsidRPr="00602824">
        <w:instrText xml:space="preserve"> REF _Ref202879064 \h </w:instrText>
      </w:r>
      <w:r w:rsidRPr="00602824">
        <w:fldChar w:fldCharType="separate"/>
      </w:r>
      <w:r w:rsidR="00D30634" w:rsidRPr="00602824">
        <w:t xml:space="preserve">Table </w:t>
      </w:r>
      <w:r w:rsidR="00D30634">
        <w:rPr>
          <w:noProof/>
        </w:rPr>
        <w:t>4</w:t>
      </w:r>
      <w:r w:rsidRPr="00602824">
        <w:fldChar w:fldCharType="end"/>
      </w:r>
      <w:r w:rsidRPr="00602824">
        <w:t xml:space="preserve"> s</w:t>
      </w:r>
      <w:r w:rsidR="00964BEB" w:rsidRPr="00602824">
        <w:t>ummarises</w:t>
      </w:r>
      <w:r w:rsidR="000406C4" w:rsidRPr="00602824">
        <w:t xml:space="preserve"> </w:t>
      </w:r>
      <w:r w:rsidR="00C80964" w:rsidRPr="00602824">
        <w:t>further stakeholder views.</w:t>
      </w:r>
    </w:p>
    <w:p w14:paraId="56DBF691" w14:textId="1A5CC637" w:rsidR="005D7E36" w:rsidRPr="00602824" w:rsidRDefault="00A12F9A" w:rsidP="00FB712C">
      <w:pPr>
        <w:pStyle w:val="Caption"/>
      </w:pPr>
      <w:bookmarkStart w:id="30" w:name="_Ref202879064"/>
      <w:r w:rsidRPr="00602824">
        <w:t xml:space="preserve">Table </w:t>
      </w:r>
      <w:r w:rsidR="002604D0">
        <w:fldChar w:fldCharType="begin"/>
      </w:r>
      <w:r w:rsidR="002604D0">
        <w:instrText xml:space="preserve"> SEQ Table \* ARABIC </w:instrText>
      </w:r>
      <w:r w:rsidR="002604D0">
        <w:fldChar w:fldCharType="separate"/>
      </w:r>
      <w:r w:rsidR="00D30634">
        <w:rPr>
          <w:noProof/>
        </w:rPr>
        <w:t>4</w:t>
      </w:r>
      <w:r w:rsidR="002604D0">
        <w:fldChar w:fldCharType="end"/>
      </w:r>
      <w:bookmarkEnd w:id="30"/>
      <w:r w:rsidRPr="00602824">
        <w:t xml:space="preserve"> | Stakeholder perspectives on reductions to CIEDs</w:t>
      </w:r>
      <w:r w:rsidR="00A1761D" w:rsidRPr="00602824">
        <w:rPr>
          <w:rStyle w:val="FootnoteReference"/>
        </w:rPr>
        <w:footnoteReference w:id="31"/>
      </w:r>
    </w:p>
    <w:tbl>
      <w:tblPr>
        <w:tblStyle w:val="NOUS1"/>
        <w:tblW w:w="0" w:type="auto"/>
        <w:tblLook w:val="04A0" w:firstRow="1" w:lastRow="0" w:firstColumn="1" w:lastColumn="0" w:noHBand="0" w:noVBand="1"/>
      </w:tblPr>
      <w:tblGrid>
        <w:gridCol w:w="2252"/>
        <w:gridCol w:w="6819"/>
      </w:tblGrid>
      <w:tr w:rsidR="005D7E36" w:rsidRPr="00602824" w14:paraId="40A7B29E" w14:textId="77777777" w:rsidTr="009167C3">
        <w:trPr>
          <w:cnfStyle w:val="100000000000" w:firstRow="1" w:lastRow="0" w:firstColumn="0" w:lastColumn="0" w:oddVBand="0" w:evenVBand="0" w:oddHBand="0" w:evenHBand="0" w:firstRowFirstColumn="0" w:firstRowLastColumn="0" w:lastRowFirstColumn="0" w:lastRowLastColumn="0"/>
        </w:trPr>
        <w:tc>
          <w:tcPr>
            <w:tcW w:w="2268" w:type="dxa"/>
          </w:tcPr>
          <w:p w14:paraId="4F8F0027" w14:textId="77777777" w:rsidR="005D7E36" w:rsidRPr="00602824" w:rsidRDefault="005D7E36" w:rsidP="00FB712C">
            <w:pPr>
              <w:pStyle w:val="TableNheader"/>
              <w:keepNext w:val="0"/>
              <w:spacing w:before="60" w:after="60" w:line="240" w:lineRule="auto"/>
              <w:jc w:val="center"/>
            </w:pPr>
            <w:r w:rsidRPr="00602824">
              <w:t>Stakeholder group</w:t>
            </w:r>
          </w:p>
        </w:tc>
        <w:tc>
          <w:tcPr>
            <w:tcW w:w="6917" w:type="dxa"/>
          </w:tcPr>
          <w:p w14:paraId="3C05AC17" w14:textId="77777777" w:rsidR="005D7E36" w:rsidRPr="00602824" w:rsidRDefault="005D7E36" w:rsidP="00FB712C">
            <w:pPr>
              <w:pStyle w:val="TableNheader"/>
              <w:keepNext w:val="0"/>
              <w:spacing w:before="60" w:after="60" w:line="240" w:lineRule="auto"/>
            </w:pPr>
            <w:r w:rsidRPr="00602824">
              <w:t>Perspectives on reform project</w:t>
            </w:r>
          </w:p>
        </w:tc>
      </w:tr>
      <w:tr w:rsidR="005D7E36" w:rsidRPr="00602824" w14:paraId="1E795506" w14:textId="77777777" w:rsidTr="009167C3">
        <w:tc>
          <w:tcPr>
            <w:tcW w:w="2268" w:type="dxa"/>
            <w:shd w:val="clear" w:color="auto" w:fill="00264D" w:themeFill="background2"/>
          </w:tcPr>
          <w:p w14:paraId="7C7C1D14" w14:textId="77777777" w:rsidR="005D7E36" w:rsidRPr="00602824" w:rsidRDefault="005D7E36" w:rsidP="00FB712C">
            <w:pPr>
              <w:pStyle w:val="TableNheader"/>
              <w:keepNext w:val="0"/>
              <w:spacing w:before="60" w:after="60" w:line="240" w:lineRule="auto"/>
              <w:jc w:val="center"/>
              <w:rPr>
                <w:color w:val="FFFFFF" w:themeColor="background1"/>
              </w:rPr>
            </w:pPr>
            <w:r w:rsidRPr="00602824">
              <w:rPr>
                <w:color w:val="FFFFFF" w:themeColor="background1"/>
              </w:rPr>
              <w:t>Private hospital sector</w:t>
            </w:r>
          </w:p>
          <w:p w14:paraId="5136FA41" w14:textId="77777777" w:rsidR="005D7E36" w:rsidRPr="00602824" w:rsidRDefault="005D7E36"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4231582E" wp14:editId="7A10C6EB">
                      <wp:extent cx="320633" cy="314696"/>
                      <wp:effectExtent l="0" t="0" r="3810" b="9525"/>
                      <wp:docPr id="1330020592" name="Freeform: Shape 1330020592"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330020592"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0C0BD1FE">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452B731E" w14:textId="3DEA61FE" w:rsidR="005D7E36" w:rsidRPr="00602824" w:rsidRDefault="005D7E36" w:rsidP="00B50EE7">
            <w:pPr>
              <w:pStyle w:val="TableNBullet"/>
              <w:spacing w:before="60" w:after="60"/>
            </w:pPr>
            <w:r w:rsidRPr="00602824">
              <w:t xml:space="preserve">Stakeholders </w:t>
            </w:r>
            <w:r w:rsidR="006E14B2">
              <w:t xml:space="preserve">generally </w:t>
            </w:r>
            <w:r w:rsidRPr="00602824">
              <w:t>viewed the Department’s decision to apply benefit reductions only to the device component as a considered approach that balanced cost containment with patient safety and service continuity.</w:t>
            </w:r>
            <w:r w:rsidR="006E14B2">
              <w:t xml:space="preserve"> Some stakeholders did not support any reduction.</w:t>
            </w:r>
          </w:p>
          <w:p w14:paraId="2EEC2821" w14:textId="09981DAE" w:rsidR="005D7E36" w:rsidRPr="00602824" w:rsidRDefault="005D7E36" w:rsidP="00B50EE7">
            <w:pPr>
              <w:pStyle w:val="TableNBullet"/>
              <w:spacing w:before="60" w:after="60"/>
            </w:pPr>
            <w:r w:rsidRPr="00602824">
              <w:t xml:space="preserve">Concerns were raised about the proposed removal of TSS from the PL benefit structure, which stakeholders said risks undermining sponsors’ ability to deliver these services via trained technicians. </w:t>
            </w:r>
            <w:r w:rsidR="00783C60">
              <w:t>T</w:t>
            </w:r>
            <w:r w:rsidR="00783C60" w:rsidRPr="00602824">
              <w:t xml:space="preserve">hey </w:t>
            </w:r>
            <w:r w:rsidRPr="00602824">
              <w:t>noted this could lead to reduced access</w:t>
            </w:r>
            <w:r w:rsidR="008B7B4D">
              <w:t>,</w:t>
            </w:r>
            <w:r w:rsidRPr="00602824">
              <w:t xml:space="preserve"> increased out-of-pocket costs for patients</w:t>
            </w:r>
            <w:r w:rsidR="003A0F9E">
              <w:t xml:space="preserve"> and increased financial pressure on hospitals</w:t>
            </w:r>
            <w:r w:rsidRPr="00602824">
              <w:t>.</w:t>
            </w:r>
            <w:r w:rsidR="00F913AF">
              <w:t xml:space="preserve"> </w:t>
            </w:r>
            <w:r w:rsidR="008C77C8">
              <w:t>As such, some hospital representatives oppos</w:t>
            </w:r>
            <w:r w:rsidR="00B47BD1">
              <w:t>e the decoupling of TSS funding from the device benefit.</w:t>
            </w:r>
          </w:p>
          <w:p w14:paraId="34CC58D9" w14:textId="2BB74AD1" w:rsidR="00A1208B" w:rsidRPr="00602824" w:rsidRDefault="008A466F" w:rsidP="002F38D1">
            <w:pPr>
              <w:pStyle w:val="TableNBullet"/>
              <w:spacing w:before="60" w:after="60"/>
            </w:pPr>
            <w:r>
              <w:t xml:space="preserve">However, </w:t>
            </w:r>
            <w:r w:rsidR="00F271D7">
              <w:t>oth</w:t>
            </w:r>
            <w:r>
              <w:t>e</w:t>
            </w:r>
            <w:r w:rsidR="00F271D7">
              <w:t>r</w:t>
            </w:r>
            <w:r w:rsidR="00741134">
              <w:t xml:space="preserve"> hospital representatives </w:t>
            </w:r>
            <w:r w:rsidR="005D7E36" w:rsidRPr="00602824">
              <w:t>support developing a new funding mechanism that unbundles device and service costs</w:t>
            </w:r>
            <w:r w:rsidR="007741FF">
              <w:t xml:space="preserve"> in the short term</w:t>
            </w:r>
            <w:r w:rsidR="005D7E36" w:rsidRPr="00602824">
              <w:t xml:space="preserve"> – </w:t>
            </w:r>
            <w:r w:rsidR="00740452">
              <w:t xml:space="preserve">with the goal of </w:t>
            </w:r>
            <w:r w:rsidR="005D7E36" w:rsidRPr="00602824">
              <w:t xml:space="preserve">preserving access to TSS without inflating device benefits. In the longer term, they support full separation of follow-up services from the PL, underpinned by a </w:t>
            </w:r>
            <w:r w:rsidR="005D7E36" w:rsidRPr="00602824">
              <w:lastRenderedPageBreak/>
              <w:t>sustainable mechanism for TSS. Any such reform would require broad input to clarify how costs would be distributed.</w:t>
            </w:r>
          </w:p>
        </w:tc>
      </w:tr>
      <w:tr w:rsidR="005D7E36" w:rsidRPr="00602824" w14:paraId="12F50B93" w14:textId="77777777" w:rsidTr="009167C3">
        <w:tc>
          <w:tcPr>
            <w:tcW w:w="2268" w:type="dxa"/>
            <w:shd w:val="clear" w:color="auto" w:fill="00264D" w:themeFill="background2"/>
          </w:tcPr>
          <w:p w14:paraId="2FBF9901" w14:textId="77777777" w:rsidR="005D7E36" w:rsidRPr="00602824" w:rsidRDefault="005D7E36" w:rsidP="00FB712C">
            <w:pPr>
              <w:pStyle w:val="TableNheader"/>
              <w:keepNext w:val="0"/>
              <w:spacing w:before="60" w:after="60" w:line="240" w:lineRule="auto"/>
              <w:jc w:val="center"/>
              <w:rPr>
                <w:color w:val="FFFFFF" w:themeColor="background1"/>
              </w:rPr>
            </w:pPr>
            <w:r w:rsidRPr="00602824">
              <w:rPr>
                <w:color w:val="FFFFFF" w:themeColor="background1"/>
              </w:rPr>
              <w:lastRenderedPageBreak/>
              <w:t>Private health insurance representatives</w:t>
            </w:r>
          </w:p>
          <w:p w14:paraId="7177687F" w14:textId="77777777" w:rsidR="005D7E36" w:rsidRPr="00602824" w:rsidRDefault="005D7E36"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70AC2499" wp14:editId="1704EBE8">
                      <wp:extent cx="292311" cy="292311"/>
                      <wp:effectExtent l="0" t="0" r="0" b="0"/>
                      <wp:docPr id="75441338" name="Freeform: Shape 75441338"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75441338"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588E3AD6">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0CF0C301" w14:textId="77777777" w:rsidR="005D7E36" w:rsidRPr="00602824" w:rsidRDefault="005D7E36" w:rsidP="00B50EE7">
            <w:pPr>
              <w:pStyle w:val="TableNBullet"/>
              <w:spacing w:before="60" w:after="60"/>
            </w:pPr>
            <w:r w:rsidRPr="00602824">
              <w:t>Insurers were disappointed by the deferral of benefit reductions for CIEDs, stating it contributed to lower-than-expected cost savings. They were also critical of sponsors’ engagement with the MSAC application (1724).</w:t>
            </w:r>
          </w:p>
          <w:p w14:paraId="0B75C260" w14:textId="25AE835B" w:rsidR="005D7E36" w:rsidRPr="00602824" w:rsidRDefault="005D7E36" w:rsidP="00B50EE7">
            <w:pPr>
              <w:pStyle w:val="TableNBullet"/>
              <w:spacing w:before="60" w:after="60"/>
            </w:pPr>
            <w:r w:rsidRPr="00602824">
              <w:t xml:space="preserve">Insurers acknowledged the role of TSS but noted that not all patients receive these services. They </w:t>
            </w:r>
            <w:r w:rsidR="00D3056B" w:rsidRPr="00602824">
              <w:t xml:space="preserve">argue that </w:t>
            </w:r>
            <w:r w:rsidRPr="00602824">
              <w:t xml:space="preserve">prices </w:t>
            </w:r>
            <w:r w:rsidR="0046518D" w:rsidRPr="00602824">
              <w:t>are</w:t>
            </w:r>
            <w:r w:rsidRPr="00602824">
              <w:t xml:space="preserve"> excessively high and should be reduced immediately.</w:t>
            </w:r>
          </w:p>
          <w:p w14:paraId="2890EB19" w14:textId="6AC8AE0E" w:rsidR="005D7E36" w:rsidRPr="00602824" w:rsidRDefault="005D7E36" w:rsidP="00B50EE7">
            <w:pPr>
              <w:pStyle w:val="TableNBullet"/>
              <w:spacing w:before="60" w:after="60"/>
            </w:pPr>
            <w:r w:rsidRPr="00602824">
              <w:t>Stakeholders expressed concern about the appropriateness of funding TSS through the PL. They noted that there is limited visibility over who delivers TSS, how long services are provided for, or whether they are effective – contributing to concerns about the transparency and value of the current approach.</w:t>
            </w:r>
          </w:p>
          <w:p w14:paraId="5A97F73F" w14:textId="77777777" w:rsidR="005D7E36" w:rsidRPr="00602824" w:rsidRDefault="005D7E36" w:rsidP="00B50EE7">
            <w:pPr>
              <w:pStyle w:val="TableNBullet"/>
              <w:spacing w:before="60" w:after="60"/>
            </w:pPr>
            <w:r w:rsidRPr="00602824">
              <w:t>Insurers reported they were not aware of any other implantable devices on the PL where assumed TSS costs are embedded in the benefit, suggesting the CIED pricing structure is inconsistent with other listings.</w:t>
            </w:r>
          </w:p>
        </w:tc>
      </w:tr>
      <w:tr w:rsidR="005D7E36" w:rsidRPr="00602824" w14:paraId="4C9EDD94" w14:textId="77777777" w:rsidTr="009167C3">
        <w:tc>
          <w:tcPr>
            <w:tcW w:w="2268" w:type="dxa"/>
            <w:shd w:val="clear" w:color="auto" w:fill="00264D" w:themeFill="background2"/>
          </w:tcPr>
          <w:p w14:paraId="5DC9B827" w14:textId="77777777" w:rsidR="005D7E36" w:rsidRPr="00602824" w:rsidRDefault="005D7E36" w:rsidP="00FB712C">
            <w:pPr>
              <w:pStyle w:val="TableNheader"/>
              <w:keepNext w:val="0"/>
              <w:spacing w:before="60" w:after="60" w:line="240" w:lineRule="auto"/>
              <w:jc w:val="center"/>
              <w:rPr>
                <w:color w:val="FFFFFF" w:themeColor="background1"/>
              </w:rPr>
            </w:pPr>
            <w:r w:rsidRPr="00602824">
              <w:rPr>
                <w:color w:val="FFFFFF" w:themeColor="background1"/>
              </w:rPr>
              <w:t>Medical technology representatives</w:t>
            </w:r>
          </w:p>
          <w:p w14:paraId="12FE180D" w14:textId="77777777" w:rsidR="005D7E36" w:rsidRPr="00602824" w:rsidRDefault="005D7E36" w:rsidP="00FB712C">
            <w:pPr>
              <w:pStyle w:val="TableNheader"/>
              <w:keepNext w:val="0"/>
              <w:spacing w:before="60" w:after="60" w:line="240" w:lineRule="auto"/>
              <w:jc w:val="center"/>
              <w:rPr>
                <w:color w:val="FFFFFF" w:themeColor="background1"/>
              </w:rPr>
            </w:pPr>
            <w:r w:rsidRPr="00AC7E3F">
              <w:rPr>
                <w:i/>
                <w:iCs/>
                <w:noProof/>
              </w:rPr>
              <w:drawing>
                <wp:inline distT="0" distB="0" distL="0" distR="0" wp14:anchorId="32DAF388" wp14:editId="14BD707E">
                  <wp:extent cx="309245" cy="336734"/>
                  <wp:effectExtent l="0" t="0" r="0" b="6350"/>
                  <wp:docPr id="43480313" name="Graphic 43480313"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38ED7055" w14:textId="77777777" w:rsidR="005D7E36" w:rsidRPr="00602824" w:rsidRDefault="005D7E36" w:rsidP="00B50EE7">
            <w:pPr>
              <w:pStyle w:val="TableNBullet"/>
              <w:spacing w:before="60" w:after="60"/>
            </w:pPr>
            <w:r w:rsidRPr="00602824">
              <w:t>Stakeholders agreed that the Department’s approach to benefit reductions for CIEDs was appropriate in principle but raised concerns about the lack of clarity around TSS and its implications for service delivery.</w:t>
            </w:r>
          </w:p>
          <w:p w14:paraId="07FB3CE8" w14:textId="77777777" w:rsidR="005D7E36" w:rsidRPr="00602824" w:rsidRDefault="005D7E36" w:rsidP="00B50EE7">
            <w:pPr>
              <w:pStyle w:val="TableNBullet"/>
              <w:spacing w:before="60" w:after="60"/>
            </w:pPr>
            <w:r w:rsidRPr="00602824">
              <w:t>They emphasised that CIEDs involve a unique care model that was not fully reflected in the PL benefit structure, particularly the embedded service component.</w:t>
            </w:r>
          </w:p>
          <w:p w14:paraId="4C5C4375" w14:textId="77777777" w:rsidR="005D7E36" w:rsidRPr="00602824" w:rsidRDefault="005D7E36" w:rsidP="00B50EE7">
            <w:pPr>
              <w:pStyle w:val="TableNBullet"/>
              <w:spacing w:before="60" w:after="60"/>
            </w:pPr>
            <w:r w:rsidRPr="00602824">
              <w:t>The inclusion of CIEDs in the adjustment model without consideration of TSS created unrealistic expectations around potential savings.</w:t>
            </w:r>
          </w:p>
          <w:p w14:paraId="0A94BBAB" w14:textId="629F5936" w:rsidR="005D7E36" w:rsidRPr="00602824" w:rsidRDefault="005D7E36" w:rsidP="00B50EE7">
            <w:pPr>
              <w:pStyle w:val="TableNBullet"/>
              <w:spacing w:before="60" w:after="60"/>
            </w:pPr>
            <w:r w:rsidRPr="00602824">
              <w:t xml:space="preserve">Stakeholders acknowledged the Department’s efforts to understand the delivery model and minimise adverse impacts on </w:t>
            </w:r>
            <w:r w:rsidR="004A357C" w:rsidRPr="00602824">
              <w:t>patients but</w:t>
            </w:r>
            <w:r w:rsidRPr="00602824">
              <w:t xml:space="preserve"> warned that further cuts could affect the industry’s ability to continue delivering TSS.</w:t>
            </w:r>
          </w:p>
          <w:p w14:paraId="06F052A3" w14:textId="77777777" w:rsidR="005D7E36" w:rsidRPr="00602824" w:rsidRDefault="005D7E36" w:rsidP="00B50EE7">
            <w:pPr>
              <w:pStyle w:val="TableNBullet"/>
              <w:spacing w:before="60" w:after="60"/>
            </w:pPr>
            <w:r w:rsidRPr="00602824">
              <w:t>They maintained that the current model is still the most cost-effective for delivering outcomes across comparable healthcare systems and noted that manufacturers have already absorbed multiple rounds of reductions.</w:t>
            </w:r>
          </w:p>
        </w:tc>
      </w:tr>
      <w:tr w:rsidR="005D7E36" w:rsidRPr="00602824" w14:paraId="00C1917B" w14:textId="77777777" w:rsidTr="009167C3">
        <w:tc>
          <w:tcPr>
            <w:tcW w:w="2268" w:type="dxa"/>
            <w:shd w:val="clear" w:color="auto" w:fill="00264D" w:themeFill="background2"/>
          </w:tcPr>
          <w:p w14:paraId="05A7509C" w14:textId="77777777" w:rsidR="005D7E36" w:rsidRPr="00602824" w:rsidRDefault="005D7E36" w:rsidP="00FB712C">
            <w:pPr>
              <w:pStyle w:val="TableNheader"/>
              <w:keepNext w:val="0"/>
              <w:spacing w:before="60" w:after="60" w:line="240" w:lineRule="auto"/>
              <w:jc w:val="center"/>
              <w:rPr>
                <w:color w:val="FFFFFF" w:themeColor="background1"/>
              </w:rPr>
            </w:pPr>
            <w:r w:rsidRPr="00602824">
              <w:rPr>
                <w:color w:val="FFFFFF" w:themeColor="background1"/>
              </w:rPr>
              <w:t>Clinician representatives</w:t>
            </w:r>
          </w:p>
          <w:p w14:paraId="775A4592" w14:textId="77777777" w:rsidR="005D7E36" w:rsidRPr="00602824" w:rsidRDefault="005D7E36" w:rsidP="00FB712C">
            <w:pPr>
              <w:pStyle w:val="TableNheader"/>
              <w:keepNext w:val="0"/>
              <w:spacing w:before="60" w:after="60" w:line="240" w:lineRule="auto"/>
              <w:jc w:val="center"/>
              <w:rPr>
                <w:color w:val="FFFFFF" w:themeColor="background1"/>
              </w:rPr>
            </w:pPr>
            <w:r w:rsidRPr="00AC7E3F">
              <w:rPr>
                <w:noProof/>
              </w:rPr>
              <w:drawing>
                <wp:inline distT="0" distB="0" distL="0" distR="0" wp14:anchorId="42913B35" wp14:editId="58994B40">
                  <wp:extent cx="267970" cy="323215"/>
                  <wp:effectExtent l="0" t="0" r="0" b="635"/>
                  <wp:docPr id="912594436"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5D2BE6B3" w14:textId="77777777" w:rsidR="005D7E36" w:rsidRPr="00602824" w:rsidRDefault="005D7E36" w:rsidP="00B50EE7">
            <w:pPr>
              <w:pStyle w:val="TableNBullet"/>
              <w:spacing w:before="60" w:after="60"/>
            </w:pPr>
            <w:r w:rsidRPr="00602824">
              <w:t>Clinicians emphasised that any reformed approach to TSS must ensure it is adequately funded to avoid out-of-pocket costs for patients. In the absence of an alternative, they supported continuing to fund TSS through the PL.</w:t>
            </w:r>
          </w:p>
          <w:p w14:paraId="783E5A2F" w14:textId="77777777" w:rsidR="005D7E36" w:rsidRPr="00602824" w:rsidRDefault="005D7E36" w:rsidP="00B50EE7">
            <w:pPr>
              <w:pStyle w:val="TableNBullet"/>
              <w:spacing w:before="60" w:after="60"/>
            </w:pPr>
            <w:r w:rsidRPr="00602824">
              <w:t>They proposed establishing a national CIED register as a first step to improve understanding of service delivery models and to inform more accurate costings of TSS currently provided by industry.</w:t>
            </w:r>
          </w:p>
          <w:p w14:paraId="0B16B244" w14:textId="22AEBD5F" w:rsidR="005D7E36" w:rsidRPr="00602824" w:rsidRDefault="005D7E36" w:rsidP="00B50EE7">
            <w:pPr>
              <w:pStyle w:val="TableNBullet"/>
              <w:spacing w:before="60" w:after="60"/>
            </w:pPr>
            <w:r w:rsidRPr="00602824">
              <w:t xml:space="preserve">One clinician group advocated for developing a workforce of </w:t>
            </w:r>
            <w:r w:rsidR="004A357C" w:rsidRPr="00602824">
              <w:t>fully trained</w:t>
            </w:r>
            <w:r w:rsidRPr="00602824">
              <w:t xml:space="preserve"> independent cardiac physiologists to deliver TSS currently performed by device companies. They stressed the need to design such a model in a way that ensures continuity of services for patients during any transition.</w:t>
            </w:r>
          </w:p>
        </w:tc>
      </w:tr>
    </w:tbl>
    <w:p w14:paraId="72808DF5" w14:textId="77777777" w:rsidR="002D734E" w:rsidRPr="002D734E" w:rsidRDefault="002D734E" w:rsidP="00FB712C">
      <w:bookmarkStart w:id="31" w:name="_Toc181405078"/>
    </w:p>
    <w:p w14:paraId="2947C1A9" w14:textId="77777777" w:rsidR="0079209E" w:rsidRDefault="0079209E" w:rsidP="002D734E"/>
    <w:p w14:paraId="3BC5EF4C" w14:textId="77777777" w:rsidR="002D734E" w:rsidRDefault="002D734E" w:rsidP="002D734E"/>
    <w:p w14:paraId="3B4BF7AB" w14:textId="77777777" w:rsidR="002D734E" w:rsidRDefault="002D734E" w:rsidP="002D734E"/>
    <w:p w14:paraId="3AF73DE2" w14:textId="77777777" w:rsidR="002D734E" w:rsidRDefault="002D734E" w:rsidP="002D734E"/>
    <w:p w14:paraId="44125733" w14:textId="77777777" w:rsidR="002D734E" w:rsidRDefault="002D734E" w:rsidP="002D734E"/>
    <w:p w14:paraId="5B3098AB" w14:textId="77777777" w:rsidR="002D734E" w:rsidRPr="002D734E" w:rsidRDefault="002D734E" w:rsidP="002D734E"/>
    <w:p w14:paraId="623A5AE7" w14:textId="3E95868D" w:rsidR="00145265" w:rsidRPr="00602824" w:rsidRDefault="00145265" w:rsidP="00145265">
      <w:pPr>
        <w:pStyle w:val="Heading2"/>
      </w:pPr>
      <w:bookmarkStart w:id="32" w:name="_Toc209176969"/>
      <w:r w:rsidRPr="00602824">
        <w:lastRenderedPageBreak/>
        <w:t>Objective 2: Maintain no additional out-of-pocket costs associated with the PL devices for consumers</w:t>
      </w:r>
      <w:bookmarkEnd w:id="31"/>
      <w:bookmarkEnd w:id="32"/>
    </w:p>
    <w:p w14:paraId="73BE2F4D" w14:textId="77777777" w:rsidR="00145265" w:rsidRPr="00602824" w:rsidRDefault="00145265" w:rsidP="00145265">
      <w:pPr>
        <w:rPr>
          <w:i/>
          <w:iCs/>
        </w:rPr>
      </w:pPr>
      <w:r w:rsidRPr="00602824">
        <w:rPr>
          <w:i/>
          <w:iCs/>
        </w:rPr>
        <w:t>This section considers any change in out-of-pocket costs related to PL items. It examines the prevalence of a gap payment for PL items and the average gap payment for PL-listed items.</w:t>
      </w:r>
    </w:p>
    <w:p w14:paraId="62297F94" w14:textId="0DA1C36C" w:rsidR="00145265" w:rsidRPr="00FB712C" w:rsidRDefault="00145265" w:rsidP="00B50EE7">
      <w:pPr>
        <w:pStyle w:val="Caption"/>
      </w:pPr>
      <w:r w:rsidRPr="00B50EE7">
        <w:t xml:space="preserve">Figure </w:t>
      </w:r>
      <w:r w:rsidR="002604D0">
        <w:fldChar w:fldCharType="begin"/>
      </w:r>
      <w:r w:rsidR="002604D0">
        <w:instrText xml:space="preserve"> SEQ Figure \* ARABIC </w:instrText>
      </w:r>
      <w:r w:rsidR="002604D0">
        <w:fldChar w:fldCharType="separate"/>
      </w:r>
      <w:r w:rsidR="00D30634">
        <w:rPr>
          <w:noProof/>
        </w:rPr>
        <w:t>9</w:t>
      </w:r>
      <w:r w:rsidR="002604D0">
        <w:fldChar w:fldCharType="end"/>
      </w:r>
      <w:r w:rsidRPr="00B50EE7">
        <w:t xml:space="preserve"> | Reform projects related to reform objective 2</w:t>
      </w:r>
    </w:p>
    <w:p w14:paraId="6D102C1A" w14:textId="77777777" w:rsidR="00145265" w:rsidRPr="00602824" w:rsidRDefault="00145265" w:rsidP="00145265">
      <w:pPr>
        <w:rPr>
          <w:lang w:eastAsia="en-AU"/>
        </w:rPr>
      </w:pPr>
      <w:r w:rsidRPr="00AC7E3F">
        <w:rPr>
          <w:noProof/>
          <w:lang w:eastAsia="en-AU"/>
        </w:rPr>
        <w:drawing>
          <wp:inline distT="0" distB="0" distL="0" distR="0" wp14:anchorId="2078CB65" wp14:editId="551FB589">
            <wp:extent cx="5750308" cy="1473959"/>
            <wp:effectExtent l="0" t="0" r="3175" b="0"/>
            <wp:docPr id="813561773" name="Picture 1" descr="A figure showing reform objective 2. Maintain no additional out-of-pocket costs is maintained through guardrails on benefit reductions. Objective 2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61773" name="Picture 1" descr="A figure showing reform objective 2. Maintain no additional out-of-pocket costs is maintained through guardrails on benefit reductions. Objective 2 is also connected with a dotted line to benefit reductions."/>
                    <pic:cNvPicPr/>
                  </pic:nvPicPr>
                  <pic:blipFill>
                    <a:blip r:embed="rId34"/>
                    <a:stretch>
                      <a:fillRect/>
                    </a:stretch>
                  </pic:blipFill>
                  <pic:spPr>
                    <a:xfrm>
                      <a:off x="0" y="0"/>
                      <a:ext cx="5777529" cy="1480937"/>
                    </a:xfrm>
                    <a:prstGeom prst="rect">
                      <a:avLst/>
                    </a:prstGeom>
                  </pic:spPr>
                </pic:pic>
              </a:graphicData>
            </a:graphic>
          </wp:inline>
        </w:drawing>
      </w:r>
    </w:p>
    <w:p w14:paraId="7C21B352" w14:textId="33EB1D53" w:rsidR="00BA60EC" w:rsidRPr="00602824" w:rsidRDefault="00590C34" w:rsidP="00EB0B57">
      <w:pPr>
        <w:pStyle w:val="Heading3"/>
      </w:pPr>
      <w:r w:rsidRPr="00602824">
        <w:t xml:space="preserve">Implementation </w:t>
      </w:r>
      <w:r w:rsidR="00592B9F" w:rsidRPr="00602824">
        <w:t>p</w:t>
      </w:r>
      <w:r w:rsidRPr="00602824">
        <w:t>rogress</w:t>
      </w:r>
      <w:r w:rsidR="009E39DE" w:rsidRPr="00602824">
        <w:t xml:space="preserve">: </w:t>
      </w:r>
      <w:r w:rsidR="00592B9F" w:rsidRPr="00602824">
        <w:t>o</w:t>
      </w:r>
      <w:r w:rsidR="009E39DE" w:rsidRPr="00602824">
        <w:t>ut</w:t>
      </w:r>
      <w:r w:rsidR="0003205A" w:rsidRPr="00602824">
        <w:t>-</w:t>
      </w:r>
      <w:r w:rsidR="009E39DE" w:rsidRPr="00602824">
        <w:t>of</w:t>
      </w:r>
      <w:r w:rsidR="0003205A" w:rsidRPr="00602824">
        <w:t>-</w:t>
      </w:r>
      <w:r w:rsidR="009E39DE" w:rsidRPr="00602824">
        <w:t>pocket costs</w:t>
      </w:r>
    </w:p>
    <w:tbl>
      <w:tblPr>
        <w:tblStyle w:val="NOUSSideHeader4"/>
        <w:tblW w:w="0" w:type="auto"/>
        <w:tblLook w:val="04A0" w:firstRow="1" w:lastRow="0" w:firstColumn="1" w:lastColumn="0" w:noHBand="0" w:noVBand="1"/>
      </w:tblPr>
      <w:tblGrid>
        <w:gridCol w:w="9061"/>
      </w:tblGrid>
      <w:tr w:rsidR="009E39DE" w:rsidRPr="00602824" w14:paraId="190148AC" w14:textId="77777777" w:rsidTr="00CF6F82">
        <w:trPr>
          <w:cnfStyle w:val="100000000000" w:firstRow="1" w:lastRow="0" w:firstColumn="0" w:lastColumn="0" w:oddVBand="0" w:evenVBand="0" w:oddHBand="0" w:evenHBand="0" w:firstRowFirstColumn="0" w:firstRowLastColumn="0" w:lastRowFirstColumn="0" w:lastRowLastColumn="0"/>
        </w:trPr>
        <w:tc>
          <w:tcPr>
            <w:tcW w:w="9061" w:type="dxa"/>
          </w:tcPr>
          <w:p w14:paraId="4BF88B35" w14:textId="5744A0DA" w:rsidR="009E39DE" w:rsidRPr="00602824" w:rsidRDefault="009E39DE" w:rsidP="00FB712C">
            <w:pPr>
              <w:spacing w:before="120"/>
            </w:pPr>
            <w:r w:rsidRPr="00602824">
              <w:rPr>
                <w:lang w:eastAsia="en-AU"/>
              </w:rPr>
              <w:t>There were no specific activities associated with the maintenance of out</w:t>
            </w:r>
            <w:r w:rsidR="0003205A" w:rsidRPr="00602824">
              <w:rPr>
                <w:lang w:eastAsia="en-AU"/>
              </w:rPr>
              <w:t>-</w:t>
            </w:r>
            <w:r w:rsidRPr="00602824">
              <w:rPr>
                <w:lang w:eastAsia="en-AU"/>
              </w:rPr>
              <w:t>of</w:t>
            </w:r>
            <w:r w:rsidR="0003205A" w:rsidRPr="00602824">
              <w:rPr>
                <w:lang w:eastAsia="en-AU"/>
              </w:rPr>
              <w:t>-</w:t>
            </w:r>
            <w:r w:rsidRPr="00602824">
              <w:rPr>
                <w:lang w:eastAsia="en-AU"/>
              </w:rPr>
              <w:t>pocket costs during this period.</w:t>
            </w:r>
            <w:r w:rsidR="004012DD" w:rsidRPr="00602824">
              <w:rPr>
                <w:lang w:eastAsia="en-AU"/>
              </w:rPr>
              <w:t xml:space="preserve"> The findings remain </w:t>
            </w:r>
            <w:proofErr w:type="gramStart"/>
            <w:r w:rsidR="004012DD" w:rsidRPr="00602824">
              <w:rPr>
                <w:lang w:eastAsia="en-AU"/>
              </w:rPr>
              <w:t>similar to</w:t>
            </w:r>
            <w:proofErr w:type="gramEnd"/>
            <w:r w:rsidR="004012DD" w:rsidRPr="00602824">
              <w:rPr>
                <w:lang w:eastAsia="en-AU"/>
              </w:rPr>
              <w:t xml:space="preserve"> </w:t>
            </w:r>
            <w:r w:rsidR="00B0280E" w:rsidRPr="00602824">
              <w:rPr>
                <w:lang w:eastAsia="en-AU"/>
              </w:rPr>
              <w:t xml:space="preserve">those in the </w:t>
            </w:r>
            <w:r w:rsidR="004012DD" w:rsidRPr="00602824">
              <w:rPr>
                <w:i/>
                <w:lang w:eastAsia="en-AU"/>
              </w:rPr>
              <w:t xml:space="preserve">Interim </w:t>
            </w:r>
            <w:r w:rsidR="00B0280E" w:rsidRPr="00602824">
              <w:rPr>
                <w:i/>
                <w:iCs/>
                <w:lang w:eastAsia="en-AU"/>
              </w:rPr>
              <w:t>Evaluation</w:t>
            </w:r>
            <w:r w:rsidR="004012DD" w:rsidRPr="00602824">
              <w:rPr>
                <w:i/>
                <w:iCs/>
                <w:lang w:eastAsia="en-AU"/>
              </w:rPr>
              <w:t xml:space="preserve"> #1</w:t>
            </w:r>
            <w:r w:rsidR="00B0280E" w:rsidRPr="00602824">
              <w:rPr>
                <w:i/>
                <w:iCs/>
                <w:lang w:eastAsia="en-AU"/>
              </w:rPr>
              <w:t xml:space="preserve"> </w:t>
            </w:r>
            <w:r w:rsidR="004012DD" w:rsidRPr="00602824">
              <w:rPr>
                <w:i/>
                <w:lang w:eastAsia="en-AU"/>
              </w:rPr>
              <w:t>report</w:t>
            </w:r>
            <w:r w:rsidR="004012DD" w:rsidRPr="00602824">
              <w:rPr>
                <w:lang w:eastAsia="en-AU"/>
              </w:rPr>
              <w:t>.</w:t>
            </w:r>
          </w:p>
        </w:tc>
      </w:tr>
    </w:tbl>
    <w:p w14:paraId="678D5F3E" w14:textId="280AAB5F" w:rsidR="00EB0B57" w:rsidRPr="00602824" w:rsidRDefault="00572096" w:rsidP="00EB0B57">
      <w:pPr>
        <w:pStyle w:val="Heading3"/>
      </w:pPr>
      <w:bookmarkStart w:id="33" w:name="_Ref202812206"/>
      <w:r w:rsidRPr="00602824">
        <w:t>The reforms maintain minimal out-of-pocket costs for PL items</w:t>
      </w:r>
      <w:bookmarkEnd w:id="33"/>
    </w:p>
    <w:p w14:paraId="7D6EC429" w14:textId="791DF61F" w:rsidR="00FC26B6" w:rsidRPr="00602824" w:rsidRDefault="006D7502" w:rsidP="00C97795">
      <w:pPr>
        <w:rPr>
          <w:lang w:eastAsia="en-AU"/>
        </w:rPr>
      </w:pPr>
      <w:r w:rsidRPr="00602824">
        <w:rPr>
          <w:lang w:eastAsia="en-AU"/>
        </w:rPr>
        <w:t>The PL reforms have successfully maintained low out-of-pocket costs for consumers. Health Casemix Protocol (HCP) data shows that direct gap payments for prostheses remain rare.</w:t>
      </w:r>
      <w:r w:rsidR="008F4F42" w:rsidRPr="00602824">
        <w:rPr>
          <w:rStyle w:val="FootnoteReference"/>
          <w:lang w:eastAsia="en-AU"/>
        </w:rPr>
        <w:footnoteReference w:id="32"/>
      </w:r>
      <w:r w:rsidR="008F4F42" w:rsidRPr="00602824">
        <w:rPr>
          <w:vertAlign w:val="superscript"/>
          <w:lang w:eastAsia="en-AU"/>
        </w:rPr>
        <w:t>,</w:t>
      </w:r>
      <w:r w:rsidR="00FF4B47" w:rsidRPr="00602824">
        <w:rPr>
          <w:rStyle w:val="FootnoteReference"/>
          <w:lang w:eastAsia="en-AU"/>
        </w:rPr>
        <w:footnoteReference w:id="33"/>
      </w:r>
      <w:r w:rsidRPr="00602824">
        <w:rPr>
          <w:lang w:eastAsia="en-AU"/>
        </w:rPr>
        <w:t xml:space="preserve"> However, stakeholders have reported occasional cases where consumers were financially worse off, and there remains a risk of increas</w:t>
      </w:r>
      <w:r w:rsidR="00CF547E" w:rsidRPr="00602824">
        <w:rPr>
          <w:lang w:eastAsia="en-AU"/>
        </w:rPr>
        <w:t>ed</w:t>
      </w:r>
      <w:r w:rsidRPr="00602824">
        <w:rPr>
          <w:lang w:eastAsia="en-AU"/>
        </w:rPr>
        <w:t xml:space="preserve"> cost-shifting behaviour</w:t>
      </w:r>
      <w:r w:rsidR="000A48F9" w:rsidRPr="00602824">
        <w:rPr>
          <w:lang w:eastAsia="en-AU"/>
        </w:rPr>
        <w:t>.</w:t>
      </w:r>
    </w:p>
    <w:p w14:paraId="43B0EDF9" w14:textId="67FD8D66" w:rsidR="00FC26B6" w:rsidRPr="00602824" w:rsidRDefault="00FC26B6" w:rsidP="00FC26B6">
      <w:pPr>
        <w:pStyle w:val="Heading4"/>
      </w:pPr>
      <w:r w:rsidRPr="00602824">
        <w:t>Gap payments for PL items remain</w:t>
      </w:r>
      <w:r w:rsidR="00572096" w:rsidRPr="00602824">
        <w:t xml:space="preserve"> consistently rare</w:t>
      </w:r>
    </w:p>
    <w:p w14:paraId="2736C7D1" w14:textId="1958E98F" w:rsidR="00DF5225" w:rsidRPr="00602824" w:rsidRDefault="003726BA" w:rsidP="00DF5225">
      <w:pPr>
        <w:rPr>
          <w:lang w:eastAsia="en-AU"/>
        </w:rPr>
      </w:pPr>
      <w:r w:rsidRPr="00602824">
        <w:rPr>
          <w:lang w:eastAsia="en-AU"/>
        </w:rPr>
        <w:fldChar w:fldCharType="begin"/>
      </w:r>
      <w:r w:rsidRPr="00602824">
        <w:rPr>
          <w:lang w:eastAsia="en-AU"/>
        </w:rPr>
        <w:instrText xml:space="preserve"> REF _Ref202353700 \h </w:instrText>
      </w:r>
      <w:r w:rsidRPr="00602824">
        <w:rPr>
          <w:lang w:eastAsia="en-AU"/>
        </w:rPr>
      </w:r>
      <w:r w:rsidRPr="00602824">
        <w:rPr>
          <w:lang w:eastAsia="en-AU"/>
        </w:rPr>
        <w:fldChar w:fldCharType="separate"/>
      </w:r>
      <w:r w:rsidR="00D30634" w:rsidRPr="00602824">
        <w:t xml:space="preserve">Figure </w:t>
      </w:r>
      <w:r w:rsidR="00D30634">
        <w:rPr>
          <w:noProof/>
        </w:rPr>
        <w:t>10</w:t>
      </w:r>
      <w:r w:rsidRPr="00602824">
        <w:rPr>
          <w:lang w:eastAsia="en-AU"/>
        </w:rPr>
        <w:fldChar w:fldCharType="end"/>
      </w:r>
      <w:r w:rsidRPr="00602824">
        <w:rPr>
          <w:lang w:eastAsia="en-AU"/>
        </w:rPr>
        <w:t xml:space="preserve"> </w:t>
      </w:r>
      <w:r w:rsidR="00105D7D" w:rsidRPr="00602824">
        <w:rPr>
          <w:lang w:eastAsia="en-AU"/>
        </w:rPr>
        <w:t>shows that gap payments are uncommon across the PL, with only 0.24% of PL items used in FY24 incurring a gap payment over $1.</w:t>
      </w:r>
      <w:r w:rsidR="001A0002" w:rsidRPr="00602824">
        <w:rPr>
          <w:lang w:eastAsia="en-AU"/>
        </w:rPr>
        <w:t xml:space="preserve"> </w:t>
      </w:r>
      <w:r w:rsidR="001A0002" w:rsidRPr="00602824">
        <w:rPr>
          <w:lang w:eastAsia="en-AU"/>
        </w:rPr>
        <w:fldChar w:fldCharType="begin"/>
      </w:r>
      <w:r w:rsidR="001A0002" w:rsidRPr="00602824">
        <w:rPr>
          <w:lang w:eastAsia="en-AU"/>
        </w:rPr>
        <w:instrText xml:space="preserve"> REF _Ref202353844 \h </w:instrText>
      </w:r>
      <w:r w:rsidR="001A0002" w:rsidRPr="00602824">
        <w:rPr>
          <w:lang w:eastAsia="en-AU"/>
        </w:rPr>
      </w:r>
      <w:r w:rsidR="001A0002" w:rsidRPr="00602824">
        <w:rPr>
          <w:lang w:eastAsia="en-AU"/>
        </w:rPr>
        <w:fldChar w:fldCharType="separate"/>
      </w:r>
      <w:r w:rsidR="00D30634" w:rsidRPr="004A357C">
        <w:t xml:space="preserve">Table </w:t>
      </w:r>
      <w:r w:rsidR="00D30634">
        <w:rPr>
          <w:noProof/>
        </w:rPr>
        <w:t>27</w:t>
      </w:r>
      <w:r w:rsidR="001A0002" w:rsidRPr="00602824">
        <w:rPr>
          <w:lang w:eastAsia="en-AU"/>
        </w:rPr>
        <w:fldChar w:fldCharType="end"/>
      </w:r>
      <w:r w:rsidR="001A0002" w:rsidRPr="00602824">
        <w:rPr>
          <w:lang w:eastAsia="en-AU"/>
        </w:rPr>
        <w:t xml:space="preserve"> (</w:t>
      </w:r>
      <w:r w:rsidR="006852B0" w:rsidRPr="00602824">
        <w:rPr>
          <w:lang w:eastAsia="en-AU"/>
        </w:rPr>
        <w:t xml:space="preserve">Appendix </w:t>
      </w:r>
      <w:r w:rsidR="006852B0" w:rsidRPr="00602824">
        <w:rPr>
          <w:lang w:eastAsia="en-AU"/>
        </w:rPr>
        <w:fldChar w:fldCharType="begin"/>
      </w:r>
      <w:r w:rsidR="006852B0" w:rsidRPr="00602824">
        <w:rPr>
          <w:lang w:eastAsia="en-AU"/>
        </w:rPr>
        <w:instrText xml:space="preserve"> REF _Ref202353872 \r \h </w:instrText>
      </w:r>
      <w:r w:rsidR="006852B0" w:rsidRPr="00602824">
        <w:rPr>
          <w:lang w:eastAsia="en-AU"/>
        </w:rPr>
      </w:r>
      <w:r w:rsidR="006852B0" w:rsidRPr="00602824">
        <w:rPr>
          <w:lang w:eastAsia="en-AU"/>
        </w:rPr>
        <w:fldChar w:fldCharType="separate"/>
      </w:r>
      <w:r w:rsidR="00D30634">
        <w:rPr>
          <w:lang w:eastAsia="en-AU"/>
        </w:rPr>
        <w:t>D.3</w:t>
      </w:r>
      <w:r w:rsidR="006852B0" w:rsidRPr="00602824">
        <w:rPr>
          <w:lang w:eastAsia="en-AU"/>
        </w:rPr>
        <w:fldChar w:fldCharType="end"/>
      </w:r>
      <w:r w:rsidR="006852B0" w:rsidRPr="00602824">
        <w:rPr>
          <w:lang w:eastAsia="en-AU"/>
        </w:rPr>
        <w:t xml:space="preserve">) </w:t>
      </w:r>
      <w:r w:rsidR="00506856" w:rsidRPr="00602824">
        <w:rPr>
          <w:lang w:eastAsia="en-AU"/>
        </w:rPr>
        <w:t xml:space="preserve">shows the prevalence of gap payments is around 1% or lower across all Part A categories, except for </w:t>
      </w:r>
      <w:r w:rsidR="00FD648A" w:rsidRPr="00602824">
        <w:rPr>
          <w:lang w:eastAsia="en-AU"/>
        </w:rPr>
        <w:t>c</w:t>
      </w:r>
      <w:r w:rsidR="00506856" w:rsidRPr="00602824">
        <w:rPr>
          <w:lang w:eastAsia="en-AU"/>
        </w:rPr>
        <w:t>ardiothoracic items, which have a slightly higher rate of 2.</w:t>
      </w:r>
      <w:r w:rsidR="000F4156">
        <w:rPr>
          <w:lang w:eastAsia="en-AU"/>
        </w:rPr>
        <w:t>63</w:t>
      </w:r>
      <w:r w:rsidR="00506856" w:rsidRPr="00602824">
        <w:rPr>
          <w:lang w:eastAsia="en-AU"/>
        </w:rPr>
        <w:t>%.</w:t>
      </w:r>
      <w:r w:rsidR="00B46891" w:rsidRPr="00602824">
        <w:rPr>
          <w:lang w:eastAsia="en-AU"/>
        </w:rPr>
        <w:t xml:space="preserve"> </w:t>
      </w:r>
      <w:r w:rsidR="00506856" w:rsidRPr="00602824">
        <w:rPr>
          <w:lang w:eastAsia="en-AU"/>
        </w:rPr>
        <w:t xml:space="preserve">These consistently low rates – </w:t>
      </w:r>
      <w:proofErr w:type="gramStart"/>
      <w:r w:rsidR="00506856" w:rsidRPr="00602824">
        <w:rPr>
          <w:lang w:eastAsia="en-AU"/>
        </w:rPr>
        <w:t>similar to</w:t>
      </w:r>
      <w:proofErr w:type="gramEnd"/>
      <w:r w:rsidR="00506856" w:rsidRPr="00602824">
        <w:rPr>
          <w:lang w:eastAsia="en-AU"/>
        </w:rPr>
        <w:t xml:space="preserve"> pre-reform levels – suggest the reforms are largely meeting their goal of minimising consumer out-of-pocket costs.</w:t>
      </w:r>
      <w:r w:rsidR="00425A2B" w:rsidRPr="00602824">
        <w:rPr>
          <w:lang w:eastAsia="en-AU"/>
        </w:rPr>
        <w:t xml:space="preserve"> </w:t>
      </w:r>
    </w:p>
    <w:p w14:paraId="6B52605D" w14:textId="4867EA21" w:rsidR="0027668A" w:rsidRPr="00602824" w:rsidRDefault="00A90D43" w:rsidP="00B50EE7">
      <w:pPr>
        <w:pStyle w:val="Caption"/>
        <w:rPr>
          <w:lang w:eastAsia="en-AU"/>
        </w:rPr>
      </w:pPr>
      <w:bookmarkStart w:id="34" w:name="_Ref202353700"/>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10</w:t>
      </w:r>
      <w:r w:rsidR="002604D0">
        <w:fldChar w:fldCharType="end"/>
      </w:r>
      <w:bookmarkEnd w:id="34"/>
      <w:r w:rsidRPr="00602824">
        <w:t xml:space="preserve"> | </w:t>
      </w:r>
      <w:r w:rsidR="00D8424B" w:rsidRPr="00602824">
        <w:t>Prevalence of gap payments greater than $1</w:t>
      </w:r>
    </w:p>
    <w:p w14:paraId="24769787" w14:textId="49F67FD5" w:rsidR="0027668A" w:rsidRPr="00602824" w:rsidRDefault="00D8424B" w:rsidP="00C97795">
      <w:pPr>
        <w:rPr>
          <w:lang w:eastAsia="en-AU"/>
        </w:rPr>
      </w:pPr>
      <w:r w:rsidRPr="00AC7E3F">
        <w:rPr>
          <w:noProof/>
          <w:lang w:eastAsia="en-AU"/>
        </w:rPr>
        <w:drawing>
          <wp:inline distT="0" distB="0" distL="0" distR="0" wp14:anchorId="1092FA6E" wp14:editId="34F6DF60">
            <wp:extent cx="5760085" cy="2611120"/>
            <wp:effectExtent l="0" t="0" r="0" b="0"/>
            <wp:docPr id="866948650" name="Picture 1" descr="Chart showing low prevalence (&lt;1%) of PL items with consumer gap payments ov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48650" name="Picture 1" descr="Chart showing low prevalence (&lt;1%) of PL items with consumer gap payments over $1."/>
                    <pic:cNvPicPr/>
                  </pic:nvPicPr>
                  <pic:blipFill>
                    <a:blip r:embed="rId35"/>
                    <a:stretch>
                      <a:fillRect/>
                    </a:stretch>
                  </pic:blipFill>
                  <pic:spPr>
                    <a:xfrm>
                      <a:off x="0" y="0"/>
                      <a:ext cx="5760085" cy="2611120"/>
                    </a:xfrm>
                    <a:prstGeom prst="rect">
                      <a:avLst/>
                    </a:prstGeom>
                  </pic:spPr>
                </pic:pic>
              </a:graphicData>
            </a:graphic>
          </wp:inline>
        </w:drawing>
      </w:r>
    </w:p>
    <w:p w14:paraId="7D43C140" w14:textId="4375A20E" w:rsidR="00A351ED" w:rsidRPr="00602824" w:rsidRDefault="00A351ED" w:rsidP="00FB712C">
      <w:pPr>
        <w:spacing w:before="240"/>
        <w:rPr>
          <w:lang w:eastAsia="en-AU"/>
        </w:rPr>
      </w:pPr>
      <w:r w:rsidRPr="00602824">
        <w:rPr>
          <w:lang w:eastAsia="en-AU"/>
        </w:rPr>
        <w:t xml:space="preserve">Feedback from consumer representatives and clinicians did not raise any concerns about increased out-of-pocket costs. The evaluation also sought input from the </w:t>
      </w:r>
      <w:r w:rsidR="000E6439" w:rsidRPr="00602824">
        <w:rPr>
          <w:lang w:eastAsia="en-AU"/>
        </w:rPr>
        <w:t>Office of the</w:t>
      </w:r>
      <w:r w:rsidRPr="00602824">
        <w:rPr>
          <w:lang w:eastAsia="en-AU"/>
        </w:rPr>
        <w:t xml:space="preserve"> Commonwealth Ombudsman, who confirmed it had not observed any systemic trends of concern. Between July 2022 and May 2024, the Ombudsman received 35 complaints related to </w:t>
      </w:r>
      <w:r w:rsidR="0048319C" w:rsidRPr="00602824">
        <w:rPr>
          <w:lang w:eastAsia="en-AU"/>
        </w:rPr>
        <w:t xml:space="preserve">PL items </w:t>
      </w:r>
      <w:r w:rsidRPr="00602824">
        <w:rPr>
          <w:lang w:eastAsia="en-AU"/>
        </w:rPr>
        <w:t>– accounting for less than 1% of all PHI-related complaints</w:t>
      </w:r>
      <w:r w:rsidR="0016688B" w:rsidRPr="00602824">
        <w:rPr>
          <w:lang w:eastAsia="en-AU"/>
        </w:rPr>
        <w:t xml:space="preserve"> received in this period</w:t>
      </w:r>
      <w:r w:rsidRPr="00602824">
        <w:rPr>
          <w:lang w:eastAsia="en-AU"/>
        </w:rPr>
        <w:t>. These complaints mostly involved unexpected costs incurred by private hospitals or privately insured consumers. Common issues included:</w:t>
      </w:r>
    </w:p>
    <w:p w14:paraId="2B611868" w14:textId="63062B2B" w:rsidR="00A351ED" w:rsidRPr="00602824" w:rsidRDefault="00A351ED" w:rsidP="00A351ED">
      <w:pPr>
        <w:pStyle w:val="Bullet"/>
      </w:pPr>
      <w:r w:rsidRPr="00602824">
        <w:t xml:space="preserve">Insulin pumps with manufacturer warranties (typically </w:t>
      </w:r>
      <w:r w:rsidR="005B41CA">
        <w:t>four</w:t>
      </w:r>
      <w:r w:rsidR="005B41CA" w:rsidRPr="00602824">
        <w:t xml:space="preserve"> </w:t>
      </w:r>
      <w:r w:rsidRPr="00602824">
        <w:t xml:space="preserve">years) shorter than the insurance replacement cycle (typically </w:t>
      </w:r>
      <w:r w:rsidR="00066079">
        <w:t>five</w:t>
      </w:r>
      <w:r w:rsidRPr="00602824">
        <w:t xml:space="preserve"> years)</w:t>
      </w:r>
    </w:p>
    <w:p w14:paraId="50998AF2" w14:textId="3448630C" w:rsidR="00A351ED" w:rsidRPr="00602824" w:rsidRDefault="00A351ED" w:rsidP="00A351ED">
      <w:pPr>
        <w:pStyle w:val="Bullet"/>
      </w:pPr>
      <w:r w:rsidRPr="00602824">
        <w:t>Partial coverage of custom-made prostheses</w:t>
      </w:r>
    </w:p>
    <w:p w14:paraId="3CB87298" w14:textId="12D6CA61" w:rsidR="00A351ED" w:rsidRPr="00602824" w:rsidRDefault="00A351ED" w:rsidP="00A351ED">
      <w:pPr>
        <w:pStyle w:val="Bullet"/>
      </w:pPr>
      <w:r w:rsidRPr="00602824">
        <w:t xml:space="preserve">Claim rejections for items with newly introduced conditions on use (e.g. surgical guides or </w:t>
      </w:r>
      <w:r w:rsidR="00163D22">
        <w:t>biomodels</w:t>
      </w:r>
      <w:r w:rsidRPr="00602824">
        <w:t>).</w:t>
      </w:r>
    </w:p>
    <w:p w14:paraId="041DCE52" w14:textId="437B8644" w:rsidR="002E5322" w:rsidRPr="00602824" w:rsidRDefault="00D33C60" w:rsidP="002E5322">
      <w:pPr>
        <w:pStyle w:val="Heading4"/>
      </w:pPr>
      <w:r w:rsidRPr="00602824">
        <w:t>Gap payments average $2</w:t>
      </w:r>
      <w:r w:rsidR="00AD524E">
        <w:t>12</w:t>
      </w:r>
      <w:r w:rsidRPr="00602824">
        <w:t xml:space="preserve"> when they occur</w:t>
      </w:r>
    </w:p>
    <w:p w14:paraId="1C5389C2" w14:textId="433F29DE" w:rsidR="004E2B6F" w:rsidRPr="00602824" w:rsidRDefault="002531F0" w:rsidP="002E5322">
      <w:pPr>
        <w:rPr>
          <w:lang w:eastAsia="en-AU"/>
        </w:rPr>
      </w:pPr>
      <w:r w:rsidRPr="00602824">
        <w:rPr>
          <w:lang w:eastAsia="en-AU"/>
        </w:rPr>
        <w:fldChar w:fldCharType="begin"/>
      </w:r>
      <w:r w:rsidRPr="00602824">
        <w:rPr>
          <w:lang w:eastAsia="en-AU"/>
        </w:rPr>
        <w:instrText xml:space="preserve"> REF _Ref202354415 \h </w:instrText>
      </w:r>
      <w:r w:rsidRPr="00602824">
        <w:rPr>
          <w:lang w:eastAsia="en-AU"/>
        </w:rPr>
      </w:r>
      <w:r w:rsidRPr="00602824">
        <w:rPr>
          <w:lang w:eastAsia="en-AU"/>
        </w:rPr>
        <w:fldChar w:fldCharType="separate"/>
      </w:r>
      <w:r w:rsidR="00D30634" w:rsidRPr="00602824">
        <w:t xml:space="preserve">Figure </w:t>
      </w:r>
      <w:r w:rsidR="00D30634">
        <w:rPr>
          <w:noProof/>
        </w:rPr>
        <w:t>11</w:t>
      </w:r>
      <w:r w:rsidRPr="00602824">
        <w:rPr>
          <w:lang w:eastAsia="en-AU"/>
        </w:rPr>
        <w:fldChar w:fldCharType="end"/>
      </w:r>
      <w:r w:rsidR="006E21B2" w:rsidRPr="00602824">
        <w:t xml:space="preserve"> </w:t>
      </w:r>
      <w:r w:rsidR="006E21B2" w:rsidRPr="00602824">
        <w:rPr>
          <w:lang w:eastAsia="en-AU"/>
        </w:rPr>
        <w:t xml:space="preserve">shows </w:t>
      </w:r>
      <w:r w:rsidR="00190892" w:rsidRPr="00602824">
        <w:rPr>
          <w:lang w:eastAsia="en-AU"/>
        </w:rPr>
        <w:t xml:space="preserve">that </w:t>
      </w:r>
      <w:r w:rsidR="004E2B6F" w:rsidRPr="00602824">
        <w:rPr>
          <w:lang w:eastAsia="en-AU"/>
        </w:rPr>
        <w:t xml:space="preserve">while gap payments remain rare, they are </w:t>
      </w:r>
      <w:r w:rsidR="0088535D" w:rsidRPr="00602824">
        <w:rPr>
          <w:lang w:eastAsia="en-AU"/>
        </w:rPr>
        <w:t>significant</w:t>
      </w:r>
      <w:r w:rsidR="004E2B6F" w:rsidRPr="00602824">
        <w:rPr>
          <w:lang w:eastAsia="en-AU"/>
        </w:rPr>
        <w:t xml:space="preserve"> in size when they do occur. In FY24, the average gap payment (where one is charged) was $2</w:t>
      </w:r>
      <w:r w:rsidR="00AD524E">
        <w:rPr>
          <w:lang w:eastAsia="en-AU"/>
        </w:rPr>
        <w:t>12</w:t>
      </w:r>
      <w:r w:rsidR="004E2B6F" w:rsidRPr="00602824">
        <w:rPr>
          <w:lang w:eastAsia="en-AU"/>
        </w:rPr>
        <w:t xml:space="preserve"> – equivalent to around 3</w:t>
      </w:r>
      <w:r w:rsidR="00E06C75">
        <w:rPr>
          <w:lang w:eastAsia="en-AU"/>
        </w:rPr>
        <w:t>3</w:t>
      </w:r>
      <w:r w:rsidR="004E2B6F" w:rsidRPr="00602824">
        <w:rPr>
          <w:lang w:eastAsia="en-AU"/>
        </w:rPr>
        <w:t>% of the item’s benefit.</w:t>
      </w:r>
      <w:r w:rsidR="00073ACD" w:rsidRPr="00602824">
        <w:rPr>
          <w:rStyle w:val="FootnoteReference"/>
          <w:lang w:eastAsia="en-AU"/>
        </w:rPr>
        <w:footnoteReference w:id="34"/>
      </w:r>
      <w:r w:rsidR="00073ACD" w:rsidRPr="00602824">
        <w:rPr>
          <w:lang w:eastAsia="en-AU"/>
        </w:rPr>
        <w:t xml:space="preserve"> </w:t>
      </w:r>
      <w:r w:rsidR="00073ACD" w:rsidRPr="00602824">
        <w:rPr>
          <w:lang w:eastAsia="en-AU"/>
        </w:rPr>
        <w:fldChar w:fldCharType="begin"/>
      </w:r>
      <w:r w:rsidR="00073ACD" w:rsidRPr="00602824">
        <w:rPr>
          <w:lang w:eastAsia="en-AU"/>
        </w:rPr>
        <w:instrText xml:space="preserve"> REF _Ref202360874 \h </w:instrText>
      </w:r>
      <w:r w:rsidR="00073ACD" w:rsidRPr="00602824">
        <w:rPr>
          <w:lang w:eastAsia="en-AU"/>
        </w:rPr>
      </w:r>
      <w:r w:rsidR="00073ACD" w:rsidRPr="00602824">
        <w:rPr>
          <w:lang w:eastAsia="en-AU"/>
        </w:rPr>
        <w:fldChar w:fldCharType="separate"/>
      </w:r>
      <w:r w:rsidR="00D30634" w:rsidRPr="004A357C">
        <w:t xml:space="preserve">Table </w:t>
      </w:r>
      <w:r w:rsidR="00D30634">
        <w:rPr>
          <w:noProof/>
        </w:rPr>
        <w:t>28</w:t>
      </w:r>
      <w:r w:rsidR="00073ACD" w:rsidRPr="00602824">
        <w:rPr>
          <w:lang w:eastAsia="en-AU"/>
        </w:rPr>
        <w:fldChar w:fldCharType="end"/>
      </w:r>
      <w:r w:rsidR="00073ACD" w:rsidRPr="00602824">
        <w:rPr>
          <w:lang w:eastAsia="en-AU"/>
        </w:rPr>
        <w:t xml:space="preserve"> (Appendix </w:t>
      </w:r>
      <w:r w:rsidR="00073ACD" w:rsidRPr="00602824">
        <w:rPr>
          <w:lang w:eastAsia="en-AU"/>
        </w:rPr>
        <w:fldChar w:fldCharType="begin"/>
      </w:r>
      <w:r w:rsidR="00073ACD" w:rsidRPr="00602824">
        <w:rPr>
          <w:lang w:eastAsia="en-AU"/>
        </w:rPr>
        <w:instrText xml:space="preserve"> REF _Ref202353872 \r \h </w:instrText>
      </w:r>
      <w:r w:rsidR="00073ACD" w:rsidRPr="00602824">
        <w:rPr>
          <w:lang w:eastAsia="en-AU"/>
        </w:rPr>
      </w:r>
      <w:r w:rsidR="00073ACD" w:rsidRPr="00602824">
        <w:rPr>
          <w:lang w:eastAsia="en-AU"/>
        </w:rPr>
        <w:fldChar w:fldCharType="separate"/>
      </w:r>
      <w:r w:rsidR="00D30634">
        <w:rPr>
          <w:lang w:eastAsia="en-AU"/>
        </w:rPr>
        <w:t>D.3</w:t>
      </w:r>
      <w:r w:rsidR="00073ACD" w:rsidRPr="00602824">
        <w:rPr>
          <w:lang w:eastAsia="en-AU"/>
        </w:rPr>
        <w:fldChar w:fldCharType="end"/>
      </w:r>
      <w:r w:rsidR="00073ACD" w:rsidRPr="00602824">
        <w:rPr>
          <w:lang w:eastAsia="en-AU"/>
        </w:rPr>
        <w:t xml:space="preserve">) </w:t>
      </w:r>
      <w:r w:rsidR="003216BC" w:rsidRPr="00602824">
        <w:rPr>
          <w:lang w:eastAsia="en-AU"/>
        </w:rPr>
        <w:t>shows significant variability across Part A categories. For example, in the Plastic and Reconstructive category, the average gap payment exceeds 200% of the associated PL benefit.</w:t>
      </w:r>
      <w:r w:rsidR="0088535D" w:rsidRPr="00602824">
        <w:rPr>
          <w:lang w:eastAsia="en-AU"/>
        </w:rPr>
        <w:t xml:space="preserve"> </w:t>
      </w:r>
    </w:p>
    <w:p w14:paraId="690D747A" w14:textId="5988EB0A" w:rsidR="00B7478D" w:rsidRPr="00602824" w:rsidRDefault="00493CF4" w:rsidP="002E5322">
      <w:pPr>
        <w:rPr>
          <w:lang w:eastAsia="en-AU"/>
        </w:rPr>
      </w:pPr>
      <w:r w:rsidRPr="00602824">
        <w:rPr>
          <w:lang w:eastAsia="en-AU"/>
        </w:rPr>
        <w:t>The FY24</w:t>
      </w:r>
      <w:r w:rsidR="00A81451" w:rsidRPr="00602824">
        <w:rPr>
          <w:lang w:eastAsia="en-AU"/>
        </w:rPr>
        <w:t xml:space="preserve"> </w:t>
      </w:r>
      <w:r w:rsidR="00F31761" w:rsidRPr="00602824">
        <w:rPr>
          <w:lang w:eastAsia="en-AU"/>
        </w:rPr>
        <w:t>average</w:t>
      </w:r>
      <w:r w:rsidR="00A81451" w:rsidRPr="00602824">
        <w:rPr>
          <w:lang w:eastAsia="en-AU"/>
        </w:rPr>
        <w:t xml:space="preserve"> </w:t>
      </w:r>
      <w:r w:rsidR="004B454C" w:rsidRPr="00602824">
        <w:rPr>
          <w:lang w:eastAsia="en-AU"/>
        </w:rPr>
        <w:t>represents a sharp</w:t>
      </w:r>
      <w:r w:rsidR="00D23301" w:rsidRPr="00602824">
        <w:rPr>
          <w:lang w:eastAsia="en-AU"/>
        </w:rPr>
        <w:t xml:space="preserve"> increase from FY23</w:t>
      </w:r>
      <w:r w:rsidR="004B454C" w:rsidRPr="00602824">
        <w:rPr>
          <w:lang w:eastAsia="en-AU"/>
        </w:rPr>
        <w:t>, though it is</w:t>
      </w:r>
      <w:r w:rsidR="00402BB0">
        <w:rPr>
          <w:lang w:eastAsia="en-AU"/>
        </w:rPr>
        <w:t xml:space="preserve"> lower than F</w:t>
      </w:r>
      <w:r w:rsidR="00F40959">
        <w:rPr>
          <w:lang w:eastAsia="en-AU"/>
        </w:rPr>
        <w:t>Y21 and FY22 and</w:t>
      </w:r>
      <w:r w:rsidR="004B454C" w:rsidRPr="00602824">
        <w:rPr>
          <w:lang w:eastAsia="en-AU"/>
        </w:rPr>
        <w:t xml:space="preserve"> broadly in line with</w:t>
      </w:r>
      <w:r w:rsidR="001C52C8" w:rsidRPr="00602824">
        <w:rPr>
          <w:lang w:eastAsia="en-AU"/>
        </w:rPr>
        <w:t xml:space="preserve"> </w:t>
      </w:r>
      <w:r w:rsidR="00A716FA" w:rsidRPr="00602824">
        <w:rPr>
          <w:lang w:eastAsia="en-AU"/>
        </w:rPr>
        <w:t>historical norms</w:t>
      </w:r>
      <w:r w:rsidR="004B454C" w:rsidRPr="00602824">
        <w:rPr>
          <w:lang w:eastAsia="en-AU"/>
        </w:rPr>
        <w:t xml:space="preserve">. </w:t>
      </w:r>
      <w:r w:rsidR="00F40959">
        <w:rPr>
          <w:lang w:eastAsia="en-AU"/>
        </w:rPr>
        <w:t>Moreove</w:t>
      </w:r>
      <w:r w:rsidR="004B454C" w:rsidRPr="00602824">
        <w:rPr>
          <w:lang w:eastAsia="en-AU"/>
        </w:rPr>
        <w:t xml:space="preserve">r, </w:t>
      </w:r>
      <w:r w:rsidR="00E228DA" w:rsidRPr="00602824">
        <w:rPr>
          <w:lang w:eastAsia="en-AU"/>
        </w:rPr>
        <w:t xml:space="preserve">given the </w:t>
      </w:r>
      <w:r w:rsidR="004B454C" w:rsidRPr="00602824">
        <w:rPr>
          <w:lang w:eastAsia="en-AU"/>
        </w:rPr>
        <w:t>very low</w:t>
      </w:r>
      <w:r w:rsidR="00E228DA" w:rsidRPr="00602824">
        <w:rPr>
          <w:lang w:eastAsia="en-AU"/>
        </w:rPr>
        <w:t xml:space="preserve"> incidence of gap payments </w:t>
      </w:r>
      <w:r w:rsidR="004B454C" w:rsidRPr="00602824">
        <w:rPr>
          <w:lang w:eastAsia="en-AU"/>
        </w:rPr>
        <w:t xml:space="preserve">over </w:t>
      </w:r>
      <w:r w:rsidR="00E228DA" w:rsidRPr="00602824">
        <w:rPr>
          <w:lang w:eastAsia="en-AU"/>
        </w:rPr>
        <w:t xml:space="preserve">$1, a high degree of </w:t>
      </w:r>
      <w:r w:rsidR="004B454C" w:rsidRPr="00602824">
        <w:rPr>
          <w:lang w:eastAsia="en-AU"/>
        </w:rPr>
        <w:t xml:space="preserve">year-to-year </w:t>
      </w:r>
      <w:r w:rsidR="00E228DA" w:rsidRPr="00602824">
        <w:rPr>
          <w:lang w:eastAsia="en-AU"/>
        </w:rPr>
        <w:t>variability is expected.</w:t>
      </w:r>
      <w:r w:rsidR="00760B42" w:rsidRPr="00602824">
        <w:rPr>
          <w:lang w:eastAsia="en-AU"/>
        </w:rPr>
        <w:t xml:space="preserve"> As outlined in </w:t>
      </w:r>
      <w:r w:rsidR="000377F0">
        <w:rPr>
          <w:lang w:eastAsia="en-AU"/>
        </w:rPr>
        <w:t>Section</w:t>
      </w:r>
      <w:r w:rsidR="000377F0" w:rsidRPr="00602824">
        <w:rPr>
          <w:lang w:eastAsia="en-AU"/>
        </w:rPr>
        <w:t xml:space="preserve"> </w:t>
      </w:r>
      <w:r w:rsidR="00760B42" w:rsidRPr="00602824">
        <w:rPr>
          <w:lang w:eastAsia="en-AU"/>
        </w:rPr>
        <w:t xml:space="preserve">2.4.1 of the </w:t>
      </w:r>
      <w:r w:rsidR="00760B42" w:rsidRPr="00602824">
        <w:rPr>
          <w:i/>
          <w:iCs/>
          <w:lang w:eastAsia="en-AU"/>
        </w:rPr>
        <w:t>Interim Evaluation #1 report</w:t>
      </w:r>
      <w:r w:rsidR="00760B42" w:rsidRPr="00602824">
        <w:rPr>
          <w:lang w:eastAsia="en-AU"/>
        </w:rPr>
        <w:t>, there is no clear evidence that links these changes to the PL reforms.</w:t>
      </w:r>
    </w:p>
    <w:p w14:paraId="031945E2" w14:textId="07404DD5" w:rsidR="00601D24" w:rsidRPr="00602824" w:rsidRDefault="00175D0B" w:rsidP="00B50EE7">
      <w:pPr>
        <w:pStyle w:val="Caption"/>
      </w:pPr>
      <w:bookmarkStart w:id="35" w:name="_Ref202354415"/>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11</w:t>
      </w:r>
      <w:r w:rsidR="002604D0">
        <w:fldChar w:fldCharType="end"/>
      </w:r>
      <w:bookmarkEnd w:id="35"/>
      <w:r w:rsidRPr="00602824">
        <w:t xml:space="preserve"> | Average gap payment when gap payment is greater than $1</w:t>
      </w:r>
    </w:p>
    <w:p w14:paraId="25E97909" w14:textId="27EBCE4A" w:rsidR="00175D0B" w:rsidRPr="00602824" w:rsidRDefault="005766F7" w:rsidP="00175D0B">
      <w:r w:rsidRPr="005766F7">
        <w:rPr>
          <w:noProof/>
        </w:rPr>
        <w:drawing>
          <wp:inline distT="0" distB="0" distL="0" distR="0" wp14:anchorId="1C55BEEF" wp14:editId="23DA50FE">
            <wp:extent cx="5760085" cy="2604135"/>
            <wp:effectExtent l="0" t="0" r="0" b="5715"/>
            <wp:docPr id="763673085" name="Picture 1" descr="Chart showing average consumer gap payment when it occurs, with average of $212 in FY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73085" name="Picture 1" descr="Chart showing average consumer gap payment when it occurs, with average of $212 in FY24."/>
                    <pic:cNvPicPr/>
                  </pic:nvPicPr>
                  <pic:blipFill>
                    <a:blip r:embed="rId36"/>
                    <a:stretch>
                      <a:fillRect/>
                    </a:stretch>
                  </pic:blipFill>
                  <pic:spPr>
                    <a:xfrm>
                      <a:off x="0" y="0"/>
                      <a:ext cx="5760085" cy="2604135"/>
                    </a:xfrm>
                    <a:prstGeom prst="rect">
                      <a:avLst/>
                    </a:prstGeom>
                  </pic:spPr>
                </pic:pic>
              </a:graphicData>
            </a:graphic>
          </wp:inline>
        </w:drawing>
      </w:r>
    </w:p>
    <w:p w14:paraId="490458C5" w14:textId="208F28AC" w:rsidR="004501F1" w:rsidRPr="00602824" w:rsidRDefault="00F632A9" w:rsidP="004501F1">
      <w:pPr>
        <w:pStyle w:val="Heading3"/>
      </w:pPr>
      <w:r w:rsidRPr="00602824">
        <w:t xml:space="preserve">Stakeholders expressed concerns about </w:t>
      </w:r>
      <w:r w:rsidR="006E25A3" w:rsidRPr="00602824">
        <w:t xml:space="preserve">indirect financial impacts on </w:t>
      </w:r>
      <w:r w:rsidRPr="00602824">
        <w:t>consumers</w:t>
      </w:r>
    </w:p>
    <w:p w14:paraId="22647BA8" w14:textId="4EAF3954" w:rsidR="00E068AF" w:rsidRPr="00602824" w:rsidRDefault="008D0CC2" w:rsidP="00E60B5B">
      <w:pPr>
        <w:pStyle w:val="Heading4"/>
      </w:pPr>
      <w:bookmarkStart w:id="36" w:name="_Hlk202295994"/>
      <w:r w:rsidRPr="00602824">
        <w:t>Lack of price alignment between PL benefits and sponsor charges may raise affordability concerns</w:t>
      </w:r>
    </w:p>
    <w:bookmarkEnd w:id="36"/>
    <w:p w14:paraId="43BD3785" w14:textId="477A7FC8" w:rsidR="008D0CC2" w:rsidRPr="00602824" w:rsidRDefault="00E70419" w:rsidP="00E068AF">
      <w:r w:rsidRPr="00602824">
        <w:t>While the PL sets the maximum reimbursement from insurers, device sponsors are permitted to charge hospitals more than the listed benefit.</w:t>
      </w:r>
      <w:r w:rsidR="00162A7E" w:rsidRPr="00602824">
        <w:t xml:space="preserve"> This creates the potential for out-of-pocket costs for consumers, as insurers will not reimburse amounts above the PL benefit, placing pressure on hospitals to absorb or pass on the difference.</w:t>
      </w:r>
    </w:p>
    <w:p w14:paraId="72E88215" w14:textId="45A777E2" w:rsidR="00E32689" w:rsidRPr="00602824" w:rsidRDefault="00E32689" w:rsidP="00E068AF">
      <w:r w:rsidRPr="00602824">
        <w:t xml:space="preserve">The prevalence of this practice is unclear. </w:t>
      </w:r>
      <w:r w:rsidR="005B23A7" w:rsidRPr="00602824">
        <w:t>In May</w:t>
      </w:r>
      <w:r w:rsidR="00C40AE3" w:rsidRPr="00602824">
        <w:t>-</w:t>
      </w:r>
      <w:r w:rsidR="005B23A7" w:rsidRPr="00602824">
        <w:t>June 2024, the Department consulted on Consultation Paper 8b, which proposed limiting sponsor charges to the PL benefit. However, based on stakeholder feedback and a lack of supporting evidence, the measure was not included in the Compliance, Assurance and Data Sharing Bill.</w:t>
      </w:r>
      <w:r w:rsidR="005B23A7" w:rsidRPr="00602824">
        <w:rPr>
          <w:rStyle w:val="FootnoteReference"/>
        </w:rPr>
        <w:footnoteReference w:id="35"/>
      </w:r>
      <w:r w:rsidR="005B23A7" w:rsidRPr="00602824">
        <w:t xml:space="preserve"> The Department has indicated it will continue to monitor this issue and consult on potential consumer protections.</w:t>
      </w:r>
    </w:p>
    <w:p w14:paraId="42B825CE" w14:textId="43246495" w:rsidR="00271558" w:rsidRPr="00602824" w:rsidRDefault="000719F1" w:rsidP="00271558">
      <w:r w:rsidRPr="00602824">
        <w:t>Stakeholders</w:t>
      </w:r>
      <w:r w:rsidR="003E15FF" w:rsidRPr="00602824">
        <w:t xml:space="preserve"> </w:t>
      </w:r>
      <w:r w:rsidR="00891C74" w:rsidRPr="00602824">
        <w:t xml:space="preserve">from the private hospital sector </w:t>
      </w:r>
      <w:r w:rsidRPr="00602824">
        <w:t xml:space="preserve">reported </w:t>
      </w:r>
      <w:r w:rsidR="003E15FF" w:rsidRPr="00602824">
        <w:t xml:space="preserve">that </w:t>
      </w:r>
      <w:r w:rsidR="00891C74" w:rsidRPr="00602824">
        <w:t xml:space="preserve">some </w:t>
      </w:r>
      <w:r w:rsidRPr="00602824">
        <w:t>sponsors had indicated they could not viably invoice</w:t>
      </w:r>
      <w:r w:rsidR="00891C74" w:rsidRPr="00602824">
        <w:t xml:space="preserve"> at PL benefit levels</w:t>
      </w:r>
      <w:r w:rsidRPr="00602824">
        <w:t>, citing cases where invoices exceeded</w:t>
      </w:r>
      <w:r w:rsidR="00891C74" w:rsidRPr="00602824">
        <w:t xml:space="preserve"> </w:t>
      </w:r>
      <w:r w:rsidR="00620789" w:rsidRPr="00602824">
        <w:t xml:space="preserve">the benefit </w:t>
      </w:r>
      <w:r w:rsidR="004502DA" w:rsidRPr="00602824">
        <w:t xml:space="preserve">by </w:t>
      </w:r>
      <w:r w:rsidR="00891C74" w:rsidRPr="00602824">
        <w:t>$2,000</w:t>
      </w:r>
      <w:r w:rsidR="008B1B24" w:rsidRPr="00602824">
        <w:t>-</w:t>
      </w:r>
      <w:r w:rsidR="00891C74" w:rsidRPr="00602824">
        <w:t>$3,000.</w:t>
      </w:r>
      <w:r w:rsidR="004777E2" w:rsidRPr="00602824">
        <w:t xml:space="preserve"> </w:t>
      </w:r>
      <w:r w:rsidR="0006514C" w:rsidRPr="00602824">
        <w:t xml:space="preserve">These stakeholders </w:t>
      </w:r>
      <w:r w:rsidRPr="00602824">
        <w:t>argued</w:t>
      </w:r>
      <w:r w:rsidR="0006514C" w:rsidRPr="00602824">
        <w:t xml:space="preserve"> that absorbing these </w:t>
      </w:r>
      <w:r w:rsidRPr="00602824">
        <w:t xml:space="preserve">costs </w:t>
      </w:r>
      <w:r w:rsidR="0006514C" w:rsidRPr="00602824">
        <w:t xml:space="preserve">is not financially sustainable for providers, </w:t>
      </w:r>
      <w:r w:rsidRPr="00602824">
        <w:t xml:space="preserve">while </w:t>
      </w:r>
      <w:r w:rsidR="0006514C" w:rsidRPr="00602824">
        <w:t xml:space="preserve">passing </w:t>
      </w:r>
      <w:r w:rsidRPr="00602824">
        <w:t xml:space="preserve">them on </w:t>
      </w:r>
      <w:r w:rsidR="0006514C" w:rsidRPr="00602824">
        <w:t xml:space="preserve">to patients is </w:t>
      </w:r>
      <w:r w:rsidRPr="00602824">
        <w:t>also problematic and may undermine</w:t>
      </w:r>
      <w:r w:rsidR="0006514C" w:rsidRPr="00602824">
        <w:t xml:space="preserve"> efforts to keep private health insurance affordable.</w:t>
      </w:r>
      <w:r w:rsidRPr="00602824">
        <w:rPr>
          <w:rStyle w:val="FootnoteReference"/>
        </w:rPr>
        <w:footnoteReference w:id="36"/>
      </w:r>
    </w:p>
    <w:p w14:paraId="30CD44CC" w14:textId="7C8122D9" w:rsidR="002F4808" w:rsidRPr="00602824" w:rsidRDefault="00271558" w:rsidP="00E169F4">
      <w:pPr>
        <w:pStyle w:val="Heading4"/>
      </w:pPr>
      <w:r w:rsidRPr="00602824">
        <w:t>Stakeholders</w:t>
      </w:r>
      <w:r w:rsidR="00E169F4" w:rsidRPr="00602824">
        <w:t xml:space="preserve"> </w:t>
      </w:r>
      <w:r w:rsidR="000C366D" w:rsidRPr="00602824">
        <w:t xml:space="preserve">have flagged emerging </w:t>
      </w:r>
      <w:r w:rsidR="00F553CE" w:rsidRPr="00602824">
        <w:t xml:space="preserve">out-of-pocket cost risks, </w:t>
      </w:r>
      <w:r w:rsidR="00886B7D" w:rsidRPr="00602824">
        <w:t>noting that cost shifting behaviour may become more prevalent</w:t>
      </w:r>
    </w:p>
    <w:p w14:paraId="79A14504" w14:textId="142241F6" w:rsidR="00F918FB" w:rsidRPr="00602824" w:rsidRDefault="00F918FB" w:rsidP="00F918FB">
      <w:pPr>
        <w:rPr>
          <w:lang w:eastAsia="en-AU"/>
        </w:rPr>
      </w:pPr>
      <w:r w:rsidRPr="00602824">
        <w:rPr>
          <w:lang w:eastAsia="en-AU"/>
        </w:rPr>
        <w:t>Stakeholders agreed on the importance of protecting consumers from additional costs, though views differed on the current and potential impacts of the reforms.</w:t>
      </w:r>
    </w:p>
    <w:p w14:paraId="33EB428C" w14:textId="77777777" w:rsidR="002D734E" w:rsidRDefault="00714A77" w:rsidP="00714A77">
      <w:pPr>
        <w:rPr>
          <w:lang w:eastAsia="en-AU"/>
        </w:rPr>
      </w:pPr>
      <w:r w:rsidRPr="00602824">
        <w:rPr>
          <w:lang w:eastAsia="en-AU"/>
        </w:rPr>
        <w:t xml:space="preserve">Several stakeholders raised concerns about </w:t>
      </w:r>
      <w:r w:rsidR="008A1473" w:rsidRPr="00602824">
        <w:rPr>
          <w:lang w:eastAsia="en-AU"/>
        </w:rPr>
        <w:t xml:space="preserve">what they saw as </w:t>
      </w:r>
      <w:r w:rsidRPr="00602824">
        <w:rPr>
          <w:lang w:eastAsia="en-AU"/>
        </w:rPr>
        <w:t>emerging cost-shifting behaviours</w:t>
      </w:r>
      <w:r w:rsidR="008A1473" w:rsidRPr="00602824">
        <w:rPr>
          <w:lang w:eastAsia="en-AU"/>
        </w:rPr>
        <w:t>.</w:t>
      </w:r>
      <w:r w:rsidR="003937D0" w:rsidRPr="00602824">
        <w:rPr>
          <w:lang w:eastAsia="en-AU"/>
        </w:rPr>
        <w:t xml:space="preserve"> </w:t>
      </w:r>
      <w:r w:rsidR="00EA2CD0" w:rsidRPr="00602824">
        <w:rPr>
          <w:lang w:eastAsia="en-AU"/>
        </w:rPr>
        <w:t xml:space="preserve">The </w:t>
      </w:r>
      <w:r w:rsidR="003937D0" w:rsidRPr="00602824">
        <w:rPr>
          <w:lang w:eastAsia="en-AU"/>
        </w:rPr>
        <w:t xml:space="preserve">concern </w:t>
      </w:r>
      <w:r w:rsidR="00EA2CD0" w:rsidRPr="00602824">
        <w:rPr>
          <w:lang w:eastAsia="en-AU"/>
        </w:rPr>
        <w:t>was</w:t>
      </w:r>
      <w:r w:rsidR="003937D0" w:rsidRPr="00602824">
        <w:rPr>
          <w:lang w:eastAsia="en-AU"/>
        </w:rPr>
        <w:t xml:space="preserve"> that </w:t>
      </w:r>
      <w:r w:rsidRPr="00602824">
        <w:rPr>
          <w:lang w:eastAsia="en-AU"/>
        </w:rPr>
        <w:t>device sponsors</w:t>
      </w:r>
      <w:r w:rsidR="003937D0" w:rsidRPr="00602824">
        <w:rPr>
          <w:lang w:eastAsia="en-AU"/>
        </w:rPr>
        <w:t xml:space="preserve"> might be</w:t>
      </w:r>
      <w:r w:rsidRPr="00602824">
        <w:rPr>
          <w:lang w:eastAsia="en-AU"/>
        </w:rPr>
        <w:t xml:space="preserve"> passing on costs that were previously absorbed within product margins. For example, hospitals reported that some sponsors now charge separately for services and consumables that were once bundled with devices. </w:t>
      </w:r>
    </w:p>
    <w:p w14:paraId="559CE5AF" w14:textId="757F68FA" w:rsidR="001C576B" w:rsidRPr="00602824" w:rsidRDefault="00714A77" w:rsidP="00714A77">
      <w:pPr>
        <w:rPr>
          <w:lang w:eastAsia="en-AU"/>
        </w:rPr>
      </w:pPr>
      <w:r w:rsidRPr="00602824">
        <w:rPr>
          <w:lang w:eastAsia="en-AU"/>
        </w:rPr>
        <w:lastRenderedPageBreak/>
        <w:t>Hospitals also noted reduced sponsor willingness to provide individualised items, such as 3D-printed models, at no cost.</w:t>
      </w:r>
      <w:r w:rsidR="00D6226A" w:rsidRPr="00602824">
        <w:rPr>
          <w:rStyle w:val="FootnoteReference"/>
          <w:lang w:eastAsia="en-AU"/>
        </w:rPr>
        <w:footnoteReference w:id="37"/>
      </w:r>
      <w:r w:rsidR="00B862BE" w:rsidRPr="00602824">
        <w:rPr>
          <w:lang w:eastAsia="en-AU"/>
        </w:rPr>
        <w:t xml:space="preserve"> </w:t>
      </w:r>
      <w:r w:rsidRPr="00602824">
        <w:rPr>
          <w:lang w:eastAsia="en-AU"/>
        </w:rPr>
        <w:t xml:space="preserve">Hospitals </w:t>
      </w:r>
      <w:r w:rsidR="00483015" w:rsidRPr="00602824">
        <w:rPr>
          <w:lang w:eastAsia="en-AU"/>
        </w:rPr>
        <w:t xml:space="preserve">also </w:t>
      </w:r>
      <w:r w:rsidR="00957229" w:rsidRPr="00602824">
        <w:rPr>
          <w:lang w:eastAsia="en-AU"/>
        </w:rPr>
        <w:t>raised</w:t>
      </w:r>
      <w:r w:rsidR="00483015" w:rsidRPr="00602824">
        <w:rPr>
          <w:lang w:eastAsia="en-AU"/>
        </w:rPr>
        <w:t xml:space="preserve"> </w:t>
      </w:r>
      <w:r w:rsidR="002E2A60" w:rsidRPr="00602824">
        <w:rPr>
          <w:lang w:eastAsia="en-AU"/>
        </w:rPr>
        <w:t>concern</w:t>
      </w:r>
      <w:r w:rsidR="00A86EF0" w:rsidRPr="00602824">
        <w:rPr>
          <w:lang w:eastAsia="en-AU"/>
        </w:rPr>
        <w:t>s</w:t>
      </w:r>
      <w:r w:rsidR="002E2A60" w:rsidRPr="00602824">
        <w:rPr>
          <w:lang w:eastAsia="en-AU"/>
        </w:rPr>
        <w:t xml:space="preserve"> that </w:t>
      </w:r>
      <w:r w:rsidR="00643690" w:rsidRPr="00602824">
        <w:rPr>
          <w:lang w:eastAsia="en-AU"/>
        </w:rPr>
        <w:t xml:space="preserve">payments from </w:t>
      </w:r>
      <w:r w:rsidRPr="00602824">
        <w:rPr>
          <w:lang w:eastAsia="en-AU"/>
        </w:rPr>
        <w:t>insurer</w:t>
      </w:r>
      <w:r w:rsidR="00643690" w:rsidRPr="00602824">
        <w:rPr>
          <w:lang w:eastAsia="en-AU"/>
        </w:rPr>
        <w:t>s</w:t>
      </w:r>
      <w:r w:rsidRPr="00602824">
        <w:rPr>
          <w:lang w:eastAsia="en-AU"/>
        </w:rPr>
        <w:t xml:space="preserve"> </w:t>
      </w:r>
      <w:r w:rsidR="00643690" w:rsidRPr="00602824">
        <w:rPr>
          <w:lang w:eastAsia="en-AU"/>
        </w:rPr>
        <w:t xml:space="preserve">have sometimes been delayed </w:t>
      </w:r>
      <w:r w:rsidRPr="00602824">
        <w:rPr>
          <w:lang w:eastAsia="en-AU"/>
        </w:rPr>
        <w:t xml:space="preserve">and </w:t>
      </w:r>
      <w:r w:rsidR="008A1473" w:rsidRPr="00602824">
        <w:rPr>
          <w:lang w:eastAsia="en-AU"/>
        </w:rPr>
        <w:t xml:space="preserve">that delayed payments and </w:t>
      </w:r>
      <w:r w:rsidRPr="00602824">
        <w:rPr>
          <w:lang w:eastAsia="en-AU"/>
        </w:rPr>
        <w:t>reimbursement disputes contribut</w:t>
      </w:r>
      <w:r w:rsidR="00527C19" w:rsidRPr="00602824">
        <w:rPr>
          <w:lang w:eastAsia="en-AU"/>
        </w:rPr>
        <w:t>e</w:t>
      </w:r>
      <w:r w:rsidRPr="00602824">
        <w:rPr>
          <w:lang w:eastAsia="en-AU"/>
        </w:rPr>
        <w:t xml:space="preserve"> to financial shortfalls.</w:t>
      </w:r>
      <w:r w:rsidR="00BC0A2B" w:rsidRPr="00602824">
        <w:rPr>
          <w:rStyle w:val="FootnoteReference"/>
          <w:lang w:eastAsia="en-AU"/>
        </w:rPr>
        <w:footnoteReference w:id="38"/>
      </w:r>
      <w:r w:rsidRPr="00602824">
        <w:rPr>
          <w:lang w:eastAsia="en-AU"/>
        </w:rPr>
        <w:t xml:space="preserve"> </w:t>
      </w:r>
    </w:p>
    <w:p w14:paraId="3393AE50" w14:textId="0563C437" w:rsidR="00714A77" w:rsidRPr="00602824" w:rsidRDefault="00714A77" w:rsidP="00714A77">
      <w:pPr>
        <w:rPr>
          <w:lang w:eastAsia="en-AU"/>
        </w:rPr>
      </w:pPr>
      <w:r w:rsidRPr="00602824">
        <w:rPr>
          <w:lang w:eastAsia="en-AU"/>
        </w:rPr>
        <w:t xml:space="preserve">Cost-shifting behaviours may also emerge within hospitals themselves, as they seek to manage tighter margins resulting from reduced PL benefits – for example, through additional patient charges or revised billing practices. While </w:t>
      </w:r>
      <w:r w:rsidR="00093892" w:rsidRPr="00602824">
        <w:rPr>
          <w:lang w:eastAsia="en-AU"/>
        </w:rPr>
        <w:t>the evaluation has not seen evidence that this is happening</w:t>
      </w:r>
      <w:r w:rsidRPr="00602824">
        <w:rPr>
          <w:lang w:eastAsia="en-AU"/>
        </w:rPr>
        <w:t xml:space="preserve">, it </w:t>
      </w:r>
      <w:r w:rsidR="00D7025C" w:rsidRPr="00602824">
        <w:rPr>
          <w:lang w:eastAsia="en-AU"/>
        </w:rPr>
        <w:t xml:space="preserve">does </w:t>
      </w:r>
      <w:r w:rsidRPr="00602824">
        <w:rPr>
          <w:lang w:eastAsia="en-AU"/>
        </w:rPr>
        <w:t>present a potential area of risk.</w:t>
      </w:r>
    </w:p>
    <w:p w14:paraId="4B77934D" w14:textId="11436697" w:rsidR="00627F69" w:rsidRPr="00602824" w:rsidRDefault="001B4F90" w:rsidP="00F918FB">
      <w:r w:rsidRPr="00602824">
        <w:rPr>
          <w:highlight w:val="yellow"/>
          <w:lang w:eastAsia="en-AU"/>
        </w:rPr>
        <w:fldChar w:fldCharType="begin"/>
      </w:r>
      <w:r w:rsidRPr="00602824">
        <w:rPr>
          <w:lang w:eastAsia="en-AU"/>
        </w:rPr>
        <w:instrText xml:space="preserve"> REF _Ref202364194 \h </w:instrText>
      </w:r>
      <w:r w:rsidRPr="00602824">
        <w:rPr>
          <w:highlight w:val="yellow"/>
          <w:lang w:eastAsia="en-AU"/>
        </w:rPr>
      </w:r>
      <w:r w:rsidRPr="00602824">
        <w:rPr>
          <w:highlight w:val="yellow"/>
          <w:lang w:eastAsia="en-AU"/>
        </w:rPr>
        <w:fldChar w:fldCharType="separate"/>
      </w:r>
      <w:r w:rsidR="00D30634" w:rsidRPr="00602824">
        <w:t xml:space="preserve">Table </w:t>
      </w:r>
      <w:r w:rsidR="00D30634">
        <w:rPr>
          <w:noProof/>
        </w:rPr>
        <w:t>5</w:t>
      </w:r>
      <w:r w:rsidRPr="00602824">
        <w:rPr>
          <w:highlight w:val="yellow"/>
          <w:lang w:eastAsia="en-AU"/>
        </w:rPr>
        <w:fldChar w:fldCharType="end"/>
      </w:r>
      <w:r w:rsidR="00035CB6" w:rsidRPr="00602824">
        <w:rPr>
          <w:lang w:eastAsia="en-AU"/>
        </w:rPr>
        <w:t xml:space="preserve"> </w:t>
      </w:r>
      <w:r w:rsidR="00627F69" w:rsidRPr="00602824">
        <w:rPr>
          <w:lang w:eastAsia="en-AU"/>
        </w:rPr>
        <w:t>below outlines</w:t>
      </w:r>
      <w:r w:rsidR="006D78BC" w:rsidRPr="00602824">
        <w:rPr>
          <w:lang w:eastAsia="en-AU"/>
        </w:rPr>
        <w:t xml:space="preserve"> additional stakeholder perspectives.</w:t>
      </w:r>
    </w:p>
    <w:p w14:paraId="4CA37C7A" w14:textId="0795BFA0" w:rsidR="00390B94" w:rsidRPr="00602824" w:rsidRDefault="009E75FC" w:rsidP="00B50EE7">
      <w:pPr>
        <w:pStyle w:val="Caption"/>
      </w:pPr>
      <w:bookmarkStart w:id="37" w:name="_Ref202364194"/>
      <w:r w:rsidRPr="00602824">
        <w:t xml:space="preserve">Table </w:t>
      </w:r>
      <w:r w:rsidR="002604D0">
        <w:fldChar w:fldCharType="begin"/>
      </w:r>
      <w:r w:rsidR="002604D0">
        <w:instrText xml:space="preserve"> SEQ Table \* ARABIC </w:instrText>
      </w:r>
      <w:r w:rsidR="002604D0">
        <w:fldChar w:fldCharType="separate"/>
      </w:r>
      <w:r w:rsidR="00D30634">
        <w:rPr>
          <w:noProof/>
        </w:rPr>
        <w:t>5</w:t>
      </w:r>
      <w:r w:rsidR="002604D0">
        <w:fldChar w:fldCharType="end"/>
      </w:r>
      <w:bookmarkEnd w:id="37"/>
      <w:r w:rsidRPr="00602824">
        <w:t xml:space="preserve"> | Stakeholder perspectives </w:t>
      </w:r>
      <w:r w:rsidR="006E66B9" w:rsidRPr="00602824">
        <w:t>on maintaining no additional out-of-pocket costs for consumers</w:t>
      </w:r>
      <w:r w:rsidR="00A1761D" w:rsidRPr="00602824">
        <w:rPr>
          <w:rStyle w:val="FootnoteReference"/>
        </w:rPr>
        <w:footnoteReference w:id="39"/>
      </w:r>
    </w:p>
    <w:tbl>
      <w:tblPr>
        <w:tblStyle w:val="NOUS1"/>
        <w:tblW w:w="0" w:type="auto"/>
        <w:tblLook w:val="04A0" w:firstRow="1" w:lastRow="0" w:firstColumn="1" w:lastColumn="0" w:noHBand="0" w:noVBand="1"/>
      </w:tblPr>
      <w:tblGrid>
        <w:gridCol w:w="2252"/>
        <w:gridCol w:w="6819"/>
      </w:tblGrid>
      <w:tr w:rsidR="00253C24" w:rsidRPr="00602824" w14:paraId="4F2A890F" w14:textId="77777777" w:rsidTr="00432F38">
        <w:trPr>
          <w:cnfStyle w:val="100000000000" w:firstRow="1" w:lastRow="0" w:firstColumn="0" w:lastColumn="0" w:oddVBand="0" w:evenVBand="0" w:oddHBand="0" w:evenHBand="0" w:firstRowFirstColumn="0" w:firstRowLastColumn="0" w:lastRowFirstColumn="0" w:lastRowLastColumn="0"/>
        </w:trPr>
        <w:tc>
          <w:tcPr>
            <w:tcW w:w="2268" w:type="dxa"/>
          </w:tcPr>
          <w:p w14:paraId="323AA03E" w14:textId="77777777" w:rsidR="00432F38" w:rsidRPr="00602824" w:rsidRDefault="00432F38">
            <w:pPr>
              <w:pStyle w:val="TableNheader"/>
              <w:jc w:val="center"/>
            </w:pPr>
            <w:r w:rsidRPr="00602824">
              <w:t>Stakeholder group</w:t>
            </w:r>
          </w:p>
        </w:tc>
        <w:tc>
          <w:tcPr>
            <w:tcW w:w="6917" w:type="dxa"/>
          </w:tcPr>
          <w:p w14:paraId="0E222678" w14:textId="77777777" w:rsidR="00432F38" w:rsidRPr="00602824" w:rsidRDefault="00432F38">
            <w:pPr>
              <w:pStyle w:val="TableNheader"/>
            </w:pPr>
            <w:r w:rsidRPr="00602824">
              <w:t>Perspectives on reform project</w:t>
            </w:r>
          </w:p>
        </w:tc>
      </w:tr>
      <w:tr w:rsidR="00432F38" w:rsidRPr="00602824" w14:paraId="749C3C65" w14:textId="77777777" w:rsidTr="00432F38">
        <w:tc>
          <w:tcPr>
            <w:tcW w:w="2268" w:type="dxa"/>
            <w:shd w:val="clear" w:color="auto" w:fill="00264D" w:themeFill="background2"/>
          </w:tcPr>
          <w:p w14:paraId="72F73883" w14:textId="5776067B" w:rsidR="00432F38" w:rsidRPr="00602824" w:rsidRDefault="00432F38" w:rsidP="00531C08">
            <w:pPr>
              <w:pStyle w:val="TableNheader"/>
              <w:jc w:val="center"/>
              <w:rPr>
                <w:color w:val="FFFFFF" w:themeColor="background1"/>
              </w:rPr>
            </w:pPr>
            <w:r w:rsidRPr="00602824">
              <w:rPr>
                <w:color w:val="FFFFFF" w:themeColor="background1"/>
              </w:rPr>
              <w:t>Private hospital sector</w:t>
            </w:r>
          </w:p>
          <w:p w14:paraId="113FDD66" w14:textId="77777777" w:rsidR="00432F38" w:rsidRPr="00602824" w:rsidRDefault="00432F38">
            <w:pPr>
              <w:pStyle w:val="TableNheader"/>
              <w:jc w:val="center"/>
              <w:rPr>
                <w:color w:val="FFFFFF" w:themeColor="background1"/>
              </w:rPr>
            </w:pPr>
            <w:r w:rsidRPr="00AC7E3F">
              <w:rPr>
                <w:i/>
                <w:iCs/>
                <w:noProof/>
              </w:rPr>
              <mc:AlternateContent>
                <mc:Choice Requires="wps">
                  <w:drawing>
                    <wp:inline distT="0" distB="0" distL="0" distR="0" wp14:anchorId="7BB72E69" wp14:editId="3D7C62FD">
                      <wp:extent cx="320633" cy="314696"/>
                      <wp:effectExtent l="0" t="0" r="3810" b="9525"/>
                      <wp:docPr id="514099395" name="Freeform: Shape 514099395"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514099395"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5C081F73">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5A1D436E" w14:textId="77777777" w:rsidR="00432F38" w:rsidRPr="00602824" w:rsidRDefault="00432F38" w:rsidP="00432F38">
            <w:pPr>
              <w:pStyle w:val="TableNBullet"/>
              <w:spacing w:before="60" w:after="60"/>
            </w:pPr>
            <w:r w:rsidRPr="00602824">
              <w:t>Hospitals reported experiencing significant delays in payments from private health insurers. While hospitals say they currently absorb these shortfalls to shield patients from increased out-of-pocket costs, they consider this arrangement unsustainable. They cautioned that if funding gaps remain unaddressed, costs may ultimately be passed on to patients through gap payments or reduced access to advanced technologies.</w:t>
            </w:r>
          </w:p>
          <w:p w14:paraId="2FB0C7B3" w14:textId="77777777" w:rsidR="00432F38" w:rsidRPr="00602824" w:rsidRDefault="00432F38" w:rsidP="00432F38">
            <w:pPr>
              <w:pStyle w:val="TableNBullet"/>
              <w:spacing w:before="60" w:after="60"/>
            </w:pPr>
            <w:r w:rsidRPr="00602824">
              <w:t>Stakeholders noted that benefit reductions – particularly those implemented between 2017 and 2020 – have left them increasingly out of pocket, reporting that suppliers continue to charge above PL benefit levels.</w:t>
            </w:r>
          </w:p>
          <w:p w14:paraId="2BE9F7B8" w14:textId="760D6CCF" w:rsidR="00432F38" w:rsidRPr="00602824" w:rsidRDefault="00432F38" w:rsidP="00432F38">
            <w:pPr>
              <w:pStyle w:val="TableNBullet"/>
              <w:spacing w:before="60" w:after="60"/>
            </w:pPr>
            <w:r w:rsidRPr="00602824">
              <w:t>Higher patient gap payments were reported, especially for cochlear implants and neurostimulators, which were seen to undermine affordability.</w:t>
            </w:r>
          </w:p>
          <w:p w14:paraId="49D11194" w14:textId="6C3EFE2C" w:rsidR="00432F38" w:rsidRPr="00602824" w:rsidRDefault="00432F38" w:rsidP="00432F38">
            <w:pPr>
              <w:pStyle w:val="TableNBullet"/>
              <w:spacing w:before="60" w:after="60"/>
            </w:pPr>
            <w:r w:rsidRPr="00602824">
              <w:t>In response to reduced benefits, hospitals observed that some suppliers have begun charging separately for services and consumables that were previously bundled with implants at no additional cost.</w:t>
            </w:r>
            <w:r w:rsidR="00DC3E7D">
              <w:t xml:space="preserve"> </w:t>
            </w:r>
            <w:r w:rsidR="007C0C52">
              <w:t>Hospitals report</w:t>
            </w:r>
            <w:r w:rsidR="00A5414D">
              <w:t xml:space="preserve"> this</w:t>
            </w:r>
            <w:r w:rsidR="00DC3E7D">
              <w:t xml:space="preserve"> has resulted in a financial burden on </w:t>
            </w:r>
            <w:r w:rsidR="00A5414D">
              <w:t>them</w:t>
            </w:r>
            <w:r w:rsidR="00DC3E7D">
              <w:t>.</w:t>
            </w:r>
          </w:p>
        </w:tc>
      </w:tr>
      <w:tr w:rsidR="00432F38" w:rsidRPr="00602824" w14:paraId="15184B2E" w14:textId="77777777" w:rsidTr="00432F38">
        <w:tc>
          <w:tcPr>
            <w:tcW w:w="2268" w:type="dxa"/>
            <w:shd w:val="clear" w:color="auto" w:fill="00264D" w:themeFill="background2"/>
          </w:tcPr>
          <w:p w14:paraId="28C5E288" w14:textId="77777777" w:rsidR="00432F38" w:rsidRPr="00602824" w:rsidRDefault="00432F38">
            <w:pPr>
              <w:pStyle w:val="TableNheader"/>
              <w:jc w:val="center"/>
              <w:rPr>
                <w:color w:val="FFFFFF" w:themeColor="background1"/>
              </w:rPr>
            </w:pPr>
            <w:r w:rsidRPr="00602824">
              <w:rPr>
                <w:color w:val="FFFFFF" w:themeColor="background1"/>
              </w:rPr>
              <w:t>Private health insurance representatives</w:t>
            </w:r>
          </w:p>
          <w:p w14:paraId="1D1AAF76" w14:textId="77777777" w:rsidR="00432F38" w:rsidRPr="00602824" w:rsidRDefault="00432F38">
            <w:pPr>
              <w:pStyle w:val="TableNheader"/>
              <w:jc w:val="center"/>
              <w:rPr>
                <w:color w:val="FFFFFF" w:themeColor="background1"/>
              </w:rPr>
            </w:pPr>
            <w:r w:rsidRPr="00AC7E3F">
              <w:rPr>
                <w:i/>
                <w:iCs/>
                <w:noProof/>
              </w:rPr>
              <mc:AlternateContent>
                <mc:Choice Requires="wps">
                  <w:drawing>
                    <wp:inline distT="0" distB="0" distL="0" distR="0" wp14:anchorId="67EE4CAA" wp14:editId="3BFFFDE9">
                      <wp:extent cx="292311" cy="292311"/>
                      <wp:effectExtent l="0" t="0" r="0" b="0"/>
                      <wp:docPr id="1011418227" name="Freeform: Shape 1011418227"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011418227"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3F67AFFC">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23C9F066" w14:textId="77777777" w:rsidR="00432F38" w:rsidRPr="00602824" w:rsidRDefault="00432F38">
            <w:pPr>
              <w:pStyle w:val="TableNText"/>
              <w:rPr>
                <w:i/>
                <w:iCs/>
              </w:rPr>
            </w:pPr>
            <w:r w:rsidRPr="00602824">
              <w:rPr>
                <w:i/>
                <w:iCs/>
              </w:rPr>
              <w:t>No response provided.</w:t>
            </w:r>
          </w:p>
        </w:tc>
      </w:tr>
      <w:tr w:rsidR="00432F38" w:rsidRPr="00602824" w14:paraId="1D41F3A6" w14:textId="77777777" w:rsidTr="00432F38">
        <w:tc>
          <w:tcPr>
            <w:tcW w:w="2268" w:type="dxa"/>
            <w:shd w:val="clear" w:color="auto" w:fill="00264D" w:themeFill="background2"/>
          </w:tcPr>
          <w:p w14:paraId="6008DA2F" w14:textId="77777777" w:rsidR="00432F38" w:rsidRPr="00602824" w:rsidRDefault="00432F38">
            <w:pPr>
              <w:pStyle w:val="TableNheader"/>
              <w:jc w:val="center"/>
              <w:rPr>
                <w:color w:val="FFFFFF" w:themeColor="background1"/>
              </w:rPr>
            </w:pPr>
            <w:r w:rsidRPr="00602824">
              <w:rPr>
                <w:color w:val="FFFFFF" w:themeColor="background1"/>
              </w:rPr>
              <w:t>Medical technology representatives</w:t>
            </w:r>
          </w:p>
          <w:p w14:paraId="7B747D2F" w14:textId="77777777" w:rsidR="00432F38" w:rsidRPr="00602824" w:rsidRDefault="00432F38">
            <w:pPr>
              <w:pStyle w:val="TableNheader"/>
              <w:jc w:val="center"/>
              <w:rPr>
                <w:color w:val="FFFFFF" w:themeColor="background1"/>
              </w:rPr>
            </w:pPr>
            <w:r w:rsidRPr="00AC7E3F">
              <w:rPr>
                <w:i/>
                <w:iCs/>
                <w:noProof/>
              </w:rPr>
              <w:drawing>
                <wp:inline distT="0" distB="0" distL="0" distR="0" wp14:anchorId="66BC998D" wp14:editId="6C5BA21E">
                  <wp:extent cx="309245" cy="336734"/>
                  <wp:effectExtent l="0" t="0" r="0" b="6350"/>
                  <wp:docPr id="2134726452" name="Graphic 2134726452"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3EF377A6" w14:textId="77777777" w:rsidR="00432F38" w:rsidRPr="00602824" w:rsidRDefault="00432F38" w:rsidP="00432F38">
            <w:pPr>
              <w:pStyle w:val="TableNBullet"/>
              <w:spacing w:before="60" w:after="60"/>
            </w:pPr>
            <w:r w:rsidRPr="00602824">
              <w:t>Industry representatives stated that benefit reductions alone have not had a material impact on out-of-pocket costs for existing products.</w:t>
            </w:r>
          </w:p>
        </w:tc>
      </w:tr>
      <w:tr w:rsidR="00432F38" w:rsidRPr="00602824" w14:paraId="5C7E7E11" w14:textId="77777777" w:rsidTr="00432F38">
        <w:tc>
          <w:tcPr>
            <w:tcW w:w="2268" w:type="dxa"/>
            <w:shd w:val="clear" w:color="auto" w:fill="00264D" w:themeFill="background2"/>
          </w:tcPr>
          <w:p w14:paraId="062CE0B4" w14:textId="77777777" w:rsidR="00432F38" w:rsidRPr="00602824" w:rsidRDefault="00432F38">
            <w:pPr>
              <w:pStyle w:val="TableNheader"/>
              <w:jc w:val="center"/>
              <w:rPr>
                <w:color w:val="FFFFFF" w:themeColor="background1"/>
              </w:rPr>
            </w:pPr>
            <w:r w:rsidRPr="00602824">
              <w:rPr>
                <w:color w:val="FFFFFF" w:themeColor="background1"/>
              </w:rPr>
              <w:t>Clinician representatives</w:t>
            </w:r>
          </w:p>
          <w:p w14:paraId="7784A944" w14:textId="77777777" w:rsidR="00432F38" w:rsidRPr="00602824" w:rsidRDefault="00432F38">
            <w:pPr>
              <w:pStyle w:val="TableNheader"/>
              <w:jc w:val="center"/>
              <w:rPr>
                <w:color w:val="FFFFFF" w:themeColor="background1"/>
              </w:rPr>
            </w:pPr>
            <w:r w:rsidRPr="00AC7E3F">
              <w:rPr>
                <w:noProof/>
              </w:rPr>
              <w:drawing>
                <wp:inline distT="0" distB="0" distL="0" distR="0" wp14:anchorId="12674852" wp14:editId="1F4E292A">
                  <wp:extent cx="267970" cy="323215"/>
                  <wp:effectExtent l="0" t="0" r="0" b="635"/>
                  <wp:docPr id="1650288183"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375E8187" w14:textId="77777777" w:rsidR="00432F38" w:rsidRPr="00602824" w:rsidRDefault="00432F38" w:rsidP="00432F38">
            <w:pPr>
              <w:pStyle w:val="TableNBullet"/>
              <w:spacing w:before="60" w:after="60"/>
            </w:pPr>
            <w:r w:rsidRPr="00602824">
              <w:t xml:space="preserve">Clinicians generally reported no awareness of increased out-of-pocket costs for patients or changes in clinical outcomes </w:t>
            </w:r>
            <w:proofErr w:type="gramStart"/>
            <w:r w:rsidRPr="00602824">
              <w:t>as a result of</w:t>
            </w:r>
            <w:proofErr w:type="gramEnd"/>
            <w:r w:rsidRPr="00602824">
              <w:t xml:space="preserve"> the reforms.</w:t>
            </w:r>
          </w:p>
          <w:p w14:paraId="3F9BF122" w14:textId="0E2D1CD8" w:rsidR="00432F38" w:rsidRPr="00602824" w:rsidRDefault="00432F38" w:rsidP="00432F38">
            <w:pPr>
              <w:pStyle w:val="TableNBullet"/>
              <w:spacing w:before="60" w:after="60"/>
            </w:pPr>
            <w:r w:rsidRPr="00602824">
              <w:t>However, some clinicians noted that certain companies appeared less willing to supply individualised 3D printed models free of charge, which they attributed to reduced profit margins on medical devices.</w:t>
            </w:r>
          </w:p>
        </w:tc>
      </w:tr>
    </w:tbl>
    <w:p w14:paraId="1438B124" w14:textId="77777777" w:rsidR="00035CB6" w:rsidRPr="00602824" w:rsidRDefault="00035CB6" w:rsidP="009E75FC">
      <w:pPr>
        <w:spacing w:after="160" w:line="259" w:lineRule="auto"/>
        <w:rPr>
          <w:lang w:eastAsia="en-AU"/>
        </w:rPr>
      </w:pPr>
    </w:p>
    <w:p w14:paraId="39C3DA9B" w14:textId="4CE23828" w:rsidR="00F37C28" w:rsidRPr="00602824" w:rsidRDefault="009E75FC" w:rsidP="009E75FC">
      <w:pPr>
        <w:spacing w:after="160" w:line="259" w:lineRule="auto"/>
        <w:rPr>
          <w:lang w:eastAsia="en-AU"/>
        </w:rPr>
      </w:pPr>
      <w:r w:rsidRPr="00602824">
        <w:rPr>
          <w:lang w:eastAsia="en-AU"/>
        </w:rPr>
        <w:br w:type="page"/>
      </w:r>
    </w:p>
    <w:p w14:paraId="011BABC1" w14:textId="77777777" w:rsidR="006D4D32" w:rsidRPr="00602824" w:rsidRDefault="006D4D32" w:rsidP="006D4D32">
      <w:pPr>
        <w:pStyle w:val="Heading2"/>
      </w:pPr>
      <w:bookmarkStart w:id="38" w:name="_Ref159168037"/>
      <w:bookmarkStart w:id="39" w:name="_Toc164439317"/>
      <w:bookmarkStart w:id="40" w:name="_Toc181405080"/>
      <w:bookmarkStart w:id="41" w:name="_Toc209176970"/>
      <w:r w:rsidRPr="00602824">
        <w:lastRenderedPageBreak/>
        <w:t>Objective 3: Maintain clinician choice of appropriate prostheses for their patients</w:t>
      </w:r>
      <w:bookmarkEnd w:id="38"/>
      <w:bookmarkEnd w:id="39"/>
      <w:bookmarkEnd w:id="40"/>
      <w:bookmarkEnd w:id="41"/>
    </w:p>
    <w:p w14:paraId="1D98AEB5" w14:textId="7F7142D5" w:rsidR="006D4D32" w:rsidRPr="00602824" w:rsidRDefault="006D4D32" w:rsidP="006D4D32">
      <w:pPr>
        <w:rPr>
          <w:i/>
          <w:iCs/>
          <w:lang w:eastAsia="en-AU"/>
        </w:rPr>
      </w:pPr>
      <w:r w:rsidRPr="00602824">
        <w:rPr>
          <w:i/>
          <w:iCs/>
          <w:lang w:eastAsia="en-AU"/>
        </w:rPr>
        <w:t xml:space="preserve">This section focuses on examining any change in clinicians’ experience of </w:t>
      </w:r>
      <w:r w:rsidR="008A29A5" w:rsidRPr="00602824">
        <w:rPr>
          <w:i/>
          <w:iCs/>
          <w:lang w:eastAsia="en-AU"/>
        </w:rPr>
        <w:t xml:space="preserve">being able to </w:t>
      </w:r>
      <w:r w:rsidR="00866548" w:rsidRPr="00602824">
        <w:rPr>
          <w:i/>
          <w:iCs/>
          <w:lang w:eastAsia="en-AU"/>
        </w:rPr>
        <w:t>choose</w:t>
      </w:r>
      <w:r w:rsidR="00BA5F59" w:rsidRPr="00602824">
        <w:rPr>
          <w:i/>
          <w:iCs/>
          <w:lang w:eastAsia="en-AU"/>
        </w:rPr>
        <w:t xml:space="preserve"> </w:t>
      </w:r>
      <w:r w:rsidR="00EF6820" w:rsidRPr="00602824">
        <w:rPr>
          <w:i/>
          <w:iCs/>
          <w:lang w:eastAsia="en-AU"/>
        </w:rPr>
        <w:t>the</w:t>
      </w:r>
      <w:r w:rsidRPr="00602824">
        <w:rPr>
          <w:i/>
          <w:iCs/>
          <w:lang w:eastAsia="en-AU"/>
        </w:rPr>
        <w:t xml:space="preserve"> prostheses</w:t>
      </w:r>
      <w:r w:rsidR="00EF6820" w:rsidRPr="00602824">
        <w:rPr>
          <w:i/>
          <w:iCs/>
          <w:lang w:eastAsia="en-AU"/>
        </w:rPr>
        <w:t xml:space="preserve"> they wish to use</w:t>
      </w:r>
      <w:r w:rsidR="00F768B7" w:rsidRPr="00602824">
        <w:rPr>
          <w:i/>
          <w:iCs/>
          <w:lang w:eastAsia="en-AU"/>
        </w:rPr>
        <w:t>.</w:t>
      </w:r>
      <w:r w:rsidRPr="00602824">
        <w:rPr>
          <w:i/>
          <w:iCs/>
          <w:lang w:eastAsia="en-AU"/>
        </w:rPr>
        <w:t xml:space="preserve"> </w:t>
      </w:r>
      <w:r w:rsidRPr="00602824">
        <w:rPr>
          <w:i/>
          <w:lang w:eastAsia="en-AU"/>
        </w:rPr>
        <w:t xml:space="preserve">It also considers changes in the utilisation of PL items as a potential indicator for changes in clinician choice and </w:t>
      </w:r>
      <w:r w:rsidRPr="00602824">
        <w:rPr>
          <w:i/>
          <w:iCs/>
          <w:lang w:eastAsia="en-AU"/>
        </w:rPr>
        <w:t>consumer access.</w:t>
      </w:r>
    </w:p>
    <w:p w14:paraId="057313F3" w14:textId="77C49B70" w:rsidR="006D4D32" w:rsidRPr="00602824" w:rsidRDefault="006D4D32" w:rsidP="00B50EE7">
      <w:pPr>
        <w:pStyle w:val="Caption"/>
        <w:rPr>
          <w:lang w:eastAsia="en-AU"/>
        </w:rPr>
      </w:pPr>
      <w:r w:rsidRPr="00602824">
        <w:t xml:space="preserve">Figure </w:t>
      </w:r>
      <w:r w:rsidR="002604D0">
        <w:fldChar w:fldCharType="begin"/>
      </w:r>
      <w:r w:rsidR="002604D0">
        <w:instrText xml:space="preserve"> SEQ Figure \* ARABIC </w:instrText>
      </w:r>
      <w:r w:rsidR="002604D0">
        <w:fldChar w:fldCharType="separate"/>
      </w:r>
      <w:r w:rsidR="00D30634">
        <w:rPr>
          <w:noProof/>
        </w:rPr>
        <w:t>12</w:t>
      </w:r>
      <w:r w:rsidR="002604D0">
        <w:fldChar w:fldCharType="end"/>
      </w:r>
      <w:r w:rsidRPr="00602824">
        <w:t xml:space="preserve"> | Reform projects related to reform objective 3</w:t>
      </w:r>
    </w:p>
    <w:p w14:paraId="4801BB7D" w14:textId="698382B9" w:rsidR="00CE163A" w:rsidRPr="00602824" w:rsidRDefault="001761AD" w:rsidP="00AC2A73">
      <w:pPr>
        <w:rPr>
          <w:lang w:eastAsia="en-AU"/>
        </w:rPr>
      </w:pPr>
      <w:r w:rsidRPr="00AC7E3F">
        <w:rPr>
          <w:noProof/>
          <w:lang w:eastAsia="en-AU"/>
        </w:rPr>
        <w:drawing>
          <wp:inline distT="0" distB="0" distL="0" distR="0" wp14:anchorId="753ADA3B" wp14:editId="3EB9DC77">
            <wp:extent cx="5748951" cy="1450340"/>
            <wp:effectExtent l="0" t="0" r="4445" b="0"/>
            <wp:docPr id="2044549995" name="Picture 1" descr="A figure showing reform objective 3. Maintain clinician choice is maintain baseline policy position. Objective 3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49995" name="Picture 1" descr="A figure showing reform objective 3. Maintain clinician choice is maintain baseline policy position. Objective 3 is also connected with a dotted line to benefit reductions."/>
                    <pic:cNvPicPr/>
                  </pic:nvPicPr>
                  <pic:blipFill>
                    <a:blip r:embed="rId37"/>
                    <a:stretch>
                      <a:fillRect/>
                    </a:stretch>
                  </pic:blipFill>
                  <pic:spPr>
                    <a:xfrm>
                      <a:off x="0" y="0"/>
                      <a:ext cx="5750963" cy="1450848"/>
                    </a:xfrm>
                    <a:prstGeom prst="rect">
                      <a:avLst/>
                    </a:prstGeom>
                  </pic:spPr>
                </pic:pic>
              </a:graphicData>
            </a:graphic>
          </wp:inline>
        </w:drawing>
      </w:r>
    </w:p>
    <w:p w14:paraId="5FED782C" w14:textId="210AFA52" w:rsidR="00870604" w:rsidRPr="00602824" w:rsidRDefault="00870604" w:rsidP="009A6E3C">
      <w:pPr>
        <w:pStyle w:val="Heading3"/>
      </w:pPr>
      <w:r w:rsidRPr="00602824">
        <w:t xml:space="preserve">Implementation </w:t>
      </w:r>
      <w:r w:rsidR="00592B9F" w:rsidRPr="00602824">
        <w:t>p</w:t>
      </w:r>
      <w:r w:rsidRPr="00602824">
        <w:t>rogress</w:t>
      </w:r>
      <w:r w:rsidR="00592B9F" w:rsidRPr="00602824">
        <w:t>: clinician choice</w:t>
      </w:r>
    </w:p>
    <w:tbl>
      <w:tblPr>
        <w:tblStyle w:val="NOUSSideHeader4"/>
        <w:tblW w:w="0" w:type="auto"/>
        <w:tblLook w:val="04A0" w:firstRow="1" w:lastRow="0" w:firstColumn="1" w:lastColumn="0" w:noHBand="0" w:noVBand="1"/>
      </w:tblPr>
      <w:tblGrid>
        <w:gridCol w:w="9061"/>
      </w:tblGrid>
      <w:tr w:rsidR="009E39DE" w:rsidRPr="00602824" w14:paraId="69C7B455" w14:textId="77777777" w:rsidTr="00CF6F82">
        <w:trPr>
          <w:cnfStyle w:val="100000000000" w:firstRow="1" w:lastRow="0" w:firstColumn="0" w:lastColumn="0" w:oddVBand="0" w:evenVBand="0" w:oddHBand="0" w:evenHBand="0" w:firstRowFirstColumn="0" w:firstRowLastColumn="0" w:lastRowFirstColumn="0" w:lastRowLastColumn="0"/>
        </w:trPr>
        <w:tc>
          <w:tcPr>
            <w:tcW w:w="9061" w:type="dxa"/>
          </w:tcPr>
          <w:p w14:paraId="60DF18CF" w14:textId="6E60B482" w:rsidR="009E39DE" w:rsidRPr="00602824" w:rsidRDefault="009E39DE" w:rsidP="00FB712C">
            <w:pPr>
              <w:spacing w:before="120"/>
            </w:pPr>
            <w:r w:rsidRPr="00602824">
              <w:rPr>
                <w:lang w:eastAsia="en-AU"/>
              </w:rPr>
              <w:t>No specific activities in relation to clinician choice were implemented during this period.</w:t>
            </w:r>
            <w:r w:rsidR="007D468F" w:rsidRPr="00602824">
              <w:rPr>
                <w:lang w:eastAsia="en-AU"/>
              </w:rPr>
              <w:t xml:space="preserve"> </w:t>
            </w:r>
          </w:p>
        </w:tc>
      </w:tr>
    </w:tbl>
    <w:p w14:paraId="45024722" w14:textId="3BC5D4AF" w:rsidR="00E316BE" w:rsidRPr="00602824" w:rsidRDefault="00E316BE" w:rsidP="00E316BE">
      <w:pPr>
        <w:pStyle w:val="Heading3"/>
      </w:pPr>
      <w:r w:rsidRPr="00602824">
        <w:t>T</w:t>
      </w:r>
      <w:r w:rsidR="00956218" w:rsidRPr="00602824">
        <w:t>here is a</w:t>
      </w:r>
      <w:r w:rsidR="00AB3CE8" w:rsidRPr="00602824">
        <w:t xml:space="preserve"> </w:t>
      </w:r>
      <w:r w:rsidR="00956218" w:rsidRPr="00602824">
        <w:t>t</w:t>
      </w:r>
      <w:r w:rsidRPr="00602824">
        <w:t>rade-off between maintaining clinician choice and improving PHI affordability</w:t>
      </w:r>
    </w:p>
    <w:p w14:paraId="4B6F55BD" w14:textId="49EE22DE" w:rsidR="006E2F70" w:rsidRPr="00602824" w:rsidRDefault="00B267E5" w:rsidP="006E2F70">
      <w:r w:rsidRPr="00602824">
        <w:t xml:space="preserve">A core principle of the reforms is preserving clinician choice. Any item on the PL can be used </w:t>
      </w:r>
      <w:r w:rsidR="00566780" w:rsidRPr="00602824">
        <w:t xml:space="preserve">and funded </w:t>
      </w:r>
      <w:r w:rsidRPr="00602824">
        <w:t xml:space="preserve">in a procedure </w:t>
      </w:r>
      <w:r w:rsidR="00566780" w:rsidRPr="00602824">
        <w:t>with a</w:t>
      </w:r>
      <w:r w:rsidRPr="00602824">
        <w:t xml:space="preserve"> </w:t>
      </w:r>
      <w:proofErr w:type="gramStart"/>
      <w:r w:rsidRPr="00602824">
        <w:t>private</w:t>
      </w:r>
      <w:r w:rsidR="00566780" w:rsidRPr="00602824">
        <w:t>ly-insured</w:t>
      </w:r>
      <w:proofErr w:type="gramEnd"/>
      <w:r w:rsidR="00566780" w:rsidRPr="00602824">
        <w:t xml:space="preserve"> patient</w:t>
      </w:r>
      <w:r w:rsidRPr="00602824">
        <w:t>, provided it meets the requirements set out in the PL Guide.</w:t>
      </w:r>
      <w:r w:rsidR="000A260E" w:rsidRPr="00602824">
        <w:rPr>
          <w:rStyle w:val="FootnoteReference"/>
        </w:rPr>
        <w:footnoteReference w:id="40"/>
      </w:r>
    </w:p>
    <w:p w14:paraId="0A895712" w14:textId="52A5E885" w:rsidR="005B54AA" w:rsidRPr="00602824" w:rsidRDefault="00D800CA" w:rsidP="00D800CA">
      <w:pPr>
        <w:rPr>
          <w:lang w:eastAsia="en-AU"/>
        </w:rPr>
      </w:pPr>
      <w:r w:rsidRPr="00602824">
        <w:rPr>
          <w:lang w:eastAsia="en-AU"/>
        </w:rPr>
        <w:t>There is no strong evidence that the reforms to date have significantly constrained device choice. However, ongoing monitoring is warranted, given concerns raised by some industry sponsors that lower PL benefits may discourage the listing of innovative technologies. Private hospitals and clinicians have also expressed apprehension about continued access to more advanced, higher-cost devices.</w:t>
      </w:r>
    </w:p>
    <w:p w14:paraId="45423BCB" w14:textId="77777777" w:rsidR="00F9021E" w:rsidRPr="00602824" w:rsidRDefault="00F9021E" w:rsidP="00F9021E">
      <w:pPr>
        <w:pStyle w:val="Heading4"/>
      </w:pPr>
      <w:bookmarkStart w:id="42" w:name="_Hlk202352388"/>
      <w:r w:rsidRPr="00602824">
        <w:t>There has been a slight decrease in the number of items on the PL over time</w:t>
      </w:r>
    </w:p>
    <w:bookmarkEnd w:id="42"/>
    <w:p w14:paraId="22833D25" w14:textId="5E983AB3" w:rsidR="00813A73" w:rsidRPr="00602824" w:rsidRDefault="00244A96" w:rsidP="00813A73">
      <w:pPr>
        <w:spacing w:after="160" w:line="259" w:lineRule="auto"/>
        <w:rPr>
          <w:lang w:eastAsia="en-AU"/>
        </w:rPr>
      </w:pPr>
      <w:r w:rsidRPr="00602824">
        <w:rPr>
          <w:lang w:eastAsia="en-AU"/>
        </w:rPr>
        <w:t>The number of items listed on the PL has declined by 5.7% over the four years since baseline (</w:t>
      </w:r>
      <w:r w:rsidR="003D03CB" w:rsidRPr="00602824">
        <w:rPr>
          <w:lang w:eastAsia="en-AU"/>
        </w:rPr>
        <w:t>s</w:t>
      </w:r>
      <w:r w:rsidR="00E316BE" w:rsidRPr="00602824">
        <w:rPr>
          <w:lang w:eastAsia="en-AU"/>
        </w:rPr>
        <w:t>ee</w:t>
      </w:r>
      <w:r w:rsidR="000E3A8A" w:rsidRPr="00602824">
        <w:rPr>
          <w:lang w:eastAsia="en-AU"/>
        </w:rPr>
        <w:t xml:space="preserve"> </w:t>
      </w:r>
      <w:r w:rsidR="008B1449" w:rsidRPr="00602824">
        <w:rPr>
          <w:lang w:eastAsia="en-AU"/>
        </w:rPr>
        <w:fldChar w:fldCharType="begin"/>
      </w:r>
      <w:r w:rsidR="008B1449" w:rsidRPr="00602824">
        <w:rPr>
          <w:lang w:eastAsia="en-AU"/>
        </w:rPr>
        <w:instrText xml:space="preserve"> REF _Ref199404735 \h </w:instrText>
      </w:r>
      <w:r w:rsidR="008B1449" w:rsidRPr="00602824">
        <w:rPr>
          <w:lang w:eastAsia="en-AU"/>
        </w:rPr>
      </w:r>
      <w:r w:rsidR="008B1449" w:rsidRPr="00602824">
        <w:rPr>
          <w:lang w:eastAsia="en-AU"/>
        </w:rPr>
        <w:fldChar w:fldCharType="separate"/>
      </w:r>
      <w:r w:rsidR="00D30634" w:rsidRPr="004A357C">
        <w:t xml:space="preserve">Figure </w:t>
      </w:r>
      <w:r w:rsidR="00D30634">
        <w:rPr>
          <w:noProof/>
        </w:rPr>
        <w:t>36</w:t>
      </w:r>
      <w:r w:rsidR="008B1449" w:rsidRPr="00602824">
        <w:rPr>
          <w:lang w:eastAsia="en-AU"/>
        </w:rPr>
        <w:fldChar w:fldCharType="end"/>
      </w:r>
      <w:r w:rsidR="008B1449" w:rsidRPr="00602824">
        <w:rPr>
          <w:lang w:eastAsia="en-AU"/>
        </w:rPr>
        <w:t xml:space="preserve"> in </w:t>
      </w:r>
      <w:r w:rsidR="000E3A8A" w:rsidRPr="00602824">
        <w:rPr>
          <w:lang w:eastAsia="en-AU"/>
        </w:rPr>
        <w:t xml:space="preserve">Appendix </w:t>
      </w:r>
      <w:r w:rsidR="003D03CB" w:rsidRPr="00602824">
        <w:rPr>
          <w:lang w:eastAsia="en-AU"/>
        </w:rPr>
        <w:fldChar w:fldCharType="begin"/>
      </w:r>
      <w:r w:rsidR="003D03CB" w:rsidRPr="00602824">
        <w:rPr>
          <w:lang w:eastAsia="en-AU"/>
        </w:rPr>
        <w:instrText xml:space="preserve"> REF _Ref202884080 \r \h </w:instrText>
      </w:r>
      <w:r w:rsidR="003D03CB" w:rsidRPr="00602824">
        <w:rPr>
          <w:lang w:eastAsia="en-AU"/>
        </w:rPr>
      </w:r>
      <w:r w:rsidR="003D03CB" w:rsidRPr="00602824">
        <w:rPr>
          <w:lang w:eastAsia="en-AU"/>
        </w:rPr>
        <w:fldChar w:fldCharType="separate"/>
      </w:r>
      <w:r w:rsidR="00D30634">
        <w:rPr>
          <w:lang w:eastAsia="en-AU"/>
        </w:rPr>
        <w:t>D.6</w:t>
      </w:r>
      <w:r w:rsidR="003D03CB" w:rsidRPr="00602824">
        <w:rPr>
          <w:lang w:eastAsia="en-AU"/>
        </w:rPr>
        <w:fldChar w:fldCharType="end"/>
      </w:r>
      <w:r w:rsidR="00E316BE" w:rsidRPr="00602824">
        <w:rPr>
          <w:lang w:eastAsia="en-AU"/>
        </w:rPr>
        <w:t>)</w:t>
      </w:r>
      <w:r w:rsidR="00813A73" w:rsidRPr="00602824">
        <w:rPr>
          <w:lang w:eastAsia="en-AU"/>
        </w:rPr>
        <w:t>.</w:t>
      </w:r>
      <w:r w:rsidR="000E3A8A" w:rsidRPr="00602824">
        <w:rPr>
          <w:lang w:eastAsia="en-AU"/>
        </w:rPr>
        <w:t xml:space="preserve"> </w:t>
      </w:r>
      <w:r w:rsidR="00813A73" w:rsidRPr="00602824">
        <w:rPr>
          <w:lang w:eastAsia="en-AU"/>
        </w:rPr>
        <w:t>Between July 2023 and August 2024, the</w:t>
      </w:r>
      <w:r w:rsidRPr="00602824">
        <w:rPr>
          <w:lang w:eastAsia="en-AU"/>
        </w:rPr>
        <w:t xml:space="preserve"> reduction </w:t>
      </w:r>
      <w:r w:rsidR="00813A73" w:rsidRPr="00602824">
        <w:rPr>
          <w:lang w:eastAsia="en-AU"/>
        </w:rPr>
        <w:t xml:space="preserve">was a 0.9% reduction </w:t>
      </w:r>
      <w:r w:rsidRPr="00602824">
        <w:rPr>
          <w:lang w:eastAsia="en-AU"/>
        </w:rPr>
        <w:t xml:space="preserve">across </w:t>
      </w:r>
      <w:r w:rsidR="00813A73" w:rsidRPr="00602824">
        <w:rPr>
          <w:lang w:eastAsia="en-AU"/>
        </w:rPr>
        <w:t>Part A, C</w:t>
      </w:r>
      <w:r w:rsidR="001B111B" w:rsidRPr="00602824">
        <w:rPr>
          <w:lang w:eastAsia="en-AU"/>
        </w:rPr>
        <w:t xml:space="preserve"> and</w:t>
      </w:r>
      <w:r w:rsidR="00813A73" w:rsidRPr="00602824">
        <w:rPr>
          <w:lang w:eastAsia="en-AU"/>
        </w:rPr>
        <w:t xml:space="preserve"> D</w:t>
      </w:r>
      <w:r w:rsidR="001B111B" w:rsidRPr="00602824">
        <w:rPr>
          <w:lang w:eastAsia="en-AU"/>
        </w:rPr>
        <w:t>.</w:t>
      </w:r>
      <w:r w:rsidR="008B1449" w:rsidRPr="00602824">
        <w:rPr>
          <w:rStyle w:val="FootnoteReference"/>
          <w:lang w:eastAsia="en-AU"/>
        </w:rPr>
        <w:footnoteReference w:id="41"/>
      </w:r>
      <w:r w:rsidR="004C5174" w:rsidRPr="00602824">
        <w:rPr>
          <w:lang w:eastAsia="en-AU"/>
        </w:rPr>
        <w:t xml:space="preserve"> </w:t>
      </w:r>
    </w:p>
    <w:p w14:paraId="1615D55B" w14:textId="64A3D5DE" w:rsidR="008943E3" w:rsidRDefault="0072334D" w:rsidP="00E316BE">
      <w:pPr>
        <w:spacing w:after="160" w:line="259" w:lineRule="auto"/>
        <w:rPr>
          <w:lang w:eastAsia="en-AU"/>
        </w:rPr>
      </w:pPr>
      <w:r w:rsidRPr="00602824">
        <w:rPr>
          <w:lang w:eastAsia="en-AU"/>
        </w:rPr>
        <w:t xml:space="preserve">Industry </w:t>
      </w:r>
      <w:r w:rsidR="004E56C0" w:rsidRPr="00602824">
        <w:rPr>
          <w:lang w:eastAsia="en-AU"/>
        </w:rPr>
        <w:t>s</w:t>
      </w:r>
      <w:r w:rsidR="00053A83" w:rsidRPr="00602824">
        <w:rPr>
          <w:lang w:eastAsia="en-AU"/>
        </w:rPr>
        <w:t>takeholders</w:t>
      </w:r>
      <w:r w:rsidR="00C74ACA" w:rsidRPr="00602824">
        <w:rPr>
          <w:lang w:eastAsia="en-AU"/>
        </w:rPr>
        <w:t xml:space="preserve"> have suggested that reduced benefits have </w:t>
      </w:r>
      <w:r w:rsidR="008C05E7" w:rsidRPr="00602824">
        <w:rPr>
          <w:lang w:eastAsia="en-AU"/>
        </w:rPr>
        <w:t>placed pressure on sponsors to maintain listings amid rising supply costs</w:t>
      </w:r>
      <w:r w:rsidR="00AF75E5" w:rsidRPr="00602824">
        <w:rPr>
          <w:lang w:eastAsia="en-AU"/>
        </w:rPr>
        <w:t>.</w:t>
      </w:r>
      <w:r w:rsidR="00AF75E5" w:rsidRPr="00602824">
        <w:rPr>
          <w:rStyle w:val="FootnoteReference"/>
          <w:lang w:eastAsia="en-AU"/>
        </w:rPr>
        <w:footnoteReference w:id="42"/>
      </w:r>
      <w:r w:rsidR="00AF75E5" w:rsidRPr="00602824">
        <w:rPr>
          <w:lang w:eastAsia="en-AU"/>
        </w:rPr>
        <w:t xml:space="preserve"> </w:t>
      </w:r>
      <w:r w:rsidR="00C473C9" w:rsidRPr="00602824">
        <w:rPr>
          <w:lang w:eastAsia="en-AU"/>
        </w:rPr>
        <w:t>Some removals may also be linked to the anticipated introduction of the cost recovery levy, with clinician stakeholders noting that sponsors may be rationalising less frequently used items – a trend they expect to continue</w:t>
      </w:r>
      <w:r w:rsidR="00231A55" w:rsidRPr="00602824">
        <w:rPr>
          <w:lang w:eastAsia="en-AU"/>
        </w:rPr>
        <w:t>.</w:t>
      </w:r>
      <w:r w:rsidR="00513E95" w:rsidRPr="00602824">
        <w:rPr>
          <w:rStyle w:val="FootnoteReference"/>
          <w:lang w:eastAsia="en-AU"/>
        </w:rPr>
        <w:footnoteReference w:id="43"/>
      </w:r>
    </w:p>
    <w:p w14:paraId="627B5454" w14:textId="77777777" w:rsidR="008943E3" w:rsidRPr="00602824" w:rsidRDefault="008943E3" w:rsidP="00E316BE">
      <w:pPr>
        <w:spacing w:after="160" w:line="259" w:lineRule="auto"/>
        <w:rPr>
          <w:lang w:eastAsia="en-AU"/>
        </w:rPr>
      </w:pPr>
    </w:p>
    <w:p w14:paraId="7E65378C" w14:textId="02FD7D62" w:rsidR="00E316BE" w:rsidRPr="00602824" w:rsidRDefault="009E1B20" w:rsidP="00FB712C">
      <w:pPr>
        <w:spacing w:after="160" w:line="259" w:lineRule="auto"/>
        <w:rPr>
          <w:lang w:eastAsia="en-AU"/>
        </w:rPr>
      </w:pPr>
      <w:r w:rsidRPr="00602824">
        <w:rPr>
          <w:lang w:eastAsia="en-AU"/>
        </w:rPr>
        <w:lastRenderedPageBreak/>
        <w:t>While these factors may be contributing, the modest reduction in items does not appear to have materially affected clinician choice. Evaluation analysis of recently removed items showed a typical distribution of utilisation, with delisted items including both high- and low-use devices.</w:t>
      </w:r>
      <w:r w:rsidR="00313AB5" w:rsidRPr="00602824">
        <w:rPr>
          <w:rStyle w:val="FootnoteReference"/>
          <w:lang w:eastAsia="en-AU"/>
        </w:rPr>
        <w:footnoteReference w:id="44"/>
      </w:r>
      <w:r w:rsidR="00313AB5" w:rsidRPr="00602824">
        <w:rPr>
          <w:lang w:eastAsia="en-AU"/>
        </w:rPr>
        <w:t xml:space="preserve"> Items are removed for various reasons, and the scale and pattern of removals do not raise concern.</w:t>
      </w:r>
    </w:p>
    <w:p w14:paraId="0F4B506F" w14:textId="78E42EF5" w:rsidR="00CD1E26" w:rsidRPr="00602824" w:rsidRDefault="002C196F" w:rsidP="00CD1E26">
      <w:pPr>
        <w:pStyle w:val="Heading4"/>
      </w:pPr>
      <w:r w:rsidRPr="00602824">
        <w:t xml:space="preserve">There are mixed views on the impact of the reforms on </w:t>
      </w:r>
      <w:r w:rsidR="00DB731F" w:rsidRPr="00602824">
        <w:t>clinician</w:t>
      </w:r>
      <w:r w:rsidRPr="00602824">
        <w:t xml:space="preserve"> choice, with </w:t>
      </w:r>
      <w:r w:rsidR="00DB731F" w:rsidRPr="00602824">
        <w:t>most</w:t>
      </w:r>
      <w:r w:rsidRPr="00602824">
        <w:t xml:space="preserve"> stakeholders </w:t>
      </w:r>
      <w:r w:rsidR="00DB731F" w:rsidRPr="00602824">
        <w:t xml:space="preserve">stating the overall impact </w:t>
      </w:r>
      <w:r w:rsidR="009B4CE3" w:rsidRPr="00602824">
        <w:t>has been minimal</w:t>
      </w:r>
    </w:p>
    <w:p w14:paraId="35ED218C" w14:textId="71D0A55F" w:rsidR="00F317C7" w:rsidRPr="00602824" w:rsidRDefault="009B4CE3" w:rsidP="00E316BE">
      <w:pPr>
        <w:spacing w:after="160" w:line="259" w:lineRule="auto"/>
        <w:rPr>
          <w:lang w:eastAsia="en-AU"/>
        </w:rPr>
      </w:pPr>
      <w:r w:rsidRPr="00602824">
        <w:rPr>
          <w:lang w:eastAsia="en-AU"/>
        </w:rPr>
        <w:t xml:space="preserve">While some stakeholders reported early signs of constrained choice, others suggested it is still too soon to determine any significant impact. </w:t>
      </w:r>
    </w:p>
    <w:p w14:paraId="3809541B" w14:textId="1CA92E4B" w:rsidR="00F317C7" w:rsidRPr="00602824" w:rsidRDefault="009B4CE3" w:rsidP="00E316BE">
      <w:pPr>
        <w:spacing w:after="160" w:line="259" w:lineRule="auto"/>
        <w:rPr>
          <w:lang w:eastAsia="en-AU"/>
        </w:rPr>
      </w:pPr>
      <w:r w:rsidRPr="00602824">
        <w:rPr>
          <w:lang w:eastAsia="en-AU"/>
        </w:rPr>
        <w:t xml:space="preserve">Clinician representatives generally observed that they had not observed any major changes in device availability, with ongoing better access to devices than in the public system. </w:t>
      </w:r>
      <w:r w:rsidR="00F317C7" w:rsidRPr="00602824">
        <w:rPr>
          <w:lang w:eastAsia="en-AU"/>
        </w:rPr>
        <w:t>Likewise, private health insurance representatives reported that they believe clinician choice remains intact, citing the continued breadth of devices listed on the PL.</w:t>
      </w:r>
    </w:p>
    <w:p w14:paraId="4539FA8D" w14:textId="77777777" w:rsidR="003E6BDE" w:rsidRPr="00602824" w:rsidRDefault="003E6BDE" w:rsidP="003E6BDE">
      <w:pPr>
        <w:spacing w:after="160" w:line="259" w:lineRule="auto"/>
        <w:rPr>
          <w:lang w:eastAsia="en-AU"/>
        </w:rPr>
      </w:pPr>
      <w:r w:rsidRPr="00602824">
        <w:rPr>
          <w:lang w:eastAsia="en-AU"/>
        </w:rPr>
        <w:t>Medical technology sponsor peak bodies felt that while it is too early to fully assess the impact of the reforms on clinician choice, benefit reductions have placed pressure on the industry sponsors which could lead to delisting or withholding new product launches, especially for innovative or low-volume devices on the PL.</w:t>
      </w:r>
    </w:p>
    <w:p w14:paraId="6EFB1BB6" w14:textId="47A9C622" w:rsidR="00FC70D4" w:rsidRPr="00602824" w:rsidRDefault="00120D51" w:rsidP="00FC70D4">
      <w:pPr>
        <w:keepNext/>
        <w:spacing w:before="240" w:after="60" w:line="259" w:lineRule="auto"/>
        <w:outlineLvl w:val="3"/>
        <w:rPr>
          <w:rFonts w:ascii="Segoe UI Semibold" w:eastAsia="Times New Roman" w:hAnsi="Segoe UI Semibold" w:cs="Times New Roman"/>
          <w:color w:val="00264D" w:themeColor="background2"/>
          <w:sz w:val="22"/>
          <w:szCs w:val="19"/>
          <w:lang w:eastAsia="en-AU"/>
        </w:rPr>
      </w:pPr>
      <w:r>
        <w:rPr>
          <w:rFonts w:ascii="Segoe UI Semibold" w:eastAsia="Times New Roman" w:hAnsi="Segoe UI Semibold" w:cs="Times New Roman"/>
          <w:color w:val="00264D" w:themeColor="background2"/>
          <w:sz w:val="22"/>
          <w:szCs w:val="19"/>
          <w:lang w:eastAsia="en-AU"/>
        </w:rPr>
        <w:t>Some clinicians and p</w:t>
      </w:r>
      <w:r w:rsidR="007152DB" w:rsidRPr="00602824">
        <w:rPr>
          <w:rFonts w:ascii="Segoe UI Semibold" w:eastAsia="Times New Roman" w:hAnsi="Segoe UI Semibold" w:cs="Times New Roman"/>
          <w:color w:val="00264D" w:themeColor="background2"/>
          <w:sz w:val="22"/>
          <w:szCs w:val="19"/>
          <w:lang w:eastAsia="en-AU"/>
        </w:rPr>
        <w:t>rivate hospital representatives were of the view that</w:t>
      </w:r>
      <w:r w:rsidR="000C3D99" w:rsidRPr="00602824">
        <w:rPr>
          <w:rFonts w:ascii="Segoe UI Semibold" w:eastAsia="Times New Roman" w:hAnsi="Segoe UI Semibold" w:cs="Times New Roman"/>
          <w:color w:val="00264D" w:themeColor="background2"/>
          <w:sz w:val="22"/>
          <w:szCs w:val="19"/>
          <w:lang w:eastAsia="en-AU"/>
        </w:rPr>
        <w:t xml:space="preserve"> </w:t>
      </w:r>
      <w:r w:rsidR="00F14BD5" w:rsidRPr="00602824">
        <w:rPr>
          <w:rFonts w:ascii="Segoe UI Semibold" w:eastAsia="Times New Roman" w:hAnsi="Segoe UI Semibold" w:cs="Times New Roman"/>
          <w:color w:val="00264D" w:themeColor="background2"/>
          <w:sz w:val="22"/>
          <w:szCs w:val="19"/>
          <w:lang w:eastAsia="en-AU"/>
        </w:rPr>
        <w:t xml:space="preserve">there is a risk that </w:t>
      </w:r>
      <w:r w:rsidR="000C3D99" w:rsidRPr="00602824">
        <w:rPr>
          <w:rFonts w:ascii="Segoe UI Semibold" w:eastAsia="Times New Roman" w:hAnsi="Segoe UI Semibold" w:cs="Times New Roman"/>
          <w:color w:val="00264D" w:themeColor="background2"/>
          <w:sz w:val="22"/>
          <w:szCs w:val="19"/>
          <w:lang w:eastAsia="en-AU"/>
        </w:rPr>
        <w:t>clinician choice is compromised f</w:t>
      </w:r>
      <w:r w:rsidR="002D2D0F" w:rsidRPr="00602824">
        <w:rPr>
          <w:rFonts w:ascii="Segoe UI Semibold" w:eastAsia="Times New Roman" w:hAnsi="Segoe UI Semibold" w:cs="Times New Roman"/>
          <w:color w:val="00264D" w:themeColor="background2"/>
          <w:sz w:val="22"/>
          <w:szCs w:val="19"/>
          <w:lang w:eastAsia="en-AU"/>
        </w:rPr>
        <w:t xml:space="preserve">or </w:t>
      </w:r>
      <w:r w:rsidR="00353479" w:rsidRPr="00602824">
        <w:rPr>
          <w:rFonts w:ascii="Segoe UI Semibold" w:eastAsia="Times New Roman" w:hAnsi="Segoe UI Semibold" w:cs="Times New Roman"/>
          <w:color w:val="00264D" w:themeColor="background2"/>
          <w:sz w:val="22"/>
          <w:szCs w:val="19"/>
          <w:lang w:eastAsia="en-AU"/>
        </w:rPr>
        <w:t>high-cost</w:t>
      </w:r>
      <w:r w:rsidR="00C00AD7" w:rsidRPr="00602824">
        <w:rPr>
          <w:rFonts w:ascii="Segoe UI Semibold" w:eastAsia="Times New Roman" w:hAnsi="Segoe UI Semibold" w:cs="Times New Roman"/>
          <w:color w:val="00264D" w:themeColor="background2"/>
          <w:sz w:val="22"/>
          <w:szCs w:val="19"/>
          <w:lang w:eastAsia="en-AU"/>
        </w:rPr>
        <w:t xml:space="preserve"> more advanced devices</w:t>
      </w:r>
      <w:r w:rsidR="006C583A" w:rsidRPr="00602824">
        <w:rPr>
          <w:rFonts w:ascii="Segoe UI Semibold" w:eastAsia="Times New Roman" w:hAnsi="Segoe UI Semibold" w:cs="Times New Roman"/>
          <w:color w:val="00264D" w:themeColor="background2"/>
          <w:sz w:val="22"/>
          <w:szCs w:val="19"/>
          <w:lang w:eastAsia="en-AU"/>
        </w:rPr>
        <w:t xml:space="preserve"> </w:t>
      </w:r>
    </w:p>
    <w:p w14:paraId="37CB8C45" w14:textId="0F5296EC" w:rsidR="003E6BDE" w:rsidRPr="00602824" w:rsidRDefault="005D0D2D" w:rsidP="003E6BDE">
      <w:pPr>
        <w:spacing w:after="160" w:line="259" w:lineRule="auto"/>
        <w:rPr>
          <w:lang w:eastAsia="en-AU"/>
        </w:rPr>
      </w:pPr>
      <w:r w:rsidRPr="00602824">
        <w:rPr>
          <w:lang w:eastAsia="en-AU"/>
        </w:rPr>
        <w:t>P</w:t>
      </w:r>
      <w:r w:rsidR="003E6BDE" w:rsidRPr="00602824">
        <w:rPr>
          <w:lang w:eastAsia="en-AU"/>
        </w:rPr>
        <w:t>rivate hospital sector</w:t>
      </w:r>
      <w:r w:rsidR="00D902AC" w:rsidRPr="00602824">
        <w:rPr>
          <w:lang w:eastAsia="en-AU"/>
        </w:rPr>
        <w:t xml:space="preserve"> representatives</w:t>
      </w:r>
      <w:r w:rsidR="003E6BDE" w:rsidRPr="00602824">
        <w:rPr>
          <w:lang w:eastAsia="en-AU"/>
        </w:rPr>
        <w:t xml:space="preserve"> reported that in their view clinician choice has been compromised in relation to certain advanced devices, particularly for CIED and spinal implants. </w:t>
      </w:r>
      <w:r w:rsidR="004357A0">
        <w:rPr>
          <w:lang w:eastAsia="en-AU"/>
        </w:rPr>
        <w:t>Some clinicians were concerned that</w:t>
      </w:r>
      <w:r w:rsidR="00CB789E">
        <w:rPr>
          <w:lang w:eastAsia="en-AU"/>
        </w:rPr>
        <w:t>,</w:t>
      </w:r>
      <w:r w:rsidR="004357A0">
        <w:rPr>
          <w:lang w:eastAsia="en-AU"/>
        </w:rPr>
        <w:t xml:space="preserve"> in some cases</w:t>
      </w:r>
      <w:r w:rsidR="00CB789E">
        <w:rPr>
          <w:lang w:eastAsia="en-AU"/>
        </w:rPr>
        <w:t>,</w:t>
      </w:r>
      <w:r w:rsidR="004357A0" w:rsidRPr="00602824">
        <w:rPr>
          <w:lang w:eastAsia="en-AU"/>
        </w:rPr>
        <w:t xml:space="preserve"> </w:t>
      </w:r>
      <w:r w:rsidR="003E6BDE" w:rsidRPr="00602824">
        <w:rPr>
          <w:lang w:eastAsia="en-AU"/>
        </w:rPr>
        <w:t xml:space="preserve">hospitals </w:t>
      </w:r>
      <w:r w:rsidR="004357A0">
        <w:rPr>
          <w:lang w:eastAsia="en-AU"/>
        </w:rPr>
        <w:t xml:space="preserve">had limited </w:t>
      </w:r>
      <w:r w:rsidR="003E6BDE" w:rsidRPr="00602824">
        <w:rPr>
          <w:lang w:eastAsia="en-AU"/>
        </w:rPr>
        <w:t>access to these advanced devices due to reimbursement uncertainty and pricing constraints.</w:t>
      </w:r>
      <w:r w:rsidR="00540D90">
        <w:rPr>
          <w:lang w:eastAsia="en-AU"/>
        </w:rPr>
        <w:t xml:space="preserve"> While some private hospitals </w:t>
      </w:r>
      <w:r w:rsidR="000E480E">
        <w:rPr>
          <w:lang w:eastAsia="en-AU"/>
        </w:rPr>
        <w:t xml:space="preserve">acknowledged that uncertainty was restricting clinician autonomy, others rejected any suggestion that private hospitals were restricting access. </w:t>
      </w:r>
    </w:p>
    <w:p w14:paraId="33D8C7ED" w14:textId="0E690088" w:rsidR="00FC70D4" w:rsidRPr="00602824" w:rsidRDefault="003D298A" w:rsidP="00E316BE">
      <w:pPr>
        <w:spacing w:after="160" w:line="259" w:lineRule="auto"/>
        <w:rPr>
          <w:lang w:eastAsia="en-AU"/>
        </w:rPr>
      </w:pPr>
      <w:r w:rsidRPr="00602824">
        <w:rPr>
          <w:lang w:eastAsia="en-AU"/>
        </w:rPr>
        <w:t>The</w:t>
      </w:r>
      <w:r w:rsidR="00D902AC" w:rsidRPr="00602824">
        <w:rPr>
          <w:lang w:eastAsia="en-AU"/>
        </w:rPr>
        <w:t xml:space="preserve">y argue </w:t>
      </w:r>
      <w:r w:rsidRPr="00602824">
        <w:rPr>
          <w:lang w:eastAsia="en-AU"/>
        </w:rPr>
        <w:t xml:space="preserve">that while percentage reductions for CIEDs appear small, the absolute </w:t>
      </w:r>
      <w:r w:rsidR="00DF318C" w:rsidRPr="00602824">
        <w:rPr>
          <w:lang w:eastAsia="en-AU"/>
        </w:rPr>
        <w:t>monetary</w:t>
      </w:r>
      <w:r w:rsidRPr="00602824">
        <w:rPr>
          <w:lang w:eastAsia="en-AU"/>
        </w:rPr>
        <w:t xml:space="preserve"> </w:t>
      </w:r>
      <w:r w:rsidR="00DF318C" w:rsidRPr="00602824">
        <w:rPr>
          <w:lang w:eastAsia="en-AU"/>
        </w:rPr>
        <w:t>reductions</w:t>
      </w:r>
      <w:r w:rsidRPr="00602824">
        <w:rPr>
          <w:lang w:eastAsia="en-AU"/>
        </w:rPr>
        <w:t xml:space="preserve"> are </w:t>
      </w:r>
      <w:r w:rsidR="00DF318C" w:rsidRPr="00602824">
        <w:rPr>
          <w:lang w:eastAsia="en-AU"/>
        </w:rPr>
        <w:t>significant</w:t>
      </w:r>
      <w:r w:rsidRPr="00602824">
        <w:rPr>
          <w:lang w:eastAsia="en-AU"/>
        </w:rPr>
        <w:t xml:space="preserve"> enough to threaten p</w:t>
      </w:r>
      <w:r w:rsidR="00DF318C" w:rsidRPr="00602824">
        <w:rPr>
          <w:lang w:eastAsia="en-AU"/>
        </w:rPr>
        <w:t>rocurement, leading to potential device shortages</w:t>
      </w:r>
      <w:r w:rsidR="00D46A90" w:rsidRPr="00602824">
        <w:rPr>
          <w:lang w:eastAsia="en-AU"/>
        </w:rPr>
        <w:t xml:space="preserve">. They explained that if private hospitals are unable to procure devices at a viable price, leading suppliers </w:t>
      </w:r>
      <w:r w:rsidR="00671666" w:rsidRPr="00602824">
        <w:rPr>
          <w:lang w:eastAsia="en-AU"/>
        </w:rPr>
        <w:t>may</w:t>
      </w:r>
      <w:r w:rsidR="00D46A90" w:rsidRPr="00602824">
        <w:rPr>
          <w:lang w:eastAsia="en-AU"/>
        </w:rPr>
        <w:t xml:space="preserve"> withdraw </w:t>
      </w:r>
      <w:r w:rsidR="00671666" w:rsidRPr="00602824">
        <w:rPr>
          <w:lang w:eastAsia="en-AU"/>
        </w:rPr>
        <w:t xml:space="preserve">some </w:t>
      </w:r>
      <w:r w:rsidR="00D46A90" w:rsidRPr="00602824">
        <w:rPr>
          <w:lang w:eastAsia="en-AU"/>
        </w:rPr>
        <w:t xml:space="preserve">products from the market </w:t>
      </w:r>
      <w:r w:rsidR="00DF318C" w:rsidRPr="00602824">
        <w:rPr>
          <w:lang w:eastAsia="en-AU"/>
        </w:rPr>
        <w:t xml:space="preserve">thereby restricting clinician choice of device. </w:t>
      </w:r>
      <w:r w:rsidR="00D902AC" w:rsidRPr="00602824">
        <w:rPr>
          <w:lang w:eastAsia="en-AU"/>
        </w:rPr>
        <w:t>While th</w:t>
      </w:r>
      <w:r w:rsidR="00EF1090" w:rsidRPr="00602824">
        <w:rPr>
          <w:lang w:eastAsia="en-AU"/>
        </w:rPr>
        <w:t>e</w:t>
      </w:r>
      <w:r w:rsidR="00D80FC6" w:rsidRPr="00602824">
        <w:rPr>
          <w:lang w:eastAsia="en-AU"/>
        </w:rPr>
        <w:t xml:space="preserve"> evaluation has not cited any </w:t>
      </w:r>
      <w:r w:rsidR="00EF1090" w:rsidRPr="00602824">
        <w:rPr>
          <w:lang w:eastAsia="en-AU"/>
        </w:rPr>
        <w:t xml:space="preserve">evidence that this has been occurring, </w:t>
      </w:r>
      <w:r w:rsidR="00D80FC6" w:rsidRPr="00602824">
        <w:rPr>
          <w:lang w:eastAsia="en-AU"/>
        </w:rPr>
        <w:t>the risk should continue to be monitored.</w:t>
      </w:r>
    </w:p>
    <w:p w14:paraId="532ACDE0" w14:textId="56650A3E" w:rsidR="00E316BE" w:rsidRPr="00602824" w:rsidRDefault="007B0253" w:rsidP="00F317C7">
      <w:pPr>
        <w:spacing w:after="160" w:line="259" w:lineRule="auto"/>
        <w:rPr>
          <w:lang w:eastAsia="en-AU"/>
        </w:rPr>
      </w:pPr>
      <w:r w:rsidRPr="00602824">
        <w:rPr>
          <w:lang w:eastAsia="en-AU"/>
        </w:rPr>
        <w:t xml:space="preserve">This risk was </w:t>
      </w:r>
      <w:r w:rsidR="0032041D" w:rsidRPr="00602824">
        <w:rPr>
          <w:lang w:eastAsia="en-AU"/>
        </w:rPr>
        <w:t>endorsed</w:t>
      </w:r>
      <w:r w:rsidR="00494BBB" w:rsidRPr="00602824">
        <w:rPr>
          <w:lang w:eastAsia="en-AU"/>
        </w:rPr>
        <w:t xml:space="preserve"> by consultation with </w:t>
      </w:r>
      <w:r w:rsidR="004C11BB" w:rsidRPr="00602824">
        <w:rPr>
          <w:lang w:eastAsia="en-AU"/>
        </w:rPr>
        <w:t xml:space="preserve">the MTAA </w:t>
      </w:r>
      <w:r w:rsidR="0041139D" w:rsidRPr="00602824">
        <w:rPr>
          <w:lang w:eastAsia="en-AU"/>
        </w:rPr>
        <w:t>C</w:t>
      </w:r>
      <w:r w:rsidR="004C11BB" w:rsidRPr="00602824">
        <w:rPr>
          <w:lang w:eastAsia="en-AU"/>
        </w:rPr>
        <w:t xml:space="preserve">ardiac </w:t>
      </w:r>
      <w:r w:rsidR="0041139D" w:rsidRPr="00602824">
        <w:rPr>
          <w:lang w:eastAsia="en-AU"/>
        </w:rPr>
        <w:t>F</w:t>
      </w:r>
      <w:r w:rsidR="004C11BB" w:rsidRPr="00602824">
        <w:rPr>
          <w:lang w:eastAsia="en-AU"/>
        </w:rPr>
        <w:t xml:space="preserve">orum who </w:t>
      </w:r>
      <w:r w:rsidR="0041139D" w:rsidRPr="00602824">
        <w:rPr>
          <w:lang w:eastAsia="en-AU"/>
        </w:rPr>
        <w:t>stated that</w:t>
      </w:r>
      <w:r w:rsidR="00DC1BE4" w:rsidRPr="00602824">
        <w:rPr>
          <w:lang w:eastAsia="en-AU"/>
        </w:rPr>
        <w:t xml:space="preserve"> </w:t>
      </w:r>
      <w:r w:rsidR="0041139D" w:rsidRPr="00602824">
        <w:rPr>
          <w:lang w:eastAsia="en-AU"/>
        </w:rPr>
        <w:t>benefit reductions have, and in the event of more reductions will continue</w:t>
      </w:r>
      <w:r w:rsidR="0032041D" w:rsidRPr="00602824">
        <w:rPr>
          <w:lang w:eastAsia="en-AU"/>
        </w:rPr>
        <w:t>,</w:t>
      </w:r>
      <w:r w:rsidR="0041139D" w:rsidRPr="00602824">
        <w:rPr>
          <w:lang w:eastAsia="en-AU"/>
        </w:rPr>
        <w:t xml:space="preserve"> to </w:t>
      </w:r>
      <w:r w:rsidR="00B849BF" w:rsidRPr="00602824">
        <w:rPr>
          <w:lang w:eastAsia="en-AU"/>
        </w:rPr>
        <w:t xml:space="preserve">make it less attractive for </w:t>
      </w:r>
      <w:r w:rsidR="009A3087" w:rsidRPr="00602824">
        <w:rPr>
          <w:lang w:eastAsia="en-AU"/>
        </w:rPr>
        <w:t>c</w:t>
      </w:r>
      <w:r w:rsidR="00B849BF" w:rsidRPr="00602824">
        <w:rPr>
          <w:lang w:eastAsia="en-AU"/>
        </w:rPr>
        <w:t xml:space="preserve">ardiac </w:t>
      </w:r>
      <w:r w:rsidR="0041139D" w:rsidRPr="00602824">
        <w:rPr>
          <w:lang w:eastAsia="en-AU"/>
        </w:rPr>
        <w:t>device s</w:t>
      </w:r>
      <w:r w:rsidR="00B849BF" w:rsidRPr="00602824">
        <w:rPr>
          <w:lang w:eastAsia="en-AU"/>
        </w:rPr>
        <w:t xml:space="preserve">ponsors to bring new </w:t>
      </w:r>
      <w:r w:rsidR="0041139D" w:rsidRPr="00602824">
        <w:rPr>
          <w:lang w:eastAsia="en-AU"/>
        </w:rPr>
        <w:t>CIED</w:t>
      </w:r>
      <w:r w:rsidR="00497E7C" w:rsidRPr="00602824">
        <w:rPr>
          <w:lang w:eastAsia="en-AU"/>
        </w:rPr>
        <w:t xml:space="preserve"> technology available</w:t>
      </w:r>
      <w:r w:rsidR="0041139D" w:rsidRPr="00602824">
        <w:rPr>
          <w:lang w:eastAsia="en-AU"/>
        </w:rPr>
        <w:t xml:space="preserve"> to the Australian market on the PL. </w:t>
      </w:r>
      <w:r w:rsidR="00DC1BE4" w:rsidRPr="00602824">
        <w:rPr>
          <w:lang w:eastAsia="en-AU"/>
        </w:rPr>
        <w:t xml:space="preserve"> </w:t>
      </w:r>
    </w:p>
    <w:p w14:paraId="20EA1D4C" w14:textId="7C50930A" w:rsidR="0092756F" w:rsidRPr="00602824" w:rsidRDefault="002A4137" w:rsidP="00626F17">
      <w:pPr>
        <w:pStyle w:val="Heading4"/>
      </w:pPr>
      <w:r w:rsidRPr="00602824">
        <w:t>Clinicians</w:t>
      </w:r>
      <w:r w:rsidR="00881103" w:rsidRPr="00602824">
        <w:t xml:space="preserve"> were concerned about the r</w:t>
      </w:r>
      <w:r w:rsidR="00626F17" w:rsidRPr="00602824">
        <w:t xml:space="preserve">estrictions on surgical guides and </w:t>
      </w:r>
      <w:r w:rsidR="00163D22">
        <w:t>biomodels</w:t>
      </w:r>
      <w:r w:rsidR="00626F17" w:rsidRPr="00602824">
        <w:t xml:space="preserve"> </w:t>
      </w:r>
      <w:r w:rsidR="00CB2BE2" w:rsidRPr="00602824">
        <w:t>due to the post</w:t>
      </w:r>
      <w:r w:rsidR="000D07EF" w:rsidRPr="00602824">
        <w:t>-</w:t>
      </w:r>
      <w:r w:rsidR="00CB2BE2" w:rsidRPr="00602824">
        <w:t>listing review process</w:t>
      </w:r>
    </w:p>
    <w:p w14:paraId="0DCAB428" w14:textId="4D84F925" w:rsidR="004465AC" w:rsidRPr="00602824" w:rsidRDefault="00A309FD" w:rsidP="004465AC">
      <w:pPr>
        <w:rPr>
          <w:lang w:eastAsia="en-AU"/>
        </w:rPr>
      </w:pPr>
      <w:r w:rsidRPr="00602824">
        <w:rPr>
          <w:lang w:eastAsia="en-AU"/>
        </w:rPr>
        <w:t xml:space="preserve">Oral and maxillofacial </w:t>
      </w:r>
      <w:r w:rsidR="00D437AF" w:rsidRPr="00602824">
        <w:rPr>
          <w:lang w:eastAsia="en-AU"/>
        </w:rPr>
        <w:t xml:space="preserve">surgeons expressed concern about the </w:t>
      </w:r>
      <w:r w:rsidR="00AE7BD5" w:rsidRPr="00602824">
        <w:rPr>
          <w:lang w:eastAsia="en-AU"/>
        </w:rPr>
        <w:t xml:space="preserve">impact on patient care of the </w:t>
      </w:r>
      <w:r w:rsidR="00D437AF" w:rsidRPr="00602824">
        <w:rPr>
          <w:lang w:eastAsia="en-AU"/>
        </w:rPr>
        <w:t xml:space="preserve">new conditions applied to surgical guides and </w:t>
      </w:r>
      <w:r w:rsidR="00163D22">
        <w:rPr>
          <w:lang w:eastAsia="en-AU"/>
        </w:rPr>
        <w:t>biomodels</w:t>
      </w:r>
      <w:r w:rsidR="00D437AF" w:rsidRPr="00602824">
        <w:rPr>
          <w:lang w:eastAsia="en-AU"/>
        </w:rPr>
        <w:t xml:space="preserve"> </w:t>
      </w:r>
      <w:r w:rsidR="00D56181" w:rsidRPr="00602824">
        <w:rPr>
          <w:lang w:eastAsia="en-AU"/>
        </w:rPr>
        <w:t>following</w:t>
      </w:r>
      <w:r w:rsidR="002C1D08" w:rsidRPr="00602824">
        <w:rPr>
          <w:lang w:eastAsia="en-AU"/>
        </w:rPr>
        <w:t xml:space="preserve"> stage one </w:t>
      </w:r>
      <w:r w:rsidR="00C57CCA" w:rsidRPr="00602824">
        <w:rPr>
          <w:lang w:eastAsia="en-AU"/>
        </w:rPr>
        <w:t xml:space="preserve">of </w:t>
      </w:r>
      <w:r w:rsidR="008C7E93" w:rsidRPr="00602824">
        <w:rPr>
          <w:lang w:eastAsia="en-AU"/>
        </w:rPr>
        <w:t xml:space="preserve">the </w:t>
      </w:r>
      <w:r w:rsidR="00C57CCA" w:rsidRPr="00602824">
        <w:rPr>
          <w:lang w:eastAsia="en-AU"/>
        </w:rPr>
        <w:t>post-listing review (</w:t>
      </w:r>
      <w:r w:rsidR="008C7E93" w:rsidRPr="00602824">
        <w:rPr>
          <w:lang w:eastAsia="en-AU"/>
        </w:rPr>
        <w:t xml:space="preserve">see </w:t>
      </w:r>
      <w:r w:rsidR="000377F0">
        <w:rPr>
          <w:lang w:eastAsia="en-AU"/>
        </w:rPr>
        <w:t>Section</w:t>
      </w:r>
      <w:r w:rsidR="000377F0" w:rsidRPr="00602824">
        <w:rPr>
          <w:lang w:eastAsia="en-AU"/>
        </w:rPr>
        <w:t xml:space="preserve"> </w:t>
      </w:r>
      <w:r w:rsidR="008C7E93" w:rsidRPr="00602824">
        <w:rPr>
          <w:lang w:eastAsia="en-AU"/>
        </w:rPr>
        <w:fldChar w:fldCharType="begin"/>
      </w:r>
      <w:r w:rsidR="008C7E93" w:rsidRPr="00602824">
        <w:rPr>
          <w:lang w:eastAsia="en-AU"/>
        </w:rPr>
        <w:instrText xml:space="preserve"> REF _Ref202376441 \r \h </w:instrText>
      </w:r>
      <w:r w:rsidR="008C7E93" w:rsidRPr="00602824">
        <w:rPr>
          <w:lang w:eastAsia="en-AU"/>
        </w:rPr>
      </w:r>
      <w:r w:rsidR="008C7E93" w:rsidRPr="00602824">
        <w:rPr>
          <w:lang w:eastAsia="en-AU"/>
        </w:rPr>
        <w:fldChar w:fldCharType="separate"/>
      </w:r>
      <w:r w:rsidR="00D30634">
        <w:rPr>
          <w:lang w:eastAsia="en-AU"/>
        </w:rPr>
        <w:t>2.7</w:t>
      </w:r>
      <w:r w:rsidR="008C7E93" w:rsidRPr="00602824">
        <w:rPr>
          <w:lang w:eastAsia="en-AU"/>
        </w:rPr>
        <w:fldChar w:fldCharType="end"/>
      </w:r>
      <w:r w:rsidR="008C7E93" w:rsidRPr="00602824">
        <w:rPr>
          <w:lang w:eastAsia="en-AU"/>
        </w:rPr>
        <w:t xml:space="preserve">). While these devices remain on the PL, reimbursement was restricted </w:t>
      </w:r>
      <w:r w:rsidR="001256D5" w:rsidRPr="00602824">
        <w:rPr>
          <w:lang w:eastAsia="en-AU"/>
        </w:rPr>
        <w:t>following</w:t>
      </w:r>
      <w:r w:rsidR="00CB2BE2" w:rsidRPr="00602824">
        <w:rPr>
          <w:lang w:eastAsia="en-AU"/>
        </w:rPr>
        <w:t xml:space="preserve"> the review </w:t>
      </w:r>
      <w:r w:rsidR="00864612" w:rsidRPr="00602824">
        <w:rPr>
          <w:lang w:eastAsia="en-AU"/>
        </w:rPr>
        <w:t>to use in certain procedures and capped at a maximum number of billing codes.</w:t>
      </w:r>
      <w:r w:rsidR="004465AC" w:rsidRPr="00602824">
        <w:rPr>
          <w:lang w:eastAsia="en-AU"/>
        </w:rPr>
        <w:t xml:space="preserve"> </w:t>
      </w:r>
    </w:p>
    <w:p w14:paraId="2944953B" w14:textId="743105D5" w:rsidR="00F03632" w:rsidRPr="00602824" w:rsidRDefault="00866872" w:rsidP="004465AC">
      <w:pPr>
        <w:rPr>
          <w:lang w:eastAsia="en-AU"/>
        </w:rPr>
      </w:pPr>
      <w:r w:rsidRPr="00602824">
        <w:rPr>
          <w:lang w:eastAsia="en-AU"/>
        </w:rPr>
        <w:t xml:space="preserve">Clinicians reported that these restrictions have made it more difficult to perform major surgeries in a single session. Instead, they are sometimes required to stage procedures across multiple occasions to access the </w:t>
      </w:r>
      <w:r w:rsidRPr="00602824">
        <w:rPr>
          <w:lang w:eastAsia="en-AU"/>
        </w:rPr>
        <w:lastRenderedPageBreak/>
        <w:t xml:space="preserve">necessary surgical guides and </w:t>
      </w:r>
      <w:r w:rsidR="00163D22">
        <w:rPr>
          <w:lang w:eastAsia="en-AU"/>
        </w:rPr>
        <w:t>biomodels</w:t>
      </w:r>
      <w:r w:rsidRPr="00602824">
        <w:rPr>
          <w:lang w:eastAsia="en-AU"/>
        </w:rPr>
        <w:t>. This has increased the treatment burden for patients and delayed recovery times</w:t>
      </w:r>
      <w:r w:rsidR="004364BC" w:rsidRPr="00602824">
        <w:rPr>
          <w:lang w:eastAsia="en-AU"/>
        </w:rPr>
        <w:t>.</w:t>
      </w:r>
      <w:r w:rsidR="000D07EF" w:rsidRPr="00602824">
        <w:rPr>
          <w:rStyle w:val="FootnoteReference"/>
          <w:lang w:eastAsia="en-AU"/>
        </w:rPr>
        <w:footnoteReference w:id="45"/>
      </w:r>
    </w:p>
    <w:p w14:paraId="7326F953" w14:textId="26796307" w:rsidR="00866872" w:rsidRPr="00602824" w:rsidRDefault="00866872" w:rsidP="00866872">
      <w:pPr>
        <w:rPr>
          <w:lang w:eastAsia="en-AU"/>
        </w:rPr>
      </w:pPr>
      <w:r w:rsidRPr="00602824">
        <w:rPr>
          <w:lang w:eastAsia="en-AU"/>
        </w:rPr>
        <w:t>Although the conditions apply to the private sector through the PL, some clinicians noted a flow-on effect in the public system. They reported that public hospitals – which had not previously imposed restrictions on these items and typically left decisions to clinician discretion – have become more cautious, with access now subject to additional scrutiny and high-level approvals.</w:t>
      </w:r>
    </w:p>
    <w:p w14:paraId="3937E74E" w14:textId="77777777" w:rsidR="00866872" w:rsidRPr="00602824" w:rsidRDefault="00866872" w:rsidP="00FB712C">
      <w:pPr>
        <w:spacing w:after="240"/>
        <w:rPr>
          <w:lang w:eastAsia="en-AU"/>
        </w:rPr>
      </w:pPr>
      <w:r w:rsidRPr="00602824">
        <w:rPr>
          <w:lang w:eastAsia="en-AU"/>
        </w:rPr>
        <w:t>These developments suggest that the conditions may have had unintended consequences for a subset of surgeons, potentially limiting clinician choice and access to necessary devices.</w:t>
      </w:r>
    </w:p>
    <w:tbl>
      <w:tblPr>
        <w:tblStyle w:val="NousLongformcallout"/>
        <w:tblW w:w="4950" w:type="pct"/>
        <w:tblCellMar>
          <w:top w:w="170" w:type="dxa"/>
          <w:bottom w:w="170" w:type="dxa"/>
        </w:tblCellMar>
        <w:tblLook w:val="04A0" w:firstRow="1" w:lastRow="0" w:firstColumn="1" w:lastColumn="0" w:noHBand="0" w:noVBand="1"/>
      </w:tblPr>
      <w:tblGrid>
        <w:gridCol w:w="8958"/>
      </w:tblGrid>
      <w:tr w:rsidR="008B4E6D" w:rsidRPr="00602824" w14:paraId="61A3A7C6" w14:textId="77777777" w:rsidTr="00866872">
        <w:tc>
          <w:tcPr>
            <w:tcW w:w="8958" w:type="dxa"/>
            <w:tcBorders>
              <w:left w:val="single" w:sz="18" w:space="0" w:color="2E368F" w:themeColor="text2"/>
            </w:tcBorders>
            <w:shd w:val="clear" w:color="auto" w:fill="F2F2F2" w:themeFill="background1" w:themeFillShade="F2"/>
          </w:tcPr>
          <w:p w14:paraId="35988306" w14:textId="6AA7D2B4" w:rsidR="008B4E6D" w:rsidRPr="00602824" w:rsidRDefault="008B4E6D" w:rsidP="00FB712C">
            <w:pPr>
              <w:pStyle w:val="Longformcallout"/>
              <w:spacing w:before="120" w:after="120"/>
              <w:rPr>
                <w:rFonts w:asciiTheme="majorHAnsi" w:hAnsiTheme="majorHAnsi" w:cstheme="majorHAnsi"/>
                <w:color w:val="2E368F" w:themeColor="text2"/>
              </w:rPr>
            </w:pPr>
            <w:r w:rsidRPr="00602824">
              <w:rPr>
                <w:rFonts w:asciiTheme="majorHAnsi" w:hAnsiTheme="majorHAnsi" w:cstheme="majorHAnsi"/>
                <w:color w:val="2E368F" w:themeColor="text2"/>
              </w:rPr>
              <w:t xml:space="preserve">RECOMMENDATION </w:t>
            </w:r>
            <w:r w:rsidR="00DA5888" w:rsidRPr="00602824">
              <w:rPr>
                <w:rFonts w:asciiTheme="majorHAnsi" w:hAnsiTheme="majorHAnsi" w:cstheme="majorHAnsi"/>
                <w:color w:val="2E368F" w:themeColor="text2"/>
              </w:rPr>
              <w:t>3</w:t>
            </w:r>
          </w:p>
          <w:p w14:paraId="12156A80" w14:textId="77777777" w:rsidR="00173355" w:rsidRPr="00602824" w:rsidRDefault="00173355" w:rsidP="00FB712C">
            <w:pPr>
              <w:pStyle w:val="Longformcallout"/>
              <w:spacing w:before="120" w:after="120"/>
              <w:rPr>
                <w:rFonts w:asciiTheme="majorHAnsi" w:hAnsiTheme="majorHAnsi" w:cstheme="majorHAnsi"/>
              </w:rPr>
            </w:pPr>
            <w:r w:rsidRPr="00602824">
              <w:rPr>
                <w:rFonts w:asciiTheme="majorHAnsi" w:hAnsiTheme="majorHAnsi" w:cstheme="majorHAnsi"/>
              </w:rPr>
              <w:t>Monitor the impact of PL conditions on clinician choice and access to advanced devices</w:t>
            </w:r>
          </w:p>
          <w:p w14:paraId="36E74736" w14:textId="17B9ABF3" w:rsidR="008B4E6D" w:rsidRPr="00602824" w:rsidRDefault="008B4E6D" w:rsidP="00FB712C">
            <w:pPr>
              <w:pStyle w:val="Longformcallout"/>
              <w:spacing w:before="120" w:after="120"/>
            </w:pPr>
            <w:r w:rsidRPr="00602824">
              <w:t xml:space="preserve">Ongoing monitoring is </w:t>
            </w:r>
            <w:r w:rsidR="00D51F34" w:rsidRPr="00602824">
              <w:t>needed</w:t>
            </w:r>
            <w:r w:rsidRPr="00602824">
              <w:t xml:space="preserve"> to assess whether </w:t>
            </w:r>
            <w:r w:rsidR="00D51F34" w:rsidRPr="00602824">
              <w:t>recent PL changes are limiting clinician choice or affecting timely access to</w:t>
            </w:r>
            <w:r w:rsidRPr="00602824">
              <w:t xml:space="preserve"> advanced devices such as CIEDs</w:t>
            </w:r>
            <w:r w:rsidR="00D51F34" w:rsidRPr="00602824">
              <w:t xml:space="preserve">, </w:t>
            </w:r>
            <w:r w:rsidRPr="00602824">
              <w:t xml:space="preserve">surgical guides and </w:t>
            </w:r>
            <w:r w:rsidR="00163D22">
              <w:t>biomodels</w:t>
            </w:r>
            <w:r w:rsidRPr="00602824">
              <w:t>.</w:t>
            </w:r>
            <w:r w:rsidR="00D51F34" w:rsidRPr="00602824">
              <w:t xml:space="preserve"> This will help ensure that reforms do not unintentionally compromise clinical decision-making or patient care</w:t>
            </w:r>
            <w:r w:rsidRPr="00602824">
              <w:t>.</w:t>
            </w:r>
          </w:p>
        </w:tc>
      </w:tr>
    </w:tbl>
    <w:p w14:paraId="0AFB09AC" w14:textId="7B92D2B1" w:rsidR="00124A80" w:rsidRPr="00FB712C" w:rsidRDefault="00124A80" w:rsidP="00B50EE7">
      <w:pPr>
        <w:pStyle w:val="Caption"/>
      </w:pPr>
      <w:r w:rsidRPr="00602824">
        <w:t xml:space="preserve">Table </w:t>
      </w:r>
      <w:r w:rsidR="002604D0">
        <w:fldChar w:fldCharType="begin"/>
      </w:r>
      <w:r w:rsidR="002604D0">
        <w:instrText xml:space="preserve"> SEQ Table \* ARABIC </w:instrText>
      </w:r>
      <w:r w:rsidR="002604D0">
        <w:fldChar w:fldCharType="separate"/>
      </w:r>
      <w:r w:rsidR="00D30634">
        <w:rPr>
          <w:noProof/>
        </w:rPr>
        <w:t>6</w:t>
      </w:r>
      <w:r w:rsidR="002604D0">
        <w:fldChar w:fldCharType="end"/>
      </w:r>
      <w:r w:rsidRPr="00602824">
        <w:t xml:space="preserve"> | </w:t>
      </w:r>
      <w:r w:rsidRPr="00FB712C">
        <w:t>Stakeholder perspectives on maintained clinician choice</w:t>
      </w:r>
      <w:r w:rsidR="00533349" w:rsidRPr="00FB712C">
        <w:rPr>
          <w:rStyle w:val="FootnoteReference"/>
        </w:rPr>
        <w:footnoteReference w:id="46"/>
      </w:r>
    </w:p>
    <w:tbl>
      <w:tblPr>
        <w:tblStyle w:val="NOUS1"/>
        <w:tblW w:w="0" w:type="auto"/>
        <w:tblLook w:val="04A0" w:firstRow="1" w:lastRow="0" w:firstColumn="1" w:lastColumn="0" w:noHBand="0" w:noVBand="1"/>
      </w:tblPr>
      <w:tblGrid>
        <w:gridCol w:w="2252"/>
        <w:gridCol w:w="6819"/>
      </w:tblGrid>
      <w:tr w:rsidR="00840945" w:rsidRPr="00602824" w14:paraId="673EE91C" w14:textId="77777777" w:rsidTr="00BF2C24">
        <w:trPr>
          <w:cnfStyle w:val="100000000000" w:firstRow="1" w:lastRow="0" w:firstColumn="0" w:lastColumn="0" w:oddVBand="0" w:evenVBand="0" w:oddHBand="0" w:evenHBand="0" w:firstRowFirstColumn="0" w:firstRowLastColumn="0" w:lastRowFirstColumn="0" w:lastRowLastColumn="0"/>
        </w:trPr>
        <w:tc>
          <w:tcPr>
            <w:tcW w:w="2268" w:type="dxa"/>
          </w:tcPr>
          <w:p w14:paraId="0C469DA4" w14:textId="77777777" w:rsidR="00BF2C24" w:rsidRPr="00602824" w:rsidRDefault="00BF2C24" w:rsidP="00FB712C">
            <w:pPr>
              <w:pStyle w:val="TableNheader"/>
              <w:keepNext w:val="0"/>
              <w:spacing w:before="60" w:after="60" w:line="240" w:lineRule="auto"/>
              <w:jc w:val="center"/>
            </w:pPr>
            <w:r w:rsidRPr="00602824">
              <w:t>Stakeholder group</w:t>
            </w:r>
          </w:p>
        </w:tc>
        <w:tc>
          <w:tcPr>
            <w:tcW w:w="6917" w:type="dxa"/>
          </w:tcPr>
          <w:p w14:paraId="0C1A47BE" w14:textId="77777777" w:rsidR="00BF2C24" w:rsidRPr="00602824" w:rsidRDefault="00BF2C24" w:rsidP="00FB712C">
            <w:pPr>
              <w:pStyle w:val="TableNheader"/>
              <w:keepNext w:val="0"/>
              <w:spacing w:before="60" w:after="60" w:line="240" w:lineRule="auto"/>
            </w:pPr>
            <w:r w:rsidRPr="00602824">
              <w:t>Perspectives on reform project</w:t>
            </w:r>
          </w:p>
        </w:tc>
      </w:tr>
      <w:tr w:rsidR="00BF2C24" w:rsidRPr="00602824" w14:paraId="79F8BF89" w14:textId="77777777" w:rsidTr="00BF2C24">
        <w:tc>
          <w:tcPr>
            <w:tcW w:w="2268" w:type="dxa"/>
            <w:shd w:val="clear" w:color="auto" w:fill="00264D" w:themeFill="background2"/>
          </w:tcPr>
          <w:p w14:paraId="7381D400" w14:textId="77777777" w:rsidR="00BF2C24" w:rsidRPr="00602824" w:rsidRDefault="00BF2C24" w:rsidP="00FB712C">
            <w:pPr>
              <w:pStyle w:val="TableNheader"/>
              <w:keepNext w:val="0"/>
              <w:spacing w:before="60" w:after="60" w:line="240" w:lineRule="auto"/>
              <w:jc w:val="center"/>
              <w:rPr>
                <w:color w:val="FFFFFF" w:themeColor="background1"/>
              </w:rPr>
            </w:pPr>
            <w:r w:rsidRPr="00602824">
              <w:rPr>
                <w:color w:val="FFFFFF" w:themeColor="background1"/>
              </w:rPr>
              <w:t>Private hospital sector</w:t>
            </w:r>
          </w:p>
          <w:p w14:paraId="1107EA3F" w14:textId="77777777" w:rsidR="00BF2C24" w:rsidRPr="00602824" w:rsidRDefault="00BF2C24"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7C016FE0" wp14:editId="5E2DEFD1">
                      <wp:extent cx="320633" cy="314696"/>
                      <wp:effectExtent l="0" t="0" r="3810" b="9525"/>
                      <wp:docPr id="813313101" name="Freeform: Shape 813313101"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813313101"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0250DBF4">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77B23738" w14:textId="77777777" w:rsidR="00BF2C24" w:rsidRPr="00602824" w:rsidRDefault="00BF2C24" w:rsidP="008943E3">
            <w:pPr>
              <w:pStyle w:val="TableNBullet"/>
              <w:spacing w:before="60" w:after="60"/>
            </w:pPr>
            <w:r w:rsidRPr="00602824">
              <w:t>Hospital representatives expressed concern that the PL reforms have affected clinician choice, as hospitals are reconsidering product selection due to pricing constraints. This was seen to limit access to certain advanced devices.</w:t>
            </w:r>
          </w:p>
          <w:p w14:paraId="0AFD525D" w14:textId="77777777" w:rsidR="00BF2C24" w:rsidRPr="00602824" w:rsidRDefault="00BF2C24" w:rsidP="008943E3">
            <w:pPr>
              <w:pStyle w:val="TableNBullet"/>
              <w:spacing w:before="60" w:after="60"/>
            </w:pPr>
            <w:r w:rsidRPr="00602824">
              <w:t>Some hospital reported difficulty in sourcing newer models of CIEDs, attributing this to pricing pressures following benefit reductions.</w:t>
            </w:r>
          </w:p>
          <w:p w14:paraId="334D665E" w14:textId="77777777" w:rsidR="00BF2C24" w:rsidRPr="00602824" w:rsidRDefault="00BF2C24" w:rsidP="008943E3">
            <w:pPr>
              <w:pStyle w:val="TableNBullet"/>
              <w:spacing w:before="60" w:after="60"/>
            </w:pPr>
            <w:r w:rsidRPr="00602824">
              <w:t>Reductions in PL benefits for spinal implants were noted as potentially limiting access to minimally invasive treatment options.</w:t>
            </w:r>
          </w:p>
          <w:p w14:paraId="3B5D00E9" w14:textId="77777777" w:rsidR="00BF2C24" w:rsidRPr="00602824" w:rsidRDefault="00BF2C24" w:rsidP="008943E3">
            <w:pPr>
              <w:pStyle w:val="TableNBullet"/>
              <w:spacing w:before="60" w:after="60"/>
            </w:pPr>
            <w:r w:rsidRPr="00602824">
              <w:t xml:space="preserve">Hospital representatives reported that clinician were increasingly cautious in selecting </w:t>
            </w:r>
            <w:proofErr w:type="gramStart"/>
            <w:r w:rsidRPr="00602824">
              <w:t>particular devices</w:t>
            </w:r>
            <w:proofErr w:type="gramEnd"/>
            <w:r w:rsidRPr="00602824">
              <w:t>, even those listed on the PL, due to uncertainty about reimbursement from private insurers. Some products were said to be removed from preferred use based solely on reimbursement concerns, rather than clinical performance or patient outcomes.</w:t>
            </w:r>
          </w:p>
        </w:tc>
      </w:tr>
      <w:tr w:rsidR="00BF2C24" w:rsidRPr="00602824" w14:paraId="5DD84E08" w14:textId="77777777" w:rsidTr="00BF2C24">
        <w:tc>
          <w:tcPr>
            <w:tcW w:w="2268" w:type="dxa"/>
            <w:shd w:val="clear" w:color="auto" w:fill="00264D" w:themeFill="background2"/>
          </w:tcPr>
          <w:p w14:paraId="56D8E341" w14:textId="77777777" w:rsidR="00BF2C24" w:rsidRPr="00602824" w:rsidRDefault="00BF2C24" w:rsidP="00FB712C">
            <w:pPr>
              <w:pStyle w:val="TableNheader"/>
              <w:keepNext w:val="0"/>
              <w:spacing w:before="60" w:after="60" w:line="240" w:lineRule="auto"/>
              <w:jc w:val="center"/>
              <w:rPr>
                <w:color w:val="FFFFFF" w:themeColor="background1"/>
              </w:rPr>
            </w:pPr>
            <w:r w:rsidRPr="00602824">
              <w:rPr>
                <w:color w:val="FFFFFF" w:themeColor="background1"/>
              </w:rPr>
              <w:t>Private health insurance representatives</w:t>
            </w:r>
          </w:p>
          <w:p w14:paraId="7A1144A3" w14:textId="77777777" w:rsidR="00BF2C24" w:rsidRPr="00602824" w:rsidRDefault="00BF2C24"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2356001E" wp14:editId="354F348C">
                      <wp:extent cx="292311" cy="292311"/>
                      <wp:effectExtent l="0" t="0" r="0" b="0"/>
                      <wp:docPr id="2006897339" name="Freeform: Shape 2006897339"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2006897339"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25F9A1A5">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03831595" w14:textId="77777777" w:rsidR="00BF2C24" w:rsidRPr="00602824" w:rsidRDefault="00BF2C24" w:rsidP="008943E3">
            <w:pPr>
              <w:pStyle w:val="TableNBullet"/>
              <w:spacing w:before="60" w:after="60"/>
            </w:pPr>
            <w:r w:rsidRPr="00602824">
              <w:t>Insurer representatives stated that clinician choice of medical devices has been maintained under the reforms, regardless of quality, efficacy, effectiveness or safety.</w:t>
            </w:r>
          </w:p>
          <w:p w14:paraId="56DFAC0D" w14:textId="3C5528D5" w:rsidR="00BF2C24" w:rsidRPr="00602824" w:rsidRDefault="00BF2C24" w:rsidP="008943E3">
            <w:pPr>
              <w:pStyle w:val="TableNBullet"/>
              <w:spacing w:before="60" w:after="60"/>
            </w:pPr>
            <w:r w:rsidRPr="00602824">
              <w:t xml:space="preserve">They highlighted the breadth of devices listed across most PL categories and noted that each </w:t>
            </w:r>
            <w:r w:rsidR="004A3D61" w:rsidRPr="00602824">
              <w:t>four</w:t>
            </w:r>
            <w:r w:rsidRPr="00602824">
              <w:t>-month PL cycle includes a high volume of devices seeking listing.</w:t>
            </w:r>
          </w:p>
        </w:tc>
      </w:tr>
      <w:tr w:rsidR="00BF2C24" w:rsidRPr="00602824" w14:paraId="0E90AA61" w14:textId="77777777" w:rsidTr="00BF2C24">
        <w:tc>
          <w:tcPr>
            <w:tcW w:w="2268" w:type="dxa"/>
            <w:shd w:val="clear" w:color="auto" w:fill="00264D" w:themeFill="background2"/>
          </w:tcPr>
          <w:p w14:paraId="4E36648B" w14:textId="77777777" w:rsidR="00BF2C24" w:rsidRPr="00602824" w:rsidRDefault="00BF2C24" w:rsidP="00FB712C">
            <w:pPr>
              <w:pStyle w:val="TableNheader"/>
              <w:keepNext w:val="0"/>
              <w:spacing w:before="60" w:after="60" w:line="240" w:lineRule="auto"/>
              <w:jc w:val="center"/>
              <w:rPr>
                <w:color w:val="FFFFFF" w:themeColor="background1"/>
              </w:rPr>
            </w:pPr>
            <w:r w:rsidRPr="00602824">
              <w:rPr>
                <w:color w:val="FFFFFF" w:themeColor="background1"/>
              </w:rPr>
              <w:t>Medical technology representatives</w:t>
            </w:r>
          </w:p>
          <w:p w14:paraId="238A0537" w14:textId="77777777" w:rsidR="00BF2C24" w:rsidRPr="00602824" w:rsidRDefault="00BF2C24" w:rsidP="00FB712C">
            <w:pPr>
              <w:pStyle w:val="TableNheader"/>
              <w:keepNext w:val="0"/>
              <w:spacing w:before="60" w:after="60" w:line="240" w:lineRule="auto"/>
              <w:jc w:val="center"/>
              <w:rPr>
                <w:color w:val="FFFFFF" w:themeColor="background1"/>
              </w:rPr>
            </w:pPr>
            <w:r w:rsidRPr="00AC7E3F">
              <w:rPr>
                <w:i/>
                <w:iCs/>
                <w:noProof/>
              </w:rPr>
              <w:drawing>
                <wp:inline distT="0" distB="0" distL="0" distR="0" wp14:anchorId="3A9FBACC" wp14:editId="1CCDF915">
                  <wp:extent cx="309245" cy="336734"/>
                  <wp:effectExtent l="0" t="0" r="0" b="6350"/>
                  <wp:docPr id="519427526" name="Graphic 519427526"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00F6E634" w14:textId="77777777" w:rsidR="00BF2C24" w:rsidRPr="00602824" w:rsidRDefault="00BF2C24" w:rsidP="008943E3">
            <w:pPr>
              <w:pStyle w:val="TableNBullet"/>
              <w:spacing w:before="60" w:after="60"/>
            </w:pPr>
            <w:r w:rsidRPr="00602824">
              <w:t>Industry stakeholders noted that it is too early to fully assess the impact of the reforms on clinician choice; however, they raised concern that benefit reductions have placed sponsors under pressure to maintain PL listings, potentially leading to delisting of products if costs increase.</w:t>
            </w:r>
          </w:p>
          <w:p w14:paraId="1AE9F67D" w14:textId="77777777" w:rsidR="00BF2C24" w:rsidRPr="00602824" w:rsidRDefault="00BF2C24" w:rsidP="008943E3">
            <w:pPr>
              <w:pStyle w:val="TableNBullet"/>
              <w:spacing w:before="60" w:after="60"/>
            </w:pPr>
            <w:r w:rsidRPr="00602824">
              <w:t>Benefit reductions were also said to discourage some sponsors from launching new products in Australia, particularly for innovative and low-volume high-cost devices.</w:t>
            </w:r>
          </w:p>
          <w:p w14:paraId="1CA1E996" w14:textId="77777777" w:rsidR="00BF2C24" w:rsidRPr="00602824" w:rsidRDefault="00BF2C24" w:rsidP="008943E3">
            <w:pPr>
              <w:pStyle w:val="TableNBullet"/>
              <w:spacing w:before="60" w:after="60"/>
            </w:pPr>
            <w:r w:rsidRPr="00602824">
              <w:t>Representatives argued that the prohibition on adding new product groups for GUIs under Part D limits innovation, resulting in some technologies becoming unavailable to patients.</w:t>
            </w:r>
          </w:p>
          <w:p w14:paraId="0A8AEC1C" w14:textId="77777777" w:rsidR="00BF2C24" w:rsidRPr="00602824" w:rsidRDefault="00BF2C24" w:rsidP="008943E3">
            <w:pPr>
              <w:pStyle w:val="TableNBullet"/>
              <w:spacing w:before="60" w:after="60"/>
            </w:pPr>
            <w:r w:rsidRPr="00602824">
              <w:t xml:space="preserve">Several broader dynamics – whether due to the reforms or other PL issues – were said to be reducing the range of available options, with stakeholders reporting growing </w:t>
            </w:r>
            <w:r w:rsidRPr="00602824">
              <w:lastRenderedPageBreak/>
              <w:t>access barriers, especially in the public system. Industry warned that these cumulative effects may become more significant for clinical outcomes over time.</w:t>
            </w:r>
          </w:p>
        </w:tc>
      </w:tr>
      <w:tr w:rsidR="00BF2C24" w:rsidRPr="00602824" w14:paraId="1FD2FB5A" w14:textId="77777777" w:rsidTr="00BF2C24">
        <w:tc>
          <w:tcPr>
            <w:tcW w:w="2268" w:type="dxa"/>
            <w:shd w:val="clear" w:color="auto" w:fill="00264D" w:themeFill="background2"/>
          </w:tcPr>
          <w:p w14:paraId="5EE50FE9" w14:textId="77777777" w:rsidR="00BF2C24" w:rsidRPr="00602824" w:rsidRDefault="00BF2C24" w:rsidP="00FB712C">
            <w:pPr>
              <w:pStyle w:val="TableNheader"/>
              <w:keepNext w:val="0"/>
              <w:spacing w:before="60" w:after="60" w:line="240" w:lineRule="auto"/>
              <w:jc w:val="center"/>
              <w:rPr>
                <w:color w:val="FFFFFF" w:themeColor="background1"/>
              </w:rPr>
            </w:pPr>
            <w:r w:rsidRPr="00602824">
              <w:rPr>
                <w:color w:val="FFFFFF" w:themeColor="background1"/>
              </w:rPr>
              <w:lastRenderedPageBreak/>
              <w:t>Clinician representatives</w:t>
            </w:r>
          </w:p>
          <w:p w14:paraId="6156936D" w14:textId="77777777" w:rsidR="00BF2C24" w:rsidRPr="00602824" w:rsidRDefault="00BF2C24" w:rsidP="00FB712C">
            <w:pPr>
              <w:pStyle w:val="TableNheader"/>
              <w:keepNext w:val="0"/>
              <w:spacing w:before="60" w:after="60" w:line="240" w:lineRule="auto"/>
              <w:jc w:val="center"/>
              <w:rPr>
                <w:color w:val="FFFFFF" w:themeColor="background1"/>
              </w:rPr>
            </w:pPr>
            <w:r w:rsidRPr="00AC7E3F">
              <w:rPr>
                <w:noProof/>
              </w:rPr>
              <w:drawing>
                <wp:inline distT="0" distB="0" distL="0" distR="0" wp14:anchorId="24D94D5B" wp14:editId="3F7974C6">
                  <wp:extent cx="267970" cy="323215"/>
                  <wp:effectExtent l="0" t="0" r="0" b="635"/>
                  <wp:docPr id="687078803"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5162A3C6" w14:textId="77777777" w:rsidR="00BF2C24" w:rsidRPr="00602824" w:rsidRDefault="00BF2C24" w:rsidP="008943E3">
            <w:pPr>
              <w:pStyle w:val="TableNBullet"/>
              <w:spacing w:before="60" w:after="60"/>
            </w:pPr>
            <w:r w:rsidRPr="00602824">
              <w:t>Clinicians reported that, for the specialties they are familiar with, the PL reforms have not affected their medical device choices.</w:t>
            </w:r>
          </w:p>
          <w:p w14:paraId="5031C157" w14:textId="77777777" w:rsidR="00BF2C24" w:rsidRPr="00602824" w:rsidRDefault="00BF2C24" w:rsidP="008943E3">
            <w:pPr>
              <w:pStyle w:val="TableNBullet"/>
              <w:spacing w:before="60" w:after="60"/>
            </w:pPr>
            <w:r w:rsidRPr="00602824">
              <w:t xml:space="preserve">However, some rationalisation of less commonly used items was observed, which clinicians speculated may be due to the unviability of certain product lines under reduced benefit levels. Despite this, clinicians reiterated that appropriate access to devices has been maintained. </w:t>
            </w:r>
          </w:p>
        </w:tc>
      </w:tr>
    </w:tbl>
    <w:p w14:paraId="666ED7A5" w14:textId="3E95667A" w:rsidR="003F72B2" w:rsidRPr="00602824" w:rsidRDefault="003F72B2" w:rsidP="003F72B2">
      <w:pPr>
        <w:pStyle w:val="Heading2"/>
      </w:pPr>
      <w:bookmarkStart w:id="43" w:name="_Toc204695301"/>
      <w:bookmarkStart w:id="44" w:name="_Toc204767286"/>
      <w:bookmarkStart w:id="45" w:name="_Ref159872912"/>
      <w:bookmarkStart w:id="46" w:name="_Toc164439318"/>
      <w:bookmarkStart w:id="47" w:name="_Toc181405082"/>
      <w:bookmarkStart w:id="48" w:name="_Toc209176971"/>
      <w:bookmarkEnd w:id="43"/>
      <w:bookmarkEnd w:id="44"/>
      <w:r w:rsidRPr="00602824">
        <w:t>Objective 4: Improve the affordability and value of PHI for privately insured Australians</w:t>
      </w:r>
      <w:bookmarkEnd w:id="45"/>
      <w:bookmarkEnd w:id="46"/>
      <w:bookmarkEnd w:id="47"/>
      <w:bookmarkEnd w:id="48"/>
    </w:p>
    <w:p w14:paraId="4553BA2B" w14:textId="1AA7129D" w:rsidR="003F72B2" w:rsidRPr="00602824" w:rsidRDefault="003F72B2" w:rsidP="003F72B2">
      <w:pPr>
        <w:rPr>
          <w:i/>
          <w:iCs/>
          <w:lang w:eastAsia="en-AU"/>
        </w:rPr>
      </w:pPr>
      <w:r w:rsidRPr="00602824">
        <w:rPr>
          <w:i/>
          <w:iCs/>
          <w:lang w:eastAsia="en-AU"/>
        </w:rPr>
        <w:t xml:space="preserve">Foundational to the reforms is the objective to improve the affordability and value of PHI. This section </w:t>
      </w:r>
      <w:r w:rsidR="008D2364" w:rsidRPr="00602824">
        <w:rPr>
          <w:i/>
          <w:iCs/>
          <w:lang w:eastAsia="en-AU"/>
        </w:rPr>
        <w:t xml:space="preserve">examines the estimated savings from the reforms and </w:t>
      </w:r>
      <w:r w:rsidRPr="00602824">
        <w:rPr>
          <w:i/>
          <w:iCs/>
          <w:lang w:eastAsia="en-AU"/>
        </w:rPr>
        <w:t>considers changes in PHI premium increases to examine the affordability of PHI. It looks at premium price changes over time and any changes in PHI premiums that can be related to PL expenditure. This section also considers changes in PHI coverage and for whom to examine the value of PHI. It looks at coverage by demographic group and utilisation of PL items.</w:t>
      </w:r>
    </w:p>
    <w:p w14:paraId="3819ECAC" w14:textId="4B27B8AC" w:rsidR="003F72B2" w:rsidRPr="00602824" w:rsidRDefault="003F72B2" w:rsidP="00B50EE7">
      <w:pPr>
        <w:pStyle w:val="Caption"/>
        <w:rPr>
          <w:lang w:eastAsia="en-AU"/>
        </w:rPr>
      </w:pPr>
      <w:r w:rsidRPr="00602824">
        <w:t xml:space="preserve">Figure </w:t>
      </w:r>
      <w:r w:rsidR="002604D0">
        <w:fldChar w:fldCharType="begin"/>
      </w:r>
      <w:r w:rsidR="002604D0">
        <w:instrText xml:space="preserve"> SEQ Figure \* ARABIC </w:instrText>
      </w:r>
      <w:r w:rsidR="002604D0">
        <w:fldChar w:fldCharType="separate"/>
      </w:r>
      <w:r w:rsidR="00D30634">
        <w:rPr>
          <w:noProof/>
        </w:rPr>
        <w:t>13</w:t>
      </w:r>
      <w:r w:rsidR="002604D0">
        <w:fldChar w:fldCharType="end"/>
      </w:r>
      <w:r w:rsidRPr="00602824">
        <w:t xml:space="preserve"> | Reform projects related to reform objective 4</w:t>
      </w:r>
    </w:p>
    <w:p w14:paraId="55994F49" w14:textId="77777777" w:rsidR="003F72B2" w:rsidRPr="00602824" w:rsidRDefault="003F72B2" w:rsidP="003F72B2">
      <w:pPr>
        <w:rPr>
          <w:lang w:eastAsia="en-AU"/>
        </w:rPr>
      </w:pPr>
      <w:r w:rsidRPr="00AC7E3F">
        <w:rPr>
          <w:noProof/>
          <w:lang w:eastAsia="en-AU"/>
        </w:rPr>
        <w:drawing>
          <wp:inline distT="0" distB="0" distL="0" distR="0" wp14:anchorId="75838453" wp14:editId="7F7BF96B">
            <wp:extent cx="5767057" cy="1507427"/>
            <wp:effectExtent l="0" t="0" r="5715" b="0"/>
            <wp:docPr id="110633269" name="Picture 1" descr="A figure showing reform objective 4. Affordability and value of PHI is achieved through objectives 1, 2 and 3. Objective 4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3269" name="Picture 1" descr="A figure showing reform objective 4. Affordability and value of PHI is achieved through objectives 1, 2 and 3. Objective 4 is also connected with a dotted line to benefit reductions."/>
                    <pic:cNvPicPr/>
                  </pic:nvPicPr>
                  <pic:blipFill>
                    <a:blip r:embed="rId38"/>
                    <a:stretch>
                      <a:fillRect/>
                    </a:stretch>
                  </pic:blipFill>
                  <pic:spPr>
                    <a:xfrm>
                      <a:off x="0" y="0"/>
                      <a:ext cx="5817454" cy="1520600"/>
                    </a:xfrm>
                    <a:prstGeom prst="rect">
                      <a:avLst/>
                    </a:prstGeom>
                  </pic:spPr>
                </pic:pic>
              </a:graphicData>
            </a:graphic>
          </wp:inline>
        </w:drawing>
      </w:r>
    </w:p>
    <w:p w14:paraId="62B04DEB" w14:textId="61BA6A26" w:rsidR="00796D48" w:rsidRPr="00602824" w:rsidRDefault="00796D48" w:rsidP="00796D48">
      <w:pPr>
        <w:pStyle w:val="Heading3"/>
      </w:pPr>
      <w:r w:rsidRPr="00602824">
        <w:t xml:space="preserve">Implementation </w:t>
      </w:r>
      <w:r w:rsidR="00576711" w:rsidRPr="00602824">
        <w:t>p</w:t>
      </w:r>
      <w:r w:rsidRPr="00602824">
        <w:t xml:space="preserve">rogress: </w:t>
      </w:r>
      <w:r w:rsidR="00576711" w:rsidRPr="00602824">
        <w:t>a</w:t>
      </w:r>
      <w:r w:rsidRPr="00602824">
        <w:t>ffordability of PHI</w:t>
      </w:r>
    </w:p>
    <w:tbl>
      <w:tblPr>
        <w:tblStyle w:val="NOUSSideHeader4"/>
        <w:tblW w:w="0" w:type="auto"/>
        <w:tblLook w:val="04A0" w:firstRow="1" w:lastRow="0" w:firstColumn="1" w:lastColumn="0" w:noHBand="0" w:noVBand="1"/>
      </w:tblPr>
      <w:tblGrid>
        <w:gridCol w:w="9061"/>
      </w:tblGrid>
      <w:tr w:rsidR="00796D48" w:rsidRPr="00602824" w14:paraId="3A72E68B" w14:textId="77777777" w:rsidTr="006E6A3B">
        <w:trPr>
          <w:cnfStyle w:val="100000000000" w:firstRow="1" w:lastRow="0" w:firstColumn="0" w:lastColumn="0" w:oddVBand="0" w:evenVBand="0" w:oddHBand="0" w:evenHBand="0" w:firstRowFirstColumn="0" w:firstRowLastColumn="0" w:lastRowFirstColumn="0" w:lastRowLastColumn="0"/>
        </w:trPr>
        <w:tc>
          <w:tcPr>
            <w:tcW w:w="9061" w:type="dxa"/>
          </w:tcPr>
          <w:p w14:paraId="58D9E6AA" w14:textId="2AADE33E" w:rsidR="00796D48" w:rsidRPr="00602824" w:rsidRDefault="00FF621F" w:rsidP="00FB712C">
            <w:pPr>
              <w:spacing w:before="120"/>
            </w:pPr>
            <w:r w:rsidRPr="00602824">
              <w:rPr>
                <w:lang w:eastAsia="en-AU"/>
              </w:rPr>
              <w:t xml:space="preserve">The benefit reductions </w:t>
            </w:r>
            <w:r w:rsidR="00CF305C" w:rsidRPr="00602824">
              <w:rPr>
                <w:lang w:eastAsia="en-AU"/>
              </w:rPr>
              <w:t xml:space="preserve">which aim to improve the affordability of private health insurance </w:t>
            </w:r>
            <w:r w:rsidRPr="00602824">
              <w:rPr>
                <w:lang w:eastAsia="en-AU"/>
              </w:rPr>
              <w:t>are outlined in Objective 1.</w:t>
            </w:r>
            <w:r w:rsidR="00796D48" w:rsidRPr="00602824">
              <w:rPr>
                <w:lang w:eastAsia="en-AU"/>
              </w:rPr>
              <w:t xml:space="preserve"> </w:t>
            </w:r>
          </w:p>
        </w:tc>
      </w:tr>
    </w:tbl>
    <w:p w14:paraId="1FABBB7B" w14:textId="0039AC0F" w:rsidR="0054049B" w:rsidRPr="00602824" w:rsidRDefault="00241B77" w:rsidP="0054049B">
      <w:pPr>
        <w:pStyle w:val="Heading3"/>
      </w:pPr>
      <w:r w:rsidRPr="00FB712C">
        <w:t>The reforms generated $</w:t>
      </w:r>
      <w:r w:rsidR="000B1208">
        <w:t>3</w:t>
      </w:r>
      <w:r w:rsidRPr="00FB712C">
        <w:t>00 million</w:t>
      </w:r>
      <w:r w:rsidR="00F04EB2" w:rsidRPr="00FB712C">
        <w:t xml:space="preserve"> in </w:t>
      </w:r>
      <w:r w:rsidRPr="00FB712C">
        <w:t>savings</w:t>
      </w:r>
      <w:r w:rsidR="000B1208">
        <w:t xml:space="preserve"> </w:t>
      </w:r>
      <w:r w:rsidR="00CD71EE">
        <w:t>from FY</w:t>
      </w:r>
      <w:r w:rsidR="00357CBF">
        <w:t>23 to FY24</w:t>
      </w:r>
      <w:r w:rsidR="000B1208">
        <w:t xml:space="preserve"> </w:t>
      </w:r>
    </w:p>
    <w:p w14:paraId="59395202" w14:textId="59242825" w:rsidR="00912F7A" w:rsidRPr="00602824" w:rsidRDefault="00D06961" w:rsidP="0054049B">
      <w:pPr>
        <w:rPr>
          <w:lang w:eastAsia="en-AU"/>
        </w:rPr>
      </w:pPr>
      <w:r w:rsidRPr="00602824">
        <w:rPr>
          <w:lang w:eastAsia="en-AU"/>
        </w:rPr>
        <w:t>According to IHACPA</w:t>
      </w:r>
      <w:r w:rsidR="00CF6A9E" w:rsidRPr="00602824">
        <w:rPr>
          <w:lang w:eastAsia="en-AU"/>
        </w:rPr>
        <w:t xml:space="preserve"> </w:t>
      </w:r>
      <w:r w:rsidR="00357CBF">
        <w:rPr>
          <w:lang w:eastAsia="en-AU"/>
        </w:rPr>
        <w:t>estimates</w:t>
      </w:r>
      <w:r w:rsidRPr="00602824">
        <w:rPr>
          <w:lang w:eastAsia="en-AU"/>
        </w:rPr>
        <w:t xml:space="preserve">, </w:t>
      </w:r>
      <w:r w:rsidR="002C4BF3" w:rsidRPr="00602824">
        <w:rPr>
          <w:lang w:eastAsia="en-AU"/>
        </w:rPr>
        <w:t>the PL reforms generated $</w:t>
      </w:r>
      <w:r w:rsidR="00357CBF">
        <w:rPr>
          <w:lang w:eastAsia="en-AU"/>
        </w:rPr>
        <w:t>302</w:t>
      </w:r>
      <w:r w:rsidR="002C4BF3" w:rsidRPr="00602824">
        <w:rPr>
          <w:lang w:eastAsia="en-AU"/>
        </w:rPr>
        <w:t xml:space="preserve"> million</w:t>
      </w:r>
      <w:r w:rsidR="00357CBF">
        <w:rPr>
          <w:lang w:eastAsia="en-AU"/>
        </w:rPr>
        <w:t xml:space="preserve"> </w:t>
      </w:r>
      <w:r w:rsidR="002C4BF3" w:rsidRPr="00602824">
        <w:rPr>
          <w:lang w:eastAsia="en-AU"/>
        </w:rPr>
        <w:t xml:space="preserve">in savings </w:t>
      </w:r>
      <w:r w:rsidR="00357CBF">
        <w:rPr>
          <w:lang w:eastAsia="en-AU"/>
        </w:rPr>
        <w:t xml:space="preserve">in the two years from </w:t>
      </w:r>
      <w:r w:rsidR="002C4BF3" w:rsidRPr="00602824">
        <w:rPr>
          <w:lang w:eastAsia="en-AU"/>
        </w:rPr>
        <w:t xml:space="preserve">July 2022 </w:t>
      </w:r>
      <w:r w:rsidR="00981C65">
        <w:rPr>
          <w:lang w:eastAsia="en-AU"/>
        </w:rPr>
        <w:t>to</w:t>
      </w:r>
      <w:r w:rsidR="002C4BF3" w:rsidRPr="00602824">
        <w:rPr>
          <w:lang w:eastAsia="en-AU"/>
        </w:rPr>
        <w:t xml:space="preserve"> June 202</w:t>
      </w:r>
      <w:r w:rsidR="00357CBF">
        <w:rPr>
          <w:lang w:eastAsia="en-AU"/>
        </w:rPr>
        <w:t>4</w:t>
      </w:r>
      <w:r w:rsidR="0054049B" w:rsidRPr="00602824">
        <w:rPr>
          <w:lang w:eastAsia="en-AU"/>
        </w:rPr>
        <w:t>.</w:t>
      </w:r>
      <w:r w:rsidR="000658AC" w:rsidRPr="00602824">
        <w:rPr>
          <w:rStyle w:val="FootnoteReference"/>
          <w:lang w:eastAsia="en-AU"/>
        </w:rPr>
        <w:footnoteReference w:id="47"/>
      </w:r>
    </w:p>
    <w:p w14:paraId="6F77EFFF" w14:textId="3957CD7C" w:rsidR="007C5064" w:rsidRPr="00602824" w:rsidRDefault="00536E5D" w:rsidP="0054049B">
      <w:pPr>
        <w:rPr>
          <w:lang w:eastAsia="en-AU"/>
        </w:rPr>
      </w:pPr>
      <w:r>
        <w:rPr>
          <w:lang w:eastAsia="en-AU"/>
        </w:rPr>
        <w:t xml:space="preserve">Based on projections made in </w:t>
      </w:r>
      <w:r w:rsidR="005E497E">
        <w:rPr>
          <w:lang w:eastAsia="en-AU"/>
        </w:rPr>
        <w:t>November 2023</w:t>
      </w:r>
      <w:r w:rsidR="007C5064" w:rsidRPr="00602824">
        <w:rPr>
          <w:lang w:eastAsia="en-AU"/>
        </w:rPr>
        <w:t xml:space="preserve">, IHACPA estimates that the reforms will generate </w:t>
      </w:r>
      <w:r w:rsidR="004F6EE1">
        <w:rPr>
          <w:lang w:eastAsia="en-AU"/>
        </w:rPr>
        <w:t>over $1 billion</w:t>
      </w:r>
      <w:r w:rsidR="007C5064" w:rsidRPr="00602824">
        <w:rPr>
          <w:lang w:eastAsia="en-AU"/>
        </w:rPr>
        <w:t xml:space="preserve"> in total savings over the five years from July 2022 to June 2027.</w:t>
      </w:r>
      <w:r w:rsidR="007C5064" w:rsidRPr="00602824">
        <w:rPr>
          <w:rStyle w:val="FootnoteReference"/>
          <w:lang w:eastAsia="en-AU"/>
        </w:rPr>
        <w:footnoteReference w:id="48"/>
      </w:r>
    </w:p>
    <w:p w14:paraId="1B477402" w14:textId="77777777" w:rsidR="00B063E0" w:rsidRPr="00602824" w:rsidRDefault="00B063E0" w:rsidP="00292AD5">
      <w:pPr>
        <w:rPr>
          <w:lang w:eastAsia="en-AU"/>
        </w:rPr>
      </w:pPr>
      <w:r w:rsidRPr="00602824">
        <w:rPr>
          <w:lang w:eastAsia="en-AU"/>
        </w:rPr>
        <w:lastRenderedPageBreak/>
        <w:t>The reforms are achieving their intended effect of sustaining lower benefit levels across the PL. These lower benefits reduce the insurance payments made for medical devices used in private hospitals, placing downward pressure on PHI premiums.</w:t>
      </w:r>
    </w:p>
    <w:p w14:paraId="1FBC25E1" w14:textId="056F35E4" w:rsidR="0050060E" w:rsidRPr="00602824" w:rsidRDefault="000814F4" w:rsidP="00292AD5">
      <w:pPr>
        <w:rPr>
          <w:lang w:eastAsia="en-AU"/>
        </w:rPr>
      </w:pPr>
      <w:r w:rsidRPr="00602824">
        <w:rPr>
          <w:lang w:eastAsia="en-AU"/>
        </w:rPr>
        <w:t>Th</w:t>
      </w:r>
      <w:r w:rsidR="00D11B50" w:rsidRPr="00602824">
        <w:rPr>
          <w:lang w:eastAsia="en-AU"/>
        </w:rPr>
        <w:t>e</w:t>
      </w:r>
      <w:r w:rsidR="003563DE" w:rsidRPr="00602824">
        <w:rPr>
          <w:lang w:eastAsia="en-AU"/>
        </w:rPr>
        <w:t xml:space="preserve"> relative</w:t>
      </w:r>
      <w:r w:rsidR="00D11B50" w:rsidRPr="00602824">
        <w:rPr>
          <w:lang w:eastAsia="en-AU"/>
        </w:rPr>
        <w:t xml:space="preserve"> impact of </w:t>
      </w:r>
      <w:r w:rsidR="003563DE" w:rsidRPr="00602824">
        <w:rPr>
          <w:lang w:eastAsia="en-AU"/>
        </w:rPr>
        <w:t xml:space="preserve">these savings </w:t>
      </w:r>
      <w:r w:rsidR="00866190" w:rsidRPr="00602824">
        <w:rPr>
          <w:lang w:eastAsia="en-AU"/>
        </w:rPr>
        <w:t>is</w:t>
      </w:r>
      <w:r w:rsidR="001F3721" w:rsidRPr="00602824">
        <w:rPr>
          <w:lang w:eastAsia="en-AU"/>
        </w:rPr>
        <w:t xml:space="preserve"> explored in </w:t>
      </w:r>
      <w:r w:rsidR="000377F0">
        <w:rPr>
          <w:lang w:eastAsia="en-AU"/>
        </w:rPr>
        <w:t>Section</w:t>
      </w:r>
      <w:r w:rsidR="000377F0" w:rsidRPr="00602824">
        <w:rPr>
          <w:lang w:eastAsia="en-AU"/>
        </w:rPr>
        <w:t xml:space="preserve"> </w:t>
      </w:r>
      <w:r w:rsidR="004E2226" w:rsidRPr="00602824">
        <w:rPr>
          <w:lang w:eastAsia="en-AU"/>
        </w:rPr>
        <w:t>2.4.3</w:t>
      </w:r>
      <w:r w:rsidR="009356AE" w:rsidRPr="00602824">
        <w:rPr>
          <w:lang w:eastAsia="en-AU"/>
        </w:rPr>
        <w:t xml:space="preserve"> </w:t>
      </w:r>
      <w:r w:rsidR="001F3721" w:rsidRPr="00602824">
        <w:rPr>
          <w:lang w:eastAsia="en-AU"/>
        </w:rPr>
        <w:t>below.</w:t>
      </w:r>
      <w:r w:rsidR="00D11B50" w:rsidRPr="00602824">
        <w:rPr>
          <w:lang w:eastAsia="en-AU"/>
        </w:rPr>
        <w:t xml:space="preserve"> </w:t>
      </w:r>
    </w:p>
    <w:p w14:paraId="447553C3" w14:textId="77777777" w:rsidR="0054049B" w:rsidRPr="00602824" w:rsidRDefault="0054049B" w:rsidP="0054049B">
      <w:pPr>
        <w:pStyle w:val="Heading4"/>
      </w:pPr>
      <w:r w:rsidRPr="00602824">
        <w:t>Savings have been limited by several factors</w:t>
      </w:r>
    </w:p>
    <w:p w14:paraId="4AE666DB" w14:textId="1491704F" w:rsidR="006429DC" w:rsidRPr="00602824" w:rsidRDefault="003C6680" w:rsidP="0054049B">
      <w:pPr>
        <w:rPr>
          <w:lang w:eastAsia="en-AU"/>
        </w:rPr>
      </w:pPr>
      <w:r w:rsidRPr="00602824">
        <w:rPr>
          <w:lang w:eastAsia="en-AU"/>
        </w:rPr>
        <w:t>T</w:t>
      </w:r>
      <w:r w:rsidR="00846B50" w:rsidRPr="00602824">
        <w:rPr>
          <w:lang w:eastAsia="en-AU"/>
        </w:rPr>
        <w:t xml:space="preserve">he extent of savings achieved through the PL reforms has been limited by </w:t>
      </w:r>
      <w:r w:rsidR="004977FB" w:rsidRPr="00602824">
        <w:rPr>
          <w:lang w:eastAsia="en-AU"/>
        </w:rPr>
        <w:t xml:space="preserve">structural and </w:t>
      </w:r>
      <w:r w:rsidR="00846B50" w:rsidRPr="00602824">
        <w:rPr>
          <w:lang w:eastAsia="en-AU"/>
        </w:rPr>
        <w:t>policy</w:t>
      </w:r>
      <w:r w:rsidR="005B76C7" w:rsidRPr="00602824">
        <w:rPr>
          <w:lang w:eastAsia="en-AU"/>
        </w:rPr>
        <w:t xml:space="preserve"> parameters</w:t>
      </w:r>
      <w:r w:rsidR="00C40622" w:rsidRPr="00602824">
        <w:rPr>
          <w:lang w:eastAsia="en-AU"/>
        </w:rPr>
        <w:t>.</w:t>
      </w:r>
      <w:r w:rsidR="001618F2" w:rsidRPr="00602824">
        <w:rPr>
          <w:lang w:eastAsia="en-AU"/>
        </w:rPr>
        <w:t xml:space="preserve"> Notably, </w:t>
      </w:r>
      <w:r w:rsidR="005235C1" w:rsidRPr="00602824">
        <w:rPr>
          <w:lang w:eastAsia="en-AU"/>
        </w:rPr>
        <w:t xml:space="preserve">benefit reductions </w:t>
      </w:r>
      <w:r w:rsidR="001618F2" w:rsidRPr="00602824">
        <w:rPr>
          <w:lang w:eastAsia="en-AU"/>
        </w:rPr>
        <w:t>were determined under the M</w:t>
      </w:r>
      <w:r w:rsidR="00B063E0" w:rsidRPr="00602824">
        <w:rPr>
          <w:lang w:eastAsia="en-AU"/>
        </w:rPr>
        <w:t>O</w:t>
      </w:r>
      <w:r w:rsidR="001618F2" w:rsidRPr="00602824">
        <w:rPr>
          <w:lang w:eastAsia="en-AU"/>
        </w:rPr>
        <w:t xml:space="preserve">U </w:t>
      </w:r>
      <w:r w:rsidR="00B97410" w:rsidRPr="00602824">
        <w:rPr>
          <w:lang w:eastAsia="en-AU"/>
        </w:rPr>
        <w:t xml:space="preserve">between the </w:t>
      </w:r>
      <w:r w:rsidR="0018313B" w:rsidRPr="00602824">
        <w:rPr>
          <w:lang w:eastAsia="en-AU"/>
        </w:rPr>
        <w:t xml:space="preserve">then </w:t>
      </w:r>
      <w:r w:rsidR="00B97410" w:rsidRPr="00602824">
        <w:rPr>
          <w:lang w:eastAsia="en-AU"/>
        </w:rPr>
        <w:t>Australian Government and the MTAA</w:t>
      </w:r>
      <w:r w:rsidR="00356198" w:rsidRPr="00602824">
        <w:rPr>
          <w:lang w:eastAsia="en-AU"/>
        </w:rPr>
        <w:t xml:space="preserve"> to reference public sector pricing only, rather than broader </w:t>
      </w:r>
      <w:r w:rsidR="00700C7B" w:rsidRPr="00602824">
        <w:rPr>
          <w:lang w:eastAsia="en-AU"/>
        </w:rPr>
        <w:t xml:space="preserve">market </w:t>
      </w:r>
      <w:r w:rsidR="00356198" w:rsidRPr="00602824">
        <w:rPr>
          <w:lang w:eastAsia="en-AU"/>
        </w:rPr>
        <w:t>benchmarks.</w:t>
      </w:r>
      <w:r w:rsidR="003C233D" w:rsidRPr="00602824">
        <w:rPr>
          <w:rStyle w:val="FootnoteReference"/>
          <w:lang w:eastAsia="en-AU"/>
        </w:rPr>
        <w:footnoteReference w:id="49"/>
      </w:r>
      <w:r w:rsidR="0018313B" w:rsidRPr="00602824">
        <w:rPr>
          <w:lang w:eastAsia="en-AU"/>
        </w:rPr>
        <w:t xml:space="preserve"> Under these arrangements</w:t>
      </w:r>
      <w:r w:rsidR="006A6887" w:rsidRPr="00602824">
        <w:rPr>
          <w:lang w:eastAsia="en-AU"/>
        </w:rPr>
        <w:t>, benefit reductions were capped at a maximum of 80% of the gap between the PL benefit and public reference prices, with a 7% price floor above public prices applied.</w:t>
      </w:r>
      <w:r w:rsidR="00DF3D97" w:rsidRPr="00602824">
        <w:rPr>
          <w:lang w:eastAsia="en-AU"/>
        </w:rPr>
        <w:t xml:space="preserve"> </w:t>
      </w:r>
    </w:p>
    <w:p w14:paraId="7A287679" w14:textId="16730F7F" w:rsidR="00DB02A6" w:rsidRPr="00602824" w:rsidRDefault="00A44086" w:rsidP="0054049B">
      <w:r w:rsidRPr="00602824">
        <w:rPr>
          <w:lang w:eastAsia="en-AU"/>
        </w:rPr>
        <w:t xml:space="preserve">Stakeholders have </w:t>
      </w:r>
      <w:r w:rsidR="003A1101" w:rsidRPr="00602824">
        <w:rPr>
          <w:lang w:eastAsia="en-AU"/>
        </w:rPr>
        <w:t xml:space="preserve">expressed varied </w:t>
      </w:r>
      <w:r w:rsidRPr="00602824">
        <w:rPr>
          <w:lang w:eastAsia="en-AU"/>
        </w:rPr>
        <w:t xml:space="preserve">perspectives about the validity of these </w:t>
      </w:r>
      <w:r w:rsidR="00AE1B1C" w:rsidRPr="00602824">
        <w:rPr>
          <w:lang w:eastAsia="en-AU"/>
        </w:rPr>
        <w:t>parameter</w:t>
      </w:r>
      <w:r w:rsidR="00470D50" w:rsidRPr="00602824">
        <w:rPr>
          <w:lang w:eastAsia="en-AU"/>
        </w:rPr>
        <w:t>s</w:t>
      </w:r>
      <w:r w:rsidR="008D1D21" w:rsidRPr="00602824">
        <w:rPr>
          <w:lang w:eastAsia="en-AU"/>
        </w:rPr>
        <w:t xml:space="preserve">, as outlined in </w:t>
      </w:r>
      <w:r w:rsidR="000377F0">
        <w:rPr>
          <w:lang w:eastAsia="en-AU"/>
        </w:rPr>
        <w:t>Section</w:t>
      </w:r>
      <w:r w:rsidR="000377F0" w:rsidRPr="00602824">
        <w:rPr>
          <w:lang w:eastAsia="en-AU"/>
        </w:rPr>
        <w:t xml:space="preserve"> </w:t>
      </w:r>
      <w:r w:rsidR="008D1D21" w:rsidRPr="00602824">
        <w:rPr>
          <w:lang w:eastAsia="en-AU"/>
        </w:rPr>
        <w:t xml:space="preserve">2.3.3 (page 14) of the </w:t>
      </w:r>
      <w:r w:rsidR="008D1D21" w:rsidRPr="00602824">
        <w:rPr>
          <w:i/>
        </w:rPr>
        <w:t>Interim Evaluation #1 report</w:t>
      </w:r>
      <w:r w:rsidR="008D1D21" w:rsidRPr="00602824">
        <w:t>.</w:t>
      </w:r>
      <w:r w:rsidR="008D1D21" w:rsidRPr="00602824">
        <w:rPr>
          <w:rStyle w:val="FootnoteReference"/>
        </w:rPr>
        <w:footnoteReference w:id="50"/>
      </w:r>
      <w:r w:rsidR="000D4696" w:rsidRPr="00602824">
        <w:t xml:space="preserve"> </w:t>
      </w:r>
      <w:r w:rsidR="00FE45C1" w:rsidRPr="00602824">
        <w:t>In particular, s</w:t>
      </w:r>
      <w:r w:rsidR="00A8483C" w:rsidRPr="00602824">
        <w:t xml:space="preserve">ome consider the 80% cap and </w:t>
      </w:r>
      <w:r w:rsidR="00025ED4" w:rsidRPr="00602824">
        <w:t>7</w:t>
      </w:r>
      <w:r w:rsidR="00A8483C" w:rsidRPr="00602824">
        <w:t xml:space="preserve">% price floor to </w:t>
      </w:r>
      <w:r w:rsidR="005D2E20" w:rsidRPr="00602824">
        <w:t>limit the extent of achievable savings, while others</w:t>
      </w:r>
      <w:r w:rsidR="00E63BE4" w:rsidRPr="00602824">
        <w:t xml:space="preserve"> view these conditions as</w:t>
      </w:r>
      <w:r w:rsidR="00AA3A3E" w:rsidRPr="00602824">
        <w:t xml:space="preserve"> protections to account for differences between </w:t>
      </w:r>
      <w:r w:rsidR="004D2A7E" w:rsidRPr="00602824">
        <w:t>public and private hospital pricing.</w:t>
      </w:r>
    </w:p>
    <w:p w14:paraId="3F4E49FC" w14:textId="73367E58" w:rsidR="00CD0F1D" w:rsidRPr="00602824" w:rsidRDefault="00D52338" w:rsidP="00292AD5">
      <w:r w:rsidRPr="00602824">
        <w:rPr>
          <w:lang w:eastAsia="en-AU"/>
        </w:rPr>
        <w:t>In addition, the</w:t>
      </w:r>
      <w:r w:rsidR="0074556B" w:rsidRPr="00602824">
        <w:rPr>
          <w:lang w:eastAsia="en-AU"/>
        </w:rPr>
        <w:t xml:space="preserve"> </w:t>
      </w:r>
      <w:r w:rsidR="00862A56" w:rsidRPr="00602824">
        <w:rPr>
          <w:lang w:eastAsia="en-AU"/>
        </w:rPr>
        <w:t xml:space="preserve">delayed </w:t>
      </w:r>
      <w:r w:rsidR="00CD483E" w:rsidRPr="00602824">
        <w:rPr>
          <w:lang w:eastAsia="en-AU"/>
        </w:rPr>
        <w:t>implementation of benefit reductions</w:t>
      </w:r>
      <w:r w:rsidR="00155D1B" w:rsidRPr="00602824">
        <w:rPr>
          <w:lang w:eastAsia="en-AU"/>
        </w:rPr>
        <w:t xml:space="preserve"> for certain items</w:t>
      </w:r>
      <w:r w:rsidR="00CD483E" w:rsidRPr="00602824">
        <w:rPr>
          <w:lang w:eastAsia="en-AU"/>
        </w:rPr>
        <w:t xml:space="preserve"> </w:t>
      </w:r>
      <w:r w:rsidR="00CA151D" w:rsidRPr="00602824">
        <w:rPr>
          <w:lang w:eastAsia="en-AU"/>
        </w:rPr>
        <w:t xml:space="preserve">has </w:t>
      </w:r>
      <w:r w:rsidR="00FE3F2A" w:rsidRPr="00602824">
        <w:rPr>
          <w:lang w:eastAsia="en-AU"/>
        </w:rPr>
        <w:t>l</w:t>
      </w:r>
      <w:r w:rsidR="0074556B" w:rsidRPr="00602824">
        <w:rPr>
          <w:lang w:eastAsia="en-AU"/>
        </w:rPr>
        <w:t xml:space="preserve">imited savings. </w:t>
      </w:r>
      <w:r w:rsidR="00CA151D" w:rsidRPr="00602824">
        <w:t>IHACPA estimated that the</w:t>
      </w:r>
      <w:r w:rsidR="0054049B" w:rsidRPr="00602824">
        <w:t xml:space="preserve"> decision to de</w:t>
      </w:r>
      <w:r w:rsidR="00FE3F2A" w:rsidRPr="00602824">
        <w:t>f</w:t>
      </w:r>
      <w:r w:rsidR="0054049B" w:rsidRPr="00602824">
        <w:t xml:space="preserve">er benefit reductions of CIEDs by one year </w:t>
      </w:r>
      <w:r w:rsidR="00CA151D" w:rsidRPr="00602824">
        <w:t xml:space="preserve">would </w:t>
      </w:r>
      <w:r w:rsidR="00EF0CA9" w:rsidRPr="00602824">
        <w:t>result in</w:t>
      </w:r>
      <w:r w:rsidR="0054049B" w:rsidRPr="00602824">
        <w:t xml:space="preserve"> $94 million in foregone savings over the five-year period from July 2022 to June 2027</w:t>
      </w:r>
      <w:r w:rsidR="00CD0F1D" w:rsidRPr="00602824">
        <w:t>.</w:t>
      </w:r>
      <w:r w:rsidR="003733AE" w:rsidRPr="00602824">
        <w:rPr>
          <w:rStyle w:val="FootnoteReference"/>
        </w:rPr>
        <w:footnoteReference w:id="51"/>
      </w:r>
      <w:r w:rsidR="001A5B43" w:rsidRPr="00602824">
        <w:t xml:space="preserve"> </w:t>
      </w:r>
      <w:r w:rsidR="0054049B" w:rsidRPr="00602824">
        <w:t>The</w:t>
      </w:r>
      <w:r w:rsidR="001A5B43" w:rsidRPr="00602824">
        <w:t xml:space="preserve"> implications of this</w:t>
      </w:r>
      <w:r w:rsidR="0054049B" w:rsidRPr="00602824">
        <w:t xml:space="preserve"> delay</w:t>
      </w:r>
      <w:r w:rsidR="001A5B43" w:rsidRPr="00602824">
        <w:t xml:space="preserve">, as well as other factors impacting the timing and scope of benefit reductions, </w:t>
      </w:r>
      <w:r w:rsidR="0054049B" w:rsidRPr="00602824">
        <w:t xml:space="preserve">are discussed further in </w:t>
      </w:r>
      <w:r w:rsidR="000377F0">
        <w:t>Section</w:t>
      </w:r>
      <w:r w:rsidR="000377F0" w:rsidRPr="00602824">
        <w:t xml:space="preserve"> </w:t>
      </w:r>
      <w:r w:rsidR="0054049B" w:rsidRPr="00602824">
        <w:t xml:space="preserve">2.3.2 of the </w:t>
      </w:r>
      <w:r w:rsidR="0054049B" w:rsidRPr="00602824">
        <w:rPr>
          <w:i/>
        </w:rPr>
        <w:t>Interim Evaluation #1 report</w:t>
      </w:r>
      <w:r w:rsidR="0054049B" w:rsidRPr="00602824">
        <w:t>.</w:t>
      </w:r>
      <w:r w:rsidR="0054049B" w:rsidRPr="00602824">
        <w:rPr>
          <w:rStyle w:val="FootnoteReference"/>
        </w:rPr>
        <w:footnoteReference w:id="52"/>
      </w:r>
    </w:p>
    <w:p w14:paraId="499106DB" w14:textId="5E6908AD" w:rsidR="00ED5514" w:rsidRPr="00602824" w:rsidRDefault="0030213B" w:rsidP="00FB712C">
      <w:pPr>
        <w:pStyle w:val="Heading3"/>
        <w:spacing w:before="300"/>
      </w:pPr>
      <w:bookmarkStart w:id="49" w:name="_Ref202192176"/>
      <w:r w:rsidRPr="00602824">
        <w:t>T</w:t>
      </w:r>
      <w:r w:rsidR="00CF122C" w:rsidRPr="00602824">
        <w:t>he benefit reduction savings</w:t>
      </w:r>
      <w:r w:rsidR="00FA6F24" w:rsidRPr="00602824">
        <w:t xml:space="preserve"> have contributed to </w:t>
      </w:r>
      <w:r w:rsidR="00E5665F" w:rsidRPr="00602824">
        <w:t xml:space="preserve">PHI </w:t>
      </w:r>
      <w:r w:rsidR="00FA6F24" w:rsidRPr="00602824">
        <w:t xml:space="preserve">affordability </w:t>
      </w:r>
      <w:bookmarkEnd w:id="49"/>
    </w:p>
    <w:p w14:paraId="5704D670" w14:textId="1E44DF2D" w:rsidR="00B11548" w:rsidRPr="00602824" w:rsidRDefault="00ED5514" w:rsidP="00EC24B4">
      <w:r w:rsidRPr="00602824">
        <w:t xml:space="preserve">All else being equal, lower PL benefit levels </w:t>
      </w:r>
      <w:r w:rsidR="00EC24B4" w:rsidRPr="00602824">
        <w:t xml:space="preserve">have undoubtedly </w:t>
      </w:r>
      <w:r w:rsidRPr="00602824">
        <w:t>result</w:t>
      </w:r>
      <w:r w:rsidR="00EC24B4" w:rsidRPr="00602824">
        <w:t>ed</w:t>
      </w:r>
      <w:r w:rsidRPr="00602824">
        <w:t xml:space="preserve"> in reduced</w:t>
      </w:r>
      <w:r w:rsidR="009531AD" w:rsidRPr="00602824">
        <w:t xml:space="preserve"> benefits paid </w:t>
      </w:r>
      <w:r w:rsidRPr="00602824">
        <w:t xml:space="preserve">out </w:t>
      </w:r>
      <w:r w:rsidR="009531AD" w:rsidRPr="00602824">
        <w:t>by insurers</w:t>
      </w:r>
      <w:r w:rsidR="00EC24B4" w:rsidRPr="00602824">
        <w:t xml:space="preserve">. </w:t>
      </w:r>
      <w:r w:rsidR="0055393B" w:rsidRPr="00602824">
        <w:fldChar w:fldCharType="begin"/>
      </w:r>
      <w:r w:rsidR="0055393B" w:rsidRPr="00602824">
        <w:instrText xml:space="preserve"> REF _Ref202358392 \h </w:instrText>
      </w:r>
      <w:r w:rsidR="0055393B" w:rsidRPr="00602824">
        <w:fldChar w:fldCharType="separate"/>
      </w:r>
      <w:r w:rsidR="00D30634" w:rsidRPr="00602824">
        <w:t xml:space="preserve">Figure </w:t>
      </w:r>
      <w:r w:rsidR="00D30634">
        <w:rPr>
          <w:noProof/>
        </w:rPr>
        <w:t>14</w:t>
      </w:r>
      <w:r w:rsidR="0055393B" w:rsidRPr="00602824">
        <w:fldChar w:fldCharType="end"/>
      </w:r>
      <w:r w:rsidR="0055393B" w:rsidRPr="00602824">
        <w:t xml:space="preserve"> illustrates the impact o</w:t>
      </w:r>
      <w:r w:rsidR="00923273" w:rsidRPr="00602824">
        <w:t>f these saving</w:t>
      </w:r>
      <w:r w:rsidR="0076387F" w:rsidRPr="00602824">
        <w:t>s</w:t>
      </w:r>
      <w:r w:rsidR="00B11548" w:rsidRPr="00602824">
        <w:t>.</w:t>
      </w:r>
    </w:p>
    <w:p w14:paraId="641FBB77" w14:textId="530553B3" w:rsidR="00766006" w:rsidRPr="00602824" w:rsidRDefault="000E6080" w:rsidP="00766006">
      <w:r w:rsidRPr="00602824">
        <w:t>As</w:t>
      </w:r>
      <w:r w:rsidR="0019145E" w:rsidRPr="00602824">
        <w:t xml:space="preserve"> 8</w:t>
      </w:r>
      <w:r w:rsidR="00256DA0" w:rsidRPr="00602824">
        <w:t>0-85</w:t>
      </w:r>
      <w:r w:rsidR="0019145E" w:rsidRPr="00602824">
        <w:t xml:space="preserve">% of premium revenue is </w:t>
      </w:r>
      <w:r w:rsidR="00EF79B7" w:rsidRPr="00602824">
        <w:t xml:space="preserve">typically returned to consumers in the form </w:t>
      </w:r>
      <w:r w:rsidR="00A84D9D" w:rsidRPr="00602824">
        <w:t>of</w:t>
      </w:r>
      <w:r w:rsidR="0019145E" w:rsidRPr="00602824">
        <w:t xml:space="preserve"> </w:t>
      </w:r>
      <w:r w:rsidR="00F93AF6" w:rsidRPr="00602824">
        <w:t xml:space="preserve">insurance benefits, </w:t>
      </w:r>
      <w:r w:rsidR="00A84D9D" w:rsidRPr="00602824">
        <w:t>even modest reductions in benefit outlays can meaningfully improve insurer cost structures.</w:t>
      </w:r>
      <w:r w:rsidR="00816B6F" w:rsidRPr="00602824">
        <w:rPr>
          <w:rStyle w:val="FootnoteReference"/>
        </w:rPr>
        <w:footnoteReference w:id="53"/>
      </w:r>
      <w:r w:rsidR="008A7CB4" w:rsidRPr="00602824">
        <w:t xml:space="preserve"> This, in turn, supports downward pressure on premiums</w:t>
      </w:r>
      <w:r w:rsidR="0081576A" w:rsidRPr="00602824">
        <w:t xml:space="preserve"> and </w:t>
      </w:r>
      <w:r w:rsidR="00B37434" w:rsidRPr="00602824">
        <w:t>improves</w:t>
      </w:r>
      <w:r w:rsidR="0010469F" w:rsidRPr="00602824">
        <w:t xml:space="preserve"> </w:t>
      </w:r>
      <w:r w:rsidR="00766006" w:rsidRPr="00602824">
        <w:t>PHI affordability</w:t>
      </w:r>
      <w:r w:rsidR="00D457B1">
        <w:t xml:space="preserve">, one of the key objectives of the </w:t>
      </w:r>
      <w:r w:rsidR="00734507">
        <w:t>reforms</w:t>
      </w:r>
      <w:r w:rsidR="00B37434" w:rsidRPr="00602824">
        <w:t>.</w:t>
      </w:r>
      <w:r w:rsidR="00F655B8">
        <w:t xml:space="preserve"> The evaluation notes that some private hospital representatives expressed a strong view that the </w:t>
      </w:r>
      <w:r w:rsidR="008A146C">
        <w:t xml:space="preserve">reforms should be less concerned with PHI costs and instead be </w:t>
      </w:r>
      <w:r w:rsidR="00CB3690">
        <w:t xml:space="preserve">targeting better equilibrium between providers and payers through an improved flow of funds to the hospital sector. </w:t>
      </w:r>
    </w:p>
    <w:p w14:paraId="774F7E2E" w14:textId="63E9CC0F" w:rsidR="00FA6F24" w:rsidRPr="00602824" w:rsidRDefault="00FA6F24" w:rsidP="00B50EE7">
      <w:pPr>
        <w:pStyle w:val="Caption"/>
      </w:pPr>
      <w:bookmarkStart w:id="50" w:name="_Ref202358392"/>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14</w:t>
      </w:r>
      <w:r w:rsidR="002604D0">
        <w:fldChar w:fldCharType="end"/>
      </w:r>
      <w:bookmarkEnd w:id="50"/>
      <w:r w:rsidRPr="00602824">
        <w:t xml:space="preserve"> | Estimated </w:t>
      </w:r>
      <w:r w:rsidR="00486A47" w:rsidRPr="00602824">
        <w:t>insurer benefit outlays</w:t>
      </w:r>
      <w:r w:rsidRPr="00602824">
        <w:t xml:space="preserve"> with and without reform savings </w:t>
      </w:r>
      <w:r w:rsidR="00486A47" w:rsidRPr="00602824">
        <w:t>(</w:t>
      </w:r>
      <w:r w:rsidR="00E051ED" w:rsidRPr="00602824">
        <w:t>$</w:t>
      </w:r>
      <w:r w:rsidR="008B1B24" w:rsidRPr="00602824">
        <w:t>M</w:t>
      </w:r>
      <w:r w:rsidR="00E051ED" w:rsidRPr="00602824">
        <w:t xml:space="preserve">, </w:t>
      </w:r>
      <w:r w:rsidRPr="00602824">
        <w:t xml:space="preserve">based on </w:t>
      </w:r>
      <w:r w:rsidR="00010853">
        <w:t>5</w:t>
      </w:r>
      <w:r w:rsidRPr="00602824">
        <w:t xml:space="preserve">% </w:t>
      </w:r>
      <w:r w:rsidR="00486A47" w:rsidRPr="00602824">
        <w:t>annual</w:t>
      </w:r>
      <w:r w:rsidRPr="00602824">
        <w:t xml:space="preserve"> growth)</w:t>
      </w:r>
      <w:r w:rsidRPr="00602824">
        <w:rPr>
          <w:rStyle w:val="FootnoteReference"/>
        </w:rPr>
        <w:footnoteReference w:id="54"/>
      </w:r>
      <w:r w:rsidRPr="00602824">
        <w:rPr>
          <w:vertAlign w:val="superscript"/>
        </w:rPr>
        <w:t>,</w:t>
      </w:r>
      <w:r w:rsidRPr="00602824">
        <w:rPr>
          <w:rStyle w:val="FootnoteReference"/>
        </w:rPr>
        <w:footnoteReference w:id="55"/>
      </w:r>
    </w:p>
    <w:p w14:paraId="5ED76FA3" w14:textId="56038CC1" w:rsidR="00FA6F24" w:rsidRPr="00602824" w:rsidRDefault="00010853" w:rsidP="00FA6F24">
      <w:pPr>
        <w:rPr>
          <w:lang w:eastAsia="en-AU"/>
        </w:rPr>
      </w:pPr>
      <w:r w:rsidRPr="00010853">
        <w:rPr>
          <w:noProof/>
          <w:lang w:eastAsia="en-AU"/>
        </w:rPr>
        <w:drawing>
          <wp:inline distT="0" distB="0" distL="0" distR="0" wp14:anchorId="613BB475" wp14:editId="7D886377">
            <wp:extent cx="5760085" cy="2960370"/>
            <wp:effectExtent l="0" t="0" r="0" b="0"/>
            <wp:docPr id="606187595" name="Picture 1" descr="Modelled projection of insurer benefit outlays with and without reform-related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7595" name="Picture 1" descr="Modelled projection of insurer benefit outlays with and without reform-related savings."/>
                    <pic:cNvPicPr/>
                  </pic:nvPicPr>
                  <pic:blipFill>
                    <a:blip r:embed="rId39"/>
                    <a:stretch>
                      <a:fillRect/>
                    </a:stretch>
                  </pic:blipFill>
                  <pic:spPr>
                    <a:xfrm>
                      <a:off x="0" y="0"/>
                      <a:ext cx="5760085" cy="2960370"/>
                    </a:xfrm>
                    <a:prstGeom prst="rect">
                      <a:avLst/>
                    </a:prstGeom>
                  </pic:spPr>
                </pic:pic>
              </a:graphicData>
            </a:graphic>
          </wp:inline>
        </w:drawing>
      </w:r>
    </w:p>
    <w:p w14:paraId="5F170F8E" w14:textId="5CD99C04" w:rsidR="0030213B" w:rsidRPr="00602824" w:rsidRDefault="00887AC2" w:rsidP="0030213B">
      <w:pPr>
        <w:pStyle w:val="Heading3"/>
      </w:pPr>
      <w:bookmarkStart w:id="51" w:name="_Ref202890124"/>
      <w:bookmarkStart w:id="52" w:name="_Ref202890798"/>
      <w:r w:rsidRPr="00602824">
        <w:t>G</w:t>
      </w:r>
      <w:r w:rsidR="0030213B" w:rsidRPr="00602824">
        <w:t xml:space="preserve">rowth in </w:t>
      </w:r>
      <w:r w:rsidRPr="00602824">
        <w:t xml:space="preserve">the </w:t>
      </w:r>
      <w:r w:rsidR="0030213B" w:rsidRPr="00602824">
        <w:t>use of prosthese</w:t>
      </w:r>
      <w:r w:rsidR="00F87C06" w:rsidRPr="00602824">
        <w:t>s</w:t>
      </w:r>
      <w:r w:rsidR="0030213B" w:rsidRPr="00602824">
        <w:t xml:space="preserve"> cloud</w:t>
      </w:r>
      <w:r w:rsidRPr="00602824">
        <w:t>s</w:t>
      </w:r>
      <w:r w:rsidR="0030213B" w:rsidRPr="00602824">
        <w:t xml:space="preserve"> </w:t>
      </w:r>
      <w:r w:rsidR="002A7514" w:rsidRPr="00602824">
        <w:t>the direct impact of</w:t>
      </w:r>
      <w:r w:rsidR="0030213B" w:rsidRPr="00602824">
        <w:t xml:space="preserve"> </w:t>
      </w:r>
      <w:r w:rsidR="00294C80" w:rsidRPr="00602824">
        <w:t>the benefit reductions</w:t>
      </w:r>
      <w:r w:rsidR="0030213B" w:rsidRPr="00602824">
        <w:t xml:space="preserve"> on premiums</w:t>
      </w:r>
      <w:bookmarkEnd w:id="51"/>
      <w:bookmarkEnd w:id="52"/>
    </w:p>
    <w:p w14:paraId="26DB2777" w14:textId="1C0AE62E" w:rsidR="006A521B" w:rsidRPr="00602824" w:rsidRDefault="006C27F1" w:rsidP="000464F5">
      <w:r w:rsidRPr="00602824">
        <w:t xml:space="preserve">While the benefits </w:t>
      </w:r>
      <w:r w:rsidR="00595ACE" w:rsidRPr="00602824">
        <w:t xml:space="preserve">paid for </w:t>
      </w:r>
      <w:r w:rsidR="00654E1C" w:rsidRPr="00602824">
        <w:t xml:space="preserve">items on the PL </w:t>
      </w:r>
      <w:r w:rsidR="00860EA3" w:rsidRPr="00602824">
        <w:t xml:space="preserve">have been </w:t>
      </w:r>
      <w:r w:rsidR="007F0D66" w:rsidRPr="00602824">
        <w:t>reducing</w:t>
      </w:r>
      <w:r w:rsidR="00654E1C" w:rsidRPr="00602824">
        <w:t>,</w:t>
      </w:r>
      <w:r w:rsidR="007F0D66" w:rsidRPr="00602824">
        <w:t xml:space="preserve"> prostheses utilisation</w:t>
      </w:r>
      <w:r w:rsidR="00B163BA" w:rsidRPr="00602824">
        <w:t xml:space="preserve"> has</w:t>
      </w:r>
      <w:r w:rsidR="008D5DD2" w:rsidRPr="00602824">
        <w:t xml:space="preserve"> been</w:t>
      </w:r>
      <w:r w:rsidR="00B163BA" w:rsidRPr="00602824">
        <w:t xml:space="preserve"> </w:t>
      </w:r>
      <w:r w:rsidR="008D5DD2" w:rsidRPr="00602824">
        <w:t xml:space="preserve">increasing across PL categories (see </w:t>
      </w:r>
      <w:r w:rsidR="008D5DD2" w:rsidRPr="00602824">
        <w:fldChar w:fldCharType="begin"/>
      </w:r>
      <w:r w:rsidR="008D5DD2" w:rsidRPr="00602824">
        <w:instrText xml:space="preserve"> REF _Ref202189122 \h </w:instrText>
      </w:r>
      <w:r w:rsidR="008D5DD2" w:rsidRPr="00602824">
        <w:fldChar w:fldCharType="separate"/>
      </w:r>
      <w:r w:rsidR="00D30634" w:rsidRPr="00602824">
        <w:t xml:space="preserve">Figure </w:t>
      </w:r>
      <w:r w:rsidR="00D30634">
        <w:rPr>
          <w:noProof/>
        </w:rPr>
        <w:t>15</w:t>
      </w:r>
      <w:r w:rsidR="008D5DD2" w:rsidRPr="00602824">
        <w:fldChar w:fldCharType="end"/>
      </w:r>
      <w:r w:rsidR="008D5DD2" w:rsidRPr="00602824">
        <w:t xml:space="preserve">). </w:t>
      </w:r>
      <w:r w:rsidR="000F6BD0" w:rsidRPr="00602824">
        <w:t>The highest growth occurred in the</w:t>
      </w:r>
      <w:r w:rsidR="00E366C5" w:rsidRPr="00602824">
        <w:t xml:space="preserve"> two</w:t>
      </w:r>
      <w:r w:rsidR="000F6BD0" w:rsidRPr="00602824">
        <w:t xml:space="preserve"> largest categories</w:t>
      </w:r>
      <w:r w:rsidR="00E366C5" w:rsidRPr="00602824">
        <w:t xml:space="preserve"> by volume </w:t>
      </w:r>
      <w:proofErr w:type="gramStart"/>
      <w:r w:rsidR="00E366C5" w:rsidRPr="00602824">
        <w:t xml:space="preserve">– </w:t>
      </w:r>
      <w:r w:rsidR="00983F2B" w:rsidRPr="00602824">
        <w:t xml:space="preserve"> General</w:t>
      </w:r>
      <w:proofErr w:type="gramEnd"/>
      <w:r w:rsidR="00983F2B" w:rsidRPr="00602824">
        <w:t xml:space="preserve"> Miscellaneous and Specialist Orthopaedic.</w:t>
      </w:r>
    </w:p>
    <w:p w14:paraId="5094B68C" w14:textId="2501E4AA" w:rsidR="00B01D77" w:rsidRPr="00602824" w:rsidRDefault="00B01D77" w:rsidP="00B50EE7">
      <w:pPr>
        <w:pStyle w:val="Caption"/>
      </w:pPr>
      <w:bookmarkStart w:id="53" w:name="_Ref202189122"/>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15</w:t>
      </w:r>
      <w:r w:rsidR="002604D0">
        <w:fldChar w:fldCharType="end"/>
      </w:r>
      <w:bookmarkEnd w:id="53"/>
      <w:r w:rsidRPr="00602824">
        <w:t xml:space="preserve"> | Prostheses utilisation per 1000 HT PHI members by PL category</w:t>
      </w:r>
      <w:r w:rsidRPr="00602824">
        <w:rPr>
          <w:rStyle w:val="FootnoteReference"/>
        </w:rPr>
        <w:footnoteReference w:id="56"/>
      </w:r>
    </w:p>
    <w:p w14:paraId="742BEAC1" w14:textId="77777777" w:rsidR="00B01D77" w:rsidRPr="00602824" w:rsidRDefault="00B01D77" w:rsidP="00B01D77">
      <w:r w:rsidRPr="00AC7E3F">
        <w:rPr>
          <w:noProof/>
        </w:rPr>
        <w:drawing>
          <wp:inline distT="0" distB="0" distL="0" distR="0" wp14:anchorId="53D9DC68" wp14:editId="59CB537C">
            <wp:extent cx="5760085" cy="3281045"/>
            <wp:effectExtent l="0" t="0" r="0" b="0"/>
            <wp:docPr id="1279029792" name="Picture 1" descr="Chart showing prostheses utilisation rates per 1,000 insured members, by PL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29792" name="Picture 1" descr="Chart showing prostheses utilisation rates per 1,000 insured members, by PL category."/>
                    <pic:cNvPicPr/>
                  </pic:nvPicPr>
                  <pic:blipFill>
                    <a:blip r:embed="rId40"/>
                    <a:stretch>
                      <a:fillRect/>
                    </a:stretch>
                  </pic:blipFill>
                  <pic:spPr>
                    <a:xfrm>
                      <a:off x="0" y="0"/>
                      <a:ext cx="5760085" cy="3281045"/>
                    </a:xfrm>
                    <a:prstGeom prst="rect">
                      <a:avLst/>
                    </a:prstGeom>
                  </pic:spPr>
                </pic:pic>
              </a:graphicData>
            </a:graphic>
          </wp:inline>
        </w:drawing>
      </w:r>
    </w:p>
    <w:p w14:paraId="74F75C16" w14:textId="36A8A3A1" w:rsidR="00B01D77" w:rsidRPr="00602824" w:rsidRDefault="009E6C6E" w:rsidP="00FB712C">
      <w:pPr>
        <w:spacing w:before="240"/>
      </w:pPr>
      <w:r w:rsidRPr="00602824">
        <w:t xml:space="preserve">This growth in utilisation cannot be solely attributed to an ageing population. </w:t>
      </w:r>
      <w:r w:rsidRPr="00602824">
        <w:fldChar w:fldCharType="begin"/>
      </w:r>
      <w:r w:rsidRPr="00602824">
        <w:instrText xml:space="preserve"> REF _Ref202188951 \h </w:instrText>
      </w:r>
      <w:r w:rsidRPr="00602824">
        <w:fldChar w:fldCharType="separate"/>
      </w:r>
      <w:r w:rsidR="00D30634" w:rsidRPr="004A357C">
        <w:t xml:space="preserve">Figure </w:t>
      </w:r>
      <w:r w:rsidR="00D30634">
        <w:rPr>
          <w:noProof/>
        </w:rPr>
        <w:t>35</w:t>
      </w:r>
      <w:r w:rsidRPr="00602824">
        <w:fldChar w:fldCharType="end"/>
      </w:r>
      <w:r w:rsidRPr="00602824">
        <w:t xml:space="preserve"> in Appendix </w:t>
      </w:r>
      <w:r w:rsidRPr="00602824">
        <w:fldChar w:fldCharType="begin"/>
      </w:r>
      <w:r w:rsidRPr="00602824">
        <w:instrText xml:space="preserve"> REF _Ref202192358 \r \h </w:instrText>
      </w:r>
      <w:r w:rsidRPr="00602824">
        <w:fldChar w:fldCharType="separate"/>
      </w:r>
      <w:r w:rsidR="00D30634">
        <w:t>D.5</w:t>
      </w:r>
      <w:r w:rsidRPr="00602824">
        <w:fldChar w:fldCharType="end"/>
      </w:r>
      <w:r w:rsidRPr="00602824">
        <w:t xml:space="preserve"> shows that – </w:t>
      </w:r>
      <w:proofErr w:type="gramStart"/>
      <w:r w:rsidRPr="00602824">
        <w:t>with the exception of</w:t>
      </w:r>
      <w:proofErr w:type="gramEnd"/>
      <w:r w:rsidRPr="00602824">
        <w:t xml:space="preserve"> 35</w:t>
      </w:r>
      <w:r w:rsidR="00C40AE3" w:rsidRPr="00602824">
        <w:t>-</w:t>
      </w:r>
      <w:r w:rsidRPr="00602824">
        <w:t xml:space="preserve">49-year-olds – all age groups are using prostheses more. Some of this growth is likely driven by advances in technology and a higher standard of care. However, this view is not shared by private health insurers, who </w:t>
      </w:r>
      <w:r w:rsidR="00224594">
        <w:t>hold a view</w:t>
      </w:r>
      <w:r w:rsidR="00224594" w:rsidRPr="00602824">
        <w:t xml:space="preserve"> </w:t>
      </w:r>
      <w:r w:rsidRPr="00602824">
        <w:t xml:space="preserve">that more items </w:t>
      </w:r>
      <w:r w:rsidR="00B61028">
        <w:t xml:space="preserve">are being used </w:t>
      </w:r>
      <w:r w:rsidRPr="00602824">
        <w:t>than clinically necessary</w:t>
      </w:r>
      <w:r w:rsidR="00224594">
        <w:t xml:space="preserve"> in hospitals</w:t>
      </w:r>
      <w:r w:rsidRPr="00602824">
        <w:t>.</w:t>
      </w:r>
      <w:r w:rsidR="00224594">
        <w:t xml:space="preserve"> Given that clinicians select and use the items, this assertion cannot be substantiated. </w:t>
      </w:r>
    </w:p>
    <w:p w14:paraId="697EACBA" w14:textId="77777777" w:rsidR="0081244B" w:rsidRPr="00602824" w:rsidRDefault="00B94799" w:rsidP="000464F5">
      <w:r w:rsidRPr="00602824">
        <w:t>This growth in utilisation partially offsets the savings achieved through lower PL benefits.</w:t>
      </w:r>
    </w:p>
    <w:p w14:paraId="1F8CBF8A" w14:textId="02DD7C75" w:rsidR="009D1C51" w:rsidRPr="00602824" w:rsidRDefault="009D1C51" w:rsidP="00B50EE7">
      <w:pPr>
        <w:pStyle w:val="Caption"/>
      </w:pPr>
      <w:bookmarkStart w:id="54" w:name="_Ref202887524"/>
      <w:r w:rsidRPr="00602824">
        <w:t xml:space="preserve">Figure </w:t>
      </w:r>
      <w:r w:rsidR="002604D0">
        <w:fldChar w:fldCharType="begin"/>
      </w:r>
      <w:r w:rsidR="002604D0">
        <w:instrText xml:space="preserve"> SEQ Figure \* ARABIC </w:instrText>
      </w:r>
      <w:r w:rsidR="002604D0">
        <w:fldChar w:fldCharType="separate"/>
      </w:r>
      <w:r w:rsidR="00D30634">
        <w:rPr>
          <w:noProof/>
        </w:rPr>
        <w:t>16</w:t>
      </w:r>
      <w:r w:rsidR="002604D0">
        <w:fldChar w:fldCharType="end"/>
      </w:r>
      <w:bookmarkEnd w:id="54"/>
      <w:r w:rsidRPr="00602824">
        <w:t xml:space="preserve"> | Total prostheses benefits paid ($’000)</w:t>
      </w:r>
      <w:r w:rsidRPr="00602824">
        <w:rPr>
          <w:rStyle w:val="FootnoteReference"/>
        </w:rPr>
        <w:footnoteReference w:id="57"/>
      </w:r>
    </w:p>
    <w:p w14:paraId="759CD191" w14:textId="77777777" w:rsidR="009D1C51" w:rsidRPr="00602824" w:rsidRDefault="009D1C51" w:rsidP="009D1C51">
      <w:r w:rsidRPr="00AC7E3F">
        <w:rPr>
          <w:noProof/>
        </w:rPr>
        <w:drawing>
          <wp:inline distT="0" distB="0" distL="0" distR="0" wp14:anchorId="1C20AFF9" wp14:editId="1D075CBF">
            <wp:extent cx="5760085" cy="2606675"/>
            <wp:effectExtent l="0" t="0" r="0" b="3175"/>
            <wp:docPr id="646860667" name="Picture 1" descr="Chart showing total prostheses benefits paid ($’000) from FY21 to FY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60667" name="Picture 1" descr="Chart showing total prostheses benefits paid ($’000) from FY21 to FY24."/>
                    <pic:cNvPicPr/>
                  </pic:nvPicPr>
                  <pic:blipFill>
                    <a:blip r:embed="rId41"/>
                    <a:stretch>
                      <a:fillRect/>
                    </a:stretch>
                  </pic:blipFill>
                  <pic:spPr>
                    <a:xfrm>
                      <a:off x="0" y="0"/>
                      <a:ext cx="5760085" cy="2606675"/>
                    </a:xfrm>
                    <a:prstGeom prst="rect">
                      <a:avLst/>
                    </a:prstGeom>
                  </pic:spPr>
                </pic:pic>
              </a:graphicData>
            </a:graphic>
          </wp:inline>
        </w:drawing>
      </w:r>
    </w:p>
    <w:p w14:paraId="5C54E799" w14:textId="5516F6DF" w:rsidR="004E77BA" w:rsidRPr="00602824" w:rsidRDefault="004766E7" w:rsidP="007B3AE8">
      <w:pPr>
        <w:spacing w:before="240"/>
      </w:pPr>
      <w:r w:rsidRPr="00602824">
        <w:lastRenderedPageBreak/>
        <w:fldChar w:fldCharType="begin"/>
      </w:r>
      <w:r w:rsidRPr="00602824">
        <w:instrText xml:space="preserve"> REF _Ref202887524 \h </w:instrText>
      </w:r>
      <w:r w:rsidRPr="00602824">
        <w:fldChar w:fldCharType="separate"/>
      </w:r>
      <w:r w:rsidR="00D30634" w:rsidRPr="00602824">
        <w:t xml:space="preserve">Figure </w:t>
      </w:r>
      <w:r w:rsidR="00D30634">
        <w:rPr>
          <w:noProof/>
        </w:rPr>
        <w:t>16</w:t>
      </w:r>
      <w:r w:rsidRPr="00602824">
        <w:fldChar w:fldCharType="end"/>
      </w:r>
      <w:r w:rsidR="009D1C51" w:rsidRPr="00602824">
        <w:t xml:space="preserve"> shows that </w:t>
      </w:r>
      <w:r w:rsidRPr="00602824">
        <w:t>total prostheses benefits paid increased by 2.5% from FY21 to FY24.</w:t>
      </w:r>
      <w:r w:rsidR="00B544FD">
        <w:t xml:space="preserve"> </w:t>
      </w:r>
      <w:r w:rsidR="004E77BA" w:rsidRPr="00602824">
        <w:t>However, over the same period, total HT benefits paid by insurers grew by 12.9%.</w:t>
      </w:r>
      <w:r w:rsidR="00745776" w:rsidRPr="00602824">
        <w:rPr>
          <w:rStyle w:val="FootnoteReference"/>
        </w:rPr>
        <w:footnoteReference w:id="58"/>
      </w:r>
      <w:r w:rsidR="004E77BA" w:rsidRPr="00602824">
        <w:t xml:space="preserve"> </w:t>
      </w:r>
      <w:r w:rsidR="00B544FD">
        <w:t>I</w:t>
      </w:r>
      <w:r w:rsidR="00B544FD" w:rsidRPr="00602824">
        <w:t xml:space="preserve">n </w:t>
      </w:r>
      <w:r w:rsidR="008D7FAB" w:rsidRPr="00602824">
        <w:t>relative terms, prostheses benefit growth has been</w:t>
      </w:r>
      <w:r w:rsidR="00005104">
        <w:t xml:space="preserve"> far</w:t>
      </w:r>
      <w:r w:rsidR="008D7FAB" w:rsidRPr="00602824">
        <w:t xml:space="preserve"> more moderate than overall HT benefit growth</w:t>
      </w:r>
      <w:r w:rsidR="004E77BA" w:rsidRPr="00602824">
        <w:t>.</w:t>
      </w:r>
    </w:p>
    <w:p w14:paraId="1AD6F2B4" w14:textId="3BB5C4B3" w:rsidR="0070500F" w:rsidRPr="00602824" w:rsidRDefault="00D75390" w:rsidP="00C01AE1">
      <w:r w:rsidRPr="00602824">
        <w:t xml:space="preserve">Consistent with this, </w:t>
      </w:r>
      <w:r w:rsidRPr="00602824">
        <w:fldChar w:fldCharType="begin"/>
      </w:r>
      <w:r w:rsidRPr="00602824">
        <w:instrText xml:space="preserve"> REF _Ref202887149 \h </w:instrText>
      </w:r>
      <w:r w:rsidRPr="00602824">
        <w:fldChar w:fldCharType="separate"/>
      </w:r>
      <w:r w:rsidR="00D30634" w:rsidRPr="00602824">
        <w:t xml:space="preserve">Figure </w:t>
      </w:r>
      <w:r w:rsidR="00D30634">
        <w:rPr>
          <w:noProof/>
        </w:rPr>
        <w:t>17</w:t>
      </w:r>
      <w:r w:rsidRPr="00602824">
        <w:fldChar w:fldCharType="end"/>
      </w:r>
      <w:r w:rsidRPr="00602824">
        <w:t xml:space="preserve"> (below) shows that the share of total HT benefits accounted for by prostheses has declined modestly – from 14.1% in FY21 to 13.4% in FY24.</w:t>
      </w:r>
      <w:r w:rsidR="008C5BC6" w:rsidRPr="00602824">
        <w:rPr>
          <w:rStyle w:val="FootnoteReference"/>
        </w:rPr>
        <w:footnoteReference w:id="59"/>
      </w:r>
      <w:r w:rsidR="00BE1FCE" w:rsidRPr="00602824">
        <w:t xml:space="preserve"> </w:t>
      </w:r>
    </w:p>
    <w:p w14:paraId="2DB77488" w14:textId="24DF8471" w:rsidR="0008230D" w:rsidRPr="00602824" w:rsidRDefault="0008230D" w:rsidP="00B50EE7">
      <w:pPr>
        <w:pStyle w:val="Caption"/>
      </w:pPr>
      <w:bookmarkStart w:id="55" w:name="_Ref202887149"/>
      <w:r w:rsidRPr="00602824">
        <w:t xml:space="preserve">Figure </w:t>
      </w:r>
      <w:r w:rsidR="002604D0">
        <w:fldChar w:fldCharType="begin"/>
      </w:r>
      <w:r w:rsidR="002604D0">
        <w:instrText xml:space="preserve"> SEQ Figure \* ARABIC </w:instrText>
      </w:r>
      <w:r w:rsidR="002604D0">
        <w:fldChar w:fldCharType="separate"/>
      </w:r>
      <w:r w:rsidR="00D30634">
        <w:rPr>
          <w:noProof/>
        </w:rPr>
        <w:t>17</w:t>
      </w:r>
      <w:r w:rsidR="002604D0">
        <w:fldChar w:fldCharType="end"/>
      </w:r>
      <w:bookmarkEnd w:id="55"/>
      <w:r w:rsidRPr="00602824">
        <w:t xml:space="preserve"> | Prostheses benefits paid as a percentage of total HT benefits</w:t>
      </w:r>
      <w:r w:rsidRPr="00602824">
        <w:rPr>
          <w:rStyle w:val="FootnoteReference"/>
        </w:rPr>
        <w:footnoteReference w:id="60"/>
      </w:r>
    </w:p>
    <w:p w14:paraId="71FE5DBE" w14:textId="77777777" w:rsidR="0008230D" w:rsidRPr="00602824" w:rsidRDefault="0008230D" w:rsidP="0008230D">
      <w:r w:rsidRPr="00AC7E3F">
        <w:rPr>
          <w:noProof/>
        </w:rPr>
        <w:drawing>
          <wp:inline distT="0" distB="0" distL="0" distR="0" wp14:anchorId="465F4825" wp14:editId="03B704F3">
            <wp:extent cx="5760085" cy="2637790"/>
            <wp:effectExtent l="0" t="0" r="0" b="0"/>
            <wp:docPr id="847573601" name="Picture 1" descr="Chart showing prostheses benefits as a percentage of total hospital treatment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73601" name="Picture 1" descr="Chart showing prostheses benefits as a percentage of total hospital treatment benefits."/>
                    <pic:cNvPicPr/>
                  </pic:nvPicPr>
                  <pic:blipFill>
                    <a:blip r:embed="rId42"/>
                    <a:stretch>
                      <a:fillRect/>
                    </a:stretch>
                  </pic:blipFill>
                  <pic:spPr>
                    <a:xfrm>
                      <a:off x="0" y="0"/>
                      <a:ext cx="5760085" cy="2637790"/>
                    </a:xfrm>
                    <a:prstGeom prst="rect">
                      <a:avLst/>
                    </a:prstGeom>
                  </pic:spPr>
                </pic:pic>
              </a:graphicData>
            </a:graphic>
          </wp:inline>
        </w:drawing>
      </w:r>
    </w:p>
    <w:p w14:paraId="5F3EADB5" w14:textId="3D3F552A" w:rsidR="0008230D" w:rsidRPr="00602824" w:rsidRDefault="0008230D" w:rsidP="00347954">
      <w:pPr>
        <w:pStyle w:val="Heading4"/>
      </w:pPr>
      <w:r w:rsidRPr="00602824">
        <w:t xml:space="preserve">The PL reforms </w:t>
      </w:r>
      <w:r w:rsidR="00653443" w:rsidRPr="00602824">
        <w:t>did not aim to address</w:t>
      </w:r>
      <w:r w:rsidRPr="00602824">
        <w:t xml:space="preserve"> the volume of items used</w:t>
      </w:r>
    </w:p>
    <w:p w14:paraId="2EA0537A" w14:textId="302D53F2" w:rsidR="0061031A" w:rsidRPr="00602824" w:rsidRDefault="0061031A" w:rsidP="00851F55">
      <w:r w:rsidRPr="00602824">
        <w:t xml:space="preserve">While the PL reforms were deliberately designed to reduce benefit levels, they did not seek to limit </w:t>
      </w:r>
      <w:r w:rsidR="004812DF" w:rsidRPr="00602824">
        <w:t>the v</w:t>
      </w:r>
      <w:r w:rsidRPr="00602824">
        <w:t>olume of items used.</w:t>
      </w:r>
    </w:p>
    <w:p w14:paraId="46ED5185" w14:textId="60F29614" w:rsidR="00176501" w:rsidRPr="00602824" w:rsidRDefault="00176501" w:rsidP="00176501">
      <w:r w:rsidRPr="00602824">
        <w:t xml:space="preserve">Managing growth in utilisation would require strategies beyond pricing. Experience to date shows that even when restrictions are based on clear clinical or economic evidence, they can be contentious. For example, the introduction of conditions on surgical guides and </w:t>
      </w:r>
      <w:r w:rsidR="00163D22">
        <w:t>biomodels</w:t>
      </w:r>
      <w:r w:rsidRPr="00602824">
        <w:t xml:space="preserve"> prompted strong feedback from some clinicians, including reports of unintended impacts extending into the public system.</w:t>
      </w:r>
      <w:r w:rsidR="00AA2430" w:rsidRPr="00602824">
        <w:rPr>
          <w:rStyle w:val="FootnoteReference"/>
        </w:rPr>
        <w:footnoteReference w:id="61"/>
      </w:r>
    </w:p>
    <w:p w14:paraId="0AE4A2D0" w14:textId="44EE10E5" w:rsidR="00ED5514" w:rsidRPr="00602824" w:rsidRDefault="00ED5514" w:rsidP="00FB712C">
      <w:pPr>
        <w:pStyle w:val="Heading3"/>
        <w:spacing w:before="300"/>
      </w:pPr>
      <w:r w:rsidRPr="00602824">
        <w:t xml:space="preserve">PHI premiums </w:t>
      </w:r>
      <w:r w:rsidR="00D9672A" w:rsidRPr="00602824">
        <w:t>continue to rise</w:t>
      </w:r>
    </w:p>
    <w:p w14:paraId="3BDB5441" w14:textId="78823FC8" w:rsidR="00EF716A" w:rsidRPr="00602824" w:rsidRDefault="001F2E64" w:rsidP="00EF716A">
      <w:pPr>
        <w:rPr>
          <w:lang w:eastAsia="en-AU"/>
        </w:rPr>
      </w:pPr>
      <w:r w:rsidRPr="00602824">
        <w:rPr>
          <w:lang w:eastAsia="en-AU"/>
        </w:rPr>
        <w:t xml:space="preserve">Despite efforts to contain costs through the PL reforms, PHI premiums have continued to increase. As shown in </w:t>
      </w:r>
      <w:r w:rsidRPr="00602824">
        <w:rPr>
          <w:lang w:eastAsia="en-AU"/>
        </w:rPr>
        <w:fldChar w:fldCharType="begin"/>
      </w:r>
      <w:r w:rsidRPr="00602824">
        <w:rPr>
          <w:lang w:eastAsia="en-AU"/>
        </w:rPr>
        <w:instrText xml:space="preserve"> REF _Ref202889781 \h </w:instrText>
      </w:r>
      <w:r w:rsidRPr="00602824">
        <w:rPr>
          <w:lang w:eastAsia="en-AU"/>
        </w:rPr>
      </w:r>
      <w:r w:rsidRPr="00602824">
        <w:rPr>
          <w:lang w:eastAsia="en-AU"/>
        </w:rPr>
        <w:fldChar w:fldCharType="separate"/>
      </w:r>
      <w:r w:rsidR="00D30634" w:rsidRPr="00602824">
        <w:t xml:space="preserve">Figure </w:t>
      </w:r>
      <w:r w:rsidR="00D30634">
        <w:rPr>
          <w:noProof/>
        </w:rPr>
        <w:t>18</w:t>
      </w:r>
      <w:r w:rsidRPr="00602824">
        <w:rPr>
          <w:lang w:eastAsia="en-AU"/>
        </w:rPr>
        <w:fldChar w:fldCharType="end"/>
      </w:r>
      <w:r w:rsidRPr="00602824">
        <w:rPr>
          <w:lang w:eastAsia="en-AU"/>
        </w:rPr>
        <w:t xml:space="preserve"> below, average premium growth declined in the years leading up to the reforms, reaching a low of 2.7% in FY21 and FY22. Since then, the rate of increase has edged upward – reaching 3.0% in FY24.</w:t>
      </w:r>
    </w:p>
    <w:p w14:paraId="1954171D" w14:textId="2D2CE0EF" w:rsidR="007E56CA" w:rsidRPr="00602824" w:rsidRDefault="009C26C2" w:rsidP="00B50EE7">
      <w:pPr>
        <w:pStyle w:val="Caption"/>
      </w:pPr>
      <w:bookmarkStart w:id="56" w:name="_Ref202889781"/>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18</w:t>
      </w:r>
      <w:r w:rsidR="002604D0">
        <w:fldChar w:fldCharType="end"/>
      </w:r>
      <w:bookmarkEnd w:id="56"/>
      <w:r w:rsidRPr="00602824">
        <w:t xml:space="preserve"> | Average year-on-year insurance premium price changes (as % of prior year premiums)</w:t>
      </w:r>
      <w:r w:rsidR="0054628B" w:rsidRPr="00602824">
        <w:rPr>
          <w:rStyle w:val="FootnoteReference"/>
          <w:rFonts w:cstheme="minorBidi"/>
          <w:szCs w:val="18"/>
        </w:rPr>
        <w:footnoteReference w:id="62"/>
      </w:r>
    </w:p>
    <w:p w14:paraId="1DA8263F" w14:textId="57B16427" w:rsidR="009C26C2" w:rsidRPr="00602824" w:rsidRDefault="00667977" w:rsidP="009C26C2">
      <w:r w:rsidRPr="00AC7E3F">
        <w:rPr>
          <w:noProof/>
        </w:rPr>
        <w:drawing>
          <wp:inline distT="0" distB="0" distL="0" distR="0" wp14:anchorId="4B5C0AA7" wp14:editId="3C526231">
            <wp:extent cx="5760085" cy="2459990"/>
            <wp:effectExtent l="0" t="0" r="0" b="0"/>
            <wp:docPr id="1043602210" name="Picture 1" descr="Line graph showing year-on-year PHI premium growth percentages FY18–FY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02210" name="Picture 1" descr="Line graph showing year-on-year PHI premium growth percentages FY18–FY24."/>
                    <pic:cNvPicPr/>
                  </pic:nvPicPr>
                  <pic:blipFill>
                    <a:blip r:embed="rId43"/>
                    <a:stretch>
                      <a:fillRect/>
                    </a:stretch>
                  </pic:blipFill>
                  <pic:spPr>
                    <a:xfrm>
                      <a:off x="0" y="0"/>
                      <a:ext cx="5760085" cy="2459990"/>
                    </a:xfrm>
                    <a:prstGeom prst="rect">
                      <a:avLst/>
                    </a:prstGeom>
                  </pic:spPr>
                </pic:pic>
              </a:graphicData>
            </a:graphic>
          </wp:inline>
        </w:drawing>
      </w:r>
    </w:p>
    <w:p w14:paraId="53558B4F" w14:textId="2174A347" w:rsidR="00A7738A" w:rsidRDefault="00C253A3" w:rsidP="00A7738A">
      <w:pPr>
        <w:spacing w:before="240"/>
      </w:pPr>
      <w:r w:rsidRPr="00602824">
        <w:t xml:space="preserve">Stakeholders have pointed to several contributors to these upward pressures. Hospitals and medical device representatives have argued that </w:t>
      </w:r>
      <w:r w:rsidRPr="008358DE">
        <w:t>growing PHI management fees and profits</w:t>
      </w:r>
      <w:r w:rsidRPr="00602824">
        <w:t xml:space="preserve"> are absorbing savings that could otherwise be passed on to consumers.</w:t>
      </w:r>
      <w:r w:rsidRPr="00602824">
        <w:rPr>
          <w:rStyle w:val="FootnoteReference"/>
        </w:rPr>
        <w:footnoteReference w:id="63"/>
      </w:r>
      <w:r w:rsidR="00A7738A" w:rsidRPr="00A7738A">
        <w:t xml:space="preserve"> </w:t>
      </w:r>
      <w:r w:rsidR="00EE70D6">
        <w:t>Additionally, r</w:t>
      </w:r>
      <w:r w:rsidR="00A7738A">
        <w:t xml:space="preserve">ecent data indicates that growth in hospital treatment benefits – as explored in </w:t>
      </w:r>
      <w:r w:rsidR="00A7738A">
        <w:fldChar w:fldCharType="begin"/>
      </w:r>
      <w:r w:rsidR="00A7738A">
        <w:instrText xml:space="preserve"> REF _Ref202890124 \r \h </w:instrText>
      </w:r>
      <w:r w:rsidR="00A7738A">
        <w:fldChar w:fldCharType="separate"/>
      </w:r>
      <w:r w:rsidR="00D30634">
        <w:t>2.4.4</w:t>
      </w:r>
      <w:r w:rsidR="00A7738A">
        <w:fldChar w:fldCharType="end"/>
      </w:r>
      <w:r w:rsidR="00A7738A">
        <w:t xml:space="preserve"> – are a primary driver of rising premiums.</w:t>
      </w:r>
      <w:r w:rsidR="00A7738A">
        <w:rPr>
          <w:rStyle w:val="FootnoteReference"/>
        </w:rPr>
        <w:footnoteReference w:id="64"/>
      </w:r>
      <w:r w:rsidR="00A7738A">
        <w:t xml:space="preserve"> </w:t>
      </w:r>
      <w:r w:rsidR="00A7738A" w:rsidRPr="00C358AC">
        <w:t>This reinforces the broader point that while the PL reforms are moderating device-related benefits, further system-wide strategies may be needed to manage overall health insurance cost growth.</w:t>
      </w:r>
    </w:p>
    <w:p w14:paraId="121B05CA" w14:textId="358CDDF2" w:rsidR="000002BE" w:rsidRPr="00602824" w:rsidRDefault="00A7738A" w:rsidP="00A36AA4">
      <w:r>
        <w:t xml:space="preserve">The evaluation will examine this issue in a more fulsome way in the final report. </w:t>
      </w:r>
      <w:bookmarkStart w:id="57" w:name="_Ref202205072"/>
    </w:p>
    <w:bookmarkEnd w:id="57"/>
    <w:p w14:paraId="314D3DF4" w14:textId="3A777718" w:rsidR="005A62D1" w:rsidRPr="00602824" w:rsidRDefault="005A62D1" w:rsidP="005A2742">
      <w:pPr>
        <w:pStyle w:val="Heading4"/>
      </w:pPr>
      <w:r w:rsidRPr="00602824">
        <w:t>PHI coverage has remained stable despite rising premiums</w:t>
      </w:r>
    </w:p>
    <w:p w14:paraId="578199D7" w14:textId="0229FB24" w:rsidR="00FD6455" w:rsidRPr="00602824" w:rsidRDefault="009D7681" w:rsidP="009D7681">
      <w:pPr>
        <w:rPr>
          <w:lang w:eastAsia="en-AU"/>
        </w:rPr>
      </w:pPr>
      <w:r w:rsidRPr="00602824">
        <w:rPr>
          <w:lang w:eastAsia="en-AU"/>
        </w:rPr>
        <w:t xml:space="preserve">Despite ongoing increases in premiums, PHI coverage for hospital treatment has remained steady. As shown in </w:t>
      </w:r>
      <w:r w:rsidRPr="00602824">
        <w:rPr>
          <w:lang w:eastAsia="en-AU"/>
        </w:rPr>
        <w:fldChar w:fldCharType="begin"/>
      </w:r>
      <w:r w:rsidRPr="00602824">
        <w:rPr>
          <w:lang w:eastAsia="en-AU"/>
        </w:rPr>
        <w:instrText xml:space="preserve"> REF _Ref202890351 \h </w:instrText>
      </w:r>
      <w:r w:rsidRPr="00602824">
        <w:rPr>
          <w:lang w:eastAsia="en-AU"/>
        </w:rPr>
      </w:r>
      <w:r w:rsidRPr="00602824">
        <w:rPr>
          <w:lang w:eastAsia="en-AU"/>
        </w:rPr>
        <w:fldChar w:fldCharType="separate"/>
      </w:r>
      <w:r w:rsidR="00D30634" w:rsidRPr="00602824">
        <w:t xml:space="preserve">Figure </w:t>
      </w:r>
      <w:r w:rsidR="00D30634">
        <w:rPr>
          <w:noProof/>
        </w:rPr>
        <w:t>19</w:t>
      </w:r>
      <w:r w:rsidRPr="00602824">
        <w:rPr>
          <w:lang w:eastAsia="en-AU"/>
        </w:rPr>
        <w:fldChar w:fldCharType="end"/>
      </w:r>
      <w:r w:rsidRPr="00602824">
        <w:rPr>
          <w:lang w:eastAsia="en-AU"/>
        </w:rPr>
        <w:t xml:space="preserve"> below, the proportion of the Australian population with hospital treatment PHI increased slightly – from 44.6% in June 2021 to 45.0% in June 2024.</w:t>
      </w:r>
    </w:p>
    <w:p w14:paraId="5258446E" w14:textId="093039F2" w:rsidR="00652D38" w:rsidRPr="00602824" w:rsidRDefault="009D7681" w:rsidP="009D7681">
      <w:pPr>
        <w:rPr>
          <w:lang w:eastAsia="en-AU"/>
        </w:rPr>
      </w:pPr>
      <w:r w:rsidRPr="00602824">
        <w:rPr>
          <w:lang w:eastAsia="en-AU"/>
        </w:rPr>
        <w:t>This suggests that recent cost pressures have not significantly affected overall participation in private health insurance.</w:t>
      </w:r>
      <w:r w:rsidR="008D75D9" w:rsidRPr="00602824">
        <w:rPr>
          <w:lang w:eastAsia="en-AU"/>
        </w:rPr>
        <w:t xml:space="preserve"> Stakeholders suggested </w:t>
      </w:r>
      <w:r w:rsidR="004A1EB9" w:rsidRPr="00602824">
        <w:rPr>
          <w:lang w:eastAsia="en-AU"/>
        </w:rPr>
        <w:t xml:space="preserve">that COVID-19 stabilised </w:t>
      </w:r>
      <w:r w:rsidR="00B636D7" w:rsidRPr="00602824">
        <w:rPr>
          <w:lang w:eastAsia="en-AU"/>
        </w:rPr>
        <w:t>PHI coverage after years of decline</w:t>
      </w:r>
      <w:r w:rsidR="00F32B50" w:rsidRPr="00602824">
        <w:rPr>
          <w:lang w:eastAsia="en-AU"/>
        </w:rPr>
        <w:t xml:space="preserve"> – perhaps </w:t>
      </w:r>
      <w:r w:rsidR="00EE3E7B" w:rsidRPr="00602824">
        <w:rPr>
          <w:lang w:eastAsia="en-AU"/>
        </w:rPr>
        <w:t xml:space="preserve">due to concern about public hospital access – </w:t>
      </w:r>
      <w:r w:rsidR="00FE0259" w:rsidRPr="00602824">
        <w:rPr>
          <w:lang w:eastAsia="en-AU"/>
        </w:rPr>
        <w:t>and that</w:t>
      </w:r>
      <w:r w:rsidR="001C1891" w:rsidRPr="00602824">
        <w:rPr>
          <w:lang w:eastAsia="en-AU"/>
        </w:rPr>
        <w:t xml:space="preserve"> in recent years,</w:t>
      </w:r>
      <w:r w:rsidR="00FE0259" w:rsidRPr="00602824">
        <w:rPr>
          <w:lang w:eastAsia="en-AU"/>
        </w:rPr>
        <w:t xml:space="preserve"> savings to premiums are helping consumers maintain their cover.</w:t>
      </w:r>
      <w:r w:rsidR="001C1891" w:rsidRPr="00602824">
        <w:rPr>
          <w:rStyle w:val="FootnoteReference"/>
          <w:lang w:eastAsia="en-AU"/>
        </w:rPr>
        <w:footnoteReference w:id="65"/>
      </w:r>
    </w:p>
    <w:p w14:paraId="11923B2B" w14:textId="3D3578B8" w:rsidR="001655DB" w:rsidRPr="00602824" w:rsidRDefault="001655DB" w:rsidP="00B50EE7">
      <w:pPr>
        <w:pStyle w:val="Caption"/>
      </w:pPr>
      <w:bookmarkStart w:id="58" w:name="_Ref202890351"/>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19</w:t>
      </w:r>
      <w:r w:rsidR="002604D0">
        <w:fldChar w:fldCharType="end"/>
      </w:r>
      <w:bookmarkEnd w:id="58"/>
      <w:r w:rsidRPr="00602824">
        <w:t xml:space="preserve"> | Percentage of Australian population with Hospital Treatment PHI</w:t>
      </w:r>
      <w:r w:rsidRPr="00602824">
        <w:rPr>
          <w:rStyle w:val="FootnoteReference"/>
        </w:rPr>
        <w:footnoteReference w:id="66"/>
      </w:r>
    </w:p>
    <w:p w14:paraId="31F48A35" w14:textId="77777777" w:rsidR="001655DB" w:rsidRPr="00602824" w:rsidRDefault="001655DB" w:rsidP="001655DB">
      <w:r w:rsidRPr="00AC7E3F">
        <w:rPr>
          <w:noProof/>
        </w:rPr>
        <w:drawing>
          <wp:inline distT="0" distB="0" distL="0" distR="0" wp14:anchorId="0D66E5D4" wp14:editId="5F093996">
            <wp:extent cx="5760085" cy="2971800"/>
            <wp:effectExtent l="0" t="0" r="0" b="0"/>
            <wp:docPr id="2029071065" name="Picture 1" descr="Line graph showing PHI hospital treatment coverage rate as % of Australian population,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1065" name="Picture 1" descr="Line graph showing PHI hospital treatment coverage rate as % of Australian population, 2021–2024."/>
                    <pic:cNvPicPr/>
                  </pic:nvPicPr>
                  <pic:blipFill>
                    <a:blip r:embed="rId44"/>
                    <a:stretch>
                      <a:fillRect/>
                    </a:stretch>
                  </pic:blipFill>
                  <pic:spPr>
                    <a:xfrm>
                      <a:off x="0" y="0"/>
                      <a:ext cx="5760085" cy="2971800"/>
                    </a:xfrm>
                    <a:prstGeom prst="rect">
                      <a:avLst/>
                    </a:prstGeom>
                  </pic:spPr>
                </pic:pic>
              </a:graphicData>
            </a:graphic>
          </wp:inline>
        </w:drawing>
      </w:r>
    </w:p>
    <w:p w14:paraId="4A6E81A0" w14:textId="40EF3821" w:rsidR="009749AC" w:rsidRPr="00602824" w:rsidRDefault="00452980" w:rsidP="00ED3166">
      <w:pPr>
        <w:pStyle w:val="Heading3"/>
      </w:pPr>
      <w:r w:rsidRPr="00602824">
        <w:t xml:space="preserve">Stakeholders </w:t>
      </w:r>
      <w:r w:rsidR="00940357" w:rsidRPr="00602824">
        <w:t>hold differing views on affordability and value, but agree the impact of the reforms is difficult to isolate</w:t>
      </w:r>
    </w:p>
    <w:p w14:paraId="72CFD4AC" w14:textId="52EA88EB" w:rsidR="00A66968" w:rsidRPr="00602824" w:rsidRDefault="00A66968" w:rsidP="00A66968">
      <w:pPr>
        <w:rPr>
          <w:lang w:eastAsia="en-AU"/>
        </w:rPr>
      </w:pPr>
      <w:r w:rsidRPr="00602824">
        <w:rPr>
          <w:lang w:eastAsia="en-AU"/>
        </w:rPr>
        <w:t>Stakeholders expressed mixed views on whether the PL reforms have improved the affordability or value of private health insurance. There is broad agreement, however, that the impact of the reforms on premiums is hard to separate from other cost drivers.</w:t>
      </w:r>
    </w:p>
    <w:p w14:paraId="1AD357E7" w14:textId="27B82F3B" w:rsidR="004158A2" w:rsidRPr="00602824" w:rsidRDefault="00A66968" w:rsidP="00A66968">
      <w:pPr>
        <w:rPr>
          <w:lang w:eastAsia="en-AU"/>
        </w:rPr>
      </w:pPr>
      <w:r w:rsidRPr="00602824">
        <w:rPr>
          <w:lang w:eastAsia="en-AU"/>
        </w:rPr>
        <w:t xml:space="preserve">Private hospitals and medical device </w:t>
      </w:r>
      <w:r w:rsidR="000543ED" w:rsidRPr="00602824">
        <w:rPr>
          <w:lang w:eastAsia="en-AU"/>
        </w:rPr>
        <w:t>representatives</w:t>
      </w:r>
      <w:r w:rsidRPr="00602824">
        <w:rPr>
          <w:lang w:eastAsia="en-AU"/>
        </w:rPr>
        <w:t xml:space="preserve"> </w:t>
      </w:r>
      <w:r w:rsidR="004158A2" w:rsidRPr="00602824">
        <w:rPr>
          <w:lang w:eastAsia="en-AU"/>
        </w:rPr>
        <w:t>question the extent to which i</w:t>
      </w:r>
      <w:r w:rsidRPr="00602824">
        <w:rPr>
          <w:lang w:eastAsia="en-AU"/>
        </w:rPr>
        <w:t xml:space="preserve">nsurers have </w:t>
      </w:r>
      <w:r w:rsidR="004158A2" w:rsidRPr="00602824">
        <w:rPr>
          <w:lang w:eastAsia="en-AU"/>
        </w:rPr>
        <w:t>passed</w:t>
      </w:r>
      <w:r w:rsidR="000543ED" w:rsidRPr="00602824">
        <w:rPr>
          <w:lang w:eastAsia="en-AU"/>
        </w:rPr>
        <w:t xml:space="preserve"> reform saving</w:t>
      </w:r>
      <w:r w:rsidRPr="00602824">
        <w:rPr>
          <w:lang w:eastAsia="en-AU"/>
        </w:rPr>
        <w:t xml:space="preserve"> to consumers</w:t>
      </w:r>
      <w:r w:rsidR="000543ED" w:rsidRPr="00602824">
        <w:rPr>
          <w:lang w:eastAsia="en-AU"/>
        </w:rPr>
        <w:t>, pointing to contin</w:t>
      </w:r>
      <w:r w:rsidR="001E466E" w:rsidRPr="00602824">
        <w:rPr>
          <w:lang w:eastAsia="en-AU"/>
        </w:rPr>
        <w:t>ued premium increases and rising insurer costs.</w:t>
      </w:r>
      <w:r w:rsidR="009D1F96" w:rsidRPr="00602824">
        <w:rPr>
          <w:lang w:eastAsia="en-AU"/>
        </w:rPr>
        <w:t xml:space="preserve"> </w:t>
      </w:r>
      <w:r w:rsidR="0028104B" w:rsidRPr="00602824">
        <w:rPr>
          <w:lang w:eastAsia="en-AU"/>
        </w:rPr>
        <w:t>Clinician representatives share concerns about rising premiums, while acknowledging the reforms may have modestly slowed growth.</w:t>
      </w:r>
    </w:p>
    <w:p w14:paraId="50D7C09F" w14:textId="17F6F3D7" w:rsidR="0028104B" w:rsidRPr="00602824" w:rsidRDefault="0028104B" w:rsidP="0028104B">
      <w:pPr>
        <w:rPr>
          <w:lang w:eastAsia="en-AU"/>
        </w:rPr>
      </w:pPr>
      <w:r w:rsidRPr="00602824">
        <w:rPr>
          <w:lang w:eastAsia="en-AU"/>
        </w:rPr>
        <w:t xml:space="preserve">By contrast, the </w:t>
      </w:r>
      <w:r w:rsidR="009D1F96" w:rsidRPr="00602824">
        <w:rPr>
          <w:lang w:eastAsia="en-AU"/>
        </w:rPr>
        <w:t>PHI</w:t>
      </w:r>
      <w:r w:rsidRPr="00602824">
        <w:rPr>
          <w:lang w:eastAsia="en-AU"/>
        </w:rPr>
        <w:t xml:space="preserve"> sector emphasises that </w:t>
      </w:r>
      <w:r w:rsidR="00DA57CC" w:rsidRPr="00602824">
        <w:rPr>
          <w:lang w:eastAsia="en-AU"/>
        </w:rPr>
        <w:t>medical d</w:t>
      </w:r>
      <w:r w:rsidRPr="00602824">
        <w:rPr>
          <w:lang w:eastAsia="en-AU"/>
        </w:rPr>
        <w:t>evices account for a small share of total PHI spending and that increased volumes have offset price reductions</w:t>
      </w:r>
      <w:r w:rsidR="00DA57CC" w:rsidRPr="00602824">
        <w:rPr>
          <w:lang w:eastAsia="en-AU"/>
        </w:rPr>
        <w:t xml:space="preserve"> (as explored in </w:t>
      </w:r>
      <w:r w:rsidR="000377F0">
        <w:rPr>
          <w:lang w:eastAsia="en-AU"/>
        </w:rPr>
        <w:t>Section</w:t>
      </w:r>
      <w:r w:rsidR="000377F0" w:rsidRPr="00602824">
        <w:rPr>
          <w:lang w:eastAsia="en-AU"/>
        </w:rPr>
        <w:t xml:space="preserve"> </w:t>
      </w:r>
      <w:r w:rsidR="00DA57CC" w:rsidRPr="00602824">
        <w:rPr>
          <w:lang w:eastAsia="en-AU"/>
        </w:rPr>
        <w:fldChar w:fldCharType="begin"/>
      </w:r>
      <w:r w:rsidR="00DA57CC" w:rsidRPr="00602824">
        <w:rPr>
          <w:lang w:eastAsia="en-AU"/>
        </w:rPr>
        <w:instrText xml:space="preserve"> REF _Ref202890798 \r \h </w:instrText>
      </w:r>
      <w:r w:rsidR="00DA57CC" w:rsidRPr="00602824">
        <w:rPr>
          <w:lang w:eastAsia="en-AU"/>
        </w:rPr>
      </w:r>
      <w:r w:rsidR="00DA57CC" w:rsidRPr="00602824">
        <w:rPr>
          <w:lang w:eastAsia="en-AU"/>
        </w:rPr>
        <w:fldChar w:fldCharType="separate"/>
      </w:r>
      <w:r w:rsidR="00D30634">
        <w:rPr>
          <w:lang w:eastAsia="en-AU"/>
        </w:rPr>
        <w:t>2.4.4</w:t>
      </w:r>
      <w:r w:rsidR="00DA57CC" w:rsidRPr="00602824">
        <w:rPr>
          <w:lang w:eastAsia="en-AU"/>
        </w:rPr>
        <w:fldChar w:fldCharType="end"/>
      </w:r>
      <w:r w:rsidR="00DA57CC" w:rsidRPr="00602824">
        <w:rPr>
          <w:lang w:eastAsia="en-AU"/>
        </w:rPr>
        <w:t>, above)</w:t>
      </w:r>
      <w:r w:rsidRPr="00602824">
        <w:rPr>
          <w:lang w:eastAsia="en-AU"/>
        </w:rPr>
        <w:t>. They argue this has limited any impact on premiums and support further reform to manage future cost pressures.</w:t>
      </w:r>
    </w:p>
    <w:p w14:paraId="654BBD08" w14:textId="4A1C7BF7" w:rsidR="00423169" w:rsidRPr="00602824" w:rsidRDefault="00253C24" w:rsidP="00764FA0">
      <w:pPr>
        <w:rPr>
          <w:lang w:eastAsia="en-AU"/>
        </w:rPr>
      </w:pPr>
      <w:r w:rsidRPr="00602824">
        <w:rPr>
          <w:lang w:eastAsia="en-AU"/>
        </w:rPr>
        <w:fldChar w:fldCharType="begin"/>
      </w:r>
      <w:r w:rsidRPr="00602824">
        <w:rPr>
          <w:lang w:eastAsia="en-AU"/>
        </w:rPr>
        <w:instrText xml:space="preserve"> REF _Ref202893148 \h </w:instrText>
      </w:r>
      <w:r w:rsidRPr="00602824">
        <w:rPr>
          <w:lang w:eastAsia="en-AU"/>
        </w:rPr>
      </w:r>
      <w:r w:rsidRPr="00602824">
        <w:rPr>
          <w:lang w:eastAsia="en-AU"/>
        </w:rPr>
        <w:fldChar w:fldCharType="separate"/>
      </w:r>
      <w:r w:rsidR="00D30634" w:rsidRPr="00602824">
        <w:t xml:space="preserve">Table </w:t>
      </w:r>
      <w:r w:rsidR="00D30634">
        <w:rPr>
          <w:noProof/>
        </w:rPr>
        <w:t>7</w:t>
      </w:r>
      <w:r w:rsidRPr="00602824">
        <w:rPr>
          <w:lang w:eastAsia="en-AU"/>
        </w:rPr>
        <w:fldChar w:fldCharType="end"/>
      </w:r>
      <w:r w:rsidRPr="00602824">
        <w:rPr>
          <w:lang w:eastAsia="en-AU"/>
        </w:rPr>
        <w:t xml:space="preserve"> </w:t>
      </w:r>
      <w:r w:rsidR="0028104B" w:rsidRPr="00602824">
        <w:rPr>
          <w:lang w:eastAsia="en-AU"/>
        </w:rPr>
        <w:t>below summarises these stakeholder perspectives in more detail.</w:t>
      </w:r>
    </w:p>
    <w:p w14:paraId="19B4F329" w14:textId="0DF79A94" w:rsidR="00EE3E7B" w:rsidRPr="00602824" w:rsidRDefault="00EE3E7B" w:rsidP="00B50EE7">
      <w:pPr>
        <w:pStyle w:val="Caption"/>
      </w:pPr>
      <w:bookmarkStart w:id="59" w:name="_Ref202893148"/>
      <w:r w:rsidRPr="00602824">
        <w:lastRenderedPageBreak/>
        <w:t xml:space="preserve">Table </w:t>
      </w:r>
      <w:r w:rsidR="002604D0">
        <w:fldChar w:fldCharType="begin"/>
      </w:r>
      <w:r w:rsidR="002604D0">
        <w:instrText xml:space="preserve"> SEQ Table \* ARABIC </w:instrText>
      </w:r>
      <w:r w:rsidR="002604D0">
        <w:fldChar w:fldCharType="separate"/>
      </w:r>
      <w:r w:rsidR="00D30634">
        <w:rPr>
          <w:noProof/>
        </w:rPr>
        <w:t>7</w:t>
      </w:r>
      <w:r w:rsidR="002604D0">
        <w:fldChar w:fldCharType="end"/>
      </w:r>
      <w:bookmarkEnd w:id="59"/>
      <w:r w:rsidRPr="00602824">
        <w:t xml:space="preserve"> | Stakeholder perspectives on the affordability and value of private health insurance</w:t>
      </w:r>
      <w:r w:rsidR="00C75680" w:rsidRPr="00602824">
        <w:rPr>
          <w:rStyle w:val="FootnoteReference"/>
        </w:rPr>
        <w:footnoteReference w:id="67"/>
      </w:r>
    </w:p>
    <w:tbl>
      <w:tblPr>
        <w:tblStyle w:val="NOUS1"/>
        <w:tblW w:w="0" w:type="auto"/>
        <w:tblLook w:val="04A0" w:firstRow="1" w:lastRow="0" w:firstColumn="1" w:lastColumn="0" w:noHBand="0" w:noVBand="1"/>
      </w:tblPr>
      <w:tblGrid>
        <w:gridCol w:w="2252"/>
        <w:gridCol w:w="6819"/>
      </w:tblGrid>
      <w:tr w:rsidR="00253C24" w:rsidRPr="00602824" w14:paraId="02BDEB83" w14:textId="77777777" w:rsidTr="00253C24">
        <w:trPr>
          <w:cnfStyle w:val="100000000000" w:firstRow="1" w:lastRow="0" w:firstColumn="0" w:lastColumn="0" w:oddVBand="0" w:evenVBand="0" w:oddHBand="0" w:evenHBand="0" w:firstRowFirstColumn="0" w:firstRowLastColumn="0" w:lastRowFirstColumn="0" w:lastRowLastColumn="0"/>
        </w:trPr>
        <w:tc>
          <w:tcPr>
            <w:tcW w:w="2268" w:type="dxa"/>
          </w:tcPr>
          <w:p w14:paraId="67FF1291" w14:textId="77777777" w:rsidR="00253C24" w:rsidRPr="00602824" w:rsidRDefault="00253C24" w:rsidP="00FB712C">
            <w:pPr>
              <w:pStyle w:val="TableNheader"/>
              <w:spacing w:before="60" w:after="60" w:line="240" w:lineRule="auto"/>
              <w:jc w:val="center"/>
            </w:pPr>
            <w:r w:rsidRPr="00602824">
              <w:t>Stakeholder group</w:t>
            </w:r>
          </w:p>
        </w:tc>
        <w:tc>
          <w:tcPr>
            <w:tcW w:w="6917" w:type="dxa"/>
          </w:tcPr>
          <w:p w14:paraId="3F783CB6" w14:textId="77777777" w:rsidR="00253C24" w:rsidRPr="00602824" w:rsidRDefault="00253C24" w:rsidP="00FB712C">
            <w:pPr>
              <w:pStyle w:val="TableNheader"/>
              <w:spacing w:before="60" w:after="60" w:line="240" w:lineRule="auto"/>
            </w:pPr>
            <w:r w:rsidRPr="00602824">
              <w:t>Perspectives on reform project</w:t>
            </w:r>
          </w:p>
        </w:tc>
      </w:tr>
      <w:tr w:rsidR="00253C24" w:rsidRPr="00602824" w14:paraId="12AD3A63" w14:textId="77777777" w:rsidTr="00253C24">
        <w:tc>
          <w:tcPr>
            <w:tcW w:w="2268" w:type="dxa"/>
            <w:shd w:val="clear" w:color="auto" w:fill="00264D" w:themeFill="background2"/>
          </w:tcPr>
          <w:p w14:paraId="4B00A874" w14:textId="77777777" w:rsidR="00253C24" w:rsidRPr="00602824" w:rsidRDefault="00253C24" w:rsidP="00FB712C">
            <w:pPr>
              <w:pStyle w:val="TableNheader"/>
              <w:spacing w:before="60" w:after="60" w:line="240" w:lineRule="auto"/>
              <w:jc w:val="center"/>
              <w:rPr>
                <w:color w:val="FFFFFF" w:themeColor="background1"/>
              </w:rPr>
            </w:pPr>
            <w:r w:rsidRPr="00602824">
              <w:rPr>
                <w:color w:val="FFFFFF" w:themeColor="background1"/>
              </w:rPr>
              <w:t>Private hospital sector</w:t>
            </w:r>
          </w:p>
          <w:p w14:paraId="275F752C" w14:textId="77777777" w:rsidR="00253C24" w:rsidRPr="00602824" w:rsidRDefault="00253C24" w:rsidP="00FB712C">
            <w:pPr>
              <w:pStyle w:val="TableNheader"/>
              <w:spacing w:before="60" w:after="60" w:line="240" w:lineRule="auto"/>
              <w:jc w:val="center"/>
              <w:rPr>
                <w:color w:val="FFFFFF" w:themeColor="background1"/>
              </w:rPr>
            </w:pPr>
            <w:r w:rsidRPr="00AC7E3F">
              <w:rPr>
                <w:i/>
                <w:iCs/>
                <w:noProof/>
              </w:rPr>
              <mc:AlternateContent>
                <mc:Choice Requires="wps">
                  <w:drawing>
                    <wp:inline distT="0" distB="0" distL="0" distR="0" wp14:anchorId="0383F13D" wp14:editId="77CA745E">
                      <wp:extent cx="320633" cy="314696"/>
                      <wp:effectExtent l="0" t="0" r="3810" b="9525"/>
                      <wp:docPr id="300068070" name="Freeform: Shape 300068070"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300068070"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662887F8">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141EF0E1" w14:textId="77777777" w:rsidR="00253C24" w:rsidRPr="00602824" w:rsidRDefault="00253C24" w:rsidP="00DB3342">
            <w:pPr>
              <w:pStyle w:val="TableNBullet"/>
              <w:spacing w:before="60" w:after="60"/>
            </w:pPr>
            <w:r w:rsidRPr="00602824">
              <w:t>Hospital representatives acknowledged that the PL reforms aimed to reduce private health insurance (PHI) premiums by lowering benefits paid for medical devices. While they recognised that insurers have benefited from reductions in PL benefit outlays – particularly for high-use categories – they questioned whether these savings have been meaningfully passed on to consumers in the form of lower premiums or improved coverage.</w:t>
            </w:r>
          </w:p>
          <w:p w14:paraId="020B9DB1" w14:textId="77777777" w:rsidR="00253C24" w:rsidRPr="00602824" w:rsidRDefault="00253C24" w:rsidP="00DB3342">
            <w:pPr>
              <w:pStyle w:val="TableNBullet"/>
              <w:spacing w:before="60" w:after="60"/>
            </w:pPr>
            <w:r w:rsidRPr="00602824">
              <w:t>They note that PHI premiums and insurer costs have continued to increase year-on-year, raising concerns about whether consumers are receiving value for money.</w:t>
            </w:r>
          </w:p>
        </w:tc>
      </w:tr>
      <w:tr w:rsidR="00253C24" w:rsidRPr="00602824" w14:paraId="500FB0BA" w14:textId="77777777" w:rsidTr="00253C24">
        <w:tc>
          <w:tcPr>
            <w:tcW w:w="2268" w:type="dxa"/>
            <w:shd w:val="clear" w:color="auto" w:fill="00264D" w:themeFill="background2"/>
          </w:tcPr>
          <w:p w14:paraId="1AA5AC74" w14:textId="77777777" w:rsidR="00253C24" w:rsidRPr="00602824" w:rsidRDefault="00253C24" w:rsidP="00FB712C">
            <w:pPr>
              <w:pStyle w:val="TableNheader"/>
              <w:spacing w:before="60" w:after="60" w:line="240" w:lineRule="auto"/>
              <w:jc w:val="center"/>
              <w:rPr>
                <w:color w:val="FFFFFF" w:themeColor="background1"/>
              </w:rPr>
            </w:pPr>
            <w:r w:rsidRPr="00602824">
              <w:rPr>
                <w:color w:val="FFFFFF" w:themeColor="background1"/>
              </w:rPr>
              <w:t>Private health insurance representatives</w:t>
            </w:r>
          </w:p>
          <w:p w14:paraId="7FCF6312" w14:textId="77777777" w:rsidR="00253C24" w:rsidRPr="00602824" w:rsidRDefault="00253C24" w:rsidP="00FB712C">
            <w:pPr>
              <w:pStyle w:val="TableNheader"/>
              <w:spacing w:before="60" w:after="60" w:line="240" w:lineRule="auto"/>
              <w:jc w:val="center"/>
              <w:rPr>
                <w:color w:val="FFFFFF" w:themeColor="background1"/>
              </w:rPr>
            </w:pPr>
            <w:r w:rsidRPr="00AC7E3F">
              <w:rPr>
                <w:i/>
                <w:iCs/>
                <w:noProof/>
              </w:rPr>
              <mc:AlternateContent>
                <mc:Choice Requires="wps">
                  <w:drawing>
                    <wp:inline distT="0" distB="0" distL="0" distR="0" wp14:anchorId="2CDF37BB" wp14:editId="0A69C4E6">
                      <wp:extent cx="292311" cy="292311"/>
                      <wp:effectExtent l="0" t="0" r="0" b="0"/>
                      <wp:docPr id="495593719" name="Freeform: Shape 495593719"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495593719"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698D7FF1">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5218A745" w14:textId="77777777" w:rsidR="00253C24" w:rsidRPr="00602824" w:rsidRDefault="00253C24" w:rsidP="00DB3342">
            <w:pPr>
              <w:pStyle w:val="TableNBullet"/>
              <w:spacing w:before="60" w:after="60"/>
            </w:pPr>
            <w:r w:rsidRPr="00602824">
              <w:t>Insurer representatives reported that since the MOU commenced, both the average cost of medical devices per insured person and overall medical device expenditure have increased.</w:t>
            </w:r>
          </w:p>
          <w:p w14:paraId="16D5D41E" w14:textId="77777777" w:rsidR="00253C24" w:rsidRPr="00602824" w:rsidRDefault="00253C24" w:rsidP="00DB3342">
            <w:pPr>
              <w:pStyle w:val="TableNBullet"/>
              <w:spacing w:before="60" w:after="60"/>
            </w:pPr>
            <w:r w:rsidRPr="00602824">
              <w:t>While medical devices represent a small share of total PHI spending, insurers argued that savings from price reductions have been offset by rising utilisation.</w:t>
            </w:r>
          </w:p>
          <w:p w14:paraId="24373268" w14:textId="77777777" w:rsidR="00253C24" w:rsidRPr="00602824" w:rsidRDefault="00253C24" w:rsidP="00DB3342">
            <w:pPr>
              <w:pStyle w:val="TableNBullet"/>
              <w:spacing w:before="60" w:after="60"/>
            </w:pPr>
            <w:r w:rsidRPr="00602824">
              <w:t>Despite this, they emphasised the importance of continued reform to support a viable PHI market. They noted that further changes to PL pricing could ease premium pressure and help reduce the risk of people dropping their coverage.</w:t>
            </w:r>
          </w:p>
          <w:p w14:paraId="74957966" w14:textId="77777777" w:rsidR="00253C24" w:rsidRPr="00602824" w:rsidRDefault="00253C24" w:rsidP="00DB3342">
            <w:pPr>
              <w:pStyle w:val="TableNBullet"/>
              <w:spacing w:before="60" w:after="60"/>
            </w:pPr>
            <w:r w:rsidRPr="00602824">
              <w:t>Insurers pointed to early signs that pricing reforms are beginning to yield savings. In 2024, the average cost of medical devices per episode declined from $480 to $478, generating savings of approximately $13 million, which they reported was passed on to members through premium adjustments.</w:t>
            </w:r>
          </w:p>
          <w:p w14:paraId="255F320C" w14:textId="7C64403F" w:rsidR="00253C24" w:rsidRPr="00602824" w:rsidRDefault="00253C24" w:rsidP="00DB3342">
            <w:pPr>
              <w:pStyle w:val="TableNBullet"/>
              <w:spacing w:before="60" w:after="60"/>
            </w:pPr>
            <w:r w:rsidRPr="00602824">
              <w:t xml:space="preserve">They argued that it is unsustainable to expect medical device savings to drive lower premiums when </w:t>
            </w:r>
            <w:r w:rsidR="00C972F9" w:rsidRPr="00602824">
              <w:t xml:space="preserve">total spending on </w:t>
            </w:r>
            <w:r w:rsidRPr="00602824">
              <w:t xml:space="preserve">devices </w:t>
            </w:r>
            <w:r w:rsidR="00CA642F" w:rsidRPr="00602824">
              <w:t xml:space="preserve">is </w:t>
            </w:r>
            <w:r w:rsidR="00EB2C4F" w:rsidRPr="00602824">
              <w:t>more</w:t>
            </w:r>
            <w:r w:rsidRPr="00602824">
              <w:t xml:space="preserve"> than before the MOU commenced.</w:t>
            </w:r>
          </w:p>
        </w:tc>
      </w:tr>
      <w:tr w:rsidR="00253C24" w:rsidRPr="00602824" w14:paraId="6B444AE2" w14:textId="77777777" w:rsidTr="00253C24">
        <w:tc>
          <w:tcPr>
            <w:tcW w:w="2268" w:type="dxa"/>
            <w:shd w:val="clear" w:color="auto" w:fill="00264D" w:themeFill="background2"/>
          </w:tcPr>
          <w:p w14:paraId="04FBBC85" w14:textId="77777777" w:rsidR="00253C24" w:rsidRPr="00602824" w:rsidRDefault="00253C24" w:rsidP="00FB712C">
            <w:pPr>
              <w:pStyle w:val="TableNheader"/>
              <w:spacing w:before="60" w:after="60" w:line="240" w:lineRule="auto"/>
              <w:jc w:val="center"/>
              <w:rPr>
                <w:color w:val="FFFFFF" w:themeColor="background1"/>
              </w:rPr>
            </w:pPr>
            <w:r w:rsidRPr="00602824">
              <w:rPr>
                <w:color w:val="FFFFFF" w:themeColor="background1"/>
              </w:rPr>
              <w:t>Medical technology representatives</w:t>
            </w:r>
          </w:p>
          <w:p w14:paraId="55F98F6F" w14:textId="77777777" w:rsidR="00253C24" w:rsidRPr="00602824" w:rsidRDefault="00253C24" w:rsidP="00FB712C">
            <w:pPr>
              <w:pStyle w:val="TableNheader"/>
              <w:spacing w:before="60" w:after="60" w:line="240" w:lineRule="auto"/>
              <w:jc w:val="center"/>
              <w:rPr>
                <w:color w:val="FFFFFF" w:themeColor="background1"/>
              </w:rPr>
            </w:pPr>
            <w:r w:rsidRPr="00AC7E3F">
              <w:rPr>
                <w:i/>
                <w:iCs/>
                <w:noProof/>
              </w:rPr>
              <w:drawing>
                <wp:inline distT="0" distB="0" distL="0" distR="0" wp14:anchorId="16B3555E" wp14:editId="78DEB842">
                  <wp:extent cx="309245" cy="336734"/>
                  <wp:effectExtent l="0" t="0" r="0" b="6350"/>
                  <wp:docPr id="1465317275" name="Graphic 1465317275"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6200765B" w14:textId="77777777" w:rsidR="00253C24" w:rsidRPr="00602824" w:rsidRDefault="00253C24" w:rsidP="00DB3342">
            <w:pPr>
              <w:pStyle w:val="TableNBullet"/>
              <w:spacing w:before="60" w:after="60"/>
            </w:pPr>
            <w:r w:rsidRPr="00602824">
              <w:t>Industry representatives argued that PL savings have been offset by increases in insurer costs. They claimed that PL benefit reductions have been the only meaningful downward pressure on premiums.</w:t>
            </w:r>
          </w:p>
          <w:p w14:paraId="46C96384" w14:textId="77777777" w:rsidR="00253C24" w:rsidRPr="00602824" w:rsidRDefault="00253C24" w:rsidP="00DB3342">
            <w:pPr>
              <w:pStyle w:val="TableNBullet"/>
              <w:spacing w:before="60" w:after="60"/>
            </w:pPr>
            <w:r w:rsidRPr="00602824">
              <w:t>Since the COVID-19 pandemic, PHI participation has risen and then stabilised after a long period of decline. Industry attributed this trend partly to consumer concerns about access to public hospitals.</w:t>
            </w:r>
          </w:p>
          <w:p w14:paraId="36FB8C5B" w14:textId="77777777" w:rsidR="00253C24" w:rsidRPr="00602824" w:rsidRDefault="00253C24" w:rsidP="00DB3342">
            <w:pPr>
              <w:pStyle w:val="TableNBullet"/>
              <w:spacing w:before="60" w:after="60"/>
            </w:pPr>
            <w:r w:rsidRPr="00602824">
              <w:t>They suggested that lower premium increases in the early 2020s were supported by PL-related savings, which may have helped maintain PHI coverage despite broader affordability pressures.</w:t>
            </w:r>
          </w:p>
        </w:tc>
      </w:tr>
      <w:tr w:rsidR="00253C24" w:rsidRPr="00602824" w14:paraId="6933CE73" w14:textId="77777777" w:rsidTr="00253C24">
        <w:tc>
          <w:tcPr>
            <w:tcW w:w="2268" w:type="dxa"/>
            <w:shd w:val="clear" w:color="auto" w:fill="00264D" w:themeFill="background2"/>
          </w:tcPr>
          <w:p w14:paraId="35F9B969" w14:textId="77777777" w:rsidR="00253C24" w:rsidRPr="00602824" w:rsidRDefault="00253C24" w:rsidP="00FB712C">
            <w:pPr>
              <w:pStyle w:val="TableNheader"/>
              <w:spacing w:before="60" w:after="60" w:line="240" w:lineRule="auto"/>
              <w:jc w:val="center"/>
              <w:rPr>
                <w:color w:val="FFFFFF" w:themeColor="background1"/>
              </w:rPr>
            </w:pPr>
            <w:r w:rsidRPr="00602824">
              <w:rPr>
                <w:color w:val="FFFFFF" w:themeColor="background1"/>
              </w:rPr>
              <w:t>Clinician representatives</w:t>
            </w:r>
          </w:p>
          <w:p w14:paraId="78CCF20B" w14:textId="77777777" w:rsidR="00253C24" w:rsidRPr="00602824" w:rsidRDefault="00253C24" w:rsidP="00FB712C">
            <w:pPr>
              <w:pStyle w:val="TableNheader"/>
              <w:spacing w:before="60" w:after="60" w:line="240" w:lineRule="auto"/>
              <w:jc w:val="center"/>
              <w:rPr>
                <w:color w:val="FFFFFF" w:themeColor="background1"/>
              </w:rPr>
            </w:pPr>
            <w:r w:rsidRPr="00AC7E3F">
              <w:rPr>
                <w:noProof/>
              </w:rPr>
              <w:drawing>
                <wp:inline distT="0" distB="0" distL="0" distR="0" wp14:anchorId="134FB643" wp14:editId="740FEC99">
                  <wp:extent cx="267970" cy="323215"/>
                  <wp:effectExtent l="0" t="0" r="0" b="635"/>
                  <wp:docPr id="1550509314"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696E845C" w14:textId="77777777" w:rsidR="00253C24" w:rsidRPr="00602824" w:rsidRDefault="00253C24" w:rsidP="00DB3342">
            <w:pPr>
              <w:pStyle w:val="TableNBullet"/>
              <w:spacing w:before="60" w:after="60"/>
            </w:pPr>
            <w:r w:rsidRPr="00602824">
              <w:t>Clinicians suggested that PHI premiums continue to rise due to increasing claim costs and insurer costs.</w:t>
            </w:r>
          </w:p>
          <w:p w14:paraId="4FD89AB5" w14:textId="77777777" w:rsidR="00253C24" w:rsidRPr="00602824" w:rsidRDefault="00253C24" w:rsidP="00DB3342">
            <w:pPr>
              <w:pStyle w:val="TableNBullet"/>
              <w:spacing w:before="60" w:after="60"/>
            </w:pPr>
            <w:r w:rsidRPr="00602824">
              <w:t>They observed that while PL device costs per service have declined, these savings have not translated into lower PHI premiums and have only marginally constrained premium growth.</w:t>
            </w:r>
          </w:p>
          <w:p w14:paraId="43B3F110" w14:textId="77777777" w:rsidR="00253C24" w:rsidRPr="00602824" w:rsidRDefault="00253C24" w:rsidP="00DB3342">
            <w:pPr>
              <w:pStyle w:val="TableNBullet"/>
              <w:spacing w:before="60" w:after="60"/>
            </w:pPr>
            <w:r w:rsidRPr="00602824">
              <w:t>Clinicians noted that PHI coverage declined for five years prior to the pandemic but has since increased. They attributed this shift primarily to consumer concern about public hospital access, rather than perceptions of better value from private health insurance.</w:t>
            </w:r>
          </w:p>
        </w:tc>
      </w:tr>
    </w:tbl>
    <w:p w14:paraId="2CDD9066" w14:textId="77777777" w:rsidR="00C75680" w:rsidRPr="00602824" w:rsidRDefault="00C75680" w:rsidP="005C0635">
      <w:bookmarkStart w:id="60" w:name="_Toc164439319"/>
      <w:bookmarkStart w:id="61" w:name="_Toc181405086"/>
    </w:p>
    <w:p w14:paraId="22DD650D" w14:textId="4BEF0D49" w:rsidR="00770EE4" w:rsidRPr="00602824" w:rsidRDefault="00770EE4" w:rsidP="00770EE4">
      <w:pPr>
        <w:pStyle w:val="Heading2"/>
      </w:pPr>
      <w:bookmarkStart w:id="62" w:name="_Toc209176972"/>
      <w:r w:rsidRPr="00602824">
        <w:lastRenderedPageBreak/>
        <w:t>Objective 5: Clarify the purpose, definition and scope of the PL in legislation</w:t>
      </w:r>
      <w:bookmarkEnd w:id="60"/>
      <w:bookmarkEnd w:id="61"/>
      <w:bookmarkEnd w:id="62"/>
    </w:p>
    <w:p w14:paraId="227A7399" w14:textId="679EA2B3" w:rsidR="00770EE4" w:rsidRPr="00602824" w:rsidRDefault="00770EE4" w:rsidP="00770EE4">
      <w:pPr>
        <w:rPr>
          <w:i/>
          <w:iCs/>
          <w:lang w:eastAsia="en-AU"/>
        </w:rPr>
      </w:pPr>
      <w:r w:rsidRPr="00602824">
        <w:rPr>
          <w:i/>
          <w:iCs/>
          <w:lang w:eastAsia="en-AU"/>
        </w:rPr>
        <w:t xml:space="preserve">This section considers legislative changes in support of the PL’s defined purpose and scope, implementation of </w:t>
      </w:r>
      <w:r w:rsidR="008B665E" w:rsidRPr="00602824">
        <w:rPr>
          <w:i/>
          <w:iCs/>
          <w:lang w:eastAsia="en-AU"/>
        </w:rPr>
        <w:t xml:space="preserve">a </w:t>
      </w:r>
      <w:r w:rsidRPr="00602824">
        <w:rPr>
          <w:i/>
          <w:iCs/>
          <w:lang w:eastAsia="en-AU"/>
        </w:rPr>
        <w:t xml:space="preserve">new grouping structure and implementation of </w:t>
      </w:r>
      <w:r w:rsidR="00467A9D" w:rsidRPr="00602824">
        <w:rPr>
          <w:i/>
          <w:iCs/>
          <w:lang w:eastAsia="en-AU"/>
        </w:rPr>
        <w:t>alternative funding arrangements</w:t>
      </w:r>
      <w:r w:rsidRPr="00602824">
        <w:rPr>
          <w:i/>
          <w:iCs/>
          <w:lang w:eastAsia="en-AU"/>
        </w:rPr>
        <w:t xml:space="preserve"> </w:t>
      </w:r>
      <w:r w:rsidR="00467A9D" w:rsidRPr="00602824">
        <w:rPr>
          <w:i/>
          <w:iCs/>
          <w:lang w:eastAsia="en-AU"/>
        </w:rPr>
        <w:t>for</w:t>
      </w:r>
      <w:r w:rsidRPr="00602824">
        <w:rPr>
          <w:i/>
          <w:iCs/>
          <w:lang w:eastAsia="en-AU"/>
        </w:rPr>
        <w:t xml:space="preserve"> GUIs. </w:t>
      </w:r>
    </w:p>
    <w:p w14:paraId="4EB1802F" w14:textId="68A27F18" w:rsidR="00770EE4" w:rsidRPr="00602824" w:rsidRDefault="00770EE4" w:rsidP="00B50EE7">
      <w:pPr>
        <w:pStyle w:val="Caption"/>
        <w:rPr>
          <w:lang w:eastAsia="en-AU"/>
        </w:rPr>
      </w:pPr>
      <w:r w:rsidRPr="00602824">
        <w:t xml:space="preserve">Figure </w:t>
      </w:r>
      <w:r w:rsidR="002604D0">
        <w:fldChar w:fldCharType="begin"/>
      </w:r>
      <w:r w:rsidR="002604D0">
        <w:instrText xml:space="preserve"> SEQ Figure \* ARABIC </w:instrText>
      </w:r>
      <w:r w:rsidR="002604D0">
        <w:fldChar w:fldCharType="separate"/>
      </w:r>
      <w:r w:rsidR="00D30634">
        <w:rPr>
          <w:noProof/>
        </w:rPr>
        <w:t>20</w:t>
      </w:r>
      <w:r w:rsidR="002604D0">
        <w:fldChar w:fldCharType="end"/>
      </w:r>
      <w:r w:rsidRPr="00602824">
        <w:t xml:space="preserve"> | Reform projects related to reform objective 5</w:t>
      </w:r>
    </w:p>
    <w:p w14:paraId="0A8F6F7B" w14:textId="77777777" w:rsidR="00770EE4" w:rsidRPr="00602824" w:rsidRDefault="00770EE4" w:rsidP="00770EE4">
      <w:pPr>
        <w:rPr>
          <w:lang w:eastAsia="en-AU"/>
        </w:rPr>
      </w:pPr>
      <w:r w:rsidRPr="00AC7E3F">
        <w:rPr>
          <w:noProof/>
        </w:rPr>
        <w:drawing>
          <wp:inline distT="0" distB="0" distL="0" distR="0" wp14:anchorId="1749DD30" wp14:editId="07B730C4">
            <wp:extent cx="5795158" cy="1057795"/>
            <wp:effectExtent l="0" t="0" r="0" b="9525"/>
            <wp:docPr id="468360584" name="Picture 1" descr="A figure showing Objective 5. Purpose, definition and scope of the PL connected to three reform projects. The projects are clarifying the scope and definition in legislation, regrouping of the PL, and review general us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60584" name="Picture 1" descr="A figure showing Objective 5. Purpose, definition and scope of the PL connected to three reform projects. The projects are clarifying the scope and definition in legislation, regrouping of the PL, and review general use items."/>
                    <pic:cNvPicPr/>
                  </pic:nvPicPr>
                  <pic:blipFill>
                    <a:blip r:embed="rId45">
                      <a:extLst>
                        <a:ext uri="{28A0092B-C50C-407E-A947-70E740481C1C}">
                          <a14:useLocalDpi xmlns:a14="http://schemas.microsoft.com/office/drawing/2010/main" val="0"/>
                        </a:ext>
                      </a:extLst>
                    </a:blip>
                    <a:stretch>
                      <a:fillRect/>
                    </a:stretch>
                  </pic:blipFill>
                  <pic:spPr>
                    <a:xfrm>
                      <a:off x="0" y="0"/>
                      <a:ext cx="5812298" cy="1060924"/>
                    </a:xfrm>
                    <a:prstGeom prst="rect">
                      <a:avLst/>
                    </a:prstGeom>
                  </pic:spPr>
                </pic:pic>
              </a:graphicData>
            </a:graphic>
          </wp:inline>
        </w:drawing>
      </w:r>
    </w:p>
    <w:p w14:paraId="5AABFBEB" w14:textId="5E207FF1" w:rsidR="00C56B41" w:rsidRPr="00602824" w:rsidRDefault="00576711" w:rsidP="00FB712C">
      <w:pPr>
        <w:spacing w:before="240"/>
        <w:rPr>
          <w:lang w:eastAsia="en-AU"/>
        </w:rPr>
      </w:pPr>
      <w:r w:rsidRPr="00602824">
        <w:rPr>
          <w:lang w:eastAsia="en-AU"/>
        </w:rPr>
        <w:t xml:space="preserve">The three </w:t>
      </w:r>
      <w:r w:rsidRPr="00602824">
        <w:t>reform</w:t>
      </w:r>
      <w:r w:rsidRPr="00602824">
        <w:rPr>
          <w:lang w:eastAsia="en-AU"/>
        </w:rPr>
        <w:t xml:space="preserve"> projects</w:t>
      </w:r>
      <w:r w:rsidR="00F91D29" w:rsidRPr="00602824">
        <w:rPr>
          <w:lang w:eastAsia="en-AU"/>
        </w:rPr>
        <w:t xml:space="preserve"> design</w:t>
      </w:r>
      <w:r w:rsidR="006F43FD" w:rsidRPr="00602824">
        <w:rPr>
          <w:lang w:eastAsia="en-AU"/>
        </w:rPr>
        <w:t>ed</w:t>
      </w:r>
      <w:r w:rsidR="00F91D29" w:rsidRPr="00602824">
        <w:rPr>
          <w:lang w:eastAsia="en-AU"/>
        </w:rPr>
        <w:t xml:space="preserve"> to achieve this objective </w:t>
      </w:r>
      <w:r w:rsidRPr="00602824">
        <w:rPr>
          <w:lang w:eastAsia="en-AU"/>
        </w:rPr>
        <w:t>discussed</w:t>
      </w:r>
      <w:r w:rsidR="00F91D29" w:rsidRPr="00602824">
        <w:rPr>
          <w:lang w:eastAsia="en-AU"/>
        </w:rPr>
        <w:t xml:space="preserve"> with separately below.</w:t>
      </w:r>
    </w:p>
    <w:p w14:paraId="317366F7" w14:textId="39B0B725" w:rsidR="002C7C53" w:rsidRPr="00602824" w:rsidRDefault="0051654C" w:rsidP="00FB712C">
      <w:pPr>
        <w:pStyle w:val="Heading3"/>
        <w:spacing w:before="300"/>
      </w:pPr>
      <w:r w:rsidRPr="00602824">
        <w:t>Implementation progress</w:t>
      </w:r>
      <w:r w:rsidR="00576711" w:rsidRPr="00602824">
        <w:t xml:space="preserve"> (a)</w:t>
      </w:r>
      <w:r w:rsidRPr="00602824">
        <w:t>: clarifying scope and definition in legislation</w:t>
      </w:r>
    </w:p>
    <w:tbl>
      <w:tblPr>
        <w:tblStyle w:val="NOUSSideHeader5"/>
        <w:tblW w:w="0" w:type="auto"/>
        <w:tblLook w:val="04A0" w:firstRow="1" w:lastRow="0" w:firstColumn="1" w:lastColumn="0" w:noHBand="0" w:noVBand="1"/>
      </w:tblPr>
      <w:tblGrid>
        <w:gridCol w:w="9041"/>
      </w:tblGrid>
      <w:tr w:rsidR="0021018C" w:rsidRPr="00602824" w14:paraId="43EBC2E1" w14:textId="77777777" w:rsidTr="00F03693">
        <w:trPr>
          <w:cnfStyle w:val="100000000000" w:firstRow="1" w:lastRow="0" w:firstColumn="0" w:lastColumn="0" w:oddVBand="0" w:evenVBand="0" w:oddHBand="0" w:evenHBand="0" w:firstRowFirstColumn="0" w:firstRowLastColumn="0" w:lastRowFirstColumn="0" w:lastRowLastColumn="0"/>
        </w:trPr>
        <w:tc>
          <w:tcPr>
            <w:tcW w:w="9041" w:type="dxa"/>
          </w:tcPr>
          <w:p w14:paraId="1978CAF8" w14:textId="705CAD20" w:rsidR="00453007" w:rsidRPr="00602824" w:rsidRDefault="0051654C" w:rsidP="00453007">
            <w:bookmarkStart w:id="63" w:name="_Hlk201652854"/>
            <w:r w:rsidRPr="00602824">
              <w:t>At baseline, the PL lacked clear scope and a legislative definition of ‘prostheses’, allowing items</w:t>
            </w:r>
            <w:r w:rsidR="00D95F9D" w:rsidRPr="00602824">
              <w:t xml:space="preserve"> </w:t>
            </w:r>
            <w:r w:rsidR="001A7D46" w:rsidRPr="00602824">
              <w:t xml:space="preserve">that </w:t>
            </w:r>
            <w:r w:rsidR="00D95F9D" w:rsidRPr="00602824">
              <w:t>may be</w:t>
            </w:r>
            <w:r w:rsidRPr="00602824">
              <w:t xml:space="preserve"> better suited to other funding mechanisms to be listed.</w:t>
            </w:r>
            <w:r w:rsidR="00D95F9D" w:rsidRPr="00602824">
              <w:t xml:space="preserve"> As outlined in</w:t>
            </w:r>
            <w:r w:rsidR="00B0280E" w:rsidRPr="00602824">
              <w:t xml:space="preserve"> </w:t>
            </w:r>
            <w:r w:rsidR="00B0280E" w:rsidRPr="00602824">
              <w:rPr>
                <w:rFonts w:asciiTheme="minorHAnsi" w:hAnsiTheme="minorHAnsi" w:cstheme="minorHAnsi"/>
                <w:i/>
                <w:iCs/>
              </w:rPr>
              <w:t>the</w:t>
            </w:r>
            <w:r w:rsidR="00D95F9D" w:rsidRPr="00602824">
              <w:rPr>
                <w:rFonts w:asciiTheme="minorHAnsi" w:hAnsiTheme="minorHAnsi" w:cstheme="minorHAnsi"/>
                <w:i/>
              </w:rPr>
              <w:t xml:space="preserve"> Interim Evaluation </w:t>
            </w:r>
            <w:r w:rsidR="00B0280E" w:rsidRPr="00602824">
              <w:rPr>
                <w:rFonts w:asciiTheme="minorHAnsi" w:hAnsiTheme="minorHAnsi" w:cstheme="minorHAnsi"/>
                <w:i/>
                <w:iCs/>
              </w:rPr>
              <w:t>#</w:t>
            </w:r>
            <w:r w:rsidR="00D95F9D" w:rsidRPr="00602824">
              <w:rPr>
                <w:rFonts w:asciiTheme="minorHAnsi" w:hAnsiTheme="minorHAnsi" w:cstheme="minorHAnsi"/>
                <w:i/>
              </w:rPr>
              <w:t>1</w:t>
            </w:r>
            <w:r w:rsidR="00B0280E" w:rsidRPr="00602824">
              <w:rPr>
                <w:rFonts w:asciiTheme="minorHAnsi" w:hAnsiTheme="minorHAnsi" w:cstheme="minorHAnsi"/>
                <w:i/>
                <w:iCs/>
              </w:rPr>
              <w:t xml:space="preserve"> report</w:t>
            </w:r>
            <w:r w:rsidR="00D95F9D" w:rsidRPr="00602824">
              <w:rPr>
                <w:rFonts w:asciiTheme="minorHAnsi" w:hAnsiTheme="minorHAnsi" w:cstheme="minorHAnsi"/>
              </w:rPr>
              <w:t xml:space="preserve">, </w:t>
            </w:r>
            <w:r w:rsidR="001A7D46" w:rsidRPr="00602824">
              <w:rPr>
                <w:rFonts w:asciiTheme="minorHAnsi" w:hAnsiTheme="minorHAnsi" w:cstheme="minorHAnsi"/>
              </w:rPr>
              <w:t xml:space="preserve">amendments were made to the PHI Act in 2023. This included renaming the list, replacing the use of ‘prostheses’ with ‘medical devices’, </w:t>
            </w:r>
            <w:r w:rsidR="003F1964" w:rsidRPr="00602824">
              <w:rPr>
                <w:rFonts w:asciiTheme="minorHAnsi" w:hAnsiTheme="minorHAnsi" w:cstheme="minorHAnsi"/>
              </w:rPr>
              <w:t>inserting</w:t>
            </w:r>
            <w:r w:rsidR="001A7D46" w:rsidRPr="00602824">
              <w:rPr>
                <w:rFonts w:asciiTheme="minorHAnsi" w:hAnsiTheme="minorHAnsi" w:cstheme="minorHAnsi"/>
              </w:rPr>
              <w:t xml:space="preserve"> definitions and </w:t>
            </w:r>
            <w:r w:rsidR="003F1964" w:rsidRPr="00602824">
              <w:rPr>
                <w:rFonts w:asciiTheme="minorHAnsi" w:hAnsiTheme="minorHAnsi" w:cstheme="minorHAnsi"/>
              </w:rPr>
              <w:t>revising the device</w:t>
            </w:r>
            <w:r w:rsidR="001A7D46" w:rsidRPr="00602824">
              <w:rPr>
                <w:rFonts w:asciiTheme="minorHAnsi" w:hAnsiTheme="minorHAnsi" w:cstheme="minorHAnsi"/>
              </w:rPr>
              <w:t xml:space="preserve"> listing criteria to clarify product eligibility. </w:t>
            </w:r>
            <w:r w:rsidR="00D95F9D" w:rsidRPr="00602824">
              <w:t xml:space="preserve"> </w:t>
            </w:r>
          </w:p>
          <w:p w14:paraId="69F2FCA2" w14:textId="58F76111" w:rsidR="00014E11" w:rsidRPr="00602824" w:rsidRDefault="00014E11" w:rsidP="00014E11">
            <w:r w:rsidRPr="00602824">
              <w:t>The Private Health Insurance (Medical Devices and Human Tissue Products) Rules have since been updated to accommodate the retention of GUIs on the PL.</w:t>
            </w:r>
            <w:r w:rsidRPr="00602824">
              <w:rPr>
                <w:rStyle w:val="FootnoteReference"/>
              </w:rPr>
              <w:footnoteReference w:id="68"/>
            </w:r>
            <w:r w:rsidRPr="00602824">
              <w:t xml:space="preserve"> The new rules, which came into effect on 1 November 2024 omitted the provision that would repeal Part D (GUIs) of the list and new listing criteria for devices in Part D were added with the intent of maintaining the existing scope of the Part D grouping scheme.</w:t>
            </w:r>
            <w:r w:rsidRPr="00602824">
              <w:rPr>
                <w:rStyle w:val="FootnoteReference"/>
              </w:rPr>
              <w:footnoteReference w:id="69"/>
            </w:r>
            <w:r w:rsidR="00AA0A58" w:rsidRPr="00602824">
              <w:rPr>
                <w:vertAlign w:val="superscript"/>
              </w:rPr>
              <w:t>,</w:t>
            </w:r>
            <w:r w:rsidRPr="00602824">
              <w:rPr>
                <w:rStyle w:val="FootnoteReference"/>
              </w:rPr>
              <w:footnoteReference w:id="70"/>
            </w:r>
            <w:r w:rsidRPr="00602824">
              <w:t xml:space="preserve"> Specifically: </w:t>
            </w:r>
          </w:p>
          <w:p w14:paraId="29D2D381" w14:textId="4094981B" w:rsidR="00014E11" w:rsidRPr="00602824" w:rsidRDefault="00014E11" w:rsidP="00B300C7">
            <w:pPr>
              <w:pStyle w:val="Bullet"/>
            </w:pPr>
            <w:r w:rsidRPr="00602824">
              <w:t xml:space="preserve">New listings for GUIs on the PL must have a comparative GUI already listed in Part D. </w:t>
            </w:r>
          </w:p>
          <w:p w14:paraId="1DBF033B" w14:textId="4842E6D2" w:rsidR="004B443A" w:rsidRPr="00602824" w:rsidRDefault="00014E11" w:rsidP="00B300C7">
            <w:pPr>
              <w:pStyle w:val="Bullet"/>
            </w:pPr>
            <w:r w:rsidRPr="00602824">
              <w:t>No new categories, subcategories, groups, subgroups or suffixes will be added to Part D.</w:t>
            </w:r>
          </w:p>
        </w:tc>
      </w:tr>
    </w:tbl>
    <w:bookmarkEnd w:id="63"/>
    <w:p w14:paraId="5A23C273" w14:textId="45D2AD68" w:rsidR="005C0409" w:rsidRPr="00602824" w:rsidRDefault="00EC2FF0" w:rsidP="00D413EB">
      <w:pPr>
        <w:spacing w:before="240"/>
        <w:rPr>
          <w:lang w:eastAsia="en-AU"/>
        </w:rPr>
      </w:pPr>
      <w:r w:rsidRPr="00602824">
        <w:rPr>
          <w:lang w:eastAsia="en-AU"/>
        </w:rPr>
        <w:t>As discussed in</w:t>
      </w:r>
      <w:r w:rsidR="00253C24" w:rsidRPr="00602824">
        <w:rPr>
          <w:lang w:eastAsia="en-AU"/>
        </w:rPr>
        <w:t xml:space="preserve"> the</w:t>
      </w:r>
      <w:r w:rsidRPr="00602824">
        <w:rPr>
          <w:lang w:eastAsia="en-AU"/>
        </w:rPr>
        <w:t xml:space="preserve"> </w:t>
      </w:r>
      <w:r w:rsidR="00B1724B" w:rsidRPr="00602824">
        <w:rPr>
          <w:i/>
          <w:lang w:eastAsia="en-AU"/>
        </w:rPr>
        <w:t xml:space="preserve">Interim </w:t>
      </w:r>
      <w:r w:rsidR="002D4A5D" w:rsidRPr="00602824">
        <w:rPr>
          <w:i/>
          <w:lang w:eastAsia="en-AU"/>
        </w:rPr>
        <w:t xml:space="preserve">Evaluation </w:t>
      </w:r>
      <w:r w:rsidR="00B1724B" w:rsidRPr="00602824">
        <w:rPr>
          <w:i/>
          <w:iCs/>
          <w:lang w:eastAsia="en-AU"/>
        </w:rPr>
        <w:t>#1</w:t>
      </w:r>
      <w:r w:rsidR="00B0280E" w:rsidRPr="00602824">
        <w:rPr>
          <w:i/>
          <w:iCs/>
          <w:lang w:eastAsia="en-AU"/>
        </w:rPr>
        <w:t xml:space="preserve"> report</w:t>
      </w:r>
      <w:r w:rsidR="00B1724B" w:rsidRPr="00602824">
        <w:rPr>
          <w:lang w:eastAsia="en-AU"/>
        </w:rPr>
        <w:t>, the inclusion of definitions in the legislation further defined the scope of the PL</w:t>
      </w:r>
      <w:r w:rsidR="0048690B" w:rsidRPr="00602824">
        <w:rPr>
          <w:lang w:eastAsia="en-AU"/>
        </w:rPr>
        <w:t xml:space="preserve">. </w:t>
      </w:r>
      <w:r w:rsidR="00292123" w:rsidRPr="00602824">
        <w:rPr>
          <w:lang w:eastAsia="en-AU"/>
        </w:rPr>
        <w:t>New</w:t>
      </w:r>
      <w:r w:rsidR="0048690B" w:rsidRPr="00602824">
        <w:rPr>
          <w:lang w:eastAsia="en-AU"/>
        </w:rPr>
        <w:t xml:space="preserve"> definitions </w:t>
      </w:r>
      <w:r w:rsidR="00292123" w:rsidRPr="00602824">
        <w:rPr>
          <w:lang w:eastAsia="en-AU"/>
        </w:rPr>
        <w:t xml:space="preserve">were </w:t>
      </w:r>
      <w:r w:rsidR="00770FBD" w:rsidRPr="00602824">
        <w:rPr>
          <w:lang w:eastAsia="en-AU"/>
        </w:rPr>
        <w:t>inserted,</w:t>
      </w:r>
      <w:r w:rsidR="00292123" w:rsidRPr="00602824">
        <w:rPr>
          <w:lang w:eastAsia="en-AU"/>
        </w:rPr>
        <w:t xml:space="preserve"> and </w:t>
      </w:r>
      <w:r w:rsidR="0048690B" w:rsidRPr="00602824">
        <w:rPr>
          <w:lang w:eastAsia="en-AU"/>
        </w:rPr>
        <w:t xml:space="preserve">listing criteria </w:t>
      </w:r>
      <w:r w:rsidR="00770FBD" w:rsidRPr="00602824">
        <w:rPr>
          <w:lang w:eastAsia="en-AU"/>
        </w:rPr>
        <w:t>was</w:t>
      </w:r>
      <w:r w:rsidR="00292123" w:rsidRPr="00602824">
        <w:rPr>
          <w:lang w:eastAsia="en-AU"/>
        </w:rPr>
        <w:t xml:space="preserve"> updated </w:t>
      </w:r>
      <w:r w:rsidR="0048690B" w:rsidRPr="00602824">
        <w:rPr>
          <w:lang w:eastAsia="en-AU"/>
        </w:rPr>
        <w:t xml:space="preserve">in the Act as parameters </w:t>
      </w:r>
      <w:r w:rsidR="00AA1C38" w:rsidRPr="00602824">
        <w:rPr>
          <w:lang w:eastAsia="en-AU"/>
        </w:rPr>
        <w:t>to</w:t>
      </w:r>
      <w:r w:rsidR="0048690B" w:rsidRPr="00602824">
        <w:rPr>
          <w:lang w:eastAsia="en-AU"/>
        </w:rPr>
        <w:t xml:space="preserve"> provide better clarity around what products are eligible for inclusion on the PL</w:t>
      </w:r>
      <w:r w:rsidR="005C0409" w:rsidRPr="00602824">
        <w:rPr>
          <w:lang w:eastAsia="en-AU"/>
        </w:rPr>
        <w:t xml:space="preserve">. </w:t>
      </w:r>
      <w:r w:rsidR="003F6847" w:rsidRPr="00602824">
        <w:rPr>
          <w:lang w:eastAsia="en-AU"/>
        </w:rPr>
        <w:t>The updated</w:t>
      </w:r>
      <w:r w:rsidR="003F6847" w:rsidRPr="00602824">
        <w:t xml:space="preserve"> </w:t>
      </w:r>
      <w:r w:rsidR="003F6847" w:rsidRPr="00602824">
        <w:rPr>
          <w:lang w:eastAsia="en-AU"/>
        </w:rPr>
        <w:t xml:space="preserve">legislation precluded items that were previously </w:t>
      </w:r>
      <w:r w:rsidR="002B1007" w:rsidRPr="00602824">
        <w:rPr>
          <w:lang w:eastAsia="en-AU"/>
        </w:rPr>
        <w:t xml:space="preserve">listed </w:t>
      </w:r>
      <w:r w:rsidR="003F6847" w:rsidRPr="00602824">
        <w:rPr>
          <w:lang w:eastAsia="en-AU"/>
        </w:rPr>
        <w:t>on the PL, such as GUIs and medicines</w:t>
      </w:r>
      <w:r w:rsidR="008E5F25" w:rsidRPr="00602824">
        <w:rPr>
          <w:lang w:eastAsia="en-AU"/>
        </w:rPr>
        <w:t xml:space="preserve">, </w:t>
      </w:r>
      <w:r w:rsidR="003F6847" w:rsidRPr="00602824">
        <w:rPr>
          <w:lang w:eastAsia="en-AU"/>
        </w:rPr>
        <w:t xml:space="preserve">from </w:t>
      </w:r>
      <w:r w:rsidR="00372F8C" w:rsidRPr="00602824">
        <w:rPr>
          <w:lang w:eastAsia="en-AU"/>
        </w:rPr>
        <w:t xml:space="preserve">being listed on </w:t>
      </w:r>
      <w:r w:rsidR="003F6847" w:rsidRPr="00602824">
        <w:rPr>
          <w:lang w:eastAsia="en-AU"/>
        </w:rPr>
        <w:t>the PL</w:t>
      </w:r>
      <w:r w:rsidR="00AA1C38" w:rsidRPr="00602824">
        <w:rPr>
          <w:lang w:eastAsia="en-AU"/>
        </w:rPr>
        <w:t>, however</w:t>
      </w:r>
      <w:r w:rsidR="0054179F" w:rsidRPr="00602824">
        <w:rPr>
          <w:lang w:eastAsia="en-AU"/>
        </w:rPr>
        <w:t xml:space="preserve"> the removal of GUIs</w:t>
      </w:r>
      <w:r w:rsidR="00AA1C38" w:rsidRPr="00602824">
        <w:rPr>
          <w:lang w:eastAsia="en-AU"/>
        </w:rPr>
        <w:t xml:space="preserve"> was reversed </w:t>
      </w:r>
      <w:r w:rsidR="00232E53" w:rsidRPr="00602824">
        <w:rPr>
          <w:lang w:eastAsia="en-AU"/>
        </w:rPr>
        <w:t xml:space="preserve">by the November 2024 rules, </w:t>
      </w:r>
      <w:r w:rsidR="009C1CE8" w:rsidRPr="00602824">
        <w:rPr>
          <w:lang w:eastAsia="en-AU"/>
        </w:rPr>
        <w:t xml:space="preserve">noted above. </w:t>
      </w:r>
      <w:r w:rsidR="002D4A5D" w:rsidRPr="00602824">
        <w:rPr>
          <w:lang w:eastAsia="en-AU"/>
        </w:rPr>
        <w:t>The GUI reform project</w:t>
      </w:r>
      <w:r w:rsidR="009C1CE8" w:rsidRPr="00602824">
        <w:rPr>
          <w:lang w:eastAsia="en-AU"/>
        </w:rPr>
        <w:t xml:space="preserve"> is discussed further in</w:t>
      </w:r>
      <w:r w:rsidR="003F17B5" w:rsidRPr="00602824">
        <w:rPr>
          <w:lang w:eastAsia="en-AU"/>
        </w:rPr>
        <w:t xml:space="preserve"> </w:t>
      </w:r>
      <w:r w:rsidR="000377F0">
        <w:rPr>
          <w:lang w:eastAsia="en-AU"/>
        </w:rPr>
        <w:t>Section</w:t>
      </w:r>
      <w:r w:rsidR="009C1CE8" w:rsidRPr="00602824">
        <w:rPr>
          <w:lang w:eastAsia="en-AU"/>
        </w:rPr>
        <w:t xml:space="preserve"> </w:t>
      </w:r>
      <w:r w:rsidR="003F17B5" w:rsidRPr="00602824">
        <w:rPr>
          <w:lang w:eastAsia="en-AU"/>
        </w:rPr>
        <w:fldChar w:fldCharType="begin"/>
      </w:r>
      <w:r w:rsidR="003F17B5" w:rsidRPr="00602824">
        <w:rPr>
          <w:lang w:eastAsia="en-AU"/>
        </w:rPr>
        <w:instrText xml:space="preserve"> REF _Ref204589228 \n \h </w:instrText>
      </w:r>
      <w:r w:rsidR="003F17B5" w:rsidRPr="00602824">
        <w:rPr>
          <w:lang w:eastAsia="en-AU"/>
        </w:rPr>
      </w:r>
      <w:r w:rsidR="003F17B5" w:rsidRPr="00602824">
        <w:rPr>
          <w:lang w:eastAsia="en-AU"/>
        </w:rPr>
        <w:fldChar w:fldCharType="separate"/>
      </w:r>
      <w:r w:rsidR="00D30634">
        <w:rPr>
          <w:lang w:eastAsia="en-AU"/>
        </w:rPr>
        <w:t>2.5.7</w:t>
      </w:r>
      <w:r w:rsidR="003F17B5" w:rsidRPr="00602824">
        <w:rPr>
          <w:lang w:eastAsia="en-AU"/>
        </w:rPr>
        <w:fldChar w:fldCharType="end"/>
      </w:r>
      <w:r w:rsidR="003F17B5" w:rsidRPr="00602824">
        <w:rPr>
          <w:lang w:eastAsia="en-AU"/>
        </w:rPr>
        <w:t xml:space="preserve">. </w:t>
      </w:r>
    </w:p>
    <w:p w14:paraId="2142856F" w14:textId="1EAAEFB1" w:rsidR="00EC2FF0" w:rsidRPr="00602824" w:rsidRDefault="009C1CE8" w:rsidP="00303189">
      <w:pPr>
        <w:rPr>
          <w:lang w:eastAsia="en-AU"/>
        </w:rPr>
      </w:pPr>
      <w:r w:rsidRPr="00602824">
        <w:rPr>
          <w:i/>
          <w:lang w:eastAsia="en-AU"/>
        </w:rPr>
        <w:t>Interim</w:t>
      </w:r>
      <w:r w:rsidR="002D4A5D" w:rsidRPr="00602824">
        <w:rPr>
          <w:i/>
          <w:lang w:eastAsia="en-AU"/>
        </w:rPr>
        <w:t xml:space="preserve"> Evaluation</w:t>
      </w:r>
      <w:r w:rsidRPr="00602824">
        <w:rPr>
          <w:i/>
          <w:lang w:eastAsia="en-AU"/>
        </w:rPr>
        <w:t xml:space="preserve"> </w:t>
      </w:r>
      <w:r w:rsidRPr="00602824">
        <w:rPr>
          <w:i/>
          <w:iCs/>
          <w:lang w:eastAsia="en-AU"/>
        </w:rPr>
        <w:t xml:space="preserve">#1 </w:t>
      </w:r>
      <w:r w:rsidR="00B0280E" w:rsidRPr="00602824">
        <w:rPr>
          <w:i/>
          <w:iCs/>
          <w:lang w:eastAsia="en-AU"/>
        </w:rPr>
        <w:t>report</w:t>
      </w:r>
      <w:r w:rsidRPr="00602824">
        <w:rPr>
          <w:lang w:eastAsia="en-AU"/>
        </w:rPr>
        <w:t xml:space="preserve"> also </w:t>
      </w:r>
      <w:r w:rsidR="00F31BE4" w:rsidRPr="00602824">
        <w:rPr>
          <w:lang w:eastAsia="en-AU"/>
        </w:rPr>
        <w:t xml:space="preserve">identified that some </w:t>
      </w:r>
      <w:r w:rsidR="005C0409" w:rsidRPr="00602824">
        <w:rPr>
          <w:lang w:eastAsia="en-AU"/>
        </w:rPr>
        <w:t>ambiguity on boundary products remained</w:t>
      </w:r>
      <w:r w:rsidR="00F31BE4" w:rsidRPr="00602824">
        <w:rPr>
          <w:lang w:eastAsia="en-AU"/>
        </w:rPr>
        <w:t xml:space="preserve"> in the legislation</w:t>
      </w:r>
      <w:r w:rsidR="005C0409" w:rsidRPr="00602824">
        <w:rPr>
          <w:lang w:eastAsia="en-AU"/>
        </w:rPr>
        <w:t>.</w:t>
      </w:r>
      <w:r w:rsidR="00814FCB" w:rsidRPr="00602824">
        <w:rPr>
          <w:lang w:eastAsia="en-AU"/>
        </w:rPr>
        <w:t xml:space="preserve"> </w:t>
      </w:r>
      <w:r w:rsidR="00797ADC" w:rsidRPr="00602824">
        <w:rPr>
          <w:lang w:eastAsia="en-AU"/>
        </w:rPr>
        <w:t>‘B</w:t>
      </w:r>
      <w:r w:rsidR="00814FCB" w:rsidRPr="00602824">
        <w:rPr>
          <w:lang w:eastAsia="en-AU"/>
        </w:rPr>
        <w:t>oundary products’</w:t>
      </w:r>
      <w:r w:rsidR="00797ADC" w:rsidRPr="00602824">
        <w:rPr>
          <w:lang w:eastAsia="en-AU"/>
        </w:rPr>
        <w:t xml:space="preserve"> </w:t>
      </w:r>
      <w:r w:rsidR="00814FCB" w:rsidRPr="00602824">
        <w:rPr>
          <w:lang w:eastAsia="en-AU"/>
        </w:rPr>
        <w:t>are defined as therapeutic goods with attributes that make it challenging to determine whether they belong to the category of medical device or medicine, or both.</w:t>
      </w:r>
      <w:r w:rsidR="00814FCB" w:rsidRPr="00602824">
        <w:rPr>
          <w:rStyle w:val="FootnoteReference"/>
          <w:lang w:eastAsia="en-AU"/>
        </w:rPr>
        <w:footnoteReference w:id="71"/>
      </w:r>
      <w:r w:rsidR="00B65E94" w:rsidRPr="00602824">
        <w:rPr>
          <w:lang w:eastAsia="en-AU"/>
        </w:rPr>
        <w:t xml:space="preserve"> This issue </w:t>
      </w:r>
      <w:r w:rsidR="00FD377D" w:rsidRPr="00602824">
        <w:rPr>
          <w:lang w:eastAsia="en-AU"/>
        </w:rPr>
        <w:t xml:space="preserve">has been particularly relevant in the consideration of reductions to CIEDs, discussed in </w:t>
      </w:r>
      <w:r w:rsidR="000377F0">
        <w:rPr>
          <w:lang w:eastAsia="en-AU"/>
        </w:rPr>
        <w:t>Section</w:t>
      </w:r>
      <w:r w:rsidR="000377F0" w:rsidRPr="00602824">
        <w:rPr>
          <w:lang w:eastAsia="en-AU"/>
        </w:rPr>
        <w:t xml:space="preserve"> </w:t>
      </w:r>
      <w:r w:rsidR="00100CFD" w:rsidRPr="00602824">
        <w:rPr>
          <w:lang w:eastAsia="en-AU"/>
        </w:rPr>
        <w:fldChar w:fldCharType="begin"/>
      </w:r>
      <w:r w:rsidR="00100CFD" w:rsidRPr="00602824">
        <w:rPr>
          <w:lang w:eastAsia="en-AU"/>
        </w:rPr>
        <w:instrText xml:space="preserve"> REF _Ref202377257 \w \h </w:instrText>
      </w:r>
      <w:r w:rsidR="00100CFD" w:rsidRPr="00602824">
        <w:rPr>
          <w:lang w:eastAsia="en-AU"/>
        </w:rPr>
      </w:r>
      <w:r w:rsidR="00100CFD" w:rsidRPr="00602824">
        <w:rPr>
          <w:lang w:eastAsia="en-AU"/>
        </w:rPr>
        <w:fldChar w:fldCharType="separate"/>
      </w:r>
      <w:r w:rsidR="00D30634">
        <w:rPr>
          <w:lang w:eastAsia="en-AU"/>
        </w:rPr>
        <w:t>2.1.5</w:t>
      </w:r>
      <w:r w:rsidR="00100CFD" w:rsidRPr="00602824">
        <w:rPr>
          <w:lang w:eastAsia="en-AU"/>
        </w:rPr>
        <w:fldChar w:fldCharType="end"/>
      </w:r>
      <w:r w:rsidR="00100CFD" w:rsidRPr="00602824">
        <w:rPr>
          <w:lang w:eastAsia="en-AU"/>
        </w:rPr>
        <w:t>.</w:t>
      </w:r>
    </w:p>
    <w:p w14:paraId="1DC0672A" w14:textId="12380BAB" w:rsidR="00416B88" w:rsidRPr="00602824" w:rsidRDefault="00416B88" w:rsidP="00FB712C">
      <w:pPr>
        <w:pStyle w:val="Heading3"/>
        <w:spacing w:before="120"/>
      </w:pPr>
      <w:r w:rsidRPr="00602824">
        <w:lastRenderedPageBreak/>
        <w:t>Implementation progress</w:t>
      </w:r>
      <w:r w:rsidR="00576711" w:rsidRPr="00602824">
        <w:t xml:space="preserve"> (b)</w:t>
      </w:r>
      <w:r w:rsidRPr="00602824">
        <w:t xml:space="preserve">: </w:t>
      </w:r>
      <w:r w:rsidR="00576711" w:rsidRPr="00602824">
        <w:t>r</w:t>
      </w:r>
      <w:r w:rsidRPr="00602824">
        <w:t>egrouping of the PL</w:t>
      </w:r>
    </w:p>
    <w:tbl>
      <w:tblPr>
        <w:tblStyle w:val="NOUSSideHeader5"/>
        <w:tblW w:w="0" w:type="auto"/>
        <w:tblLook w:val="04A0" w:firstRow="1" w:lastRow="0" w:firstColumn="1" w:lastColumn="0" w:noHBand="0" w:noVBand="1"/>
      </w:tblPr>
      <w:tblGrid>
        <w:gridCol w:w="9041"/>
      </w:tblGrid>
      <w:tr w:rsidR="002C7C53" w:rsidRPr="00602824" w14:paraId="6AB44177" w14:textId="77777777" w:rsidTr="00CE0C11">
        <w:trPr>
          <w:cnfStyle w:val="100000000000" w:firstRow="1" w:lastRow="0" w:firstColumn="0" w:lastColumn="0" w:oddVBand="0" w:evenVBand="0" w:oddHBand="0" w:evenHBand="0" w:firstRowFirstColumn="0" w:firstRowLastColumn="0" w:lastRowFirstColumn="0" w:lastRowLastColumn="0"/>
        </w:trPr>
        <w:tc>
          <w:tcPr>
            <w:tcW w:w="9041" w:type="dxa"/>
          </w:tcPr>
          <w:p w14:paraId="199E5875" w14:textId="555A5727" w:rsidR="002C7C53" w:rsidRPr="00602824" w:rsidRDefault="003564ED" w:rsidP="00FB712C">
            <w:pPr>
              <w:spacing w:before="120"/>
            </w:pPr>
            <w:r w:rsidRPr="00602824">
              <w:t xml:space="preserve">At baseline, PL groupings and benefit levels were based on device characteristics and clinical benefits. The PL reforms aimed to align groupings with clinical use, simplifying navigation for insurers and hospitals. An external consultant report by </w:t>
            </w:r>
            <w:proofErr w:type="spellStart"/>
            <w:r w:rsidRPr="00602824">
              <w:t>Hereco</w:t>
            </w:r>
            <w:proofErr w:type="spellEnd"/>
            <w:r w:rsidRPr="00602824">
              <w:t xml:space="preserve"> was delivered to the Department in 2022 however concerns arose with the multitude of products considered to comprise a “mixed benefit group” in the proposed new structure, which added significant complexity to regrouping. The requirement in the MOU with the MTAA which required that regrouping not result in additional savings was a complicating issue. As a result, the proposed regrouped PL structure recommended by </w:t>
            </w:r>
            <w:proofErr w:type="spellStart"/>
            <w:r w:rsidRPr="00602824">
              <w:t>Hereco</w:t>
            </w:r>
            <w:proofErr w:type="spellEnd"/>
            <w:r w:rsidRPr="00602824">
              <w:t xml:space="preserve"> was not finalised and as discussed in the </w:t>
            </w:r>
            <w:r w:rsidRPr="00602824">
              <w:rPr>
                <w:i/>
                <w:iCs/>
              </w:rPr>
              <w:t>Interim Evaluation #1 report</w:t>
            </w:r>
            <w:r w:rsidRPr="00602824">
              <w:t>, the regrouping project was paused. The regrouping project has since been discontinued. On 12 May 2025, the Department announced to stakeholders that the regrouping of Part A of the PL would not be continued as a reform measure.</w:t>
            </w:r>
            <w:r w:rsidRPr="00602824">
              <w:rPr>
                <w:rStyle w:val="FootnoteReference"/>
              </w:rPr>
              <w:footnoteReference w:id="72"/>
            </w:r>
          </w:p>
        </w:tc>
      </w:tr>
    </w:tbl>
    <w:p w14:paraId="4D678F2F" w14:textId="00BD10B0" w:rsidR="00416B88" w:rsidRPr="00602824" w:rsidRDefault="00416B88" w:rsidP="00B50EE7">
      <w:pPr>
        <w:pStyle w:val="Caption"/>
      </w:pPr>
      <w:r w:rsidRPr="00602824">
        <w:t xml:space="preserve">Figure </w:t>
      </w:r>
      <w:r w:rsidR="002604D0">
        <w:fldChar w:fldCharType="begin"/>
      </w:r>
      <w:r w:rsidR="002604D0">
        <w:instrText xml:space="preserve"> SEQ Figure \* ARABIC </w:instrText>
      </w:r>
      <w:r w:rsidR="002604D0">
        <w:fldChar w:fldCharType="separate"/>
      </w:r>
      <w:r w:rsidR="00D30634">
        <w:rPr>
          <w:noProof/>
        </w:rPr>
        <w:t>21</w:t>
      </w:r>
      <w:r w:rsidR="002604D0">
        <w:fldChar w:fldCharType="end"/>
      </w:r>
      <w:r w:rsidRPr="00602824">
        <w:t xml:space="preserve"> | Timeline of PL regrouping reform project</w:t>
      </w:r>
    </w:p>
    <w:p w14:paraId="18ECE4F4" w14:textId="1E1C38F0" w:rsidR="00416B88" w:rsidRPr="00602824" w:rsidRDefault="00B849F2" w:rsidP="00416B88">
      <w:pPr>
        <w:suppressAutoHyphens/>
        <w:ind w:left="340" w:hanging="340"/>
        <w:rPr>
          <w:rFonts w:eastAsia="Times New Roman" w:cs="Times New Roman"/>
          <w:szCs w:val="19"/>
          <w:lang w:eastAsia="en-AU"/>
        </w:rPr>
      </w:pPr>
      <w:r w:rsidRPr="00AC7E3F">
        <w:rPr>
          <w:rFonts w:eastAsia="Times New Roman" w:cs="Times New Roman"/>
          <w:noProof/>
          <w:szCs w:val="19"/>
          <w:lang w:eastAsia="en-AU"/>
        </w:rPr>
        <w:drawing>
          <wp:inline distT="0" distB="0" distL="0" distR="0" wp14:anchorId="3BC10D3B" wp14:editId="4FF40BD5">
            <wp:extent cx="5760085" cy="5684353"/>
            <wp:effectExtent l="0" t="0" r="0" b="0"/>
            <wp:docPr id="1046350486" name="Picture 29" descr="Timeline of regrouping reform project milestones and eventual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50486" name="Picture 29" descr="Timeline of regrouping reform project milestones and eventual discontinuation."/>
                    <pic:cNvPicPr/>
                  </pic:nvPicPr>
                  <pic:blipFill rotWithShape="1">
                    <a:blip r:embed="rId46" cstate="print">
                      <a:extLst>
                        <a:ext uri="{28A0092B-C50C-407E-A947-70E740481C1C}">
                          <a14:useLocalDpi xmlns:a14="http://schemas.microsoft.com/office/drawing/2010/main" val="0"/>
                        </a:ext>
                      </a:extLst>
                    </a:blip>
                    <a:srcRect t="27440"/>
                    <a:stretch>
                      <a:fillRect/>
                    </a:stretch>
                  </pic:blipFill>
                  <pic:spPr bwMode="auto">
                    <a:xfrm>
                      <a:off x="0" y="0"/>
                      <a:ext cx="5760085" cy="5684353"/>
                    </a:xfrm>
                    <a:prstGeom prst="rect">
                      <a:avLst/>
                    </a:prstGeom>
                    <a:ln>
                      <a:noFill/>
                    </a:ln>
                    <a:extLst>
                      <a:ext uri="{53640926-AAD7-44D8-BBD7-CCE9431645EC}">
                        <a14:shadowObscured xmlns:a14="http://schemas.microsoft.com/office/drawing/2010/main"/>
                      </a:ext>
                    </a:extLst>
                  </pic:spPr>
                </pic:pic>
              </a:graphicData>
            </a:graphic>
          </wp:inline>
        </w:drawing>
      </w:r>
    </w:p>
    <w:p w14:paraId="3177C51E" w14:textId="1FE17AA1" w:rsidR="00FE78BA" w:rsidRPr="00602824" w:rsidRDefault="00FE78BA" w:rsidP="00416B88">
      <w:pPr>
        <w:pStyle w:val="Heading3"/>
      </w:pPr>
      <w:r w:rsidRPr="00602824">
        <w:lastRenderedPageBreak/>
        <w:t xml:space="preserve">The re-grouping aimed to </w:t>
      </w:r>
      <w:r w:rsidR="00A1734D" w:rsidRPr="00602824">
        <w:t>provide transparency and simplicity</w:t>
      </w:r>
    </w:p>
    <w:p w14:paraId="05D3E3EA" w14:textId="7867A05D" w:rsidR="00FE78BA" w:rsidRPr="00602824" w:rsidRDefault="00FE78BA" w:rsidP="00FE78BA">
      <w:r w:rsidRPr="00602824">
        <w:t>Regrouping of the PL was intended to provide transparency around PL items and increase the PL’s ease of use.</w:t>
      </w:r>
      <w:r w:rsidRPr="00602824">
        <w:rPr>
          <w:rStyle w:val="FootnoteReference"/>
        </w:rPr>
        <w:footnoteReference w:id="73"/>
      </w:r>
      <w:r w:rsidRPr="00602824">
        <w:t xml:space="preserve"> </w:t>
      </w:r>
      <w:r w:rsidRPr="00602824">
        <w:rPr>
          <w:lang w:eastAsia="en-AU"/>
        </w:rPr>
        <w:t>This was in response to the PL being considered unwieldy, alongside a notion that this made the PL more difficult to administer, driving cost and unnecessary complexity</w:t>
      </w:r>
      <w:r w:rsidRPr="00602824">
        <w:t>. As of 2021, the PL contained 11,600 billing codes and 1,700 unique groupings.</w:t>
      </w:r>
      <w:r w:rsidRPr="00602824">
        <w:rPr>
          <w:rStyle w:val="FootnoteReference"/>
        </w:rPr>
        <w:footnoteReference w:id="74"/>
      </w:r>
      <w:r w:rsidRPr="00602824">
        <w:rPr>
          <w:lang w:eastAsia="en-AU"/>
        </w:rPr>
        <w:t xml:space="preserve"> </w:t>
      </w:r>
      <w:r w:rsidRPr="00602824">
        <w:t>Some stakeholders believe the current PL item groupings contribute to a variety of issues that result in some PL items being overpriced, such as:</w:t>
      </w:r>
    </w:p>
    <w:p w14:paraId="2CDB3471" w14:textId="4F819B64" w:rsidR="00FE78BA" w:rsidRPr="00602824" w:rsidRDefault="00FE78BA" w:rsidP="00FE78BA">
      <w:pPr>
        <w:pStyle w:val="Bullet"/>
      </w:pPr>
      <w:r w:rsidRPr="00602824">
        <w:t>Inclusion of items in sections of the PL inconsistent with their actual or intended use</w:t>
      </w:r>
      <w:r w:rsidR="00531C08">
        <w:t>.</w:t>
      </w:r>
    </w:p>
    <w:p w14:paraId="7077A1DF" w14:textId="7B952F2E" w:rsidR="00FE78BA" w:rsidRPr="00602824" w:rsidRDefault="00FE78BA" w:rsidP="00FE78BA">
      <w:pPr>
        <w:pStyle w:val="Bullet"/>
      </w:pPr>
      <w:r w:rsidRPr="00602824">
        <w:t>Differences in benefit amounts that are not explainable by clinically relevant product differences</w:t>
      </w:r>
      <w:r w:rsidR="00531C08">
        <w:t>.</w:t>
      </w:r>
    </w:p>
    <w:p w14:paraId="3889EB83" w14:textId="77777777" w:rsidR="00FE78BA" w:rsidRPr="00602824" w:rsidRDefault="00FE78BA" w:rsidP="00FE78BA">
      <w:pPr>
        <w:pStyle w:val="Bullet"/>
      </w:pPr>
      <w:r w:rsidRPr="00602824">
        <w:t>The use of inappropriate comparator products, or reclassification of existing products into higher benefit subgroups or suffix groupings, which is viewed to be evidence of gaming.</w:t>
      </w:r>
      <w:r w:rsidRPr="00602824">
        <w:rPr>
          <w:rStyle w:val="FootnoteReference"/>
          <w:color w:val="00264D" w:themeColor="background2"/>
        </w:rPr>
        <w:footnoteReference w:id="75"/>
      </w:r>
    </w:p>
    <w:p w14:paraId="5AA8D560" w14:textId="60E466DE" w:rsidR="00432E4C" w:rsidRPr="00602824" w:rsidRDefault="00432E4C" w:rsidP="00432E4C">
      <w:r w:rsidRPr="00602824">
        <w:t xml:space="preserve">Stakeholders who supported this change believed it would </w:t>
      </w:r>
      <w:r w:rsidR="00930FD3" w:rsidRPr="00602824">
        <w:t xml:space="preserve">potentially </w:t>
      </w:r>
      <w:r w:rsidRPr="00602824">
        <w:t xml:space="preserve">reduce ‘gaming’ </w:t>
      </w:r>
      <w:r w:rsidR="004A3D61" w:rsidRPr="00602824">
        <w:t>–</w:t>
      </w:r>
      <w:r w:rsidRPr="00602824">
        <w:t xml:space="preserve"> where</w:t>
      </w:r>
      <w:r w:rsidR="008774F0" w:rsidRPr="00602824">
        <w:t>by</w:t>
      </w:r>
      <w:r w:rsidRPr="00602824">
        <w:t xml:space="preserve"> sponsors might list devices with minor changes to gain higher benefits without added clinical value.</w:t>
      </w:r>
    </w:p>
    <w:p w14:paraId="5318272D" w14:textId="3B247BA5" w:rsidR="00416B88" w:rsidRPr="00602824" w:rsidRDefault="00BF2263" w:rsidP="00FB712C">
      <w:pPr>
        <w:pStyle w:val="Heading3"/>
        <w:spacing w:before="300"/>
      </w:pPr>
      <w:r w:rsidRPr="00602824">
        <w:t xml:space="preserve">Achieving </w:t>
      </w:r>
      <w:r w:rsidR="00416B88" w:rsidRPr="00602824">
        <w:t xml:space="preserve">a pure clinical use-based regrouping was </w:t>
      </w:r>
      <w:r w:rsidR="00FA445A" w:rsidRPr="00602824">
        <w:t>challenging</w:t>
      </w:r>
      <w:r w:rsidR="00215001" w:rsidRPr="00602824">
        <w:t>, especially</w:t>
      </w:r>
      <w:r w:rsidR="00416B88" w:rsidRPr="00602824">
        <w:t xml:space="preserve"> </w:t>
      </w:r>
      <w:r w:rsidR="00D51FE3" w:rsidRPr="00602824">
        <w:t>in the context of the mandate that it should not produce savings</w:t>
      </w:r>
    </w:p>
    <w:p w14:paraId="4301FA26" w14:textId="29FB41CE" w:rsidR="0067217F" w:rsidRPr="00602824" w:rsidRDefault="00DB674F" w:rsidP="00044F51">
      <w:r w:rsidRPr="00602824">
        <w:rPr>
          <w:lang w:eastAsia="en-AU"/>
        </w:rPr>
        <w:t xml:space="preserve">The context that led to the decision to pause the regrouping project is explored in </w:t>
      </w:r>
      <w:r w:rsidRPr="00602824">
        <w:rPr>
          <w:i/>
          <w:lang w:eastAsia="en-AU"/>
        </w:rPr>
        <w:t xml:space="preserve">Interim </w:t>
      </w:r>
      <w:r w:rsidR="0067217F" w:rsidRPr="00602824">
        <w:rPr>
          <w:i/>
          <w:lang w:eastAsia="en-AU"/>
        </w:rPr>
        <w:t>Evaluation</w:t>
      </w:r>
      <w:r w:rsidRPr="00602824">
        <w:rPr>
          <w:i/>
          <w:lang w:eastAsia="en-AU"/>
        </w:rPr>
        <w:t xml:space="preserve"> </w:t>
      </w:r>
      <w:r w:rsidR="00E46892" w:rsidRPr="00602824">
        <w:rPr>
          <w:i/>
          <w:iCs/>
          <w:lang w:eastAsia="en-AU"/>
        </w:rPr>
        <w:t>#</w:t>
      </w:r>
      <w:r w:rsidR="0067217F" w:rsidRPr="00602824">
        <w:rPr>
          <w:i/>
          <w:lang w:eastAsia="en-AU"/>
        </w:rPr>
        <w:t>1</w:t>
      </w:r>
      <w:r w:rsidR="00E46892" w:rsidRPr="00602824">
        <w:rPr>
          <w:i/>
          <w:iCs/>
          <w:lang w:eastAsia="en-AU"/>
        </w:rPr>
        <w:t xml:space="preserve"> report</w:t>
      </w:r>
      <w:r w:rsidR="0067217F" w:rsidRPr="00602824">
        <w:rPr>
          <w:rFonts w:asciiTheme="majorHAnsi" w:hAnsiTheme="majorHAnsi" w:cstheme="majorHAnsi"/>
          <w:lang w:eastAsia="en-AU"/>
        </w:rPr>
        <w:t xml:space="preserve">. </w:t>
      </w:r>
      <w:r w:rsidR="0067217F" w:rsidRPr="00602824">
        <w:t>The decision to cease work on regrouping was made when “it was evident that implementing the proposed PL grouping structure would require re-assessing all mixed benefit groups in line with a full health technology assessment”.</w:t>
      </w:r>
      <w:r w:rsidR="0067217F" w:rsidRPr="00602824">
        <w:rPr>
          <w:rFonts w:cstheme="minorHAnsi"/>
          <w:szCs w:val="14"/>
          <w:vertAlign w:val="superscript"/>
        </w:rPr>
        <w:footnoteReference w:id="76"/>
      </w:r>
    </w:p>
    <w:p w14:paraId="790E7A06" w14:textId="5D523497" w:rsidR="001F677F" w:rsidRPr="00602824" w:rsidRDefault="00F5005C" w:rsidP="001F677F">
      <w:r w:rsidRPr="00602824">
        <w:t>T</w:t>
      </w:r>
      <w:r w:rsidR="00FE6CF6" w:rsidRPr="00602824">
        <w:t>he consideration that ev</w:t>
      </w:r>
      <w:r w:rsidR="001F677F" w:rsidRPr="00602824">
        <w:t xml:space="preserve">ery item </w:t>
      </w:r>
      <w:r w:rsidR="00FE6CF6" w:rsidRPr="00602824">
        <w:t xml:space="preserve">on the PL </w:t>
      </w:r>
      <w:r w:rsidR="001F677F" w:rsidRPr="00602824">
        <w:t xml:space="preserve">would be subject to a HTA to justify any resulting changes to benefits, </w:t>
      </w:r>
      <w:r w:rsidR="00170C8F" w:rsidRPr="00602824">
        <w:t>finally led</w:t>
      </w:r>
      <w:r w:rsidR="001F677F" w:rsidRPr="00602824">
        <w:t xml:space="preserve"> to abandon</w:t>
      </w:r>
      <w:r w:rsidR="00170C8F" w:rsidRPr="00602824">
        <w:t>ment of</w:t>
      </w:r>
      <w:r w:rsidR="001F677F" w:rsidRPr="00602824">
        <w:t xml:space="preserve"> this reform project on the balance that the cost involved would outweigh any potential gains of efficiency and clarity.</w:t>
      </w:r>
    </w:p>
    <w:p w14:paraId="36366DA4" w14:textId="55F69AB4" w:rsidR="00B25B42" w:rsidRPr="00602824" w:rsidRDefault="00B25B42" w:rsidP="001F677F">
      <w:r w:rsidRPr="00602824">
        <w:t xml:space="preserve">The </w:t>
      </w:r>
      <w:r w:rsidR="00F6716D" w:rsidRPr="00602824">
        <w:t>plan</w:t>
      </w:r>
      <w:r w:rsidR="003A1251" w:rsidRPr="00602824">
        <w:t xml:space="preserve"> </w:t>
      </w:r>
      <w:r w:rsidR="00F6716D" w:rsidRPr="00602824">
        <w:t>to implement</w:t>
      </w:r>
      <w:r w:rsidRPr="00602824">
        <w:t xml:space="preserve"> the  external consultant’s proposed grouping structure</w:t>
      </w:r>
      <w:r w:rsidR="00F6716D" w:rsidRPr="00602824">
        <w:t xml:space="preserve"> –  </w:t>
      </w:r>
      <w:r w:rsidRPr="00602824">
        <w:t>based on clinical outcomes and independent of device benefits</w:t>
      </w:r>
      <w:r w:rsidR="00F6716D" w:rsidRPr="00602824">
        <w:t xml:space="preserve"> – was stalled when it </w:t>
      </w:r>
      <w:r w:rsidRPr="00602824">
        <w:t>resulted in some groupings containing a wide range of benefits.</w:t>
      </w:r>
      <w:r w:rsidR="003528E1" w:rsidRPr="00602824">
        <w:rPr>
          <w:rStyle w:val="FootnoteReference"/>
        </w:rPr>
        <w:footnoteReference w:id="77"/>
      </w:r>
      <w:r w:rsidRPr="00602824">
        <w:t xml:space="preserve"> Regrouping those into single-benefit groups became unworkable because the MOU with the MTAA prohibits using regrouping to make further reduction savings on benefits beyond those already specified in the agreed reform benefit reduction schedule.</w:t>
      </w:r>
      <w:r w:rsidR="00BB262C" w:rsidRPr="00602824">
        <w:rPr>
          <w:rStyle w:val="FootnoteReference"/>
        </w:rPr>
        <w:footnoteReference w:id="78"/>
      </w:r>
    </w:p>
    <w:p w14:paraId="1B1D1184" w14:textId="1ED6DFC4" w:rsidR="002F7036" w:rsidRPr="00602824" w:rsidRDefault="002F7036" w:rsidP="00FB712C">
      <w:pPr>
        <w:pStyle w:val="Heading3"/>
        <w:spacing w:before="300"/>
      </w:pPr>
      <w:r w:rsidRPr="00602824">
        <w:t xml:space="preserve">The decision to discontinue work on regrouping was not universally supported </w:t>
      </w:r>
      <w:r w:rsidR="00790752" w:rsidRPr="00602824">
        <w:t>– past</w:t>
      </w:r>
      <w:r w:rsidRPr="00602824">
        <w:t xml:space="preserve"> work could </w:t>
      </w:r>
      <w:r w:rsidR="00790752" w:rsidRPr="00602824">
        <w:t>still inform future</w:t>
      </w:r>
      <w:r w:rsidRPr="00602824">
        <w:t xml:space="preserve"> reform</w:t>
      </w:r>
    </w:p>
    <w:p w14:paraId="775E8D3C" w14:textId="3FFC6A1F" w:rsidR="00790752" w:rsidRPr="00602824" w:rsidRDefault="00170F53" w:rsidP="002F7036">
      <w:pPr>
        <w:rPr>
          <w:lang w:eastAsia="en-AU"/>
        </w:rPr>
      </w:pPr>
      <w:r w:rsidRPr="00602824">
        <w:rPr>
          <w:lang w:eastAsia="en-AU"/>
        </w:rPr>
        <w:t>The evaluation finds that the regrouping approach was undermined by early design constraints, including a mandated ban on any resultant savings.</w:t>
      </w:r>
      <w:r w:rsidR="00993853" w:rsidRPr="00602824">
        <w:rPr>
          <w:rStyle w:val="FootnoteReference"/>
          <w:lang w:eastAsia="en-AU"/>
        </w:rPr>
        <w:footnoteReference w:id="79"/>
      </w:r>
      <w:r w:rsidRPr="00602824">
        <w:rPr>
          <w:lang w:eastAsia="en-AU"/>
        </w:rPr>
        <w:t xml:space="preserve"> The methodology used was also seen as too rigid to allow for a practical and clinically meaningful restructuring. As noted in the stakeholder section</w:t>
      </w:r>
      <w:r w:rsidR="0000707C" w:rsidRPr="00602824">
        <w:rPr>
          <w:lang w:eastAsia="en-AU"/>
        </w:rPr>
        <w:t xml:space="preserve"> (</w:t>
      </w:r>
      <w:r w:rsidR="0000707C" w:rsidRPr="00602824">
        <w:rPr>
          <w:lang w:eastAsia="en-AU"/>
        </w:rPr>
        <w:fldChar w:fldCharType="begin"/>
      </w:r>
      <w:r w:rsidR="0000707C" w:rsidRPr="00602824">
        <w:rPr>
          <w:lang w:eastAsia="en-AU"/>
        </w:rPr>
        <w:instrText xml:space="preserve"> REF _Ref202896786 \h </w:instrText>
      </w:r>
      <w:r w:rsidR="0000707C" w:rsidRPr="00602824">
        <w:rPr>
          <w:lang w:eastAsia="en-AU"/>
        </w:rPr>
      </w:r>
      <w:r w:rsidR="0000707C" w:rsidRPr="00602824">
        <w:rPr>
          <w:lang w:eastAsia="en-AU"/>
        </w:rPr>
        <w:fldChar w:fldCharType="separate"/>
      </w:r>
      <w:r w:rsidR="00D30634" w:rsidRPr="00602824">
        <w:t xml:space="preserve">Table </w:t>
      </w:r>
      <w:r w:rsidR="00D30634">
        <w:rPr>
          <w:noProof/>
        </w:rPr>
        <w:t>8</w:t>
      </w:r>
      <w:r w:rsidR="0000707C" w:rsidRPr="00602824">
        <w:rPr>
          <w:lang w:eastAsia="en-AU"/>
        </w:rPr>
        <w:fldChar w:fldCharType="end"/>
      </w:r>
      <w:r w:rsidR="0000707C" w:rsidRPr="00602824">
        <w:rPr>
          <w:lang w:eastAsia="en-AU"/>
        </w:rPr>
        <w:t>)</w:t>
      </w:r>
      <w:r w:rsidRPr="00602824">
        <w:rPr>
          <w:lang w:eastAsia="en-AU"/>
        </w:rPr>
        <w:t>, several stakeholders argued that mixed benefit groups should not have prevented regrouping. They proposed more flexible solutions, such as accepting mixed benefits within categories or subdividing categories to accommodate variation.</w:t>
      </w:r>
    </w:p>
    <w:p w14:paraId="453D9935" w14:textId="446D71A7" w:rsidR="005C7FF9" w:rsidRPr="00602824" w:rsidRDefault="005C7FF9" w:rsidP="005C7FF9">
      <w:r w:rsidRPr="00602824">
        <w:lastRenderedPageBreak/>
        <w:t xml:space="preserve">Although the MOU with MTAA will end on 30 June 2026, the opportunity to implement </w:t>
      </w:r>
      <w:r w:rsidR="00417AC9" w:rsidRPr="00602824">
        <w:t xml:space="preserve">the </w:t>
      </w:r>
      <w:r w:rsidRPr="00602824">
        <w:t>regrouping</w:t>
      </w:r>
      <w:r w:rsidR="003817C4" w:rsidRPr="00602824">
        <w:t xml:space="preserve"> settings developing during the reforms h</w:t>
      </w:r>
      <w:r w:rsidRPr="00602824">
        <w:t xml:space="preserve">as passed. The addition of hundreds of items to the PL in recent years means the prior restructuring </w:t>
      </w:r>
      <w:r w:rsidR="00417AC9" w:rsidRPr="00602824">
        <w:t>w</w:t>
      </w:r>
      <w:r w:rsidR="004279FE" w:rsidRPr="00602824">
        <w:t>o</w:t>
      </w:r>
      <w:r w:rsidRPr="00602824">
        <w:t>rk is now outdated.</w:t>
      </w:r>
    </w:p>
    <w:p w14:paraId="7CF98693" w14:textId="458DD946" w:rsidR="002F7036" w:rsidRPr="00602824" w:rsidRDefault="005C7FF9" w:rsidP="00FB712C">
      <w:pPr>
        <w:spacing w:after="240"/>
      </w:pPr>
      <w:r w:rsidRPr="00602824">
        <w:t>Nonetheless, the Department has indicated that the previous regrouping work remains valuable. It will inform post-listing reviews and assurance activities, helping to guide future consideration of PL structure and category logic.</w:t>
      </w:r>
      <w:r w:rsidR="004279FE" w:rsidRPr="00602824">
        <w:rPr>
          <w:rFonts w:cstheme="minorHAnsi"/>
          <w:szCs w:val="14"/>
          <w:vertAlign w:val="superscript"/>
        </w:rPr>
        <w:footnoteReference w:id="80"/>
      </w:r>
    </w:p>
    <w:tbl>
      <w:tblPr>
        <w:tblStyle w:val="NousLongformcallout"/>
        <w:tblW w:w="4950" w:type="pct"/>
        <w:tblCellMar>
          <w:top w:w="170" w:type="dxa"/>
          <w:bottom w:w="170" w:type="dxa"/>
        </w:tblCellMar>
        <w:tblLook w:val="04A0" w:firstRow="1" w:lastRow="0" w:firstColumn="1" w:lastColumn="0" w:noHBand="0" w:noVBand="1"/>
      </w:tblPr>
      <w:tblGrid>
        <w:gridCol w:w="8958"/>
      </w:tblGrid>
      <w:tr w:rsidR="008B4E6D" w:rsidRPr="00602824" w14:paraId="5706D296" w14:textId="77777777">
        <w:tc>
          <w:tcPr>
            <w:tcW w:w="7285" w:type="dxa"/>
            <w:tcBorders>
              <w:left w:val="single" w:sz="18" w:space="0" w:color="2E368F" w:themeColor="text2"/>
            </w:tcBorders>
            <w:shd w:val="clear" w:color="auto" w:fill="F2F2F2" w:themeFill="background1" w:themeFillShade="F2"/>
          </w:tcPr>
          <w:p w14:paraId="0BACB17D" w14:textId="782D350A" w:rsidR="008B4E6D" w:rsidRPr="00602824" w:rsidRDefault="008B4E6D" w:rsidP="00FB712C">
            <w:pPr>
              <w:pStyle w:val="Longformcallout"/>
              <w:spacing w:before="0" w:after="120"/>
              <w:rPr>
                <w:rFonts w:asciiTheme="majorHAnsi" w:hAnsiTheme="majorHAnsi" w:cstheme="majorHAnsi"/>
                <w:color w:val="2E368F" w:themeColor="text2"/>
              </w:rPr>
            </w:pPr>
            <w:r w:rsidRPr="00602824">
              <w:rPr>
                <w:rFonts w:asciiTheme="majorHAnsi" w:hAnsiTheme="majorHAnsi" w:cstheme="majorHAnsi"/>
                <w:color w:val="2E368F" w:themeColor="text2"/>
              </w:rPr>
              <w:t xml:space="preserve">RECOMMENDATION </w:t>
            </w:r>
            <w:r w:rsidR="00D22BBA" w:rsidRPr="00602824">
              <w:rPr>
                <w:rFonts w:asciiTheme="majorHAnsi" w:hAnsiTheme="majorHAnsi" w:cstheme="majorHAnsi"/>
                <w:color w:val="2E368F" w:themeColor="text2"/>
              </w:rPr>
              <w:t>4</w:t>
            </w:r>
          </w:p>
          <w:p w14:paraId="645D7232" w14:textId="77777777" w:rsidR="001A1A9C" w:rsidRPr="00602824" w:rsidRDefault="001A1A9C" w:rsidP="00FB712C">
            <w:pPr>
              <w:pStyle w:val="Longformcallout"/>
              <w:spacing w:before="0" w:after="120"/>
              <w:rPr>
                <w:rFonts w:asciiTheme="majorHAnsi" w:hAnsiTheme="majorHAnsi" w:cstheme="majorHAnsi"/>
              </w:rPr>
            </w:pPr>
            <w:r w:rsidRPr="00602824">
              <w:rPr>
                <w:rFonts w:asciiTheme="majorHAnsi" w:hAnsiTheme="majorHAnsi" w:cstheme="majorHAnsi"/>
              </w:rPr>
              <w:t>Revisit the objective to regroup the PL by clinical use</w:t>
            </w:r>
          </w:p>
          <w:p w14:paraId="7B21B417" w14:textId="5743F010" w:rsidR="008B4E6D" w:rsidRPr="00602824" w:rsidRDefault="008B4E6D" w:rsidP="00FB712C">
            <w:pPr>
              <w:pStyle w:val="Longformcallout"/>
              <w:spacing w:before="0" w:after="120"/>
            </w:pPr>
            <w:r w:rsidRPr="00602824">
              <w:t xml:space="preserve">There is an opportunity to build on </w:t>
            </w:r>
            <w:r w:rsidR="004279FE" w:rsidRPr="00602824">
              <w:t>previous</w:t>
            </w:r>
            <w:r w:rsidRPr="00602824">
              <w:t xml:space="preserve"> regrouping </w:t>
            </w:r>
            <w:r w:rsidR="004279FE" w:rsidRPr="00602824">
              <w:t>work to improve</w:t>
            </w:r>
            <w:r w:rsidRPr="00602824">
              <w:t xml:space="preserve"> transparency and </w:t>
            </w:r>
            <w:r w:rsidR="004279FE" w:rsidRPr="00602824">
              <w:t>simplify the structure</w:t>
            </w:r>
            <w:r w:rsidRPr="00602824">
              <w:t xml:space="preserve"> of the PL. Without the constraint of the </w:t>
            </w:r>
            <w:r w:rsidR="004279FE" w:rsidRPr="00602824">
              <w:t xml:space="preserve">former </w:t>
            </w:r>
            <w:r w:rsidRPr="00602824">
              <w:t xml:space="preserve">MOU ban on savings, </w:t>
            </w:r>
            <w:r w:rsidR="004279FE" w:rsidRPr="00602824">
              <w:t>a renewed effort could</w:t>
            </w:r>
            <w:r w:rsidRPr="00602824">
              <w:t xml:space="preserve"> also </w:t>
            </w:r>
            <w:r w:rsidR="004279FE" w:rsidRPr="00602824">
              <w:t>help</w:t>
            </w:r>
            <w:r w:rsidRPr="00602824">
              <w:t xml:space="preserve"> reduce pressure on PHI premiums. Any </w:t>
            </w:r>
            <w:r w:rsidR="004279FE" w:rsidRPr="00602824">
              <w:t>future</w:t>
            </w:r>
            <w:r w:rsidRPr="00602824">
              <w:t xml:space="preserve"> regrouping </w:t>
            </w:r>
            <w:r w:rsidR="004279FE" w:rsidRPr="00602824">
              <w:t>would</w:t>
            </w:r>
            <w:r w:rsidRPr="00602824">
              <w:t xml:space="preserve"> require </w:t>
            </w:r>
            <w:r w:rsidR="004279FE" w:rsidRPr="00602824">
              <w:t>updated analysis and</w:t>
            </w:r>
            <w:r w:rsidRPr="00602824">
              <w:t xml:space="preserve"> consultation with stakeholders.</w:t>
            </w:r>
          </w:p>
        </w:tc>
      </w:tr>
    </w:tbl>
    <w:p w14:paraId="63FEB8E1" w14:textId="27789526" w:rsidR="00416B88" w:rsidRPr="00602824" w:rsidRDefault="00416B88" w:rsidP="00416B88">
      <w:pPr>
        <w:pStyle w:val="Heading3"/>
      </w:pPr>
      <w:r w:rsidRPr="00602824">
        <w:t xml:space="preserve">Stakeholder views </w:t>
      </w:r>
      <w:r w:rsidR="00617C8A" w:rsidRPr="00602824">
        <w:t>on the regrouping project</w:t>
      </w:r>
    </w:p>
    <w:p w14:paraId="706F4566" w14:textId="383CB6FE" w:rsidR="008A2379" w:rsidRPr="00602824" w:rsidRDefault="00416B88" w:rsidP="00416B88">
      <w:pPr>
        <w:rPr>
          <w:lang w:eastAsia="en-AU"/>
        </w:rPr>
      </w:pPr>
      <w:r w:rsidRPr="00602824">
        <w:rPr>
          <w:lang w:eastAsia="en-AU"/>
        </w:rPr>
        <w:t xml:space="preserve">Stakeholders expressed broad concern over the stalled regrouping project, citing missed opportunities for simplification, clarity, and alignment with clinical practice. </w:t>
      </w:r>
      <w:r w:rsidR="00904BF5" w:rsidRPr="00602824">
        <w:rPr>
          <w:lang w:eastAsia="en-AU"/>
        </w:rPr>
        <w:t>W</w:t>
      </w:r>
      <w:r w:rsidR="00FC2F8A" w:rsidRPr="00602824">
        <w:rPr>
          <w:lang w:eastAsia="en-AU"/>
        </w:rPr>
        <w:t>h</w:t>
      </w:r>
      <w:r w:rsidR="00683418" w:rsidRPr="00602824">
        <w:rPr>
          <w:lang w:eastAsia="en-AU"/>
        </w:rPr>
        <w:t>ile most stakeholders supported the principle of regrouping, they called for a more flexible and consultative approach to completing the project.</w:t>
      </w:r>
    </w:p>
    <w:p w14:paraId="3D09D46E" w14:textId="190FAFB7" w:rsidR="00EC4FB2" w:rsidRPr="00602824" w:rsidRDefault="009D794C" w:rsidP="00416B88">
      <w:pPr>
        <w:rPr>
          <w:lang w:eastAsia="en-AU"/>
        </w:rPr>
      </w:pPr>
      <w:r w:rsidRPr="00602824">
        <w:rPr>
          <w:lang w:eastAsia="en-AU"/>
        </w:rPr>
        <w:t>The p</w:t>
      </w:r>
      <w:r w:rsidR="00416B88" w:rsidRPr="00602824">
        <w:rPr>
          <w:lang w:eastAsia="en-AU"/>
        </w:rPr>
        <w:t xml:space="preserve">rivate </w:t>
      </w:r>
      <w:r w:rsidR="00BD31EE" w:rsidRPr="00602824">
        <w:rPr>
          <w:lang w:eastAsia="en-AU"/>
        </w:rPr>
        <w:t>hospital</w:t>
      </w:r>
      <w:r w:rsidR="00416B88" w:rsidRPr="00602824">
        <w:rPr>
          <w:lang w:eastAsia="en-AU"/>
        </w:rPr>
        <w:t xml:space="preserve"> </w:t>
      </w:r>
      <w:r w:rsidRPr="00602824">
        <w:rPr>
          <w:lang w:eastAsia="en-AU"/>
        </w:rPr>
        <w:t>sector</w:t>
      </w:r>
      <w:r w:rsidR="00416B88" w:rsidRPr="00602824">
        <w:rPr>
          <w:lang w:eastAsia="en-AU"/>
        </w:rPr>
        <w:t xml:space="preserve"> emphasised that regrouping is inherently complex and would have benefited from clearer governance, phased implementation, and sustained engagement with clinicians and hospitals. They noted that the current PL structure remains administratively burdensome and disconnected from real-world care delivery, contributing to disputes and delays in claims. </w:t>
      </w:r>
    </w:p>
    <w:p w14:paraId="69A4F959" w14:textId="513F3D8B" w:rsidR="00C61745" w:rsidRPr="00602824" w:rsidRDefault="007D7FED" w:rsidP="00416B88">
      <w:pPr>
        <w:rPr>
          <w:lang w:eastAsia="en-AU"/>
        </w:rPr>
      </w:pPr>
      <w:r w:rsidRPr="00602824">
        <w:rPr>
          <w:lang w:eastAsia="en-AU"/>
        </w:rPr>
        <w:t>The p</w:t>
      </w:r>
      <w:r w:rsidR="00416B88" w:rsidRPr="00602824">
        <w:rPr>
          <w:lang w:eastAsia="en-AU"/>
        </w:rPr>
        <w:t xml:space="preserve">rivate health insurance </w:t>
      </w:r>
      <w:r w:rsidR="000B3180" w:rsidRPr="00602824">
        <w:rPr>
          <w:lang w:eastAsia="en-AU"/>
        </w:rPr>
        <w:t>sector</w:t>
      </w:r>
      <w:r w:rsidR="00416B88" w:rsidRPr="00602824">
        <w:rPr>
          <w:lang w:eastAsia="en-AU"/>
        </w:rPr>
        <w:t xml:space="preserve"> criticised the decision to abandon regrouping, arguing that tighter alignment of device descriptions and groupings could improve transparency and accountability. They supported regrouping based on clinical function and expressed frustration over </w:t>
      </w:r>
      <w:r w:rsidR="00C61745" w:rsidRPr="00602824">
        <w:rPr>
          <w:lang w:eastAsia="en-AU"/>
        </w:rPr>
        <w:t xml:space="preserve">what they viewed as </w:t>
      </w:r>
      <w:r w:rsidR="00416B88" w:rsidRPr="00602824">
        <w:rPr>
          <w:lang w:eastAsia="en-AU"/>
        </w:rPr>
        <w:t xml:space="preserve">opaque decision-making and limited consultation during the regrouping process. </w:t>
      </w:r>
    </w:p>
    <w:p w14:paraId="484E3476" w14:textId="05F0F336" w:rsidR="000B3180" w:rsidRPr="00602824" w:rsidRDefault="00416B88" w:rsidP="00416B88">
      <w:pPr>
        <w:rPr>
          <w:lang w:eastAsia="en-AU"/>
        </w:rPr>
      </w:pPr>
      <w:r w:rsidRPr="00602824">
        <w:rPr>
          <w:lang w:eastAsia="en-AU"/>
        </w:rPr>
        <w:t xml:space="preserve">Medical technology bodies warned that regrouping based solely on intended use or outcomes risks oversimplifying device distinctions, potentially stifling innovation and limiting clinician choice. They also highlighted the Department’s rigid approach to consultant recommendations as a barrier to progressing the project. </w:t>
      </w:r>
    </w:p>
    <w:p w14:paraId="3E0787B3" w14:textId="61B1FD39" w:rsidR="00416B88" w:rsidRPr="00602824" w:rsidRDefault="00416B88" w:rsidP="00416B88">
      <w:pPr>
        <w:rPr>
          <w:lang w:eastAsia="en-AU"/>
        </w:rPr>
      </w:pPr>
      <w:r w:rsidRPr="00602824">
        <w:rPr>
          <w:lang w:eastAsia="en-AU"/>
        </w:rPr>
        <w:t>Clinical representatives agreed that regrouping could improve consistency but stressed the need for deeper stakeholder engagement to avoid unintended</w:t>
      </w:r>
      <w:r w:rsidRPr="00602824">
        <w:rPr>
          <w:b/>
          <w:bCs/>
          <w:lang w:eastAsia="en-AU"/>
        </w:rPr>
        <w:t xml:space="preserve"> </w:t>
      </w:r>
      <w:r w:rsidRPr="00602824">
        <w:rPr>
          <w:lang w:eastAsia="en-AU"/>
        </w:rPr>
        <w:t xml:space="preserve">commercial and clinical consequences. </w:t>
      </w:r>
    </w:p>
    <w:p w14:paraId="63E85D77" w14:textId="7C3AC6DB" w:rsidR="00FB1252" w:rsidRPr="00602824" w:rsidRDefault="00FB1252" w:rsidP="00416B88">
      <w:pPr>
        <w:rPr>
          <w:lang w:eastAsia="en-AU"/>
        </w:rPr>
      </w:pPr>
      <w:r w:rsidRPr="00602824">
        <w:rPr>
          <w:lang w:eastAsia="en-AU"/>
        </w:rPr>
        <w:t xml:space="preserve">Stakeholder views are summarised in more detail in </w:t>
      </w:r>
      <w:r w:rsidR="00527EAC" w:rsidRPr="00602824">
        <w:rPr>
          <w:lang w:eastAsia="en-AU"/>
        </w:rPr>
        <w:fldChar w:fldCharType="begin"/>
      </w:r>
      <w:r w:rsidR="00527EAC" w:rsidRPr="00602824">
        <w:rPr>
          <w:lang w:eastAsia="en-AU"/>
        </w:rPr>
        <w:instrText xml:space="preserve"> REF _Ref202896786 \h </w:instrText>
      </w:r>
      <w:r w:rsidR="00527EAC" w:rsidRPr="00602824">
        <w:rPr>
          <w:lang w:eastAsia="en-AU"/>
        </w:rPr>
      </w:r>
      <w:r w:rsidR="00527EAC" w:rsidRPr="00602824">
        <w:rPr>
          <w:lang w:eastAsia="en-AU"/>
        </w:rPr>
        <w:fldChar w:fldCharType="separate"/>
      </w:r>
      <w:r w:rsidR="00D30634" w:rsidRPr="00602824">
        <w:t xml:space="preserve">Table </w:t>
      </w:r>
      <w:r w:rsidR="00D30634">
        <w:rPr>
          <w:noProof/>
        </w:rPr>
        <w:t>8</w:t>
      </w:r>
      <w:r w:rsidR="00527EAC" w:rsidRPr="00602824">
        <w:rPr>
          <w:lang w:eastAsia="en-AU"/>
        </w:rPr>
        <w:fldChar w:fldCharType="end"/>
      </w:r>
      <w:r w:rsidR="00527EAC" w:rsidRPr="00602824">
        <w:rPr>
          <w:lang w:eastAsia="en-AU"/>
        </w:rPr>
        <w:t>.</w:t>
      </w:r>
    </w:p>
    <w:p w14:paraId="12302661" w14:textId="463093BE" w:rsidR="00DC4D7F" w:rsidRPr="00602824" w:rsidRDefault="00DC4D7F" w:rsidP="00B50EE7">
      <w:pPr>
        <w:pStyle w:val="Caption"/>
      </w:pPr>
      <w:bookmarkStart w:id="64" w:name="_Ref202896786"/>
      <w:r w:rsidRPr="00602824">
        <w:lastRenderedPageBreak/>
        <w:t xml:space="preserve">Table </w:t>
      </w:r>
      <w:r w:rsidR="002604D0">
        <w:fldChar w:fldCharType="begin"/>
      </w:r>
      <w:r w:rsidR="002604D0">
        <w:instrText xml:space="preserve"> SEQ Table \* ARABIC </w:instrText>
      </w:r>
      <w:r w:rsidR="002604D0">
        <w:fldChar w:fldCharType="separate"/>
      </w:r>
      <w:r w:rsidR="00D30634">
        <w:rPr>
          <w:noProof/>
        </w:rPr>
        <w:t>8</w:t>
      </w:r>
      <w:r w:rsidR="002604D0">
        <w:fldChar w:fldCharType="end"/>
      </w:r>
      <w:bookmarkEnd w:id="64"/>
      <w:r w:rsidRPr="00602824">
        <w:t xml:space="preserve"> | Stakeholder perspectives on regrouping of the PL</w:t>
      </w:r>
      <w:r w:rsidR="00B3093B" w:rsidRPr="00602824">
        <w:rPr>
          <w:rStyle w:val="FootnoteReference"/>
        </w:rPr>
        <w:footnoteReference w:id="81"/>
      </w:r>
    </w:p>
    <w:tbl>
      <w:tblPr>
        <w:tblStyle w:val="NOUS1"/>
        <w:tblW w:w="0" w:type="auto"/>
        <w:tblLook w:val="04A0" w:firstRow="1" w:lastRow="0" w:firstColumn="1" w:lastColumn="0" w:noHBand="0" w:noVBand="1"/>
      </w:tblPr>
      <w:tblGrid>
        <w:gridCol w:w="2252"/>
        <w:gridCol w:w="6819"/>
      </w:tblGrid>
      <w:tr w:rsidR="00527EAC" w:rsidRPr="00602824" w14:paraId="5CA9EE20" w14:textId="77777777" w:rsidTr="00527EAC">
        <w:trPr>
          <w:cnfStyle w:val="100000000000" w:firstRow="1" w:lastRow="0" w:firstColumn="0" w:lastColumn="0" w:oddVBand="0" w:evenVBand="0" w:oddHBand="0" w:evenHBand="0" w:firstRowFirstColumn="0" w:firstRowLastColumn="0" w:lastRowFirstColumn="0" w:lastRowLastColumn="0"/>
        </w:trPr>
        <w:tc>
          <w:tcPr>
            <w:tcW w:w="2268" w:type="dxa"/>
          </w:tcPr>
          <w:p w14:paraId="640EC267" w14:textId="77777777" w:rsidR="00527EAC" w:rsidRPr="00602824" w:rsidRDefault="00527EAC" w:rsidP="00FB712C">
            <w:pPr>
              <w:pStyle w:val="TableNheader"/>
              <w:spacing w:before="60" w:after="60" w:line="240" w:lineRule="auto"/>
              <w:jc w:val="center"/>
            </w:pPr>
            <w:r w:rsidRPr="00602824">
              <w:t>Stakeholder group</w:t>
            </w:r>
          </w:p>
        </w:tc>
        <w:tc>
          <w:tcPr>
            <w:tcW w:w="6917" w:type="dxa"/>
          </w:tcPr>
          <w:p w14:paraId="2544D4F1" w14:textId="77777777" w:rsidR="00527EAC" w:rsidRPr="00602824" w:rsidRDefault="00527EAC" w:rsidP="00FB712C">
            <w:pPr>
              <w:pStyle w:val="TableNheader"/>
              <w:spacing w:before="60" w:after="60" w:line="240" w:lineRule="auto"/>
            </w:pPr>
            <w:r w:rsidRPr="00602824">
              <w:t>Perspectives on reform project</w:t>
            </w:r>
          </w:p>
        </w:tc>
      </w:tr>
      <w:tr w:rsidR="00527EAC" w:rsidRPr="00602824" w14:paraId="4A975C19" w14:textId="77777777" w:rsidTr="00527EAC">
        <w:tc>
          <w:tcPr>
            <w:tcW w:w="2268" w:type="dxa"/>
            <w:shd w:val="clear" w:color="auto" w:fill="00264D" w:themeFill="background2"/>
          </w:tcPr>
          <w:p w14:paraId="7E2133E3" w14:textId="77777777" w:rsidR="00527EAC" w:rsidRPr="00602824" w:rsidRDefault="00527EAC" w:rsidP="00FB712C">
            <w:pPr>
              <w:pStyle w:val="TableNheader"/>
              <w:spacing w:before="60" w:after="60" w:line="240" w:lineRule="auto"/>
              <w:jc w:val="center"/>
              <w:rPr>
                <w:color w:val="FFFFFF" w:themeColor="background1"/>
              </w:rPr>
            </w:pPr>
            <w:r w:rsidRPr="00602824">
              <w:rPr>
                <w:color w:val="FFFFFF" w:themeColor="background1"/>
              </w:rPr>
              <w:t>Private hospital sector</w:t>
            </w:r>
          </w:p>
          <w:p w14:paraId="0D8DD0AB" w14:textId="77777777" w:rsidR="00527EAC" w:rsidRPr="00602824" w:rsidRDefault="00527EAC" w:rsidP="00FB712C">
            <w:pPr>
              <w:pStyle w:val="TableNheader"/>
              <w:spacing w:before="60" w:after="60" w:line="240" w:lineRule="auto"/>
              <w:jc w:val="center"/>
              <w:rPr>
                <w:color w:val="FFFFFF" w:themeColor="background1"/>
              </w:rPr>
            </w:pPr>
            <w:r w:rsidRPr="00AC7E3F">
              <w:rPr>
                <w:i/>
                <w:iCs/>
                <w:noProof/>
              </w:rPr>
              <mc:AlternateContent>
                <mc:Choice Requires="wps">
                  <w:drawing>
                    <wp:inline distT="0" distB="0" distL="0" distR="0" wp14:anchorId="23063998" wp14:editId="40DC408E">
                      <wp:extent cx="320633" cy="314696"/>
                      <wp:effectExtent l="0" t="0" r="3810" b="9525"/>
                      <wp:docPr id="566369059" name="Freeform: Shape 566369059"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566369059"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246ABA5D">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148ADF07" w14:textId="77777777" w:rsidR="00527EAC" w:rsidRPr="00602824" w:rsidRDefault="00527EAC" w:rsidP="00B212AA">
            <w:pPr>
              <w:pStyle w:val="TableNBullet"/>
              <w:spacing w:before="60" w:after="60"/>
            </w:pPr>
            <w:r w:rsidRPr="00602824">
              <w:t>Hospital representatives noted that the regrouping project was inherently complex but could have benefited from clearer governance, more realistic timelines, stronger resourcing, and earlier engagement with clinicians, sponsors, and providers to ensure the model reflected clinical practice.</w:t>
            </w:r>
          </w:p>
          <w:p w14:paraId="2E9ADE25" w14:textId="77777777" w:rsidR="00527EAC" w:rsidRPr="00602824" w:rsidRDefault="00527EAC" w:rsidP="00B212AA">
            <w:pPr>
              <w:pStyle w:val="TableNBullet"/>
              <w:spacing w:before="60" w:after="60"/>
            </w:pPr>
            <w:r w:rsidRPr="00602824">
              <w:t>They described the existing PL structure as administratively burdensome and disconnected from models of care, with unclear grouping boundaries complicating procurement, coding, and benefit eligibility. These issues were seen to contribute to claims delays and disputes.</w:t>
            </w:r>
          </w:p>
          <w:p w14:paraId="0648F9AD" w14:textId="77777777" w:rsidR="00527EAC" w:rsidRPr="00602824" w:rsidRDefault="00527EAC" w:rsidP="00B212AA">
            <w:pPr>
              <w:pStyle w:val="TableNBullet"/>
              <w:spacing w:before="60" w:after="60"/>
            </w:pPr>
            <w:r w:rsidRPr="00602824">
              <w:t>Stakeholders highlighted the need for clearer benefit rules when devices are used outside their designated groups and suggested that a phased implementation approach could have allowed for refinement over time.</w:t>
            </w:r>
          </w:p>
          <w:p w14:paraId="389F1938" w14:textId="77777777" w:rsidR="00527EAC" w:rsidRPr="00602824" w:rsidRDefault="00527EAC" w:rsidP="00B212AA">
            <w:pPr>
              <w:pStyle w:val="TableNBullet"/>
              <w:spacing w:before="60" w:after="60"/>
            </w:pPr>
            <w:r w:rsidRPr="00602824">
              <w:t>While acknowledging that device regulation is the responsibility of the TGA, hospital representatives emphasised that PL structuring must balance standardisation with flexibility to accommodate real-world clinical use.</w:t>
            </w:r>
          </w:p>
        </w:tc>
      </w:tr>
      <w:tr w:rsidR="00527EAC" w:rsidRPr="00602824" w14:paraId="2DCEE31D" w14:textId="77777777" w:rsidTr="00527EAC">
        <w:tc>
          <w:tcPr>
            <w:tcW w:w="2268" w:type="dxa"/>
            <w:shd w:val="clear" w:color="auto" w:fill="00264D" w:themeFill="background2"/>
          </w:tcPr>
          <w:p w14:paraId="2BB5145C" w14:textId="77777777" w:rsidR="00527EAC" w:rsidRPr="00602824" w:rsidRDefault="00527EAC" w:rsidP="00FB712C">
            <w:pPr>
              <w:pStyle w:val="TableNheader"/>
              <w:spacing w:before="60" w:after="60" w:line="240" w:lineRule="auto"/>
              <w:jc w:val="center"/>
              <w:rPr>
                <w:color w:val="FFFFFF" w:themeColor="background1"/>
              </w:rPr>
            </w:pPr>
            <w:r w:rsidRPr="00602824">
              <w:rPr>
                <w:color w:val="FFFFFF" w:themeColor="background1"/>
              </w:rPr>
              <w:t>Private health insurance representatives</w:t>
            </w:r>
          </w:p>
          <w:p w14:paraId="5054DBA6" w14:textId="77777777" w:rsidR="00527EAC" w:rsidRPr="00602824" w:rsidRDefault="00527EAC" w:rsidP="00FB712C">
            <w:pPr>
              <w:pStyle w:val="TableNheader"/>
              <w:spacing w:before="60" w:after="60" w:line="240" w:lineRule="auto"/>
              <w:jc w:val="center"/>
              <w:rPr>
                <w:color w:val="FFFFFF" w:themeColor="background1"/>
              </w:rPr>
            </w:pPr>
            <w:r w:rsidRPr="00AC7E3F">
              <w:rPr>
                <w:i/>
                <w:iCs/>
                <w:noProof/>
              </w:rPr>
              <mc:AlternateContent>
                <mc:Choice Requires="wps">
                  <w:drawing>
                    <wp:inline distT="0" distB="0" distL="0" distR="0" wp14:anchorId="5CA5543C" wp14:editId="4D9D7B08">
                      <wp:extent cx="292311" cy="292311"/>
                      <wp:effectExtent l="0" t="0" r="0" b="0"/>
                      <wp:docPr id="1830155388" name="Freeform: Shape 1830155388"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830155388"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71BB6D0C">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627B3DFA" w14:textId="77777777" w:rsidR="00527EAC" w:rsidRPr="00602824" w:rsidRDefault="00527EAC" w:rsidP="00B212AA">
            <w:pPr>
              <w:pStyle w:val="TableNBullet"/>
              <w:spacing w:before="60" w:after="60"/>
            </w:pPr>
            <w:r w:rsidRPr="00602824">
              <w:t>Insurer representatives expressed strong disappointment that the regrouping project was discontinued. They believed the proposed approach – aligning groups more closely with clinical indications – would have improved pricing transparency and accountability for sponsors.</w:t>
            </w:r>
          </w:p>
          <w:p w14:paraId="2D059562" w14:textId="77777777" w:rsidR="00527EAC" w:rsidRPr="00602824" w:rsidRDefault="00527EAC" w:rsidP="00B212AA">
            <w:pPr>
              <w:pStyle w:val="TableNBullet"/>
              <w:spacing w:before="60" w:after="60"/>
            </w:pPr>
            <w:r w:rsidRPr="00602824">
              <w:t xml:space="preserve">They supported grouping devices by clinical function or intended use, as recommended in the </w:t>
            </w:r>
            <w:proofErr w:type="spellStart"/>
            <w:r w:rsidRPr="00602824">
              <w:t>Hereco</w:t>
            </w:r>
            <w:proofErr w:type="spellEnd"/>
            <w:r w:rsidRPr="00602824">
              <w:t xml:space="preserve"> report, and raised concerns about pricing inconsistencies where devices are used beyond their originally intended purpose.</w:t>
            </w:r>
          </w:p>
          <w:p w14:paraId="4A40AA37" w14:textId="77777777" w:rsidR="00527EAC" w:rsidRPr="00602824" w:rsidRDefault="00527EAC" w:rsidP="00B212AA">
            <w:pPr>
              <w:pStyle w:val="TableNBullet"/>
              <w:spacing w:before="60" w:after="60"/>
            </w:pPr>
            <w:r w:rsidRPr="00602824">
              <w:t>Representatives viewed the rationale for cancelling the reform project as unclear and questioned whether the required HTA approach for all “mixed benefits groups” was the only viable option. They noted that alternative or phased approaches had not been adequately explored.</w:t>
            </w:r>
          </w:p>
        </w:tc>
      </w:tr>
      <w:tr w:rsidR="00527EAC" w:rsidRPr="00602824" w14:paraId="5E587377" w14:textId="77777777" w:rsidTr="00527EAC">
        <w:tc>
          <w:tcPr>
            <w:tcW w:w="2268" w:type="dxa"/>
            <w:shd w:val="clear" w:color="auto" w:fill="00264D" w:themeFill="background2"/>
          </w:tcPr>
          <w:p w14:paraId="74EB8EEC" w14:textId="77777777" w:rsidR="00527EAC" w:rsidRPr="00602824" w:rsidRDefault="00527EAC" w:rsidP="00FB712C">
            <w:pPr>
              <w:pStyle w:val="TableNheader"/>
              <w:spacing w:before="60" w:after="60" w:line="240" w:lineRule="auto"/>
              <w:jc w:val="center"/>
              <w:rPr>
                <w:color w:val="FFFFFF" w:themeColor="background1"/>
              </w:rPr>
            </w:pPr>
            <w:r w:rsidRPr="00602824">
              <w:rPr>
                <w:color w:val="FFFFFF" w:themeColor="background1"/>
              </w:rPr>
              <w:t>Medical technology representatives</w:t>
            </w:r>
          </w:p>
          <w:p w14:paraId="4E7065EB" w14:textId="77777777" w:rsidR="00527EAC" w:rsidRPr="00602824" w:rsidRDefault="00527EAC" w:rsidP="00FB712C">
            <w:pPr>
              <w:pStyle w:val="TableNheader"/>
              <w:spacing w:before="60" w:after="60" w:line="240" w:lineRule="auto"/>
              <w:jc w:val="center"/>
              <w:rPr>
                <w:color w:val="FFFFFF" w:themeColor="background1"/>
              </w:rPr>
            </w:pPr>
            <w:r w:rsidRPr="00AC7E3F">
              <w:rPr>
                <w:i/>
                <w:iCs/>
                <w:noProof/>
              </w:rPr>
              <w:drawing>
                <wp:inline distT="0" distB="0" distL="0" distR="0" wp14:anchorId="2D85B7B3" wp14:editId="7DE5270A">
                  <wp:extent cx="309245" cy="336734"/>
                  <wp:effectExtent l="0" t="0" r="0" b="6350"/>
                  <wp:docPr id="2021347946" name="Graphic 2021347946"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4902D2C5" w14:textId="77777777" w:rsidR="00527EAC" w:rsidRPr="00602824" w:rsidRDefault="00527EAC" w:rsidP="00B212AA">
            <w:pPr>
              <w:pStyle w:val="TableNBullet"/>
              <w:spacing w:before="60" w:after="60"/>
            </w:pPr>
            <w:r w:rsidRPr="00602824">
              <w:t>Industry stakeholders cautioned that regrouping primarily for insurer and hospital benefit could have reduced clinicians’ ability to select the most appropriate device. They emphasised that suffixes on the PL already account for technological and clinical differences.</w:t>
            </w:r>
          </w:p>
          <w:p w14:paraId="0C5CA6B6" w14:textId="77777777" w:rsidR="00527EAC" w:rsidRPr="00602824" w:rsidRDefault="00527EAC" w:rsidP="00B212AA">
            <w:pPr>
              <w:pStyle w:val="TableNBullet"/>
              <w:spacing w:before="60" w:after="60"/>
            </w:pPr>
            <w:r w:rsidRPr="00602824">
              <w:t>They viewed grouping devices solely by intended use or health outcomes as overly simplistic, potentially stifling innovation and limiting access to advanced technologies.</w:t>
            </w:r>
          </w:p>
          <w:p w14:paraId="5974511C" w14:textId="77777777" w:rsidR="00527EAC" w:rsidRPr="00602824" w:rsidRDefault="00527EAC" w:rsidP="00B212AA">
            <w:pPr>
              <w:pStyle w:val="TableNBullet"/>
              <w:spacing w:before="60" w:after="60"/>
            </w:pPr>
            <w:r w:rsidRPr="00602824">
              <w:t>Some expressed frustration that the regrouping project was halted despite the provision of alternative models that would have consolidated groupings without breaching the MOU. They saw the process as rigid, requiring all consultant recommendations to be accepted for reforms to proceed.</w:t>
            </w:r>
          </w:p>
        </w:tc>
      </w:tr>
      <w:tr w:rsidR="00527EAC" w:rsidRPr="00602824" w14:paraId="31C9BA8B" w14:textId="77777777" w:rsidTr="00527EAC">
        <w:tc>
          <w:tcPr>
            <w:tcW w:w="2268" w:type="dxa"/>
            <w:shd w:val="clear" w:color="auto" w:fill="00264D" w:themeFill="background2"/>
          </w:tcPr>
          <w:p w14:paraId="02528356" w14:textId="77777777" w:rsidR="00527EAC" w:rsidRPr="00602824" w:rsidRDefault="00527EAC" w:rsidP="00FB712C">
            <w:pPr>
              <w:pStyle w:val="TableNheader"/>
              <w:spacing w:before="60" w:after="60" w:line="240" w:lineRule="auto"/>
              <w:jc w:val="center"/>
              <w:rPr>
                <w:color w:val="FFFFFF" w:themeColor="background1"/>
              </w:rPr>
            </w:pPr>
            <w:r w:rsidRPr="00602824">
              <w:rPr>
                <w:color w:val="FFFFFF" w:themeColor="background1"/>
              </w:rPr>
              <w:t>Clinician representatives</w:t>
            </w:r>
          </w:p>
          <w:p w14:paraId="39DBC1A8" w14:textId="77777777" w:rsidR="00527EAC" w:rsidRPr="00602824" w:rsidRDefault="00527EAC" w:rsidP="00FB712C">
            <w:pPr>
              <w:pStyle w:val="TableNheader"/>
              <w:spacing w:before="60" w:after="60" w:line="240" w:lineRule="auto"/>
              <w:jc w:val="center"/>
              <w:rPr>
                <w:color w:val="FFFFFF" w:themeColor="background1"/>
              </w:rPr>
            </w:pPr>
            <w:r w:rsidRPr="00AC7E3F">
              <w:rPr>
                <w:noProof/>
              </w:rPr>
              <w:drawing>
                <wp:inline distT="0" distB="0" distL="0" distR="0" wp14:anchorId="5B17A2BE" wp14:editId="34CB3375">
                  <wp:extent cx="267970" cy="323215"/>
                  <wp:effectExtent l="0" t="0" r="0" b="635"/>
                  <wp:docPr id="694046073"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3EA124D8" w14:textId="77777777" w:rsidR="00527EAC" w:rsidRPr="00602824" w:rsidRDefault="00527EAC" w:rsidP="00B212AA">
            <w:pPr>
              <w:pStyle w:val="TableNBullet"/>
              <w:spacing w:before="60" w:after="60"/>
            </w:pPr>
            <w:r w:rsidRPr="00602824">
              <w:t>Clinician representatives acknowledged that regrouping offered potential benefits in aligning the PL to a clearer and more consistent logic based on use or outcome. However, they considered the process to have lacked adequate consultation and insufficient consideration of commercial implications.</w:t>
            </w:r>
          </w:p>
          <w:p w14:paraId="470F5201" w14:textId="77777777" w:rsidR="00527EAC" w:rsidRPr="00602824" w:rsidRDefault="00527EAC" w:rsidP="00B212AA">
            <w:pPr>
              <w:pStyle w:val="TableNBullet"/>
              <w:spacing w:before="60" w:after="60"/>
            </w:pPr>
            <w:r w:rsidRPr="00602824">
              <w:t>They supported further discussion of grouping structures but noted that this would require greater capacity for detailed stakeholder engagement to prevent unintended impacts.</w:t>
            </w:r>
          </w:p>
        </w:tc>
      </w:tr>
    </w:tbl>
    <w:p w14:paraId="1A1300F4" w14:textId="77777777" w:rsidR="00B3093B" w:rsidRPr="00602824" w:rsidRDefault="00B3093B" w:rsidP="00B3093B">
      <w:pPr>
        <w:rPr>
          <w:lang w:eastAsia="en-AU"/>
        </w:rPr>
      </w:pPr>
      <w:bookmarkStart w:id="65" w:name="_Ref202913863"/>
    </w:p>
    <w:p w14:paraId="4D0B1849" w14:textId="77777777" w:rsidR="00B3093B" w:rsidRPr="00602824" w:rsidRDefault="00B3093B" w:rsidP="00B3093B">
      <w:pPr>
        <w:rPr>
          <w:lang w:eastAsia="en-AU"/>
        </w:rPr>
      </w:pPr>
    </w:p>
    <w:p w14:paraId="0FE9C374" w14:textId="77777777" w:rsidR="00B3093B" w:rsidRPr="00602824" w:rsidRDefault="00B3093B" w:rsidP="00B3093B">
      <w:pPr>
        <w:rPr>
          <w:lang w:eastAsia="en-AU"/>
        </w:rPr>
      </w:pPr>
    </w:p>
    <w:p w14:paraId="0467EAB9" w14:textId="037AD1FF" w:rsidR="000B1919" w:rsidRPr="00602824" w:rsidRDefault="00710C94" w:rsidP="00267E1F">
      <w:pPr>
        <w:pStyle w:val="Heading3"/>
      </w:pPr>
      <w:bookmarkStart w:id="66" w:name="_Ref204589228"/>
      <w:r w:rsidRPr="00602824">
        <w:t>Implementation progress</w:t>
      </w:r>
      <w:r w:rsidR="00E83C24" w:rsidRPr="00602824">
        <w:t xml:space="preserve"> (c)</w:t>
      </w:r>
      <w:r w:rsidRPr="00602824">
        <w:t>: review general use items</w:t>
      </w:r>
      <w:bookmarkEnd w:id="65"/>
      <w:bookmarkEnd w:id="66"/>
    </w:p>
    <w:tbl>
      <w:tblPr>
        <w:tblStyle w:val="NOUSSideHeader5"/>
        <w:tblW w:w="0" w:type="auto"/>
        <w:tblLook w:val="04A0" w:firstRow="1" w:lastRow="0" w:firstColumn="1" w:lastColumn="0" w:noHBand="0" w:noVBand="1"/>
      </w:tblPr>
      <w:tblGrid>
        <w:gridCol w:w="9041"/>
      </w:tblGrid>
      <w:tr w:rsidR="003564ED" w:rsidRPr="00602824" w14:paraId="59173B89" w14:textId="77777777" w:rsidTr="00CE0C11">
        <w:trPr>
          <w:cnfStyle w:val="100000000000" w:firstRow="1" w:lastRow="0" w:firstColumn="0" w:lastColumn="0" w:oddVBand="0" w:evenVBand="0" w:oddHBand="0" w:evenHBand="0" w:firstRowFirstColumn="0" w:firstRowLastColumn="0" w:lastRowFirstColumn="0" w:lastRowLastColumn="0"/>
        </w:trPr>
        <w:tc>
          <w:tcPr>
            <w:tcW w:w="9041" w:type="dxa"/>
          </w:tcPr>
          <w:p w14:paraId="062CC3CF" w14:textId="17DFAD5A" w:rsidR="003564ED" w:rsidRPr="00602824" w:rsidRDefault="003564ED" w:rsidP="00FB712C">
            <w:pPr>
              <w:spacing w:before="120"/>
            </w:pPr>
            <w:r w:rsidRPr="00602824">
              <w:t xml:space="preserve">As reported in </w:t>
            </w:r>
            <w:r w:rsidRPr="00B0417B">
              <w:rPr>
                <w:i/>
                <w:iCs/>
              </w:rPr>
              <w:t>Interim Evaluation #1 report</w:t>
            </w:r>
            <w:r w:rsidRPr="00602824">
              <w:t>, the Government confirmed on 1 May 2024 that GUIs would remain on the PL after 1 July 2024. The announcement cited stakeholder concerns and increased financial pressures on private hospitals affecting their viability as key factors in this decision.</w:t>
            </w:r>
            <w:r w:rsidRPr="00602824">
              <w:rPr>
                <w:rStyle w:val="FootnoteReference"/>
              </w:rPr>
              <w:footnoteReference w:id="82"/>
            </w:r>
          </w:p>
          <w:p w14:paraId="124E18B9" w14:textId="5878F9DB" w:rsidR="003564ED" w:rsidRPr="00602824" w:rsidRDefault="003564ED" w:rsidP="00FB712C">
            <w:pPr>
              <w:spacing w:before="120"/>
            </w:pPr>
            <w:r w:rsidRPr="00602824">
              <w:t>While GUIs have been retained in Part D of the PL, 26 specific billing codes were removed on 1 November 2024 as they are regulated by the Therapeutic Goods Administration as medicines and accessories to medicines and therefore do not meet the PL eligibility requirements.</w:t>
            </w:r>
            <w:r w:rsidRPr="00602824">
              <w:rPr>
                <w:rStyle w:val="FootnoteReference"/>
              </w:rPr>
              <w:footnoteReference w:id="83"/>
            </w:r>
          </w:p>
        </w:tc>
      </w:tr>
    </w:tbl>
    <w:p w14:paraId="6D6C232A" w14:textId="1B8AE2DE" w:rsidR="00311C07" w:rsidRPr="00602824" w:rsidRDefault="00311C07" w:rsidP="00B50EE7">
      <w:pPr>
        <w:pStyle w:val="Caption"/>
      </w:pPr>
      <w:bookmarkStart w:id="67" w:name="_Ref202469903"/>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22</w:t>
      </w:r>
      <w:r w:rsidR="002604D0">
        <w:fldChar w:fldCharType="end"/>
      </w:r>
      <w:bookmarkEnd w:id="67"/>
      <w:r w:rsidRPr="00602824">
        <w:t xml:space="preserve"> | Timeline of general use items (GUIs) reform project</w:t>
      </w:r>
    </w:p>
    <w:p w14:paraId="7E8D2723" w14:textId="77777777" w:rsidR="003564ED" w:rsidRPr="00602824" w:rsidRDefault="003564ED" w:rsidP="00A54C83">
      <w:pPr>
        <w:spacing w:after="160" w:line="259" w:lineRule="auto"/>
      </w:pPr>
      <w:r w:rsidRPr="00AC7E3F">
        <w:rPr>
          <w:noProof/>
          <w:lang w:eastAsia="en-AU"/>
        </w:rPr>
        <w:drawing>
          <wp:inline distT="0" distB="0" distL="0" distR="0" wp14:anchorId="08235B03" wp14:editId="77B75991">
            <wp:extent cx="5742430" cy="5739897"/>
            <wp:effectExtent l="0" t="0" r="0" b="0"/>
            <wp:docPr id="1435988431" name="Picture 14" descr="Timeline of GUI reform project, including decision to retain items at reduced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88431" name="Picture 14" descr="Timeline of GUI reform project, including decision to retain items at reduced benefit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47905" cy="5745369"/>
                    </a:xfrm>
                    <a:prstGeom prst="rect">
                      <a:avLst/>
                    </a:prstGeom>
                  </pic:spPr>
                </pic:pic>
              </a:graphicData>
            </a:graphic>
          </wp:inline>
        </w:drawing>
      </w:r>
    </w:p>
    <w:bookmarkStart w:id="68" w:name="_Hlk201653635"/>
    <w:p w14:paraId="6C6A095B" w14:textId="01777592" w:rsidR="007E3960" w:rsidRPr="00602824" w:rsidRDefault="00D413EB" w:rsidP="00267E1F">
      <w:pPr>
        <w:pStyle w:val="Heading3"/>
      </w:pPr>
      <w:r w:rsidRPr="00AC7E3F">
        <w:rPr>
          <w:noProof/>
        </w:rPr>
        <mc:AlternateContent>
          <mc:Choice Requires="wps">
            <w:drawing>
              <wp:anchor distT="0" distB="0" distL="114300" distR="114300" simplePos="0" relativeHeight="251658244" behindDoc="0" locked="0" layoutInCell="1" allowOverlap="1" wp14:anchorId="242496C7" wp14:editId="3CFCE8CF">
                <wp:simplePos x="0" y="0"/>
                <wp:positionH relativeFrom="column">
                  <wp:posOffset>3767101</wp:posOffset>
                </wp:positionH>
                <wp:positionV relativeFrom="paragraph">
                  <wp:posOffset>647759</wp:posOffset>
                </wp:positionV>
                <wp:extent cx="1905000" cy="1490345"/>
                <wp:effectExtent l="0" t="0" r="0" b="0"/>
                <wp:wrapSquare wrapText="bothSides"/>
                <wp:docPr id="849019528" name="Text Box 849019528"/>
                <wp:cNvGraphicFramePr/>
                <a:graphic xmlns:a="http://schemas.openxmlformats.org/drawingml/2006/main">
                  <a:graphicData uri="http://schemas.microsoft.com/office/word/2010/wordprocessingShape">
                    <wps:wsp>
                      <wps:cNvSpPr txBox="1"/>
                      <wps:spPr>
                        <a:xfrm>
                          <a:off x="0" y="0"/>
                          <a:ext cx="1905000" cy="1490345"/>
                        </a:xfrm>
                        <a:prstGeom prst="rect">
                          <a:avLst/>
                        </a:prstGeom>
                        <a:solidFill>
                          <a:sysClr val="window" lastClr="FFFFFF"/>
                        </a:solidFill>
                        <a:ln w="6350">
                          <a:noFill/>
                        </a:ln>
                        <a:effectLst/>
                      </wps:spPr>
                      <wps:txbx>
                        <w:txbxContent>
                          <w:p w14:paraId="78AEB56E" w14:textId="77777777" w:rsidR="00311C07" w:rsidRPr="004A357C" w:rsidRDefault="00311C07" w:rsidP="00311C07">
                            <w:pPr>
                              <w:pStyle w:val="Callout"/>
                              <w:jc w:val="right"/>
                              <w:rPr>
                                <w:i/>
                                <w:iCs/>
                                <w:color w:val="F25E21" w:themeColor="accent2"/>
                                <w:sz w:val="20"/>
                                <w:szCs w:val="20"/>
                              </w:rPr>
                            </w:pPr>
                            <w:r w:rsidRPr="004A357C">
                              <w:rPr>
                                <w:i/>
                                <w:iCs/>
                                <w:color w:val="F25E21" w:themeColor="accent2"/>
                                <w:sz w:val="20"/>
                                <w:szCs w:val="20"/>
                              </w:rPr>
                              <w:t xml:space="preserve">“The Government has listened to the concerns about the pressure removing general use items would have caused and decided that this achieves the best outcome for patients” </w:t>
                            </w:r>
                          </w:p>
                          <w:p w14:paraId="61733A77" w14:textId="77777777" w:rsidR="00311C07" w:rsidRPr="004A357C" w:rsidRDefault="00311C07" w:rsidP="00311C07">
                            <w:pPr>
                              <w:pStyle w:val="Callout"/>
                              <w:jc w:val="right"/>
                              <w:rPr>
                                <w:rFonts w:asciiTheme="minorHAnsi" w:hAnsiTheme="minorHAnsi" w:cstheme="minorHAnsi"/>
                                <w:b/>
                                <w:bCs/>
                                <w:color w:val="00264D" w:themeColor="background2"/>
                                <w:sz w:val="14"/>
                                <w:szCs w:val="14"/>
                              </w:rPr>
                            </w:pPr>
                            <w:r w:rsidRPr="004A357C">
                              <w:rPr>
                                <w:rFonts w:asciiTheme="minorHAnsi" w:hAnsiTheme="minorHAnsi" w:cstheme="minorHAnsi"/>
                                <w:b/>
                                <w:bCs/>
                                <w:color w:val="00264D" w:themeColor="background2"/>
                                <w:sz w:val="14"/>
                                <w:szCs w:val="14"/>
                              </w:rPr>
                              <w:t>Minister Mark Butler, 1 May 2024</w:t>
                            </w:r>
                          </w:p>
                          <w:p w14:paraId="1C96CAAA" w14:textId="77777777" w:rsidR="00311C07" w:rsidRPr="004A357C" w:rsidRDefault="00311C07" w:rsidP="00311C07">
                            <w:pPr>
                              <w:pStyle w:val="Callout"/>
                              <w:jc w:val="right"/>
                              <w:rPr>
                                <w:i/>
                                <w:iCs/>
                                <w:color w:val="F25E21" w:themeColor="accent2"/>
                                <w:sz w:val="20"/>
                                <w:szCs w:val="20"/>
                              </w:rPr>
                            </w:pPr>
                            <w:r w:rsidRPr="004A357C">
                              <w:rPr>
                                <w:i/>
                                <w:iCs/>
                                <w:color w:val="F25E21" w:themeColor="accent2"/>
                                <w:sz w:val="20"/>
                                <w:szCs w:val="20"/>
                              </w:rPr>
                              <w:t xml:space="preserve"> </w:t>
                            </w:r>
                          </w:p>
                          <w:p w14:paraId="5FE990A8" w14:textId="77777777" w:rsidR="00311C07" w:rsidRPr="004A357C" w:rsidRDefault="00311C07" w:rsidP="00311C07">
                            <w:pPr>
                              <w:pStyle w:val="Callout"/>
                              <w:jc w:val="right"/>
                              <w:rPr>
                                <w:rFonts w:asciiTheme="minorHAnsi" w:hAnsiTheme="minorHAnsi" w:cstheme="minorHAnsi"/>
                                <w:b/>
                                <w:bCs/>
                                <w:color w:val="00264D" w:themeColor="background2"/>
                                <w:sz w:val="14"/>
                                <w:szCs w:val="14"/>
                              </w:rPr>
                            </w:pPr>
                            <w:r w:rsidRPr="004A357C">
                              <w:rPr>
                                <w:rFonts w:asciiTheme="minorHAnsi" w:hAnsiTheme="minorHAnsi" w:cstheme="minorHAnsi"/>
                                <w:b/>
                                <w:bCs/>
                                <w:color w:val="00264D" w:themeColor="background2"/>
                                <w:sz w:val="14"/>
                                <w:szCs w:val="14"/>
                              </w:rPr>
                              <w:t>MTAA, 2017 Senate Submission</w:t>
                            </w:r>
                          </w:p>
                          <w:p w14:paraId="1E5F6004" w14:textId="77777777" w:rsidR="00311C07" w:rsidRPr="004A357C" w:rsidRDefault="00311C07" w:rsidP="00311C07">
                            <w:pPr>
                              <w:pStyle w:val="Callout"/>
                              <w:rPr>
                                <w:color w:val="F25E21" w:themeColor="accent2"/>
                              </w:rPr>
                            </w:pPr>
                          </w:p>
                          <w:p w14:paraId="4BF32AE8" w14:textId="77777777" w:rsidR="00311C07" w:rsidRPr="004A357C" w:rsidRDefault="00311C07" w:rsidP="00311C07">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2496C7" id="Text Box 849019528" o:spid="_x0000_s1027" type="#_x0000_t202" style="position:absolute;left:0;text-align:left;margin-left:296.6pt;margin-top:51pt;width:150pt;height:117.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" fillcolor="window" stroked="f" strokeweight=".5pt">
                <v:textbox inset="0,,1mm">
                  <w:txbxContent>
                    <w:p w14:paraId="78AEB56E" w14:textId="77777777" w:rsidR="00311C07" w:rsidRPr="004A357C" w:rsidRDefault="00311C07" w:rsidP="00311C07">
                      <w:pPr>
                        <w:pStyle w:val="Callout"/>
                        <w:jc w:val="right"/>
                        <w:rPr>
                          <w:i/>
                          <w:iCs/>
                          <w:color w:val="F25E21" w:themeColor="accent2"/>
                          <w:sz w:val="20"/>
                          <w:szCs w:val="20"/>
                        </w:rPr>
                      </w:pPr>
                      <w:r w:rsidRPr="004A357C">
                        <w:rPr>
                          <w:i/>
                          <w:iCs/>
                          <w:color w:val="F25E21" w:themeColor="accent2"/>
                          <w:sz w:val="20"/>
                          <w:szCs w:val="20"/>
                        </w:rPr>
                        <w:t xml:space="preserve">“The Government has listened to the concerns about the pressure removing general use items would have caused and decided that this achieves the best outcome for patients” </w:t>
                      </w:r>
                    </w:p>
                    <w:p w14:paraId="61733A77" w14:textId="77777777" w:rsidR="00311C07" w:rsidRPr="004A357C" w:rsidRDefault="00311C07" w:rsidP="00311C07">
                      <w:pPr>
                        <w:pStyle w:val="Callout"/>
                        <w:jc w:val="right"/>
                        <w:rPr>
                          <w:rFonts w:asciiTheme="minorHAnsi" w:hAnsiTheme="minorHAnsi" w:cstheme="minorHAnsi"/>
                          <w:b/>
                          <w:bCs/>
                          <w:color w:val="00264D" w:themeColor="background2"/>
                          <w:sz w:val="14"/>
                          <w:szCs w:val="14"/>
                        </w:rPr>
                      </w:pPr>
                      <w:r w:rsidRPr="004A357C">
                        <w:rPr>
                          <w:rFonts w:asciiTheme="minorHAnsi" w:hAnsiTheme="minorHAnsi" w:cstheme="minorHAnsi"/>
                          <w:b/>
                          <w:bCs/>
                          <w:color w:val="00264D" w:themeColor="background2"/>
                          <w:sz w:val="14"/>
                          <w:szCs w:val="14"/>
                        </w:rPr>
                        <w:t>Minister Mark Butler, 1 May 2024</w:t>
                      </w:r>
                    </w:p>
                    <w:p w14:paraId="1C96CAAA" w14:textId="77777777" w:rsidR="00311C07" w:rsidRPr="004A357C" w:rsidRDefault="00311C07" w:rsidP="00311C07">
                      <w:pPr>
                        <w:pStyle w:val="Callout"/>
                        <w:jc w:val="right"/>
                        <w:rPr>
                          <w:i/>
                          <w:iCs/>
                          <w:color w:val="F25E21" w:themeColor="accent2"/>
                          <w:sz w:val="20"/>
                          <w:szCs w:val="20"/>
                        </w:rPr>
                      </w:pPr>
                      <w:r w:rsidRPr="004A357C">
                        <w:rPr>
                          <w:i/>
                          <w:iCs/>
                          <w:color w:val="F25E21" w:themeColor="accent2"/>
                          <w:sz w:val="20"/>
                          <w:szCs w:val="20"/>
                        </w:rPr>
                        <w:t xml:space="preserve"> </w:t>
                      </w:r>
                    </w:p>
                    <w:p w14:paraId="5FE990A8" w14:textId="77777777" w:rsidR="00311C07" w:rsidRPr="004A357C" w:rsidRDefault="00311C07" w:rsidP="00311C07">
                      <w:pPr>
                        <w:pStyle w:val="Callout"/>
                        <w:jc w:val="right"/>
                        <w:rPr>
                          <w:rFonts w:asciiTheme="minorHAnsi" w:hAnsiTheme="minorHAnsi" w:cstheme="minorHAnsi"/>
                          <w:b/>
                          <w:bCs/>
                          <w:color w:val="00264D" w:themeColor="background2"/>
                          <w:sz w:val="14"/>
                          <w:szCs w:val="14"/>
                        </w:rPr>
                      </w:pPr>
                      <w:r w:rsidRPr="004A357C">
                        <w:rPr>
                          <w:rFonts w:asciiTheme="minorHAnsi" w:hAnsiTheme="minorHAnsi" w:cstheme="minorHAnsi"/>
                          <w:b/>
                          <w:bCs/>
                          <w:color w:val="00264D" w:themeColor="background2"/>
                          <w:sz w:val="14"/>
                          <w:szCs w:val="14"/>
                        </w:rPr>
                        <w:t>MTAA, 2017 Senate Submission</w:t>
                      </w:r>
                    </w:p>
                    <w:p w14:paraId="1E5F6004" w14:textId="77777777" w:rsidR="00311C07" w:rsidRPr="004A357C" w:rsidRDefault="00311C07" w:rsidP="00311C07">
                      <w:pPr>
                        <w:pStyle w:val="Callout"/>
                        <w:rPr>
                          <w:color w:val="F25E21" w:themeColor="accent2"/>
                        </w:rPr>
                      </w:pPr>
                    </w:p>
                    <w:p w14:paraId="4BF32AE8" w14:textId="77777777" w:rsidR="00311C07" w:rsidRPr="004A357C" w:rsidRDefault="00311C07" w:rsidP="00311C07">
                      <w:pPr>
                        <w:pStyle w:val="Callout"/>
                        <w:rPr>
                          <w:color w:val="F25E21" w:themeColor="accent2"/>
                        </w:rPr>
                      </w:pPr>
                    </w:p>
                  </w:txbxContent>
                </v:textbox>
                <w10:wrap type="square"/>
              </v:shape>
            </w:pict>
          </mc:Fallback>
        </mc:AlternateContent>
      </w:r>
      <w:r w:rsidR="00934F8B" w:rsidRPr="00602824">
        <w:t>Th</w:t>
      </w:r>
      <w:r w:rsidR="00827E74" w:rsidRPr="00602824">
        <w:t xml:space="preserve">e </w:t>
      </w:r>
      <w:r w:rsidR="00B763A3" w:rsidRPr="00602824">
        <w:t>objective to move GUIs to an alternative more appropriate funding mechanism was not realised</w:t>
      </w:r>
    </w:p>
    <w:p w14:paraId="794C9580" w14:textId="07A747C5" w:rsidR="00306FB1" w:rsidRPr="00602824" w:rsidRDefault="0022552E" w:rsidP="00C90997">
      <w:pPr>
        <w:rPr>
          <w:lang w:eastAsia="en-AU"/>
        </w:rPr>
      </w:pPr>
      <w:r w:rsidRPr="00602824">
        <w:rPr>
          <w:lang w:eastAsia="en-AU"/>
        </w:rPr>
        <w:t xml:space="preserve">The reform </w:t>
      </w:r>
      <w:r w:rsidR="002364A6" w:rsidRPr="00602824">
        <w:rPr>
          <w:lang w:eastAsia="en-AU"/>
        </w:rPr>
        <w:t xml:space="preserve">originally </w:t>
      </w:r>
      <w:r w:rsidR="00306FB1" w:rsidRPr="00602824">
        <w:rPr>
          <w:lang w:eastAsia="en-AU"/>
        </w:rPr>
        <w:t>intended</w:t>
      </w:r>
      <w:r w:rsidR="002364A6" w:rsidRPr="00602824">
        <w:rPr>
          <w:lang w:eastAsia="en-AU"/>
        </w:rPr>
        <w:t xml:space="preserve"> to remove general use items (</w:t>
      </w:r>
      <w:r w:rsidRPr="00602824">
        <w:rPr>
          <w:lang w:eastAsia="en-AU"/>
        </w:rPr>
        <w:t>GUIs</w:t>
      </w:r>
      <w:r w:rsidR="002364A6" w:rsidRPr="00602824">
        <w:rPr>
          <w:lang w:eastAsia="en-AU"/>
        </w:rPr>
        <w:t>)</w:t>
      </w:r>
      <w:r w:rsidRPr="00602824">
        <w:rPr>
          <w:lang w:eastAsia="en-AU"/>
        </w:rPr>
        <w:t xml:space="preserve"> from the PL by 1 March 2022</w:t>
      </w:r>
      <w:r w:rsidR="00236C91" w:rsidRPr="00602824">
        <w:rPr>
          <w:lang w:eastAsia="en-AU"/>
        </w:rPr>
        <w:t xml:space="preserve">, which was then deferred </w:t>
      </w:r>
      <w:r w:rsidR="00E973B0" w:rsidRPr="00602824">
        <w:rPr>
          <w:lang w:eastAsia="en-AU"/>
        </w:rPr>
        <w:t xml:space="preserve">multiple times to accommodate </w:t>
      </w:r>
      <w:r w:rsidR="00263136" w:rsidRPr="00602824">
        <w:rPr>
          <w:lang w:eastAsia="en-AU"/>
        </w:rPr>
        <w:t>preparations for alternative funding arrangements</w:t>
      </w:r>
      <w:r w:rsidR="00AC239C" w:rsidRPr="00602824">
        <w:rPr>
          <w:lang w:eastAsia="en-AU"/>
        </w:rPr>
        <w:t xml:space="preserve">. </w:t>
      </w:r>
      <w:r w:rsidR="00C90997" w:rsidRPr="00602824">
        <w:rPr>
          <w:lang w:eastAsia="en-AU"/>
        </w:rPr>
        <w:t>The</w:t>
      </w:r>
      <w:r w:rsidR="00753AF2" w:rsidRPr="00602824">
        <w:rPr>
          <w:lang w:eastAsia="en-AU"/>
        </w:rPr>
        <w:t xml:space="preserve"> aim of this reform was to </w:t>
      </w:r>
      <w:r w:rsidR="007852B1" w:rsidRPr="00602824">
        <w:rPr>
          <w:lang w:eastAsia="en-AU"/>
        </w:rPr>
        <w:t>address</w:t>
      </w:r>
      <w:r w:rsidR="00C90997" w:rsidRPr="00602824">
        <w:rPr>
          <w:lang w:eastAsia="en-AU"/>
        </w:rPr>
        <w:t xml:space="preserve"> ongoing concerns about the high utilisation of certain groups of products in the General Miscellaneous category of PL and elsewhere, and whether these items met the PL list criteria.</w:t>
      </w:r>
      <w:r w:rsidR="00C90997" w:rsidRPr="00602824">
        <w:rPr>
          <w:rStyle w:val="FootnoteReference"/>
          <w:lang w:eastAsia="en-AU"/>
        </w:rPr>
        <w:footnoteReference w:id="84"/>
      </w:r>
      <w:r w:rsidR="00C90997" w:rsidRPr="00602824">
        <w:rPr>
          <w:lang w:eastAsia="en-AU"/>
        </w:rPr>
        <w:t xml:space="preserve"> </w:t>
      </w:r>
    </w:p>
    <w:p w14:paraId="4FEBF4A1" w14:textId="6A5E90DD" w:rsidR="00C90997" w:rsidRPr="00602824" w:rsidRDefault="00C90997" w:rsidP="00C90997">
      <w:r w:rsidRPr="00602824">
        <w:rPr>
          <w:lang w:eastAsia="en-AU"/>
        </w:rPr>
        <w:t xml:space="preserve">The Department identified a group of over 500 general use and consumable products </w:t>
      </w:r>
      <w:r w:rsidR="00D349BE" w:rsidRPr="00602824">
        <w:rPr>
          <w:lang w:eastAsia="en-AU"/>
        </w:rPr>
        <w:t xml:space="preserve">that </w:t>
      </w:r>
      <w:r w:rsidR="00236C91" w:rsidRPr="00602824">
        <w:t xml:space="preserve">that </w:t>
      </w:r>
      <w:r w:rsidR="00D349BE" w:rsidRPr="00602824">
        <w:t xml:space="preserve">either </w:t>
      </w:r>
      <w:r w:rsidR="00236C91" w:rsidRPr="00602824">
        <w:t>failed to</w:t>
      </w:r>
      <w:r w:rsidR="00D349BE" w:rsidRPr="00602824">
        <w:t xml:space="preserve"> meet the pre-reform </w:t>
      </w:r>
      <w:r w:rsidR="00236C91" w:rsidRPr="00602824">
        <w:lastRenderedPageBreak/>
        <w:t xml:space="preserve">listing </w:t>
      </w:r>
      <w:r w:rsidR="00D349BE" w:rsidRPr="00602824">
        <w:t xml:space="preserve">criteria or would not </w:t>
      </w:r>
      <w:r w:rsidR="00236C91" w:rsidRPr="00602824">
        <w:t xml:space="preserve">qualify under the </w:t>
      </w:r>
      <w:r w:rsidR="00D349BE" w:rsidRPr="00602824">
        <w:t xml:space="preserve">new </w:t>
      </w:r>
      <w:r w:rsidR="00236C91" w:rsidRPr="00602824">
        <w:t>definitions</w:t>
      </w:r>
      <w:r w:rsidR="00D349BE" w:rsidRPr="00602824">
        <w:t xml:space="preserve"> agreed </w:t>
      </w:r>
      <w:r w:rsidR="00236C91" w:rsidRPr="00602824">
        <w:t>during the reform process</w:t>
      </w:r>
      <w:r w:rsidR="004B28A8" w:rsidRPr="00602824">
        <w:t>.</w:t>
      </w:r>
      <w:r w:rsidR="00420698" w:rsidRPr="00602824">
        <w:t xml:space="preserve"> Their removal would have </w:t>
      </w:r>
      <w:r w:rsidR="00C43276" w:rsidRPr="00602824">
        <w:t xml:space="preserve">streamlined the </w:t>
      </w:r>
      <w:r w:rsidRPr="00602824">
        <w:rPr>
          <w:lang w:eastAsia="en-AU"/>
        </w:rPr>
        <w:t xml:space="preserve">PL’s scope and range of products and put </w:t>
      </w:r>
      <w:r w:rsidR="000C490D" w:rsidRPr="00602824">
        <w:rPr>
          <w:lang w:eastAsia="en-AU"/>
        </w:rPr>
        <w:t xml:space="preserve">further </w:t>
      </w:r>
      <w:r w:rsidRPr="00602824">
        <w:rPr>
          <w:lang w:eastAsia="en-AU"/>
        </w:rPr>
        <w:t xml:space="preserve">downward pressure on </w:t>
      </w:r>
      <w:r w:rsidR="003F49E1" w:rsidRPr="00602824">
        <w:rPr>
          <w:lang w:eastAsia="en-AU"/>
        </w:rPr>
        <w:t>private health insurance</w:t>
      </w:r>
      <w:r w:rsidRPr="00602824">
        <w:rPr>
          <w:lang w:eastAsia="en-AU"/>
        </w:rPr>
        <w:t xml:space="preserve"> by taking cost out of the system. </w:t>
      </w:r>
      <w:r w:rsidR="001E5ADC" w:rsidRPr="00602824">
        <w:rPr>
          <w:lang w:eastAsia="en-AU"/>
        </w:rPr>
        <w:t xml:space="preserve">Advice from the </w:t>
      </w:r>
      <w:r w:rsidRPr="00602824">
        <w:t xml:space="preserve">then Clinical Implementation Reference Group (CIRG) </w:t>
      </w:r>
      <w:r w:rsidR="00E664B6" w:rsidRPr="00602824">
        <w:t>was that</w:t>
      </w:r>
      <w:r w:rsidRPr="00602824">
        <w:t xml:space="preserve"> products could be removed from the PL with no clinical implications or adverse outcomes </w:t>
      </w:r>
      <w:r w:rsidR="003F49E1" w:rsidRPr="00602824">
        <w:t>so long as</w:t>
      </w:r>
      <w:r w:rsidRPr="00602824">
        <w:t xml:space="preserve"> the products </w:t>
      </w:r>
      <w:r w:rsidR="00E664B6" w:rsidRPr="00602824">
        <w:t>were</w:t>
      </w:r>
      <w:r w:rsidRPr="00602824">
        <w:t xml:space="preserve"> still available for use by </w:t>
      </w:r>
      <w:r w:rsidR="003F49E1" w:rsidRPr="00602824">
        <w:t>clinicians</w:t>
      </w:r>
      <w:r w:rsidRPr="00602824">
        <w:t xml:space="preserve"> under an alternative funding agreement.</w:t>
      </w:r>
      <w:r w:rsidRPr="00602824">
        <w:rPr>
          <w:rStyle w:val="FootnoteReference"/>
        </w:rPr>
        <w:footnoteReference w:id="85"/>
      </w:r>
      <w:r w:rsidRPr="00602824">
        <w:t xml:space="preserve"> </w:t>
      </w:r>
    </w:p>
    <w:p w14:paraId="50A174A8" w14:textId="29C76BF0" w:rsidR="00734F3A" w:rsidRPr="00602824" w:rsidRDefault="0022355F" w:rsidP="00D43EB3">
      <w:pPr>
        <w:rPr>
          <w:lang w:eastAsia="en-AU"/>
        </w:rPr>
      </w:pPr>
      <w:r w:rsidRPr="00602824">
        <w:t>Attempts to negotiate a bundled funding arrangement</w:t>
      </w:r>
      <w:r w:rsidR="00896900" w:rsidRPr="00602824">
        <w:t xml:space="preserve"> </w:t>
      </w:r>
      <w:r w:rsidR="00896900" w:rsidRPr="00602824">
        <w:rPr>
          <w:lang w:eastAsia="en-AU"/>
        </w:rPr>
        <w:t xml:space="preserve">between insurers and hospitals were </w:t>
      </w:r>
      <w:r w:rsidR="003F49E1" w:rsidRPr="00602824">
        <w:rPr>
          <w:lang w:eastAsia="en-AU"/>
        </w:rPr>
        <w:t>aided</w:t>
      </w:r>
      <w:r w:rsidR="00896900" w:rsidRPr="00602824">
        <w:rPr>
          <w:lang w:eastAsia="en-AU"/>
        </w:rPr>
        <w:t xml:space="preserve"> by </w:t>
      </w:r>
      <w:r w:rsidR="005B6816" w:rsidRPr="00602824">
        <w:rPr>
          <w:lang w:eastAsia="en-AU"/>
        </w:rPr>
        <w:t>advice from</w:t>
      </w:r>
      <w:r w:rsidR="00896900" w:rsidRPr="00602824">
        <w:rPr>
          <w:lang w:eastAsia="en-AU"/>
        </w:rPr>
        <w:t xml:space="preserve"> IHACPA, with a consultation paper and final report on potential bunding arrangements delivered in late 2022.</w:t>
      </w:r>
      <w:r w:rsidR="00E863C1" w:rsidRPr="00602824">
        <w:rPr>
          <w:lang w:eastAsia="en-AU"/>
        </w:rPr>
        <w:t xml:space="preserve"> </w:t>
      </w:r>
      <w:r w:rsidR="00A97F82" w:rsidRPr="00602824">
        <w:rPr>
          <w:lang w:eastAsia="en-AU"/>
        </w:rPr>
        <w:t xml:space="preserve">While private health insurers had committed </w:t>
      </w:r>
      <w:r w:rsidR="009F4E6D" w:rsidRPr="00602824">
        <w:rPr>
          <w:lang w:eastAsia="en-AU"/>
        </w:rPr>
        <w:t>to the alternative funding arrangement</w:t>
      </w:r>
      <w:r w:rsidR="00B315BF" w:rsidRPr="00602824">
        <w:rPr>
          <w:lang w:eastAsia="en-AU"/>
        </w:rPr>
        <w:t>, concerns were raised</w:t>
      </w:r>
      <w:r w:rsidR="00666025" w:rsidRPr="00602824">
        <w:rPr>
          <w:lang w:eastAsia="en-AU"/>
        </w:rPr>
        <w:t xml:space="preserve"> by private hospitals about potential negative clinical implications or adverse outcomes for patients as well as the compatibility of the proposed funding arrangements with existing data systems</w:t>
      </w:r>
      <w:r w:rsidR="00106F67" w:rsidRPr="00602824">
        <w:rPr>
          <w:lang w:eastAsia="en-AU"/>
        </w:rPr>
        <w:t xml:space="preserve">. </w:t>
      </w:r>
      <w:r w:rsidR="00AC1A12" w:rsidRPr="00602824">
        <w:rPr>
          <w:lang w:eastAsia="en-AU"/>
        </w:rPr>
        <w:t xml:space="preserve">A fundamental concern remained that private hospitals </w:t>
      </w:r>
      <w:r w:rsidR="00D81ADA" w:rsidRPr="00602824">
        <w:rPr>
          <w:lang w:eastAsia="en-AU"/>
        </w:rPr>
        <w:t>might</w:t>
      </w:r>
      <w:r w:rsidR="00666025" w:rsidRPr="00602824">
        <w:rPr>
          <w:lang w:eastAsia="en-AU"/>
        </w:rPr>
        <w:t xml:space="preserve"> be financially worse off under </w:t>
      </w:r>
      <w:r w:rsidR="00D81ADA" w:rsidRPr="00602824">
        <w:rPr>
          <w:lang w:eastAsia="en-AU"/>
        </w:rPr>
        <w:t xml:space="preserve">the </w:t>
      </w:r>
      <w:r w:rsidR="00666025" w:rsidRPr="00602824">
        <w:rPr>
          <w:lang w:eastAsia="en-AU"/>
        </w:rPr>
        <w:t>new arrangements</w:t>
      </w:r>
      <w:r w:rsidR="00D81ADA" w:rsidRPr="00602824">
        <w:rPr>
          <w:lang w:eastAsia="en-AU"/>
        </w:rPr>
        <w:t xml:space="preserve">. </w:t>
      </w:r>
      <w:r w:rsidR="00AC239C" w:rsidRPr="00602824">
        <w:rPr>
          <w:i/>
          <w:lang w:eastAsia="en-AU"/>
        </w:rPr>
        <w:t xml:space="preserve">Interim Evaluation </w:t>
      </w:r>
      <w:r w:rsidR="00E46892" w:rsidRPr="00602824">
        <w:rPr>
          <w:i/>
          <w:iCs/>
          <w:lang w:eastAsia="en-AU"/>
        </w:rPr>
        <w:t>#</w:t>
      </w:r>
      <w:r w:rsidR="00AC239C" w:rsidRPr="00602824">
        <w:rPr>
          <w:i/>
          <w:lang w:eastAsia="en-AU"/>
        </w:rPr>
        <w:t>1</w:t>
      </w:r>
      <w:r w:rsidR="00E46892" w:rsidRPr="00602824">
        <w:rPr>
          <w:i/>
          <w:iCs/>
          <w:lang w:eastAsia="en-AU"/>
        </w:rPr>
        <w:t xml:space="preserve"> report</w:t>
      </w:r>
      <w:r w:rsidR="007B756B" w:rsidRPr="00602824">
        <w:rPr>
          <w:lang w:eastAsia="en-AU"/>
        </w:rPr>
        <w:t xml:space="preserve"> provides a full description of the </w:t>
      </w:r>
      <w:r w:rsidR="00E863C1" w:rsidRPr="00602824">
        <w:rPr>
          <w:lang w:eastAsia="en-AU"/>
        </w:rPr>
        <w:t xml:space="preserve">failure of the negotiation </w:t>
      </w:r>
      <w:r w:rsidR="00B05B63" w:rsidRPr="00602824">
        <w:rPr>
          <w:lang w:eastAsia="en-AU"/>
        </w:rPr>
        <w:t>process</w:t>
      </w:r>
      <w:r w:rsidR="00E863C1" w:rsidRPr="00602824">
        <w:rPr>
          <w:lang w:eastAsia="en-AU"/>
        </w:rPr>
        <w:t xml:space="preserve"> and the resultant </w:t>
      </w:r>
      <w:r w:rsidR="00F04D0F" w:rsidRPr="00602824">
        <w:rPr>
          <w:lang w:eastAsia="en-AU"/>
        </w:rPr>
        <w:t>decision</w:t>
      </w:r>
      <w:r w:rsidR="00B637C1" w:rsidRPr="00602824">
        <w:rPr>
          <w:lang w:eastAsia="en-AU"/>
        </w:rPr>
        <w:t xml:space="preserve">, taken in May 2024, to </w:t>
      </w:r>
      <w:r w:rsidR="0082734B" w:rsidRPr="00602824">
        <w:rPr>
          <w:lang w:eastAsia="en-AU"/>
        </w:rPr>
        <w:t>no longer proceed with the removal of GUIs from the PL</w:t>
      </w:r>
      <w:r w:rsidR="00111E87" w:rsidRPr="00602824">
        <w:rPr>
          <w:lang w:eastAsia="en-AU"/>
        </w:rPr>
        <w:t>.</w:t>
      </w:r>
      <w:r w:rsidR="008D4223" w:rsidRPr="00602824">
        <w:rPr>
          <w:lang w:eastAsia="en-AU"/>
        </w:rPr>
        <w:t xml:space="preserve"> </w:t>
      </w:r>
      <w:r w:rsidR="00CF066C" w:rsidRPr="00602824">
        <w:t>The decision, announced by the Minister</w:t>
      </w:r>
      <w:r w:rsidR="0028431D" w:rsidRPr="00602824">
        <w:t xml:space="preserve">, </w:t>
      </w:r>
      <w:r w:rsidR="00CF066C" w:rsidRPr="00602824">
        <w:t xml:space="preserve">was </w:t>
      </w:r>
      <w:r w:rsidR="000E6E81" w:rsidRPr="00602824">
        <w:t>based on the</w:t>
      </w:r>
      <w:r w:rsidR="00CF066C" w:rsidRPr="00602824">
        <w:t xml:space="preserve"> need to balance patient safety and hospital viability with savings and reform commitments</w:t>
      </w:r>
      <w:r w:rsidR="001411CF" w:rsidRPr="00602824">
        <w:t>.</w:t>
      </w:r>
    </w:p>
    <w:p w14:paraId="691BF5CB" w14:textId="2DAFDD59" w:rsidR="00F25714" w:rsidRPr="00602824" w:rsidRDefault="00987202" w:rsidP="00FB712C">
      <w:pPr>
        <w:pStyle w:val="Heading3"/>
        <w:spacing w:before="300"/>
      </w:pPr>
      <w:r w:rsidRPr="00602824">
        <w:t xml:space="preserve">Despite the failure to remove GUIs, </w:t>
      </w:r>
      <w:bookmarkEnd w:id="68"/>
      <w:r w:rsidR="00F25714" w:rsidRPr="00602824">
        <w:t xml:space="preserve">benefit reductions resulted in </w:t>
      </w:r>
      <w:r w:rsidR="0009355A" w:rsidRPr="00602824">
        <w:t>reduced overall</w:t>
      </w:r>
      <w:r w:rsidR="00F25714" w:rsidRPr="00602824">
        <w:t xml:space="preserve"> expenditure on GUIs</w:t>
      </w:r>
    </w:p>
    <w:p w14:paraId="2114CC2E" w14:textId="1E709D2C" w:rsidR="00040D6C" w:rsidRPr="00602824" w:rsidRDefault="00301946" w:rsidP="00853F77">
      <w:r w:rsidRPr="00602824">
        <w:t>Although</w:t>
      </w:r>
      <w:r w:rsidR="00040D6C" w:rsidRPr="00602824">
        <w:t xml:space="preserve"> GUIs were not removed </w:t>
      </w:r>
      <w:r w:rsidRPr="00602824">
        <w:t>from the PL</w:t>
      </w:r>
      <w:r w:rsidR="00040D6C" w:rsidRPr="00602824">
        <w:t xml:space="preserve"> planned, benefit reductions </w:t>
      </w:r>
      <w:r w:rsidRPr="00602824">
        <w:t>to these items occurred</w:t>
      </w:r>
      <w:r w:rsidR="00040D6C" w:rsidRPr="00602824">
        <w:t xml:space="preserve"> during the </w:t>
      </w:r>
      <w:r w:rsidR="00E635A7" w:rsidRPr="00602824">
        <w:t>reform</w:t>
      </w:r>
      <w:r w:rsidR="00040D6C" w:rsidRPr="00602824">
        <w:t xml:space="preserve"> period:</w:t>
      </w:r>
    </w:p>
    <w:p w14:paraId="7A341BED" w14:textId="77777777" w:rsidR="00E635A7" w:rsidRPr="00602824" w:rsidRDefault="00E635A7" w:rsidP="00E635A7">
      <w:pPr>
        <w:pStyle w:val="Bullet"/>
        <w:rPr>
          <w:rFonts w:eastAsia="Segoe UI"/>
        </w:rPr>
      </w:pPr>
      <w:r w:rsidRPr="00602824">
        <w:rPr>
          <w:rFonts w:eastAsia="Segoe UI"/>
        </w:rPr>
        <w:t>From 1 July 2022: a 60% reduction of the gap between the PL benefit and the weighted average price.</w:t>
      </w:r>
    </w:p>
    <w:p w14:paraId="3C203CD2" w14:textId="77777777" w:rsidR="00E635A7" w:rsidRPr="00602824" w:rsidRDefault="00E635A7" w:rsidP="00E635A7">
      <w:pPr>
        <w:pStyle w:val="Bullet"/>
        <w:rPr>
          <w:rFonts w:eastAsia="Segoe UI"/>
        </w:rPr>
      </w:pPr>
      <w:r w:rsidRPr="00602824">
        <w:rPr>
          <w:rFonts w:eastAsia="Segoe UI"/>
        </w:rPr>
        <w:t>From 1 March 2023: a further 40% reduction of the remaining gap.</w:t>
      </w:r>
    </w:p>
    <w:p w14:paraId="230B8700" w14:textId="08F17F32" w:rsidR="003F7C51" w:rsidRPr="00602824" w:rsidRDefault="00F327CD" w:rsidP="00903578">
      <w:r w:rsidRPr="00602824">
        <w:t xml:space="preserve">While GUI utilisation has remained constant throughout the reforms, benefit reductions have resulted in </w:t>
      </w:r>
      <w:r w:rsidR="00967F98" w:rsidRPr="00602824">
        <w:t>reduced</w:t>
      </w:r>
      <w:r w:rsidRPr="00602824">
        <w:t xml:space="preserve"> expenditure on GUIs overall. This can be seen in </w:t>
      </w:r>
      <w:r w:rsidR="003F7C51" w:rsidRPr="00602824">
        <w:fldChar w:fldCharType="begin"/>
      </w:r>
      <w:r w:rsidR="003F7C51" w:rsidRPr="00602824">
        <w:instrText xml:space="preserve"> REF _Ref202384189 \h </w:instrText>
      </w:r>
      <w:r w:rsidR="003F7C51" w:rsidRPr="00602824">
        <w:fldChar w:fldCharType="separate"/>
      </w:r>
      <w:r w:rsidR="00D30634" w:rsidRPr="00602824">
        <w:t xml:space="preserve">Table </w:t>
      </w:r>
      <w:r w:rsidR="00D30634">
        <w:rPr>
          <w:noProof/>
        </w:rPr>
        <w:t>9</w:t>
      </w:r>
      <w:r w:rsidR="003F7C51" w:rsidRPr="00602824">
        <w:fldChar w:fldCharType="end"/>
      </w:r>
      <w:r w:rsidR="003F7C51" w:rsidRPr="00602824">
        <w:t xml:space="preserve"> below. </w:t>
      </w:r>
      <w:r w:rsidRPr="00602824">
        <w:t xml:space="preserve"> </w:t>
      </w:r>
    </w:p>
    <w:p w14:paraId="413D54D0" w14:textId="70856517" w:rsidR="003F7C51" w:rsidRPr="00602824" w:rsidRDefault="003F7C51" w:rsidP="001F37C8">
      <w:pPr>
        <w:pStyle w:val="Caption"/>
        <w:spacing w:before="120"/>
        <w:rPr>
          <w:vertAlign w:val="superscript"/>
        </w:rPr>
      </w:pPr>
      <w:bookmarkStart w:id="69" w:name="_Ref202384189"/>
      <w:r w:rsidRPr="00602824">
        <w:t xml:space="preserve">Table </w:t>
      </w:r>
      <w:r w:rsidR="002604D0">
        <w:fldChar w:fldCharType="begin"/>
      </w:r>
      <w:r w:rsidR="002604D0">
        <w:instrText xml:space="preserve"> SEQ Table \* ARABIC </w:instrText>
      </w:r>
      <w:r w:rsidR="002604D0">
        <w:fldChar w:fldCharType="separate"/>
      </w:r>
      <w:r w:rsidR="00D30634">
        <w:rPr>
          <w:noProof/>
        </w:rPr>
        <w:t>9</w:t>
      </w:r>
      <w:r w:rsidR="002604D0">
        <w:fldChar w:fldCharType="end"/>
      </w:r>
      <w:bookmarkEnd w:id="69"/>
      <w:r w:rsidRPr="00602824">
        <w:t xml:space="preserve"> | Utilisation and value of GUIs between FY21 and FY24</w:t>
      </w:r>
      <w:r w:rsidR="00DC6A53" w:rsidRPr="00602824">
        <w:rPr>
          <w:rStyle w:val="FootnoteReference"/>
        </w:rPr>
        <w:footnoteReference w:id="86"/>
      </w:r>
      <w:r w:rsidR="00DC6A53" w:rsidRPr="00602824">
        <w:rPr>
          <w:vertAlign w:val="superscript"/>
        </w:rPr>
        <w:t>,</w:t>
      </w:r>
      <w:r w:rsidR="00DC6A53" w:rsidRPr="00602824">
        <w:rPr>
          <w:rStyle w:val="FootnoteReference"/>
        </w:rPr>
        <w:footnoteReference w:id="87"/>
      </w:r>
    </w:p>
    <w:tbl>
      <w:tblPr>
        <w:tblStyle w:val="NOUS1"/>
        <w:tblW w:w="0" w:type="auto"/>
        <w:tblLook w:val="04A0" w:firstRow="1" w:lastRow="0" w:firstColumn="1" w:lastColumn="0" w:noHBand="0" w:noVBand="1"/>
      </w:tblPr>
      <w:tblGrid>
        <w:gridCol w:w="1812"/>
        <w:gridCol w:w="1812"/>
        <w:gridCol w:w="1812"/>
        <w:gridCol w:w="1812"/>
        <w:gridCol w:w="1813"/>
      </w:tblGrid>
      <w:tr w:rsidR="007341E3" w:rsidRPr="00602824" w14:paraId="5DF35D5B" w14:textId="77777777" w:rsidTr="007341E3">
        <w:trPr>
          <w:cnfStyle w:val="100000000000" w:firstRow="1" w:lastRow="0" w:firstColumn="0" w:lastColumn="0" w:oddVBand="0" w:evenVBand="0" w:oddHBand="0" w:evenHBand="0" w:firstRowFirstColumn="0" w:firstRowLastColumn="0" w:lastRowFirstColumn="0" w:lastRowLastColumn="0"/>
        </w:trPr>
        <w:tc>
          <w:tcPr>
            <w:tcW w:w="1812" w:type="dxa"/>
          </w:tcPr>
          <w:p w14:paraId="584CCF27" w14:textId="77777777" w:rsidR="007341E3" w:rsidRPr="00602824" w:rsidRDefault="007341E3" w:rsidP="00FB712C">
            <w:pPr>
              <w:pStyle w:val="TableNheader"/>
              <w:spacing w:before="60" w:after="60" w:line="240" w:lineRule="auto"/>
            </w:pPr>
          </w:p>
        </w:tc>
        <w:tc>
          <w:tcPr>
            <w:tcW w:w="1812" w:type="dxa"/>
          </w:tcPr>
          <w:p w14:paraId="15B3F5DE" w14:textId="4563FB37" w:rsidR="007341E3" w:rsidRPr="00602824" w:rsidRDefault="007341E3" w:rsidP="003D2312">
            <w:pPr>
              <w:pStyle w:val="TableNheader"/>
              <w:spacing w:before="60" w:after="60" w:line="240" w:lineRule="auto"/>
              <w:jc w:val="center"/>
            </w:pPr>
            <w:r w:rsidRPr="00602824">
              <w:t>FY21</w:t>
            </w:r>
          </w:p>
        </w:tc>
        <w:tc>
          <w:tcPr>
            <w:tcW w:w="1812" w:type="dxa"/>
          </w:tcPr>
          <w:p w14:paraId="33EC124D" w14:textId="27A94C97" w:rsidR="007341E3" w:rsidRPr="00602824" w:rsidRDefault="007341E3" w:rsidP="003D2312">
            <w:pPr>
              <w:pStyle w:val="TableNheader"/>
              <w:spacing w:before="60" w:after="60" w:line="240" w:lineRule="auto"/>
              <w:jc w:val="center"/>
            </w:pPr>
            <w:r w:rsidRPr="00602824">
              <w:t>FY22</w:t>
            </w:r>
          </w:p>
        </w:tc>
        <w:tc>
          <w:tcPr>
            <w:tcW w:w="1812" w:type="dxa"/>
          </w:tcPr>
          <w:p w14:paraId="0286E6D9" w14:textId="24EC0E01" w:rsidR="007341E3" w:rsidRPr="00602824" w:rsidRDefault="007341E3" w:rsidP="003D2312">
            <w:pPr>
              <w:pStyle w:val="TableNheader"/>
              <w:spacing w:before="60" w:after="60" w:line="240" w:lineRule="auto"/>
              <w:jc w:val="center"/>
            </w:pPr>
            <w:r w:rsidRPr="00602824">
              <w:t>FY23</w:t>
            </w:r>
          </w:p>
        </w:tc>
        <w:tc>
          <w:tcPr>
            <w:tcW w:w="1813" w:type="dxa"/>
          </w:tcPr>
          <w:p w14:paraId="0C52C244" w14:textId="0EE20B57" w:rsidR="007341E3" w:rsidRPr="00602824" w:rsidRDefault="007341E3" w:rsidP="003D2312">
            <w:pPr>
              <w:pStyle w:val="TableNheader"/>
              <w:spacing w:before="60" w:after="60" w:line="240" w:lineRule="auto"/>
              <w:jc w:val="center"/>
            </w:pPr>
            <w:r w:rsidRPr="00602824">
              <w:t>FY24</w:t>
            </w:r>
          </w:p>
        </w:tc>
      </w:tr>
      <w:tr w:rsidR="00035D7F" w:rsidRPr="00602824" w14:paraId="68377C30" w14:textId="77777777" w:rsidTr="00035D7F">
        <w:tc>
          <w:tcPr>
            <w:tcW w:w="1812" w:type="dxa"/>
            <w:vAlign w:val="center"/>
          </w:tcPr>
          <w:p w14:paraId="5C5154CC" w14:textId="10D9CD51" w:rsidR="00035D7F" w:rsidRPr="00602824" w:rsidRDefault="00035D7F" w:rsidP="00035D7F">
            <w:pPr>
              <w:pStyle w:val="TableNheader"/>
              <w:spacing w:before="60" w:after="60" w:line="240" w:lineRule="auto"/>
            </w:pPr>
            <w:r w:rsidRPr="00602824">
              <w:t xml:space="preserve">Total utilisation </w:t>
            </w:r>
          </w:p>
        </w:tc>
        <w:tc>
          <w:tcPr>
            <w:tcW w:w="1812" w:type="dxa"/>
            <w:vAlign w:val="center"/>
          </w:tcPr>
          <w:p w14:paraId="372F047B" w14:textId="1C8F86D1" w:rsidR="00035D7F" w:rsidRPr="005E058C" w:rsidRDefault="00035D7F" w:rsidP="00035D7F">
            <w:pPr>
              <w:pStyle w:val="TableNText"/>
              <w:spacing w:before="60" w:after="60" w:line="240" w:lineRule="auto"/>
              <w:jc w:val="center"/>
            </w:pPr>
            <w:r>
              <w:t>1,020,932</w:t>
            </w:r>
          </w:p>
        </w:tc>
        <w:tc>
          <w:tcPr>
            <w:tcW w:w="1812" w:type="dxa"/>
            <w:vAlign w:val="center"/>
          </w:tcPr>
          <w:p w14:paraId="21CBAB84" w14:textId="4933D3FF" w:rsidR="00035D7F" w:rsidRPr="00602824" w:rsidRDefault="00035D7F" w:rsidP="00035D7F">
            <w:pPr>
              <w:pStyle w:val="TableNText"/>
              <w:spacing w:before="60" w:after="60" w:line="240" w:lineRule="auto"/>
              <w:jc w:val="center"/>
            </w:pPr>
            <w:r>
              <w:t>990,720</w:t>
            </w:r>
          </w:p>
        </w:tc>
        <w:tc>
          <w:tcPr>
            <w:tcW w:w="1812" w:type="dxa"/>
            <w:vAlign w:val="center"/>
          </w:tcPr>
          <w:p w14:paraId="1D7FAFB6" w14:textId="6458AFD5" w:rsidR="00035D7F" w:rsidRPr="00602824" w:rsidRDefault="00035D7F" w:rsidP="00035D7F">
            <w:pPr>
              <w:pStyle w:val="TableNText"/>
              <w:spacing w:before="60" w:after="60" w:line="240" w:lineRule="auto"/>
              <w:jc w:val="center"/>
            </w:pPr>
            <w:r>
              <w:t>1,023,011</w:t>
            </w:r>
          </w:p>
        </w:tc>
        <w:tc>
          <w:tcPr>
            <w:tcW w:w="1813" w:type="dxa"/>
            <w:vAlign w:val="center"/>
          </w:tcPr>
          <w:p w14:paraId="46849AE7" w14:textId="395E622F" w:rsidR="00035D7F" w:rsidRPr="00602824" w:rsidRDefault="00035D7F" w:rsidP="00035D7F">
            <w:pPr>
              <w:pStyle w:val="TableNText"/>
              <w:spacing w:before="60" w:after="60" w:line="240" w:lineRule="auto"/>
              <w:jc w:val="center"/>
            </w:pPr>
            <w:r>
              <w:t>1,019,798</w:t>
            </w:r>
          </w:p>
        </w:tc>
      </w:tr>
      <w:tr w:rsidR="00035D7F" w:rsidRPr="00602824" w14:paraId="2EE4A230" w14:textId="77777777" w:rsidTr="00035D7F">
        <w:tc>
          <w:tcPr>
            <w:tcW w:w="1812" w:type="dxa"/>
            <w:vAlign w:val="center"/>
          </w:tcPr>
          <w:p w14:paraId="33A42956" w14:textId="14349CEE" w:rsidR="00035D7F" w:rsidRPr="00602824" w:rsidRDefault="00035D7F" w:rsidP="00035D7F">
            <w:pPr>
              <w:pStyle w:val="TableNheader"/>
              <w:spacing w:before="60" w:after="60" w:line="240" w:lineRule="auto"/>
            </w:pPr>
            <w:r w:rsidRPr="00602824">
              <w:t>Total value</w:t>
            </w:r>
          </w:p>
        </w:tc>
        <w:tc>
          <w:tcPr>
            <w:tcW w:w="1812" w:type="dxa"/>
            <w:vAlign w:val="center"/>
          </w:tcPr>
          <w:p w14:paraId="3BD2914C" w14:textId="74E97CD0" w:rsidR="00035D7F" w:rsidRPr="00602824" w:rsidRDefault="00035D7F" w:rsidP="00035D7F">
            <w:pPr>
              <w:pStyle w:val="TableNText"/>
              <w:spacing w:before="60" w:after="60" w:line="240" w:lineRule="auto"/>
              <w:jc w:val="center"/>
            </w:pPr>
            <w:r>
              <w:t>$216,888,306</w:t>
            </w:r>
          </w:p>
        </w:tc>
        <w:tc>
          <w:tcPr>
            <w:tcW w:w="1812" w:type="dxa"/>
            <w:vAlign w:val="center"/>
          </w:tcPr>
          <w:p w14:paraId="181CEE46" w14:textId="3C662C4D" w:rsidR="00035D7F" w:rsidRPr="00602824" w:rsidRDefault="00035D7F" w:rsidP="00035D7F">
            <w:pPr>
              <w:pStyle w:val="TableNText"/>
              <w:spacing w:before="60" w:after="60" w:line="240" w:lineRule="auto"/>
              <w:jc w:val="center"/>
            </w:pPr>
            <w:r>
              <w:t>$206,887,692</w:t>
            </w:r>
          </w:p>
        </w:tc>
        <w:tc>
          <w:tcPr>
            <w:tcW w:w="1812" w:type="dxa"/>
            <w:vAlign w:val="center"/>
          </w:tcPr>
          <w:p w14:paraId="28EDA8DB" w14:textId="36BE5FD0" w:rsidR="00035D7F" w:rsidRPr="00602824" w:rsidRDefault="00035D7F" w:rsidP="00035D7F">
            <w:pPr>
              <w:pStyle w:val="TableNText"/>
              <w:spacing w:before="60" w:after="60" w:line="240" w:lineRule="auto"/>
              <w:jc w:val="center"/>
            </w:pPr>
            <w:r>
              <w:t>$192,765,478</w:t>
            </w:r>
          </w:p>
        </w:tc>
        <w:tc>
          <w:tcPr>
            <w:tcW w:w="1813" w:type="dxa"/>
            <w:vAlign w:val="center"/>
          </w:tcPr>
          <w:p w14:paraId="4073A097" w14:textId="406E803C" w:rsidR="00035D7F" w:rsidRPr="00602824" w:rsidRDefault="00035D7F" w:rsidP="00035D7F">
            <w:pPr>
              <w:pStyle w:val="TableNText"/>
              <w:spacing w:before="60" w:after="60" w:line="240" w:lineRule="auto"/>
              <w:jc w:val="center"/>
            </w:pPr>
            <w:r>
              <w:t>$174,392,258</w:t>
            </w:r>
          </w:p>
        </w:tc>
      </w:tr>
      <w:tr w:rsidR="00035D7F" w:rsidRPr="00602824" w14:paraId="486EB2F2" w14:textId="77777777" w:rsidTr="00035D7F">
        <w:tc>
          <w:tcPr>
            <w:tcW w:w="1812" w:type="dxa"/>
            <w:vAlign w:val="center"/>
          </w:tcPr>
          <w:p w14:paraId="142EE368" w14:textId="5B1355DC" w:rsidR="00035D7F" w:rsidRPr="00602824" w:rsidRDefault="00035D7F" w:rsidP="00035D7F">
            <w:pPr>
              <w:pStyle w:val="TableNheader"/>
              <w:spacing w:before="60" w:after="60" w:line="240" w:lineRule="auto"/>
            </w:pPr>
            <w:r w:rsidRPr="00602824">
              <w:t>Weighted average benefit</w:t>
            </w:r>
          </w:p>
        </w:tc>
        <w:tc>
          <w:tcPr>
            <w:tcW w:w="1812" w:type="dxa"/>
            <w:vAlign w:val="center"/>
          </w:tcPr>
          <w:p w14:paraId="65D6C9B2" w14:textId="6A3A572F" w:rsidR="00035D7F" w:rsidRPr="00602824" w:rsidRDefault="00035D7F" w:rsidP="00035D7F">
            <w:pPr>
              <w:pStyle w:val="TableNText"/>
              <w:spacing w:before="60" w:after="60" w:line="240" w:lineRule="auto"/>
              <w:jc w:val="center"/>
            </w:pPr>
            <w:r>
              <w:t>$212</w:t>
            </w:r>
          </w:p>
        </w:tc>
        <w:tc>
          <w:tcPr>
            <w:tcW w:w="1812" w:type="dxa"/>
            <w:vAlign w:val="center"/>
          </w:tcPr>
          <w:p w14:paraId="7C04A55A" w14:textId="5B2F9AA9" w:rsidR="00035D7F" w:rsidRPr="00602824" w:rsidRDefault="00035D7F" w:rsidP="00035D7F">
            <w:pPr>
              <w:pStyle w:val="TableNText"/>
              <w:spacing w:before="60" w:after="60" w:line="240" w:lineRule="auto"/>
              <w:jc w:val="center"/>
            </w:pPr>
            <w:r>
              <w:t>$209</w:t>
            </w:r>
          </w:p>
        </w:tc>
        <w:tc>
          <w:tcPr>
            <w:tcW w:w="1812" w:type="dxa"/>
            <w:vAlign w:val="center"/>
          </w:tcPr>
          <w:p w14:paraId="594858EB" w14:textId="4C4D3783" w:rsidR="00035D7F" w:rsidRPr="00602824" w:rsidRDefault="00035D7F" w:rsidP="00035D7F">
            <w:pPr>
              <w:pStyle w:val="TableNText"/>
              <w:spacing w:before="60" w:after="60" w:line="240" w:lineRule="auto"/>
              <w:jc w:val="center"/>
            </w:pPr>
            <w:r>
              <w:t>$188</w:t>
            </w:r>
          </w:p>
        </w:tc>
        <w:tc>
          <w:tcPr>
            <w:tcW w:w="1813" w:type="dxa"/>
            <w:vAlign w:val="center"/>
          </w:tcPr>
          <w:p w14:paraId="47880683" w14:textId="49576891" w:rsidR="00035D7F" w:rsidRPr="00602824" w:rsidRDefault="00035D7F" w:rsidP="00035D7F">
            <w:pPr>
              <w:pStyle w:val="TableNText"/>
              <w:spacing w:before="60" w:after="60" w:line="240" w:lineRule="auto"/>
              <w:jc w:val="center"/>
            </w:pPr>
            <w:r>
              <w:t>$171</w:t>
            </w:r>
          </w:p>
        </w:tc>
      </w:tr>
    </w:tbl>
    <w:p w14:paraId="017ADA62" w14:textId="7D89B102" w:rsidR="003D4C28" w:rsidRPr="00602824" w:rsidRDefault="00835DF9" w:rsidP="00FB712C">
      <w:pPr>
        <w:spacing w:before="240"/>
      </w:pPr>
      <w:r w:rsidRPr="00602824">
        <w:t xml:space="preserve">Annual utilisation of GUIs remained relatively stable between FY21 and FY24. Despite this, overall expenditure declined by </w:t>
      </w:r>
      <w:r w:rsidR="00231F1A">
        <w:t>20</w:t>
      </w:r>
      <w:r w:rsidRPr="00602824">
        <w:t xml:space="preserve">% over the period, </w:t>
      </w:r>
      <w:r w:rsidR="00264556" w:rsidRPr="00602824">
        <w:t xml:space="preserve">alongside a </w:t>
      </w:r>
      <w:r w:rsidRPr="00602824">
        <w:t>steady reduction in the weighted average benefit</w:t>
      </w:r>
      <w:r w:rsidR="00A479BC" w:rsidRPr="00602824">
        <w:t xml:space="preserve"> – </w:t>
      </w:r>
      <w:r w:rsidRPr="00602824">
        <w:t>from $</w:t>
      </w:r>
      <w:r w:rsidR="00035D7F">
        <w:t>212</w:t>
      </w:r>
      <w:r w:rsidRPr="00602824">
        <w:rPr>
          <w:color w:val="F25E21" w:themeColor="accent2"/>
        </w:rPr>
        <w:t xml:space="preserve"> </w:t>
      </w:r>
      <w:r w:rsidRPr="00602824">
        <w:t>in FY21 to $</w:t>
      </w:r>
      <w:r w:rsidR="00035D7F">
        <w:t>171</w:t>
      </w:r>
      <w:r w:rsidRPr="00602824">
        <w:rPr>
          <w:color w:val="F25E21" w:themeColor="accent2"/>
        </w:rPr>
        <w:t xml:space="preserve"> </w:t>
      </w:r>
      <w:r w:rsidRPr="00602824">
        <w:t>in FY24. This suggests that lower benefits</w:t>
      </w:r>
      <w:r w:rsidR="007341E3" w:rsidRPr="00602824">
        <w:t xml:space="preserve"> </w:t>
      </w:r>
      <w:r w:rsidRPr="00602824">
        <w:t>were the primary driver of reduced total value.</w:t>
      </w:r>
    </w:p>
    <w:p w14:paraId="2B213A0D" w14:textId="6F3E8866" w:rsidR="00403BC3" w:rsidRPr="00602824" w:rsidRDefault="00A162AB" w:rsidP="00FB712C">
      <w:pPr>
        <w:pStyle w:val="Heading3"/>
        <w:spacing w:before="300"/>
      </w:pPr>
      <w:r w:rsidRPr="00602824">
        <w:lastRenderedPageBreak/>
        <w:t xml:space="preserve">Previous </w:t>
      </w:r>
      <w:r w:rsidR="00D332DD" w:rsidRPr="00602824">
        <w:t xml:space="preserve">investment in </w:t>
      </w:r>
      <w:r w:rsidRPr="00602824">
        <w:t xml:space="preserve">GUI </w:t>
      </w:r>
      <w:r w:rsidR="00D332DD" w:rsidRPr="00602824">
        <w:t>funding models presents a valuable platform for future reform</w:t>
      </w:r>
    </w:p>
    <w:p w14:paraId="2FDB2BC8" w14:textId="4C1A534A" w:rsidR="005016E7" w:rsidRPr="00602824" w:rsidRDefault="005016E7" w:rsidP="00403BC3">
      <w:pPr>
        <w:rPr>
          <w:lang w:eastAsia="en-AU"/>
        </w:rPr>
      </w:pPr>
      <w:r w:rsidRPr="00602824">
        <w:rPr>
          <w:lang w:eastAsia="en-AU"/>
        </w:rPr>
        <w:t>Although the proposed removal of GUIs from the PL did not proceed, the reform process generated substantial design work and sector engagement that remains highly relevant. Stakeholders – including the Department, IHACPA and industry – invested time and resources into exploring alternative bundling models, with one insurer estimating over $250,000 in unrecoverable development costs.</w:t>
      </w:r>
      <w:r w:rsidRPr="00602824">
        <w:rPr>
          <w:rStyle w:val="FootnoteReference"/>
        </w:rPr>
        <w:footnoteReference w:id="88"/>
      </w:r>
    </w:p>
    <w:p w14:paraId="0F789525" w14:textId="6507761F" w:rsidR="00E52C90" w:rsidRPr="00602824" w:rsidRDefault="00254476" w:rsidP="00FB712C">
      <w:pPr>
        <w:spacing w:after="240"/>
        <w:rPr>
          <w:lang w:eastAsia="en-AU"/>
        </w:rPr>
      </w:pPr>
      <w:r w:rsidRPr="00602824">
        <w:rPr>
          <w:lang w:eastAsia="en-AU"/>
        </w:rPr>
        <w:t>This work presents a foundation for future reform. The original objective – to reduce complexity and take cost out of the system without clinical impact – remains valid and aligned with broader reform goals. Revisiting alternative funding approaches for GUIs in the post-reform environment offers an opportunity to build on prior efforts</w:t>
      </w:r>
      <w:r w:rsidR="001355DE" w:rsidRPr="00602824">
        <w:rPr>
          <w:lang w:eastAsia="en-AU"/>
        </w:rPr>
        <w:t>. Any</w:t>
      </w:r>
      <w:r w:rsidRPr="00602824">
        <w:rPr>
          <w:lang w:eastAsia="en-AU"/>
        </w:rPr>
        <w:t xml:space="preserve"> </w:t>
      </w:r>
      <w:r w:rsidR="001355DE" w:rsidRPr="00602824">
        <w:rPr>
          <w:lang w:eastAsia="en-AU"/>
        </w:rPr>
        <w:t>further work would need to consider the financial sustainability of private hospitals.</w:t>
      </w:r>
    </w:p>
    <w:tbl>
      <w:tblPr>
        <w:tblStyle w:val="NousLongformcallout"/>
        <w:tblW w:w="4950" w:type="pct"/>
        <w:tblCellMar>
          <w:top w:w="170" w:type="dxa"/>
          <w:bottom w:w="170" w:type="dxa"/>
        </w:tblCellMar>
        <w:tblLook w:val="04A0" w:firstRow="1" w:lastRow="0" w:firstColumn="1" w:lastColumn="0" w:noHBand="0" w:noVBand="1"/>
      </w:tblPr>
      <w:tblGrid>
        <w:gridCol w:w="8958"/>
      </w:tblGrid>
      <w:tr w:rsidR="00E52C90" w:rsidRPr="00602824" w14:paraId="6817C9D9" w14:textId="77777777">
        <w:tc>
          <w:tcPr>
            <w:tcW w:w="7285" w:type="dxa"/>
            <w:tcBorders>
              <w:left w:val="single" w:sz="18" w:space="0" w:color="2E368F" w:themeColor="text2"/>
            </w:tcBorders>
            <w:shd w:val="clear" w:color="auto" w:fill="F2F2F2" w:themeFill="background1" w:themeFillShade="F2"/>
          </w:tcPr>
          <w:p w14:paraId="1FFE7845" w14:textId="56B5C829" w:rsidR="00E52C90" w:rsidRPr="00602824" w:rsidRDefault="00E52C90" w:rsidP="00FB712C">
            <w:pPr>
              <w:pStyle w:val="Longformcallout"/>
              <w:spacing w:before="0" w:after="120"/>
              <w:rPr>
                <w:rFonts w:asciiTheme="majorHAnsi" w:hAnsiTheme="majorHAnsi" w:cstheme="majorHAnsi"/>
                <w:color w:val="2E368F" w:themeColor="text2"/>
              </w:rPr>
            </w:pPr>
            <w:r w:rsidRPr="00602824">
              <w:rPr>
                <w:rFonts w:asciiTheme="majorHAnsi" w:hAnsiTheme="majorHAnsi" w:cstheme="majorHAnsi"/>
                <w:color w:val="2E368F" w:themeColor="text2"/>
              </w:rPr>
              <w:t xml:space="preserve">RECOMMENDATION </w:t>
            </w:r>
            <w:r w:rsidR="00FC6CF7" w:rsidRPr="00602824">
              <w:rPr>
                <w:rFonts w:asciiTheme="majorHAnsi" w:hAnsiTheme="majorHAnsi" w:cstheme="majorHAnsi"/>
                <w:color w:val="2E368F" w:themeColor="text2"/>
              </w:rPr>
              <w:t>5</w:t>
            </w:r>
          </w:p>
          <w:p w14:paraId="7C8991ED" w14:textId="55D1367C" w:rsidR="00FC6CF7" w:rsidRPr="00602824" w:rsidRDefault="37B374F9" w:rsidP="00FB712C">
            <w:pPr>
              <w:pStyle w:val="Longformcallout"/>
              <w:spacing w:before="0" w:after="120"/>
              <w:rPr>
                <w:rFonts w:asciiTheme="majorHAnsi" w:hAnsiTheme="majorHAnsi" w:cstheme="majorBidi"/>
              </w:rPr>
            </w:pPr>
            <w:r w:rsidRPr="3ECE2525">
              <w:rPr>
                <w:rFonts w:asciiTheme="majorHAnsi" w:hAnsiTheme="majorHAnsi" w:cstheme="majorBidi"/>
              </w:rPr>
              <w:t xml:space="preserve">Continue to explore </w:t>
            </w:r>
            <w:r w:rsidR="00FC6CF7" w:rsidRPr="55059D0C">
              <w:rPr>
                <w:rFonts w:asciiTheme="majorHAnsi" w:hAnsiTheme="majorHAnsi" w:cstheme="majorBidi"/>
              </w:rPr>
              <w:t>develop</w:t>
            </w:r>
            <w:r w:rsidR="7408DB30" w:rsidRPr="55059D0C">
              <w:rPr>
                <w:rFonts w:asciiTheme="majorHAnsi" w:hAnsiTheme="majorHAnsi" w:cstheme="majorBidi"/>
              </w:rPr>
              <w:t>ment of</w:t>
            </w:r>
            <w:r w:rsidR="00FC6CF7" w:rsidRPr="118304E0">
              <w:rPr>
                <w:rFonts w:asciiTheme="majorHAnsi" w:hAnsiTheme="majorHAnsi" w:cstheme="majorBidi"/>
              </w:rPr>
              <w:t xml:space="preserve"> a sustainable funding model for general use items</w:t>
            </w:r>
          </w:p>
          <w:p w14:paraId="0058C204" w14:textId="7966EC71" w:rsidR="00AF37ED" w:rsidRPr="00602824" w:rsidRDefault="00AF37ED" w:rsidP="00FB712C">
            <w:pPr>
              <w:pStyle w:val="Longformcallout"/>
              <w:spacing w:before="0" w:after="120"/>
            </w:pPr>
            <w:r w:rsidRPr="00602824">
              <w:t xml:space="preserve">The work undertaken during the reform process to explore alternative funding approaches for GUIs should be leveraged in the post-reform context. There is an opportunity to build on this investment to develop a workable, clinically appropriate model that reduces system costs without adverse outcomes. Any future approach should align with the broader </w:t>
            </w:r>
            <w:r w:rsidR="00F47466" w:rsidRPr="00602824">
              <w:t>policy</w:t>
            </w:r>
            <w:r w:rsidRPr="00602824">
              <w:t xml:space="preserve"> objective of streamlining the PL’s scope to reduce cost pressures on private health insurers.</w:t>
            </w:r>
          </w:p>
        </w:tc>
      </w:tr>
    </w:tbl>
    <w:p w14:paraId="1160A874" w14:textId="6F817F66" w:rsidR="00267E1F" w:rsidRPr="00602824" w:rsidRDefault="00267E1F" w:rsidP="00267E1F">
      <w:pPr>
        <w:pStyle w:val="Heading3"/>
      </w:pPr>
      <w:r w:rsidRPr="00602824">
        <w:t xml:space="preserve">Stakeholder perspectives </w:t>
      </w:r>
      <w:r w:rsidR="00064ECB" w:rsidRPr="00602824">
        <w:t>on GUIs</w:t>
      </w:r>
    </w:p>
    <w:p w14:paraId="19E09945" w14:textId="53C3324E" w:rsidR="00716D5A" w:rsidRPr="00602824" w:rsidRDefault="001B2E24" w:rsidP="00FC385E">
      <w:pPr>
        <w:rPr>
          <w:lang w:eastAsia="en-AU"/>
        </w:rPr>
      </w:pPr>
      <w:r w:rsidRPr="00602824">
        <w:rPr>
          <w:lang w:eastAsia="en-AU"/>
        </w:rPr>
        <w:t xml:space="preserve">Debate amongst stakeholders about the inclusion of GUIs on the PL centres on </w:t>
      </w:r>
      <w:r w:rsidR="00537E98" w:rsidRPr="00602824">
        <w:rPr>
          <w:lang w:eastAsia="en-AU"/>
        </w:rPr>
        <w:t xml:space="preserve">funding mechanisms and the evolving scope of the PL itself. </w:t>
      </w:r>
      <w:r w:rsidR="003A2F3D" w:rsidRPr="00602824">
        <w:rPr>
          <w:lang w:eastAsia="en-AU"/>
        </w:rPr>
        <w:t>Overall, while GUI retention preserved short-term stability, stakeholders highlighted unresolved tensions around the PL’s scope, its alignment with modern surgical practice, and the need for systemic reform.</w:t>
      </w:r>
    </w:p>
    <w:p w14:paraId="2B06B1F5" w14:textId="130C3175" w:rsidR="00EF04D5" w:rsidRPr="00602824" w:rsidRDefault="00B1190E" w:rsidP="00FC385E">
      <w:pPr>
        <w:rPr>
          <w:lang w:eastAsia="en-AU"/>
        </w:rPr>
      </w:pPr>
      <w:r>
        <w:rPr>
          <w:lang w:eastAsia="en-AU"/>
        </w:rPr>
        <w:t>P</w:t>
      </w:r>
      <w:r w:rsidR="001B2E24" w:rsidRPr="00602824">
        <w:rPr>
          <w:lang w:eastAsia="en-AU"/>
        </w:rPr>
        <w:t xml:space="preserve">rivate hospital </w:t>
      </w:r>
      <w:r w:rsidR="000F002D" w:rsidRPr="00602824">
        <w:rPr>
          <w:lang w:eastAsia="en-AU"/>
        </w:rPr>
        <w:t>representatives</w:t>
      </w:r>
      <w:r w:rsidR="001B2E24" w:rsidRPr="00602824">
        <w:rPr>
          <w:lang w:eastAsia="en-AU"/>
        </w:rPr>
        <w:t xml:space="preserve"> supported retaining GUIs</w:t>
      </w:r>
      <w:r w:rsidR="000F002D" w:rsidRPr="00602824">
        <w:rPr>
          <w:lang w:eastAsia="en-AU"/>
        </w:rPr>
        <w:t xml:space="preserve"> on the PL</w:t>
      </w:r>
      <w:r w:rsidR="001B2E24" w:rsidRPr="00602824">
        <w:rPr>
          <w:lang w:eastAsia="en-AU"/>
        </w:rPr>
        <w:t>, citing their essential role in surgical care and the absence of viable alternative funding mechanisms. They acknowledged that while benefit reductions created challenges, the decision to retain GUIs helped preserve clinical stability and access</w:t>
      </w:r>
      <w:r w:rsidR="00B16C94">
        <w:rPr>
          <w:lang w:eastAsia="en-AU"/>
        </w:rPr>
        <w:t>.</w:t>
      </w:r>
    </w:p>
    <w:p w14:paraId="3F553119" w14:textId="77777777" w:rsidR="00F67897" w:rsidRPr="00602824" w:rsidRDefault="00C66921" w:rsidP="00FC385E">
      <w:pPr>
        <w:rPr>
          <w:lang w:eastAsia="en-AU"/>
        </w:rPr>
      </w:pPr>
      <w:r w:rsidRPr="00602824">
        <w:rPr>
          <w:lang w:eastAsia="en-AU"/>
        </w:rPr>
        <w:t xml:space="preserve">Similarly, </w:t>
      </w:r>
      <w:r w:rsidR="00F67897" w:rsidRPr="00602824">
        <w:rPr>
          <w:lang w:eastAsia="en-AU"/>
        </w:rPr>
        <w:t>clinician</w:t>
      </w:r>
      <w:r w:rsidRPr="00602824">
        <w:rPr>
          <w:lang w:eastAsia="en-AU"/>
        </w:rPr>
        <w:t xml:space="preserve"> representatives supported GUI retention in the absence of alternative funding but called for broader reforms to the PHI system to address structural issues. </w:t>
      </w:r>
    </w:p>
    <w:p w14:paraId="6EE978D0" w14:textId="1D179F7B" w:rsidR="003A4757" w:rsidRPr="00602824" w:rsidRDefault="001B2E24" w:rsidP="00FC385E">
      <w:pPr>
        <w:rPr>
          <w:lang w:eastAsia="en-AU"/>
        </w:rPr>
      </w:pPr>
      <w:r w:rsidRPr="00602824">
        <w:rPr>
          <w:lang w:eastAsia="en-AU"/>
        </w:rPr>
        <w:t xml:space="preserve">Medical technology peak bodies agreed with the retention </w:t>
      </w:r>
      <w:r w:rsidR="00952B67" w:rsidRPr="00602824">
        <w:rPr>
          <w:lang w:eastAsia="en-AU"/>
        </w:rPr>
        <w:t>of GUIs on the PL</w:t>
      </w:r>
      <w:r w:rsidRPr="00602824">
        <w:rPr>
          <w:lang w:eastAsia="en-AU"/>
        </w:rPr>
        <w:t xml:space="preserve"> but criticised the freeze on new groupings, arguing it undermined innovation and created competitive inequity. They warned that the PL’s narrowing scope</w:t>
      </w:r>
      <w:r w:rsidR="00705E41" w:rsidRPr="00602824">
        <w:rPr>
          <w:lang w:eastAsia="en-AU"/>
        </w:rPr>
        <w:t xml:space="preserve">, </w:t>
      </w:r>
      <w:r w:rsidR="00705E41" w:rsidRPr="002457EB">
        <w:rPr>
          <w:color w:val="000000" w:themeColor="text1"/>
          <w:lang w:eastAsia="en-AU"/>
        </w:rPr>
        <w:t>and removal of</w:t>
      </w:r>
      <w:r w:rsidRPr="002457EB">
        <w:rPr>
          <w:color w:val="000000" w:themeColor="text1"/>
          <w:lang w:eastAsia="en-AU"/>
        </w:rPr>
        <w:t xml:space="preserve"> medicines</w:t>
      </w:r>
      <w:r w:rsidR="00705E41" w:rsidRPr="002457EB">
        <w:rPr>
          <w:color w:val="000000" w:themeColor="text1"/>
          <w:lang w:eastAsia="en-AU"/>
        </w:rPr>
        <w:t xml:space="preserve"> </w:t>
      </w:r>
      <w:r w:rsidRPr="002457EB">
        <w:rPr>
          <w:color w:val="000000" w:themeColor="text1"/>
          <w:lang w:eastAsia="en-AU"/>
        </w:rPr>
        <w:t>mark</w:t>
      </w:r>
      <w:r w:rsidR="003A4757" w:rsidRPr="002457EB">
        <w:rPr>
          <w:color w:val="000000" w:themeColor="text1"/>
          <w:lang w:eastAsia="en-AU"/>
        </w:rPr>
        <w:t>s</w:t>
      </w:r>
      <w:r w:rsidRPr="002457EB">
        <w:rPr>
          <w:color w:val="000000" w:themeColor="text1"/>
          <w:lang w:eastAsia="en-AU"/>
        </w:rPr>
        <w:t xml:space="preserve"> a departure from its original intent to support access to innovative technologies. </w:t>
      </w:r>
      <w:r w:rsidR="00031775" w:rsidRPr="002457EB">
        <w:rPr>
          <w:color w:val="000000" w:themeColor="text1"/>
          <w:lang w:eastAsia="en-AU"/>
        </w:rPr>
        <w:t>Additionally</w:t>
      </w:r>
      <w:r w:rsidR="0019631C" w:rsidRPr="002457EB">
        <w:rPr>
          <w:color w:val="000000" w:themeColor="text1"/>
          <w:lang w:eastAsia="en-AU"/>
        </w:rPr>
        <w:t xml:space="preserve">, </w:t>
      </w:r>
      <w:r w:rsidR="006C59C8" w:rsidRPr="002457EB">
        <w:rPr>
          <w:color w:val="000000" w:themeColor="text1"/>
          <w:lang w:eastAsia="en-AU"/>
        </w:rPr>
        <w:t xml:space="preserve">they </w:t>
      </w:r>
      <w:r w:rsidR="00031775" w:rsidRPr="002457EB">
        <w:rPr>
          <w:color w:val="000000" w:themeColor="text1"/>
          <w:lang w:eastAsia="en-AU"/>
        </w:rPr>
        <w:t>pointed out</w:t>
      </w:r>
      <w:r w:rsidR="006C59C8" w:rsidRPr="002457EB">
        <w:rPr>
          <w:color w:val="000000" w:themeColor="text1"/>
          <w:lang w:eastAsia="en-AU"/>
        </w:rPr>
        <w:t xml:space="preserve"> </w:t>
      </w:r>
      <w:r w:rsidR="002B41A2" w:rsidRPr="002457EB">
        <w:rPr>
          <w:color w:val="000000" w:themeColor="text1"/>
          <w:lang w:eastAsia="en-AU"/>
        </w:rPr>
        <w:t xml:space="preserve">that </w:t>
      </w:r>
      <w:r w:rsidR="0045674A" w:rsidRPr="002457EB">
        <w:rPr>
          <w:color w:val="000000" w:themeColor="text1"/>
          <w:lang w:eastAsia="en-AU"/>
        </w:rPr>
        <w:t xml:space="preserve">GUIs </w:t>
      </w:r>
      <w:r w:rsidR="00031775" w:rsidRPr="002457EB">
        <w:rPr>
          <w:color w:val="000000" w:themeColor="text1"/>
          <w:lang w:eastAsia="en-AU"/>
        </w:rPr>
        <w:t xml:space="preserve">did </w:t>
      </w:r>
      <w:r w:rsidR="007C089C" w:rsidRPr="002457EB">
        <w:rPr>
          <w:color w:val="000000" w:themeColor="text1"/>
          <w:lang w:eastAsia="en-AU"/>
        </w:rPr>
        <w:t xml:space="preserve">not </w:t>
      </w:r>
      <w:r w:rsidR="00031775" w:rsidRPr="002457EB">
        <w:rPr>
          <w:color w:val="000000" w:themeColor="text1"/>
          <w:lang w:eastAsia="en-AU"/>
        </w:rPr>
        <w:t>receive</w:t>
      </w:r>
      <w:r w:rsidR="007C089C" w:rsidRPr="002457EB">
        <w:rPr>
          <w:color w:val="000000" w:themeColor="text1"/>
          <w:lang w:eastAsia="en-AU"/>
        </w:rPr>
        <w:t xml:space="preserve"> the same </w:t>
      </w:r>
      <w:r w:rsidR="00031775" w:rsidRPr="002457EB">
        <w:rPr>
          <w:color w:val="000000" w:themeColor="text1"/>
          <w:lang w:eastAsia="en-AU"/>
        </w:rPr>
        <w:t>consideration as</w:t>
      </w:r>
      <w:r w:rsidR="00111B52" w:rsidRPr="002457EB">
        <w:rPr>
          <w:color w:val="000000" w:themeColor="text1"/>
          <w:lang w:eastAsia="en-AU"/>
        </w:rPr>
        <w:t xml:space="preserve"> devices </w:t>
      </w:r>
      <w:r w:rsidR="00031775" w:rsidRPr="002457EB">
        <w:rPr>
          <w:color w:val="000000" w:themeColor="text1"/>
          <w:lang w:eastAsia="en-AU"/>
        </w:rPr>
        <w:t xml:space="preserve">listed </w:t>
      </w:r>
      <w:r w:rsidR="00111B52" w:rsidRPr="002457EB">
        <w:rPr>
          <w:color w:val="000000" w:themeColor="text1"/>
          <w:lang w:eastAsia="en-AU"/>
        </w:rPr>
        <w:t>in Part A</w:t>
      </w:r>
      <w:r w:rsidR="00031775" w:rsidRPr="002457EB">
        <w:rPr>
          <w:color w:val="000000" w:themeColor="text1"/>
          <w:lang w:eastAsia="en-AU"/>
        </w:rPr>
        <w:t xml:space="preserve">, </w:t>
      </w:r>
      <w:r w:rsidR="00111B52" w:rsidRPr="002457EB">
        <w:rPr>
          <w:color w:val="000000" w:themeColor="text1"/>
          <w:lang w:eastAsia="en-AU"/>
        </w:rPr>
        <w:t xml:space="preserve">which </w:t>
      </w:r>
      <w:r w:rsidR="00031775" w:rsidRPr="002457EB">
        <w:rPr>
          <w:color w:val="000000" w:themeColor="text1"/>
          <w:lang w:eastAsia="en-AU"/>
        </w:rPr>
        <w:t xml:space="preserve">had their prices </w:t>
      </w:r>
      <w:r w:rsidR="00111B52" w:rsidRPr="002457EB">
        <w:rPr>
          <w:color w:val="000000" w:themeColor="text1"/>
          <w:lang w:eastAsia="en-AU"/>
        </w:rPr>
        <w:t xml:space="preserve">reduced by </w:t>
      </w:r>
      <w:r w:rsidR="00031775" w:rsidRPr="002457EB">
        <w:rPr>
          <w:color w:val="000000" w:themeColor="text1"/>
          <w:lang w:eastAsia="en-AU"/>
        </w:rPr>
        <w:t xml:space="preserve">up to </w:t>
      </w:r>
      <w:r w:rsidR="00111B52" w:rsidRPr="002457EB">
        <w:rPr>
          <w:color w:val="000000" w:themeColor="text1"/>
          <w:lang w:eastAsia="en-AU"/>
        </w:rPr>
        <w:t>80% of the gap</w:t>
      </w:r>
      <w:r w:rsidR="00031775" w:rsidRPr="002457EB">
        <w:rPr>
          <w:color w:val="000000" w:themeColor="text1"/>
          <w:lang w:eastAsia="en-AU"/>
        </w:rPr>
        <w:t xml:space="preserve"> between public and private pricing. In contrast, GUI prices</w:t>
      </w:r>
      <w:r w:rsidR="00111B52" w:rsidRPr="002457EB">
        <w:rPr>
          <w:color w:val="000000" w:themeColor="text1"/>
          <w:lang w:eastAsia="en-AU"/>
        </w:rPr>
        <w:t xml:space="preserve"> were reduced by </w:t>
      </w:r>
      <w:r w:rsidR="00031775" w:rsidRPr="002457EB">
        <w:rPr>
          <w:color w:val="000000" w:themeColor="text1"/>
          <w:lang w:eastAsia="en-AU"/>
        </w:rPr>
        <w:t xml:space="preserve">the full </w:t>
      </w:r>
      <w:r w:rsidR="00111B52" w:rsidRPr="002457EB">
        <w:rPr>
          <w:color w:val="000000" w:themeColor="text1"/>
          <w:lang w:eastAsia="en-AU"/>
        </w:rPr>
        <w:t xml:space="preserve">100% of </w:t>
      </w:r>
      <w:r w:rsidR="00031775" w:rsidRPr="002457EB">
        <w:rPr>
          <w:color w:val="000000" w:themeColor="text1"/>
          <w:lang w:eastAsia="en-AU"/>
        </w:rPr>
        <w:t xml:space="preserve">that </w:t>
      </w:r>
      <w:r w:rsidR="00111B52" w:rsidRPr="002457EB">
        <w:rPr>
          <w:color w:val="000000" w:themeColor="text1"/>
          <w:lang w:eastAsia="en-AU"/>
        </w:rPr>
        <w:t xml:space="preserve">gap. </w:t>
      </w:r>
      <w:r w:rsidR="00031775" w:rsidRPr="002457EB">
        <w:rPr>
          <w:color w:val="000000" w:themeColor="text1"/>
          <w:lang w:eastAsia="en-AU"/>
        </w:rPr>
        <w:t>They</w:t>
      </w:r>
      <w:r w:rsidR="004F5166" w:rsidRPr="002457EB">
        <w:rPr>
          <w:color w:val="000000" w:themeColor="text1"/>
          <w:lang w:eastAsia="en-AU"/>
        </w:rPr>
        <w:t xml:space="preserve"> argued this dynamic should have also been accounted for in the treatment of general use items. </w:t>
      </w:r>
    </w:p>
    <w:p w14:paraId="69A45BFE" w14:textId="77777777" w:rsidR="009D6596" w:rsidRPr="00602824" w:rsidRDefault="00F26624" w:rsidP="00FC385E">
      <w:r w:rsidRPr="00602824">
        <w:t>By</w:t>
      </w:r>
      <w:r w:rsidR="001B2E24" w:rsidRPr="00602824">
        <w:t xml:space="preserve"> contrast, </w:t>
      </w:r>
      <w:r w:rsidR="00E12867" w:rsidRPr="00602824">
        <w:t xml:space="preserve">the </w:t>
      </w:r>
      <w:r w:rsidR="001B2E24" w:rsidRPr="00602824">
        <w:t xml:space="preserve">private health insurance </w:t>
      </w:r>
      <w:r w:rsidR="00F67897" w:rsidRPr="00602824">
        <w:t>sector</w:t>
      </w:r>
      <w:r w:rsidR="001B2E24" w:rsidRPr="00602824">
        <w:t xml:space="preserve"> opposed </w:t>
      </w:r>
      <w:r w:rsidR="00F67897" w:rsidRPr="00602824">
        <w:t xml:space="preserve">the retention of </w:t>
      </w:r>
      <w:r w:rsidR="001B2E24" w:rsidRPr="00602824">
        <w:t>GUI</w:t>
      </w:r>
      <w:r w:rsidR="00F67897" w:rsidRPr="00602824">
        <w:t>s</w:t>
      </w:r>
      <w:r w:rsidR="001B2E24" w:rsidRPr="00602824">
        <w:t xml:space="preserve">, </w:t>
      </w:r>
      <w:r w:rsidR="00F67897" w:rsidRPr="00602824">
        <w:t xml:space="preserve">raising concerns </w:t>
      </w:r>
      <w:r w:rsidR="000344E5" w:rsidRPr="00602824">
        <w:t>about</w:t>
      </w:r>
      <w:r w:rsidR="001B2E24" w:rsidRPr="00602824">
        <w:t xml:space="preserve"> misuse</w:t>
      </w:r>
      <w:r w:rsidR="007130D8" w:rsidRPr="00602824">
        <w:t xml:space="preserve">. In their view, GUIs </w:t>
      </w:r>
      <w:r w:rsidR="00A75FA7" w:rsidRPr="00602824">
        <w:t xml:space="preserve">are a source of profit for hospitals </w:t>
      </w:r>
      <w:r w:rsidR="00A2675D" w:rsidRPr="00602824">
        <w:t xml:space="preserve">and </w:t>
      </w:r>
      <w:r w:rsidR="007130D8" w:rsidRPr="00602824">
        <w:t xml:space="preserve">are </w:t>
      </w:r>
      <w:r w:rsidR="00A2675D" w:rsidRPr="00602824">
        <w:t xml:space="preserve">therefore </w:t>
      </w:r>
      <w:r w:rsidR="007130D8" w:rsidRPr="00602824">
        <w:t xml:space="preserve">inflated. </w:t>
      </w:r>
      <w:r w:rsidR="008E1447" w:rsidRPr="00602824">
        <w:t>They argued that</w:t>
      </w:r>
      <w:r w:rsidR="007130D8" w:rsidRPr="00602824">
        <w:t xml:space="preserve"> if </w:t>
      </w:r>
      <w:r w:rsidR="008E1447" w:rsidRPr="00602824">
        <w:t>GUIs</w:t>
      </w:r>
      <w:r w:rsidR="007130D8" w:rsidRPr="00602824">
        <w:t xml:space="preserve"> were taken off the PL, the reimbursement price would be negotiated down</w:t>
      </w:r>
      <w:r w:rsidR="008E1447" w:rsidRPr="00602824">
        <w:t xml:space="preserve">, </w:t>
      </w:r>
      <w:r w:rsidR="007130D8" w:rsidRPr="00602824">
        <w:t>or have conditions attached</w:t>
      </w:r>
      <w:r w:rsidR="008E1447" w:rsidRPr="00602824">
        <w:t>,</w:t>
      </w:r>
      <w:r w:rsidR="004C692D" w:rsidRPr="00602824">
        <w:t xml:space="preserve"> so that</w:t>
      </w:r>
      <w:r w:rsidR="007130D8" w:rsidRPr="00602824">
        <w:t xml:space="preserve"> GUI use would decline as well, resulting in savings in the system.</w:t>
      </w:r>
      <w:r w:rsidR="0080148F" w:rsidRPr="00602824">
        <w:t xml:space="preserve"> The insurance sector </w:t>
      </w:r>
      <w:r w:rsidR="001B2E24" w:rsidRPr="00602824">
        <w:t>advocat</w:t>
      </w:r>
      <w:r w:rsidR="00547EB6" w:rsidRPr="00602824">
        <w:t>ed</w:t>
      </w:r>
      <w:r w:rsidR="001B2E24" w:rsidRPr="00602824">
        <w:t xml:space="preserve"> for a shift to case-based funding aligned with public system models.</w:t>
      </w:r>
    </w:p>
    <w:p w14:paraId="532E566C" w14:textId="020045AF" w:rsidR="00026D2D" w:rsidRPr="00602824" w:rsidRDefault="009D6596" w:rsidP="00FC385E">
      <w:r w:rsidRPr="00602824">
        <w:t xml:space="preserve">Stakeholder perspectives are </w:t>
      </w:r>
      <w:r w:rsidR="00026D2D" w:rsidRPr="00602824">
        <w:t xml:space="preserve">outlined in </w:t>
      </w:r>
      <w:r w:rsidR="00026D2D" w:rsidRPr="00602824">
        <w:fldChar w:fldCharType="begin"/>
      </w:r>
      <w:r w:rsidR="00026D2D" w:rsidRPr="00602824">
        <w:instrText xml:space="preserve"> REF _Ref202898724 \h </w:instrText>
      </w:r>
      <w:r w:rsidR="00026D2D" w:rsidRPr="00602824">
        <w:fldChar w:fldCharType="separate"/>
      </w:r>
      <w:r w:rsidR="00D30634" w:rsidRPr="00602824">
        <w:t xml:space="preserve">Table </w:t>
      </w:r>
      <w:r w:rsidR="00D30634">
        <w:rPr>
          <w:noProof/>
        </w:rPr>
        <w:t>10</w:t>
      </w:r>
      <w:r w:rsidR="00026D2D" w:rsidRPr="00602824">
        <w:fldChar w:fldCharType="end"/>
      </w:r>
      <w:r w:rsidR="00026D2D" w:rsidRPr="00602824">
        <w:t xml:space="preserve"> below.</w:t>
      </w:r>
    </w:p>
    <w:p w14:paraId="2B5486CA" w14:textId="3BF01CC2" w:rsidR="00FC385E" w:rsidRPr="00602824" w:rsidRDefault="00026D2D" w:rsidP="00B50EE7">
      <w:pPr>
        <w:pStyle w:val="Caption"/>
      </w:pPr>
      <w:bookmarkStart w:id="70" w:name="_Ref202898724"/>
      <w:r w:rsidRPr="00602824">
        <w:lastRenderedPageBreak/>
        <w:t xml:space="preserve">Table </w:t>
      </w:r>
      <w:r w:rsidR="002604D0">
        <w:fldChar w:fldCharType="begin"/>
      </w:r>
      <w:r w:rsidR="002604D0">
        <w:instrText xml:space="preserve"> SEQ Table \* ARABIC </w:instrText>
      </w:r>
      <w:r w:rsidR="002604D0">
        <w:fldChar w:fldCharType="separate"/>
      </w:r>
      <w:r w:rsidR="00D30634">
        <w:rPr>
          <w:noProof/>
        </w:rPr>
        <w:t>10</w:t>
      </w:r>
      <w:r w:rsidR="002604D0">
        <w:fldChar w:fldCharType="end"/>
      </w:r>
      <w:bookmarkEnd w:id="70"/>
      <w:r w:rsidRPr="00602824">
        <w:t xml:space="preserve"> |</w:t>
      </w:r>
      <w:r w:rsidR="001B2E24" w:rsidRPr="00602824">
        <w:t xml:space="preserve"> </w:t>
      </w:r>
      <w:r w:rsidRPr="00602824">
        <w:t>Stakeholder perspectives on general use items</w:t>
      </w:r>
      <w:r w:rsidR="003E7D14" w:rsidRPr="00602824">
        <w:rPr>
          <w:rStyle w:val="FootnoteReference"/>
        </w:rPr>
        <w:footnoteReference w:id="89"/>
      </w:r>
    </w:p>
    <w:tbl>
      <w:tblPr>
        <w:tblStyle w:val="NOUS1"/>
        <w:tblW w:w="0" w:type="auto"/>
        <w:tblLook w:val="04A0" w:firstRow="1" w:lastRow="0" w:firstColumn="1" w:lastColumn="0" w:noHBand="0" w:noVBand="1"/>
      </w:tblPr>
      <w:tblGrid>
        <w:gridCol w:w="2252"/>
        <w:gridCol w:w="6819"/>
      </w:tblGrid>
      <w:tr w:rsidR="00F41A63" w:rsidRPr="00602824" w14:paraId="1D7F6EE4" w14:textId="77777777" w:rsidTr="00F41A63">
        <w:trPr>
          <w:cnfStyle w:val="100000000000" w:firstRow="1" w:lastRow="0" w:firstColumn="0" w:lastColumn="0" w:oddVBand="0" w:evenVBand="0" w:oddHBand="0" w:evenHBand="0" w:firstRowFirstColumn="0" w:firstRowLastColumn="0" w:lastRowFirstColumn="0" w:lastRowLastColumn="0"/>
        </w:trPr>
        <w:tc>
          <w:tcPr>
            <w:tcW w:w="2268" w:type="dxa"/>
          </w:tcPr>
          <w:p w14:paraId="56C2A3C1" w14:textId="77777777" w:rsidR="00F41A63" w:rsidRPr="00602824" w:rsidRDefault="00F41A63" w:rsidP="00FB712C">
            <w:pPr>
              <w:pStyle w:val="TableNheader"/>
              <w:keepNext w:val="0"/>
              <w:spacing w:before="80" w:after="80" w:line="240" w:lineRule="auto"/>
              <w:jc w:val="center"/>
            </w:pPr>
            <w:r w:rsidRPr="00602824">
              <w:t>Stakeholder group</w:t>
            </w:r>
          </w:p>
        </w:tc>
        <w:tc>
          <w:tcPr>
            <w:tcW w:w="6917" w:type="dxa"/>
          </w:tcPr>
          <w:p w14:paraId="04110F2A" w14:textId="77777777" w:rsidR="00F41A63" w:rsidRPr="00602824" w:rsidRDefault="00F41A63" w:rsidP="00FB712C">
            <w:pPr>
              <w:pStyle w:val="TableNheader"/>
              <w:keepNext w:val="0"/>
              <w:spacing w:before="80" w:after="80" w:line="240" w:lineRule="auto"/>
            </w:pPr>
            <w:r w:rsidRPr="00602824">
              <w:t>Perspectives on reform project</w:t>
            </w:r>
          </w:p>
        </w:tc>
      </w:tr>
      <w:tr w:rsidR="00F41A63" w:rsidRPr="00602824" w14:paraId="33B9CF58" w14:textId="77777777" w:rsidTr="00F41A63">
        <w:tc>
          <w:tcPr>
            <w:tcW w:w="2268" w:type="dxa"/>
            <w:shd w:val="clear" w:color="auto" w:fill="00264D" w:themeFill="background2"/>
          </w:tcPr>
          <w:p w14:paraId="3CCDCFE2" w14:textId="77777777" w:rsidR="00F41A63" w:rsidRPr="00602824" w:rsidRDefault="00F41A63" w:rsidP="00FB712C">
            <w:pPr>
              <w:pStyle w:val="TableNheader"/>
              <w:keepNext w:val="0"/>
              <w:spacing w:before="80" w:after="80" w:line="240" w:lineRule="auto"/>
              <w:jc w:val="center"/>
              <w:rPr>
                <w:color w:val="FFFFFF" w:themeColor="background1"/>
              </w:rPr>
            </w:pPr>
            <w:r w:rsidRPr="00602824">
              <w:rPr>
                <w:color w:val="FFFFFF" w:themeColor="background1"/>
              </w:rPr>
              <w:t>Private hospital sector</w:t>
            </w:r>
          </w:p>
          <w:p w14:paraId="0B256C92" w14:textId="77777777" w:rsidR="00F41A63" w:rsidRPr="00602824" w:rsidRDefault="00F41A63" w:rsidP="00FB712C">
            <w:pPr>
              <w:pStyle w:val="TableNheader"/>
              <w:keepNext w:val="0"/>
              <w:spacing w:before="80" w:after="80" w:line="240" w:lineRule="auto"/>
              <w:jc w:val="center"/>
              <w:rPr>
                <w:color w:val="FFFFFF" w:themeColor="background1"/>
              </w:rPr>
            </w:pPr>
            <w:r w:rsidRPr="00AC7E3F">
              <w:rPr>
                <w:i/>
                <w:iCs/>
                <w:noProof/>
              </w:rPr>
              <mc:AlternateContent>
                <mc:Choice Requires="wps">
                  <w:drawing>
                    <wp:inline distT="0" distB="0" distL="0" distR="0" wp14:anchorId="4FA2092C" wp14:editId="1646C19E">
                      <wp:extent cx="320633" cy="314696"/>
                      <wp:effectExtent l="0" t="0" r="3810" b="9525"/>
                      <wp:docPr id="1160363912" name="Freeform: Shape 1160363912"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160363912"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09666C43">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35C2D529" w14:textId="77777777" w:rsidR="00F41A63" w:rsidRPr="00602824" w:rsidRDefault="00F41A63" w:rsidP="00FB712C">
            <w:pPr>
              <w:pStyle w:val="TableNBullet"/>
              <w:spacing w:before="80" w:after="80"/>
            </w:pPr>
            <w:r w:rsidRPr="00602824">
              <w:t>Hospitals supported retaining GUIs on the PL, citing their essential role in maintaining access to critical devices and avoiding disruption to clinical services.</w:t>
            </w:r>
          </w:p>
          <w:p w14:paraId="0E78619C" w14:textId="77777777" w:rsidR="00F41A63" w:rsidRPr="00602824" w:rsidRDefault="00F41A63" w:rsidP="00FB712C">
            <w:pPr>
              <w:pStyle w:val="TableNBullet"/>
              <w:spacing w:before="80" w:after="80"/>
            </w:pPr>
            <w:r w:rsidRPr="00602824">
              <w:t>They viewed the revised listing rules – requiring comparators on Part D – as a pragmatic way to maintain structure and predictability while preserving clinical utility.</w:t>
            </w:r>
          </w:p>
          <w:p w14:paraId="3B455DBC" w14:textId="77777777" w:rsidR="00F41A63" w:rsidRPr="00602824" w:rsidRDefault="00F41A63" w:rsidP="00FB712C">
            <w:pPr>
              <w:pStyle w:val="TableNBullet"/>
              <w:spacing w:before="80" w:after="80"/>
            </w:pPr>
            <w:r w:rsidRPr="00602824">
              <w:t>Concerns were raised about how the PL defines scope, especially regarding high-cost disposable items essential to modern care but not classified as medical devices. Hospitals reported increased administrative burden due to the need to justify GUI use on a case-by-case basis.</w:t>
            </w:r>
          </w:p>
          <w:p w14:paraId="6F29DABF" w14:textId="77777777" w:rsidR="00F41A63" w:rsidRPr="00602824" w:rsidRDefault="00F41A63" w:rsidP="00FB712C">
            <w:pPr>
              <w:pStyle w:val="TableNBullet"/>
              <w:spacing w:before="80" w:after="80"/>
            </w:pPr>
            <w:r w:rsidRPr="00602824">
              <w:t>Hospitals advocated for a coordinated approach to long-term funding, involving government and insurers, to ensure continued access to GUIs and alignment with surgical care practices.</w:t>
            </w:r>
          </w:p>
        </w:tc>
      </w:tr>
      <w:tr w:rsidR="00F41A63" w:rsidRPr="00602824" w14:paraId="5723F790" w14:textId="77777777" w:rsidTr="00F41A63">
        <w:tc>
          <w:tcPr>
            <w:tcW w:w="2268" w:type="dxa"/>
            <w:shd w:val="clear" w:color="auto" w:fill="00264D" w:themeFill="background2"/>
          </w:tcPr>
          <w:p w14:paraId="7A54237B" w14:textId="77777777" w:rsidR="00F41A63" w:rsidRPr="00602824" w:rsidRDefault="00F41A63" w:rsidP="00FB712C">
            <w:pPr>
              <w:pStyle w:val="TableNheader"/>
              <w:keepNext w:val="0"/>
              <w:spacing w:before="80" w:after="80" w:line="240" w:lineRule="auto"/>
              <w:jc w:val="center"/>
              <w:rPr>
                <w:color w:val="FFFFFF" w:themeColor="background1"/>
              </w:rPr>
            </w:pPr>
            <w:r w:rsidRPr="00602824">
              <w:rPr>
                <w:color w:val="FFFFFF" w:themeColor="background1"/>
              </w:rPr>
              <w:t>Private health insurance representatives</w:t>
            </w:r>
          </w:p>
          <w:p w14:paraId="63564F5B" w14:textId="77777777" w:rsidR="00F41A63" w:rsidRPr="00602824" w:rsidRDefault="00F41A63" w:rsidP="00FB712C">
            <w:pPr>
              <w:pStyle w:val="TableNheader"/>
              <w:keepNext w:val="0"/>
              <w:spacing w:before="80" w:after="80" w:line="240" w:lineRule="auto"/>
              <w:jc w:val="center"/>
              <w:rPr>
                <w:color w:val="FFFFFF" w:themeColor="background1"/>
              </w:rPr>
            </w:pPr>
            <w:r w:rsidRPr="00AC7E3F">
              <w:rPr>
                <w:i/>
                <w:iCs/>
                <w:noProof/>
              </w:rPr>
              <mc:AlternateContent>
                <mc:Choice Requires="wps">
                  <w:drawing>
                    <wp:inline distT="0" distB="0" distL="0" distR="0" wp14:anchorId="337E7BB4" wp14:editId="165C6FCD">
                      <wp:extent cx="292311" cy="292311"/>
                      <wp:effectExtent l="0" t="0" r="0" b="0"/>
                      <wp:docPr id="1270627921" name="Freeform: Shape 1270627921"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270627921"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6E16488B">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012F3F1D" w14:textId="77777777" w:rsidR="00F41A63" w:rsidRPr="00602824" w:rsidRDefault="00F41A63" w:rsidP="00FB712C">
            <w:pPr>
              <w:pStyle w:val="TableNBullet"/>
              <w:spacing w:before="80" w:after="80"/>
            </w:pPr>
            <w:r w:rsidRPr="00602824">
              <w:t>Insurer representatives did not support the continued inclusion of GUIs on the PL, citing concerns over weak quantity controls and disconnects between PL funding and clinical appropriateness.</w:t>
            </w:r>
          </w:p>
          <w:p w14:paraId="0C94E1FA" w14:textId="77777777" w:rsidR="00F41A63" w:rsidRPr="00602824" w:rsidRDefault="00F41A63" w:rsidP="00FB712C">
            <w:pPr>
              <w:pStyle w:val="TableNBullet"/>
              <w:spacing w:before="80" w:after="80"/>
            </w:pPr>
            <w:r w:rsidRPr="00602824">
              <w:t>They supported a shift toward a Diagnosis-Related Group (DRG) payment model, consistent with public sector practice, and considered the decision to retain GUIs contrary to earlier reform advice.</w:t>
            </w:r>
          </w:p>
          <w:p w14:paraId="46ADEE44" w14:textId="77777777" w:rsidR="00F41A63" w:rsidRPr="00602824" w:rsidRDefault="00F41A63" w:rsidP="00FB712C">
            <w:pPr>
              <w:pStyle w:val="TableNBullet"/>
              <w:spacing w:before="80" w:after="80"/>
            </w:pPr>
            <w:r w:rsidRPr="00602824">
              <w:t>They noted that consumer protection measures proposed during consultations have not progressed.</w:t>
            </w:r>
          </w:p>
          <w:p w14:paraId="199A7FC2" w14:textId="77777777" w:rsidR="00F41A63" w:rsidRPr="00602824" w:rsidRDefault="00F41A63" w:rsidP="00FB712C">
            <w:pPr>
              <w:pStyle w:val="TableNBullet"/>
              <w:spacing w:before="80" w:after="80"/>
            </w:pPr>
            <w:r w:rsidRPr="00602824">
              <w:t>The removal of fibrin sealants from Part D was seen as an isolated but important example of successful reform, though they emphasised that more comprehensive changes are needed.</w:t>
            </w:r>
          </w:p>
        </w:tc>
      </w:tr>
      <w:tr w:rsidR="00F41A63" w:rsidRPr="00602824" w14:paraId="6AE0B485" w14:textId="77777777" w:rsidTr="00F41A63">
        <w:tc>
          <w:tcPr>
            <w:tcW w:w="2268" w:type="dxa"/>
            <w:shd w:val="clear" w:color="auto" w:fill="00264D" w:themeFill="background2"/>
          </w:tcPr>
          <w:p w14:paraId="19DD3119" w14:textId="77777777" w:rsidR="00F41A63" w:rsidRPr="00602824" w:rsidRDefault="00F41A63" w:rsidP="00FB712C">
            <w:pPr>
              <w:pStyle w:val="TableNheader"/>
              <w:keepNext w:val="0"/>
              <w:spacing w:before="80" w:after="80" w:line="240" w:lineRule="auto"/>
              <w:jc w:val="center"/>
              <w:rPr>
                <w:color w:val="FFFFFF" w:themeColor="background1"/>
              </w:rPr>
            </w:pPr>
            <w:r w:rsidRPr="00602824">
              <w:rPr>
                <w:color w:val="FFFFFF" w:themeColor="background1"/>
              </w:rPr>
              <w:t>Medical technology representatives</w:t>
            </w:r>
          </w:p>
          <w:p w14:paraId="0C1C7FE9" w14:textId="77777777" w:rsidR="00F41A63" w:rsidRPr="00602824" w:rsidRDefault="00F41A63" w:rsidP="00FB712C">
            <w:pPr>
              <w:pStyle w:val="TableNheader"/>
              <w:keepNext w:val="0"/>
              <w:spacing w:before="80" w:after="80" w:line="240" w:lineRule="auto"/>
              <w:jc w:val="center"/>
              <w:rPr>
                <w:color w:val="FFFFFF" w:themeColor="background1"/>
              </w:rPr>
            </w:pPr>
            <w:r w:rsidRPr="00AC7E3F">
              <w:rPr>
                <w:i/>
                <w:iCs/>
                <w:noProof/>
              </w:rPr>
              <w:drawing>
                <wp:inline distT="0" distB="0" distL="0" distR="0" wp14:anchorId="7339C2EB" wp14:editId="09F79B19">
                  <wp:extent cx="309245" cy="336734"/>
                  <wp:effectExtent l="0" t="0" r="0" b="6350"/>
                  <wp:docPr id="1681886314" name="Graphic 1681886314"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3C63B6DB" w14:textId="77777777" w:rsidR="00F41A63" w:rsidRPr="00602824" w:rsidRDefault="00F41A63" w:rsidP="00FB712C">
            <w:pPr>
              <w:pStyle w:val="TableNBullet"/>
              <w:spacing w:before="80" w:after="80"/>
            </w:pPr>
            <w:r w:rsidRPr="00602824">
              <w:t>Industry stakeholders argued that GUI reforms were poorly managed and misunderstood, particularly the implications of removal on hospital operations.</w:t>
            </w:r>
          </w:p>
          <w:p w14:paraId="586AC5A6" w14:textId="77777777" w:rsidR="00F41A63" w:rsidRPr="00602824" w:rsidRDefault="00F41A63" w:rsidP="00FB712C">
            <w:pPr>
              <w:pStyle w:val="TableNBullet"/>
              <w:spacing w:before="80" w:after="80"/>
            </w:pPr>
            <w:r w:rsidRPr="00602824">
              <w:t>While supportive of the decision to retain GUIs, they noted that the list is now effectively frozen, limiting access to new technology and entrenching competitive inequities.</w:t>
            </w:r>
          </w:p>
          <w:p w14:paraId="132D6632" w14:textId="77777777" w:rsidR="00F41A63" w:rsidRPr="00602824" w:rsidRDefault="00F41A63" w:rsidP="00FB712C">
            <w:pPr>
              <w:pStyle w:val="TableNBullet"/>
              <w:spacing w:before="80" w:after="80"/>
            </w:pPr>
            <w:r w:rsidRPr="00602824">
              <w:t xml:space="preserve">The remaining price gap between public and private systems was said to reflect public sector volume guarantees – a factor, stakeholders said, was not recognised for GUIs. </w:t>
            </w:r>
          </w:p>
          <w:p w14:paraId="4FB64D6D" w14:textId="56F5C22F" w:rsidR="00F41A63" w:rsidRPr="00602824" w:rsidRDefault="00F41A63" w:rsidP="00FB712C">
            <w:pPr>
              <w:pStyle w:val="TableNBullet"/>
              <w:spacing w:before="80" w:after="80"/>
            </w:pPr>
            <w:r w:rsidRPr="00602824">
              <w:t>Some believed the Department incorrectly assumed that new technology costs could be absorbed through hospital</w:t>
            </w:r>
            <w:r w:rsidR="00654433" w:rsidRPr="00602824">
              <w:t>-</w:t>
            </w:r>
            <w:r w:rsidRPr="00602824">
              <w:t>insurer contracts, warning this may restrict patient access in private settings.</w:t>
            </w:r>
          </w:p>
          <w:p w14:paraId="1FC53075" w14:textId="77777777" w:rsidR="00F41A63" w:rsidRPr="00602824" w:rsidRDefault="00F41A63" w:rsidP="00FB712C">
            <w:pPr>
              <w:pStyle w:val="TableNBullet"/>
              <w:spacing w:before="80" w:after="80"/>
            </w:pPr>
            <w:r w:rsidRPr="00602824">
              <w:t>They called for clearer and more flexible criteria for listing and updating GUIs, particularly to reflect clinical use rather than regulatory classification (e.g. TGA class).</w:t>
            </w:r>
          </w:p>
        </w:tc>
      </w:tr>
      <w:tr w:rsidR="00F41A63" w:rsidRPr="00602824" w14:paraId="05CAC988" w14:textId="77777777" w:rsidTr="00F41A63">
        <w:tc>
          <w:tcPr>
            <w:tcW w:w="2268" w:type="dxa"/>
            <w:shd w:val="clear" w:color="auto" w:fill="00264D" w:themeFill="background2"/>
          </w:tcPr>
          <w:p w14:paraId="497A3F1D" w14:textId="77777777" w:rsidR="00F41A63" w:rsidRPr="00602824" w:rsidRDefault="00F41A63" w:rsidP="00FB712C">
            <w:pPr>
              <w:pStyle w:val="TableNheader"/>
              <w:keepNext w:val="0"/>
              <w:spacing w:before="80" w:after="80" w:line="240" w:lineRule="auto"/>
              <w:jc w:val="center"/>
              <w:rPr>
                <w:color w:val="FFFFFF" w:themeColor="background1"/>
              </w:rPr>
            </w:pPr>
            <w:r w:rsidRPr="00602824">
              <w:rPr>
                <w:color w:val="FFFFFF" w:themeColor="background1"/>
              </w:rPr>
              <w:t>Clinician representatives</w:t>
            </w:r>
          </w:p>
          <w:p w14:paraId="6EC9669E" w14:textId="77777777" w:rsidR="00F41A63" w:rsidRPr="00602824" w:rsidRDefault="00F41A63" w:rsidP="00FB712C">
            <w:pPr>
              <w:pStyle w:val="TableNheader"/>
              <w:keepNext w:val="0"/>
              <w:spacing w:before="80" w:after="80" w:line="240" w:lineRule="auto"/>
              <w:jc w:val="center"/>
              <w:rPr>
                <w:color w:val="FFFFFF" w:themeColor="background1"/>
              </w:rPr>
            </w:pPr>
            <w:r w:rsidRPr="00AC7E3F">
              <w:rPr>
                <w:noProof/>
              </w:rPr>
              <w:drawing>
                <wp:inline distT="0" distB="0" distL="0" distR="0" wp14:anchorId="7B05CCF2" wp14:editId="289448F7">
                  <wp:extent cx="267970" cy="323215"/>
                  <wp:effectExtent l="0" t="0" r="0" b="635"/>
                  <wp:docPr id="2108175568"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3F729BD5" w14:textId="77777777" w:rsidR="00F41A63" w:rsidRPr="00602824" w:rsidRDefault="00F41A63" w:rsidP="00FB712C">
            <w:pPr>
              <w:pStyle w:val="TableNBullet"/>
              <w:spacing w:before="80" w:after="80"/>
            </w:pPr>
            <w:r w:rsidRPr="00602824">
              <w:t>Clinicians broadly supported the intent of GUI reforms but stated that implementation is not feasible without an alternate funding model that protects hospitals from financial harm.</w:t>
            </w:r>
          </w:p>
          <w:p w14:paraId="2AD10B87" w14:textId="18C28E7C" w:rsidR="00F41A63" w:rsidRPr="00602824" w:rsidRDefault="00F41A63" w:rsidP="00FB712C">
            <w:pPr>
              <w:pStyle w:val="TableNBullet"/>
              <w:spacing w:before="80" w:after="80"/>
            </w:pPr>
            <w:r w:rsidRPr="00602824">
              <w:t xml:space="preserve">They argued that GUI items must remain on the PL unless and until a viable funding mechanism is </w:t>
            </w:r>
            <w:r w:rsidR="004A357C" w:rsidRPr="00602824">
              <w:t>agreed and</w:t>
            </w:r>
            <w:r w:rsidRPr="00602824">
              <w:t xml:space="preserve"> called for price reviews in the meantime.</w:t>
            </w:r>
          </w:p>
          <w:p w14:paraId="30B40905" w14:textId="77777777" w:rsidR="00F41A63" w:rsidRPr="00602824" w:rsidRDefault="00F41A63" w:rsidP="00FB712C">
            <w:pPr>
              <w:pStyle w:val="TableNBullet"/>
              <w:spacing w:before="80" w:after="80"/>
            </w:pPr>
            <w:r w:rsidRPr="00602824">
              <w:t>This issue was seen to stem from the structure of hospital-insurer contracts, and clinicians emphasised the need for reforms to consider the broader PHI system.</w:t>
            </w:r>
          </w:p>
        </w:tc>
      </w:tr>
    </w:tbl>
    <w:p w14:paraId="42B5FA6D" w14:textId="77777777" w:rsidR="00C46AE0" w:rsidRPr="00602824" w:rsidRDefault="00C46AE0" w:rsidP="00C46AE0">
      <w:pPr>
        <w:pStyle w:val="Heading2"/>
        <w:keepLines/>
      </w:pPr>
      <w:bookmarkStart w:id="71" w:name="_Toc181405091"/>
      <w:bookmarkStart w:id="72" w:name="_Toc209176973"/>
      <w:r w:rsidRPr="00602824">
        <w:lastRenderedPageBreak/>
        <w:t xml:space="preserve">Objective 6: </w:t>
      </w:r>
      <w:bookmarkStart w:id="73" w:name="_Hlk158888764"/>
      <w:r w:rsidRPr="00602824">
        <w:t>Implement new PL assessment pathways aligned to Health Technology Assessment principles and streamline the application process through simple and robust IT infrastructure</w:t>
      </w:r>
      <w:bookmarkEnd w:id="71"/>
      <w:bookmarkEnd w:id="72"/>
      <w:bookmarkEnd w:id="73"/>
    </w:p>
    <w:p w14:paraId="5A54F991" w14:textId="202EECF1" w:rsidR="00C46AE0" w:rsidRPr="00602824" w:rsidRDefault="00C46AE0" w:rsidP="00C46AE0">
      <w:pPr>
        <w:rPr>
          <w:i/>
          <w:iCs/>
          <w:lang w:eastAsia="en-AU"/>
        </w:rPr>
      </w:pPr>
      <w:r w:rsidRPr="00602824">
        <w:rPr>
          <w:i/>
          <w:iCs/>
          <w:lang w:eastAsia="en-AU"/>
        </w:rPr>
        <w:t xml:space="preserve">This section considers the implementation of new applications pathways and </w:t>
      </w:r>
      <w:r w:rsidR="00571DA8" w:rsidRPr="00602824">
        <w:rPr>
          <w:i/>
          <w:iCs/>
          <w:lang w:eastAsia="en-AU"/>
        </w:rPr>
        <w:t xml:space="preserve">the </w:t>
      </w:r>
      <w:r w:rsidRPr="00602824">
        <w:rPr>
          <w:i/>
          <w:iCs/>
          <w:lang w:eastAsia="en-AU"/>
        </w:rPr>
        <w:t xml:space="preserve">governance processes involved in their assessment. It documents the volume of PL application by tier and </w:t>
      </w:r>
      <w:r w:rsidR="00571DA8" w:rsidRPr="00602824">
        <w:rPr>
          <w:i/>
          <w:iCs/>
          <w:lang w:eastAsia="en-AU"/>
        </w:rPr>
        <w:t>considers</w:t>
      </w:r>
      <w:r w:rsidRPr="00602824">
        <w:rPr>
          <w:i/>
          <w:iCs/>
          <w:lang w:eastAsia="en-AU"/>
        </w:rPr>
        <w:t xml:space="preserve"> stakeholder perspectives on the assessment pathways and listing processes.</w:t>
      </w:r>
      <w:r w:rsidR="006A6E2C" w:rsidRPr="00602824">
        <w:rPr>
          <w:i/>
          <w:iCs/>
          <w:lang w:eastAsia="en-AU"/>
        </w:rPr>
        <w:t xml:space="preserve"> </w:t>
      </w:r>
    </w:p>
    <w:p w14:paraId="08F724F1" w14:textId="05C0AF60" w:rsidR="00C46AE0" w:rsidRPr="00602824" w:rsidRDefault="00C46AE0" w:rsidP="00B50EE7">
      <w:pPr>
        <w:pStyle w:val="Caption"/>
        <w:rPr>
          <w:lang w:eastAsia="en-AU"/>
        </w:rPr>
      </w:pPr>
      <w:r w:rsidRPr="00602824">
        <w:t xml:space="preserve">Figure </w:t>
      </w:r>
      <w:r w:rsidR="002604D0">
        <w:fldChar w:fldCharType="begin"/>
      </w:r>
      <w:r w:rsidR="002604D0">
        <w:instrText xml:space="preserve"> SEQ Figure \* ARABIC </w:instrText>
      </w:r>
      <w:r w:rsidR="002604D0">
        <w:fldChar w:fldCharType="separate"/>
      </w:r>
      <w:r w:rsidR="00D30634">
        <w:rPr>
          <w:noProof/>
        </w:rPr>
        <w:t>23</w:t>
      </w:r>
      <w:r w:rsidR="002604D0">
        <w:fldChar w:fldCharType="end"/>
      </w:r>
      <w:r w:rsidRPr="00602824">
        <w:t xml:space="preserve"> | Reform projects related to reform objective 6</w:t>
      </w:r>
    </w:p>
    <w:p w14:paraId="0C50EF4C" w14:textId="77777777" w:rsidR="00C46AE0" w:rsidRPr="00602824" w:rsidRDefault="00C46AE0" w:rsidP="00C46AE0">
      <w:pPr>
        <w:rPr>
          <w:lang w:eastAsia="en-AU"/>
        </w:rPr>
      </w:pPr>
      <w:r w:rsidRPr="00AC7E3F">
        <w:rPr>
          <w:noProof/>
          <w:lang w:eastAsia="en-AU"/>
        </w:rPr>
        <w:drawing>
          <wp:inline distT="0" distB="0" distL="0" distR="0" wp14:anchorId="17F8DD80" wp14:editId="41563564">
            <wp:extent cx="5733440" cy="1062842"/>
            <wp:effectExtent l="0" t="0" r="635" b="4445"/>
            <wp:docPr id="1856583631" name="Picture 1" descr="A figure showing Objective 6. PL assessment pathways connected to two reform projects. The projects are modernised pathways and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83631" name="Picture 1" descr="A figure showing Objective 6. PL assessment pathways connected to two reform projects. The projects are modernised pathways and governance arrangements."/>
                    <pic:cNvPicPr/>
                  </pic:nvPicPr>
                  <pic:blipFill>
                    <a:blip r:embed="rId48"/>
                    <a:stretch>
                      <a:fillRect/>
                    </a:stretch>
                  </pic:blipFill>
                  <pic:spPr>
                    <a:xfrm>
                      <a:off x="0" y="0"/>
                      <a:ext cx="5802240" cy="1075596"/>
                    </a:xfrm>
                    <a:prstGeom prst="rect">
                      <a:avLst/>
                    </a:prstGeom>
                  </pic:spPr>
                </pic:pic>
              </a:graphicData>
            </a:graphic>
          </wp:inline>
        </w:drawing>
      </w:r>
    </w:p>
    <w:p w14:paraId="5C1C305F" w14:textId="19092421" w:rsidR="00D32466" w:rsidRPr="00602824" w:rsidRDefault="00993178" w:rsidP="00267E1F">
      <w:pPr>
        <w:pStyle w:val="Heading3"/>
      </w:pPr>
      <w:r w:rsidRPr="00602824">
        <w:t>Implementation progress</w:t>
      </w:r>
      <w:r w:rsidR="00D32466" w:rsidRPr="00602824">
        <w:t xml:space="preserve"> </w:t>
      </w:r>
      <w:r w:rsidR="0092293E" w:rsidRPr="00602824">
        <w:t>(a</w:t>
      </w:r>
      <w:r w:rsidR="00015D9F" w:rsidRPr="00602824">
        <w:t>)</w:t>
      </w:r>
      <w:r w:rsidR="00D32466" w:rsidRPr="00602824">
        <w:t xml:space="preserve">: </w:t>
      </w:r>
      <w:r w:rsidR="00015D9F" w:rsidRPr="00602824">
        <w:t>m</w:t>
      </w:r>
      <w:r w:rsidR="00D32466" w:rsidRPr="00602824">
        <w:t xml:space="preserve">odernised pathways </w:t>
      </w:r>
    </w:p>
    <w:tbl>
      <w:tblPr>
        <w:tblStyle w:val="NOUSSideHeader4"/>
        <w:tblW w:w="0" w:type="auto"/>
        <w:tblLook w:val="04A0" w:firstRow="1" w:lastRow="0" w:firstColumn="1" w:lastColumn="0" w:noHBand="0" w:noVBand="1"/>
      </w:tblPr>
      <w:tblGrid>
        <w:gridCol w:w="9061"/>
      </w:tblGrid>
      <w:tr w:rsidR="002E0098" w:rsidRPr="00602824" w14:paraId="6D8CFC6C" w14:textId="77777777" w:rsidTr="00B9181C">
        <w:trPr>
          <w:cnfStyle w:val="100000000000" w:firstRow="1" w:lastRow="0" w:firstColumn="0" w:lastColumn="0" w:oddVBand="0" w:evenVBand="0" w:oddHBand="0" w:evenHBand="0" w:firstRowFirstColumn="0" w:firstRowLastColumn="0" w:lastRowFirstColumn="0" w:lastRowLastColumn="0"/>
        </w:trPr>
        <w:tc>
          <w:tcPr>
            <w:tcW w:w="9061" w:type="dxa"/>
          </w:tcPr>
          <w:p w14:paraId="702E2652" w14:textId="4D373A49" w:rsidR="00D32466" w:rsidRPr="00602824" w:rsidRDefault="001B3E67" w:rsidP="00FB712C">
            <w:pPr>
              <w:spacing w:before="120"/>
            </w:pPr>
            <w:bookmarkStart w:id="74" w:name="_Hlk202191357"/>
            <w:r w:rsidRPr="00602824">
              <w:t>Prior to the reforms</w:t>
            </w:r>
            <w:r w:rsidR="000D7780" w:rsidRPr="00602824">
              <w:t>,</w:t>
            </w:r>
            <w:r w:rsidRPr="00602824">
              <w:t xml:space="preserve"> applications </w:t>
            </w:r>
            <w:r w:rsidR="008F0CA1" w:rsidRPr="00602824">
              <w:t xml:space="preserve">for listing items on the </w:t>
            </w:r>
            <w:r w:rsidRPr="00602824">
              <w:t xml:space="preserve">PL </w:t>
            </w:r>
            <w:r w:rsidR="005A57CE" w:rsidRPr="00602824">
              <w:t xml:space="preserve">followed a single assessment pathway. As outlined in </w:t>
            </w:r>
            <w:r w:rsidR="005A57CE" w:rsidRPr="00602824">
              <w:rPr>
                <w:i/>
              </w:rPr>
              <w:t>Interim</w:t>
            </w:r>
            <w:r w:rsidR="002B3465" w:rsidRPr="00602824">
              <w:rPr>
                <w:i/>
              </w:rPr>
              <w:t xml:space="preserve"> Evaluation</w:t>
            </w:r>
            <w:r w:rsidR="005A57CE" w:rsidRPr="00602824">
              <w:rPr>
                <w:i/>
              </w:rPr>
              <w:t xml:space="preserve"> </w:t>
            </w:r>
            <w:r w:rsidR="00E46892" w:rsidRPr="00602824">
              <w:rPr>
                <w:i/>
                <w:iCs/>
              </w:rPr>
              <w:t>#</w:t>
            </w:r>
            <w:r w:rsidR="002B3465" w:rsidRPr="00602824">
              <w:rPr>
                <w:i/>
              </w:rPr>
              <w:t>1</w:t>
            </w:r>
            <w:r w:rsidR="00E46892" w:rsidRPr="00602824">
              <w:rPr>
                <w:i/>
                <w:iCs/>
              </w:rPr>
              <w:t xml:space="preserve"> report</w:t>
            </w:r>
            <w:r w:rsidR="002B3465" w:rsidRPr="00602824">
              <w:t xml:space="preserve">, </w:t>
            </w:r>
            <w:r w:rsidR="00066F56" w:rsidRPr="00602824">
              <w:t>multiple</w:t>
            </w:r>
            <w:r w:rsidR="00850D3D" w:rsidRPr="00602824">
              <w:t xml:space="preserve"> assessment </w:t>
            </w:r>
            <w:r w:rsidR="00066F56" w:rsidRPr="00602824">
              <w:t xml:space="preserve">“tiers” </w:t>
            </w:r>
            <w:r w:rsidR="0026636F" w:rsidRPr="00602824">
              <w:t xml:space="preserve">for PL devices </w:t>
            </w:r>
            <w:r w:rsidR="00850D3D" w:rsidRPr="00602824">
              <w:t>were established</w:t>
            </w:r>
            <w:r w:rsidR="000D7780" w:rsidRPr="00602824">
              <w:t xml:space="preserve"> under the reforms</w:t>
            </w:r>
            <w:r w:rsidR="00850D3D" w:rsidRPr="00602824">
              <w:t xml:space="preserve"> </w:t>
            </w:r>
            <w:r w:rsidR="00726F8F" w:rsidRPr="00602824">
              <w:t xml:space="preserve">(Tier 1, 2a, 2b and 3), aiming to </w:t>
            </w:r>
            <w:r w:rsidR="00D007E8" w:rsidRPr="00602824">
              <w:t xml:space="preserve">increase the efficiency of the assessment process by distributing resources across applications according to their relative </w:t>
            </w:r>
            <w:r w:rsidR="00066F56" w:rsidRPr="00602824">
              <w:t xml:space="preserve">complexity. </w:t>
            </w:r>
          </w:p>
          <w:p w14:paraId="407898DC" w14:textId="495F589B" w:rsidR="00565565" w:rsidRPr="00602824" w:rsidRDefault="00565565" w:rsidP="00FB712C">
            <w:pPr>
              <w:spacing w:before="120"/>
            </w:pPr>
            <w:r w:rsidRPr="00602824">
              <w:t>No major changes in implementation have occurred since the</w:t>
            </w:r>
            <w:r w:rsidR="00542209" w:rsidRPr="00602824">
              <w:t xml:space="preserve"> new pathways were introduced </w:t>
            </w:r>
            <w:r w:rsidR="00626852" w:rsidRPr="00602824">
              <w:t>on 1 July 2023</w:t>
            </w:r>
            <w:r w:rsidRPr="00602824">
              <w:t xml:space="preserve">. </w:t>
            </w:r>
          </w:p>
        </w:tc>
      </w:tr>
    </w:tbl>
    <w:bookmarkEnd w:id="74"/>
    <w:p w14:paraId="2849A1F9" w14:textId="77777777" w:rsidR="00C94983" w:rsidRPr="00602824" w:rsidRDefault="00DF7865" w:rsidP="00267E1F">
      <w:pPr>
        <w:pStyle w:val="Heading3"/>
      </w:pPr>
      <w:r w:rsidRPr="00602824">
        <w:t>The</w:t>
      </w:r>
      <w:r w:rsidR="0034013B" w:rsidRPr="00602824">
        <w:t xml:space="preserve"> </w:t>
      </w:r>
      <w:r w:rsidRPr="00602824">
        <w:t>revised</w:t>
      </w:r>
      <w:r w:rsidR="0034013B" w:rsidRPr="00602824">
        <w:t xml:space="preserve"> assessment pathways have </w:t>
      </w:r>
      <w:r w:rsidR="00C94983" w:rsidRPr="00602824">
        <w:t>been maintained since their introduction</w:t>
      </w:r>
    </w:p>
    <w:p w14:paraId="658DB3BF" w14:textId="77777777" w:rsidR="0045248B" w:rsidRPr="00602824" w:rsidRDefault="00C81A00" w:rsidP="0045248B">
      <w:r w:rsidRPr="00602824">
        <w:t xml:space="preserve">The updated assessment pathways are </w:t>
      </w:r>
      <w:r w:rsidR="0045248B" w:rsidRPr="00602824">
        <w:t>structured</w:t>
      </w:r>
      <w:r w:rsidRPr="00602824">
        <w:t xml:space="preserve"> into three </w:t>
      </w:r>
      <w:r w:rsidR="0045248B" w:rsidRPr="00602824">
        <w:t xml:space="preserve">distinct </w:t>
      </w:r>
      <w:r w:rsidRPr="00602824">
        <w:t>tiers</w:t>
      </w:r>
      <w:r w:rsidR="0045248B" w:rsidRPr="00602824">
        <w:t xml:space="preserve">, each </w:t>
      </w:r>
      <w:r w:rsidRPr="00602824">
        <w:t xml:space="preserve">with </w:t>
      </w:r>
      <w:r w:rsidR="0045248B" w:rsidRPr="00602824">
        <w:t xml:space="preserve">tailored </w:t>
      </w:r>
      <w:r w:rsidRPr="00602824">
        <w:t>evidence requirements</w:t>
      </w:r>
      <w:r w:rsidR="0045248B" w:rsidRPr="00602824">
        <w:t>.</w:t>
      </w:r>
    </w:p>
    <w:p w14:paraId="55C0650A" w14:textId="0E140F6B" w:rsidR="0003052B" w:rsidRPr="00602824" w:rsidRDefault="0045248B" w:rsidP="0003052B">
      <w:r w:rsidRPr="00602824">
        <w:t>These revised pathways are designed to accommodate applications of varying complexity, ensuring that simpler and more complex submissions are processed through appropriate channels.</w:t>
      </w:r>
      <w:r w:rsidR="0003052B" w:rsidRPr="00602824">
        <w:rPr>
          <w:rStyle w:val="FootnoteReference"/>
        </w:rPr>
        <w:footnoteReference w:id="90"/>
      </w:r>
      <w:r w:rsidR="0047765A" w:rsidRPr="00602824">
        <w:t xml:space="preserve"> </w:t>
      </w:r>
      <w:r w:rsidRPr="00602824">
        <w:t>They apply to a range of application types, including new listings, amendments, compressions, and expansions.</w:t>
      </w:r>
    </w:p>
    <w:p w14:paraId="6286DD0C" w14:textId="641F1D0E" w:rsidR="003A46EB" w:rsidRPr="00602824" w:rsidRDefault="005F689E" w:rsidP="00C81A00">
      <w:r w:rsidRPr="00602824">
        <w:t>The</w:t>
      </w:r>
      <w:r w:rsidR="003A46EB" w:rsidRPr="00602824">
        <w:t xml:space="preserve"> </w:t>
      </w:r>
      <w:r w:rsidR="001F704D" w:rsidRPr="00602824">
        <w:t>t</w:t>
      </w:r>
      <w:r w:rsidR="003A46EB" w:rsidRPr="00602824">
        <w:t>hree tiers are</w:t>
      </w:r>
      <w:r w:rsidRPr="00602824">
        <w:t xml:space="preserve"> set out in </w:t>
      </w:r>
      <w:r w:rsidR="0045248B" w:rsidRPr="00602824">
        <w:fldChar w:fldCharType="begin"/>
      </w:r>
      <w:r w:rsidR="0045248B" w:rsidRPr="00602824">
        <w:instrText xml:space="preserve"> REF _Ref202435110 \h </w:instrText>
      </w:r>
      <w:r w:rsidR="0045248B" w:rsidRPr="00602824">
        <w:fldChar w:fldCharType="separate"/>
      </w:r>
      <w:r w:rsidR="00D30634" w:rsidRPr="00602824">
        <w:t xml:space="preserve">Table </w:t>
      </w:r>
      <w:r w:rsidR="00D30634">
        <w:rPr>
          <w:noProof/>
        </w:rPr>
        <w:t>11</w:t>
      </w:r>
      <w:r w:rsidR="0045248B" w:rsidRPr="00602824">
        <w:fldChar w:fldCharType="end"/>
      </w:r>
      <w:r w:rsidR="0045248B" w:rsidRPr="00602824">
        <w:t xml:space="preserve"> below</w:t>
      </w:r>
      <w:r w:rsidRPr="00602824">
        <w:t>.</w:t>
      </w:r>
    </w:p>
    <w:p w14:paraId="6998820E" w14:textId="55FA13DA" w:rsidR="0045248B" w:rsidRPr="00602824" w:rsidRDefault="0045248B" w:rsidP="00B50EE7">
      <w:pPr>
        <w:pStyle w:val="Caption"/>
      </w:pPr>
      <w:bookmarkStart w:id="75" w:name="_Ref202435110"/>
      <w:r w:rsidRPr="00602824">
        <w:lastRenderedPageBreak/>
        <w:t xml:space="preserve">Table </w:t>
      </w:r>
      <w:r w:rsidR="002604D0">
        <w:fldChar w:fldCharType="begin"/>
      </w:r>
      <w:r w:rsidR="002604D0">
        <w:instrText xml:space="preserve"> SEQ Table \* ARABIC </w:instrText>
      </w:r>
      <w:r w:rsidR="002604D0">
        <w:fldChar w:fldCharType="separate"/>
      </w:r>
      <w:r w:rsidR="00D30634">
        <w:rPr>
          <w:noProof/>
        </w:rPr>
        <w:t>11</w:t>
      </w:r>
      <w:r w:rsidR="002604D0">
        <w:fldChar w:fldCharType="end"/>
      </w:r>
      <w:bookmarkEnd w:id="75"/>
      <w:r w:rsidRPr="00602824">
        <w:t xml:space="preserve"> | PL assessment pathways</w:t>
      </w:r>
      <w:r w:rsidR="00574305" w:rsidRPr="00602824">
        <w:rPr>
          <w:rStyle w:val="FootnoteReference"/>
        </w:rPr>
        <w:footnoteReference w:id="91"/>
      </w:r>
    </w:p>
    <w:tbl>
      <w:tblPr>
        <w:tblStyle w:val="NousTableTopandside"/>
        <w:tblW w:w="9071" w:type="dxa"/>
        <w:tblLook w:val="04A0" w:firstRow="1" w:lastRow="0" w:firstColumn="1" w:lastColumn="0" w:noHBand="0" w:noVBand="1"/>
      </w:tblPr>
      <w:tblGrid>
        <w:gridCol w:w="993"/>
        <w:gridCol w:w="1842"/>
        <w:gridCol w:w="6236"/>
      </w:tblGrid>
      <w:tr w:rsidR="002D7603" w:rsidRPr="00602824" w14:paraId="52BED89A" w14:textId="77777777" w:rsidTr="00246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C4536AE" w14:textId="2572FD94" w:rsidR="002D7603" w:rsidRPr="00602824" w:rsidRDefault="002D7603" w:rsidP="00FB712C">
            <w:pPr>
              <w:pStyle w:val="TableNheader"/>
              <w:spacing w:before="60" w:after="60" w:line="240" w:lineRule="auto"/>
              <w:rPr>
                <w:sz w:val="17"/>
                <w:szCs w:val="17"/>
              </w:rPr>
            </w:pPr>
            <w:r w:rsidRPr="00602824">
              <w:t xml:space="preserve">Pathway </w:t>
            </w:r>
          </w:p>
        </w:tc>
        <w:tc>
          <w:tcPr>
            <w:tcW w:w="1842" w:type="dxa"/>
          </w:tcPr>
          <w:p w14:paraId="5FE79E35" w14:textId="62B9EAE8" w:rsidR="002D7603" w:rsidRPr="00602824" w:rsidRDefault="002D7603" w:rsidP="00FB712C">
            <w:pPr>
              <w:pStyle w:val="TableNheader"/>
              <w:spacing w:before="60" w:after="60" w:line="240" w:lineRule="auto"/>
              <w:cnfStyle w:val="100000000000" w:firstRow="1" w:lastRow="0" w:firstColumn="0" w:lastColumn="0" w:oddVBand="0" w:evenVBand="0" w:oddHBand="0" w:evenHBand="0" w:firstRowFirstColumn="0" w:firstRowLastColumn="0" w:lastRowFirstColumn="0" w:lastRowLastColumn="0"/>
              <w:rPr>
                <w:szCs w:val="16"/>
              </w:rPr>
            </w:pPr>
            <w:r w:rsidRPr="00602824">
              <w:t>Description</w:t>
            </w:r>
            <w:r w:rsidRPr="00602824">
              <w:rPr>
                <w:szCs w:val="16"/>
              </w:rPr>
              <w:t xml:space="preserve"> </w:t>
            </w:r>
          </w:p>
        </w:tc>
        <w:tc>
          <w:tcPr>
            <w:tcW w:w="6236" w:type="dxa"/>
          </w:tcPr>
          <w:p w14:paraId="264F7EC3" w14:textId="719C1836" w:rsidR="002D7603" w:rsidRPr="00602824" w:rsidRDefault="00246C2F" w:rsidP="00FB712C">
            <w:pPr>
              <w:pStyle w:val="TableNheader"/>
              <w:spacing w:before="60" w:after="60" w:line="240" w:lineRule="auto"/>
              <w:cnfStyle w:val="100000000000" w:firstRow="1" w:lastRow="0" w:firstColumn="0" w:lastColumn="0" w:oddVBand="0" w:evenVBand="0" w:oddHBand="0" w:evenHBand="0" w:firstRowFirstColumn="0" w:firstRowLastColumn="0" w:lastRowFirstColumn="0" w:lastRowLastColumn="0"/>
              <w:rPr>
                <w:sz w:val="17"/>
                <w:szCs w:val="17"/>
              </w:rPr>
            </w:pPr>
            <w:r w:rsidRPr="00602824">
              <w:t>Appropriate for the following applications</w:t>
            </w:r>
            <w:r w:rsidRPr="00602824">
              <w:rPr>
                <w:sz w:val="17"/>
                <w:szCs w:val="17"/>
              </w:rPr>
              <w:t>:</w:t>
            </w:r>
          </w:p>
        </w:tc>
      </w:tr>
      <w:tr w:rsidR="002165C5" w:rsidRPr="00602824" w14:paraId="192BBE0F" w14:textId="77777777" w:rsidTr="00246C2F">
        <w:tc>
          <w:tcPr>
            <w:cnfStyle w:val="001000000000" w:firstRow="0" w:lastRow="0" w:firstColumn="1" w:lastColumn="0" w:oddVBand="0" w:evenVBand="0" w:oddHBand="0" w:evenHBand="0" w:firstRowFirstColumn="0" w:firstRowLastColumn="0" w:lastRowFirstColumn="0" w:lastRowLastColumn="0"/>
            <w:tcW w:w="993" w:type="dxa"/>
          </w:tcPr>
          <w:p w14:paraId="1D7E251B" w14:textId="53BACF93" w:rsidR="003A46EB" w:rsidRPr="00602824" w:rsidRDefault="002D7603" w:rsidP="00FB712C">
            <w:pPr>
              <w:pStyle w:val="TableNheader"/>
              <w:spacing w:before="60" w:after="60" w:line="240" w:lineRule="auto"/>
              <w:rPr>
                <w:sz w:val="17"/>
                <w:szCs w:val="17"/>
              </w:rPr>
            </w:pPr>
            <w:r w:rsidRPr="00602824">
              <w:t xml:space="preserve">Tier 1 </w:t>
            </w:r>
          </w:p>
        </w:tc>
        <w:tc>
          <w:tcPr>
            <w:tcW w:w="1842" w:type="dxa"/>
          </w:tcPr>
          <w:p w14:paraId="78B4AA99" w14:textId="559BC3FE" w:rsidR="002D7603" w:rsidRPr="004304D3" w:rsidRDefault="002D760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4304D3">
              <w:rPr>
                <w:rFonts w:asciiTheme="majorHAnsi" w:hAnsiTheme="majorHAnsi" w:cstheme="majorHAnsi"/>
                <w:sz w:val="16"/>
                <w:szCs w:val="16"/>
              </w:rPr>
              <w:t>Department assessment pathway</w:t>
            </w:r>
          </w:p>
        </w:tc>
        <w:tc>
          <w:tcPr>
            <w:tcW w:w="6236" w:type="dxa"/>
          </w:tcPr>
          <w:p w14:paraId="790B9299" w14:textId="7C178DC4" w:rsidR="00B154E4" w:rsidRDefault="00024817" w:rsidP="00B154E4">
            <w:pPr>
              <w:pStyle w:val="TableNBullet"/>
              <w:cnfStyle w:val="000000000000" w:firstRow="0" w:lastRow="0" w:firstColumn="0" w:lastColumn="0" w:oddVBand="0" w:evenVBand="0" w:oddHBand="0" w:evenHBand="0" w:firstRowFirstColumn="0" w:firstRowLastColumn="0" w:lastRowFirstColumn="0" w:lastRowLastColumn="0"/>
            </w:pPr>
            <w:r w:rsidRPr="00602824">
              <w:t xml:space="preserve">Part A applications </w:t>
            </w:r>
            <w:r>
              <w:t>that will be assessed</w:t>
            </w:r>
            <w:r w:rsidR="00041483">
              <w:t xml:space="preserve"> </w:t>
            </w:r>
            <w:r w:rsidR="00041483" w:rsidRPr="007949B7">
              <w:t xml:space="preserve">only by the Department and are not expected to be presented to MDHTAC for consideration. </w:t>
            </w:r>
          </w:p>
          <w:p w14:paraId="206A1001" w14:textId="61A40B5B" w:rsidR="003A46EB" w:rsidRPr="007949B7" w:rsidRDefault="00CC710B" w:rsidP="00B154E4">
            <w:pPr>
              <w:pStyle w:val="TableNBullet"/>
              <w:cnfStyle w:val="000000000000" w:firstRow="0" w:lastRow="0" w:firstColumn="0" w:lastColumn="0" w:oddVBand="0" w:evenVBand="0" w:oddHBand="0" w:evenHBand="0" w:firstRowFirstColumn="0" w:firstRowLastColumn="0" w:lastRowFirstColumn="0" w:lastRowLastColumn="0"/>
            </w:pPr>
            <w:r>
              <w:t>Applications for d</w:t>
            </w:r>
            <w:r w:rsidR="00041483" w:rsidRPr="007949B7">
              <w:t xml:space="preserve">evices </w:t>
            </w:r>
            <w:r w:rsidR="00024817">
              <w:t>that are</w:t>
            </w:r>
            <w:r w:rsidR="00041483" w:rsidRPr="007949B7">
              <w:t xml:space="preserve"> classified by the TGA as Class IIb or lower, and </w:t>
            </w:r>
            <w:r w:rsidR="00024817">
              <w:t>d</w:t>
            </w:r>
            <w:r w:rsidR="00041483" w:rsidRPr="007949B7">
              <w:t>evices with established technology (</w:t>
            </w:r>
            <w:r w:rsidR="00B154E4">
              <w:t>“</w:t>
            </w:r>
            <w:r w:rsidR="00041483" w:rsidRPr="007949B7">
              <w:t>relatively simple, well-understood and stable designs and limited variations, and with proven records of satisfactory safety and performance</w:t>
            </w:r>
            <w:r w:rsidR="00B154E4">
              <w:t>”)</w:t>
            </w:r>
            <w:r w:rsidR="00041483" w:rsidRPr="007949B7">
              <w:t>.</w:t>
            </w:r>
          </w:p>
          <w:p w14:paraId="18B24C6D" w14:textId="1D0359AA" w:rsidR="000073F3" w:rsidRDefault="000073F3" w:rsidP="000073F3">
            <w:pPr>
              <w:pStyle w:val="TableNBullet"/>
              <w:cnfStyle w:val="000000000000" w:firstRow="0" w:lastRow="0" w:firstColumn="0" w:lastColumn="0" w:oddVBand="0" w:evenVBand="0" w:oddHBand="0" w:evenHBand="0" w:firstRowFirstColumn="0" w:firstRowLastColumn="0" w:lastRowFirstColumn="0" w:lastRowLastColumn="0"/>
            </w:pPr>
            <w:r>
              <w:t>New a</w:t>
            </w:r>
            <w:r w:rsidR="00B154E4">
              <w:t xml:space="preserve">pplications </w:t>
            </w:r>
            <w:r>
              <w:t>to</w:t>
            </w:r>
            <w:r w:rsidR="00383A19" w:rsidRPr="007949B7">
              <w:t xml:space="preserve"> </w:t>
            </w:r>
            <w:r>
              <w:t xml:space="preserve">list a </w:t>
            </w:r>
            <w:r w:rsidR="00383A19" w:rsidRPr="007949B7">
              <w:t xml:space="preserve">device </w:t>
            </w:r>
            <w:r>
              <w:t>within an</w:t>
            </w:r>
            <w:r w:rsidR="00383A19" w:rsidRPr="007949B7">
              <w:t xml:space="preserve"> existing PL grouping</w:t>
            </w:r>
            <w:r>
              <w:t>.</w:t>
            </w:r>
            <w:r w:rsidR="00383A19" w:rsidRPr="007949B7">
              <w:t xml:space="preserve"> </w:t>
            </w:r>
          </w:p>
          <w:p w14:paraId="52DA3B8F" w14:textId="43C3F2B9" w:rsidR="00383A19" w:rsidRPr="00602824" w:rsidRDefault="000073F3" w:rsidP="007949B7">
            <w:pPr>
              <w:pStyle w:val="TableNBullet"/>
              <w:cnfStyle w:val="000000000000" w:firstRow="0" w:lastRow="0" w:firstColumn="0" w:lastColumn="0" w:oddVBand="0" w:evenVBand="0" w:oddHBand="0" w:evenHBand="0" w:firstRowFirstColumn="0" w:firstRowLastColumn="0" w:lastRowFirstColumn="0" w:lastRowLastColumn="0"/>
            </w:pPr>
            <w:r>
              <w:t xml:space="preserve">Amendment applications that </w:t>
            </w:r>
            <w:r w:rsidR="00383A19" w:rsidRPr="007949B7">
              <w:t xml:space="preserve">do </w:t>
            </w:r>
            <w:r>
              <w:t>not request a</w:t>
            </w:r>
            <w:r w:rsidR="00383A19" w:rsidRPr="007949B7">
              <w:t xml:space="preserve"> change</w:t>
            </w:r>
            <w:r>
              <w:t>d</w:t>
            </w:r>
            <w:r w:rsidR="00383A19" w:rsidRPr="007949B7">
              <w:t xml:space="preserve"> </w:t>
            </w:r>
            <w:r>
              <w:t>PL</w:t>
            </w:r>
            <w:r w:rsidR="00383A19" w:rsidRPr="007949B7">
              <w:t xml:space="preserve"> grouping</w:t>
            </w:r>
            <w:r>
              <w:t xml:space="preserve">. </w:t>
            </w:r>
          </w:p>
        </w:tc>
      </w:tr>
      <w:tr w:rsidR="002165C5" w:rsidRPr="00602824" w14:paraId="37DB4255" w14:textId="77777777" w:rsidTr="00246C2F">
        <w:tc>
          <w:tcPr>
            <w:cnfStyle w:val="001000000000" w:firstRow="0" w:lastRow="0" w:firstColumn="1" w:lastColumn="0" w:oddVBand="0" w:evenVBand="0" w:oddHBand="0" w:evenHBand="0" w:firstRowFirstColumn="0" w:firstRowLastColumn="0" w:lastRowFirstColumn="0" w:lastRowLastColumn="0"/>
            <w:tcW w:w="993" w:type="dxa"/>
          </w:tcPr>
          <w:p w14:paraId="7A7E52DE" w14:textId="2EE43173" w:rsidR="003A46EB" w:rsidRPr="00602824" w:rsidRDefault="002D7603" w:rsidP="00FB712C">
            <w:pPr>
              <w:pStyle w:val="TableNheader"/>
              <w:spacing w:before="60" w:after="60" w:line="240" w:lineRule="auto"/>
              <w:rPr>
                <w:sz w:val="17"/>
                <w:szCs w:val="17"/>
              </w:rPr>
            </w:pPr>
            <w:r w:rsidRPr="00602824">
              <w:t>Tier 2</w:t>
            </w:r>
          </w:p>
          <w:p w14:paraId="74C16A7A" w14:textId="31FBA34C" w:rsidR="003A46EB" w:rsidRPr="00602824" w:rsidRDefault="002D7603" w:rsidP="00FB712C">
            <w:pPr>
              <w:pStyle w:val="TableNheader"/>
              <w:spacing w:before="60" w:after="60" w:line="240" w:lineRule="auto"/>
              <w:rPr>
                <w:sz w:val="17"/>
                <w:szCs w:val="17"/>
              </w:rPr>
            </w:pPr>
            <w:r w:rsidRPr="00602824">
              <w:t xml:space="preserve"> </w:t>
            </w:r>
          </w:p>
        </w:tc>
        <w:tc>
          <w:tcPr>
            <w:tcW w:w="1842" w:type="dxa"/>
          </w:tcPr>
          <w:p w14:paraId="3127CEC5" w14:textId="6C803DDC" w:rsidR="002D7603" w:rsidRPr="004304D3" w:rsidRDefault="002D760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4304D3">
              <w:rPr>
                <w:rFonts w:asciiTheme="majorHAnsi" w:hAnsiTheme="majorHAnsi" w:cstheme="majorHAnsi"/>
                <w:sz w:val="16"/>
                <w:szCs w:val="16"/>
              </w:rPr>
              <w:t>Clinical / focused HTA assessment pathways</w:t>
            </w:r>
          </w:p>
          <w:p w14:paraId="31B92F8B" w14:textId="60C1E056" w:rsidR="002D7603" w:rsidRPr="004304D3" w:rsidRDefault="002D760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4304D3">
              <w:rPr>
                <w:rFonts w:asciiTheme="majorHAnsi" w:hAnsiTheme="majorHAnsi" w:cstheme="majorHAnsi"/>
                <w:sz w:val="16"/>
                <w:szCs w:val="16"/>
              </w:rPr>
              <w:t xml:space="preserve">(2a: clinical assessment only, 2b: clinical and economic assessment) </w:t>
            </w:r>
          </w:p>
        </w:tc>
        <w:tc>
          <w:tcPr>
            <w:tcW w:w="6236" w:type="dxa"/>
          </w:tcPr>
          <w:p w14:paraId="25B13AD9" w14:textId="686109E9" w:rsidR="003A46EB" w:rsidRPr="00602824" w:rsidRDefault="003A46EB" w:rsidP="00FB712C">
            <w:pPr>
              <w:pStyle w:val="TableNBullet"/>
              <w:spacing w:before="60" w:after="60"/>
              <w:cnfStyle w:val="000000000000" w:firstRow="0" w:lastRow="0" w:firstColumn="0" w:lastColumn="0" w:oddVBand="0" w:evenVBand="0" w:oddHBand="0" w:evenHBand="0" w:firstRowFirstColumn="0" w:firstRowLastColumn="0" w:lastRowFirstColumn="0" w:lastRowLastColumn="0"/>
            </w:pPr>
            <w:r w:rsidRPr="00602824">
              <w:t xml:space="preserve">Part A applications </w:t>
            </w:r>
            <w:r w:rsidR="00E13CEC" w:rsidRPr="00602824">
              <w:t xml:space="preserve">involving </w:t>
            </w:r>
            <w:r w:rsidR="002D7603" w:rsidRPr="00602824">
              <w:t>technology</w:t>
            </w:r>
            <w:r w:rsidR="005B39E1" w:rsidRPr="00602824">
              <w:t xml:space="preserve"> that is</w:t>
            </w:r>
            <w:r w:rsidRPr="00602824">
              <w:t xml:space="preserve"> not well</w:t>
            </w:r>
            <w:r w:rsidR="005B39E1" w:rsidRPr="00602824">
              <w:t xml:space="preserve"> </w:t>
            </w:r>
            <w:r w:rsidRPr="00602824">
              <w:t>established</w:t>
            </w:r>
            <w:r w:rsidR="005B39E1" w:rsidRPr="00602824">
              <w:t>;</w:t>
            </w:r>
            <w:r w:rsidR="002D7603" w:rsidRPr="00602824">
              <w:t xml:space="preserve"> </w:t>
            </w:r>
            <w:r w:rsidRPr="00602824">
              <w:t>and/or have high variability in design and characteristics</w:t>
            </w:r>
            <w:r w:rsidR="005B39E1" w:rsidRPr="00602824">
              <w:t>;</w:t>
            </w:r>
            <w:r w:rsidRPr="00602824">
              <w:t xml:space="preserve"> and/or claims novel features, characteristics and functionality</w:t>
            </w:r>
            <w:r w:rsidR="00531C08">
              <w:t>.</w:t>
            </w:r>
          </w:p>
          <w:p w14:paraId="2C71FF30" w14:textId="0CF638A6" w:rsidR="001568DE" w:rsidRPr="00602824" w:rsidRDefault="00CC710B" w:rsidP="00FB712C">
            <w:pPr>
              <w:pStyle w:val="TableNBullet"/>
              <w:spacing w:before="60" w:after="60"/>
              <w:cnfStyle w:val="000000000000" w:firstRow="0" w:lastRow="0" w:firstColumn="0" w:lastColumn="0" w:oddVBand="0" w:evenVBand="0" w:oddHBand="0" w:evenHBand="0" w:firstRowFirstColumn="0" w:firstRowLastColumn="0" w:lastRowFirstColumn="0" w:lastRowLastColumn="0"/>
            </w:pPr>
            <w:r>
              <w:t>Applications for</w:t>
            </w:r>
            <w:r w:rsidR="001F25B1">
              <w:t xml:space="preserve"> </w:t>
            </w:r>
            <w:r w:rsidR="001F25B1" w:rsidRPr="001F25B1">
              <w:t>devices classified by the TGA as Class III, or any Part C applications</w:t>
            </w:r>
            <w:r w:rsidR="001F25B1">
              <w:t>.</w:t>
            </w:r>
          </w:p>
          <w:p w14:paraId="2FBB2B2E" w14:textId="177AD80D" w:rsidR="001568DE" w:rsidRPr="00602824" w:rsidRDefault="002D7603" w:rsidP="00FB712C">
            <w:pPr>
              <w:pStyle w:val="TableNBullet"/>
              <w:spacing w:before="60" w:after="60"/>
              <w:cnfStyle w:val="000000000000" w:firstRow="0" w:lastRow="0" w:firstColumn="0" w:lastColumn="0" w:oddVBand="0" w:evenVBand="0" w:oddHBand="0" w:evenHBand="0" w:firstRowFirstColumn="0" w:firstRowLastColumn="0" w:lastRowFirstColumn="0" w:lastRowLastColumn="0"/>
            </w:pPr>
            <w:r w:rsidRPr="00602824">
              <w:t>Applications that require</w:t>
            </w:r>
            <w:r w:rsidR="001568DE" w:rsidRPr="00602824">
              <w:t xml:space="preserve"> a</w:t>
            </w:r>
            <w:r w:rsidRPr="00602824">
              <w:t xml:space="preserve"> new grouping</w:t>
            </w:r>
            <w:r w:rsidR="00531C08">
              <w:t>.</w:t>
            </w:r>
          </w:p>
          <w:p w14:paraId="68D11338" w14:textId="48CCAD81" w:rsidR="003A46EB" w:rsidRPr="00602824" w:rsidRDefault="001568DE" w:rsidP="00FB712C">
            <w:pPr>
              <w:pStyle w:val="TableNBullet"/>
              <w:spacing w:before="60" w:after="60"/>
              <w:cnfStyle w:val="000000000000" w:firstRow="0" w:lastRow="0" w:firstColumn="0" w:lastColumn="0" w:oddVBand="0" w:evenVBand="0" w:oddHBand="0" w:evenHBand="0" w:firstRowFirstColumn="0" w:firstRowLastColumn="0" w:lastRowFirstColumn="0" w:lastRowLastColumn="0"/>
            </w:pPr>
            <w:r w:rsidRPr="00602824">
              <w:t>A</w:t>
            </w:r>
            <w:r w:rsidR="002D7603" w:rsidRPr="00602824">
              <w:t xml:space="preserve">mendment applications that request </w:t>
            </w:r>
            <w:r w:rsidRPr="00602824">
              <w:t>a</w:t>
            </w:r>
            <w:r w:rsidR="002D7603" w:rsidRPr="00602824">
              <w:t xml:space="preserve"> change</w:t>
            </w:r>
            <w:r w:rsidRPr="00602824">
              <w:t>d</w:t>
            </w:r>
            <w:r w:rsidR="002D7603" w:rsidRPr="00602824">
              <w:t xml:space="preserve"> grouping</w:t>
            </w:r>
            <w:r w:rsidR="00531C08">
              <w:t>.</w:t>
            </w:r>
            <w:r w:rsidR="002D7603" w:rsidRPr="00602824">
              <w:t xml:space="preserve"> </w:t>
            </w:r>
          </w:p>
        </w:tc>
      </w:tr>
      <w:tr w:rsidR="002165C5" w:rsidRPr="00602824" w14:paraId="01013612" w14:textId="77777777" w:rsidTr="00246C2F">
        <w:tc>
          <w:tcPr>
            <w:cnfStyle w:val="001000000000" w:firstRow="0" w:lastRow="0" w:firstColumn="1" w:lastColumn="0" w:oddVBand="0" w:evenVBand="0" w:oddHBand="0" w:evenHBand="0" w:firstRowFirstColumn="0" w:firstRowLastColumn="0" w:lastRowFirstColumn="0" w:lastRowLastColumn="0"/>
            <w:tcW w:w="993" w:type="dxa"/>
          </w:tcPr>
          <w:p w14:paraId="718C7B70" w14:textId="5B58910F" w:rsidR="003A46EB" w:rsidRPr="00602824" w:rsidRDefault="002D7603" w:rsidP="00FB712C">
            <w:pPr>
              <w:pStyle w:val="TableNheader"/>
              <w:spacing w:before="60" w:after="60" w:line="240" w:lineRule="auto"/>
              <w:rPr>
                <w:sz w:val="17"/>
                <w:szCs w:val="17"/>
              </w:rPr>
            </w:pPr>
            <w:r w:rsidRPr="00602824">
              <w:t xml:space="preserve">Tier 3 </w:t>
            </w:r>
          </w:p>
        </w:tc>
        <w:tc>
          <w:tcPr>
            <w:tcW w:w="1842" w:type="dxa"/>
          </w:tcPr>
          <w:p w14:paraId="549D620A" w14:textId="45940A36" w:rsidR="002D7603" w:rsidRPr="004304D3" w:rsidRDefault="002D7603" w:rsidP="00FB712C">
            <w:pPr>
              <w:pStyle w:val="TableN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4304D3">
              <w:rPr>
                <w:rFonts w:asciiTheme="majorHAnsi" w:hAnsiTheme="majorHAnsi" w:cstheme="majorHAnsi"/>
                <w:sz w:val="16"/>
                <w:szCs w:val="16"/>
              </w:rPr>
              <w:t xml:space="preserve">Full HTA assessment pathway (MSAC assessment) </w:t>
            </w:r>
          </w:p>
        </w:tc>
        <w:tc>
          <w:tcPr>
            <w:tcW w:w="6236" w:type="dxa"/>
          </w:tcPr>
          <w:p w14:paraId="7F348C8A" w14:textId="478C91FE" w:rsidR="003A46EB" w:rsidRPr="00602824" w:rsidRDefault="000E7347" w:rsidP="00FB712C">
            <w:pPr>
              <w:pStyle w:val="TableNBullet"/>
              <w:spacing w:before="60" w:after="60"/>
              <w:cnfStyle w:val="000000000000" w:firstRow="0" w:lastRow="0" w:firstColumn="0" w:lastColumn="0" w:oddVBand="0" w:evenVBand="0" w:oddHBand="0" w:evenHBand="0" w:firstRowFirstColumn="0" w:firstRowLastColumn="0" w:lastRowFirstColumn="0" w:lastRowLastColumn="0"/>
            </w:pPr>
            <w:r>
              <w:t xml:space="preserve">Applications for </w:t>
            </w:r>
            <w:r w:rsidR="00916948">
              <w:t>d</w:t>
            </w:r>
            <w:r w:rsidR="002D7603" w:rsidRPr="00602824">
              <w:t>evice</w:t>
            </w:r>
            <w:r>
              <w:t>s</w:t>
            </w:r>
            <w:r w:rsidR="003A46EB" w:rsidRPr="00602824">
              <w:t xml:space="preserve"> </w:t>
            </w:r>
            <w:r>
              <w:t>that are</w:t>
            </w:r>
            <w:r w:rsidR="003A46EB" w:rsidRPr="00602824">
              <w:t xml:space="preserve"> novel or first-in-class technology</w:t>
            </w:r>
            <w:r w:rsidR="00176276" w:rsidRPr="00602824">
              <w:t>;</w:t>
            </w:r>
            <w:r w:rsidR="003A46EB" w:rsidRPr="00602824">
              <w:t xml:space="preserve"> and/or there are no appropriate comparators on the PL</w:t>
            </w:r>
            <w:r w:rsidR="00531C08">
              <w:t>.</w:t>
            </w:r>
          </w:p>
          <w:p w14:paraId="1E00955A" w14:textId="33240A85" w:rsidR="003A46EB" w:rsidRPr="00602824" w:rsidRDefault="00916948" w:rsidP="00FB712C">
            <w:pPr>
              <w:pStyle w:val="TableNBullet"/>
              <w:spacing w:before="60" w:after="60"/>
              <w:cnfStyle w:val="000000000000" w:firstRow="0" w:lastRow="0" w:firstColumn="0" w:lastColumn="0" w:oddVBand="0" w:evenVBand="0" w:oddHBand="0" w:evenHBand="0" w:firstRowFirstColumn="0" w:firstRowLastColumn="0" w:lastRowFirstColumn="0" w:lastRowLastColumn="0"/>
            </w:pPr>
            <w:r>
              <w:t>Applications where there</w:t>
            </w:r>
            <w:r w:rsidR="003A46EB" w:rsidRPr="00602824">
              <w:t xml:space="preserve"> is no relevant MBS item associated with the use of the device, requiring a new MBS item or an MBS descriptor to be modified</w:t>
            </w:r>
            <w:r w:rsidR="00531C08">
              <w:t>.</w:t>
            </w:r>
          </w:p>
          <w:p w14:paraId="176E640E" w14:textId="7B28D90C" w:rsidR="003A46EB" w:rsidRPr="00602824" w:rsidRDefault="00916948" w:rsidP="00FB712C">
            <w:pPr>
              <w:pStyle w:val="TableNBullet"/>
              <w:spacing w:before="60" w:after="60"/>
              <w:cnfStyle w:val="000000000000" w:firstRow="0" w:lastRow="0" w:firstColumn="0" w:lastColumn="0" w:oddVBand="0" w:evenVBand="0" w:oddHBand="0" w:evenHBand="0" w:firstRowFirstColumn="0" w:firstRowLastColumn="0" w:lastRowFirstColumn="0" w:lastRowLastColumn="0"/>
            </w:pPr>
            <w:r>
              <w:t>Applications where</w:t>
            </w:r>
            <w:r w:rsidR="003A46EB" w:rsidRPr="00602824">
              <w:t xml:space="preserve"> listing the device will cause significant financial impact on overall PL expenditure and therefore </w:t>
            </w:r>
            <w:r w:rsidR="00AA00A1" w:rsidRPr="00602824">
              <w:t>requires</w:t>
            </w:r>
            <w:r w:rsidR="003A46EB" w:rsidRPr="00602824">
              <w:t xml:space="preserve"> detailed financial assessment</w:t>
            </w:r>
            <w:r w:rsidR="00531C08">
              <w:t>.</w:t>
            </w:r>
          </w:p>
        </w:tc>
      </w:tr>
    </w:tbl>
    <w:p w14:paraId="29DF41F8" w14:textId="77777777" w:rsidR="00157971" w:rsidRPr="00157971" w:rsidRDefault="00157971" w:rsidP="00FB712C"/>
    <w:p w14:paraId="7684F02C" w14:textId="071ACAB5" w:rsidR="00166044" w:rsidRPr="00602824" w:rsidRDefault="00007A3E" w:rsidP="00AC0512">
      <w:pPr>
        <w:pStyle w:val="Heading3"/>
      </w:pPr>
      <w:r w:rsidRPr="00602824">
        <w:t xml:space="preserve">Tier 2 applications have increased over </w:t>
      </w:r>
      <w:r w:rsidR="009245C0" w:rsidRPr="00602824">
        <w:t>the recent 18</w:t>
      </w:r>
      <w:r w:rsidR="0076493C" w:rsidRPr="00602824">
        <w:t>-</w:t>
      </w:r>
      <w:r w:rsidR="009245C0" w:rsidRPr="00602824">
        <w:t>month period</w:t>
      </w:r>
    </w:p>
    <w:p w14:paraId="1EF45BB7" w14:textId="68C57A3D" w:rsidR="00BD6983" w:rsidRPr="00602824" w:rsidRDefault="008B562A" w:rsidP="00F06518">
      <w:pPr>
        <w:rPr>
          <w:lang w:eastAsia="en-AU"/>
        </w:rPr>
      </w:pPr>
      <w:r w:rsidRPr="00602824">
        <w:rPr>
          <w:lang w:eastAsia="en-AU"/>
        </w:rPr>
        <w:fldChar w:fldCharType="begin"/>
      </w:r>
      <w:r w:rsidRPr="00602824">
        <w:rPr>
          <w:lang w:eastAsia="en-AU"/>
        </w:rPr>
        <w:instrText xml:space="preserve"> REF _Ref202436990 \h </w:instrText>
      </w:r>
      <w:r w:rsidRPr="00602824">
        <w:rPr>
          <w:lang w:eastAsia="en-AU"/>
        </w:rPr>
      </w:r>
      <w:r w:rsidRPr="00602824">
        <w:rPr>
          <w:lang w:eastAsia="en-AU"/>
        </w:rPr>
        <w:fldChar w:fldCharType="separate"/>
      </w:r>
      <w:r w:rsidR="00D30634" w:rsidRPr="00602824">
        <w:t xml:space="preserve">Table </w:t>
      </w:r>
      <w:r w:rsidR="00D30634">
        <w:rPr>
          <w:noProof/>
        </w:rPr>
        <w:t>12</w:t>
      </w:r>
      <w:r w:rsidRPr="00602824">
        <w:rPr>
          <w:lang w:eastAsia="en-AU"/>
        </w:rPr>
        <w:fldChar w:fldCharType="end"/>
      </w:r>
      <w:r w:rsidR="00070CA2" w:rsidRPr="00602824">
        <w:rPr>
          <w:lang w:eastAsia="en-AU"/>
        </w:rPr>
        <w:t xml:space="preserve"> and </w:t>
      </w:r>
      <w:r w:rsidRPr="00602824">
        <w:rPr>
          <w:lang w:eastAsia="en-AU"/>
        </w:rPr>
        <w:fldChar w:fldCharType="begin"/>
      </w:r>
      <w:r w:rsidRPr="00602824">
        <w:rPr>
          <w:lang w:eastAsia="en-AU"/>
        </w:rPr>
        <w:instrText xml:space="preserve"> REF _Ref202437001 \h </w:instrText>
      </w:r>
      <w:r w:rsidRPr="00602824">
        <w:rPr>
          <w:lang w:eastAsia="en-AU"/>
        </w:rPr>
      </w:r>
      <w:r w:rsidRPr="00602824">
        <w:rPr>
          <w:lang w:eastAsia="en-AU"/>
        </w:rPr>
        <w:fldChar w:fldCharType="separate"/>
      </w:r>
      <w:r w:rsidR="00D30634" w:rsidRPr="00602824">
        <w:t xml:space="preserve">Table </w:t>
      </w:r>
      <w:r w:rsidR="00D30634">
        <w:rPr>
          <w:noProof/>
        </w:rPr>
        <w:t>13</w:t>
      </w:r>
      <w:r w:rsidRPr="00602824">
        <w:rPr>
          <w:lang w:eastAsia="en-AU"/>
        </w:rPr>
        <w:fldChar w:fldCharType="end"/>
      </w:r>
      <w:r w:rsidR="00070CA2" w:rsidRPr="00602824">
        <w:rPr>
          <w:lang w:eastAsia="en-AU"/>
        </w:rPr>
        <w:t xml:space="preserve"> show the number of applications for </w:t>
      </w:r>
      <w:r w:rsidR="005B4E3D" w:rsidRPr="00602824">
        <w:rPr>
          <w:lang w:eastAsia="en-AU"/>
        </w:rPr>
        <w:t xml:space="preserve">Parts A and C and GUIs </w:t>
      </w:r>
      <w:r w:rsidR="00070CA2" w:rsidRPr="00602824">
        <w:rPr>
          <w:lang w:eastAsia="en-AU"/>
        </w:rPr>
        <w:t xml:space="preserve">in each of the tiers across </w:t>
      </w:r>
      <w:r w:rsidR="004762FE" w:rsidRPr="00602824">
        <w:rPr>
          <w:lang w:eastAsia="en-AU"/>
        </w:rPr>
        <w:t>an eighteen</w:t>
      </w:r>
      <w:r w:rsidRPr="00602824">
        <w:rPr>
          <w:lang w:eastAsia="en-AU"/>
        </w:rPr>
        <w:t>-</w:t>
      </w:r>
      <w:r w:rsidR="004762FE" w:rsidRPr="00602824">
        <w:rPr>
          <w:lang w:eastAsia="en-AU"/>
        </w:rPr>
        <w:t>month period.</w:t>
      </w:r>
      <w:r w:rsidR="00F06518" w:rsidRPr="00602824">
        <w:rPr>
          <w:lang w:eastAsia="en-AU"/>
        </w:rPr>
        <w:t xml:space="preserve"> </w:t>
      </w:r>
      <w:r w:rsidR="00BD6983" w:rsidRPr="00602824">
        <w:rPr>
          <w:lang w:eastAsia="en-AU"/>
        </w:rPr>
        <w:t xml:space="preserve">The data below includes three types of applications: </w:t>
      </w:r>
    </w:p>
    <w:p w14:paraId="4401FDDD" w14:textId="6F29145D" w:rsidR="00BD6983" w:rsidRPr="00602824" w:rsidRDefault="00BD6983" w:rsidP="00BD6983">
      <w:pPr>
        <w:pStyle w:val="Bullet"/>
        <w:rPr>
          <w:rFonts w:asciiTheme="majorHAnsi" w:hAnsiTheme="majorHAnsi" w:cstheme="majorHAnsi"/>
        </w:rPr>
      </w:pPr>
      <w:r w:rsidRPr="00602824">
        <w:rPr>
          <w:rFonts w:asciiTheme="majorHAnsi" w:hAnsiTheme="majorHAnsi" w:cstheme="majorHAnsi"/>
        </w:rPr>
        <w:t>New applications</w:t>
      </w:r>
      <w:r w:rsidR="00531C08">
        <w:rPr>
          <w:rFonts w:asciiTheme="majorHAnsi" w:hAnsiTheme="majorHAnsi" w:cstheme="majorHAnsi"/>
        </w:rPr>
        <w:t>.</w:t>
      </w:r>
    </w:p>
    <w:p w14:paraId="59D8CF01" w14:textId="0590552A" w:rsidR="00BD6983" w:rsidRPr="00602824" w:rsidRDefault="00BD6983" w:rsidP="00BD6983">
      <w:pPr>
        <w:pStyle w:val="Bullet"/>
      </w:pPr>
      <w:r w:rsidRPr="00602824">
        <w:rPr>
          <w:rFonts w:asciiTheme="majorHAnsi" w:hAnsiTheme="majorHAnsi" w:cstheme="majorHAnsi"/>
        </w:rPr>
        <w:t>Amendment applications</w:t>
      </w:r>
      <w:r w:rsidR="001B743B" w:rsidRPr="00602824">
        <w:rPr>
          <w:rStyle w:val="FootnoteReference"/>
          <w:rFonts w:asciiTheme="majorHAnsi" w:hAnsiTheme="majorHAnsi"/>
        </w:rPr>
        <w:footnoteReference w:id="92"/>
      </w:r>
      <w:r w:rsidRPr="00602824">
        <w:t xml:space="preserve">: For changing the details of the existing billing code, </w:t>
      </w:r>
      <w:proofErr w:type="gramStart"/>
      <w:r w:rsidRPr="00602824">
        <w:t>including:</w:t>
      </w:r>
      <w:proofErr w:type="gramEnd"/>
      <w:r w:rsidRPr="00602824">
        <w:t xml:space="preserve"> deletion/addition of catalogue numbers, amending product name, description or size stated for billing code, addition or replacement of ARTG entries, changing the grouping the billing code is listed in. Amendment applications do not delete or create any existing billing codes.</w:t>
      </w:r>
    </w:p>
    <w:p w14:paraId="16EC9B01" w14:textId="2FE9A356" w:rsidR="00BD6983" w:rsidRPr="00602824" w:rsidRDefault="00BD6983" w:rsidP="00BD6983">
      <w:pPr>
        <w:pStyle w:val="Bullet"/>
      </w:pPr>
      <w:r w:rsidRPr="00602824">
        <w:rPr>
          <w:rFonts w:asciiTheme="majorHAnsi" w:hAnsiTheme="majorHAnsi" w:cstheme="majorHAnsi"/>
        </w:rPr>
        <w:t>Expansion applications</w:t>
      </w:r>
      <w:r w:rsidR="00365171" w:rsidRPr="00602824">
        <w:rPr>
          <w:rStyle w:val="FootnoteReference"/>
          <w:rFonts w:asciiTheme="majorHAnsi" w:hAnsiTheme="majorHAnsi"/>
        </w:rPr>
        <w:footnoteReference w:id="93"/>
      </w:r>
      <w:r w:rsidRPr="00602824">
        <w:t xml:space="preserve">: </w:t>
      </w:r>
      <w:r w:rsidR="00002BC7" w:rsidRPr="00602824">
        <w:t>For expanding the billing code covering multiple devices into two or more new billing codes.</w:t>
      </w:r>
    </w:p>
    <w:p w14:paraId="201681AB" w14:textId="766FF084" w:rsidR="00BD6983" w:rsidRPr="00602824" w:rsidRDefault="00002BC7" w:rsidP="00F06518">
      <w:pPr>
        <w:rPr>
          <w:lang w:eastAsia="en-AU"/>
        </w:rPr>
      </w:pPr>
      <w:r w:rsidRPr="00602824">
        <w:rPr>
          <w:lang w:eastAsia="en-AU"/>
        </w:rPr>
        <w:t xml:space="preserve">Other application types (applications to delist, compress or transfer) have not been included in this analysis. </w:t>
      </w:r>
    </w:p>
    <w:p w14:paraId="442CD236" w14:textId="76C99E3A" w:rsidR="00F06518" w:rsidRPr="00602824" w:rsidRDefault="00F06518" w:rsidP="00F06518">
      <w:pPr>
        <w:rPr>
          <w:lang w:eastAsia="en-AU"/>
        </w:rPr>
      </w:pPr>
      <w:r w:rsidRPr="00602824">
        <w:rPr>
          <w:lang w:eastAsia="en-AU"/>
        </w:rPr>
        <w:t>For Parts A and C of the list, 76</w:t>
      </w:r>
      <w:r w:rsidR="00680DB2" w:rsidRPr="00602824">
        <w:rPr>
          <w:lang w:eastAsia="en-AU"/>
        </w:rPr>
        <w:t xml:space="preserve">% </w:t>
      </w:r>
      <w:r w:rsidRPr="00602824">
        <w:rPr>
          <w:lang w:eastAsia="en-AU"/>
        </w:rPr>
        <w:t>of applications are new applications to list. Tier 2 is the most utilised pathway for new applications, closely followed by Tier 1. Tier 3 is very rarely used. For Part D (GUIs), 81</w:t>
      </w:r>
      <w:r w:rsidR="00680DB2" w:rsidRPr="00602824">
        <w:rPr>
          <w:lang w:eastAsia="en-AU"/>
        </w:rPr>
        <w:t xml:space="preserve">% </w:t>
      </w:r>
      <w:r w:rsidRPr="00602824">
        <w:rPr>
          <w:lang w:eastAsia="en-AU"/>
        </w:rPr>
        <w:t xml:space="preserve">of applications are new applications to list. </w:t>
      </w:r>
    </w:p>
    <w:p w14:paraId="589C4F2F" w14:textId="50A49234" w:rsidR="004762FE" w:rsidRPr="00602824" w:rsidRDefault="00D77DA1" w:rsidP="004762FE">
      <w:pPr>
        <w:rPr>
          <w:lang w:eastAsia="en-AU"/>
        </w:rPr>
      </w:pPr>
      <w:r w:rsidRPr="00602824">
        <w:rPr>
          <w:lang w:eastAsia="en-AU"/>
        </w:rPr>
        <w:fldChar w:fldCharType="begin"/>
      </w:r>
      <w:r w:rsidRPr="00602824">
        <w:rPr>
          <w:lang w:eastAsia="en-AU"/>
        </w:rPr>
        <w:instrText xml:space="preserve"> REF _Ref202900691 \h </w:instrText>
      </w:r>
      <w:r w:rsidRPr="00602824">
        <w:rPr>
          <w:lang w:eastAsia="en-AU"/>
        </w:rPr>
      </w:r>
      <w:r w:rsidRPr="00602824">
        <w:rPr>
          <w:lang w:eastAsia="en-AU"/>
        </w:rPr>
        <w:fldChar w:fldCharType="separate"/>
      </w:r>
      <w:r w:rsidR="00D30634" w:rsidRPr="00602824">
        <w:t xml:space="preserve">Figure </w:t>
      </w:r>
      <w:r w:rsidR="00D30634">
        <w:rPr>
          <w:noProof/>
        </w:rPr>
        <w:t>24</w:t>
      </w:r>
      <w:r w:rsidRPr="00602824">
        <w:rPr>
          <w:lang w:eastAsia="en-AU"/>
        </w:rPr>
        <w:fldChar w:fldCharType="end"/>
      </w:r>
      <w:r w:rsidRPr="00602824">
        <w:rPr>
          <w:lang w:eastAsia="en-AU"/>
        </w:rPr>
        <w:t xml:space="preserve"> </w:t>
      </w:r>
      <w:r w:rsidR="009245C0" w:rsidRPr="00602824">
        <w:rPr>
          <w:lang w:eastAsia="en-AU"/>
        </w:rPr>
        <w:t xml:space="preserve">shows the </w:t>
      </w:r>
      <w:r w:rsidR="00842F08" w:rsidRPr="00602824">
        <w:rPr>
          <w:lang w:eastAsia="en-AU"/>
        </w:rPr>
        <w:t xml:space="preserve">change in </w:t>
      </w:r>
      <w:r w:rsidR="00E45217" w:rsidRPr="00602824">
        <w:rPr>
          <w:lang w:eastAsia="en-AU"/>
        </w:rPr>
        <w:t xml:space="preserve">number of applications in each </w:t>
      </w:r>
      <w:r w:rsidR="00842F08" w:rsidRPr="00602824">
        <w:rPr>
          <w:lang w:eastAsia="en-AU"/>
        </w:rPr>
        <w:t>pathway</w:t>
      </w:r>
      <w:r w:rsidR="00E45217" w:rsidRPr="00602824">
        <w:rPr>
          <w:lang w:eastAsia="en-AU"/>
        </w:rPr>
        <w:t xml:space="preserve"> </w:t>
      </w:r>
      <w:r w:rsidR="00842F08" w:rsidRPr="00602824">
        <w:rPr>
          <w:lang w:eastAsia="en-AU"/>
        </w:rPr>
        <w:t xml:space="preserve">over </w:t>
      </w:r>
      <w:r w:rsidR="004437E9" w:rsidRPr="00602824">
        <w:rPr>
          <w:lang w:eastAsia="en-AU"/>
        </w:rPr>
        <w:t xml:space="preserve">the </w:t>
      </w:r>
      <w:r w:rsidR="00E45217" w:rsidRPr="00602824">
        <w:rPr>
          <w:lang w:eastAsia="en-AU"/>
        </w:rPr>
        <w:t xml:space="preserve">same </w:t>
      </w:r>
      <w:r w:rsidR="004437E9" w:rsidRPr="00602824">
        <w:rPr>
          <w:lang w:eastAsia="en-AU"/>
        </w:rPr>
        <w:t>period</w:t>
      </w:r>
      <w:r w:rsidR="00842F08" w:rsidRPr="00602824">
        <w:rPr>
          <w:lang w:eastAsia="en-AU"/>
        </w:rPr>
        <w:t>.</w:t>
      </w:r>
    </w:p>
    <w:p w14:paraId="27A9D6FB" w14:textId="658598FA" w:rsidR="008B562A" w:rsidRPr="00602824" w:rsidRDefault="008B562A" w:rsidP="00B50EE7">
      <w:pPr>
        <w:pStyle w:val="Caption"/>
      </w:pPr>
      <w:bookmarkStart w:id="76" w:name="_Ref202436990"/>
      <w:r w:rsidRPr="00602824">
        <w:lastRenderedPageBreak/>
        <w:t xml:space="preserve">Table </w:t>
      </w:r>
      <w:r w:rsidR="002604D0">
        <w:fldChar w:fldCharType="begin"/>
      </w:r>
      <w:r w:rsidR="002604D0">
        <w:instrText xml:space="preserve"> SEQ Table \* ARABIC </w:instrText>
      </w:r>
      <w:r w:rsidR="002604D0">
        <w:fldChar w:fldCharType="separate"/>
      </w:r>
      <w:r w:rsidR="00D30634">
        <w:rPr>
          <w:noProof/>
        </w:rPr>
        <w:t>12</w:t>
      </w:r>
      <w:r w:rsidR="002604D0">
        <w:fldChar w:fldCharType="end"/>
      </w:r>
      <w:bookmarkEnd w:id="76"/>
      <w:r w:rsidRPr="00602824">
        <w:t xml:space="preserve"> | Part A and C applications by tier and assessment pathway – September 2023 to May 2025</w:t>
      </w:r>
      <w:r w:rsidR="005C15A9" w:rsidRPr="00602824">
        <w:rPr>
          <w:rStyle w:val="FootnoteReference"/>
        </w:rPr>
        <w:footnoteReference w:id="94"/>
      </w:r>
    </w:p>
    <w:tbl>
      <w:tblPr>
        <w:tblStyle w:val="NousTableTopandside"/>
        <w:tblW w:w="9072" w:type="dxa"/>
        <w:tblLook w:val="04A0" w:firstRow="1" w:lastRow="0" w:firstColumn="1" w:lastColumn="0" w:noHBand="0" w:noVBand="1"/>
      </w:tblPr>
      <w:tblGrid>
        <w:gridCol w:w="1985"/>
        <w:gridCol w:w="1701"/>
        <w:gridCol w:w="1843"/>
        <w:gridCol w:w="1842"/>
        <w:gridCol w:w="1701"/>
      </w:tblGrid>
      <w:tr w:rsidR="00166044" w:rsidRPr="00602824" w14:paraId="5872B9DD" w14:textId="77777777" w:rsidTr="00FB712C">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985" w:type="dxa"/>
          </w:tcPr>
          <w:p w14:paraId="0ABCCDA5" w14:textId="77777777" w:rsidR="00166044" w:rsidRPr="00602824" w:rsidRDefault="00166044" w:rsidP="00FB712C">
            <w:pPr>
              <w:spacing w:before="60" w:after="60"/>
              <w:rPr>
                <w:color w:val="EE0000"/>
              </w:rPr>
            </w:pPr>
            <w:bookmarkStart w:id="77" w:name="_Hlk201840630"/>
          </w:p>
        </w:tc>
        <w:tc>
          <w:tcPr>
            <w:tcW w:w="1701" w:type="dxa"/>
          </w:tcPr>
          <w:p w14:paraId="0829E286" w14:textId="19D53C10" w:rsidR="00166044" w:rsidRPr="00602824" w:rsidRDefault="00166044" w:rsidP="00FB712C">
            <w:pPr>
              <w:spacing w:before="60" w:after="6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olor w:val="EE0000"/>
                <w:sz w:val="17"/>
              </w:rPr>
            </w:pPr>
            <w:r w:rsidRPr="00602824">
              <w:rPr>
                <w:rFonts w:ascii="Segoe UI Semibold" w:hAnsi="Segoe UI Semibold"/>
                <w:sz w:val="17"/>
              </w:rPr>
              <w:t xml:space="preserve">Tier 1 </w:t>
            </w:r>
            <w:r w:rsidR="002A2E5C" w:rsidRPr="00602824">
              <w:rPr>
                <w:rFonts w:ascii="Segoe UI Semibold" w:hAnsi="Segoe UI Semibold"/>
                <w:sz w:val="17"/>
              </w:rPr>
              <w:t>–</w:t>
            </w:r>
            <w:r w:rsidRPr="00602824">
              <w:rPr>
                <w:rFonts w:ascii="Segoe UI Semibold" w:hAnsi="Segoe UI Semibold"/>
                <w:sz w:val="17"/>
              </w:rPr>
              <w:t xml:space="preserve"> Department pathway</w:t>
            </w:r>
          </w:p>
        </w:tc>
        <w:tc>
          <w:tcPr>
            <w:tcW w:w="1843" w:type="dxa"/>
          </w:tcPr>
          <w:p w14:paraId="49E3EF45" w14:textId="6500C005" w:rsidR="00166044" w:rsidRPr="00602824" w:rsidRDefault="00166044" w:rsidP="00FB712C">
            <w:pPr>
              <w:spacing w:before="60" w:after="6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olor w:val="EE0000"/>
                <w:sz w:val="17"/>
              </w:rPr>
            </w:pPr>
            <w:r w:rsidRPr="00602824">
              <w:rPr>
                <w:rFonts w:ascii="Segoe UI Semibold" w:hAnsi="Segoe UI Semibold"/>
                <w:sz w:val="17"/>
              </w:rPr>
              <w:t xml:space="preserve">Tier 2 </w:t>
            </w:r>
            <w:r w:rsidR="002A2E5C" w:rsidRPr="00602824">
              <w:rPr>
                <w:rFonts w:ascii="Segoe UI Semibold" w:hAnsi="Segoe UI Semibold"/>
                <w:sz w:val="17"/>
              </w:rPr>
              <w:t>–</w:t>
            </w:r>
            <w:r w:rsidRPr="00602824">
              <w:rPr>
                <w:rFonts w:ascii="Segoe UI Semibold" w:hAnsi="Segoe UI Semibold"/>
                <w:sz w:val="17"/>
              </w:rPr>
              <w:t xml:space="preserve"> Clinical HTA pathway</w:t>
            </w:r>
          </w:p>
        </w:tc>
        <w:tc>
          <w:tcPr>
            <w:tcW w:w="1842" w:type="dxa"/>
          </w:tcPr>
          <w:p w14:paraId="485EF392" w14:textId="68D368CA" w:rsidR="00166044" w:rsidRPr="00602824" w:rsidRDefault="00166044" w:rsidP="00FB712C">
            <w:pPr>
              <w:spacing w:before="60" w:after="6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olor w:val="EE0000"/>
                <w:sz w:val="17"/>
              </w:rPr>
            </w:pPr>
            <w:r w:rsidRPr="00602824">
              <w:rPr>
                <w:rFonts w:ascii="Segoe UI Semibold" w:hAnsi="Segoe UI Semibold"/>
                <w:sz w:val="17"/>
              </w:rPr>
              <w:t xml:space="preserve">Tier 3 </w:t>
            </w:r>
            <w:r w:rsidR="002A2E5C" w:rsidRPr="00602824">
              <w:rPr>
                <w:rFonts w:ascii="Segoe UI Semibold" w:hAnsi="Segoe UI Semibold"/>
                <w:sz w:val="17"/>
              </w:rPr>
              <w:t>–</w:t>
            </w:r>
            <w:r w:rsidRPr="00602824">
              <w:rPr>
                <w:rFonts w:ascii="Segoe UI Semibold" w:hAnsi="Segoe UI Semibold"/>
                <w:sz w:val="17"/>
              </w:rPr>
              <w:t xml:space="preserve"> Full HTA pathway</w:t>
            </w:r>
          </w:p>
        </w:tc>
        <w:tc>
          <w:tcPr>
            <w:tcW w:w="1701" w:type="dxa"/>
          </w:tcPr>
          <w:p w14:paraId="7DB30925" w14:textId="3BEA1EE5" w:rsidR="00166044" w:rsidRPr="00602824" w:rsidRDefault="00166044" w:rsidP="00FB712C">
            <w:pPr>
              <w:spacing w:before="60" w:after="6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olor w:val="EE0000"/>
                <w:sz w:val="17"/>
              </w:rPr>
            </w:pPr>
            <w:r w:rsidRPr="00602824">
              <w:rPr>
                <w:rFonts w:ascii="Segoe UI Semibold" w:hAnsi="Segoe UI Semibold"/>
                <w:sz w:val="17"/>
              </w:rPr>
              <w:t>All assessment pathways</w:t>
            </w:r>
          </w:p>
        </w:tc>
      </w:tr>
      <w:tr w:rsidR="00166044" w:rsidRPr="00602824" w14:paraId="0853D613" w14:textId="77777777" w:rsidTr="00FB712C">
        <w:trPr>
          <w:trHeight w:val="357"/>
        </w:trPr>
        <w:tc>
          <w:tcPr>
            <w:cnfStyle w:val="001000000000" w:firstRow="0" w:lastRow="0" w:firstColumn="1" w:lastColumn="0" w:oddVBand="0" w:evenVBand="0" w:oddHBand="0" w:evenHBand="0" w:firstRowFirstColumn="0" w:firstRowLastColumn="0" w:lastRowFirstColumn="0" w:lastRowLastColumn="0"/>
            <w:tcW w:w="1985" w:type="dxa"/>
          </w:tcPr>
          <w:p w14:paraId="44514301" w14:textId="77777777" w:rsidR="00166044" w:rsidRPr="00602824" w:rsidRDefault="00166044" w:rsidP="00FB712C">
            <w:pPr>
              <w:spacing w:before="60" w:after="60"/>
              <w:rPr>
                <w:rFonts w:ascii="Segoe UI Semibold" w:hAnsi="Segoe UI Semibold"/>
                <w:sz w:val="17"/>
              </w:rPr>
            </w:pPr>
            <w:r w:rsidRPr="00602824">
              <w:rPr>
                <w:rFonts w:ascii="Segoe UI Semibold" w:hAnsi="Segoe UI Semibold"/>
                <w:sz w:val="17"/>
              </w:rPr>
              <w:t xml:space="preserve">New </w:t>
            </w:r>
          </w:p>
        </w:tc>
        <w:tc>
          <w:tcPr>
            <w:tcW w:w="1701" w:type="dxa"/>
            <w:vAlign w:val="center"/>
          </w:tcPr>
          <w:p w14:paraId="7C845088"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3896</w:t>
            </w:r>
          </w:p>
        </w:tc>
        <w:tc>
          <w:tcPr>
            <w:tcW w:w="1843" w:type="dxa"/>
            <w:vAlign w:val="center"/>
          </w:tcPr>
          <w:p w14:paraId="7B126312"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4794</w:t>
            </w:r>
          </w:p>
        </w:tc>
        <w:tc>
          <w:tcPr>
            <w:tcW w:w="1842" w:type="dxa"/>
            <w:vAlign w:val="center"/>
          </w:tcPr>
          <w:p w14:paraId="0B6F9883"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3</w:t>
            </w:r>
          </w:p>
        </w:tc>
        <w:tc>
          <w:tcPr>
            <w:tcW w:w="1701" w:type="dxa"/>
            <w:vAlign w:val="center"/>
          </w:tcPr>
          <w:p w14:paraId="533A8D84"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8693</w:t>
            </w:r>
          </w:p>
        </w:tc>
      </w:tr>
      <w:tr w:rsidR="00166044" w:rsidRPr="00602824" w14:paraId="43240C57" w14:textId="77777777" w:rsidTr="00FB712C">
        <w:trPr>
          <w:trHeight w:val="346"/>
        </w:trPr>
        <w:tc>
          <w:tcPr>
            <w:cnfStyle w:val="001000000000" w:firstRow="0" w:lastRow="0" w:firstColumn="1" w:lastColumn="0" w:oddVBand="0" w:evenVBand="0" w:oddHBand="0" w:evenHBand="0" w:firstRowFirstColumn="0" w:firstRowLastColumn="0" w:lastRowFirstColumn="0" w:lastRowLastColumn="0"/>
            <w:tcW w:w="1985" w:type="dxa"/>
          </w:tcPr>
          <w:p w14:paraId="13485792" w14:textId="1167F995" w:rsidR="00166044" w:rsidRPr="00602824" w:rsidRDefault="00166044" w:rsidP="00FB712C">
            <w:pPr>
              <w:spacing w:before="60" w:after="60"/>
              <w:rPr>
                <w:rFonts w:ascii="Segoe UI Semibold" w:hAnsi="Segoe UI Semibold"/>
                <w:sz w:val="17"/>
              </w:rPr>
            </w:pPr>
            <w:r w:rsidRPr="00602824">
              <w:rPr>
                <w:rFonts w:ascii="Segoe UI Semibold" w:hAnsi="Segoe UI Semibold"/>
                <w:sz w:val="17"/>
              </w:rPr>
              <w:t>Amend</w:t>
            </w:r>
            <w:r w:rsidR="00C12A60" w:rsidRPr="00602824">
              <w:rPr>
                <w:rFonts w:ascii="Segoe UI Semibold" w:hAnsi="Segoe UI Semibold"/>
                <w:sz w:val="17"/>
              </w:rPr>
              <w:t>ment</w:t>
            </w:r>
          </w:p>
        </w:tc>
        <w:tc>
          <w:tcPr>
            <w:tcW w:w="1701" w:type="dxa"/>
            <w:vAlign w:val="center"/>
          </w:tcPr>
          <w:p w14:paraId="59542626"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1575</w:t>
            </w:r>
          </w:p>
        </w:tc>
        <w:tc>
          <w:tcPr>
            <w:tcW w:w="1843" w:type="dxa"/>
            <w:vAlign w:val="center"/>
          </w:tcPr>
          <w:p w14:paraId="0C485CCB"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1028</w:t>
            </w:r>
          </w:p>
        </w:tc>
        <w:tc>
          <w:tcPr>
            <w:tcW w:w="1842" w:type="dxa"/>
            <w:vAlign w:val="center"/>
          </w:tcPr>
          <w:p w14:paraId="4F1C9B2E"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0</w:t>
            </w:r>
          </w:p>
        </w:tc>
        <w:tc>
          <w:tcPr>
            <w:tcW w:w="1701" w:type="dxa"/>
            <w:vAlign w:val="center"/>
          </w:tcPr>
          <w:p w14:paraId="177A1FD6"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2603</w:t>
            </w:r>
          </w:p>
        </w:tc>
      </w:tr>
      <w:tr w:rsidR="00166044" w:rsidRPr="00602824" w14:paraId="57929E35" w14:textId="77777777" w:rsidTr="00FB712C">
        <w:trPr>
          <w:trHeight w:val="346"/>
        </w:trPr>
        <w:tc>
          <w:tcPr>
            <w:cnfStyle w:val="001000000000" w:firstRow="0" w:lastRow="0" w:firstColumn="1" w:lastColumn="0" w:oddVBand="0" w:evenVBand="0" w:oddHBand="0" w:evenHBand="0" w:firstRowFirstColumn="0" w:firstRowLastColumn="0" w:lastRowFirstColumn="0" w:lastRowLastColumn="0"/>
            <w:tcW w:w="1985" w:type="dxa"/>
          </w:tcPr>
          <w:p w14:paraId="58FA36E7" w14:textId="5CDE87B1" w:rsidR="00166044" w:rsidRPr="00602824" w:rsidRDefault="00166044" w:rsidP="00FB712C">
            <w:pPr>
              <w:spacing w:before="60" w:after="60"/>
              <w:rPr>
                <w:rFonts w:ascii="Segoe UI Semibold" w:hAnsi="Segoe UI Semibold"/>
                <w:sz w:val="17"/>
              </w:rPr>
            </w:pPr>
            <w:r w:rsidRPr="00602824">
              <w:rPr>
                <w:rFonts w:ascii="Segoe UI Semibold" w:hAnsi="Segoe UI Semibold"/>
                <w:sz w:val="17"/>
              </w:rPr>
              <w:t>Expan</w:t>
            </w:r>
            <w:r w:rsidR="00C12A60" w:rsidRPr="00602824">
              <w:rPr>
                <w:rFonts w:ascii="Segoe UI Semibold" w:hAnsi="Segoe UI Semibold"/>
                <w:sz w:val="17"/>
              </w:rPr>
              <w:t>sion</w:t>
            </w:r>
          </w:p>
        </w:tc>
        <w:tc>
          <w:tcPr>
            <w:tcW w:w="1701" w:type="dxa"/>
            <w:vAlign w:val="center"/>
          </w:tcPr>
          <w:p w14:paraId="121918D5"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120</w:t>
            </w:r>
          </w:p>
        </w:tc>
        <w:tc>
          <w:tcPr>
            <w:tcW w:w="1843" w:type="dxa"/>
            <w:vAlign w:val="center"/>
          </w:tcPr>
          <w:p w14:paraId="67DA5FD8"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52</w:t>
            </w:r>
          </w:p>
        </w:tc>
        <w:tc>
          <w:tcPr>
            <w:tcW w:w="1842" w:type="dxa"/>
            <w:vAlign w:val="center"/>
          </w:tcPr>
          <w:p w14:paraId="3F9BD1B6"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0</w:t>
            </w:r>
          </w:p>
        </w:tc>
        <w:tc>
          <w:tcPr>
            <w:tcW w:w="1701" w:type="dxa"/>
            <w:vAlign w:val="center"/>
          </w:tcPr>
          <w:p w14:paraId="57C910B4"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172</w:t>
            </w:r>
          </w:p>
        </w:tc>
      </w:tr>
      <w:tr w:rsidR="00166044" w:rsidRPr="00602824" w14:paraId="6744088C" w14:textId="77777777" w:rsidTr="00FB712C">
        <w:trPr>
          <w:trHeight w:val="357"/>
        </w:trPr>
        <w:tc>
          <w:tcPr>
            <w:cnfStyle w:val="001000000000" w:firstRow="0" w:lastRow="0" w:firstColumn="1" w:lastColumn="0" w:oddVBand="0" w:evenVBand="0" w:oddHBand="0" w:evenHBand="0" w:firstRowFirstColumn="0" w:firstRowLastColumn="0" w:lastRowFirstColumn="0" w:lastRowLastColumn="0"/>
            <w:tcW w:w="1985" w:type="dxa"/>
          </w:tcPr>
          <w:p w14:paraId="2ECC48C6" w14:textId="77777777" w:rsidR="00166044" w:rsidRPr="00602824" w:rsidRDefault="00166044" w:rsidP="00FB712C">
            <w:pPr>
              <w:spacing w:before="60" w:after="60"/>
              <w:rPr>
                <w:rFonts w:ascii="Segoe UI Semibold" w:hAnsi="Segoe UI Semibold"/>
                <w:sz w:val="17"/>
              </w:rPr>
            </w:pPr>
            <w:r w:rsidRPr="00602824">
              <w:rPr>
                <w:rFonts w:ascii="Segoe UI Semibold" w:hAnsi="Segoe UI Semibold"/>
                <w:sz w:val="17"/>
              </w:rPr>
              <w:t>All application types</w:t>
            </w:r>
          </w:p>
        </w:tc>
        <w:tc>
          <w:tcPr>
            <w:tcW w:w="1701" w:type="dxa"/>
            <w:vAlign w:val="center"/>
          </w:tcPr>
          <w:p w14:paraId="6E108E85"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5591</w:t>
            </w:r>
          </w:p>
        </w:tc>
        <w:tc>
          <w:tcPr>
            <w:tcW w:w="1843" w:type="dxa"/>
            <w:vAlign w:val="center"/>
          </w:tcPr>
          <w:p w14:paraId="0C38862C"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5874</w:t>
            </w:r>
          </w:p>
        </w:tc>
        <w:tc>
          <w:tcPr>
            <w:tcW w:w="1842" w:type="dxa"/>
            <w:vAlign w:val="center"/>
          </w:tcPr>
          <w:p w14:paraId="6F7FF137"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3</w:t>
            </w:r>
          </w:p>
        </w:tc>
        <w:tc>
          <w:tcPr>
            <w:tcW w:w="1701" w:type="dxa"/>
            <w:vAlign w:val="center"/>
          </w:tcPr>
          <w:p w14:paraId="1A55C3C4"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11468</w:t>
            </w:r>
          </w:p>
        </w:tc>
      </w:tr>
    </w:tbl>
    <w:p w14:paraId="45D0E772" w14:textId="0519F86E" w:rsidR="00166044" w:rsidRPr="00602824" w:rsidRDefault="008B562A" w:rsidP="00FB712C">
      <w:pPr>
        <w:pStyle w:val="Caption"/>
        <w:spacing w:before="300"/>
      </w:pPr>
      <w:bookmarkStart w:id="78" w:name="_Ref202437001"/>
      <w:bookmarkEnd w:id="77"/>
      <w:r w:rsidRPr="00602824">
        <w:t xml:space="preserve">Table </w:t>
      </w:r>
      <w:r w:rsidR="002604D0">
        <w:fldChar w:fldCharType="begin"/>
      </w:r>
      <w:r w:rsidR="002604D0">
        <w:instrText xml:space="preserve"> SEQ Table \* ARABIC </w:instrText>
      </w:r>
      <w:r w:rsidR="002604D0">
        <w:fldChar w:fldCharType="separate"/>
      </w:r>
      <w:r w:rsidR="00D30634">
        <w:rPr>
          <w:noProof/>
        </w:rPr>
        <w:t>13</w:t>
      </w:r>
      <w:r w:rsidR="002604D0">
        <w:fldChar w:fldCharType="end"/>
      </w:r>
      <w:bookmarkEnd w:id="78"/>
      <w:r w:rsidRPr="00602824">
        <w:t xml:space="preserve"> | </w:t>
      </w:r>
      <w:r w:rsidR="00166044" w:rsidRPr="00602824">
        <w:t>Part D (GUIs) applications by tier and assessment pathway – September 2023 to May 2025</w:t>
      </w:r>
      <w:r w:rsidR="005C15A9" w:rsidRPr="00602824">
        <w:rPr>
          <w:rStyle w:val="FootnoteReference"/>
        </w:rPr>
        <w:footnoteReference w:id="95"/>
      </w:r>
    </w:p>
    <w:tbl>
      <w:tblPr>
        <w:tblStyle w:val="NousTableTopandside"/>
        <w:tblW w:w="0" w:type="auto"/>
        <w:tblLook w:val="04A0" w:firstRow="1" w:lastRow="0" w:firstColumn="1" w:lastColumn="0" w:noHBand="0" w:noVBand="1"/>
      </w:tblPr>
      <w:tblGrid>
        <w:gridCol w:w="1985"/>
        <w:gridCol w:w="1701"/>
        <w:gridCol w:w="1843"/>
        <w:gridCol w:w="1842"/>
        <w:gridCol w:w="1688"/>
      </w:tblGrid>
      <w:tr w:rsidR="00166044" w:rsidRPr="00602824" w14:paraId="3537AFC3" w14:textId="77777777" w:rsidTr="00FB712C">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85" w:type="dxa"/>
          </w:tcPr>
          <w:p w14:paraId="7A4BCF89" w14:textId="77777777" w:rsidR="00166044" w:rsidRPr="00602824" w:rsidRDefault="00166044" w:rsidP="00FB712C">
            <w:pPr>
              <w:spacing w:before="60" w:after="60"/>
              <w:rPr>
                <w:color w:val="EE0000"/>
              </w:rPr>
            </w:pPr>
          </w:p>
        </w:tc>
        <w:tc>
          <w:tcPr>
            <w:tcW w:w="1701" w:type="dxa"/>
          </w:tcPr>
          <w:p w14:paraId="4965B3C7" w14:textId="0FEB8280" w:rsidR="00166044" w:rsidRPr="00602824" w:rsidRDefault="00166044" w:rsidP="00FB712C">
            <w:pPr>
              <w:spacing w:before="60" w:after="6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olor w:val="EE0000"/>
                <w:sz w:val="17"/>
              </w:rPr>
            </w:pPr>
            <w:r w:rsidRPr="00602824">
              <w:rPr>
                <w:rFonts w:ascii="Segoe UI Semibold" w:hAnsi="Segoe UI Semibold"/>
                <w:sz w:val="17"/>
              </w:rPr>
              <w:t xml:space="preserve">Tier 1 </w:t>
            </w:r>
            <w:r w:rsidR="002A2E5C" w:rsidRPr="00602824">
              <w:rPr>
                <w:rFonts w:ascii="Segoe UI Semibold" w:hAnsi="Segoe UI Semibold"/>
                <w:sz w:val="17"/>
              </w:rPr>
              <w:t>–</w:t>
            </w:r>
            <w:r w:rsidRPr="00602824">
              <w:rPr>
                <w:rFonts w:ascii="Segoe UI Semibold" w:hAnsi="Segoe UI Semibold"/>
                <w:sz w:val="17"/>
              </w:rPr>
              <w:t xml:space="preserve"> Department pathway</w:t>
            </w:r>
          </w:p>
        </w:tc>
        <w:tc>
          <w:tcPr>
            <w:tcW w:w="1843" w:type="dxa"/>
          </w:tcPr>
          <w:p w14:paraId="5DAEC09E" w14:textId="58FA2830" w:rsidR="00166044" w:rsidRPr="00602824" w:rsidRDefault="00166044" w:rsidP="00FB712C">
            <w:pPr>
              <w:spacing w:before="60" w:after="6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olor w:val="EE0000"/>
                <w:sz w:val="17"/>
              </w:rPr>
            </w:pPr>
            <w:r w:rsidRPr="00602824">
              <w:rPr>
                <w:rFonts w:ascii="Segoe UI Semibold" w:hAnsi="Segoe UI Semibold"/>
                <w:sz w:val="17"/>
              </w:rPr>
              <w:t xml:space="preserve">Tier 2 </w:t>
            </w:r>
            <w:r w:rsidR="002A2E5C" w:rsidRPr="00602824">
              <w:rPr>
                <w:rFonts w:ascii="Segoe UI Semibold" w:hAnsi="Segoe UI Semibold"/>
                <w:sz w:val="17"/>
              </w:rPr>
              <w:t xml:space="preserve">– </w:t>
            </w:r>
            <w:r w:rsidRPr="00602824">
              <w:rPr>
                <w:rFonts w:ascii="Segoe UI Semibold" w:hAnsi="Segoe UI Semibold"/>
                <w:sz w:val="17"/>
              </w:rPr>
              <w:t>Clinical HTA pathway</w:t>
            </w:r>
          </w:p>
        </w:tc>
        <w:tc>
          <w:tcPr>
            <w:tcW w:w="1842" w:type="dxa"/>
          </w:tcPr>
          <w:p w14:paraId="142059BF" w14:textId="0FE4A26A" w:rsidR="00166044" w:rsidRPr="00602824" w:rsidRDefault="00166044" w:rsidP="00FB712C">
            <w:pPr>
              <w:spacing w:before="60" w:after="6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olor w:val="EE0000"/>
                <w:sz w:val="17"/>
              </w:rPr>
            </w:pPr>
            <w:r w:rsidRPr="00602824">
              <w:rPr>
                <w:rFonts w:ascii="Segoe UI Semibold" w:hAnsi="Segoe UI Semibold"/>
                <w:sz w:val="17"/>
              </w:rPr>
              <w:t xml:space="preserve">Tier 3 </w:t>
            </w:r>
            <w:r w:rsidR="002A2E5C" w:rsidRPr="00602824">
              <w:rPr>
                <w:rFonts w:ascii="Segoe UI Semibold" w:hAnsi="Segoe UI Semibold"/>
                <w:sz w:val="17"/>
              </w:rPr>
              <w:t>–</w:t>
            </w:r>
            <w:r w:rsidRPr="00602824">
              <w:rPr>
                <w:rFonts w:ascii="Segoe UI Semibold" w:hAnsi="Segoe UI Semibold"/>
                <w:sz w:val="17"/>
              </w:rPr>
              <w:t xml:space="preserve"> Full HTA pathway</w:t>
            </w:r>
          </w:p>
        </w:tc>
        <w:tc>
          <w:tcPr>
            <w:tcW w:w="1688" w:type="dxa"/>
          </w:tcPr>
          <w:p w14:paraId="381FC0E4" w14:textId="54BEFB20" w:rsidR="00166044" w:rsidRPr="00602824" w:rsidRDefault="00166044" w:rsidP="00FB712C">
            <w:pPr>
              <w:spacing w:before="60" w:after="6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olor w:val="EE0000"/>
                <w:sz w:val="17"/>
              </w:rPr>
            </w:pPr>
            <w:r w:rsidRPr="00602824">
              <w:rPr>
                <w:rFonts w:ascii="Segoe UI Semibold" w:hAnsi="Segoe UI Semibold"/>
                <w:sz w:val="17"/>
              </w:rPr>
              <w:t>All assessment pathways</w:t>
            </w:r>
          </w:p>
        </w:tc>
      </w:tr>
      <w:tr w:rsidR="00166044" w:rsidRPr="00602824" w14:paraId="7B49C1D9" w14:textId="77777777" w:rsidTr="00FB712C">
        <w:trPr>
          <w:trHeight w:val="345"/>
        </w:trPr>
        <w:tc>
          <w:tcPr>
            <w:cnfStyle w:val="001000000000" w:firstRow="0" w:lastRow="0" w:firstColumn="1" w:lastColumn="0" w:oddVBand="0" w:evenVBand="0" w:oddHBand="0" w:evenHBand="0" w:firstRowFirstColumn="0" w:firstRowLastColumn="0" w:lastRowFirstColumn="0" w:lastRowLastColumn="0"/>
            <w:tcW w:w="1985" w:type="dxa"/>
          </w:tcPr>
          <w:p w14:paraId="345EA9E0" w14:textId="77777777" w:rsidR="00166044" w:rsidRPr="00602824" w:rsidRDefault="00166044" w:rsidP="00FB712C">
            <w:pPr>
              <w:spacing w:before="60" w:after="60"/>
              <w:rPr>
                <w:rFonts w:ascii="Segoe UI Semibold" w:hAnsi="Segoe UI Semibold"/>
                <w:sz w:val="17"/>
              </w:rPr>
            </w:pPr>
            <w:r w:rsidRPr="00602824">
              <w:rPr>
                <w:rFonts w:ascii="Segoe UI Semibold" w:hAnsi="Segoe UI Semibold"/>
                <w:sz w:val="17"/>
              </w:rPr>
              <w:t xml:space="preserve">New </w:t>
            </w:r>
          </w:p>
        </w:tc>
        <w:tc>
          <w:tcPr>
            <w:tcW w:w="1701" w:type="dxa"/>
            <w:vAlign w:val="center"/>
          </w:tcPr>
          <w:p w14:paraId="2EA7CEA4"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80</w:t>
            </w:r>
          </w:p>
        </w:tc>
        <w:tc>
          <w:tcPr>
            <w:tcW w:w="1843" w:type="dxa"/>
            <w:vAlign w:val="center"/>
          </w:tcPr>
          <w:p w14:paraId="76AF425D"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66</w:t>
            </w:r>
          </w:p>
        </w:tc>
        <w:tc>
          <w:tcPr>
            <w:tcW w:w="1842" w:type="dxa"/>
            <w:vAlign w:val="center"/>
          </w:tcPr>
          <w:p w14:paraId="3C91F35B"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0</w:t>
            </w:r>
          </w:p>
        </w:tc>
        <w:tc>
          <w:tcPr>
            <w:tcW w:w="1688" w:type="dxa"/>
            <w:vAlign w:val="center"/>
          </w:tcPr>
          <w:p w14:paraId="4631B06B"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146</w:t>
            </w:r>
          </w:p>
        </w:tc>
      </w:tr>
      <w:tr w:rsidR="00166044" w:rsidRPr="00602824" w14:paraId="0B2E70A4" w14:textId="77777777" w:rsidTr="00FB712C">
        <w:trPr>
          <w:trHeight w:val="335"/>
        </w:trPr>
        <w:tc>
          <w:tcPr>
            <w:cnfStyle w:val="001000000000" w:firstRow="0" w:lastRow="0" w:firstColumn="1" w:lastColumn="0" w:oddVBand="0" w:evenVBand="0" w:oddHBand="0" w:evenHBand="0" w:firstRowFirstColumn="0" w:firstRowLastColumn="0" w:lastRowFirstColumn="0" w:lastRowLastColumn="0"/>
            <w:tcW w:w="1985" w:type="dxa"/>
          </w:tcPr>
          <w:p w14:paraId="579E9EE3" w14:textId="7069E3DE" w:rsidR="00166044" w:rsidRPr="00602824" w:rsidRDefault="00166044" w:rsidP="00FB712C">
            <w:pPr>
              <w:spacing w:before="60" w:after="60"/>
              <w:rPr>
                <w:rFonts w:ascii="Segoe UI Semibold" w:hAnsi="Segoe UI Semibold"/>
                <w:sz w:val="17"/>
              </w:rPr>
            </w:pPr>
            <w:r w:rsidRPr="00602824">
              <w:rPr>
                <w:rFonts w:ascii="Segoe UI Semibold" w:hAnsi="Segoe UI Semibold"/>
                <w:sz w:val="17"/>
              </w:rPr>
              <w:t>Amend</w:t>
            </w:r>
            <w:r w:rsidR="00C12A60" w:rsidRPr="00602824">
              <w:rPr>
                <w:rFonts w:ascii="Segoe UI Semibold" w:hAnsi="Segoe UI Semibold"/>
                <w:sz w:val="17"/>
              </w:rPr>
              <w:t>ment</w:t>
            </w:r>
            <w:r w:rsidRPr="00602824">
              <w:rPr>
                <w:rFonts w:ascii="Segoe UI Semibold" w:hAnsi="Segoe UI Semibold"/>
                <w:sz w:val="17"/>
              </w:rPr>
              <w:t xml:space="preserve"> </w:t>
            </w:r>
          </w:p>
        </w:tc>
        <w:tc>
          <w:tcPr>
            <w:tcW w:w="1701" w:type="dxa"/>
            <w:vAlign w:val="center"/>
          </w:tcPr>
          <w:p w14:paraId="7B424A72"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21</w:t>
            </w:r>
          </w:p>
        </w:tc>
        <w:tc>
          <w:tcPr>
            <w:tcW w:w="1843" w:type="dxa"/>
            <w:vAlign w:val="center"/>
          </w:tcPr>
          <w:p w14:paraId="392EEB67"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4</w:t>
            </w:r>
          </w:p>
        </w:tc>
        <w:tc>
          <w:tcPr>
            <w:tcW w:w="1842" w:type="dxa"/>
            <w:vAlign w:val="center"/>
          </w:tcPr>
          <w:p w14:paraId="5809AF26"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0</w:t>
            </w:r>
          </w:p>
        </w:tc>
        <w:tc>
          <w:tcPr>
            <w:tcW w:w="1688" w:type="dxa"/>
            <w:vAlign w:val="center"/>
          </w:tcPr>
          <w:p w14:paraId="069131C1"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25</w:t>
            </w:r>
          </w:p>
        </w:tc>
      </w:tr>
      <w:tr w:rsidR="00166044" w:rsidRPr="00602824" w14:paraId="3069DB55" w14:textId="77777777" w:rsidTr="00FB712C">
        <w:trPr>
          <w:trHeight w:val="335"/>
        </w:trPr>
        <w:tc>
          <w:tcPr>
            <w:cnfStyle w:val="001000000000" w:firstRow="0" w:lastRow="0" w:firstColumn="1" w:lastColumn="0" w:oddVBand="0" w:evenVBand="0" w:oddHBand="0" w:evenHBand="0" w:firstRowFirstColumn="0" w:firstRowLastColumn="0" w:lastRowFirstColumn="0" w:lastRowLastColumn="0"/>
            <w:tcW w:w="1985" w:type="dxa"/>
          </w:tcPr>
          <w:p w14:paraId="0FA3E78C" w14:textId="51378257" w:rsidR="00166044" w:rsidRPr="00602824" w:rsidRDefault="00166044" w:rsidP="00FB712C">
            <w:pPr>
              <w:spacing w:before="60" w:after="60"/>
              <w:rPr>
                <w:rFonts w:ascii="Segoe UI Semibold" w:hAnsi="Segoe UI Semibold"/>
                <w:sz w:val="17"/>
              </w:rPr>
            </w:pPr>
            <w:r w:rsidRPr="00602824">
              <w:rPr>
                <w:rFonts w:ascii="Segoe UI Semibold" w:hAnsi="Segoe UI Semibold"/>
                <w:sz w:val="17"/>
              </w:rPr>
              <w:t>Expan</w:t>
            </w:r>
            <w:r w:rsidR="00C12A60" w:rsidRPr="00602824">
              <w:rPr>
                <w:rFonts w:ascii="Segoe UI Semibold" w:hAnsi="Segoe UI Semibold"/>
                <w:sz w:val="17"/>
              </w:rPr>
              <w:t>sion</w:t>
            </w:r>
          </w:p>
        </w:tc>
        <w:tc>
          <w:tcPr>
            <w:tcW w:w="1701" w:type="dxa"/>
            <w:vAlign w:val="center"/>
          </w:tcPr>
          <w:p w14:paraId="1DF6A088"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7</w:t>
            </w:r>
          </w:p>
        </w:tc>
        <w:tc>
          <w:tcPr>
            <w:tcW w:w="1843" w:type="dxa"/>
            <w:vAlign w:val="center"/>
          </w:tcPr>
          <w:p w14:paraId="19793D80"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2</w:t>
            </w:r>
          </w:p>
        </w:tc>
        <w:tc>
          <w:tcPr>
            <w:tcW w:w="1842" w:type="dxa"/>
            <w:vAlign w:val="center"/>
          </w:tcPr>
          <w:p w14:paraId="5B3924E6"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sz w:val="16"/>
              </w:rPr>
            </w:pPr>
            <w:r w:rsidRPr="00602824">
              <w:rPr>
                <w:sz w:val="16"/>
              </w:rPr>
              <w:t>0</w:t>
            </w:r>
          </w:p>
        </w:tc>
        <w:tc>
          <w:tcPr>
            <w:tcW w:w="1688" w:type="dxa"/>
            <w:vAlign w:val="center"/>
          </w:tcPr>
          <w:p w14:paraId="3A497DBF"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9</w:t>
            </w:r>
          </w:p>
        </w:tc>
      </w:tr>
      <w:tr w:rsidR="00166044" w:rsidRPr="00602824" w14:paraId="72A91191" w14:textId="77777777" w:rsidTr="00FB712C">
        <w:trPr>
          <w:trHeight w:val="257"/>
        </w:trPr>
        <w:tc>
          <w:tcPr>
            <w:cnfStyle w:val="001000000000" w:firstRow="0" w:lastRow="0" w:firstColumn="1" w:lastColumn="0" w:oddVBand="0" w:evenVBand="0" w:oddHBand="0" w:evenHBand="0" w:firstRowFirstColumn="0" w:firstRowLastColumn="0" w:lastRowFirstColumn="0" w:lastRowLastColumn="0"/>
            <w:tcW w:w="1985" w:type="dxa"/>
          </w:tcPr>
          <w:p w14:paraId="681028A3" w14:textId="77777777" w:rsidR="00166044" w:rsidRPr="00602824" w:rsidRDefault="00166044" w:rsidP="00FB712C">
            <w:pPr>
              <w:spacing w:before="60" w:after="60"/>
              <w:rPr>
                <w:rFonts w:ascii="Segoe UI Semibold" w:hAnsi="Segoe UI Semibold"/>
                <w:sz w:val="17"/>
              </w:rPr>
            </w:pPr>
            <w:r w:rsidRPr="00602824">
              <w:rPr>
                <w:rFonts w:ascii="Segoe UI Semibold" w:hAnsi="Segoe UI Semibold"/>
                <w:sz w:val="17"/>
              </w:rPr>
              <w:t>All application types</w:t>
            </w:r>
          </w:p>
        </w:tc>
        <w:tc>
          <w:tcPr>
            <w:tcW w:w="1701" w:type="dxa"/>
            <w:vAlign w:val="center"/>
          </w:tcPr>
          <w:p w14:paraId="4EF3F079"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108</w:t>
            </w:r>
          </w:p>
        </w:tc>
        <w:tc>
          <w:tcPr>
            <w:tcW w:w="1843" w:type="dxa"/>
            <w:vAlign w:val="center"/>
          </w:tcPr>
          <w:p w14:paraId="7F5D2413"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72</w:t>
            </w:r>
          </w:p>
        </w:tc>
        <w:tc>
          <w:tcPr>
            <w:tcW w:w="1842" w:type="dxa"/>
            <w:vAlign w:val="center"/>
          </w:tcPr>
          <w:p w14:paraId="333DF01A"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0</w:t>
            </w:r>
          </w:p>
        </w:tc>
        <w:tc>
          <w:tcPr>
            <w:tcW w:w="1688" w:type="dxa"/>
            <w:vAlign w:val="center"/>
          </w:tcPr>
          <w:p w14:paraId="6A30F161" w14:textId="77777777" w:rsidR="00166044" w:rsidRPr="00602824" w:rsidRDefault="00166044" w:rsidP="00FB712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602824">
              <w:rPr>
                <w:rFonts w:asciiTheme="majorHAnsi" w:hAnsiTheme="majorHAnsi" w:cstheme="majorHAnsi"/>
                <w:sz w:val="16"/>
              </w:rPr>
              <w:t>180</w:t>
            </w:r>
          </w:p>
        </w:tc>
      </w:tr>
    </w:tbl>
    <w:p w14:paraId="4D933D1A" w14:textId="7805517E" w:rsidR="00BF3AB5" w:rsidRPr="00602824" w:rsidRDefault="00BF3AB5" w:rsidP="00FB712C">
      <w:pPr>
        <w:spacing w:before="240"/>
      </w:pPr>
      <w:bookmarkStart w:id="79" w:name="_Ref202437147"/>
      <w:r w:rsidRPr="00602824">
        <w:t>For both Part A &amp; C and Part D, most applications for amendment are submitted through the Tier 1 pathway.</w:t>
      </w:r>
    </w:p>
    <w:p w14:paraId="535073EE" w14:textId="2150CB16" w:rsidR="008B562A" w:rsidRPr="00602824" w:rsidRDefault="008B562A" w:rsidP="00B50EE7">
      <w:pPr>
        <w:pStyle w:val="Caption"/>
      </w:pPr>
      <w:bookmarkStart w:id="80" w:name="_Ref202900691"/>
      <w:r w:rsidRPr="00602824">
        <w:t xml:space="preserve">Figure </w:t>
      </w:r>
      <w:r w:rsidR="002604D0">
        <w:fldChar w:fldCharType="begin"/>
      </w:r>
      <w:r w:rsidR="002604D0">
        <w:instrText xml:space="preserve"> SEQ Figure \* ARABIC </w:instrText>
      </w:r>
      <w:r w:rsidR="002604D0">
        <w:fldChar w:fldCharType="separate"/>
      </w:r>
      <w:r w:rsidR="00D30634">
        <w:rPr>
          <w:noProof/>
        </w:rPr>
        <w:t>24</w:t>
      </w:r>
      <w:r w:rsidR="002604D0">
        <w:fldChar w:fldCharType="end"/>
      </w:r>
      <w:bookmarkEnd w:id="79"/>
      <w:bookmarkEnd w:id="80"/>
      <w:r w:rsidRPr="00602824">
        <w:t xml:space="preserve"> | </w:t>
      </w:r>
      <w:r w:rsidR="00D11A80" w:rsidRPr="00602824">
        <w:t>Number of PL applications between September 2023 and May 2025 (Part A, C and D)</w:t>
      </w:r>
    </w:p>
    <w:p w14:paraId="3F2AA90A" w14:textId="77777777" w:rsidR="009F7AED" w:rsidRPr="00602824" w:rsidRDefault="009F7AED" w:rsidP="009F7AED">
      <w:pPr>
        <w:rPr>
          <w:lang w:eastAsia="en-AU"/>
        </w:rPr>
      </w:pPr>
      <w:r w:rsidRPr="00AC7E3F">
        <w:rPr>
          <w:noProof/>
        </w:rPr>
        <w:drawing>
          <wp:inline distT="0" distB="0" distL="0" distR="0" wp14:anchorId="6C1DC317" wp14:editId="34F53277">
            <wp:extent cx="5760085" cy="3202305"/>
            <wp:effectExtent l="0" t="0" r="0" b="0"/>
            <wp:docPr id="1109121008" name="Picture 1" descr="Timeline of post-listing review framework development and reviews under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21008" name="Picture 1" descr="Timeline of post-listing review framework development and reviews undertaken."/>
                    <pic:cNvPicPr/>
                  </pic:nvPicPr>
                  <pic:blipFill>
                    <a:blip r:embed="rId49"/>
                    <a:stretch>
                      <a:fillRect/>
                    </a:stretch>
                  </pic:blipFill>
                  <pic:spPr>
                    <a:xfrm>
                      <a:off x="0" y="0"/>
                      <a:ext cx="5760085" cy="3202305"/>
                    </a:xfrm>
                    <a:prstGeom prst="rect">
                      <a:avLst/>
                    </a:prstGeom>
                  </pic:spPr>
                </pic:pic>
              </a:graphicData>
            </a:graphic>
          </wp:inline>
        </w:drawing>
      </w:r>
    </w:p>
    <w:p w14:paraId="6AC5CFE4" w14:textId="37DF96F0" w:rsidR="00A178A4" w:rsidRPr="00602824" w:rsidRDefault="00466F19" w:rsidP="00FB712C">
      <w:pPr>
        <w:spacing w:before="240"/>
      </w:pPr>
      <w:r w:rsidRPr="00602824">
        <w:lastRenderedPageBreak/>
        <w:fldChar w:fldCharType="begin"/>
      </w:r>
      <w:r w:rsidRPr="00602824">
        <w:instrText xml:space="preserve"> REF _Ref202900691 \h </w:instrText>
      </w:r>
      <w:r w:rsidRPr="00602824">
        <w:fldChar w:fldCharType="separate"/>
      </w:r>
      <w:r w:rsidR="00D30634" w:rsidRPr="00602824">
        <w:t xml:space="preserve">Figure </w:t>
      </w:r>
      <w:r w:rsidR="00D30634">
        <w:rPr>
          <w:noProof/>
        </w:rPr>
        <w:t>24</w:t>
      </w:r>
      <w:r w:rsidRPr="00602824">
        <w:fldChar w:fldCharType="end"/>
      </w:r>
      <w:r w:rsidR="00110F98" w:rsidRPr="00602824">
        <w:t xml:space="preserve"> shows a spike in</w:t>
      </w:r>
      <w:r w:rsidR="00E2024B" w:rsidRPr="00602824">
        <w:t xml:space="preserve"> all application pathways in</w:t>
      </w:r>
      <w:r w:rsidR="00205643" w:rsidRPr="00602824">
        <w:t xml:space="preserve"> early 2024</w:t>
      </w:r>
      <w:r w:rsidR="00E2024B" w:rsidRPr="00602824">
        <w:t xml:space="preserve"> followed by a declin</w:t>
      </w:r>
      <w:r w:rsidR="00FD746A" w:rsidRPr="00602824">
        <w:t>ing trend</w:t>
      </w:r>
      <w:r w:rsidR="00E2024B" w:rsidRPr="00602824">
        <w:t xml:space="preserve"> </w:t>
      </w:r>
      <w:r w:rsidR="00FD746A" w:rsidRPr="00602824">
        <w:t xml:space="preserve">over the remainder of </w:t>
      </w:r>
      <w:r w:rsidR="008C7788" w:rsidRPr="00602824">
        <w:t>2024</w:t>
      </w:r>
      <w:r w:rsidR="00FD746A" w:rsidRPr="00602824">
        <w:t>. This</w:t>
      </w:r>
      <w:r w:rsidR="00701CF9" w:rsidRPr="00602824">
        <w:t xml:space="preserve"> initial spike</w:t>
      </w:r>
      <w:r w:rsidR="008C7788" w:rsidRPr="00602824">
        <w:t xml:space="preserve"> can be explained by </w:t>
      </w:r>
      <w:r w:rsidR="00B414BA" w:rsidRPr="00602824">
        <w:t>implementation of the new</w:t>
      </w:r>
      <w:r w:rsidR="00B1107D" w:rsidRPr="00602824">
        <w:t xml:space="preserve"> Health Products Portal (</w:t>
      </w:r>
      <w:r w:rsidR="008C7788" w:rsidRPr="00602824">
        <w:t>HPP</w:t>
      </w:r>
      <w:r w:rsidR="00B1107D" w:rsidRPr="00602824">
        <w:t>)</w:t>
      </w:r>
      <w:r w:rsidR="008C7788" w:rsidRPr="00602824">
        <w:t xml:space="preserve"> </w:t>
      </w:r>
      <w:r w:rsidR="00B414BA" w:rsidRPr="00602824">
        <w:t>enabling</w:t>
      </w:r>
      <w:r w:rsidR="00FD667E" w:rsidRPr="00602824">
        <w:t xml:space="preserve"> </w:t>
      </w:r>
      <w:r w:rsidR="008C7788" w:rsidRPr="00602824">
        <w:t xml:space="preserve">PL applications </w:t>
      </w:r>
      <w:r w:rsidR="00B414BA" w:rsidRPr="00602824">
        <w:t xml:space="preserve">to be accepted again </w:t>
      </w:r>
      <w:r w:rsidR="008C7788" w:rsidRPr="00602824">
        <w:t>after applications were closed from May to September 2023. The volume of applications ha</w:t>
      </w:r>
      <w:r w:rsidR="004265DB" w:rsidRPr="00602824">
        <w:t>s</w:t>
      </w:r>
      <w:r w:rsidR="008C7788" w:rsidRPr="00602824">
        <w:t xml:space="preserve"> settled to more normal levels since then.</w:t>
      </w:r>
    </w:p>
    <w:p w14:paraId="3FF05CD1" w14:textId="0DA4B745" w:rsidR="008C7788" w:rsidRPr="00602824" w:rsidRDefault="003321ED" w:rsidP="009B3F5D">
      <w:r w:rsidRPr="00602824">
        <w:t xml:space="preserve">The pathway trend </w:t>
      </w:r>
      <w:r w:rsidR="00C16ED2" w:rsidRPr="00602824">
        <w:t xml:space="preserve">indicates that Tier 2 </w:t>
      </w:r>
      <w:r w:rsidR="001332BA" w:rsidRPr="00602824">
        <w:t xml:space="preserve">applications </w:t>
      </w:r>
      <w:r w:rsidR="00060C2B" w:rsidRPr="00602824">
        <w:t xml:space="preserve">have increased over time while Tier 1 </w:t>
      </w:r>
      <w:r w:rsidR="007A248C" w:rsidRPr="00602824">
        <w:t xml:space="preserve">applications have trended downwards. </w:t>
      </w:r>
      <w:r w:rsidR="00700101" w:rsidRPr="00602824">
        <w:t>This may</w:t>
      </w:r>
      <w:r w:rsidR="00BE1135" w:rsidRPr="00602824">
        <w:t xml:space="preserve"> be due to sponsors gaining more familiarity with the tiers and their requirements. It may also be due to sponsor experience with </w:t>
      </w:r>
      <w:r w:rsidR="00E347F7" w:rsidRPr="00602824">
        <w:t>the process and the extent to which Tier 1 assessments by the Department are able to be dealt with expertly and smoothly. Stakeholder feedback reported below suggests that the latter explanation may be key</w:t>
      </w:r>
      <w:r w:rsidR="006A414B" w:rsidRPr="00602824">
        <w:t>.</w:t>
      </w:r>
    </w:p>
    <w:p w14:paraId="47E9D404" w14:textId="20EBBB55" w:rsidR="00B47721" w:rsidRPr="00602824" w:rsidRDefault="00B9536D" w:rsidP="00FB712C">
      <w:pPr>
        <w:pStyle w:val="Heading3"/>
        <w:spacing w:before="300"/>
      </w:pPr>
      <w:r w:rsidRPr="00602824">
        <w:t xml:space="preserve">In practice, </w:t>
      </w:r>
      <w:r w:rsidR="00B42D9B" w:rsidRPr="00602824">
        <w:t xml:space="preserve">the tiered assessment pathways </w:t>
      </w:r>
      <w:r w:rsidR="00ED23C9" w:rsidRPr="00602824">
        <w:t>have faced operational</w:t>
      </w:r>
      <w:r w:rsidR="006C2B41" w:rsidRPr="00602824">
        <w:t xml:space="preserve"> challeng</w:t>
      </w:r>
      <w:r w:rsidR="00ED23C9" w:rsidRPr="00602824">
        <w:t>es</w:t>
      </w:r>
    </w:p>
    <w:p w14:paraId="147F6BEA" w14:textId="6C681246" w:rsidR="00757DE5" w:rsidRPr="00602824" w:rsidRDefault="00FA3B6D" w:rsidP="00762FD2">
      <w:r w:rsidRPr="00602824">
        <w:t>Stakeholder</w:t>
      </w:r>
      <w:r w:rsidR="00FF4C50" w:rsidRPr="00602824">
        <w:t xml:space="preserve"> feedback </w:t>
      </w:r>
      <w:r w:rsidRPr="00602824">
        <w:t>indicates</w:t>
      </w:r>
      <w:r w:rsidR="00FF4C50" w:rsidRPr="00602824">
        <w:t xml:space="preserve"> that </w:t>
      </w:r>
      <w:r w:rsidR="00941AAA" w:rsidRPr="00602824">
        <w:t xml:space="preserve">the </w:t>
      </w:r>
      <w:r w:rsidRPr="00602824">
        <w:t>expected</w:t>
      </w:r>
      <w:r w:rsidR="00941AAA" w:rsidRPr="00602824">
        <w:t xml:space="preserve"> </w:t>
      </w:r>
      <w:r w:rsidR="00A60D5F" w:rsidRPr="00602824">
        <w:t xml:space="preserve">efficiency </w:t>
      </w:r>
      <w:r w:rsidR="00941AAA" w:rsidRPr="00602824">
        <w:t xml:space="preserve">benefits of the tiered application pathways have </w:t>
      </w:r>
      <w:r w:rsidR="00ED3465" w:rsidRPr="00602824">
        <w:t>not been fully realised</w:t>
      </w:r>
      <w:r w:rsidR="00C23DB0" w:rsidRPr="00602824">
        <w:t xml:space="preserve">, </w:t>
      </w:r>
      <w:r w:rsidRPr="00602824">
        <w:t>largely</w:t>
      </w:r>
      <w:r w:rsidR="00C23DB0" w:rsidRPr="00602824">
        <w:t xml:space="preserve"> due to</w:t>
      </w:r>
      <w:r w:rsidR="004659A3" w:rsidRPr="00602824">
        <w:t xml:space="preserve"> </w:t>
      </w:r>
      <w:r w:rsidR="005D5101" w:rsidRPr="00602824">
        <w:t xml:space="preserve">resourcing </w:t>
      </w:r>
      <w:r w:rsidRPr="00602824">
        <w:t xml:space="preserve">constraints – particularly </w:t>
      </w:r>
      <w:r w:rsidR="005D5101" w:rsidRPr="00602824">
        <w:t xml:space="preserve">in </w:t>
      </w:r>
      <w:r w:rsidRPr="00602824">
        <w:t>relation to staff</w:t>
      </w:r>
      <w:r w:rsidR="005D5101" w:rsidRPr="00602824">
        <w:t xml:space="preserve"> capacity and </w:t>
      </w:r>
      <w:r w:rsidR="00941AAA" w:rsidRPr="00602824">
        <w:t>expertise.</w:t>
      </w:r>
      <w:r w:rsidR="003568DA" w:rsidRPr="00602824">
        <w:t xml:space="preserve"> </w:t>
      </w:r>
    </w:p>
    <w:p w14:paraId="3F27E452" w14:textId="3278DF50" w:rsidR="00AA13D8" w:rsidRPr="00602824" w:rsidRDefault="005714CC" w:rsidP="00762FD2">
      <w:r w:rsidRPr="00AC7E3F">
        <w:rPr>
          <w:noProof/>
        </w:rPr>
        <mc:AlternateContent>
          <mc:Choice Requires="wps">
            <w:drawing>
              <wp:anchor distT="0" distB="0" distL="114300" distR="114300" simplePos="0" relativeHeight="251658245" behindDoc="1" locked="0" layoutInCell="1" allowOverlap="1" wp14:anchorId="659A931B" wp14:editId="59FD19CF">
                <wp:simplePos x="0" y="0"/>
                <wp:positionH relativeFrom="column">
                  <wp:posOffset>3388360</wp:posOffset>
                </wp:positionH>
                <wp:positionV relativeFrom="paragraph">
                  <wp:posOffset>4054</wp:posOffset>
                </wp:positionV>
                <wp:extent cx="2305050" cy="1876425"/>
                <wp:effectExtent l="0" t="0" r="0" b="9525"/>
                <wp:wrapTight wrapText="bothSides">
                  <wp:wrapPolygon edited="0">
                    <wp:start x="0" y="0"/>
                    <wp:lineTo x="0" y="21490"/>
                    <wp:lineTo x="21421" y="21490"/>
                    <wp:lineTo x="21421" y="0"/>
                    <wp:lineTo x="0" y="0"/>
                  </wp:wrapPolygon>
                </wp:wrapTight>
                <wp:docPr id="447146463" name="Text Box 447146463"/>
                <wp:cNvGraphicFramePr/>
                <a:graphic xmlns:a="http://schemas.openxmlformats.org/drawingml/2006/main">
                  <a:graphicData uri="http://schemas.microsoft.com/office/word/2010/wordprocessingShape">
                    <wps:wsp>
                      <wps:cNvSpPr txBox="1"/>
                      <wps:spPr>
                        <a:xfrm>
                          <a:off x="0" y="0"/>
                          <a:ext cx="2305050" cy="1876425"/>
                        </a:xfrm>
                        <a:prstGeom prst="rect">
                          <a:avLst/>
                        </a:prstGeom>
                        <a:solidFill>
                          <a:sysClr val="window" lastClr="FFFFFF"/>
                        </a:solidFill>
                        <a:ln w="6350">
                          <a:noFill/>
                        </a:ln>
                        <a:effectLst/>
                      </wps:spPr>
                      <wps:txbx>
                        <w:txbxContent>
                          <w:p w14:paraId="099D9CBD" w14:textId="51A6A030" w:rsidR="00AA13D8" w:rsidRPr="004A357C" w:rsidRDefault="00AA13D8" w:rsidP="00AA13D8">
                            <w:pPr>
                              <w:pStyle w:val="Callout"/>
                              <w:jc w:val="right"/>
                              <w:rPr>
                                <w:i/>
                                <w:iCs/>
                                <w:color w:val="F25E21" w:themeColor="accent2"/>
                                <w:sz w:val="20"/>
                                <w:szCs w:val="20"/>
                              </w:rPr>
                            </w:pPr>
                            <w:r w:rsidRPr="004A357C">
                              <w:rPr>
                                <w:i/>
                                <w:iCs/>
                                <w:color w:val="F25E21" w:themeColor="accent2"/>
                                <w:sz w:val="20"/>
                                <w:szCs w:val="20"/>
                              </w:rPr>
                              <w:t>“</w:t>
                            </w:r>
                            <w:r w:rsidR="0009665B" w:rsidRPr="004A357C">
                              <w:rPr>
                                <w:i/>
                                <w:iCs/>
                                <w:color w:val="F25E21" w:themeColor="accent2"/>
                                <w:sz w:val="20"/>
                                <w:szCs w:val="20"/>
                              </w:rPr>
                              <w:t>MD</w:t>
                            </w:r>
                            <w:r w:rsidR="006D5F72" w:rsidRPr="004A357C">
                              <w:rPr>
                                <w:i/>
                                <w:iCs/>
                                <w:color w:val="F25E21" w:themeColor="accent2"/>
                                <w:sz w:val="20"/>
                                <w:szCs w:val="20"/>
                              </w:rPr>
                              <w:t xml:space="preserve">HTAC </w:t>
                            </w:r>
                            <w:r w:rsidRPr="004A357C">
                              <w:rPr>
                                <w:i/>
                                <w:iCs/>
                                <w:color w:val="F25E21" w:themeColor="accent2"/>
                                <w:sz w:val="20"/>
                                <w:szCs w:val="20"/>
                              </w:rPr>
                              <w:t xml:space="preserve">Members are faced with additional requests to be assessed in real time or delay the application until the next round of </w:t>
                            </w:r>
                            <w:r w:rsidR="00632B03" w:rsidRPr="004A357C">
                              <w:rPr>
                                <w:i/>
                                <w:iCs/>
                                <w:color w:val="F25E21" w:themeColor="accent2"/>
                                <w:sz w:val="20"/>
                                <w:szCs w:val="20"/>
                              </w:rPr>
                              <w:t>E</w:t>
                            </w:r>
                            <w:r w:rsidRPr="004A357C">
                              <w:rPr>
                                <w:i/>
                                <w:iCs/>
                                <w:color w:val="F25E21" w:themeColor="accent2"/>
                                <w:sz w:val="20"/>
                                <w:szCs w:val="20"/>
                              </w:rPr>
                              <w:t xml:space="preserve">CAG meetings. A harder deadline and better resources for the department would be the obvious solution” </w:t>
                            </w:r>
                          </w:p>
                          <w:p w14:paraId="7E92B19C" w14:textId="77777777" w:rsidR="00AA13D8" w:rsidRPr="004A357C" w:rsidRDefault="00AA13D8" w:rsidP="00AA13D8">
                            <w:pPr>
                              <w:pStyle w:val="Callout"/>
                              <w:jc w:val="right"/>
                              <w:rPr>
                                <w:i/>
                                <w:iCs/>
                                <w:color w:val="F25E21" w:themeColor="accent2"/>
                                <w:sz w:val="20"/>
                                <w:szCs w:val="20"/>
                              </w:rPr>
                            </w:pPr>
                            <w:r w:rsidRPr="004A357C">
                              <w:rPr>
                                <w:rFonts w:asciiTheme="minorHAnsi" w:hAnsiTheme="minorHAnsi" w:cstheme="minorHAnsi"/>
                                <w:b/>
                                <w:bCs/>
                                <w:color w:val="00264D" w:themeColor="background2"/>
                                <w:sz w:val="14"/>
                                <w:szCs w:val="14"/>
                              </w:rPr>
                              <w:t>MDHTAC member, June 202</w:t>
                            </w:r>
                            <w:r w:rsidR="007E6AC0" w:rsidRPr="004A357C">
                              <w:rPr>
                                <w:rFonts w:asciiTheme="minorHAnsi" w:hAnsiTheme="minorHAnsi" w:cstheme="minorHAnsi"/>
                                <w:b/>
                                <w:bCs/>
                                <w:color w:val="00264D" w:themeColor="background2"/>
                                <w:sz w:val="14"/>
                                <w:szCs w:val="14"/>
                              </w:rPr>
                              <w:t>5</w:t>
                            </w:r>
                          </w:p>
                          <w:p w14:paraId="17B65C33" w14:textId="77777777" w:rsidR="00AA13D8" w:rsidRPr="004A357C" w:rsidRDefault="00AA13D8" w:rsidP="00AA13D8">
                            <w:pPr>
                              <w:pStyle w:val="Callout"/>
                              <w:rPr>
                                <w:color w:val="F25E21" w:themeColor="accent2"/>
                              </w:rPr>
                            </w:pPr>
                          </w:p>
                          <w:p w14:paraId="49FBBCBC" w14:textId="77777777" w:rsidR="00AA13D8" w:rsidRPr="004A357C" w:rsidRDefault="00AA13D8" w:rsidP="00AA13D8">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9A931B" id="Text Box 447146463" o:spid="_x0000_s1028" type="#_x0000_t202" style="position:absolute;margin-left:266.8pt;margin-top:.3pt;width:181.5pt;height:147.7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" fillcolor="window" stroked="f" strokeweight=".5pt">
                <v:textbox inset="0,,1mm">
                  <w:txbxContent>
                    <w:p w14:paraId="099D9CBD" w14:textId="51A6A030" w:rsidR="00AA13D8" w:rsidRPr="004A357C" w:rsidRDefault="00AA13D8" w:rsidP="00AA13D8">
                      <w:pPr>
                        <w:pStyle w:val="Callout"/>
                        <w:jc w:val="right"/>
                        <w:rPr>
                          <w:i/>
                          <w:iCs/>
                          <w:color w:val="F25E21" w:themeColor="accent2"/>
                          <w:sz w:val="20"/>
                          <w:szCs w:val="20"/>
                        </w:rPr>
                      </w:pPr>
                      <w:r w:rsidRPr="004A357C">
                        <w:rPr>
                          <w:i/>
                          <w:iCs/>
                          <w:color w:val="F25E21" w:themeColor="accent2"/>
                          <w:sz w:val="20"/>
                          <w:szCs w:val="20"/>
                        </w:rPr>
                        <w:t>“</w:t>
                      </w:r>
                      <w:r w:rsidR="0009665B" w:rsidRPr="004A357C">
                        <w:rPr>
                          <w:i/>
                          <w:iCs/>
                          <w:color w:val="F25E21" w:themeColor="accent2"/>
                          <w:sz w:val="20"/>
                          <w:szCs w:val="20"/>
                        </w:rPr>
                        <w:t>MD</w:t>
                      </w:r>
                      <w:r w:rsidR="006D5F72" w:rsidRPr="004A357C">
                        <w:rPr>
                          <w:i/>
                          <w:iCs/>
                          <w:color w:val="F25E21" w:themeColor="accent2"/>
                          <w:sz w:val="20"/>
                          <w:szCs w:val="20"/>
                        </w:rPr>
                        <w:t xml:space="preserve">HTAC </w:t>
                      </w:r>
                      <w:r w:rsidRPr="004A357C">
                        <w:rPr>
                          <w:i/>
                          <w:iCs/>
                          <w:color w:val="F25E21" w:themeColor="accent2"/>
                          <w:sz w:val="20"/>
                          <w:szCs w:val="20"/>
                        </w:rPr>
                        <w:t xml:space="preserve">Members are faced with additional requests to be assessed in real time or delay the application until the next round of </w:t>
                      </w:r>
                      <w:r w:rsidR="00632B03" w:rsidRPr="004A357C">
                        <w:rPr>
                          <w:i/>
                          <w:iCs/>
                          <w:color w:val="F25E21" w:themeColor="accent2"/>
                          <w:sz w:val="20"/>
                          <w:szCs w:val="20"/>
                        </w:rPr>
                        <w:t>E</w:t>
                      </w:r>
                      <w:r w:rsidRPr="004A357C">
                        <w:rPr>
                          <w:i/>
                          <w:iCs/>
                          <w:color w:val="F25E21" w:themeColor="accent2"/>
                          <w:sz w:val="20"/>
                          <w:szCs w:val="20"/>
                        </w:rPr>
                        <w:t xml:space="preserve">CAG meetings. A harder deadline and better resources for the department would be the obvious solution” </w:t>
                      </w:r>
                    </w:p>
                    <w:p w14:paraId="7E92B19C" w14:textId="77777777" w:rsidR="00AA13D8" w:rsidRPr="004A357C" w:rsidRDefault="00AA13D8" w:rsidP="00AA13D8">
                      <w:pPr>
                        <w:pStyle w:val="Callout"/>
                        <w:jc w:val="right"/>
                        <w:rPr>
                          <w:i/>
                          <w:iCs/>
                          <w:color w:val="F25E21" w:themeColor="accent2"/>
                          <w:sz w:val="20"/>
                          <w:szCs w:val="20"/>
                        </w:rPr>
                      </w:pPr>
                      <w:r w:rsidRPr="004A357C">
                        <w:rPr>
                          <w:rFonts w:asciiTheme="minorHAnsi" w:hAnsiTheme="minorHAnsi" w:cstheme="minorHAnsi"/>
                          <w:b/>
                          <w:bCs/>
                          <w:color w:val="00264D" w:themeColor="background2"/>
                          <w:sz w:val="14"/>
                          <w:szCs w:val="14"/>
                        </w:rPr>
                        <w:t>MDHTAC member, June 202</w:t>
                      </w:r>
                      <w:r w:rsidR="007E6AC0" w:rsidRPr="004A357C">
                        <w:rPr>
                          <w:rFonts w:asciiTheme="minorHAnsi" w:hAnsiTheme="minorHAnsi" w:cstheme="minorHAnsi"/>
                          <w:b/>
                          <w:bCs/>
                          <w:color w:val="00264D" w:themeColor="background2"/>
                          <w:sz w:val="14"/>
                          <w:szCs w:val="14"/>
                        </w:rPr>
                        <w:t>5</w:t>
                      </w:r>
                    </w:p>
                    <w:p w14:paraId="17B65C33" w14:textId="77777777" w:rsidR="00AA13D8" w:rsidRPr="004A357C" w:rsidRDefault="00AA13D8" w:rsidP="00AA13D8">
                      <w:pPr>
                        <w:pStyle w:val="Callout"/>
                        <w:rPr>
                          <w:color w:val="F25E21" w:themeColor="accent2"/>
                        </w:rPr>
                      </w:pPr>
                    </w:p>
                    <w:p w14:paraId="49FBBCBC" w14:textId="77777777" w:rsidR="00AA13D8" w:rsidRPr="004A357C" w:rsidRDefault="00AA13D8" w:rsidP="00AA13D8">
                      <w:pPr>
                        <w:pStyle w:val="Callout"/>
                        <w:rPr>
                          <w:color w:val="F25E21" w:themeColor="accent2"/>
                        </w:rPr>
                      </w:pPr>
                    </w:p>
                  </w:txbxContent>
                </v:textbox>
                <w10:wrap type="tight"/>
              </v:shape>
            </w:pict>
          </mc:Fallback>
        </mc:AlternateContent>
      </w:r>
      <w:r w:rsidR="00B92DF5" w:rsidRPr="00602824">
        <w:t xml:space="preserve">Under the tiered </w:t>
      </w:r>
      <w:r w:rsidR="00FA3B6D" w:rsidRPr="00602824">
        <w:t>model</w:t>
      </w:r>
      <w:r w:rsidR="00B92DF5" w:rsidRPr="00602824">
        <w:t xml:space="preserve">, </w:t>
      </w:r>
      <w:r w:rsidR="00EC21C6" w:rsidRPr="00602824">
        <w:t>Department staff</w:t>
      </w:r>
      <w:r w:rsidR="00405FB4" w:rsidRPr="00602824">
        <w:t xml:space="preserve"> </w:t>
      </w:r>
      <w:r w:rsidR="001E6118" w:rsidRPr="00602824">
        <w:t>assess</w:t>
      </w:r>
      <w:r w:rsidR="00405FB4" w:rsidRPr="00602824">
        <w:t xml:space="preserve"> </w:t>
      </w:r>
      <w:r w:rsidR="00860DF8" w:rsidRPr="00602824">
        <w:t>T</w:t>
      </w:r>
      <w:r w:rsidR="00405FB4" w:rsidRPr="00602824">
        <w:t>ier 1 application</w:t>
      </w:r>
      <w:r w:rsidR="001E6118" w:rsidRPr="00602824">
        <w:t>s</w:t>
      </w:r>
      <w:r w:rsidR="005C54E0" w:rsidRPr="00602824">
        <w:t xml:space="preserve"> and </w:t>
      </w:r>
      <w:r w:rsidR="00FA3B6D" w:rsidRPr="00602824">
        <w:t>prepare</w:t>
      </w:r>
      <w:r w:rsidR="00553007" w:rsidRPr="00602824">
        <w:t xml:space="preserve"> </w:t>
      </w:r>
      <w:r w:rsidR="00860DF8" w:rsidRPr="00602824">
        <w:t>T</w:t>
      </w:r>
      <w:r w:rsidR="00553007" w:rsidRPr="00602824">
        <w:t>ier 2 applications for MDHTAC</w:t>
      </w:r>
      <w:r w:rsidR="001E6118" w:rsidRPr="00602824">
        <w:t xml:space="preserve">. These </w:t>
      </w:r>
      <w:r w:rsidR="00FA3B6D" w:rsidRPr="00602824">
        <w:t>roles require</w:t>
      </w:r>
      <w:r w:rsidR="008B5BAE" w:rsidRPr="00602824">
        <w:t xml:space="preserve"> managing</w:t>
      </w:r>
      <w:r w:rsidR="0082775B" w:rsidRPr="00602824">
        <w:t xml:space="preserve"> a </w:t>
      </w:r>
      <w:r w:rsidR="00FA3B6D" w:rsidRPr="00602824">
        <w:t>high</w:t>
      </w:r>
      <w:r w:rsidR="0070726A" w:rsidRPr="00602824">
        <w:t xml:space="preserve"> volume of </w:t>
      </w:r>
      <w:r w:rsidR="00FA3B6D" w:rsidRPr="00602824">
        <w:t>technically complex submissions.</w:t>
      </w:r>
      <w:r w:rsidR="003A4B7F" w:rsidRPr="00602824">
        <w:t xml:space="preserve"> Recruiting and </w:t>
      </w:r>
      <w:r w:rsidR="00FA3B6D" w:rsidRPr="00602824">
        <w:t>retaining</w:t>
      </w:r>
      <w:r w:rsidR="003A4B7F" w:rsidRPr="00602824">
        <w:t xml:space="preserve"> staff with </w:t>
      </w:r>
      <w:r w:rsidR="00FA3B6D" w:rsidRPr="00602824">
        <w:t xml:space="preserve">the necessary skills and </w:t>
      </w:r>
      <w:r w:rsidR="003E3EDD" w:rsidRPr="00602824">
        <w:t xml:space="preserve">knowledge </w:t>
      </w:r>
      <w:r w:rsidR="003A4B7F" w:rsidRPr="00602824">
        <w:t xml:space="preserve">has </w:t>
      </w:r>
      <w:r w:rsidR="00D45FE7" w:rsidRPr="00602824">
        <w:t xml:space="preserve">been </w:t>
      </w:r>
      <w:r w:rsidR="00FA3B6D" w:rsidRPr="00602824">
        <w:t xml:space="preserve">difficult, and </w:t>
      </w:r>
      <w:r w:rsidR="00D45FE7" w:rsidRPr="00602824">
        <w:t xml:space="preserve">limited resourcing </w:t>
      </w:r>
      <w:r w:rsidR="003E41F7" w:rsidRPr="00602824">
        <w:t xml:space="preserve">has </w:t>
      </w:r>
      <w:r w:rsidR="00D45FE7" w:rsidRPr="00602824">
        <w:t>drawn</w:t>
      </w:r>
      <w:r w:rsidR="00C72EDC" w:rsidRPr="00602824">
        <w:t xml:space="preserve"> criticism</w:t>
      </w:r>
      <w:r w:rsidR="00D45FE7" w:rsidRPr="00602824">
        <w:t xml:space="preserve"> from stakeholders</w:t>
      </w:r>
      <w:r w:rsidR="00A16FC1" w:rsidRPr="00602824">
        <w:t xml:space="preserve">, </w:t>
      </w:r>
      <w:r w:rsidR="00FA3B6D" w:rsidRPr="00602824">
        <w:t xml:space="preserve">especially </w:t>
      </w:r>
      <w:r w:rsidR="00E55994" w:rsidRPr="00602824">
        <w:t>representatives of medical technology companies.</w:t>
      </w:r>
    </w:p>
    <w:p w14:paraId="23A8A80A" w14:textId="7F1B7B70" w:rsidR="000963E9" w:rsidRPr="00602824" w:rsidRDefault="000963E9" w:rsidP="000963E9">
      <w:r w:rsidRPr="00602824">
        <w:t>One consequence has been the reassignment of some Tier 1 applications to Tier 2, suggesting that the Department may lack the capacity or capability to appropriately assess Tier 1 submissions. This reinforces the need for increased staffing and higher levels of technical expertise for Tier 1 assessments.</w:t>
      </w:r>
    </w:p>
    <w:p w14:paraId="7BB1AF90" w14:textId="0BFAD734" w:rsidR="007E6AC0" w:rsidRPr="00602824" w:rsidRDefault="000963E9" w:rsidP="00FB712C">
      <w:pPr>
        <w:spacing w:after="240"/>
      </w:pPr>
      <w:r w:rsidRPr="00602824">
        <w:t>Staff have also faced challenges managing late or complex responses from sponsors shortly before MDHTAC meetings, further straining an already stretched system.</w:t>
      </w:r>
    </w:p>
    <w:tbl>
      <w:tblPr>
        <w:tblStyle w:val="NousLongformcallout"/>
        <w:tblW w:w="5000" w:type="pct"/>
        <w:tblCellMar>
          <w:top w:w="170" w:type="dxa"/>
          <w:bottom w:w="170" w:type="dxa"/>
        </w:tblCellMar>
        <w:tblLook w:val="04A0" w:firstRow="1" w:lastRow="0" w:firstColumn="1" w:lastColumn="0" w:noHBand="0" w:noVBand="1"/>
      </w:tblPr>
      <w:tblGrid>
        <w:gridCol w:w="9048"/>
      </w:tblGrid>
      <w:tr w:rsidR="00E52C90" w:rsidRPr="00602824" w14:paraId="4FDE50C3" w14:textId="77777777" w:rsidTr="00FB712C">
        <w:tc>
          <w:tcPr>
            <w:tcW w:w="9049" w:type="dxa"/>
            <w:tcBorders>
              <w:left w:val="single" w:sz="18" w:space="0" w:color="2E368F" w:themeColor="text2"/>
            </w:tcBorders>
            <w:shd w:val="clear" w:color="auto" w:fill="F2F2F2" w:themeFill="background1" w:themeFillShade="F2"/>
          </w:tcPr>
          <w:p w14:paraId="10A3EC94" w14:textId="7EA6F719" w:rsidR="00E52C90" w:rsidRPr="00602824" w:rsidRDefault="00E52C90" w:rsidP="00FB712C">
            <w:pPr>
              <w:pStyle w:val="Longformcallout"/>
              <w:spacing w:before="0" w:after="120"/>
              <w:rPr>
                <w:rFonts w:asciiTheme="majorHAnsi" w:hAnsiTheme="majorHAnsi" w:cstheme="majorHAnsi"/>
                <w:color w:val="2E368F" w:themeColor="text2"/>
              </w:rPr>
            </w:pPr>
            <w:r w:rsidRPr="00602824">
              <w:rPr>
                <w:rFonts w:asciiTheme="majorHAnsi" w:hAnsiTheme="majorHAnsi" w:cstheme="majorHAnsi"/>
                <w:color w:val="2E368F" w:themeColor="text2"/>
              </w:rPr>
              <w:t xml:space="preserve">RECOMMENDATION </w:t>
            </w:r>
            <w:r w:rsidR="00F86836" w:rsidRPr="00602824">
              <w:rPr>
                <w:rFonts w:asciiTheme="majorHAnsi" w:hAnsiTheme="majorHAnsi" w:cstheme="majorHAnsi"/>
                <w:color w:val="2E368F" w:themeColor="text2"/>
              </w:rPr>
              <w:t>6</w:t>
            </w:r>
          </w:p>
          <w:p w14:paraId="4BC78329" w14:textId="4DD6DDD5" w:rsidR="00E23765" w:rsidRPr="00602824" w:rsidRDefault="00E23765" w:rsidP="00FB712C">
            <w:pPr>
              <w:pStyle w:val="Longformcallout"/>
              <w:spacing w:before="0" w:after="120"/>
              <w:rPr>
                <w:rFonts w:asciiTheme="majorHAnsi" w:hAnsiTheme="majorHAnsi" w:cstheme="majorHAnsi"/>
              </w:rPr>
            </w:pPr>
            <w:r w:rsidRPr="00602824">
              <w:rPr>
                <w:rFonts w:asciiTheme="majorHAnsi" w:hAnsiTheme="majorHAnsi" w:cstheme="majorHAnsi"/>
              </w:rPr>
              <w:t>R</w:t>
            </w:r>
            <w:r w:rsidR="00C70373">
              <w:rPr>
                <w:rFonts w:asciiTheme="majorHAnsi" w:hAnsiTheme="majorHAnsi" w:cstheme="majorHAnsi"/>
              </w:rPr>
              <w:t>egularly r</w:t>
            </w:r>
            <w:r w:rsidRPr="00602824">
              <w:rPr>
                <w:rFonts w:asciiTheme="majorHAnsi" w:hAnsiTheme="majorHAnsi" w:cstheme="majorHAnsi"/>
              </w:rPr>
              <w:t>eview resourcing needs to strengthen application pathways and inform cost recovery planning</w:t>
            </w:r>
          </w:p>
          <w:p w14:paraId="7BB7A914" w14:textId="580D630B" w:rsidR="00E52C90" w:rsidRPr="00602824" w:rsidRDefault="00E23765" w:rsidP="00FB712C">
            <w:pPr>
              <w:pStyle w:val="Longformcallout"/>
              <w:spacing w:before="0" w:after="120"/>
            </w:pPr>
            <w:r w:rsidRPr="00602824">
              <w:t>The effectiveness</w:t>
            </w:r>
            <w:r w:rsidR="00E52C90" w:rsidRPr="00602824">
              <w:t xml:space="preserve"> of the application pathways </w:t>
            </w:r>
            <w:r w:rsidRPr="00602824">
              <w:t>would benefit from</w:t>
            </w:r>
            <w:r w:rsidR="00E52C90" w:rsidRPr="00602824">
              <w:t xml:space="preserve"> a review of resourcing requirements, including the level of expertise required, appropriate service standards</w:t>
            </w:r>
            <w:r w:rsidRPr="00602824">
              <w:t>,</w:t>
            </w:r>
            <w:r w:rsidR="00E52C90" w:rsidRPr="00602824">
              <w:t xml:space="preserve"> and the staffing structure </w:t>
            </w:r>
            <w:r w:rsidRPr="00602824">
              <w:t>needed to meet</w:t>
            </w:r>
            <w:r w:rsidR="00E52C90" w:rsidRPr="00602824">
              <w:t xml:space="preserve"> those standards. The findings should </w:t>
            </w:r>
            <w:r w:rsidRPr="00602824">
              <w:t xml:space="preserve">directly inform the design of </w:t>
            </w:r>
            <w:r w:rsidR="00E52C90" w:rsidRPr="00602824">
              <w:t xml:space="preserve">the cost recovery </w:t>
            </w:r>
            <w:r w:rsidRPr="00602824">
              <w:t>model to ensure it supports a fit-</w:t>
            </w:r>
            <w:r w:rsidR="00C14549" w:rsidRPr="00602824">
              <w:t>for</w:t>
            </w:r>
            <w:r w:rsidRPr="00602824">
              <w:t>-purpose</w:t>
            </w:r>
            <w:r w:rsidR="00C14549" w:rsidRPr="00602824">
              <w:t xml:space="preserve"> workforce.</w:t>
            </w:r>
          </w:p>
        </w:tc>
      </w:tr>
    </w:tbl>
    <w:p w14:paraId="572A2A45" w14:textId="4B82A6B9" w:rsidR="00F20C3D" w:rsidRPr="00602824" w:rsidRDefault="00F20C3D" w:rsidP="00F20C3D">
      <w:pPr>
        <w:pStyle w:val="Heading3"/>
      </w:pPr>
      <w:r w:rsidRPr="00602824">
        <w:t xml:space="preserve">Alignment with HTA principles </w:t>
      </w:r>
    </w:p>
    <w:p w14:paraId="6A28672B" w14:textId="385BF0A4" w:rsidR="00AD3685" w:rsidRPr="00602824" w:rsidRDefault="00AD3685" w:rsidP="00AD3685">
      <w:pPr>
        <w:rPr>
          <w:lang w:eastAsia="en-AU"/>
        </w:rPr>
      </w:pPr>
      <w:r w:rsidRPr="00602824">
        <w:rPr>
          <w:lang w:eastAsia="en-AU"/>
        </w:rPr>
        <w:t xml:space="preserve">The Department is guided by a set of Health Technology Assessment (HTA) principles that define the way that assessment processes like </w:t>
      </w:r>
      <w:r w:rsidR="00BC4622" w:rsidRPr="00602824">
        <w:rPr>
          <w:lang w:eastAsia="en-AU"/>
        </w:rPr>
        <w:t>the PL pathways</w:t>
      </w:r>
      <w:r w:rsidRPr="00602824">
        <w:rPr>
          <w:lang w:eastAsia="en-AU"/>
        </w:rPr>
        <w:t xml:space="preserve"> should occur</w:t>
      </w:r>
      <w:r w:rsidR="00B713AB" w:rsidRPr="00602824">
        <w:rPr>
          <w:lang w:eastAsia="en-AU"/>
        </w:rPr>
        <w:t>.</w:t>
      </w:r>
      <w:r w:rsidR="008D2F11" w:rsidRPr="00602824">
        <w:rPr>
          <w:rStyle w:val="FootnoteReference"/>
          <w:lang w:eastAsia="en-AU"/>
        </w:rPr>
        <w:footnoteReference w:id="96"/>
      </w:r>
      <w:r w:rsidR="00B713AB" w:rsidRPr="00602824">
        <w:rPr>
          <w:lang w:eastAsia="en-AU"/>
        </w:rPr>
        <w:t xml:space="preserve"> These principles are</w:t>
      </w:r>
      <w:r w:rsidR="008D2F11" w:rsidRPr="00602824">
        <w:rPr>
          <w:lang w:eastAsia="en-AU"/>
        </w:rPr>
        <w:t xml:space="preserve"> outlined below: </w:t>
      </w:r>
    </w:p>
    <w:tbl>
      <w:tblPr>
        <w:tblStyle w:val="NOUS1"/>
        <w:tblW w:w="0" w:type="auto"/>
        <w:tblLook w:val="04A0" w:firstRow="1" w:lastRow="0" w:firstColumn="1" w:lastColumn="0" w:noHBand="0" w:noVBand="1"/>
      </w:tblPr>
      <w:tblGrid>
        <w:gridCol w:w="9061"/>
      </w:tblGrid>
      <w:tr w:rsidR="001428C8" w:rsidRPr="00602824" w14:paraId="42922AD1" w14:textId="77777777" w:rsidTr="001428C8">
        <w:trPr>
          <w:cnfStyle w:val="100000000000" w:firstRow="1" w:lastRow="0" w:firstColumn="0" w:lastColumn="0" w:oddVBand="0" w:evenVBand="0" w:oddHBand="0" w:evenHBand="0" w:firstRowFirstColumn="0" w:firstRowLastColumn="0" w:lastRowFirstColumn="0" w:lastRowLastColumn="0"/>
        </w:trPr>
        <w:tc>
          <w:tcPr>
            <w:tcW w:w="9061" w:type="dxa"/>
          </w:tcPr>
          <w:p w14:paraId="20123748" w14:textId="1244B7D6" w:rsidR="001428C8" w:rsidRPr="00602824" w:rsidRDefault="001428C8" w:rsidP="00A23DCE">
            <w:pPr>
              <w:rPr>
                <w:rFonts w:asciiTheme="majorHAnsi" w:hAnsiTheme="majorHAnsi" w:cstheme="majorHAnsi"/>
              </w:rPr>
            </w:pPr>
            <w:r w:rsidRPr="00602824">
              <w:rPr>
                <w:rFonts w:asciiTheme="majorHAnsi" w:hAnsiTheme="majorHAnsi" w:cstheme="majorHAnsi"/>
              </w:rPr>
              <w:lastRenderedPageBreak/>
              <w:t>HTA principles</w:t>
            </w:r>
            <w:r w:rsidR="00531C08">
              <w:rPr>
                <w:rFonts w:asciiTheme="majorHAnsi" w:hAnsiTheme="majorHAnsi" w:cstheme="majorHAnsi"/>
              </w:rPr>
              <w:t>:</w:t>
            </w:r>
          </w:p>
          <w:p w14:paraId="75DF87FE" w14:textId="7744FFD7" w:rsidR="001428C8" w:rsidRPr="00602824" w:rsidRDefault="00531C08" w:rsidP="00A23DCE">
            <w:pPr>
              <w:pStyle w:val="Bullet"/>
            </w:pPr>
            <w:r w:rsidRPr="00602824">
              <w:t>Sustainable</w:t>
            </w:r>
          </w:p>
          <w:p w14:paraId="1B710184" w14:textId="0776152D" w:rsidR="001428C8" w:rsidRPr="00602824" w:rsidRDefault="00531C08" w:rsidP="00A23DCE">
            <w:pPr>
              <w:pStyle w:val="Bullet"/>
            </w:pPr>
            <w:r w:rsidRPr="00602824">
              <w:t>Transparent, accountable and independent</w:t>
            </w:r>
          </w:p>
          <w:p w14:paraId="5953E5EA" w14:textId="714D5455" w:rsidR="001428C8" w:rsidRPr="00602824" w:rsidRDefault="00531C08" w:rsidP="00A23DCE">
            <w:pPr>
              <w:pStyle w:val="Bullet"/>
            </w:pPr>
            <w:r w:rsidRPr="00602824">
              <w:t>Consultative and reflective of Australian community values</w:t>
            </w:r>
          </w:p>
          <w:p w14:paraId="02A82E5C" w14:textId="0EFC728E" w:rsidR="001428C8" w:rsidRPr="00602824" w:rsidRDefault="00531C08" w:rsidP="00A23DCE">
            <w:pPr>
              <w:pStyle w:val="Bullet"/>
            </w:pPr>
            <w:r w:rsidRPr="00602824">
              <w:t>Administratively efficient</w:t>
            </w:r>
          </w:p>
          <w:p w14:paraId="401C2114" w14:textId="341FE773" w:rsidR="001428C8" w:rsidRPr="00602824" w:rsidRDefault="00531C08" w:rsidP="00A23DCE">
            <w:pPr>
              <w:pStyle w:val="Bullet"/>
            </w:pPr>
            <w:r w:rsidRPr="00602824">
              <w:t>Flexible and fit for purpose</w:t>
            </w:r>
          </w:p>
          <w:p w14:paraId="25D6F56D" w14:textId="40853689" w:rsidR="001428C8" w:rsidRPr="00602824" w:rsidRDefault="00531C08" w:rsidP="00A23DCE">
            <w:pPr>
              <w:pStyle w:val="Bullet"/>
            </w:pPr>
            <w:r w:rsidRPr="00602824">
              <w:t>Informed by robust and relevant evidence</w:t>
            </w:r>
          </w:p>
        </w:tc>
      </w:tr>
    </w:tbl>
    <w:p w14:paraId="75E68B8B" w14:textId="391AD3C1" w:rsidR="007E3ED3" w:rsidRPr="00602824" w:rsidRDefault="00B43783" w:rsidP="00FB712C">
      <w:pPr>
        <w:spacing w:before="240"/>
      </w:pPr>
      <w:r w:rsidRPr="00602824">
        <w:t xml:space="preserve">Some stakeholders </w:t>
      </w:r>
      <w:r w:rsidR="00C0185D" w:rsidRPr="00602824">
        <w:t xml:space="preserve">do not believe </w:t>
      </w:r>
      <w:r w:rsidRPr="00602824">
        <w:t>the PL application assessment pathways</w:t>
      </w:r>
      <w:r w:rsidR="00C0185D" w:rsidRPr="00602824">
        <w:t xml:space="preserve"> are well aligned</w:t>
      </w:r>
      <w:r w:rsidRPr="00602824">
        <w:t xml:space="preserve"> with various HTA principles</w:t>
      </w:r>
      <w:r w:rsidR="00141ABD" w:rsidRPr="00602824">
        <w:t>,</w:t>
      </w:r>
      <w:r w:rsidR="00D74B87" w:rsidRPr="00602824">
        <w:t xml:space="preserve"> raising concern</w:t>
      </w:r>
      <w:r w:rsidR="0003478B" w:rsidRPr="00602824">
        <w:t>s</w:t>
      </w:r>
      <w:r w:rsidR="00D74B87" w:rsidRPr="00602824">
        <w:t xml:space="preserve"> about sustainability, transparency, administrative efficiency, accountability and consultati</w:t>
      </w:r>
      <w:r w:rsidR="0060154E" w:rsidRPr="00602824">
        <w:t>ve</w:t>
      </w:r>
      <w:r w:rsidR="00D74B87" w:rsidRPr="00602824">
        <w:t xml:space="preserve"> engagement. </w:t>
      </w:r>
    </w:p>
    <w:p w14:paraId="1B803C8A" w14:textId="534B7EAD" w:rsidR="007E3ED3" w:rsidRPr="00602824" w:rsidRDefault="007E3ED3" w:rsidP="00240656">
      <w:r w:rsidRPr="00602824">
        <w:t xml:space="preserve">Medical technology representatives discussed issues with administrative efficiency in depth in their response. Whilst they regard Tier 1 as a step in a positive direction, they </w:t>
      </w:r>
      <w:r w:rsidR="00B95F20" w:rsidRPr="00602824">
        <w:t>stated</w:t>
      </w:r>
      <w:r w:rsidRPr="00602824">
        <w:t xml:space="preserve"> that evidence requirements for some of the tiers are too stringent compared to overseas markets</w:t>
      </w:r>
      <w:r w:rsidR="005D78A0" w:rsidRPr="00602824">
        <w:t>. They were also concerned that the absence of</w:t>
      </w:r>
      <w:r w:rsidR="00B95F20" w:rsidRPr="00602824">
        <w:t xml:space="preserve"> minimum response times </w:t>
      </w:r>
      <w:r w:rsidR="00E8138D" w:rsidRPr="00602824">
        <w:t>impedes commercial</w:t>
      </w:r>
      <w:r w:rsidRPr="00602824">
        <w:t xml:space="preserve"> planning</w:t>
      </w:r>
      <w:r w:rsidR="00E8138D" w:rsidRPr="00602824">
        <w:t>,</w:t>
      </w:r>
      <w:r w:rsidRPr="00602824">
        <w:t xml:space="preserve"> and </w:t>
      </w:r>
      <w:r w:rsidR="001B4D26" w:rsidRPr="00602824">
        <w:t xml:space="preserve">the </w:t>
      </w:r>
      <w:r w:rsidRPr="00602824">
        <w:t>progress o</w:t>
      </w:r>
      <w:r w:rsidR="001B4D26" w:rsidRPr="00602824">
        <w:t>f</w:t>
      </w:r>
      <w:r w:rsidRPr="00602824">
        <w:t xml:space="preserve"> applications is often slow</w:t>
      </w:r>
      <w:r w:rsidR="00E8138D" w:rsidRPr="00602824">
        <w:t xml:space="preserve"> due to lack of Departmental resources</w:t>
      </w:r>
      <w:r w:rsidRPr="00602824">
        <w:t>.</w:t>
      </w:r>
    </w:p>
    <w:p w14:paraId="367D0CE6" w14:textId="115CAA46" w:rsidR="001F2949" w:rsidRPr="00602824" w:rsidRDefault="00D74B87" w:rsidP="00240656">
      <w:r w:rsidRPr="00602824">
        <w:t>S</w:t>
      </w:r>
      <w:r w:rsidR="0060154E" w:rsidRPr="00602824">
        <w:t>pecific s</w:t>
      </w:r>
      <w:r w:rsidRPr="00602824">
        <w:t xml:space="preserve">takeholder feedback and views on this reform project are </w:t>
      </w:r>
      <w:r w:rsidR="00E8138D" w:rsidRPr="00602824">
        <w:t>contained</w:t>
      </w:r>
      <w:r w:rsidRPr="00602824">
        <w:t xml:space="preserve"> in</w:t>
      </w:r>
      <w:r w:rsidRPr="00602824">
        <w:rPr>
          <w:rFonts w:asciiTheme="minorHAnsi" w:hAnsiTheme="minorHAnsi" w:cstheme="minorHAnsi"/>
        </w:rPr>
        <w:t xml:space="preserve"> </w:t>
      </w:r>
      <w:r w:rsidR="00466F19" w:rsidRPr="00602824">
        <w:rPr>
          <w:rFonts w:asciiTheme="minorHAnsi" w:hAnsiTheme="minorHAnsi" w:cstheme="minorHAnsi"/>
        </w:rPr>
        <w:fldChar w:fldCharType="begin"/>
      </w:r>
      <w:r w:rsidR="00466F19" w:rsidRPr="00602824">
        <w:rPr>
          <w:rFonts w:asciiTheme="minorHAnsi" w:hAnsiTheme="minorHAnsi" w:cstheme="minorHAnsi"/>
        </w:rPr>
        <w:instrText xml:space="preserve"> REF _Ref202920144 \h </w:instrText>
      </w:r>
      <w:r w:rsidR="00466F19" w:rsidRPr="00602824">
        <w:rPr>
          <w:rFonts w:asciiTheme="minorHAnsi" w:hAnsiTheme="minorHAnsi" w:cstheme="minorHAnsi"/>
        </w:rPr>
      </w:r>
      <w:r w:rsidR="00466F19" w:rsidRPr="00602824">
        <w:rPr>
          <w:rFonts w:asciiTheme="minorHAnsi" w:hAnsiTheme="minorHAnsi" w:cstheme="minorHAnsi"/>
        </w:rPr>
        <w:fldChar w:fldCharType="separate"/>
      </w:r>
      <w:r w:rsidR="00D30634" w:rsidRPr="00602824">
        <w:t xml:space="preserve">Table </w:t>
      </w:r>
      <w:r w:rsidR="00D30634">
        <w:rPr>
          <w:noProof/>
        </w:rPr>
        <w:t>14</w:t>
      </w:r>
      <w:r w:rsidR="00466F19" w:rsidRPr="00602824">
        <w:rPr>
          <w:rFonts w:asciiTheme="minorHAnsi" w:hAnsiTheme="minorHAnsi" w:cstheme="minorHAnsi"/>
        </w:rPr>
        <w:fldChar w:fldCharType="end"/>
      </w:r>
      <w:r w:rsidRPr="00602824">
        <w:rPr>
          <w:rFonts w:asciiTheme="minorHAnsi" w:hAnsiTheme="minorHAnsi" w:cstheme="minorHAnsi"/>
        </w:rPr>
        <w:t xml:space="preserve"> </w:t>
      </w:r>
      <w:r w:rsidRPr="00602824">
        <w:t xml:space="preserve">in </w:t>
      </w:r>
      <w:r w:rsidR="000377F0">
        <w:t>Section</w:t>
      </w:r>
      <w:r w:rsidR="000377F0" w:rsidRPr="00602824">
        <w:t xml:space="preserve"> </w:t>
      </w:r>
      <w:r w:rsidRPr="00602824">
        <w:fldChar w:fldCharType="begin"/>
      </w:r>
      <w:r w:rsidRPr="00602824">
        <w:instrText xml:space="preserve"> REF _Ref202438626 \n \h  \* MERGEFORMAT </w:instrText>
      </w:r>
      <w:r w:rsidRPr="00602824">
        <w:fldChar w:fldCharType="separate"/>
      </w:r>
      <w:r w:rsidR="00D30634">
        <w:t>2.6.7</w:t>
      </w:r>
      <w:r w:rsidRPr="00602824">
        <w:fldChar w:fldCharType="end"/>
      </w:r>
      <w:r w:rsidRPr="00602824">
        <w:t>.</w:t>
      </w:r>
    </w:p>
    <w:p w14:paraId="584D2206" w14:textId="2A13AA87" w:rsidR="0094012D" w:rsidRPr="00602824" w:rsidRDefault="005E0F48" w:rsidP="003526C9">
      <w:pPr>
        <w:pStyle w:val="Heading3"/>
      </w:pPr>
      <w:r w:rsidRPr="00602824">
        <w:t>Po</w:t>
      </w:r>
      <w:r w:rsidR="003526C9" w:rsidRPr="00602824">
        <w:t>tential improvements to the pathways process could improve efficiency</w:t>
      </w:r>
    </w:p>
    <w:p w14:paraId="3FF5B21D" w14:textId="4372E02B" w:rsidR="003526C9" w:rsidRPr="00602824" w:rsidRDefault="00CD404E" w:rsidP="0094012D">
      <w:pPr>
        <w:rPr>
          <w:lang w:eastAsia="en-AU"/>
        </w:rPr>
      </w:pPr>
      <w:r w:rsidRPr="00602824">
        <w:rPr>
          <w:lang w:eastAsia="en-AU"/>
        </w:rPr>
        <w:t xml:space="preserve">While medical technology representatives </w:t>
      </w:r>
      <w:r w:rsidR="006420E9" w:rsidRPr="00602824">
        <w:rPr>
          <w:lang w:eastAsia="en-AU"/>
        </w:rPr>
        <w:t>were broadly supportive of</w:t>
      </w:r>
      <w:r w:rsidRPr="00602824">
        <w:rPr>
          <w:lang w:eastAsia="en-AU"/>
        </w:rPr>
        <w:t xml:space="preserve"> the pathway reforms</w:t>
      </w:r>
      <w:r w:rsidR="00EB28FB" w:rsidRPr="00602824">
        <w:rPr>
          <w:lang w:eastAsia="en-AU"/>
        </w:rPr>
        <w:t xml:space="preserve"> (see </w:t>
      </w:r>
      <w:r w:rsidR="00D433D0" w:rsidRPr="00602824">
        <w:rPr>
          <w:lang w:eastAsia="en-AU"/>
        </w:rPr>
        <w:t>stakeholder perspectives</w:t>
      </w:r>
      <w:r w:rsidR="00F73DF2" w:rsidRPr="00602824">
        <w:rPr>
          <w:lang w:eastAsia="en-AU"/>
        </w:rPr>
        <w:t xml:space="preserve"> in </w:t>
      </w:r>
      <w:r w:rsidR="000377F0">
        <w:rPr>
          <w:lang w:eastAsia="en-AU"/>
        </w:rPr>
        <w:t>Section</w:t>
      </w:r>
      <w:r w:rsidR="000377F0" w:rsidRPr="00602824">
        <w:rPr>
          <w:lang w:eastAsia="en-AU"/>
        </w:rPr>
        <w:t xml:space="preserve"> </w:t>
      </w:r>
      <w:r w:rsidR="00F73DF2" w:rsidRPr="00602824">
        <w:rPr>
          <w:lang w:eastAsia="en-AU"/>
        </w:rPr>
        <w:fldChar w:fldCharType="begin"/>
      </w:r>
      <w:r w:rsidR="00F73DF2" w:rsidRPr="00602824">
        <w:rPr>
          <w:lang w:eastAsia="en-AU"/>
        </w:rPr>
        <w:instrText xml:space="preserve"> REF _Ref202438626 \n \h </w:instrText>
      </w:r>
      <w:r w:rsidR="00F73DF2" w:rsidRPr="00602824">
        <w:rPr>
          <w:lang w:eastAsia="en-AU"/>
        </w:rPr>
      </w:r>
      <w:r w:rsidR="00F73DF2" w:rsidRPr="00602824">
        <w:rPr>
          <w:lang w:eastAsia="en-AU"/>
        </w:rPr>
        <w:fldChar w:fldCharType="separate"/>
      </w:r>
      <w:r w:rsidR="00D30634">
        <w:rPr>
          <w:lang w:eastAsia="en-AU"/>
        </w:rPr>
        <w:t>2.6.7</w:t>
      </w:r>
      <w:r w:rsidR="00F73DF2" w:rsidRPr="00602824">
        <w:rPr>
          <w:lang w:eastAsia="en-AU"/>
        </w:rPr>
        <w:fldChar w:fldCharType="end"/>
      </w:r>
      <w:r w:rsidR="00D433D0" w:rsidRPr="00602824">
        <w:rPr>
          <w:lang w:eastAsia="en-AU"/>
        </w:rPr>
        <w:t>)</w:t>
      </w:r>
      <w:r w:rsidRPr="00602824">
        <w:rPr>
          <w:lang w:eastAsia="en-AU"/>
        </w:rPr>
        <w:t xml:space="preserve">, they </w:t>
      </w:r>
      <w:r w:rsidR="006420E9" w:rsidRPr="00602824">
        <w:rPr>
          <w:lang w:eastAsia="en-AU"/>
        </w:rPr>
        <w:t>identified areas for refinement</w:t>
      </w:r>
      <w:r w:rsidR="009515CE" w:rsidRPr="00602824">
        <w:rPr>
          <w:lang w:eastAsia="en-AU"/>
        </w:rPr>
        <w:t xml:space="preserve"> that could </w:t>
      </w:r>
      <w:r w:rsidR="006420E9" w:rsidRPr="00602824">
        <w:rPr>
          <w:lang w:eastAsia="en-AU"/>
        </w:rPr>
        <w:t>reduce</w:t>
      </w:r>
      <w:r w:rsidR="009515CE" w:rsidRPr="00602824">
        <w:rPr>
          <w:lang w:eastAsia="en-AU"/>
        </w:rPr>
        <w:t xml:space="preserve"> barriers and </w:t>
      </w:r>
      <w:r w:rsidR="006420E9" w:rsidRPr="00602824">
        <w:rPr>
          <w:lang w:eastAsia="en-AU"/>
        </w:rPr>
        <w:t>strengthen</w:t>
      </w:r>
      <w:r w:rsidR="009515CE" w:rsidRPr="00602824">
        <w:rPr>
          <w:lang w:eastAsia="en-AU"/>
        </w:rPr>
        <w:t xml:space="preserve"> alignment with the evidence. A close examination of these suggestions </w:t>
      </w:r>
      <w:r w:rsidR="00C2262C" w:rsidRPr="00602824">
        <w:rPr>
          <w:lang w:eastAsia="en-AU"/>
        </w:rPr>
        <w:t>could be undertaken with a view to further embedding the objective of the pathway refor</w:t>
      </w:r>
      <w:r w:rsidR="00CD5E83" w:rsidRPr="00602824">
        <w:rPr>
          <w:lang w:eastAsia="en-AU"/>
        </w:rPr>
        <w:t>ms</w:t>
      </w:r>
      <w:r w:rsidR="00400179" w:rsidRPr="00602824">
        <w:rPr>
          <w:lang w:eastAsia="en-AU"/>
        </w:rPr>
        <w:t>.</w:t>
      </w:r>
    </w:p>
    <w:p w14:paraId="2BF1D5A4" w14:textId="77777777" w:rsidR="003B1559" w:rsidRDefault="00107921" w:rsidP="0094012D">
      <w:pPr>
        <w:rPr>
          <w:lang w:eastAsia="en-AU"/>
        </w:rPr>
      </w:pPr>
      <w:proofErr w:type="gramStart"/>
      <w:r w:rsidRPr="00602824">
        <w:rPr>
          <w:lang w:eastAsia="en-AU"/>
        </w:rPr>
        <w:t xml:space="preserve">In particular, </w:t>
      </w:r>
      <w:r w:rsidR="00DC073A" w:rsidRPr="00602824">
        <w:rPr>
          <w:lang w:eastAsia="en-AU"/>
        </w:rPr>
        <w:t>concern</w:t>
      </w:r>
      <w:r w:rsidR="00CD3AD9" w:rsidRPr="00602824">
        <w:rPr>
          <w:lang w:eastAsia="en-AU"/>
        </w:rPr>
        <w:t>s</w:t>
      </w:r>
      <w:proofErr w:type="gramEnd"/>
      <w:r w:rsidR="00DC073A" w:rsidRPr="00602824">
        <w:rPr>
          <w:lang w:eastAsia="en-AU"/>
        </w:rPr>
        <w:t xml:space="preserve"> </w:t>
      </w:r>
      <w:r w:rsidRPr="00602824">
        <w:rPr>
          <w:lang w:eastAsia="en-AU"/>
        </w:rPr>
        <w:t>were raised about</w:t>
      </w:r>
      <w:r w:rsidR="00C67954" w:rsidRPr="00602824">
        <w:rPr>
          <w:lang w:eastAsia="en-AU"/>
        </w:rPr>
        <w:t xml:space="preserve"> the PL Guide issued in December 2023</w:t>
      </w:r>
      <w:r w:rsidRPr="00602824">
        <w:rPr>
          <w:lang w:eastAsia="en-AU"/>
        </w:rPr>
        <w:t>. The guide had</w:t>
      </w:r>
      <w:r w:rsidR="00C67954" w:rsidRPr="00602824">
        <w:rPr>
          <w:lang w:eastAsia="en-AU"/>
        </w:rPr>
        <w:t xml:space="preserve"> not been finalised </w:t>
      </w:r>
      <w:r w:rsidRPr="00602824">
        <w:rPr>
          <w:lang w:eastAsia="en-AU"/>
        </w:rPr>
        <w:t xml:space="preserve">as of mid-2025 and lacks detailed </w:t>
      </w:r>
      <w:r w:rsidR="008523D6" w:rsidRPr="00602824">
        <w:rPr>
          <w:lang w:eastAsia="en-AU"/>
        </w:rPr>
        <w:t xml:space="preserve">guidance </w:t>
      </w:r>
      <w:r w:rsidRPr="00602824">
        <w:rPr>
          <w:lang w:eastAsia="en-AU"/>
        </w:rPr>
        <w:t>on several elements, including</w:t>
      </w:r>
      <w:r w:rsidR="008523D6" w:rsidRPr="00602824">
        <w:rPr>
          <w:lang w:eastAsia="en-AU"/>
        </w:rPr>
        <w:t xml:space="preserve"> the focused HTA process</w:t>
      </w:r>
      <w:r w:rsidR="00C67954" w:rsidRPr="00602824">
        <w:rPr>
          <w:lang w:eastAsia="en-AU"/>
        </w:rPr>
        <w:t xml:space="preserve">. </w:t>
      </w:r>
    </w:p>
    <w:p w14:paraId="23EF87BC" w14:textId="3F549C02" w:rsidR="00107921" w:rsidRPr="00602824" w:rsidRDefault="00107921" w:rsidP="0094012D">
      <w:pPr>
        <w:rPr>
          <w:lang w:eastAsia="en-AU"/>
        </w:rPr>
      </w:pPr>
      <w:r w:rsidRPr="00602824">
        <w:rPr>
          <w:lang w:eastAsia="en-AU"/>
        </w:rPr>
        <w:t>Stakeholders</w:t>
      </w:r>
      <w:r w:rsidR="00A07A2B" w:rsidRPr="00602824">
        <w:rPr>
          <w:lang w:eastAsia="en-AU"/>
        </w:rPr>
        <w:t xml:space="preserve"> also </w:t>
      </w:r>
      <w:r w:rsidRPr="00602824">
        <w:rPr>
          <w:lang w:eastAsia="en-AU"/>
        </w:rPr>
        <w:t xml:space="preserve">pointed to </w:t>
      </w:r>
      <w:r w:rsidR="005A5102" w:rsidRPr="00602824">
        <w:rPr>
          <w:lang w:eastAsia="en-AU"/>
        </w:rPr>
        <w:t xml:space="preserve">the </w:t>
      </w:r>
      <w:r w:rsidRPr="00602824">
        <w:rPr>
          <w:lang w:eastAsia="en-AU"/>
        </w:rPr>
        <w:t>absence</w:t>
      </w:r>
      <w:r w:rsidR="005A5102" w:rsidRPr="00602824">
        <w:rPr>
          <w:lang w:eastAsia="en-AU"/>
        </w:rPr>
        <w:t xml:space="preserve"> of </w:t>
      </w:r>
      <w:r w:rsidRPr="00602824">
        <w:rPr>
          <w:lang w:eastAsia="en-AU"/>
        </w:rPr>
        <w:t xml:space="preserve">a </w:t>
      </w:r>
      <w:r w:rsidR="005A5102" w:rsidRPr="00602824">
        <w:rPr>
          <w:lang w:eastAsia="en-AU"/>
        </w:rPr>
        <w:t xml:space="preserve">clear </w:t>
      </w:r>
      <w:r w:rsidRPr="00602824">
        <w:rPr>
          <w:lang w:eastAsia="en-AU"/>
        </w:rPr>
        <w:t>process</w:t>
      </w:r>
      <w:r w:rsidR="005A5102" w:rsidRPr="00602824">
        <w:rPr>
          <w:lang w:eastAsia="en-AU"/>
        </w:rPr>
        <w:t xml:space="preserve"> for listing new technologies on Part C and </w:t>
      </w:r>
      <w:r w:rsidR="00637EF6" w:rsidRPr="00602824">
        <w:rPr>
          <w:lang w:eastAsia="en-AU"/>
        </w:rPr>
        <w:t xml:space="preserve">criteria for </w:t>
      </w:r>
      <w:r w:rsidRPr="00602824">
        <w:rPr>
          <w:lang w:eastAsia="en-AU"/>
        </w:rPr>
        <w:t>Ministerial</w:t>
      </w:r>
      <w:r w:rsidR="00637EF6" w:rsidRPr="00602824">
        <w:rPr>
          <w:lang w:eastAsia="en-AU"/>
        </w:rPr>
        <w:t xml:space="preserve"> recommendations</w:t>
      </w:r>
      <w:r w:rsidRPr="00602824">
        <w:rPr>
          <w:lang w:eastAsia="en-AU"/>
        </w:rPr>
        <w:t>. These gaps</w:t>
      </w:r>
      <w:r w:rsidR="00423E51" w:rsidRPr="00602824">
        <w:rPr>
          <w:lang w:eastAsia="en-AU"/>
        </w:rPr>
        <w:t xml:space="preserve"> are </w:t>
      </w:r>
      <w:r w:rsidRPr="00602824">
        <w:rPr>
          <w:lang w:eastAsia="en-AU"/>
        </w:rPr>
        <w:t xml:space="preserve">seen as limiting the PL’s </w:t>
      </w:r>
      <w:r w:rsidR="00816B93" w:rsidRPr="00602824">
        <w:rPr>
          <w:lang w:eastAsia="en-AU"/>
        </w:rPr>
        <w:t xml:space="preserve">ability </w:t>
      </w:r>
      <w:r w:rsidRPr="00602824">
        <w:rPr>
          <w:lang w:eastAsia="en-AU"/>
        </w:rPr>
        <w:t>to support timely</w:t>
      </w:r>
      <w:r w:rsidR="00816B93" w:rsidRPr="00602824">
        <w:rPr>
          <w:lang w:eastAsia="en-AU"/>
        </w:rPr>
        <w:t xml:space="preserve"> access to </w:t>
      </w:r>
      <w:r w:rsidRPr="00602824">
        <w:rPr>
          <w:lang w:eastAsia="en-AU"/>
        </w:rPr>
        <w:t xml:space="preserve">emerging </w:t>
      </w:r>
      <w:r w:rsidR="00816B93" w:rsidRPr="00602824">
        <w:rPr>
          <w:lang w:eastAsia="en-AU"/>
        </w:rPr>
        <w:t>technologies</w:t>
      </w:r>
      <w:r w:rsidRPr="00602824">
        <w:rPr>
          <w:lang w:eastAsia="en-AU"/>
        </w:rPr>
        <w:t>.</w:t>
      </w:r>
    </w:p>
    <w:p w14:paraId="08E5E900" w14:textId="1355B082" w:rsidR="00E52C90" w:rsidRPr="00602824" w:rsidRDefault="003473C0" w:rsidP="00FB712C">
      <w:pPr>
        <w:spacing w:after="240"/>
        <w:rPr>
          <w:lang w:eastAsia="en-AU"/>
        </w:rPr>
      </w:pPr>
      <w:r w:rsidRPr="00602824">
        <w:rPr>
          <w:lang w:eastAsia="en-AU"/>
        </w:rPr>
        <w:t>Updating the guide to reflect practical experience with the new pathways could help ensure the reforms achieve their intended impact.</w:t>
      </w:r>
    </w:p>
    <w:tbl>
      <w:tblPr>
        <w:tblStyle w:val="NousLongformcallout"/>
        <w:tblW w:w="5000" w:type="pct"/>
        <w:tblCellMar>
          <w:top w:w="170" w:type="dxa"/>
          <w:bottom w:w="170" w:type="dxa"/>
        </w:tblCellMar>
        <w:tblLook w:val="04A0" w:firstRow="1" w:lastRow="0" w:firstColumn="1" w:lastColumn="0" w:noHBand="0" w:noVBand="1"/>
      </w:tblPr>
      <w:tblGrid>
        <w:gridCol w:w="9048"/>
      </w:tblGrid>
      <w:tr w:rsidR="00E52C90" w:rsidRPr="00602824" w14:paraId="676E2733" w14:textId="77777777" w:rsidTr="00FB712C">
        <w:tc>
          <w:tcPr>
            <w:tcW w:w="9049" w:type="dxa"/>
            <w:tcBorders>
              <w:left w:val="single" w:sz="18" w:space="0" w:color="2E368F" w:themeColor="text2"/>
            </w:tcBorders>
            <w:shd w:val="clear" w:color="auto" w:fill="F2F2F2" w:themeFill="background1" w:themeFillShade="F2"/>
          </w:tcPr>
          <w:p w14:paraId="61E85137" w14:textId="15FD8D73" w:rsidR="00E52C90" w:rsidRPr="00602824" w:rsidRDefault="00E52C90" w:rsidP="00FB712C">
            <w:pPr>
              <w:pStyle w:val="Longformcallout"/>
              <w:spacing w:before="0" w:after="120"/>
              <w:rPr>
                <w:rFonts w:asciiTheme="majorHAnsi" w:hAnsiTheme="majorHAnsi" w:cstheme="majorHAnsi"/>
                <w:color w:val="2E368F" w:themeColor="text2"/>
              </w:rPr>
            </w:pPr>
            <w:r w:rsidRPr="00602824">
              <w:rPr>
                <w:rFonts w:asciiTheme="majorHAnsi" w:hAnsiTheme="majorHAnsi" w:cstheme="majorHAnsi"/>
                <w:color w:val="2E368F" w:themeColor="text2"/>
              </w:rPr>
              <w:t xml:space="preserve">RECOMMENDATION </w:t>
            </w:r>
            <w:r w:rsidR="001E538F" w:rsidRPr="00602824">
              <w:rPr>
                <w:rFonts w:asciiTheme="majorHAnsi" w:hAnsiTheme="majorHAnsi" w:cstheme="majorHAnsi"/>
                <w:color w:val="2E368F" w:themeColor="text2"/>
              </w:rPr>
              <w:t>7</w:t>
            </w:r>
          </w:p>
          <w:p w14:paraId="164225C4" w14:textId="77777777" w:rsidR="00CA5D08" w:rsidRPr="00602824" w:rsidRDefault="00CA5D08" w:rsidP="00FB712C">
            <w:pPr>
              <w:pStyle w:val="Longformcallout"/>
              <w:spacing w:before="0" w:after="120"/>
              <w:rPr>
                <w:rFonts w:asciiTheme="majorHAnsi" w:hAnsiTheme="majorHAnsi" w:cstheme="majorHAnsi"/>
              </w:rPr>
            </w:pPr>
            <w:r w:rsidRPr="00602824">
              <w:rPr>
                <w:rFonts w:asciiTheme="majorHAnsi" w:hAnsiTheme="majorHAnsi" w:cstheme="majorHAnsi"/>
              </w:rPr>
              <w:t>Review application pathways and update guidance to reflect experience and clarify processes</w:t>
            </w:r>
          </w:p>
          <w:p w14:paraId="28809202" w14:textId="5B4931E2" w:rsidR="00E52C90" w:rsidRPr="00602824" w:rsidRDefault="00FF1ED4" w:rsidP="00FB712C">
            <w:pPr>
              <w:pStyle w:val="Longformcallout"/>
              <w:spacing w:before="0" w:after="120"/>
            </w:pPr>
            <w:r w:rsidRPr="00602824">
              <w:t>Following two years of implementation, the revised application pathways should be reviewed to identify targeted improvements that enhance clarity, efficiency and alignment with evidence. This review should inform updates to the PL Guide, including clearer guidance on assessment pathways, criteria for Ministerial recommendations, and the focused HTA process. Drawing on international experience may also support improvements. Clearer, more detailed guidance will help sponsors better navigate the system and reduce delays or confusion</w:t>
            </w:r>
            <w:r w:rsidR="00E52C90" w:rsidRPr="00602824">
              <w:t xml:space="preserve">. </w:t>
            </w:r>
          </w:p>
        </w:tc>
      </w:tr>
    </w:tbl>
    <w:p w14:paraId="13A484AE" w14:textId="0B573634" w:rsidR="004413FA" w:rsidRPr="00602824" w:rsidRDefault="004413FA" w:rsidP="00CD5E83">
      <w:pPr>
        <w:pStyle w:val="Heading3"/>
      </w:pPr>
      <w:bookmarkStart w:id="81" w:name="_Ref202438626"/>
      <w:r w:rsidRPr="00602824">
        <w:lastRenderedPageBreak/>
        <w:t>Stakeholder perspectives</w:t>
      </w:r>
      <w:bookmarkEnd w:id="81"/>
      <w:r w:rsidRPr="00602824">
        <w:t xml:space="preserve"> </w:t>
      </w:r>
    </w:p>
    <w:p w14:paraId="4E09DB22" w14:textId="77777777" w:rsidR="006351F2" w:rsidRPr="00602824" w:rsidRDefault="004413FA" w:rsidP="004413FA">
      <w:r w:rsidRPr="00602824">
        <w:t xml:space="preserve">Stakeholders raised concerns about the transparency and functionality of </w:t>
      </w:r>
      <w:r w:rsidR="00FA0FA0" w:rsidRPr="00602824">
        <w:t xml:space="preserve">the PL application </w:t>
      </w:r>
      <w:r w:rsidRPr="00602824">
        <w:t xml:space="preserve">assessment pathways, with private hospitals and insurers noting </w:t>
      </w:r>
      <w:r w:rsidR="00FA0FA0" w:rsidRPr="00602824">
        <w:t>unclear processes</w:t>
      </w:r>
      <w:r w:rsidRPr="00602824">
        <w:t xml:space="preserve"> and administrative inefficiencies. </w:t>
      </w:r>
    </w:p>
    <w:p w14:paraId="3DF3E849" w14:textId="1E7B72CE" w:rsidR="000B0BA4" w:rsidRPr="00602824" w:rsidRDefault="004413FA" w:rsidP="004413FA">
      <w:r w:rsidRPr="00602824">
        <w:t xml:space="preserve">Medical technology </w:t>
      </w:r>
      <w:r w:rsidR="001B1F2A" w:rsidRPr="00602824">
        <w:t>representatives</w:t>
      </w:r>
      <w:r w:rsidRPr="00602824">
        <w:t xml:space="preserve"> </w:t>
      </w:r>
      <w:r w:rsidR="007B43A6" w:rsidRPr="00602824">
        <w:t>provided</w:t>
      </w:r>
      <w:r w:rsidRPr="00602824">
        <w:t xml:space="preserve"> detailed critiques, welcoming the Tier 1 pathway but </w:t>
      </w:r>
      <w:r w:rsidR="004C233A" w:rsidRPr="00602824">
        <w:t>highlighted</w:t>
      </w:r>
      <w:r w:rsidRPr="00602824">
        <w:t xml:space="preserve"> that many applications remain excluded</w:t>
      </w:r>
      <w:r w:rsidR="00FA0FA0" w:rsidRPr="00602824">
        <w:t>,</w:t>
      </w:r>
      <w:r w:rsidRPr="00602824">
        <w:t xml:space="preserve"> and that </w:t>
      </w:r>
      <w:r w:rsidR="004C233A" w:rsidRPr="00602824">
        <w:t xml:space="preserve">they believe </w:t>
      </w:r>
      <w:r w:rsidRPr="00602824">
        <w:t>Tier 2b requirements are misaligned with the evidence typically available for medical devices. They argued that the current evidence standards are disproportionately stringent compared to international benchmarks, contributing to delays and rejections for new technologies in the private sector</w:t>
      </w:r>
      <w:r w:rsidR="00B46145" w:rsidRPr="00602824">
        <w:t xml:space="preserve">, </w:t>
      </w:r>
      <w:r w:rsidRPr="00602824">
        <w:t xml:space="preserve">even when </w:t>
      </w:r>
      <w:r w:rsidR="004C233A" w:rsidRPr="00602824">
        <w:t>those</w:t>
      </w:r>
      <w:r w:rsidRPr="00602824">
        <w:t xml:space="preserve"> devices are already available publicly.</w:t>
      </w:r>
      <w:r w:rsidR="004C233A" w:rsidRPr="00602824">
        <w:t xml:space="preserve"> </w:t>
      </w:r>
      <w:r w:rsidRPr="00602824">
        <w:t xml:space="preserve">They also pointed to persistent issues with departmental responsiveness, lack of service standards, and the absence of a clear pathway for listing new technologies on Part C. </w:t>
      </w:r>
    </w:p>
    <w:p w14:paraId="69294BBA" w14:textId="77777777" w:rsidR="004413FA" w:rsidRPr="00602824" w:rsidRDefault="004413FA" w:rsidP="004413FA">
      <w:r w:rsidRPr="00602824">
        <w:t>Clinic</w:t>
      </w:r>
      <w:r w:rsidR="000B0BA4" w:rsidRPr="00602824">
        <w:t>ian</w:t>
      </w:r>
      <w:r w:rsidRPr="00602824">
        <w:t xml:space="preserve"> representatives supported the tiered model in principle but acknowledged the </w:t>
      </w:r>
      <w:r w:rsidR="00A56175" w:rsidRPr="00602824">
        <w:t xml:space="preserve">Department’s staffing challenge, </w:t>
      </w:r>
      <w:r w:rsidRPr="00602824">
        <w:t>the need for clearer guidance and better-resourced implementation</w:t>
      </w:r>
      <w:r w:rsidR="00A56175" w:rsidRPr="00602824">
        <w:t>.</w:t>
      </w:r>
    </w:p>
    <w:p w14:paraId="08052437" w14:textId="1A41E251" w:rsidR="001F4933" w:rsidRPr="00602824" w:rsidRDefault="00517EDB" w:rsidP="00B50EE7">
      <w:pPr>
        <w:pStyle w:val="Caption"/>
      </w:pPr>
      <w:bookmarkStart w:id="82" w:name="_Ref202920144"/>
      <w:r w:rsidRPr="00602824">
        <w:t xml:space="preserve">Table </w:t>
      </w:r>
      <w:r w:rsidR="002604D0">
        <w:fldChar w:fldCharType="begin"/>
      </w:r>
      <w:r w:rsidR="002604D0">
        <w:instrText xml:space="preserve"> SEQ Table \* ARABIC </w:instrText>
      </w:r>
      <w:r w:rsidR="002604D0">
        <w:fldChar w:fldCharType="separate"/>
      </w:r>
      <w:r w:rsidR="00D30634">
        <w:rPr>
          <w:noProof/>
        </w:rPr>
        <w:t>14</w:t>
      </w:r>
      <w:r w:rsidR="002604D0">
        <w:fldChar w:fldCharType="end"/>
      </w:r>
      <w:bookmarkEnd w:id="82"/>
      <w:r w:rsidR="001F4933" w:rsidRPr="00602824">
        <w:t xml:space="preserve"> | </w:t>
      </w:r>
      <w:r w:rsidR="00015D9F" w:rsidRPr="00602824">
        <w:t>Stakeholder perspectives on PL assessment pathways</w:t>
      </w:r>
      <w:r w:rsidR="003E7D14" w:rsidRPr="00602824">
        <w:rPr>
          <w:rStyle w:val="FootnoteReference"/>
        </w:rPr>
        <w:footnoteReference w:id="97"/>
      </w:r>
    </w:p>
    <w:tbl>
      <w:tblPr>
        <w:tblStyle w:val="NOUS1"/>
        <w:tblW w:w="0" w:type="auto"/>
        <w:tblLook w:val="04A0" w:firstRow="1" w:lastRow="0" w:firstColumn="1" w:lastColumn="0" w:noHBand="0" w:noVBand="1"/>
      </w:tblPr>
      <w:tblGrid>
        <w:gridCol w:w="2252"/>
        <w:gridCol w:w="6819"/>
      </w:tblGrid>
      <w:tr w:rsidR="001F4933" w:rsidRPr="00602824" w14:paraId="1E47693F" w14:textId="77777777" w:rsidTr="00015D9F">
        <w:trPr>
          <w:cnfStyle w:val="100000000000" w:firstRow="1" w:lastRow="0" w:firstColumn="0" w:lastColumn="0" w:oddVBand="0" w:evenVBand="0" w:oddHBand="0" w:evenHBand="0" w:firstRowFirstColumn="0" w:firstRowLastColumn="0" w:lastRowFirstColumn="0" w:lastRowLastColumn="0"/>
        </w:trPr>
        <w:tc>
          <w:tcPr>
            <w:tcW w:w="2268" w:type="dxa"/>
          </w:tcPr>
          <w:p w14:paraId="0D340D3A" w14:textId="77777777" w:rsidR="001F4933" w:rsidRPr="00602824" w:rsidRDefault="001F4933" w:rsidP="00FB712C">
            <w:pPr>
              <w:pStyle w:val="TableNheader"/>
              <w:keepNext w:val="0"/>
              <w:spacing w:before="60" w:after="60" w:line="240" w:lineRule="auto"/>
              <w:jc w:val="center"/>
            </w:pPr>
            <w:r w:rsidRPr="00602824">
              <w:t>Stakeholder group</w:t>
            </w:r>
          </w:p>
        </w:tc>
        <w:tc>
          <w:tcPr>
            <w:tcW w:w="6917" w:type="dxa"/>
          </w:tcPr>
          <w:p w14:paraId="20EC24AB" w14:textId="77777777" w:rsidR="001F4933" w:rsidRPr="00602824" w:rsidRDefault="001F4933" w:rsidP="00FB712C">
            <w:pPr>
              <w:pStyle w:val="TableNheader"/>
              <w:keepNext w:val="0"/>
              <w:spacing w:before="60" w:after="60" w:line="240" w:lineRule="auto"/>
            </w:pPr>
            <w:r w:rsidRPr="00602824">
              <w:t>Perspectives on reform project</w:t>
            </w:r>
          </w:p>
        </w:tc>
      </w:tr>
      <w:tr w:rsidR="001F4933" w:rsidRPr="00602824" w14:paraId="5152F997" w14:textId="77777777" w:rsidTr="00015D9F">
        <w:tc>
          <w:tcPr>
            <w:tcW w:w="2268" w:type="dxa"/>
            <w:shd w:val="clear" w:color="auto" w:fill="00264D" w:themeFill="background2"/>
          </w:tcPr>
          <w:p w14:paraId="349D6769" w14:textId="77777777" w:rsidR="001F4933" w:rsidRPr="00602824" w:rsidRDefault="001F4933" w:rsidP="00FB712C">
            <w:pPr>
              <w:pStyle w:val="TableNheader"/>
              <w:keepNext w:val="0"/>
              <w:spacing w:before="60" w:after="60" w:line="240" w:lineRule="auto"/>
              <w:jc w:val="center"/>
              <w:rPr>
                <w:color w:val="FFFFFF" w:themeColor="background1"/>
              </w:rPr>
            </w:pPr>
            <w:r w:rsidRPr="00602824">
              <w:rPr>
                <w:color w:val="FFFFFF" w:themeColor="background1"/>
              </w:rPr>
              <w:t>Private hospital sector</w:t>
            </w:r>
          </w:p>
          <w:p w14:paraId="0E2BAE0D" w14:textId="77777777" w:rsidR="001F4933" w:rsidRPr="00602824" w:rsidRDefault="001F4933"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5DBC29C2" wp14:editId="169ACE79">
                      <wp:extent cx="320633" cy="314696"/>
                      <wp:effectExtent l="0" t="0" r="3810" b="9525"/>
                      <wp:docPr id="253087563" name="Freeform: Shape 253087563"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253087563"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2BBBD7FC">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3CC0F3BA" w14:textId="2A70E755" w:rsidR="001F4933" w:rsidRPr="00602824" w:rsidRDefault="001F4933" w:rsidP="00A10774">
            <w:pPr>
              <w:pStyle w:val="TableNBullet"/>
              <w:spacing w:before="60" w:after="60"/>
            </w:pPr>
            <w:r w:rsidRPr="00602824">
              <w:t xml:space="preserve">Private hospitals do not submit PL applications, but some reported concerns about the complexity, inefficiency and limited transparency of assessment processes. They </w:t>
            </w:r>
            <w:r w:rsidR="00775CA3">
              <w:t>noted</w:t>
            </w:r>
            <w:r w:rsidR="00775CA3" w:rsidRPr="00602824">
              <w:t xml:space="preserve"> </w:t>
            </w:r>
            <w:r w:rsidR="002C4D9B">
              <w:t>reports of challenges in alignment</w:t>
            </w:r>
            <w:r w:rsidR="002C4D9B" w:rsidRPr="00602824">
              <w:t xml:space="preserve"> </w:t>
            </w:r>
            <w:r w:rsidRPr="00602824">
              <w:t>with HTA principles and called for clearer governance, stronger accountability, and improved consultative engagement.</w:t>
            </w:r>
          </w:p>
        </w:tc>
      </w:tr>
      <w:tr w:rsidR="001F4933" w:rsidRPr="00602824" w14:paraId="3608B4DA" w14:textId="77777777" w:rsidTr="00015D9F">
        <w:tc>
          <w:tcPr>
            <w:tcW w:w="2268" w:type="dxa"/>
            <w:shd w:val="clear" w:color="auto" w:fill="00264D" w:themeFill="background2"/>
          </w:tcPr>
          <w:p w14:paraId="773DF995" w14:textId="77777777" w:rsidR="001F4933" w:rsidRPr="00602824" w:rsidRDefault="001F4933" w:rsidP="00FB712C">
            <w:pPr>
              <w:pStyle w:val="TableNheader"/>
              <w:keepNext w:val="0"/>
              <w:spacing w:before="60" w:after="60" w:line="240" w:lineRule="auto"/>
              <w:jc w:val="center"/>
              <w:rPr>
                <w:color w:val="FFFFFF" w:themeColor="background1"/>
              </w:rPr>
            </w:pPr>
            <w:r w:rsidRPr="00602824">
              <w:rPr>
                <w:color w:val="FFFFFF" w:themeColor="background1"/>
              </w:rPr>
              <w:t>Private health insurance representatives</w:t>
            </w:r>
          </w:p>
          <w:p w14:paraId="5B88C359" w14:textId="77777777" w:rsidR="001F4933" w:rsidRPr="00602824" w:rsidRDefault="001F4933"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4BEFA703" wp14:editId="43E6FAA0">
                      <wp:extent cx="292311" cy="292311"/>
                      <wp:effectExtent l="0" t="0" r="0" b="0"/>
                      <wp:docPr id="90317360" name="Freeform: Shape 90317360"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90317360"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4BD54395">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28BB1496" w14:textId="61206980" w:rsidR="001F4933" w:rsidRPr="00602824" w:rsidRDefault="001F4933" w:rsidP="00A10774">
            <w:pPr>
              <w:pStyle w:val="TableNBullet"/>
              <w:spacing w:before="60" w:after="60"/>
            </w:pPr>
            <w:r w:rsidRPr="00602824">
              <w:t>Insurers expressed concern about the cumulative financial impact of device listings over time, such as drug-eluting stents and</w:t>
            </w:r>
            <w:r w:rsidR="000B1D58" w:rsidRPr="00602824">
              <w:t xml:space="preserve"> Transcatheter Aortic Valve Implantation</w:t>
            </w:r>
            <w:r w:rsidRPr="00602824">
              <w:t xml:space="preserve"> </w:t>
            </w:r>
            <w:r w:rsidR="000B1D58" w:rsidRPr="00602824">
              <w:t>(</w:t>
            </w:r>
            <w:r w:rsidRPr="00602824">
              <w:t>TAVI</w:t>
            </w:r>
            <w:r w:rsidR="000B1D58" w:rsidRPr="00602824">
              <w:t>)</w:t>
            </w:r>
            <w:r w:rsidRPr="00602824">
              <w:t>, noting limited transparency on expected volumes or outcomes.</w:t>
            </w:r>
          </w:p>
          <w:p w14:paraId="2C117D82" w14:textId="77777777" w:rsidR="001F4933" w:rsidRPr="00602824" w:rsidRDefault="001F4933" w:rsidP="00A10774">
            <w:pPr>
              <w:pStyle w:val="TableNBullet"/>
              <w:spacing w:before="60" w:after="60"/>
            </w:pPr>
            <w:r w:rsidRPr="00602824">
              <w:t>They also criticised aspects of decision-making that appeared inconsistent with HTA principles.</w:t>
            </w:r>
          </w:p>
        </w:tc>
      </w:tr>
      <w:tr w:rsidR="001F4933" w:rsidRPr="00602824" w14:paraId="04B0766D" w14:textId="77777777" w:rsidTr="00015D9F">
        <w:tc>
          <w:tcPr>
            <w:tcW w:w="2268" w:type="dxa"/>
            <w:shd w:val="clear" w:color="auto" w:fill="00264D" w:themeFill="background2"/>
          </w:tcPr>
          <w:p w14:paraId="070ED3C2" w14:textId="77777777" w:rsidR="001F4933" w:rsidRPr="00602824" w:rsidRDefault="001F4933" w:rsidP="00FB712C">
            <w:pPr>
              <w:pStyle w:val="TableNheader"/>
              <w:keepNext w:val="0"/>
              <w:spacing w:before="60" w:after="60" w:line="240" w:lineRule="auto"/>
              <w:jc w:val="center"/>
              <w:rPr>
                <w:color w:val="FFFFFF" w:themeColor="background1"/>
              </w:rPr>
            </w:pPr>
            <w:r w:rsidRPr="00602824">
              <w:rPr>
                <w:color w:val="FFFFFF" w:themeColor="background1"/>
              </w:rPr>
              <w:t>Medical technology representatives</w:t>
            </w:r>
          </w:p>
          <w:p w14:paraId="172EB0FF" w14:textId="77777777" w:rsidR="001F4933" w:rsidRPr="00602824" w:rsidRDefault="001F4933" w:rsidP="00FB712C">
            <w:pPr>
              <w:pStyle w:val="TableNheader"/>
              <w:keepNext w:val="0"/>
              <w:spacing w:before="60" w:after="60" w:line="240" w:lineRule="auto"/>
              <w:jc w:val="center"/>
              <w:rPr>
                <w:color w:val="FFFFFF" w:themeColor="background1"/>
              </w:rPr>
            </w:pPr>
            <w:r w:rsidRPr="00AC7E3F">
              <w:rPr>
                <w:i/>
                <w:iCs/>
                <w:noProof/>
              </w:rPr>
              <w:drawing>
                <wp:inline distT="0" distB="0" distL="0" distR="0" wp14:anchorId="0F29B27B" wp14:editId="4DB0D0CE">
                  <wp:extent cx="309245" cy="336734"/>
                  <wp:effectExtent l="0" t="0" r="0" b="6350"/>
                  <wp:docPr id="1391471092" name="Graphic 1391471092"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7548D730" w14:textId="77777777" w:rsidR="001F4933" w:rsidRPr="00602824" w:rsidRDefault="001F4933" w:rsidP="00A10774">
            <w:pPr>
              <w:pStyle w:val="TableNBullet"/>
              <w:spacing w:before="60" w:after="60"/>
            </w:pPr>
            <w:r w:rsidRPr="00602824">
              <w:t>Industry welcomed the introduction of the Tier 1 assessment pathway but noted that many applications are excluded, and few applications for new groups or higher benefits succeed.</w:t>
            </w:r>
          </w:p>
          <w:p w14:paraId="06744141" w14:textId="77777777" w:rsidR="001F4933" w:rsidRDefault="001F4933" w:rsidP="00A10774">
            <w:pPr>
              <w:pStyle w:val="TableNBullet"/>
              <w:spacing w:before="60" w:after="60"/>
            </w:pPr>
            <w:r w:rsidRPr="00602824">
              <w:t>Evidence requirements were seen as more stringent than in other markets, leading to rejected or delayed listings. Industry representatives reported difficulty obtaining guidance from ECAGs, even for products with established comparators.</w:t>
            </w:r>
          </w:p>
          <w:p w14:paraId="6E306F2B" w14:textId="03793D4A" w:rsidR="00621459" w:rsidRPr="00602824" w:rsidRDefault="00621459" w:rsidP="00A10774">
            <w:pPr>
              <w:pStyle w:val="TableNBullet"/>
              <w:spacing w:before="60" w:after="60"/>
            </w:pPr>
            <w:r>
              <w:t>S</w:t>
            </w:r>
            <w:r w:rsidRPr="009A419A">
              <w:t>ome members have reported that they are not launching products in the private market which are available in the public due to assessment hurdles</w:t>
            </w:r>
            <w:r>
              <w:t>.</w:t>
            </w:r>
          </w:p>
          <w:p w14:paraId="34F814FC" w14:textId="77777777" w:rsidR="001F4933" w:rsidRPr="00602824" w:rsidRDefault="001F4933" w:rsidP="00A10774">
            <w:pPr>
              <w:pStyle w:val="TableNBullet"/>
              <w:spacing w:before="60" w:after="60"/>
            </w:pPr>
            <w:r w:rsidRPr="00602824">
              <w:t>Concerns were raised that the updated PL Guide remains in draft form since December 2023 and that the focused HTA process remains poorly defined. Fit-for-purpose guidelines were seen as essential to reduce delays and confusion.</w:t>
            </w:r>
          </w:p>
          <w:p w14:paraId="2C49CE21" w14:textId="77777777" w:rsidR="001F4933" w:rsidRPr="00602824" w:rsidRDefault="001F4933" w:rsidP="00A10774">
            <w:pPr>
              <w:pStyle w:val="TableNBullet"/>
              <w:spacing w:before="60" w:after="60"/>
            </w:pPr>
            <w:r w:rsidRPr="00602824">
              <w:t>Stakeholders called for Tier 2b and Tier 3 assessments (particularly for devices without procedure codes) to be completed within one cycle, noting that pharmaceuticals are routinely assessed within 100 days.</w:t>
            </w:r>
          </w:p>
          <w:p w14:paraId="2675A5E0" w14:textId="77777777" w:rsidR="001F4933" w:rsidRPr="00602824" w:rsidRDefault="001F4933" w:rsidP="00A10774">
            <w:pPr>
              <w:pStyle w:val="TableNBullet"/>
              <w:spacing w:before="60" w:after="60"/>
            </w:pPr>
            <w:r w:rsidRPr="00602824">
              <w:t>The Department was reported to lack sufficient staffing and responsiveness to manage the increased application volume and cost recovery pressures. Written queries were said to face delays, slowing down the process.</w:t>
            </w:r>
          </w:p>
          <w:p w14:paraId="0A694CB5" w14:textId="77777777" w:rsidR="001F4933" w:rsidRPr="00602824" w:rsidRDefault="001F4933" w:rsidP="00A10774">
            <w:pPr>
              <w:pStyle w:val="TableNBullet"/>
              <w:spacing w:before="60" w:after="60"/>
            </w:pPr>
            <w:r w:rsidRPr="00602824">
              <w:t>Industry representatives stated there is no clear process for listing new technologies – or updating existing listings – on Part C, which limits flexibility and restricts patient access to new devices.</w:t>
            </w:r>
          </w:p>
        </w:tc>
      </w:tr>
      <w:tr w:rsidR="001F4933" w:rsidRPr="00602824" w14:paraId="58F22D2E" w14:textId="77777777" w:rsidTr="00015D9F">
        <w:tc>
          <w:tcPr>
            <w:tcW w:w="2268" w:type="dxa"/>
            <w:shd w:val="clear" w:color="auto" w:fill="00264D" w:themeFill="background2"/>
          </w:tcPr>
          <w:p w14:paraId="00BBEFB2" w14:textId="77777777" w:rsidR="001F4933" w:rsidRPr="00602824" w:rsidRDefault="001F4933" w:rsidP="00FB712C">
            <w:pPr>
              <w:pStyle w:val="TableNheader"/>
              <w:keepNext w:val="0"/>
              <w:spacing w:before="60" w:after="60" w:line="240" w:lineRule="auto"/>
              <w:jc w:val="center"/>
              <w:rPr>
                <w:color w:val="FFFFFF" w:themeColor="background1"/>
              </w:rPr>
            </w:pPr>
            <w:r w:rsidRPr="00602824">
              <w:rPr>
                <w:color w:val="FFFFFF" w:themeColor="background1"/>
              </w:rPr>
              <w:lastRenderedPageBreak/>
              <w:t>Clinician representatives</w:t>
            </w:r>
          </w:p>
          <w:p w14:paraId="72C49337" w14:textId="77777777" w:rsidR="001F4933" w:rsidRPr="00602824" w:rsidRDefault="001F4933" w:rsidP="00FB712C">
            <w:pPr>
              <w:pStyle w:val="TableNheader"/>
              <w:keepNext w:val="0"/>
              <w:spacing w:before="60" w:after="60" w:line="240" w:lineRule="auto"/>
              <w:jc w:val="center"/>
              <w:rPr>
                <w:color w:val="FFFFFF" w:themeColor="background1"/>
              </w:rPr>
            </w:pPr>
            <w:r w:rsidRPr="00AC7E3F">
              <w:rPr>
                <w:noProof/>
              </w:rPr>
              <w:drawing>
                <wp:inline distT="0" distB="0" distL="0" distR="0" wp14:anchorId="13474A8D" wp14:editId="3103C34A">
                  <wp:extent cx="267970" cy="323215"/>
                  <wp:effectExtent l="0" t="0" r="0" b="635"/>
                  <wp:docPr id="1295024220"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7A50A9C0" w14:textId="77777777" w:rsidR="001F4933" w:rsidRPr="00602824" w:rsidRDefault="001F4933" w:rsidP="00A10774">
            <w:pPr>
              <w:pStyle w:val="TableNBullet"/>
              <w:spacing w:before="60" w:after="60"/>
            </w:pPr>
            <w:r w:rsidRPr="00602824">
              <w:t>Clinicians broadly supported the tiered assessment pathways and acknowledged that the Department is still transitioning to full implementation. They supported a gradual approach to allow sponsors time to adjust.</w:t>
            </w:r>
          </w:p>
          <w:p w14:paraId="038D25DC" w14:textId="77777777" w:rsidR="001F4933" w:rsidRPr="00602824" w:rsidRDefault="001F4933" w:rsidP="00A10774">
            <w:pPr>
              <w:pStyle w:val="TableNBullet"/>
              <w:spacing w:before="60" w:after="60"/>
            </w:pPr>
            <w:r w:rsidRPr="00602824">
              <w:t>Concerns were raised about the Department’s ability to recruit and retain suitably qualified staff with the clinical and technical expertise required to manage the volume and complexity of applications.</w:t>
            </w:r>
          </w:p>
        </w:tc>
      </w:tr>
    </w:tbl>
    <w:p w14:paraId="0CF2466A" w14:textId="6A75229E" w:rsidR="00415271" w:rsidRPr="00602824" w:rsidRDefault="00517EDB" w:rsidP="00C4091B">
      <w:pPr>
        <w:pStyle w:val="Heading3"/>
      </w:pPr>
      <w:r w:rsidRPr="00602824">
        <w:t xml:space="preserve">Implementation progress </w:t>
      </w:r>
      <w:r w:rsidR="0092293E" w:rsidRPr="00602824">
        <w:t>(b</w:t>
      </w:r>
      <w:r w:rsidR="00015D9F" w:rsidRPr="00602824">
        <w:t>)</w:t>
      </w:r>
      <w:r w:rsidRPr="00602824">
        <w:t xml:space="preserve">: </w:t>
      </w:r>
      <w:r w:rsidR="00015D9F" w:rsidRPr="00602824">
        <w:t>g</w:t>
      </w:r>
      <w:r w:rsidRPr="00602824">
        <w:t xml:space="preserve">overnance arrangements  </w:t>
      </w:r>
    </w:p>
    <w:tbl>
      <w:tblPr>
        <w:tblStyle w:val="NOUSSideHeader4"/>
        <w:tblW w:w="0" w:type="auto"/>
        <w:tblLook w:val="04A0" w:firstRow="1" w:lastRow="0" w:firstColumn="1" w:lastColumn="0" w:noHBand="0" w:noVBand="1"/>
      </w:tblPr>
      <w:tblGrid>
        <w:gridCol w:w="9061"/>
      </w:tblGrid>
      <w:tr w:rsidR="00415271" w:rsidRPr="00602824" w14:paraId="581A02DA" w14:textId="77777777" w:rsidTr="00F04FEF">
        <w:trPr>
          <w:cnfStyle w:val="100000000000" w:firstRow="1" w:lastRow="0" w:firstColumn="0" w:lastColumn="0" w:oddVBand="0" w:evenVBand="0" w:oddHBand="0" w:evenHBand="0" w:firstRowFirstColumn="0" w:firstRowLastColumn="0" w:lastRowFirstColumn="0" w:lastRowLastColumn="0"/>
        </w:trPr>
        <w:tc>
          <w:tcPr>
            <w:tcW w:w="9061" w:type="dxa"/>
          </w:tcPr>
          <w:p w14:paraId="075E0905" w14:textId="6CB82925" w:rsidR="00415271" w:rsidRPr="00602824" w:rsidRDefault="00415271" w:rsidP="00FB712C">
            <w:r w:rsidRPr="00602824">
              <w:t xml:space="preserve">As outlined in </w:t>
            </w:r>
            <w:r w:rsidRPr="00602824">
              <w:rPr>
                <w:i/>
              </w:rPr>
              <w:t xml:space="preserve">Interim Evaluation </w:t>
            </w:r>
            <w:r w:rsidR="00E46892" w:rsidRPr="00602824">
              <w:rPr>
                <w:i/>
                <w:iCs/>
              </w:rPr>
              <w:t>#</w:t>
            </w:r>
            <w:r w:rsidRPr="00602824">
              <w:rPr>
                <w:i/>
              </w:rPr>
              <w:t>1</w:t>
            </w:r>
            <w:r w:rsidR="00E46892" w:rsidRPr="00602824">
              <w:rPr>
                <w:i/>
                <w:iCs/>
              </w:rPr>
              <w:t xml:space="preserve"> report</w:t>
            </w:r>
            <w:r w:rsidRPr="00602824">
              <w:t xml:space="preserve">, </w:t>
            </w:r>
            <w:r w:rsidR="008918BF" w:rsidRPr="00602824">
              <w:t xml:space="preserve">the previous </w:t>
            </w:r>
            <w:r w:rsidR="00ED0441" w:rsidRPr="00602824">
              <w:t xml:space="preserve">PL </w:t>
            </w:r>
            <w:r w:rsidR="008918BF" w:rsidRPr="00602824">
              <w:t xml:space="preserve">governance arrangements were replaced with the </w:t>
            </w:r>
            <w:r w:rsidR="00ED0441" w:rsidRPr="00602824">
              <w:t>Medical Devices and Human Tissue Advisory Committee (MDHTAC)</w:t>
            </w:r>
            <w:r w:rsidR="008918BF" w:rsidRPr="00602824">
              <w:t xml:space="preserve"> </w:t>
            </w:r>
            <w:r w:rsidR="00C90999" w:rsidRPr="00602824">
              <w:t xml:space="preserve">and five </w:t>
            </w:r>
            <w:r w:rsidR="00ED0441" w:rsidRPr="00602824">
              <w:t>associated sub-</w:t>
            </w:r>
            <w:r w:rsidR="00FC60FC" w:rsidRPr="00602824">
              <w:t>committees</w:t>
            </w:r>
            <w:r w:rsidR="00ED0441" w:rsidRPr="00602824">
              <w:t xml:space="preserve"> </w:t>
            </w:r>
            <w:r w:rsidR="00F46A6D" w:rsidRPr="00602824">
              <w:t>known as</w:t>
            </w:r>
            <w:r w:rsidR="00ED0441" w:rsidRPr="00602824">
              <w:t xml:space="preserve"> </w:t>
            </w:r>
            <w:r w:rsidR="00FC60FC" w:rsidRPr="00602824">
              <w:t>Expert Clinical Advisory Groups (</w:t>
            </w:r>
            <w:r w:rsidR="00C90999" w:rsidRPr="00602824">
              <w:t>ECAGs</w:t>
            </w:r>
            <w:r w:rsidR="00FC60FC" w:rsidRPr="00602824">
              <w:t>)</w:t>
            </w:r>
            <w:r w:rsidR="00C90999" w:rsidRPr="00602824">
              <w:t xml:space="preserve"> to encourage the right level of clinical expertise </w:t>
            </w:r>
            <w:r w:rsidR="00F46A6D" w:rsidRPr="00602824">
              <w:t>for</w:t>
            </w:r>
            <w:r w:rsidR="00C90999" w:rsidRPr="00602824">
              <w:t xml:space="preserve"> the consideration of each application. </w:t>
            </w:r>
            <w:r w:rsidR="00CE3AD7" w:rsidRPr="00602824">
              <w:t>Representatives</w:t>
            </w:r>
            <w:r w:rsidR="001E38E6" w:rsidRPr="00602824">
              <w:t xml:space="preserve"> from private </w:t>
            </w:r>
            <w:r w:rsidR="000124A4" w:rsidRPr="00602824">
              <w:t>hospitals</w:t>
            </w:r>
            <w:r w:rsidR="001E38E6" w:rsidRPr="00602824">
              <w:t xml:space="preserve">, the MTAA and health insurers were </w:t>
            </w:r>
            <w:r w:rsidR="00CE3AD7" w:rsidRPr="00602824">
              <w:t>not included in</w:t>
            </w:r>
            <w:r w:rsidR="001E38E6" w:rsidRPr="00602824">
              <w:t xml:space="preserve"> the MDHTAC</w:t>
            </w:r>
            <w:r w:rsidR="000124A4" w:rsidRPr="00602824">
              <w:t>.</w:t>
            </w:r>
          </w:p>
          <w:p w14:paraId="3D8CA81C" w14:textId="7BBF4146" w:rsidR="00415271" w:rsidRPr="00602824" w:rsidRDefault="00415271" w:rsidP="00FB712C">
            <w:r w:rsidRPr="00602824">
              <w:t xml:space="preserve">No major changes in </w:t>
            </w:r>
            <w:r w:rsidR="00FC60FC" w:rsidRPr="00602824">
              <w:t xml:space="preserve">implementation </w:t>
            </w:r>
            <w:r w:rsidRPr="00602824">
              <w:t xml:space="preserve">have </w:t>
            </w:r>
            <w:r w:rsidR="00FC60FC" w:rsidRPr="00602824">
              <w:t>occurred</w:t>
            </w:r>
            <w:r w:rsidRPr="00602824">
              <w:t xml:space="preserve"> since </w:t>
            </w:r>
            <w:r w:rsidR="00FC60FC" w:rsidRPr="00602824">
              <w:t xml:space="preserve">the </w:t>
            </w:r>
            <w:r w:rsidR="00514214" w:rsidRPr="00602824">
              <w:t xml:space="preserve">revised </w:t>
            </w:r>
            <w:r w:rsidR="00FC60FC" w:rsidRPr="00602824">
              <w:t>arrangements commenced on 1 July 2023</w:t>
            </w:r>
            <w:r w:rsidRPr="00602824">
              <w:t xml:space="preserve">. </w:t>
            </w:r>
            <w:r w:rsidR="00982EDC" w:rsidRPr="00602824">
              <w:t xml:space="preserve">This section primarily seeks to understand how these governance arrangements are operating and if they have increased the effectiveness of assessments. </w:t>
            </w:r>
            <w:r w:rsidRPr="00602824">
              <w:t xml:space="preserve"> </w:t>
            </w:r>
          </w:p>
        </w:tc>
      </w:tr>
    </w:tbl>
    <w:p w14:paraId="2167FF59" w14:textId="4B8266EA" w:rsidR="00232AF4" w:rsidRPr="00602824" w:rsidRDefault="00232AF4" w:rsidP="00C4091B">
      <w:pPr>
        <w:pStyle w:val="Heading3"/>
      </w:pPr>
      <w:bookmarkStart w:id="83" w:name="_Ref202438980"/>
      <w:r w:rsidRPr="00602824">
        <w:t xml:space="preserve">Representation is appropriate and prioritises the clinical lens, </w:t>
      </w:r>
      <w:bookmarkEnd w:id="83"/>
      <w:r w:rsidR="00AA135E" w:rsidRPr="00602824">
        <w:t xml:space="preserve">but </w:t>
      </w:r>
      <w:r w:rsidR="00961D0E" w:rsidRPr="00602824">
        <w:t>some governance challenges remain</w:t>
      </w:r>
    </w:p>
    <w:p w14:paraId="5E8B7020" w14:textId="2838DB29" w:rsidR="00BF5139" w:rsidRPr="00602824" w:rsidRDefault="00E15FBE" w:rsidP="00BF5139">
      <w:r w:rsidRPr="00602824">
        <w:t>Overall, governance arrangements appear to be operating as intended</w:t>
      </w:r>
      <w:r w:rsidR="00783235" w:rsidRPr="00602824">
        <w:t xml:space="preserve"> in terms of enabling clinically focused assessment.</w:t>
      </w:r>
      <w:r w:rsidR="008B2E13" w:rsidRPr="00AC7E3F">
        <w:rPr>
          <w:noProof/>
        </w:rPr>
        <mc:AlternateContent>
          <mc:Choice Requires="wps">
            <w:drawing>
              <wp:anchor distT="0" distB="0" distL="114300" distR="114300" simplePos="0" relativeHeight="251658243" behindDoc="0" locked="0" layoutInCell="1" allowOverlap="1" wp14:anchorId="3CB364AD" wp14:editId="65672093">
                <wp:simplePos x="0" y="0"/>
                <wp:positionH relativeFrom="column">
                  <wp:posOffset>3563620</wp:posOffset>
                </wp:positionH>
                <wp:positionV relativeFrom="paragraph">
                  <wp:posOffset>436579</wp:posOffset>
                </wp:positionV>
                <wp:extent cx="2247900" cy="1490345"/>
                <wp:effectExtent l="0" t="0" r="0" b="0"/>
                <wp:wrapSquare wrapText="bothSides"/>
                <wp:docPr id="1884480432" name="Text Box 1884480432"/>
                <wp:cNvGraphicFramePr/>
                <a:graphic xmlns:a="http://schemas.openxmlformats.org/drawingml/2006/main">
                  <a:graphicData uri="http://schemas.microsoft.com/office/word/2010/wordprocessingShape">
                    <wps:wsp>
                      <wps:cNvSpPr txBox="1"/>
                      <wps:spPr>
                        <a:xfrm>
                          <a:off x="0" y="0"/>
                          <a:ext cx="2247900" cy="1490345"/>
                        </a:xfrm>
                        <a:prstGeom prst="rect">
                          <a:avLst/>
                        </a:prstGeom>
                        <a:solidFill>
                          <a:sysClr val="window" lastClr="FFFFFF"/>
                        </a:solidFill>
                        <a:ln w="6350">
                          <a:noFill/>
                        </a:ln>
                        <a:effectLst/>
                      </wps:spPr>
                      <wps:txbx>
                        <w:txbxContent>
                          <w:p w14:paraId="0EBE64F4" w14:textId="77777777" w:rsidR="00886099" w:rsidRPr="004A357C" w:rsidRDefault="00886099" w:rsidP="00886099">
                            <w:pPr>
                              <w:pStyle w:val="Callout"/>
                              <w:jc w:val="right"/>
                              <w:rPr>
                                <w:i/>
                                <w:iCs/>
                                <w:color w:val="F25E21" w:themeColor="accent2"/>
                                <w:sz w:val="20"/>
                                <w:szCs w:val="20"/>
                              </w:rPr>
                            </w:pPr>
                            <w:r w:rsidRPr="004A357C">
                              <w:rPr>
                                <w:i/>
                                <w:iCs/>
                                <w:color w:val="F25E21" w:themeColor="accent2"/>
                                <w:sz w:val="20"/>
                                <w:szCs w:val="20"/>
                              </w:rPr>
                              <w:t>“</w:t>
                            </w:r>
                            <w:r w:rsidR="002909D0" w:rsidRPr="004A357C">
                              <w:rPr>
                                <w:i/>
                                <w:iCs/>
                                <w:color w:val="F25E21" w:themeColor="accent2"/>
                                <w:sz w:val="20"/>
                                <w:szCs w:val="20"/>
                              </w:rPr>
                              <w:t>PLAC meetings would often degenerate into long disagreements between hospitals, insurers and industry factions which did not allow the key clinical and health economic issues to be resolved satisfactorily</w:t>
                            </w:r>
                            <w:r w:rsidRPr="004A357C">
                              <w:rPr>
                                <w:i/>
                                <w:iCs/>
                                <w:color w:val="F25E21" w:themeColor="accent2"/>
                                <w:sz w:val="20"/>
                                <w:szCs w:val="20"/>
                              </w:rPr>
                              <w:t xml:space="preserve">” </w:t>
                            </w:r>
                          </w:p>
                          <w:p w14:paraId="39338AA1" w14:textId="77777777" w:rsidR="00886099" w:rsidRPr="004A357C" w:rsidRDefault="00097739" w:rsidP="00886099">
                            <w:pPr>
                              <w:pStyle w:val="Callout"/>
                              <w:jc w:val="right"/>
                              <w:rPr>
                                <w:rFonts w:asciiTheme="minorHAnsi" w:hAnsiTheme="minorHAnsi" w:cstheme="minorHAnsi"/>
                                <w:b/>
                                <w:bCs/>
                                <w:color w:val="00264D" w:themeColor="background2"/>
                                <w:sz w:val="14"/>
                                <w:szCs w:val="14"/>
                              </w:rPr>
                            </w:pPr>
                            <w:r w:rsidRPr="004A357C">
                              <w:rPr>
                                <w:rFonts w:asciiTheme="minorHAnsi" w:hAnsiTheme="minorHAnsi" w:cstheme="minorHAnsi"/>
                                <w:b/>
                                <w:bCs/>
                                <w:color w:val="00264D" w:themeColor="background2"/>
                                <w:sz w:val="14"/>
                                <w:szCs w:val="14"/>
                              </w:rPr>
                              <w:t>MDHTAC member, June 2025</w:t>
                            </w:r>
                          </w:p>
                          <w:p w14:paraId="095A1FDA" w14:textId="77777777" w:rsidR="00886099" w:rsidRPr="004A357C" w:rsidRDefault="00886099" w:rsidP="00886099">
                            <w:pPr>
                              <w:pStyle w:val="Callout"/>
                              <w:jc w:val="right"/>
                              <w:rPr>
                                <w:i/>
                                <w:iCs/>
                                <w:color w:val="F25E21" w:themeColor="accent2"/>
                                <w:sz w:val="20"/>
                                <w:szCs w:val="20"/>
                              </w:rPr>
                            </w:pPr>
                            <w:r w:rsidRPr="004A357C">
                              <w:rPr>
                                <w:i/>
                                <w:iCs/>
                                <w:color w:val="F25E21" w:themeColor="accent2"/>
                                <w:sz w:val="20"/>
                                <w:szCs w:val="20"/>
                              </w:rPr>
                              <w:t xml:space="preserve"> </w:t>
                            </w:r>
                          </w:p>
                          <w:p w14:paraId="6184AE1C" w14:textId="77777777" w:rsidR="00886099" w:rsidRPr="004A357C" w:rsidRDefault="00886099" w:rsidP="00886099">
                            <w:pPr>
                              <w:pStyle w:val="Callout"/>
                              <w:jc w:val="right"/>
                              <w:rPr>
                                <w:rFonts w:asciiTheme="minorHAnsi" w:hAnsiTheme="minorHAnsi" w:cstheme="minorHAnsi"/>
                                <w:b/>
                                <w:bCs/>
                                <w:color w:val="00264D" w:themeColor="background2"/>
                                <w:sz w:val="14"/>
                                <w:szCs w:val="14"/>
                              </w:rPr>
                            </w:pPr>
                            <w:r w:rsidRPr="004A357C">
                              <w:rPr>
                                <w:rFonts w:asciiTheme="minorHAnsi" w:hAnsiTheme="minorHAnsi" w:cstheme="minorHAnsi"/>
                                <w:b/>
                                <w:bCs/>
                                <w:color w:val="00264D" w:themeColor="background2"/>
                                <w:sz w:val="14"/>
                                <w:szCs w:val="14"/>
                              </w:rPr>
                              <w:t>MTAA, 2017 Senate Submission</w:t>
                            </w:r>
                          </w:p>
                          <w:p w14:paraId="3A183FB0" w14:textId="77777777" w:rsidR="00886099" w:rsidRPr="004A357C" w:rsidRDefault="00886099" w:rsidP="00886099">
                            <w:pPr>
                              <w:pStyle w:val="Callout"/>
                              <w:rPr>
                                <w:color w:val="F25E21" w:themeColor="accent2"/>
                              </w:rPr>
                            </w:pPr>
                          </w:p>
                          <w:p w14:paraId="4F5022C5" w14:textId="77777777" w:rsidR="00886099" w:rsidRPr="004A357C" w:rsidRDefault="00886099" w:rsidP="00886099">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B364AD" id="Text Box 1884480432" o:spid="_x0000_s1029" type="#_x0000_t202" style="position:absolute;margin-left:280.6pt;margin-top:34.4pt;width:177pt;height:117.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" fillcolor="window" stroked="f" strokeweight=".5pt">
                <v:textbox inset="0,,1mm">
                  <w:txbxContent>
                    <w:p w14:paraId="0EBE64F4" w14:textId="77777777" w:rsidR="00886099" w:rsidRPr="004A357C" w:rsidRDefault="00886099" w:rsidP="00886099">
                      <w:pPr>
                        <w:pStyle w:val="Callout"/>
                        <w:jc w:val="right"/>
                        <w:rPr>
                          <w:i/>
                          <w:iCs/>
                          <w:color w:val="F25E21" w:themeColor="accent2"/>
                          <w:sz w:val="20"/>
                          <w:szCs w:val="20"/>
                        </w:rPr>
                      </w:pPr>
                      <w:r w:rsidRPr="004A357C">
                        <w:rPr>
                          <w:i/>
                          <w:iCs/>
                          <w:color w:val="F25E21" w:themeColor="accent2"/>
                          <w:sz w:val="20"/>
                          <w:szCs w:val="20"/>
                        </w:rPr>
                        <w:t>“</w:t>
                      </w:r>
                      <w:r w:rsidR="002909D0" w:rsidRPr="004A357C">
                        <w:rPr>
                          <w:i/>
                          <w:iCs/>
                          <w:color w:val="F25E21" w:themeColor="accent2"/>
                          <w:sz w:val="20"/>
                          <w:szCs w:val="20"/>
                        </w:rPr>
                        <w:t>PLAC meetings would often degenerate into long disagreements between hospitals, insurers and industry factions which did not allow the key clinical and health economic issues to be resolved satisfactorily</w:t>
                      </w:r>
                      <w:r w:rsidRPr="004A357C">
                        <w:rPr>
                          <w:i/>
                          <w:iCs/>
                          <w:color w:val="F25E21" w:themeColor="accent2"/>
                          <w:sz w:val="20"/>
                          <w:szCs w:val="20"/>
                        </w:rPr>
                        <w:t xml:space="preserve">” </w:t>
                      </w:r>
                    </w:p>
                    <w:p w14:paraId="39338AA1" w14:textId="77777777" w:rsidR="00886099" w:rsidRPr="004A357C" w:rsidRDefault="00097739" w:rsidP="00886099">
                      <w:pPr>
                        <w:pStyle w:val="Callout"/>
                        <w:jc w:val="right"/>
                        <w:rPr>
                          <w:rFonts w:asciiTheme="minorHAnsi" w:hAnsiTheme="minorHAnsi" w:cstheme="minorHAnsi"/>
                          <w:b/>
                          <w:bCs/>
                          <w:color w:val="00264D" w:themeColor="background2"/>
                          <w:sz w:val="14"/>
                          <w:szCs w:val="14"/>
                        </w:rPr>
                      </w:pPr>
                      <w:r w:rsidRPr="004A357C">
                        <w:rPr>
                          <w:rFonts w:asciiTheme="minorHAnsi" w:hAnsiTheme="minorHAnsi" w:cstheme="minorHAnsi"/>
                          <w:b/>
                          <w:bCs/>
                          <w:color w:val="00264D" w:themeColor="background2"/>
                          <w:sz w:val="14"/>
                          <w:szCs w:val="14"/>
                        </w:rPr>
                        <w:t>MDHTAC member, June 2025</w:t>
                      </w:r>
                    </w:p>
                    <w:p w14:paraId="095A1FDA" w14:textId="77777777" w:rsidR="00886099" w:rsidRPr="004A357C" w:rsidRDefault="00886099" w:rsidP="00886099">
                      <w:pPr>
                        <w:pStyle w:val="Callout"/>
                        <w:jc w:val="right"/>
                        <w:rPr>
                          <w:i/>
                          <w:iCs/>
                          <w:color w:val="F25E21" w:themeColor="accent2"/>
                          <w:sz w:val="20"/>
                          <w:szCs w:val="20"/>
                        </w:rPr>
                      </w:pPr>
                      <w:r w:rsidRPr="004A357C">
                        <w:rPr>
                          <w:i/>
                          <w:iCs/>
                          <w:color w:val="F25E21" w:themeColor="accent2"/>
                          <w:sz w:val="20"/>
                          <w:szCs w:val="20"/>
                        </w:rPr>
                        <w:t xml:space="preserve"> </w:t>
                      </w:r>
                    </w:p>
                    <w:p w14:paraId="6184AE1C" w14:textId="77777777" w:rsidR="00886099" w:rsidRPr="004A357C" w:rsidRDefault="00886099" w:rsidP="00886099">
                      <w:pPr>
                        <w:pStyle w:val="Callout"/>
                        <w:jc w:val="right"/>
                        <w:rPr>
                          <w:rFonts w:asciiTheme="minorHAnsi" w:hAnsiTheme="minorHAnsi" w:cstheme="minorHAnsi"/>
                          <w:b/>
                          <w:bCs/>
                          <w:color w:val="00264D" w:themeColor="background2"/>
                          <w:sz w:val="14"/>
                          <w:szCs w:val="14"/>
                        </w:rPr>
                      </w:pPr>
                      <w:r w:rsidRPr="004A357C">
                        <w:rPr>
                          <w:rFonts w:asciiTheme="minorHAnsi" w:hAnsiTheme="minorHAnsi" w:cstheme="minorHAnsi"/>
                          <w:b/>
                          <w:bCs/>
                          <w:color w:val="00264D" w:themeColor="background2"/>
                          <w:sz w:val="14"/>
                          <w:szCs w:val="14"/>
                        </w:rPr>
                        <w:t>MTAA, 2017 Senate Submission</w:t>
                      </w:r>
                    </w:p>
                    <w:p w14:paraId="3A183FB0" w14:textId="77777777" w:rsidR="00886099" w:rsidRPr="004A357C" w:rsidRDefault="00886099" w:rsidP="00886099">
                      <w:pPr>
                        <w:pStyle w:val="Callout"/>
                        <w:rPr>
                          <w:color w:val="F25E21" w:themeColor="accent2"/>
                        </w:rPr>
                      </w:pPr>
                    </w:p>
                    <w:p w14:paraId="4F5022C5" w14:textId="77777777" w:rsidR="00886099" w:rsidRPr="004A357C" w:rsidRDefault="00886099" w:rsidP="00886099">
                      <w:pPr>
                        <w:pStyle w:val="Callout"/>
                        <w:rPr>
                          <w:color w:val="F25E21" w:themeColor="accent2"/>
                        </w:rPr>
                      </w:pPr>
                    </w:p>
                  </w:txbxContent>
                </v:textbox>
                <w10:wrap type="square"/>
              </v:shape>
            </w:pict>
          </mc:Fallback>
        </mc:AlternateContent>
      </w:r>
      <w:r w:rsidRPr="00602824">
        <w:t xml:space="preserve"> </w:t>
      </w:r>
    </w:p>
    <w:p w14:paraId="1F7017F5" w14:textId="23610454" w:rsidR="00064C6B" w:rsidRPr="00602824" w:rsidRDefault="00BF5139" w:rsidP="00BF5139">
      <w:r w:rsidRPr="00602824">
        <w:t>Representatives from M</w:t>
      </w:r>
      <w:r w:rsidR="004E6731" w:rsidRPr="00602824">
        <w:t>D</w:t>
      </w:r>
      <w:r w:rsidRPr="00602824">
        <w:t xml:space="preserve">HTAC noted that </w:t>
      </w:r>
      <w:r w:rsidR="00DB3565" w:rsidRPr="00602824">
        <w:t xml:space="preserve">the removal of industry, hospital and insurer representatives from governance </w:t>
      </w:r>
      <w:r w:rsidR="00DE687A" w:rsidRPr="00602824">
        <w:t>proceedings</w:t>
      </w:r>
      <w:r w:rsidR="00DB3565" w:rsidRPr="00602824">
        <w:t xml:space="preserve"> ha</w:t>
      </w:r>
      <w:r w:rsidR="004E6731" w:rsidRPr="00602824">
        <w:t>s improved</w:t>
      </w:r>
      <w:r w:rsidR="00DB3565" w:rsidRPr="00602824">
        <w:t xml:space="preserve"> </w:t>
      </w:r>
      <w:r w:rsidR="004E6731" w:rsidRPr="00602824">
        <w:t xml:space="preserve">efficiency, allowing </w:t>
      </w:r>
      <w:r w:rsidR="00E35D41" w:rsidRPr="00602824">
        <w:t>clinicians</w:t>
      </w:r>
      <w:r w:rsidR="002775A4" w:rsidRPr="00602824">
        <w:t xml:space="preserve"> </w:t>
      </w:r>
      <w:r w:rsidR="004B4F3B" w:rsidRPr="00602824">
        <w:t xml:space="preserve">to </w:t>
      </w:r>
      <w:r w:rsidR="002775A4" w:rsidRPr="00602824">
        <w:t xml:space="preserve">focus on </w:t>
      </w:r>
      <w:r w:rsidR="00E35D41" w:rsidRPr="00602824">
        <w:t>clinical</w:t>
      </w:r>
      <w:r w:rsidR="002775A4" w:rsidRPr="00602824">
        <w:t xml:space="preserve"> </w:t>
      </w:r>
      <w:r w:rsidR="00783235" w:rsidRPr="00602824">
        <w:t>and health economic issues</w:t>
      </w:r>
      <w:r w:rsidR="002775A4" w:rsidRPr="00602824">
        <w:t xml:space="preserve"> without </w:t>
      </w:r>
      <w:r w:rsidR="00783235" w:rsidRPr="00602824">
        <w:t>distraction from</w:t>
      </w:r>
      <w:r w:rsidR="00E35D41" w:rsidRPr="00602824">
        <w:t xml:space="preserve"> commercially interested parties</w:t>
      </w:r>
      <w:r w:rsidR="008B2E13" w:rsidRPr="00602824">
        <w:t xml:space="preserve">. </w:t>
      </w:r>
      <w:r w:rsidR="00783235" w:rsidRPr="00602824">
        <w:t>This change</w:t>
      </w:r>
      <w:r w:rsidR="00E35D41" w:rsidRPr="00602824">
        <w:t xml:space="preserve"> has </w:t>
      </w:r>
      <w:r w:rsidR="00783235" w:rsidRPr="00602824">
        <w:t xml:space="preserve">also </w:t>
      </w:r>
      <w:r w:rsidR="003A6E24" w:rsidRPr="00602824">
        <w:t>minimised</w:t>
      </w:r>
      <w:r w:rsidR="00FD6033" w:rsidRPr="00602824">
        <w:t xml:space="preserve"> </w:t>
      </w:r>
      <w:r w:rsidR="00783235" w:rsidRPr="00602824">
        <w:t>the potential</w:t>
      </w:r>
      <w:r w:rsidR="00FD6033" w:rsidRPr="00602824">
        <w:t xml:space="preserve"> for </w:t>
      </w:r>
      <w:r w:rsidR="00783235" w:rsidRPr="00602824">
        <w:t>conflicts</w:t>
      </w:r>
      <w:r w:rsidR="00FD6033" w:rsidRPr="00602824">
        <w:t xml:space="preserve"> of interest </w:t>
      </w:r>
      <w:r w:rsidR="00783235" w:rsidRPr="00602824">
        <w:t>in</w:t>
      </w:r>
      <w:r w:rsidR="00FD6033" w:rsidRPr="00602824">
        <w:t xml:space="preserve"> </w:t>
      </w:r>
      <w:r w:rsidR="003A6E24" w:rsidRPr="00602824">
        <w:t>decision</w:t>
      </w:r>
      <w:r w:rsidR="00783235" w:rsidRPr="00602824">
        <w:t>-</w:t>
      </w:r>
      <w:r w:rsidR="003A6E24" w:rsidRPr="00602824">
        <w:t>making.</w:t>
      </w:r>
      <w:r w:rsidR="00FD6033" w:rsidRPr="00602824">
        <w:t xml:space="preserve"> </w:t>
      </w:r>
    </w:p>
    <w:p w14:paraId="02894C4E" w14:textId="77777777" w:rsidR="00842A70" w:rsidRDefault="003D69A0" w:rsidP="003D69A0">
      <w:r w:rsidRPr="00602824">
        <w:t>One member of the MDHTAC</w:t>
      </w:r>
      <w:r w:rsidR="002A2406" w:rsidRPr="00602824">
        <w:t>, while supporting</w:t>
      </w:r>
      <w:r w:rsidR="00EF1D7A" w:rsidRPr="00602824">
        <w:t xml:space="preserve"> the exclusion of </w:t>
      </w:r>
      <w:r w:rsidRPr="00602824">
        <w:t xml:space="preserve">these stakeholders from meeting participation, also noted that in certain instances the absence of direct input from private hospitals was </w:t>
      </w:r>
      <w:r w:rsidR="004B4F3B" w:rsidRPr="00602824">
        <w:t>a concern</w:t>
      </w:r>
      <w:r w:rsidRPr="00602824">
        <w:t xml:space="preserve">. </w:t>
      </w:r>
    </w:p>
    <w:p w14:paraId="1DC02140" w14:textId="2372B4A8" w:rsidR="00827152" w:rsidRPr="00602824" w:rsidRDefault="003D69A0" w:rsidP="003D69A0">
      <w:r w:rsidRPr="00602824">
        <w:t>They valued the opportunity to understand how decisions affect</w:t>
      </w:r>
      <w:r w:rsidR="00FC1016" w:rsidRPr="00602824">
        <w:t xml:space="preserve"> hospital</w:t>
      </w:r>
      <w:r w:rsidRPr="00602824">
        <w:t xml:space="preserve"> operational processes and, </w:t>
      </w:r>
      <w:r w:rsidR="00FC1016" w:rsidRPr="00602824">
        <w:t>therefore</w:t>
      </w:r>
      <w:r w:rsidRPr="00602824">
        <w:t>, patient care.</w:t>
      </w:r>
      <w:r w:rsidR="005C6DA0" w:rsidRPr="00602824">
        <w:t xml:space="preserve"> </w:t>
      </w:r>
      <w:r w:rsidR="00F90903" w:rsidRPr="00602824">
        <w:t>This view was echoed by some hospital stakeholders, who noted the value of better engagement on implementation and funding implications</w:t>
      </w:r>
      <w:r w:rsidRPr="00602824">
        <w:t>.</w:t>
      </w:r>
    </w:p>
    <w:p w14:paraId="700F0B25" w14:textId="4EE04571" w:rsidR="00EF59FE" w:rsidRPr="00602824" w:rsidRDefault="00EF59FE" w:rsidP="003D69A0">
      <w:r w:rsidRPr="00602824">
        <w:t xml:space="preserve">The decision to remove industry representatives from governance is not supported by industry representatives, as it reduces the opportunity for dialogue and increases the possibility of misunderstandings. However, the evaluation believes these concerns can be addressed within the current arrangements </w:t>
      </w:r>
      <w:r w:rsidR="005E2AA2" w:rsidRPr="00602824">
        <w:t xml:space="preserve">– </w:t>
      </w:r>
      <w:r w:rsidRPr="00602824">
        <w:t>particularly if resourcing of the listing process is improved and clearer communication channels are established.</w:t>
      </w:r>
    </w:p>
    <w:p w14:paraId="6273D39E" w14:textId="610DAEBB" w:rsidR="00711911" w:rsidRPr="00602824" w:rsidRDefault="00B36BD2" w:rsidP="004823A7">
      <w:pPr>
        <w:pStyle w:val="Heading4"/>
      </w:pPr>
      <w:r w:rsidRPr="00602824">
        <w:t>Greater</w:t>
      </w:r>
      <w:r w:rsidR="0054463D" w:rsidRPr="00602824">
        <w:t xml:space="preserve"> transparency </w:t>
      </w:r>
      <w:r w:rsidRPr="00602824">
        <w:t xml:space="preserve">is </w:t>
      </w:r>
      <w:r w:rsidR="004333FA" w:rsidRPr="00602824">
        <w:t>needed to align the assessment process</w:t>
      </w:r>
      <w:r w:rsidR="00711911" w:rsidRPr="00602824">
        <w:t xml:space="preserve"> with HTA principles</w:t>
      </w:r>
    </w:p>
    <w:p w14:paraId="33D95E54" w14:textId="69E11A03" w:rsidR="007551C9" w:rsidRPr="00602824" w:rsidRDefault="007551C9" w:rsidP="00ED40F9">
      <w:pPr>
        <w:rPr>
          <w:lang w:eastAsia="en-AU"/>
        </w:rPr>
      </w:pPr>
      <w:r w:rsidRPr="00602824">
        <w:rPr>
          <w:lang w:eastAsia="en-AU"/>
        </w:rPr>
        <w:t xml:space="preserve">Private health insurance representatives expressed concern over the lack of transparency surrounding the assessment pathways and subsequent decisions. While they acknowledged the decision to remove health insurance, device, and private hospital representatives from MDHTAC meetings and deliberations, they </w:t>
      </w:r>
      <w:r w:rsidRPr="00602824">
        <w:rPr>
          <w:lang w:eastAsia="en-AU"/>
        </w:rPr>
        <w:lastRenderedPageBreak/>
        <w:t>emphasised that they have a legitimate interest in understanding potential cost drivers prior to PL listings, as well as the rationale behind decision outcomes.</w:t>
      </w:r>
    </w:p>
    <w:p w14:paraId="50F884AE" w14:textId="02DE41E0" w:rsidR="0033185D" w:rsidRPr="00602824" w:rsidRDefault="00A97617" w:rsidP="004823A7">
      <w:pPr>
        <w:pStyle w:val="Heading4"/>
      </w:pPr>
      <w:r w:rsidRPr="00602824">
        <w:t>Applying appropriate clinical expertise through the</w:t>
      </w:r>
      <w:r w:rsidR="00A259CE" w:rsidRPr="00602824">
        <w:t xml:space="preserve"> ECAGs</w:t>
      </w:r>
      <w:r w:rsidRPr="00602824">
        <w:t xml:space="preserve"> is key to sound decision</w:t>
      </w:r>
      <w:r w:rsidR="001F665C" w:rsidRPr="00602824">
        <w:t>-making</w:t>
      </w:r>
    </w:p>
    <w:p w14:paraId="7C17E58E" w14:textId="59B7EEFB" w:rsidR="00886099" w:rsidRPr="00602824" w:rsidRDefault="00383EDC" w:rsidP="00ED477C">
      <w:r w:rsidRPr="00602824">
        <w:t xml:space="preserve">MDHTAC and ECAGs provide improved clinician coverage across specialty areas of device use compared to previous PL governance structures. </w:t>
      </w:r>
      <w:r w:rsidR="001B18C7" w:rsidRPr="00602824">
        <w:t>Several</w:t>
      </w:r>
      <w:r w:rsidR="002F2334" w:rsidRPr="00602824">
        <w:t xml:space="preserve"> </w:t>
      </w:r>
      <w:r w:rsidR="00874E6D" w:rsidRPr="00602824">
        <w:t>opp</w:t>
      </w:r>
      <w:r w:rsidR="00DF3514" w:rsidRPr="00602824">
        <w:t>ortunities for further improvement were identified by stakeholders</w:t>
      </w:r>
      <w:r w:rsidR="001A0DD7" w:rsidRPr="00602824">
        <w:t xml:space="preserve">. Some were of the view that </w:t>
      </w:r>
      <w:r w:rsidR="00437F48" w:rsidRPr="00602824">
        <w:t xml:space="preserve">professional organisations should provide the </w:t>
      </w:r>
      <w:r w:rsidR="000F45C7" w:rsidRPr="00602824">
        <w:t>representation</w:t>
      </w:r>
      <w:r w:rsidR="00437F48" w:rsidRPr="00602824">
        <w:t xml:space="preserve"> rather than </w:t>
      </w:r>
      <w:proofErr w:type="gramStart"/>
      <w:r w:rsidR="000F45C7" w:rsidRPr="00602824">
        <w:t>particular individuals</w:t>
      </w:r>
      <w:proofErr w:type="gramEnd"/>
      <w:r w:rsidR="000F45C7" w:rsidRPr="00602824">
        <w:t xml:space="preserve"> being appointed. Other concerns included</w:t>
      </w:r>
      <w:r w:rsidR="001B18C7" w:rsidRPr="00602824">
        <w:t xml:space="preserve"> insufficient representation from</w:t>
      </w:r>
      <w:r w:rsidR="002F2334" w:rsidRPr="00602824">
        <w:t xml:space="preserve"> vascular surgery and </w:t>
      </w:r>
      <w:r w:rsidR="001B18C7" w:rsidRPr="00602824">
        <w:t>concerns regarding the decision to group</w:t>
      </w:r>
      <w:r w:rsidR="00ED477C" w:rsidRPr="00602824">
        <w:t xml:space="preserve"> knee and hip specialists</w:t>
      </w:r>
      <w:r w:rsidR="00CE0707" w:rsidRPr="00602824">
        <w:t xml:space="preserve"> </w:t>
      </w:r>
      <w:r w:rsidR="001B18C7" w:rsidRPr="00602824">
        <w:t>within</w:t>
      </w:r>
      <w:r w:rsidR="00CE0707" w:rsidRPr="00602824">
        <w:t xml:space="preserve"> </w:t>
      </w:r>
      <w:r w:rsidR="00ED477C" w:rsidRPr="00602824">
        <w:t>the same ECAG.</w:t>
      </w:r>
      <w:r w:rsidR="00CE0707" w:rsidRPr="00602824">
        <w:t xml:space="preserve"> </w:t>
      </w:r>
      <w:r w:rsidR="00954E74" w:rsidRPr="00602824">
        <w:t xml:space="preserve">These </w:t>
      </w:r>
      <w:r w:rsidR="00EE35C2" w:rsidRPr="00602824">
        <w:t xml:space="preserve">concerns could be </w:t>
      </w:r>
      <w:r w:rsidR="006A3795" w:rsidRPr="00602824">
        <w:t>alleviated</w:t>
      </w:r>
      <w:r w:rsidR="007951E6" w:rsidRPr="00602824">
        <w:t xml:space="preserve"> on an ad hoc basis depending on the devices for consideration.</w:t>
      </w:r>
      <w:r w:rsidR="00714967" w:rsidRPr="00602824">
        <w:t xml:space="preserve"> </w:t>
      </w:r>
      <w:r w:rsidR="007552CA" w:rsidRPr="00602824">
        <w:t xml:space="preserve">The key issue </w:t>
      </w:r>
      <w:r w:rsidR="00A556AB" w:rsidRPr="00602824">
        <w:t xml:space="preserve">is that </w:t>
      </w:r>
      <w:r w:rsidR="00C176B4" w:rsidRPr="00602824">
        <w:t>the best available expertise is applied to decision-making.</w:t>
      </w:r>
      <w:r w:rsidR="006A3795" w:rsidRPr="00602824">
        <w:t xml:space="preserve"> </w:t>
      </w:r>
    </w:p>
    <w:p w14:paraId="1B5E95D9" w14:textId="2A8FAF7D" w:rsidR="00EE5FE3" w:rsidRPr="00602824" w:rsidRDefault="007E5353" w:rsidP="00FB712C">
      <w:pPr>
        <w:pStyle w:val="Heading3"/>
        <w:spacing w:before="300"/>
      </w:pPr>
      <w:r w:rsidRPr="00602824">
        <w:t xml:space="preserve">Stakeholder perspectives </w:t>
      </w:r>
    </w:p>
    <w:p w14:paraId="0ED8BD58" w14:textId="77777777" w:rsidR="000A2706" w:rsidRPr="00602824" w:rsidRDefault="007E5353" w:rsidP="00C46AE0">
      <w:pPr>
        <w:rPr>
          <w:lang w:eastAsia="en-AU"/>
        </w:rPr>
      </w:pPr>
      <w:r w:rsidRPr="00602824">
        <w:rPr>
          <w:lang w:eastAsia="en-AU"/>
        </w:rPr>
        <w:t xml:space="preserve">Stakeholders </w:t>
      </w:r>
      <w:r w:rsidR="000A2706" w:rsidRPr="00602824">
        <w:rPr>
          <w:lang w:eastAsia="en-AU"/>
        </w:rPr>
        <w:t>generally</w:t>
      </w:r>
      <w:r w:rsidRPr="00602824">
        <w:rPr>
          <w:lang w:eastAsia="en-AU"/>
        </w:rPr>
        <w:t xml:space="preserve"> acknowledged improvements in governance through the transition to the MDHTAC structure</w:t>
      </w:r>
      <w:r w:rsidR="000A2706" w:rsidRPr="00602824">
        <w:rPr>
          <w:lang w:eastAsia="en-AU"/>
        </w:rPr>
        <w:t>,</w:t>
      </w:r>
      <w:r w:rsidRPr="00602824">
        <w:rPr>
          <w:lang w:eastAsia="en-AU"/>
        </w:rPr>
        <w:t xml:space="preserve"> but some stakeholders raised concerns about transparency, efficiency, and representation. </w:t>
      </w:r>
    </w:p>
    <w:p w14:paraId="17F17D43" w14:textId="4469185F" w:rsidR="00BA30FE" w:rsidRPr="00602824" w:rsidRDefault="00BA30FE" w:rsidP="00C46AE0">
      <w:pPr>
        <w:rPr>
          <w:lang w:eastAsia="en-AU"/>
        </w:rPr>
      </w:pPr>
      <w:r w:rsidRPr="00602824">
        <w:rPr>
          <w:lang w:eastAsia="en-AU"/>
        </w:rPr>
        <w:t>The p</w:t>
      </w:r>
      <w:r w:rsidR="007E5353" w:rsidRPr="00602824">
        <w:rPr>
          <w:lang w:eastAsia="en-AU"/>
        </w:rPr>
        <w:t xml:space="preserve">rivate hospital </w:t>
      </w:r>
      <w:r w:rsidRPr="00602824">
        <w:rPr>
          <w:lang w:eastAsia="en-AU"/>
        </w:rPr>
        <w:t xml:space="preserve">sector </w:t>
      </w:r>
      <w:r w:rsidR="007E5353" w:rsidRPr="00602824">
        <w:rPr>
          <w:lang w:eastAsia="en-AU"/>
        </w:rPr>
        <w:t>noted that while broader expertise is now included, the</w:t>
      </w:r>
      <w:r w:rsidR="00C537C6" w:rsidRPr="00602824">
        <w:rPr>
          <w:lang w:eastAsia="en-AU"/>
        </w:rPr>
        <w:t>y believe that</w:t>
      </w:r>
      <w:r w:rsidR="007E5353" w:rsidRPr="00602824">
        <w:rPr>
          <w:lang w:eastAsia="en-AU"/>
        </w:rPr>
        <w:t xml:space="preserve"> </w:t>
      </w:r>
      <w:r w:rsidR="007552A9" w:rsidRPr="00602824">
        <w:rPr>
          <w:lang w:eastAsia="en-AU"/>
        </w:rPr>
        <w:t xml:space="preserve">the </w:t>
      </w:r>
      <w:r w:rsidR="007E5353" w:rsidRPr="00602824">
        <w:rPr>
          <w:lang w:eastAsia="en-AU"/>
        </w:rPr>
        <w:t xml:space="preserve">multi-layered governance </w:t>
      </w:r>
      <w:r w:rsidR="007552A9" w:rsidRPr="00602824">
        <w:rPr>
          <w:lang w:eastAsia="en-AU"/>
        </w:rPr>
        <w:t xml:space="preserve">structure </w:t>
      </w:r>
      <w:r w:rsidR="007E5353" w:rsidRPr="00602824">
        <w:rPr>
          <w:lang w:eastAsia="en-AU"/>
        </w:rPr>
        <w:t xml:space="preserve">slows decision-making and risks prioritising economic considerations over clinical value, especially for high-cost or niche devices. </w:t>
      </w:r>
    </w:p>
    <w:p w14:paraId="25C9A6D4" w14:textId="1F281710" w:rsidR="00BA30FE" w:rsidRPr="00602824" w:rsidRDefault="007E5353" w:rsidP="00C46AE0">
      <w:pPr>
        <w:rPr>
          <w:lang w:eastAsia="en-AU"/>
        </w:rPr>
      </w:pPr>
      <w:r w:rsidRPr="00602824">
        <w:rPr>
          <w:lang w:eastAsia="en-AU"/>
        </w:rPr>
        <w:t xml:space="preserve">Private health insurance </w:t>
      </w:r>
      <w:r w:rsidR="00BA30FE" w:rsidRPr="00602824">
        <w:rPr>
          <w:lang w:eastAsia="en-AU"/>
        </w:rPr>
        <w:t>representatives</w:t>
      </w:r>
      <w:r w:rsidRPr="00602824">
        <w:rPr>
          <w:lang w:eastAsia="en-AU"/>
        </w:rPr>
        <w:t xml:space="preserve"> supported the removal of commercially interested parties from MDHTAC but called for stronger </w:t>
      </w:r>
      <w:r w:rsidR="00FE6746" w:rsidRPr="00602824">
        <w:rPr>
          <w:lang w:eastAsia="en-AU"/>
        </w:rPr>
        <w:t xml:space="preserve">transparency, </w:t>
      </w:r>
      <w:r w:rsidRPr="00602824">
        <w:rPr>
          <w:lang w:eastAsia="en-AU"/>
        </w:rPr>
        <w:t xml:space="preserve">accountability and faster correction of listing errors. </w:t>
      </w:r>
    </w:p>
    <w:p w14:paraId="38756754" w14:textId="0EE5D1A4" w:rsidR="007552A9" w:rsidRPr="00602824" w:rsidRDefault="00E752E7" w:rsidP="00C46AE0">
      <w:pPr>
        <w:rPr>
          <w:lang w:eastAsia="en-AU"/>
        </w:rPr>
      </w:pPr>
      <w:r w:rsidRPr="00602824">
        <w:rPr>
          <w:lang w:eastAsia="en-AU"/>
        </w:rPr>
        <w:t>In contrast, m</w:t>
      </w:r>
      <w:r w:rsidR="007E5353" w:rsidRPr="00602824">
        <w:rPr>
          <w:lang w:eastAsia="en-AU"/>
        </w:rPr>
        <w:t xml:space="preserve">edical technology peak bodies criticised the exclusion of industry from </w:t>
      </w:r>
      <w:r w:rsidR="009074B0" w:rsidRPr="00602824">
        <w:rPr>
          <w:lang w:eastAsia="en-AU"/>
        </w:rPr>
        <w:t xml:space="preserve">attending </w:t>
      </w:r>
      <w:r w:rsidRPr="00602824">
        <w:rPr>
          <w:lang w:eastAsia="en-AU"/>
        </w:rPr>
        <w:t>governance</w:t>
      </w:r>
      <w:r w:rsidR="009074B0" w:rsidRPr="00602824">
        <w:rPr>
          <w:lang w:eastAsia="en-AU"/>
        </w:rPr>
        <w:t xml:space="preserve"> meetings</w:t>
      </w:r>
      <w:r w:rsidR="007E5353" w:rsidRPr="00602824">
        <w:rPr>
          <w:lang w:eastAsia="en-AU"/>
        </w:rPr>
        <w:t xml:space="preserve">, arguing that written feedback cannot replace dialogue and that reintroducing industry participation would </w:t>
      </w:r>
      <w:r w:rsidR="00C537C6" w:rsidRPr="00602824">
        <w:rPr>
          <w:lang w:eastAsia="en-AU"/>
        </w:rPr>
        <w:t>improve transparency</w:t>
      </w:r>
      <w:r w:rsidR="007E5353" w:rsidRPr="00602824">
        <w:rPr>
          <w:lang w:eastAsia="en-AU"/>
        </w:rPr>
        <w:t xml:space="preserve"> and confidence in the process. </w:t>
      </w:r>
    </w:p>
    <w:p w14:paraId="0A26CF67" w14:textId="4DAF5153" w:rsidR="007E5353" w:rsidRPr="00602824" w:rsidRDefault="00743B09" w:rsidP="00C46AE0">
      <w:pPr>
        <w:rPr>
          <w:lang w:eastAsia="en-AU"/>
        </w:rPr>
      </w:pPr>
      <w:r w:rsidRPr="00602824">
        <w:rPr>
          <w:lang w:eastAsia="en-AU"/>
        </w:rPr>
        <w:t>Some c</w:t>
      </w:r>
      <w:r w:rsidR="007E5353" w:rsidRPr="00602824">
        <w:rPr>
          <w:lang w:eastAsia="en-AU"/>
        </w:rPr>
        <w:t xml:space="preserve">linical representatives viewed recent changes as superficial and recommended more robust representation from professional bodies, better departmental expertise, and mechanisms to ensure timely listing post-TGA approval. </w:t>
      </w:r>
      <w:r w:rsidRPr="00602824">
        <w:rPr>
          <w:lang w:eastAsia="en-AU"/>
        </w:rPr>
        <w:t>Others were more satisfied with current arrangements, but</w:t>
      </w:r>
      <w:r w:rsidR="007E5353" w:rsidRPr="00602824">
        <w:rPr>
          <w:lang w:eastAsia="en-AU"/>
        </w:rPr>
        <w:t xml:space="preserve"> flagged issues with ECAG groupings, such as the hip and knee committee, which may </w:t>
      </w:r>
      <w:r w:rsidR="00A86597" w:rsidRPr="00602824">
        <w:rPr>
          <w:lang w:eastAsia="en-AU"/>
        </w:rPr>
        <w:t>result in less</w:t>
      </w:r>
      <w:r w:rsidR="007E5353" w:rsidRPr="00602824">
        <w:rPr>
          <w:lang w:eastAsia="en-AU"/>
        </w:rPr>
        <w:t xml:space="preserve"> relevant specialist input</w:t>
      </w:r>
      <w:r w:rsidR="00A86597" w:rsidRPr="00602824">
        <w:rPr>
          <w:lang w:eastAsia="en-AU"/>
        </w:rPr>
        <w:t xml:space="preserve"> </w:t>
      </w:r>
      <w:r w:rsidR="00467A24" w:rsidRPr="00602824">
        <w:rPr>
          <w:lang w:eastAsia="en-AU"/>
        </w:rPr>
        <w:t>on some applications</w:t>
      </w:r>
      <w:r w:rsidR="007E5353" w:rsidRPr="00602824">
        <w:rPr>
          <w:lang w:eastAsia="en-AU"/>
        </w:rPr>
        <w:t>.</w:t>
      </w:r>
    </w:p>
    <w:p w14:paraId="10F0FCD8" w14:textId="40D5720D" w:rsidR="00F828C3" w:rsidRPr="00602824" w:rsidRDefault="00F828C3" w:rsidP="00C46AE0">
      <w:pPr>
        <w:rPr>
          <w:lang w:eastAsia="en-AU"/>
        </w:rPr>
      </w:pPr>
      <w:r w:rsidRPr="00602824">
        <w:rPr>
          <w:lang w:eastAsia="en-AU"/>
        </w:rPr>
        <w:t xml:space="preserve">Stakeholder perspectives are outlined in </w:t>
      </w:r>
      <w:r w:rsidRPr="00602824">
        <w:rPr>
          <w:lang w:eastAsia="en-AU"/>
        </w:rPr>
        <w:fldChar w:fldCharType="begin"/>
      </w:r>
      <w:r w:rsidRPr="00602824">
        <w:rPr>
          <w:lang w:eastAsia="en-AU"/>
        </w:rPr>
        <w:instrText xml:space="preserve"> REF _Ref202914446 \h </w:instrText>
      </w:r>
      <w:r w:rsidRPr="00602824">
        <w:rPr>
          <w:lang w:eastAsia="en-AU"/>
        </w:rPr>
      </w:r>
      <w:r w:rsidRPr="00602824">
        <w:rPr>
          <w:lang w:eastAsia="en-AU"/>
        </w:rPr>
        <w:fldChar w:fldCharType="separate"/>
      </w:r>
      <w:r w:rsidR="00D30634" w:rsidRPr="00602824">
        <w:t xml:space="preserve">Table </w:t>
      </w:r>
      <w:r w:rsidR="00D30634">
        <w:rPr>
          <w:noProof/>
        </w:rPr>
        <w:t>15</w:t>
      </w:r>
      <w:r w:rsidRPr="00602824">
        <w:rPr>
          <w:lang w:eastAsia="en-AU"/>
        </w:rPr>
        <w:fldChar w:fldCharType="end"/>
      </w:r>
      <w:r w:rsidRPr="00602824">
        <w:rPr>
          <w:lang w:eastAsia="en-AU"/>
        </w:rPr>
        <w:t xml:space="preserve"> below.</w:t>
      </w:r>
    </w:p>
    <w:p w14:paraId="07F31C88" w14:textId="3E4789C1" w:rsidR="00F828C3" w:rsidRPr="00602824" w:rsidRDefault="00EE5FE3" w:rsidP="00B50EE7">
      <w:pPr>
        <w:pStyle w:val="Caption"/>
      </w:pPr>
      <w:bookmarkStart w:id="84" w:name="_Ref202914446"/>
      <w:r w:rsidRPr="00602824">
        <w:t xml:space="preserve">Table </w:t>
      </w:r>
      <w:r w:rsidR="002604D0">
        <w:fldChar w:fldCharType="begin"/>
      </w:r>
      <w:r w:rsidR="002604D0">
        <w:instrText xml:space="preserve"> SEQ Table \* ARABIC </w:instrText>
      </w:r>
      <w:r w:rsidR="002604D0">
        <w:fldChar w:fldCharType="separate"/>
      </w:r>
      <w:r w:rsidR="00D30634">
        <w:rPr>
          <w:noProof/>
        </w:rPr>
        <w:t>15</w:t>
      </w:r>
      <w:r w:rsidR="002604D0">
        <w:fldChar w:fldCharType="end"/>
      </w:r>
      <w:bookmarkEnd w:id="84"/>
      <w:r w:rsidRPr="00602824">
        <w:t xml:space="preserve"> | Stakeholder perspectives on PL governance arrangements</w:t>
      </w:r>
      <w:r w:rsidR="003E7D14" w:rsidRPr="00602824">
        <w:rPr>
          <w:rStyle w:val="FootnoteReference"/>
        </w:rPr>
        <w:footnoteReference w:id="98"/>
      </w:r>
    </w:p>
    <w:tbl>
      <w:tblPr>
        <w:tblStyle w:val="NOUS1"/>
        <w:tblW w:w="0" w:type="auto"/>
        <w:tblLook w:val="04A0" w:firstRow="1" w:lastRow="0" w:firstColumn="1" w:lastColumn="0" w:noHBand="0" w:noVBand="1"/>
      </w:tblPr>
      <w:tblGrid>
        <w:gridCol w:w="2252"/>
        <w:gridCol w:w="6819"/>
      </w:tblGrid>
      <w:tr w:rsidR="00F828C3" w:rsidRPr="00602824" w14:paraId="646BF8DB" w14:textId="77777777" w:rsidTr="00F828C3">
        <w:trPr>
          <w:cnfStyle w:val="100000000000" w:firstRow="1" w:lastRow="0" w:firstColumn="0" w:lastColumn="0" w:oddVBand="0" w:evenVBand="0" w:oddHBand="0" w:evenHBand="0" w:firstRowFirstColumn="0" w:firstRowLastColumn="0" w:lastRowFirstColumn="0" w:lastRowLastColumn="0"/>
        </w:trPr>
        <w:tc>
          <w:tcPr>
            <w:tcW w:w="2268" w:type="dxa"/>
          </w:tcPr>
          <w:p w14:paraId="149A4E39" w14:textId="77777777" w:rsidR="00F828C3" w:rsidRPr="00602824" w:rsidRDefault="00F828C3" w:rsidP="00FB712C">
            <w:pPr>
              <w:pStyle w:val="TableNheader"/>
              <w:keepNext w:val="0"/>
              <w:spacing w:before="60" w:after="60" w:line="240" w:lineRule="auto"/>
              <w:jc w:val="center"/>
            </w:pPr>
            <w:r w:rsidRPr="00602824">
              <w:t>Stakeholder group</w:t>
            </w:r>
          </w:p>
        </w:tc>
        <w:tc>
          <w:tcPr>
            <w:tcW w:w="6917" w:type="dxa"/>
          </w:tcPr>
          <w:p w14:paraId="7EB798C0" w14:textId="77777777" w:rsidR="00F828C3" w:rsidRPr="00602824" w:rsidRDefault="00F828C3" w:rsidP="00FB712C">
            <w:pPr>
              <w:pStyle w:val="TableNheader"/>
              <w:keepNext w:val="0"/>
              <w:spacing w:before="60" w:after="60" w:line="240" w:lineRule="auto"/>
            </w:pPr>
            <w:r w:rsidRPr="00602824">
              <w:t>Perspectives on reform project</w:t>
            </w:r>
          </w:p>
        </w:tc>
      </w:tr>
      <w:tr w:rsidR="00F828C3" w:rsidRPr="00602824" w14:paraId="03151FF5" w14:textId="77777777" w:rsidTr="00F828C3">
        <w:tc>
          <w:tcPr>
            <w:tcW w:w="2268" w:type="dxa"/>
            <w:shd w:val="clear" w:color="auto" w:fill="00264D" w:themeFill="background2"/>
          </w:tcPr>
          <w:p w14:paraId="1D36D42F" w14:textId="77777777" w:rsidR="00F828C3" w:rsidRPr="00602824" w:rsidRDefault="00F828C3" w:rsidP="00FB712C">
            <w:pPr>
              <w:pStyle w:val="TableNheader"/>
              <w:keepNext w:val="0"/>
              <w:spacing w:before="60" w:after="60" w:line="240" w:lineRule="auto"/>
              <w:jc w:val="center"/>
              <w:rPr>
                <w:color w:val="FFFFFF" w:themeColor="background1"/>
              </w:rPr>
            </w:pPr>
            <w:r w:rsidRPr="00602824">
              <w:rPr>
                <w:color w:val="FFFFFF" w:themeColor="background1"/>
              </w:rPr>
              <w:t>Private hospital sector</w:t>
            </w:r>
          </w:p>
          <w:p w14:paraId="78CCED77" w14:textId="77777777" w:rsidR="00F828C3" w:rsidRPr="00602824" w:rsidRDefault="00F828C3"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4B76B6B8" wp14:editId="244C9061">
                      <wp:extent cx="320633" cy="314696"/>
                      <wp:effectExtent l="0" t="0" r="3810" b="9525"/>
                      <wp:docPr id="1771154648" name="Freeform: Shape 1771154648"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771154648"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12549B5D">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68BEEA03" w14:textId="77777777" w:rsidR="00F828C3" w:rsidRPr="00602824" w:rsidRDefault="00F828C3" w:rsidP="00CF0326">
            <w:pPr>
              <w:pStyle w:val="TableNBullet"/>
              <w:spacing w:before="60" w:after="60"/>
            </w:pPr>
            <w:r w:rsidRPr="00602824">
              <w:t>Hospitals welcomed the shift from the Prostheses List Advisory Committee to MDHTAC, recognising the broader expertise now involved. However, concerns remain about the multi-layered governance structure, which is seen to slow decision-making.</w:t>
            </w:r>
          </w:p>
          <w:p w14:paraId="7F24519F" w14:textId="77777777" w:rsidR="00F828C3" w:rsidRPr="00602824" w:rsidRDefault="00F828C3" w:rsidP="00CF0326">
            <w:pPr>
              <w:pStyle w:val="TableNBullet"/>
              <w:spacing w:before="60" w:after="60"/>
            </w:pPr>
            <w:r w:rsidRPr="00602824">
              <w:t>Stakeholders noted that economic and pricing considerations appear to be increasingly prioritised under the guise of value-based assessment, potentially limiting access to innovative or niche devices.</w:t>
            </w:r>
          </w:p>
          <w:p w14:paraId="2F5C4D7A" w14:textId="77777777" w:rsidR="00F828C3" w:rsidRPr="00602824" w:rsidRDefault="00F828C3" w:rsidP="00CF0326">
            <w:pPr>
              <w:pStyle w:val="TableNBullet"/>
              <w:spacing w:before="60" w:after="60"/>
            </w:pPr>
            <w:r w:rsidRPr="00602824">
              <w:t>There was frustration that the rationale behind listing decisions is not publicly disclosed, making it difficult to understand or challenge inclusion and exclusion decisions.</w:t>
            </w:r>
          </w:p>
        </w:tc>
      </w:tr>
      <w:tr w:rsidR="00F828C3" w:rsidRPr="00602824" w14:paraId="0F3BA147" w14:textId="77777777" w:rsidTr="00F828C3">
        <w:tc>
          <w:tcPr>
            <w:tcW w:w="2268" w:type="dxa"/>
            <w:shd w:val="clear" w:color="auto" w:fill="00264D" w:themeFill="background2"/>
          </w:tcPr>
          <w:p w14:paraId="5C77BD4A" w14:textId="77777777" w:rsidR="00F828C3" w:rsidRPr="00602824" w:rsidRDefault="00F828C3" w:rsidP="00FB712C">
            <w:pPr>
              <w:pStyle w:val="TableNheader"/>
              <w:keepNext w:val="0"/>
              <w:spacing w:before="60" w:after="60" w:line="240" w:lineRule="auto"/>
              <w:jc w:val="center"/>
              <w:rPr>
                <w:color w:val="FFFFFF" w:themeColor="background1"/>
              </w:rPr>
            </w:pPr>
            <w:r w:rsidRPr="00602824">
              <w:rPr>
                <w:color w:val="FFFFFF" w:themeColor="background1"/>
              </w:rPr>
              <w:t>Private health insurance representatives</w:t>
            </w:r>
          </w:p>
          <w:p w14:paraId="04ADEF63" w14:textId="77777777" w:rsidR="00F828C3" w:rsidRPr="00602824" w:rsidRDefault="00F828C3" w:rsidP="00FB712C">
            <w:pPr>
              <w:pStyle w:val="TableNheader"/>
              <w:keepNext w:val="0"/>
              <w:spacing w:before="60" w:after="60" w:line="240" w:lineRule="auto"/>
              <w:jc w:val="center"/>
              <w:rPr>
                <w:color w:val="FFFFFF" w:themeColor="background1"/>
              </w:rPr>
            </w:pPr>
            <w:r w:rsidRPr="00AC7E3F">
              <w:rPr>
                <w:i/>
                <w:iCs/>
                <w:noProof/>
              </w:rPr>
              <w:lastRenderedPageBreak/>
              <mc:AlternateContent>
                <mc:Choice Requires="wps">
                  <w:drawing>
                    <wp:inline distT="0" distB="0" distL="0" distR="0" wp14:anchorId="284BA36B" wp14:editId="78C912F7">
                      <wp:extent cx="292311" cy="292311"/>
                      <wp:effectExtent l="0" t="0" r="0" b="0"/>
                      <wp:docPr id="148898851" name="Freeform: Shape 148898851"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48898851"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1F1708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1FC54A29" w14:textId="77777777" w:rsidR="00F828C3" w:rsidRPr="00602824" w:rsidRDefault="00F828C3" w:rsidP="00CF0326">
            <w:pPr>
              <w:pStyle w:val="TableNBullet"/>
              <w:spacing w:before="60" w:after="60"/>
            </w:pPr>
            <w:r w:rsidRPr="00602824">
              <w:lastRenderedPageBreak/>
              <w:t xml:space="preserve">Insurers reported that listing decisions lack transparency, limiting their ability to understand key cost drivers. While they accepted the removal of insurers and </w:t>
            </w:r>
            <w:r w:rsidRPr="00602824">
              <w:lastRenderedPageBreak/>
              <w:t>hospitals from MDHTAC due to perceived conflicts of interest, they stressed that funds should still have visibility over key inputs into decision-making.</w:t>
            </w:r>
          </w:p>
          <w:p w14:paraId="6EBACC47" w14:textId="77777777" w:rsidR="00F828C3" w:rsidRPr="00602824" w:rsidRDefault="00F828C3" w:rsidP="00CF0326">
            <w:pPr>
              <w:pStyle w:val="TableNBullet"/>
              <w:spacing w:before="60" w:after="60"/>
            </w:pPr>
            <w:r w:rsidRPr="00602824">
              <w:t>They called for stronger Departmental accountability and greater transparency from MDHTAC and ECAGs to ensure listing decisions are aligned with HTA principles and can be appropriately reviewed if errors occur.</w:t>
            </w:r>
          </w:p>
        </w:tc>
      </w:tr>
      <w:tr w:rsidR="00F828C3" w:rsidRPr="00602824" w14:paraId="24906C02" w14:textId="77777777" w:rsidTr="00F828C3">
        <w:tc>
          <w:tcPr>
            <w:tcW w:w="2268" w:type="dxa"/>
            <w:shd w:val="clear" w:color="auto" w:fill="00264D" w:themeFill="background2"/>
          </w:tcPr>
          <w:p w14:paraId="7DA6E067" w14:textId="77777777" w:rsidR="00F828C3" w:rsidRPr="00602824" w:rsidRDefault="00F828C3" w:rsidP="00FB712C">
            <w:pPr>
              <w:pStyle w:val="TableNheader"/>
              <w:keepNext w:val="0"/>
              <w:spacing w:before="60" w:after="60" w:line="240" w:lineRule="auto"/>
              <w:jc w:val="center"/>
              <w:rPr>
                <w:color w:val="FFFFFF" w:themeColor="background1"/>
              </w:rPr>
            </w:pPr>
            <w:r w:rsidRPr="00602824">
              <w:rPr>
                <w:color w:val="FFFFFF" w:themeColor="background1"/>
              </w:rPr>
              <w:lastRenderedPageBreak/>
              <w:t>Medical technology representatives</w:t>
            </w:r>
          </w:p>
          <w:p w14:paraId="29922A57" w14:textId="77777777" w:rsidR="00F828C3" w:rsidRPr="00602824" w:rsidRDefault="00F828C3" w:rsidP="00FB712C">
            <w:pPr>
              <w:pStyle w:val="TableNheader"/>
              <w:keepNext w:val="0"/>
              <w:spacing w:before="60" w:after="60" w:line="240" w:lineRule="auto"/>
              <w:jc w:val="center"/>
              <w:rPr>
                <w:color w:val="FFFFFF" w:themeColor="background1"/>
              </w:rPr>
            </w:pPr>
            <w:r w:rsidRPr="00AC7E3F">
              <w:rPr>
                <w:i/>
                <w:iCs/>
                <w:noProof/>
              </w:rPr>
              <w:drawing>
                <wp:inline distT="0" distB="0" distL="0" distR="0" wp14:anchorId="54E9786D" wp14:editId="1BBDE09D">
                  <wp:extent cx="309245" cy="336734"/>
                  <wp:effectExtent l="0" t="0" r="0" b="6350"/>
                  <wp:docPr id="1068657052" name="Graphic 1068657052"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676F09CB" w14:textId="77777777" w:rsidR="00F828C3" w:rsidRPr="00602824" w:rsidRDefault="00F828C3" w:rsidP="00CF0326">
            <w:pPr>
              <w:pStyle w:val="TableNBullet"/>
              <w:spacing w:before="60" w:after="60"/>
            </w:pPr>
            <w:r w:rsidRPr="00602824">
              <w:t>Industry stakeholders raised concerns about being excluded from advisory groups and MDHTAC, limiting their ability to clarify or respond to issues from a device perspective.</w:t>
            </w:r>
          </w:p>
          <w:p w14:paraId="29D7A7CF" w14:textId="77777777" w:rsidR="00F828C3" w:rsidRPr="00602824" w:rsidRDefault="00F828C3" w:rsidP="00CF0326">
            <w:pPr>
              <w:pStyle w:val="TableNBullet"/>
              <w:spacing w:before="60" w:after="60"/>
            </w:pPr>
            <w:r w:rsidRPr="00602824">
              <w:t>Written feedback on MDHTAC papers was seen as inadequate compared to direct participation, particularly when misunderstandings arise.</w:t>
            </w:r>
          </w:p>
          <w:p w14:paraId="514D7BBA" w14:textId="77777777" w:rsidR="00F828C3" w:rsidRPr="00602824" w:rsidRDefault="00F828C3" w:rsidP="00CF0326">
            <w:pPr>
              <w:pStyle w:val="TableNBullet"/>
              <w:spacing w:before="60" w:after="60"/>
            </w:pPr>
            <w:r w:rsidRPr="00602824">
              <w:t>They argued that industry involvement is critical for providing technical input, especially in contentious discussions. Increased transparency and opportunities to observe or present to committees would help rebuild confidence.</w:t>
            </w:r>
          </w:p>
        </w:tc>
      </w:tr>
      <w:tr w:rsidR="00F828C3" w:rsidRPr="00602824" w14:paraId="70BADB29" w14:textId="77777777" w:rsidTr="00F828C3">
        <w:tc>
          <w:tcPr>
            <w:tcW w:w="2268" w:type="dxa"/>
            <w:shd w:val="clear" w:color="auto" w:fill="00264D" w:themeFill="background2"/>
          </w:tcPr>
          <w:p w14:paraId="538C4F9C" w14:textId="77777777" w:rsidR="00F828C3" w:rsidRPr="00602824" w:rsidRDefault="00F828C3" w:rsidP="00FB712C">
            <w:pPr>
              <w:pStyle w:val="TableNheader"/>
              <w:keepNext w:val="0"/>
              <w:spacing w:before="60" w:after="60" w:line="240" w:lineRule="auto"/>
              <w:jc w:val="center"/>
              <w:rPr>
                <w:color w:val="FFFFFF" w:themeColor="background1"/>
              </w:rPr>
            </w:pPr>
            <w:r w:rsidRPr="00602824">
              <w:rPr>
                <w:color w:val="FFFFFF" w:themeColor="background1"/>
              </w:rPr>
              <w:t>Clinician representatives</w:t>
            </w:r>
          </w:p>
          <w:p w14:paraId="776B5761" w14:textId="77777777" w:rsidR="00F828C3" w:rsidRPr="00602824" w:rsidRDefault="00F828C3" w:rsidP="00FB712C">
            <w:pPr>
              <w:pStyle w:val="TableNheader"/>
              <w:keepNext w:val="0"/>
              <w:spacing w:before="60" w:after="60" w:line="240" w:lineRule="auto"/>
              <w:jc w:val="center"/>
              <w:rPr>
                <w:color w:val="FFFFFF" w:themeColor="background1"/>
              </w:rPr>
            </w:pPr>
            <w:r w:rsidRPr="00AC7E3F">
              <w:rPr>
                <w:noProof/>
              </w:rPr>
              <w:drawing>
                <wp:inline distT="0" distB="0" distL="0" distR="0" wp14:anchorId="5E5EB9E8" wp14:editId="730ECF12">
                  <wp:extent cx="267970" cy="323215"/>
                  <wp:effectExtent l="0" t="0" r="0" b="635"/>
                  <wp:docPr id="2118437420"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6C042D21" w14:textId="77777777" w:rsidR="00F828C3" w:rsidRPr="00602824" w:rsidRDefault="00F828C3" w:rsidP="00CF0326">
            <w:pPr>
              <w:pStyle w:val="TableNBullet"/>
              <w:spacing w:before="60" w:after="60"/>
            </w:pPr>
            <w:r w:rsidRPr="00602824">
              <w:t>Clinicians felt current governance reforms were superficial and advocated for further changes to ensure robustness and appropriate professional representation, including input from peak bodies.</w:t>
            </w:r>
          </w:p>
          <w:p w14:paraId="774445CB" w14:textId="77777777" w:rsidR="00F828C3" w:rsidRPr="00602824" w:rsidRDefault="00F828C3" w:rsidP="00CF0326">
            <w:pPr>
              <w:pStyle w:val="TableNBullet"/>
              <w:spacing w:before="60" w:after="60"/>
            </w:pPr>
            <w:r w:rsidRPr="00602824">
              <w:t>Concerns were raised about the structure of some ECAGs (e.g. combining hip and knee expertise), which may limit relevant input and reduce meeting attendance by specialists.</w:t>
            </w:r>
          </w:p>
          <w:p w14:paraId="113671DD" w14:textId="79B5773D" w:rsidR="00F828C3" w:rsidRPr="00602824" w:rsidRDefault="00F828C3" w:rsidP="00CF0326">
            <w:pPr>
              <w:pStyle w:val="TableNBullet"/>
              <w:spacing w:before="60" w:after="60"/>
            </w:pPr>
            <w:r w:rsidRPr="00602824">
              <w:t xml:space="preserve">They recommended establishing a review mechanism for listed items and prices to reflect technological advances and clinical </w:t>
            </w:r>
            <w:r w:rsidR="004A357C" w:rsidRPr="00602824">
              <w:t>data and</w:t>
            </w:r>
            <w:r w:rsidRPr="00602824">
              <w:t xml:space="preserve"> stressed the importance of timely PL listing for TGA-approved items to avoid access gaps between public and private systems.</w:t>
            </w:r>
          </w:p>
        </w:tc>
      </w:tr>
    </w:tbl>
    <w:p w14:paraId="153C89A3" w14:textId="12CFB035" w:rsidR="007B2B5B" w:rsidRPr="00602824" w:rsidRDefault="007B2B5B" w:rsidP="007B2B5B">
      <w:pPr>
        <w:pStyle w:val="Heading2"/>
      </w:pPr>
      <w:bookmarkStart w:id="85" w:name="_Toc164439321"/>
      <w:bookmarkStart w:id="86" w:name="_Toc181405094"/>
      <w:bookmarkStart w:id="87" w:name="_Ref202376441"/>
      <w:bookmarkStart w:id="88" w:name="_Toc209176974"/>
      <w:r w:rsidRPr="00602824">
        <w:t>Objective 7: Develop and implement PL</w:t>
      </w:r>
      <w:r w:rsidR="00A87542" w:rsidRPr="00602824">
        <w:t xml:space="preserve"> post-</w:t>
      </w:r>
      <w:r w:rsidRPr="00602824">
        <w:t>listing reviews and PL compliance frameworks to safeguard the PL Reforms</w:t>
      </w:r>
      <w:bookmarkEnd w:id="85"/>
      <w:bookmarkEnd w:id="86"/>
      <w:bookmarkEnd w:id="87"/>
      <w:bookmarkEnd w:id="88"/>
    </w:p>
    <w:p w14:paraId="4E78FDE4" w14:textId="77777777" w:rsidR="007B2B5B" w:rsidRPr="00602824" w:rsidRDefault="007B2B5B" w:rsidP="007B2B5B">
      <w:pPr>
        <w:rPr>
          <w:i/>
          <w:iCs/>
          <w:lang w:eastAsia="en-AU"/>
        </w:rPr>
      </w:pPr>
      <w:r w:rsidRPr="00602824">
        <w:rPr>
          <w:i/>
          <w:iCs/>
          <w:lang w:eastAsia="en-AU"/>
        </w:rPr>
        <w:t>This section considers developments related to post-listing reviews, including the implementation of a guiding framework and pilot reviews. This section also considers the implementation of a compliance strategy and associated compliance activities. It documents the types of compliance activities conducted and summarises stakeholder perspectives on the reform project.</w:t>
      </w:r>
    </w:p>
    <w:p w14:paraId="12B0FF34" w14:textId="24D3A8CD" w:rsidR="007B2B5B" w:rsidRPr="00602824" w:rsidRDefault="007B2B5B" w:rsidP="00B50EE7">
      <w:pPr>
        <w:pStyle w:val="Caption"/>
      </w:pPr>
      <w:r w:rsidRPr="00602824">
        <w:t xml:space="preserve">Figure </w:t>
      </w:r>
      <w:r w:rsidR="002604D0">
        <w:fldChar w:fldCharType="begin"/>
      </w:r>
      <w:r w:rsidR="002604D0">
        <w:instrText xml:space="preserve"> SEQ Figure \* ARABIC </w:instrText>
      </w:r>
      <w:r w:rsidR="002604D0">
        <w:fldChar w:fldCharType="separate"/>
      </w:r>
      <w:r w:rsidR="00D30634">
        <w:rPr>
          <w:noProof/>
        </w:rPr>
        <w:t>25</w:t>
      </w:r>
      <w:r w:rsidR="002604D0">
        <w:fldChar w:fldCharType="end"/>
      </w:r>
      <w:r w:rsidRPr="00602824">
        <w:t xml:space="preserve"> | Reform projects related to reform objective 7</w:t>
      </w:r>
    </w:p>
    <w:p w14:paraId="2B3B2C88" w14:textId="77777777" w:rsidR="007B2B5B" w:rsidRPr="00602824" w:rsidRDefault="007B2B5B" w:rsidP="007B2B5B">
      <w:r w:rsidRPr="00AC7E3F">
        <w:rPr>
          <w:noProof/>
        </w:rPr>
        <w:drawing>
          <wp:inline distT="0" distB="0" distL="0" distR="0" wp14:anchorId="1828318E" wp14:editId="3B01821E">
            <wp:extent cx="5758004" cy="1030605"/>
            <wp:effectExtent l="0" t="0" r="0" b="0"/>
            <wp:docPr id="462301194" name="Picture 1" descr="A figure showing Objective 7. PL listing reviews and PL compliance frameworks connected to two reform projects. The projects are post-listing reviews and compli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01194" name="Picture 1" descr="A figure showing Objective 7. PL listing reviews and PL compliance frameworks connected to two reform projects. The projects are post-listing reviews and compliance activities."/>
                    <pic:cNvPicPr/>
                  </pic:nvPicPr>
                  <pic:blipFill>
                    <a:blip r:embed="rId50"/>
                    <a:stretch>
                      <a:fillRect/>
                    </a:stretch>
                  </pic:blipFill>
                  <pic:spPr>
                    <a:xfrm>
                      <a:off x="0" y="0"/>
                      <a:ext cx="5759202" cy="1030819"/>
                    </a:xfrm>
                    <a:prstGeom prst="rect">
                      <a:avLst/>
                    </a:prstGeom>
                  </pic:spPr>
                </pic:pic>
              </a:graphicData>
            </a:graphic>
          </wp:inline>
        </w:drawing>
      </w:r>
    </w:p>
    <w:p w14:paraId="5ECB6BCD" w14:textId="275E52D8" w:rsidR="007C1880" w:rsidRPr="00602824" w:rsidRDefault="007C1880" w:rsidP="00FB712C">
      <w:pPr>
        <w:pStyle w:val="Heading3"/>
        <w:spacing w:before="300"/>
      </w:pPr>
      <w:r w:rsidRPr="00602824">
        <w:lastRenderedPageBreak/>
        <w:t xml:space="preserve">Implementation progress </w:t>
      </w:r>
      <w:r w:rsidR="00EA7573" w:rsidRPr="00602824">
        <w:t>(a</w:t>
      </w:r>
      <w:r w:rsidR="00015D9F" w:rsidRPr="00602824">
        <w:t>)</w:t>
      </w:r>
      <w:r w:rsidRPr="00602824">
        <w:t xml:space="preserve">: </w:t>
      </w:r>
      <w:r w:rsidR="00015D9F" w:rsidRPr="00602824">
        <w:t>p</w:t>
      </w:r>
      <w:r w:rsidRPr="00602824">
        <w:t xml:space="preserve">ost-listing reviews  </w:t>
      </w:r>
    </w:p>
    <w:tbl>
      <w:tblPr>
        <w:tblStyle w:val="NOUSSideHeader4"/>
        <w:tblW w:w="0" w:type="auto"/>
        <w:tblLook w:val="04A0" w:firstRow="1" w:lastRow="0" w:firstColumn="1" w:lastColumn="0" w:noHBand="0" w:noVBand="1"/>
      </w:tblPr>
      <w:tblGrid>
        <w:gridCol w:w="9061"/>
      </w:tblGrid>
      <w:tr w:rsidR="007C1880" w:rsidRPr="00602824" w14:paraId="62EFD47E" w14:textId="77777777" w:rsidTr="00995A88">
        <w:trPr>
          <w:cnfStyle w:val="100000000000" w:firstRow="1" w:lastRow="0" w:firstColumn="0" w:lastColumn="0" w:oddVBand="0" w:evenVBand="0" w:oddHBand="0" w:evenHBand="0" w:firstRowFirstColumn="0" w:firstRowLastColumn="0" w:lastRowFirstColumn="0" w:lastRowLastColumn="0"/>
        </w:trPr>
        <w:tc>
          <w:tcPr>
            <w:tcW w:w="9061" w:type="dxa"/>
          </w:tcPr>
          <w:p w14:paraId="5ED1E47E" w14:textId="376A17F0" w:rsidR="007C1880" w:rsidRPr="00602824" w:rsidRDefault="007C1880" w:rsidP="00FB712C">
            <w:r w:rsidRPr="00602824">
              <w:t xml:space="preserve">A listing decision for the PL is made based on the available </w:t>
            </w:r>
            <w:r w:rsidR="00525849" w:rsidRPr="00602824">
              <w:t xml:space="preserve">evidence and clinical context at the time of assessment. Over time, new information about a device may become available creating uncertainty about the eligibility or benefits payable for a device. </w:t>
            </w:r>
            <w:r w:rsidR="00C52006" w:rsidRPr="00602824">
              <w:t>Post listing reviews assess the comparative clinical and cost effectiveness of a device, evaluating the evidence of its benefits and determining whether it continues to meet current eligibility criteria for listing on the PL.</w:t>
            </w:r>
          </w:p>
          <w:p w14:paraId="3CF37582" w14:textId="3AC74942" w:rsidR="007C1880" w:rsidRPr="00602824" w:rsidRDefault="00525849" w:rsidP="00FB712C">
            <w:r w:rsidRPr="00602824">
              <w:t xml:space="preserve">As outlined in </w:t>
            </w:r>
            <w:r w:rsidRPr="00602824">
              <w:rPr>
                <w:i/>
              </w:rPr>
              <w:t xml:space="preserve">Interim Evaluation </w:t>
            </w:r>
            <w:r w:rsidR="00E46892" w:rsidRPr="00602824">
              <w:rPr>
                <w:i/>
                <w:iCs/>
              </w:rPr>
              <w:t>#</w:t>
            </w:r>
            <w:r w:rsidRPr="00602824">
              <w:rPr>
                <w:i/>
              </w:rPr>
              <w:t>1</w:t>
            </w:r>
            <w:r w:rsidR="00E46892" w:rsidRPr="00602824">
              <w:rPr>
                <w:i/>
                <w:iCs/>
              </w:rPr>
              <w:t xml:space="preserve"> report</w:t>
            </w:r>
            <w:r w:rsidRPr="00602824">
              <w:t>, post-listing reviews were piloted through the reforms</w:t>
            </w:r>
            <w:r w:rsidR="0019709A" w:rsidRPr="00602824">
              <w:t xml:space="preserve">. Of these four </w:t>
            </w:r>
            <w:r w:rsidR="0042349D" w:rsidRPr="00602824">
              <w:t xml:space="preserve">pilot reviews, two were completed in the past period and two are ongoing. The Department also released </w:t>
            </w:r>
            <w:r w:rsidR="0011626E" w:rsidRPr="00602824">
              <w:t>an updated post-listing review framework</w:t>
            </w:r>
            <w:r w:rsidR="00FA1EDA" w:rsidRPr="00602824">
              <w:t xml:space="preserve"> in December 2024</w:t>
            </w:r>
            <w:r w:rsidR="00453E0C" w:rsidRPr="00602824">
              <w:t xml:space="preserve">, updating the post-listing review framework </w:t>
            </w:r>
            <w:r w:rsidR="003C0264" w:rsidRPr="00602824">
              <w:t xml:space="preserve">released </w:t>
            </w:r>
            <w:r w:rsidR="00453E0C" w:rsidRPr="00602824">
              <w:t>on 1 July 2022</w:t>
            </w:r>
            <w:r w:rsidR="003C0264" w:rsidRPr="00602824">
              <w:t xml:space="preserve">, </w:t>
            </w:r>
            <w:r w:rsidR="00902134" w:rsidRPr="00602824">
              <w:t>to incorporate their learnings, clarify their processes and promote consistency of these reviews.</w:t>
            </w:r>
            <w:r w:rsidR="000C655E" w:rsidRPr="00602824">
              <w:rPr>
                <w:rStyle w:val="FootnoteReference"/>
              </w:rPr>
              <w:footnoteReference w:id="99"/>
            </w:r>
            <w:r w:rsidR="00902134" w:rsidRPr="00602824">
              <w:t xml:space="preserve"> </w:t>
            </w:r>
          </w:p>
        </w:tc>
      </w:tr>
    </w:tbl>
    <w:p w14:paraId="0D230CFF" w14:textId="77777777" w:rsidR="005E1B3D" w:rsidRPr="00602824" w:rsidRDefault="005E1B3D" w:rsidP="00FB712C">
      <w:pPr>
        <w:pStyle w:val="Heading3"/>
        <w:spacing w:before="300"/>
      </w:pPr>
      <w:r w:rsidRPr="00602824">
        <w:t>The review process has been resource-intensive and sometimes lengthy</w:t>
      </w:r>
    </w:p>
    <w:p w14:paraId="4951FE64" w14:textId="34EA5885" w:rsidR="001B5FBC" w:rsidRPr="00602824" w:rsidRDefault="00DF1D34" w:rsidP="005E1B3D">
      <w:r w:rsidRPr="00602824">
        <w:t xml:space="preserve">Two of the four pilot reviews were completed </w:t>
      </w:r>
      <w:r w:rsidR="009B3DD7" w:rsidRPr="00602824">
        <w:t xml:space="preserve">in </w:t>
      </w:r>
      <w:r w:rsidR="0006184E" w:rsidRPr="00602824">
        <w:t xml:space="preserve">2023, taking seven months and eight months respectively. The two remaining reviews </w:t>
      </w:r>
      <w:r w:rsidR="001248F6" w:rsidRPr="00602824">
        <w:t>were still underway in June 20</w:t>
      </w:r>
      <w:r w:rsidR="00B565B6" w:rsidRPr="00602824">
        <w:t>2</w:t>
      </w:r>
      <w:r w:rsidR="001248F6" w:rsidRPr="00602824">
        <w:t xml:space="preserve">5, having </w:t>
      </w:r>
      <w:r w:rsidR="005D5C9E" w:rsidRPr="00602824">
        <w:t>so far taken</w:t>
      </w:r>
      <w:r w:rsidR="001B5FBC" w:rsidRPr="00602824">
        <w:t xml:space="preserve"> </w:t>
      </w:r>
      <w:r w:rsidR="0025535D">
        <w:t>two</w:t>
      </w:r>
      <w:r w:rsidR="001B5FBC" w:rsidRPr="00602824">
        <w:t xml:space="preserve"> years and </w:t>
      </w:r>
      <w:r w:rsidR="0025535D">
        <w:t>nine</w:t>
      </w:r>
      <w:r w:rsidR="001B5FBC" w:rsidRPr="00602824">
        <w:t xml:space="preserve"> months each. </w:t>
      </w:r>
      <w:r w:rsidR="00466F19" w:rsidRPr="00602824">
        <w:fldChar w:fldCharType="begin"/>
      </w:r>
      <w:r w:rsidR="00466F19" w:rsidRPr="00602824">
        <w:instrText xml:space="preserve"> REF _Ref202920177 \h </w:instrText>
      </w:r>
      <w:r w:rsidR="00466F19" w:rsidRPr="00602824">
        <w:fldChar w:fldCharType="separate"/>
      </w:r>
      <w:r w:rsidR="00D30634" w:rsidRPr="00602824">
        <w:t xml:space="preserve">Table </w:t>
      </w:r>
      <w:r w:rsidR="00D30634">
        <w:rPr>
          <w:noProof/>
        </w:rPr>
        <w:t>16</w:t>
      </w:r>
      <w:r w:rsidR="00466F19" w:rsidRPr="00602824">
        <w:fldChar w:fldCharType="end"/>
      </w:r>
      <w:r w:rsidR="006C0025" w:rsidRPr="00602824">
        <w:t xml:space="preserve"> provides details of progress and outcomes</w:t>
      </w:r>
      <w:r w:rsidR="00014B2F" w:rsidRPr="00602824">
        <w:t xml:space="preserve"> of the four </w:t>
      </w:r>
      <w:r w:rsidR="003323E6" w:rsidRPr="00602824">
        <w:t>post-listing</w:t>
      </w:r>
      <w:r w:rsidR="00014B2F" w:rsidRPr="00602824">
        <w:t xml:space="preserve"> reviews.</w:t>
      </w:r>
    </w:p>
    <w:p w14:paraId="20C1FF20" w14:textId="48677A4D" w:rsidR="003C05B3" w:rsidRPr="00602824" w:rsidRDefault="00C40B88" w:rsidP="00227CEF">
      <w:r w:rsidRPr="00602824">
        <w:t xml:space="preserve">The </w:t>
      </w:r>
      <w:r w:rsidR="00857BD7" w:rsidRPr="00602824">
        <w:t>primary reason</w:t>
      </w:r>
      <w:r w:rsidR="00B126E9" w:rsidRPr="00602824">
        <w:t>s</w:t>
      </w:r>
      <w:r w:rsidR="00857BD7" w:rsidRPr="00602824">
        <w:t xml:space="preserve"> for the </w:t>
      </w:r>
      <w:r w:rsidR="00B126E9" w:rsidRPr="00602824">
        <w:t xml:space="preserve">length of the reviews appear to be </w:t>
      </w:r>
      <w:r w:rsidR="005E1B3D" w:rsidRPr="00602824">
        <w:t>changes in staffing, upskilling staff</w:t>
      </w:r>
      <w:r w:rsidR="00B126E9" w:rsidRPr="00602824">
        <w:t xml:space="preserve"> and</w:t>
      </w:r>
      <w:r w:rsidR="005E1B3D" w:rsidRPr="00602824">
        <w:t xml:space="preserve"> the complexity of </w:t>
      </w:r>
      <w:r w:rsidR="00B126E9" w:rsidRPr="00602824">
        <w:t xml:space="preserve">the </w:t>
      </w:r>
      <w:r w:rsidR="005E1B3D" w:rsidRPr="00602824">
        <w:t>stakeholder engagement, particularly with clinical stakeholders</w:t>
      </w:r>
      <w:r w:rsidR="00A43A17" w:rsidRPr="00602824">
        <w:t>.</w:t>
      </w:r>
      <w:r w:rsidR="00CC5603">
        <w:t xml:space="preserve"> </w:t>
      </w:r>
      <w:r w:rsidR="005E1B3D" w:rsidRPr="00602824">
        <w:t xml:space="preserve">The benefit setting stage is </w:t>
      </w:r>
      <w:r w:rsidR="00DE722D" w:rsidRPr="00602824">
        <w:t>sensitive in relation to cost effectiveness</w:t>
      </w:r>
      <w:r w:rsidR="005E1B3D" w:rsidRPr="00602824">
        <w:t xml:space="preserve">. </w:t>
      </w:r>
    </w:p>
    <w:p w14:paraId="53939218" w14:textId="3E4EFEDE" w:rsidR="0014429A" w:rsidRPr="00602824" w:rsidRDefault="000B154F" w:rsidP="00227CEF">
      <w:r w:rsidRPr="00602824">
        <w:t>Many</w:t>
      </w:r>
      <w:r w:rsidR="0014429A" w:rsidRPr="00602824">
        <w:t xml:space="preserve"> s</w:t>
      </w:r>
      <w:r w:rsidR="009D6DF3" w:rsidRPr="00602824">
        <w:t xml:space="preserve">takeholders have expressed frustration at the length of the </w:t>
      </w:r>
      <w:r w:rsidR="00490809" w:rsidRPr="00602824">
        <w:t xml:space="preserve">post-listing review </w:t>
      </w:r>
      <w:r w:rsidR="009D6DF3" w:rsidRPr="00602824">
        <w:t xml:space="preserve">process. </w:t>
      </w:r>
      <w:r w:rsidR="003C05B3" w:rsidRPr="00602824">
        <w:t>One of the issues highlighted about the length of the reviews is t</w:t>
      </w:r>
      <w:r w:rsidR="00227CEF" w:rsidRPr="00602824">
        <w:t>he state of uncertainty</w:t>
      </w:r>
      <w:r w:rsidR="00873786" w:rsidRPr="00602824">
        <w:t xml:space="preserve"> </w:t>
      </w:r>
      <w:r w:rsidR="00A930E2" w:rsidRPr="00602824">
        <w:t xml:space="preserve">and </w:t>
      </w:r>
      <w:r w:rsidR="00227CEF" w:rsidRPr="00602824">
        <w:t xml:space="preserve">disruption in clinical practice </w:t>
      </w:r>
      <w:r w:rsidR="00873786" w:rsidRPr="00602824">
        <w:t>that occurs</w:t>
      </w:r>
      <w:r w:rsidR="00227CEF" w:rsidRPr="00602824">
        <w:t xml:space="preserve"> when these reviews are underway</w:t>
      </w:r>
      <w:r w:rsidR="003C05B3" w:rsidRPr="00602824">
        <w:t>.</w:t>
      </w:r>
      <w:r w:rsidR="00227CEF" w:rsidRPr="00602824">
        <w:t xml:space="preserve"> There</w:t>
      </w:r>
      <w:r w:rsidR="003C05B3" w:rsidRPr="00602824">
        <w:t xml:space="preserve"> is undoubtedly</w:t>
      </w:r>
      <w:r w:rsidR="00227CEF" w:rsidRPr="00602824">
        <w:t xml:space="preserve"> a cost to </w:t>
      </w:r>
      <w:r w:rsidR="003C05B3" w:rsidRPr="00602824">
        <w:t>reviews</w:t>
      </w:r>
      <w:r w:rsidR="00227CEF" w:rsidRPr="00602824">
        <w:t xml:space="preserve"> </w:t>
      </w:r>
      <w:r w:rsidR="0035008F" w:rsidRPr="00602824">
        <w:t>taking a long time</w:t>
      </w:r>
      <w:r w:rsidR="003C4D78" w:rsidRPr="00602824">
        <w:t xml:space="preserve"> as the uncertainty u</w:t>
      </w:r>
      <w:r w:rsidR="00227CEF" w:rsidRPr="00602824">
        <w:t xml:space="preserve">ndermines the </w:t>
      </w:r>
      <w:r w:rsidR="003C4D78" w:rsidRPr="00602824">
        <w:t>existence</w:t>
      </w:r>
      <w:r w:rsidR="00227CEF" w:rsidRPr="00602824">
        <w:t xml:space="preserve"> of the PL mechanism </w:t>
      </w:r>
      <w:r w:rsidR="003C4D78" w:rsidRPr="00602824">
        <w:t>which locks in</w:t>
      </w:r>
      <w:r w:rsidR="00227CEF" w:rsidRPr="00602824">
        <w:t xml:space="preserve"> clinical choice</w:t>
      </w:r>
      <w:r w:rsidR="006A7D64" w:rsidRPr="00602824">
        <w:t xml:space="preserve"> so that </w:t>
      </w:r>
      <w:r w:rsidR="00533E4E" w:rsidRPr="00602824">
        <w:t>hospitals</w:t>
      </w:r>
      <w:r w:rsidR="00B01FF2" w:rsidRPr="00602824">
        <w:t xml:space="preserve"> and </w:t>
      </w:r>
      <w:r w:rsidR="00533E4E" w:rsidRPr="00602824">
        <w:t>surgeons can adapt their practice</w:t>
      </w:r>
      <w:r w:rsidR="00E52162" w:rsidRPr="00602824">
        <w:t xml:space="preserve"> and</w:t>
      </w:r>
      <w:r w:rsidR="00533E4E" w:rsidRPr="00602824">
        <w:t xml:space="preserve"> training to the </w:t>
      </w:r>
      <w:r w:rsidR="00E52162" w:rsidRPr="00602824">
        <w:t>listed devices.</w:t>
      </w:r>
      <w:r w:rsidR="000237A8" w:rsidRPr="00602824">
        <w:t xml:space="preserve"> </w:t>
      </w:r>
      <w:r w:rsidR="0014429A" w:rsidRPr="00602824">
        <w:t xml:space="preserve">By contrast, </w:t>
      </w:r>
      <w:r w:rsidRPr="00602824">
        <w:t>some stakeholders support a more deliberate and comprehensive review process, despite the time involved, as it better reflects the complexity of assessing comparative clinical and cost effectiveness relative to other medical interventions. This approach aligns with standard practice for other types of post-market reviews, which are similarly extensive.</w:t>
      </w:r>
    </w:p>
    <w:p w14:paraId="467C943A" w14:textId="51213BE1" w:rsidR="00DD3273" w:rsidRPr="00602824" w:rsidRDefault="009E18FD" w:rsidP="00B31795">
      <w:r w:rsidRPr="00602824">
        <w:t xml:space="preserve">Shortening the process </w:t>
      </w:r>
      <w:r w:rsidR="00937611" w:rsidRPr="00602824">
        <w:t>is heavily</w:t>
      </w:r>
      <w:r w:rsidRPr="00602824">
        <w:t xml:space="preserve"> dependent on more resources being available. </w:t>
      </w:r>
      <w:r w:rsidR="0010320D">
        <w:t>T</w:t>
      </w:r>
      <w:r w:rsidR="0010320D" w:rsidRPr="0010320D">
        <w:t>he efficient cost of post listing reviews was not recovered from sponsors during the PL reform period</w:t>
      </w:r>
      <w:r w:rsidR="001F5DE8" w:rsidRPr="00602824">
        <w:t>.</w:t>
      </w:r>
      <w:r w:rsidR="008773AE" w:rsidRPr="00602824">
        <w:rPr>
          <w:rStyle w:val="FootnoteReference"/>
        </w:rPr>
        <w:footnoteReference w:id="100"/>
      </w:r>
      <w:r w:rsidR="003C2DDB" w:rsidRPr="00602824">
        <w:t xml:space="preserve"> </w:t>
      </w:r>
      <w:r w:rsidR="002B1EC4" w:rsidRPr="00602824">
        <w:t xml:space="preserve">From 1 July 2025, </w:t>
      </w:r>
      <w:r w:rsidR="00E05ECC" w:rsidRPr="00602824">
        <w:t xml:space="preserve">industry will be charged for the cost of the reviews, with </w:t>
      </w:r>
      <w:r w:rsidR="002B1EC4" w:rsidRPr="00602824">
        <w:t xml:space="preserve">the levy is set to increase from $150 to $355 per device </w:t>
      </w:r>
      <w:r w:rsidR="00E05ECC" w:rsidRPr="00602824">
        <w:t xml:space="preserve">to </w:t>
      </w:r>
      <w:r w:rsidR="002B1EC4" w:rsidRPr="00602824">
        <w:t xml:space="preserve">include </w:t>
      </w:r>
      <w:r w:rsidR="00E05ECC" w:rsidRPr="00602824">
        <w:t>compliance</w:t>
      </w:r>
      <w:r w:rsidR="002B1EC4" w:rsidRPr="00602824">
        <w:t xml:space="preserve"> </w:t>
      </w:r>
      <w:r w:rsidR="00E05ECC" w:rsidRPr="00602824">
        <w:t xml:space="preserve">and </w:t>
      </w:r>
      <w:r w:rsidR="002B1EC4" w:rsidRPr="00602824">
        <w:t>post listing review costs</w:t>
      </w:r>
      <w:r w:rsidR="00400130">
        <w:t>, as well as increased IT costs</w:t>
      </w:r>
      <w:r w:rsidR="00704942" w:rsidRPr="00602824">
        <w:t>.</w:t>
      </w:r>
      <w:r w:rsidR="00704942" w:rsidRPr="00602824">
        <w:rPr>
          <w:rStyle w:val="FootnoteReference"/>
        </w:rPr>
        <w:footnoteReference w:id="101"/>
      </w:r>
    </w:p>
    <w:p w14:paraId="31D8437E" w14:textId="11C3F1B5" w:rsidR="00FC7015" w:rsidRPr="00602824" w:rsidRDefault="00FC7015" w:rsidP="00B31795">
      <w:pPr>
        <w:sectPr w:rsidR="00FC7015" w:rsidRPr="00602824" w:rsidSect="00414946">
          <w:pgSz w:w="11907" w:h="16839" w:code="9"/>
          <w:pgMar w:top="1418" w:right="1418" w:bottom="1560" w:left="1418" w:header="720" w:footer="720" w:gutter="0"/>
          <w:cols w:space="720"/>
          <w:docGrid w:linePitch="360"/>
        </w:sectPr>
      </w:pPr>
    </w:p>
    <w:p w14:paraId="14184674" w14:textId="0846A888" w:rsidR="009D36A6" w:rsidRPr="00602824" w:rsidRDefault="004823A7" w:rsidP="00FB712C">
      <w:pPr>
        <w:pStyle w:val="Caption"/>
        <w:spacing w:before="120"/>
      </w:pPr>
      <w:bookmarkStart w:id="89" w:name="_Ref202920177"/>
      <w:r w:rsidRPr="00602824">
        <w:lastRenderedPageBreak/>
        <w:t>Table</w:t>
      </w:r>
      <w:r w:rsidR="009D36A6" w:rsidRPr="00602824">
        <w:t xml:space="preserve"> </w:t>
      </w:r>
      <w:r w:rsidR="002604D0">
        <w:fldChar w:fldCharType="begin"/>
      </w:r>
      <w:r w:rsidR="002604D0">
        <w:instrText xml:space="preserve"> SEQ Table \* ARABIC </w:instrText>
      </w:r>
      <w:r w:rsidR="002604D0">
        <w:fldChar w:fldCharType="separate"/>
      </w:r>
      <w:r w:rsidR="00D30634">
        <w:rPr>
          <w:noProof/>
        </w:rPr>
        <w:t>16</w:t>
      </w:r>
      <w:r w:rsidR="002604D0">
        <w:fldChar w:fldCharType="end"/>
      </w:r>
      <w:bookmarkEnd w:id="89"/>
      <w:r w:rsidR="009D36A6" w:rsidRPr="00602824">
        <w:t xml:space="preserve"> | Summary of pilot post-listing reviews</w:t>
      </w:r>
    </w:p>
    <w:tbl>
      <w:tblPr>
        <w:tblStyle w:val="NOUS1"/>
        <w:tblW w:w="0" w:type="auto"/>
        <w:tblLook w:val="04A0" w:firstRow="1" w:lastRow="0" w:firstColumn="1" w:lastColumn="0" w:noHBand="0" w:noVBand="1"/>
      </w:tblPr>
      <w:tblGrid>
        <w:gridCol w:w="1610"/>
        <w:gridCol w:w="1528"/>
        <w:gridCol w:w="2763"/>
        <w:gridCol w:w="1754"/>
        <w:gridCol w:w="2946"/>
        <w:gridCol w:w="3290"/>
      </w:tblGrid>
      <w:tr w:rsidR="00CB6CC3" w:rsidRPr="00602824" w14:paraId="0B0BF764" w14:textId="77777777" w:rsidTr="00AD33E8">
        <w:trPr>
          <w:cnfStyle w:val="100000000000" w:firstRow="1" w:lastRow="0" w:firstColumn="0" w:lastColumn="0" w:oddVBand="0" w:evenVBand="0" w:oddHBand="0" w:evenHBand="0" w:firstRowFirstColumn="0" w:firstRowLastColumn="0" w:lastRowFirstColumn="0" w:lastRowLastColumn="0"/>
        </w:trPr>
        <w:tc>
          <w:tcPr>
            <w:tcW w:w="1610" w:type="dxa"/>
          </w:tcPr>
          <w:p w14:paraId="66D7BDF4" w14:textId="00E31A07" w:rsidR="00993178" w:rsidRPr="00602824" w:rsidRDefault="00993178" w:rsidP="00FB712C">
            <w:pPr>
              <w:spacing w:before="40" w:after="40"/>
              <w:outlineLvl w:val="4"/>
              <w:rPr>
                <w:rFonts w:ascii="Segoe UI Semibold" w:eastAsia="Times New Roman" w:hAnsi="Segoe UI Semibold" w:cs="Times New Roman"/>
                <w:sz w:val="18"/>
                <w:szCs w:val="24"/>
                <w:lang w:eastAsia="en-AU"/>
              </w:rPr>
            </w:pPr>
            <w:r w:rsidRPr="00602824">
              <w:rPr>
                <w:rFonts w:ascii="Segoe UI Semibold" w:eastAsia="Times New Roman" w:hAnsi="Segoe UI Semibold" w:cs="Times New Roman"/>
                <w:sz w:val="18"/>
                <w:szCs w:val="24"/>
                <w:lang w:eastAsia="en-AU"/>
              </w:rPr>
              <w:t xml:space="preserve">PL </w:t>
            </w:r>
            <w:r w:rsidR="000464D0" w:rsidRPr="00602824">
              <w:rPr>
                <w:rFonts w:ascii="Segoe UI Semibold" w:eastAsia="Times New Roman" w:hAnsi="Segoe UI Semibold" w:cs="Times New Roman"/>
                <w:sz w:val="18"/>
                <w:szCs w:val="24"/>
                <w:lang w:eastAsia="en-AU"/>
              </w:rPr>
              <w:t xml:space="preserve">review </w:t>
            </w:r>
          </w:p>
        </w:tc>
        <w:tc>
          <w:tcPr>
            <w:tcW w:w="1528" w:type="dxa"/>
          </w:tcPr>
          <w:p w14:paraId="7D9F2276" w14:textId="77777777" w:rsidR="00993178" w:rsidRPr="00602824" w:rsidRDefault="00993178" w:rsidP="00FB712C">
            <w:pPr>
              <w:spacing w:before="40" w:after="40"/>
              <w:outlineLvl w:val="4"/>
              <w:rPr>
                <w:rFonts w:ascii="Segoe UI Semibold" w:eastAsia="Times New Roman" w:hAnsi="Segoe UI Semibold" w:cs="Times New Roman"/>
                <w:sz w:val="18"/>
                <w:szCs w:val="24"/>
                <w:lang w:eastAsia="en-AU"/>
              </w:rPr>
            </w:pPr>
            <w:r w:rsidRPr="00602824">
              <w:rPr>
                <w:rFonts w:ascii="Segoe UI Semibold" w:eastAsia="Times New Roman" w:hAnsi="Segoe UI Semibold" w:cs="Times New Roman"/>
                <w:sz w:val="18"/>
                <w:szCs w:val="24"/>
                <w:lang w:eastAsia="en-AU"/>
              </w:rPr>
              <w:t>Duration</w:t>
            </w:r>
          </w:p>
        </w:tc>
        <w:tc>
          <w:tcPr>
            <w:tcW w:w="2763" w:type="dxa"/>
          </w:tcPr>
          <w:p w14:paraId="5CFA0D7D" w14:textId="77777777" w:rsidR="00993178" w:rsidRPr="00602824" w:rsidRDefault="00993178" w:rsidP="00FB712C">
            <w:pPr>
              <w:spacing w:before="40" w:after="40"/>
              <w:outlineLvl w:val="4"/>
              <w:rPr>
                <w:rFonts w:ascii="Segoe UI Semibold" w:eastAsia="Times New Roman" w:hAnsi="Segoe UI Semibold" w:cs="Times New Roman"/>
                <w:sz w:val="18"/>
                <w:szCs w:val="24"/>
                <w:lang w:eastAsia="en-AU"/>
              </w:rPr>
            </w:pPr>
            <w:r w:rsidRPr="00602824">
              <w:rPr>
                <w:rFonts w:ascii="Segoe UI Semibold" w:eastAsia="Times New Roman" w:hAnsi="Segoe UI Semibold" w:cs="Times New Roman"/>
                <w:sz w:val="18"/>
                <w:szCs w:val="24"/>
                <w:lang w:eastAsia="en-AU"/>
              </w:rPr>
              <w:t xml:space="preserve">Purpose </w:t>
            </w:r>
          </w:p>
        </w:tc>
        <w:tc>
          <w:tcPr>
            <w:tcW w:w="1754" w:type="dxa"/>
          </w:tcPr>
          <w:p w14:paraId="7FE461BA" w14:textId="77777777" w:rsidR="00993178" w:rsidRPr="00602824" w:rsidRDefault="00993178" w:rsidP="00FB712C">
            <w:pPr>
              <w:spacing w:before="40" w:after="40"/>
              <w:outlineLvl w:val="4"/>
              <w:rPr>
                <w:rFonts w:ascii="Segoe UI Semibold" w:eastAsia="Times New Roman" w:hAnsi="Segoe UI Semibold" w:cs="Times New Roman"/>
                <w:sz w:val="18"/>
                <w:szCs w:val="24"/>
                <w:lang w:eastAsia="en-AU"/>
              </w:rPr>
            </w:pPr>
            <w:r w:rsidRPr="00602824">
              <w:rPr>
                <w:rFonts w:ascii="Segoe UI Semibold" w:eastAsia="Times New Roman" w:hAnsi="Segoe UI Semibold" w:cs="Times New Roman"/>
                <w:sz w:val="18"/>
                <w:szCs w:val="24"/>
                <w:lang w:eastAsia="en-AU"/>
              </w:rPr>
              <w:t xml:space="preserve">Review(s) </w:t>
            </w:r>
          </w:p>
        </w:tc>
        <w:tc>
          <w:tcPr>
            <w:tcW w:w="2946" w:type="dxa"/>
          </w:tcPr>
          <w:p w14:paraId="77861D4B" w14:textId="77777777" w:rsidR="00993178" w:rsidRPr="00602824" w:rsidRDefault="00993178" w:rsidP="00FB712C">
            <w:pPr>
              <w:spacing w:before="40" w:after="40"/>
              <w:outlineLvl w:val="4"/>
              <w:rPr>
                <w:rFonts w:ascii="Segoe UI Semibold" w:eastAsia="Times New Roman" w:hAnsi="Segoe UI Semibold" w:cs="Times New Roman"/>
                <w:sz w:val="18"/>
                <w:szCs w:val="24"/>
                <w:lang w:eastAsia="en-AU"/>
              </w:rPr>
            </w:pPr>
            <w:r w:rsidRPr="00602824">
              <w:rPr>
                <w:rFonts w:ascii="Segoe UI Semibold" w:eastAsia="Times New Roman" w:hAnsi="Segoe UI Semibold" w:cs="Times New Roman"/>
                <w:sz w:val="18"/>
                <w:szCs w:val="24"/>
                <w:lang w:eastAsia="en-AU"/>
              </w:rPr>
              <w:t>Key finding</w:t>
            </w:r>
          </w:p>
        </w:tc>
        <w:tc>
          <w:tcPr>
            <w:tcW w:w="3290" w:type="dxa"/>
          </w:tcPr>
          <w:p w14:paraId="6F1EC8D8" w14:textId="77777777" w:rsidR="00993178" w:rsidRPr="00602824" w:rsidRDefault="00993178" w:rsidP="00FB712C">
            <w:pPr>
              <w:spacing w:before="40" w:after="40"/>
              <w:outlineLvl w:val="4"/>
              <w:rPr>
                <w:rFonts w:ascii="Segoe UI Semibold" w:eastAsia="Times New Roman" w:hAnsi="Segoe UI Semibold" w:cs="Times New Roman"/>
                <w:sz w:val="18"/>
                <w:szCs w:val="24"/>
                <w:lang w:eastAsia="en-AU"/>
              </w:rPr>
            </w:pPr>
            <w:r w:rsidRPr="00602824">
              <w:rPr>
                <w:rFonts w:ascii="Segoe UI Semibold" w:eastAsia="Times New Roman" w:hAnsi="Segoe UI Semibold" w:cs="Times New Roman"/>
                <w:sz w:val="18"/>
                <w:szCs w:val="24"/>
                <w:lang w:eastAsia="en-AU"/>
              </w:rPr>
              <w:t xml:space="preserve">Outcome </w:t>
            </w:r>
          </w:p>
        </w:tc>
      </w:tr>
      <w:tr w:rsidR="000464D0" w:rsidRPr="00602824" w14:paraId="1085FCEF" w14:textId="77777777" w:rsidTr="00AD33E8">
        <w:tc>
          <w:tcPr>
            <w:tcW w:w="1610" w:type="dxa"/>
          </w:tcPr>
          <w:p w14:paraId="651E609D" w14:textId="77777777" w:rsidR="00993178" w:rsidRPr="00602824" w:rsidRDefault="00993178" w:rsidP="00FB712C">
            <w:pPr>
              <w:pStyle w:val="TableNText"/>
              <w:keepNext w:val="0"/>
              <w:spacing w:line="240" w:lineRule="auto"/>
              <w:rPr>
                <w:rFonts w:asciiTheme="majorHAnsi" w:hAnsiTheme="majorHAnsi" w:cstheme="majorHAnsi"/>
                <w:sz w:val="16"/>
                <w:szCs w:val="16"/>
              </w:rPr>
            </w:pPr>
            <w:r w:rsidRPr="00602824">
              <w:rPr>
                <w:rFonts w:asciiTheme="majorHAnsi" w:hAnsiTheme="majorHAnsi" w:cstheme="majorHAnsi"/>
                <w:sz w:val="16"/>
                <w:szCs w:val="16"/>
              </w:rPr>
              <w:t xml:space="preserve">Metal-backed patellae (MBP) </w:t>
            </w:r>
          </w:p>
        </w:tc>
        <w:tc>
          <w:tcPr>
            <w:tcW w:w="1528" w:type="dxa"/>
          </w:tcPr>
          <w:p w14:paraId="596D4418" w14:textId="09334185" w:rsidR="00993178" w:rsidRPr="00602824" w:rsidRDefault="00D05145" w:rsidP="00FB712C">
            <w:pPr>
              <w:pStyle w:val="TableNText"/>
              <w:keepNext w:val="0"/>
              <w:spacing w:line="240" w:lineRule="auto"/>
              <w:rPr>
                <w:sz w:val="16"/>
                <w:szCs w:val="16"/>
              </w:rPr>
            </w:pPr>
            <w:r>
              <w:rPr>
                <w:sz w:val="16"/>
                <w:szCs w:val="16"/>
              </w:rPr>
              <w:t>Seven</w:t>
            </w:r>
            <w:r w:rsidR="00993178" w:rsidRPr="00602824">
              <w:rPr>
                <w:sz w:val="16"/>
                <w:szCs w:val="16"/>
              </w:rPr>
              <w:t xml:space="preserve"> months</w:t>
            </w:r>
          </w:p>
          <w:p w14:paraId="4FDA3D7C" w14:textId="77777777" w:rsidR="00993178" w:rsidRPr="00602824" w:rsidRDefault="00993178" w:rsidP="00FB712C">
            <w:pPr>
              <w:pStyle w:val="TableNText"/>
              <w:keepNext w:val="0"/>
              <w:spacing w:line="240" w:lineRule="auto"/>
              <w:rPr>
                <w:sz w:val="16"/>
                <w:szCs w:val="16"/>
              </w:rPr>
            </w:pPr>
            <w:r w:rsidRPr="00602824">
              <w:rPr>
                <w:sz w:val="16"/>
                <w:szCs w:val="16"/>
              </w:rPr>
              <w:t xml:space="preserve">(August 2022 – March 2023) </w:t>
            </w:r>
          </w:p>
        </w:tc>
        <w:tc>
          <w:tcPr>
            <w:tcW w:w="2763" w:type="dxa"/>
          </w:tcPr>
          <w:p w14:paraId="0275A60D" w14:textId="77777777" w:rsidR="00993178" w:rsidRPr="00602824" w:rsidRDefault="00993178" w:rsidP="00FB712C">
            <w:pPr>
              <w:pStyle w:val="TableNText"/>
              <w:keepNext w:val="0"/>
              <w:spacing w:line="240" w:lineRule="auto"/>
              <w:rPr>
                <w:sz w:val="16"/>
                <w:szCs w:val="16"/>
              </w:rPr>
            </w:pPr>
            <w:r w:rsidRPr="00602824">
              <w:rPr>
                <w:sz w:val="16"/>
                <w:szCs w:val="16"/>
              </w:rPr>
              <w:t>To compare comparative clinical effectiveness and cost-effectiveness of MBP compared to all-polyethylene patellae (APP), as MBP attracted higher benefit amounts despite reported inferior safety and performance.</w:t>
            </w:r>
            <w:r w:rsidRPr="00602824">
              <w:rPr>
                <w:rFonts w:cstheme="minorHAnsi"/>
                <w:sz w:val="16"/>
                <w:szCs w:val="16"/>
                <w:vertAlign w:val="superscript"/>
              </w:rPr>
              <w:footnoteReference w:id="102"/>
            </w:r>
            <w:r w:rsidRPr="00602824">
              <w:rPr>
                <w:sz w:val="16"/>
                <w:szCs w:val="16"/>
              </w:rPr>
              <w:t xml:space="preserve">  </w:t>
            </w:r>
          </w:p>
        </w:tc>
        <w:tc>
          <w:tcPr>
            <w:tcW w:w="1754" w:type="dxa"/>
          </w:tcPr>
          <w:p w14:paraId="766FF8B1" w14:textId="77777777" w:rsidR="00993178" w:rsidRPr="00602824" w:rsidRDefault="00993178" w:rsidP="00FB712C">
            <w:pPr>
              <w:pStyle w:val="TableNText"/>
              <w:keepNext w:val="0"/>
              <w:spacing w:line="240" w:lineRule="auto"/>
              <w:rPr>
                <w:sz w:val="16"/>
                <w:szCs w:val="16"/>
              </w:rPr>
            </w:pPr>
            <w:r w:rsidRPr="00602824">
              <w:rPr>
                <w:sz w:val="16"/>
                <w:szCs w:val="16"/>
              </w:rPr>
              <w:t>Internal department review with advice from former Knee Prostheses Clinical Advisory Group (KPCAG).</w:t>
            </w:r>
          </w:p>
        </w:tc>
        <w:tc>
          <w:tcPr>
            <w:tcW w:w="2946" w:type="dxa"/>
          </w:tcPr>
          <w:p w14:paraId="40A49271" w14:textId="77777777" w:rsidR="00993178" w:rsidRPr="00602824" w:rsidRDefault="00993178" w:rsidP="00FB712C">
            <w:pPr>
              <w:pStyle w:val="TableNText"/>
              <w:keepNext w:val="0"/>
              <w:spacing w:line="240" w:lineRule="auto"/>
              <w:rPr>
                <w:sz w:val="16"/>
                <w:szCs w:val="16"/>
              </w:rPr>
            </w:pPr>
            <w:r w:rsidRPr="00602824">
              <w:rPr>
                <w:sz w:val="16"/>
                <w:szCs w:val="16"/>
              </w:rPr>
              <w:t xml:space="preserve">Based on available evidence, there should be no benefit difference between MBP and APP. </w:t>
            </w:r>
          </w:p>
        </w:tc>
        <w:tc>
          <w:tcPr>
            <w:tcW w:w="3290" w:type="dxa"/>
          </w:tcPr>
          <w:p w14:paraId="0492D870" w14:textId="77777777" w:rsidR="00993178" w:rsidRPr="00602824" w:rsidRDefault="00993178" w:rsidP="00FB712C">
            <w:pPr>
              <w:pStyle w:val="TableNText"/>
              <w:keepNext w:val="0"/>
              <w:spacing w:line="240" w:lineRule="auto"/>
              <w:rPr>
                <w:sz w:val="16"/>
                <w:szCs w:val="16"/>
              </w:rPr>
            </w:pPr>
            <w:r w:rsidRPr="00602824">
              <w:rPr>
                <w:rFonts w:cstheme="majorBidi"/>
                <w:sz w:val="16"/>
                <w:szCs w:val="16"/>
              </w:rPr>
              <w:t>March 2023 –</w:t>
            </w:r>
            <w:r w:rsidRPr="00602824">
              <w:rPr>
                <w:sz w:val="16"/>
                <w:szCs w:val="16"/>
              </w:rPr>
              <w:t xml:space="preserve"> The PL benefit for MPP was reduced to the PL benefit assigned to APP.   </w:t>
            </w:r>
          </w:p>
        </w:tc>
      </w:tr>
      <w:tr w:rsidR="000464D0" w:rsidRPr="00602824" w14:paraId="403808C7" w14:textId="77777777" w:rsidTr="00AD33E8">
        <w:tc>
          <w:tcPr>
            <w:tcW w:w="1610" w:type="dxa"/>
          </w:tcPr>
          <w:p w14:paraId="7F4511CC" w14:textId="77777777" w:rsidR="00993178" w:rsidRPr="00602824" w:rsidRDefault="00993178" w:rsidP="00FB712C">
            <w:pPr>
              <w:pStyle w:val="TableNText"/>
              <w:keepNext w:val="0"/>
              <w:spacing w:line="240" w:lineRule="auto"/>
              <w:rPr>
                <w:rFonts w:asciiTheme="majorHAnsi" w:hAnsiTheme="majorHAnsi" w:cstheme="majorHAnsi"/>
                <w:sz w:val="16"/>
                <w:szCs w:val="16"/>
              </w:rPr>
            </w:pPr>
            <w:r w:rsidRPr="00602824">
              <w:rPr>
                <w:rFonts w:asciiTheme="majorHAnsi" w:hAnsiTheme="majorHAnsi" w:cstheme="majorHAnsi"/>
                <w:sz w:val="16"/>
                <w:szCs w:val="16"/>
              </w:rPr>
              <w:t>Surgical guides and biomodels</w:t>
            </w:r>
          </w:p>
        </w:tc>
        <w:tc>
          <w:tcPr>
            <w:tcW w:w="1528" w:type="dxa"/>
          </w:tcPr>
          <w:p w14:paraId="17C8A910" w14:textId="77777777" w:rsidR="00993178" w:rsidRPr="00602824" w:rsidRDefault="00993178" w:rsidP="00FB712C">
            <w:pPr>
              <w:pStyle w:val="TableNText"/>
              <w:keepNext w:val="0"/>
              <w:spacing w:line="240" w:lineRule="auto"/>
              <w:rPr>
                <w:sz w:val="16"/>
                <w:szCs w:val="16"/>
              </w:rPr>
            </w:pPr>
            <w:r w:rsidRPr="00602824">
              <w:rPr>
                <w:rFonts w:asciiTheme="majorHAnsi" w:hAnsiTheme="majorHAnsi" w:cstheme="majorHAnsi"/>
                <w:color w:val="F25E21" w:themeColor="accent2"/>
                <w:sz w:val="16"/>
                <w:szCs w:val="16"/>
              </w:rPr>
              <w:t xml:space="preserve">Ongoing </w:t>
            </w:r>
            <w:r w:rsidRPr="00602824">
              <w:rPr>
                <w:sz w:val="16"/>
                <w:szCs w:val="16"/>
              </w:rPr>
              <w:t>(September 2022 – Present)</w:t>
            </w:r>
            <w:r w:rsidRPr="00602824">
              <w:rPr>
                <w:b/>
                <w:sz w:val="16"/>
                <w:szCs w:val="16"/>
              </w:rPr>
              <w:t xml:space="preserve"> </w:t>
            </w:r>
          </w:p>
        </w:tc>
        <w:tc>
          <w:tcPr>
            <w:tcW w:w="2763" w:type="dxa"/>
          </w:tcPr>
          <w:p w14:paraId="080A784C" w14:textId="77777777" w:rsidR="00993178" w:rsidRPr="00602824" w:rsidRDefault="00993178" w:rsidP="00FB712C">
            <w:pPr>
              <w:pStyle w:val="TableNText"/>
              <w:keepNext w:val="0"/>
              <w:spacing w:line="240" w:lineRule="auto"/>
              <w:rPr>
                <w:sz w:val="16"/>
                <w:szCs w:val="16"/>
              </w:rPr>
            </w:pPr>
            <w:r w:rsidRPr="00602824">
              <w:rPr>
                <w:sz w:val="16"/>
                <w:szCs w:val="16"/>
              </w:rPr>
              <w:t>To review rapid growth in use of surgical guides and biomodels, reports of overuse and inappropriate use, uncertainty about eligibility on the PL and comparative clinical effectiveness and cost effectiveness.</w:t>
            </w:r>
            <w:r w:rsidRPr="00602824">
              <w:rPr>
                <w:rFonts w:cstheme="minorHAnsi"/>
                <w:sz w:val="16"/>
                <w:szCs w:val="16"/>
                <w:vertAlign w:val="superscript"/>
              </w:rPr>
              <w:footnoteReference w:id="103"/>
            </w:r>
          </w:p>
        </w:tc>
        <w:tc>
          <w:tcPr>
            <w:tcW w:w="1754" w:type="dxa"/>
          </w:tcPr>
          <w:p w14:paraId="14B5B8E7" w14:textId="77777777" w:rsidR="00993178" w:rsidRPr="00602824" w:rsidRDefault="00993178" w:rsidP="00FB712C">
            <w:pPr>
              <w:pStyle w:val="TableNText"/>
              <w:keepNext w:val="0"/>
              <w:spacing w:line="240" w:lineRule="auto"/>
              <w:rPr>
                <w:sz w:val="16"/>
                <w:szCs w:val="16"/>
              </w:rPr>
            </w:pPr>
            <w:r w:rsidRPr="00602824">
              <w:rPr>
                <w:sz w:val="16"/>
                <w:szCs w:val="16"/>
              </w:rPr>
              <w:t>Stage 1: Health Technology Assessment (HTA) through an external provider</w:t>
            </w:r>
          </w:p>
          <w:p w14:paraId="1A833FBA" w14:textId="77777777" w:rsidR="00993178" w:rsidRPr="00602824" w:rsidRDefault="00993178" w:rsidP="00FB712C">
            <w:pPr>
              <w:pStyle w:val="TableNText"/>
              <w:keepNext w:val="0"/>
              <w:spacing w:line="240" w:lineRule="auto"/>
              <w:rPr>
                <w:sz w:val="16"/>
                <w:szCs w:val="16"/>
              </w:rPr>
            </w:pPr>
            <w:r w:rsidRPr="00602824">
              <w:rPr>
                <w:sz w:val="16"/>
                <w:szCs w:val="16"/>
              </w:rPr>
              <w:t xml:space="preserve">Stage 2: Comparative economic analysis  </w:t>
            </w:r>
          </w:p>
        </w:tc>
        <w:tc>
          <w:tcPr>
            <w:tcW w:w="2946" w:type="dxa"/>
          </w:tcPr>
          <w:p w14:paraId="383072D3" w14:textId="77777777" w:rsidR="00993178" w:rsidRPr="00602824" w:rsidRDefault="00993178" w:rsidP="00FB712C">
            <w:pPr>
              <w:pStyle w:val="TableNText"/>
              <w:keepNext w:val="0"/>
              <w:spacing w:line="240" w:lineRule="auto"/>
              <w:rPr>
                <w:sz w:val="16"/>
                <w:szCs w:val="16"/>
              </w:rPr>
            </w:pPr>
            <w:r w:rsidRPr="00602824">
              <w:rPr>
                <w:sz w:val="16"/>
                <w:szCs w:val="16"/>
              </w:rPr>
              <w:t>Stage 1: Surgical guides and biomodels are clinically effective when used for insertion of a medical device in complex craniomaxillofacial surgery, however there is insufficient evidence to support the listings for other types of surgeries.</w:t>
            </w:r>
          </w:p>
        </w:tc>
        <w:tc>
          <w:tcPr>
            <w:tcW w:w="3290" w:type="dxa"/>
          </w:tcPr>
          <w:p w14:paraId="35B1E198" w14:textId="00C01E1D" w:rsidR="00993178" w:rsidRPr="00602824" w:rsidRDefault="00993178" w:rsidP="00FB712C">
            <w:pPr>
              <w:pStyle w:val="TableNText"/>
              <w:keepNext w:val="0"/>
              <w:spacing w:line="240" w:lineRule="auto"/>
              <w:rPr>
                <w:sz w:val="16"/>
                <w:szCs w:val="16"/>
              </w:rPr>
            </w:pPr>
            <w:r w:rsidRPr="00602824">
              <w:rPr>
                <w:rFonts w:cstheme="majorBidi"/>
                <w:sz w:val="16"/>
                <w:szCs w:val="16"/>
              </w:rPr>
              <w:t>November 2023 –</w:t>
            </w:r>
            <w:r w:rsidRPr="00602824">
              <w:rPr>
                <w:sz w:val="16"/>
                <w:szCs w:val="16"/>
              </w:rPr>
              <w:t xml:space="preserve"> Stage 1 – A implement a new condition to PL reimbursement: limit use to craniomaxillofacial procedures and restrict the total to six benefits per procedure</w:t>
            </w:r>
            <w:r w:rsidRPr="00602824">
              <w:rPr>
                <w:rFonts w:cstheme="minorHAnsi"/>
                <w:sz w:val="16"/>
                <w:szCs w:val="16"/>
                <w:vertAlign w:val="superscript"/>
              </w:rPr>
              <w:footnoteReference w:id="104"/>
            </w:r>
            <w:r w:rsidRPr="00602824">
              <w:rPr>
                <w:sz w:val="16"/>
                <w:szCs w:val="16"/>
              </w:rPr>
              <w:t xml:space="preserve"> (From 1 </w:t>
            </w:r>
            <w:r w:rsidR="000464D0" w:rsidRPr="00602824">
              <w:rPr>
                <w:sz w:val="16"/>
                <w:szCs w:val="16"/>
              </w:rPr>
              <w:t>February</w:t>
            </w:r>
            <w:r w:rsidRPr="00602824">
              <w:rPr>
                <w:sz w:val="16"/>
                <w:szCs w:val="16"/>
              </w:rPr>
              <w:t xml:space="preserve"> 2024).</w:t>
            </w:r>
          </w:p>
          <w:p w14:paraId="04284F00" w14:textId="77777777" w:rsidR="00993178" w:rsidRPr="00602824" w:rsidRDefault="00993178" w:rsidP="00FB712C">
            <w:pPr>
              <w:pStyle w:val="TableNText"/>
              <w:keepNext w:val="0"/>
              <w:spacing w:line="240" w:lineRule="auto"/>
              <w:rPr>
                <w:sz w:val="16"/>
                <w:szCs w:val="16"/>
              </w:rPr>
            </w:pPr>
          </w:p>
          <w:p w14:paraId="196B711E" w14:textId="77777777" w:rsidR="00993178" w:rsidRPr="00602824" w:rsidRDefault="00993178" w:rsidP="00FB712C">
            <w:pPr>
              <w:pStyle w:val="TableNText"/>
              <w:keepNext w:val="0"/>
              <w:spacing w:line="240" w:lineRule="auto"/>
              <w:rPr>
                <w:sz w:val="16"/>
                <w:szCs w:val="16"/>
              </w:rPr>
            </w:pPr>
            <w:r w:rsidRPr="00602824">
              <w:rPr>
                <w:sz w:val="16"/>
                <w:szCs w:val="16"/>
              </w:rPr>
              <w:t>Review of the condition presented to MDHTAC for advice May 2025.</w:t>
            </w:r>
          </w:p>
          <w:p w14:paraId="49DF55A1" w14:textId="77777777" w:rsidR="00993178" w:rsidRPr="00602824" w:rsidRDefault="00993178" w:rsidP="00FB712C">
            <w:pPr>
              <w:pStyle w:val="TableNText"/>
              <w:keepNext w:val="0"/>
              <w:spacing w:line="240" w:lineRule="auto"/>
              <w:rPr>
                <w:sz w:val="16"/>
                <w:szCs w:val="16"/>
              </w:rPr>
            </w:pPr>
          </w:p>
          <w:p w14:paraId="17E4D124" w14:textId="77777777" w:rsidR="00993178" w:rsidRPr="00602824" w:rsidRDefault="00993178" w:rsidP="00FB712C">
            <w:pPr>
              <w:pStyle w:val="TableNText"/>
              <w:keepNext w:val="0"/>
              <w:spacing w:line="240" w:lineRule="auto"/>
              <w:rPr>
                <w:rFonts w:cstheme="majorBidi"/>
                <w:sz w:val="16"/>
                <w:szCs w:val="16"/>
              </w:rPr>
            </w:pPr>
            <w:r w:rsidRPr="00602824">
              <w:rPr>
                <w:sz w:val="16"/>
                <w:szCs w:val="16"/>
              </w:rPr>
              <w:t xml:space="preserve">Stage 2: </w:t>
            </w:r>
            <w:proofErr w:type="spellStart"/>
            <w:r w:rsidRPr="00602824">
              <w:rPr>
                <w:sz w:val="16"/>
                <w:szCs w:val="16"/>
              </w:rPr>
              <w:t>Hereco</w:t>
            </w:r>
            <w:proofErr w:type="spellEnd"/>
            <w:r w:rsidRPr="00602824">
              <w:rPr>
                <w:sz w:val="16"/>
                <w:szCs w:val="16"/>
              </w:rPr>
              <w:t xml:space="preserve"> report to the department to inform Stage 2 received 5 June 2025.</w:t>
            </w:r>
          </w:p>
        </w:tc>
      </w:tr>
      <w:tr w:rsidR="00AC23EF" w:rsidRPr="00602824" w14:paraId="4EC076EA" w14:textId="77777777" w:rsidTr="00AD33E8">
        <w:tc>
          <w:tcPr>
            <w:tcW w:w="1610" w:type="dxa"/>
          </w:tcPr>
          <w:p w14:paraId="40B584B2" w14:textId="77777777" w:rsidR="00993178" w:rsidRPr="00602824" w:rsidRDefault="00993178" w:rsidP="00FB712C">
            <w:pPr>
              <w:pStyle w:val="TableNText"/>
              <w:keepNext w:val="0"/>
              <w:spacing w:line="240" w:lineRule="auto"/>
              <w:rPr>
                <w:rFonts w:asciiTheme="majorHAnsi" w:hAnsiTheme="majorHAnsi" w:cstheme="majorHAnsi"/>
                <w:sz w:val="16"/>
                <w:szCs w:val="16"/>
              </w:rPr>
            </w:pPr>
            <w:r w:rsidRPr="00602824">
              <w:rPr>
                <w:rFonts w:asciiTheme="majorHAnsi" w:hAnsiTheme="majorHAnsi" w:cstheme="majorHAnsi"/>
                <w:sz w:val="16"/>
                <w:szCs w:val="16"/>
              </w:rPr>
              <w:t xml:space="preserve">Spinal cord stimulators </w:t>
            </w:r>
          </w:p>
        </w:tc>
        <w:tc>
          <w:tcPr>
            <w:tcW w:w="1528" w:type="dxa"/>
          </w:tcPr>
          <w:p w14:paraId="0EB088AB" w14:textId="77777777" w:rsidR="00993178" w:rsidRPr="00602824" w:rsidRDefault="00993178" w:rsidP="00FB712C">
            <w:pPr>
              <w:pStyle w:val="TableNText"/>
              <w:keepNext w:val="0"/>
              <w:spacing w:line="240" w:lineRule="auto"/>
              <w:rPr>
                <w:rFonts w:asciiTheme="majorHAnsi" w:hAnsiTheme="majorHAnsi" w:cstheme="majorHAnsi"/>
                <w:color w:val="F25E21" w:themeColor="accent2"/>
                <w:sz w:val="16"/>
                <w:szCs w:val="16"/>
              </w:rPr>
            </w:pPr>
            <w:r w:rsidRPr="00602824">
              <w:rPr>
                <w:rFonts w:asciiTheme="majorHAnsi" w:hAnsiTheme="majorHAnsi" w:cstheme="majorHAnsi"/>
                <w:color w:val="F25E21" w:themeColor="accent2"/>
                <w:sz w:val="16"/>
                <w:szCs w:val="16"/>
              </w:rPr>
              <w:t>Ongoing</w:t>
            </w:r>
          </w:p>
          <w:p w14:paraId="2577C018" w14:textId="77777777" w:rsidR="00993178" w:rsidRPr="00602824" w:rsidRDefault="00993178" w:rsidP="00FB712C">
            <w:pPr>
              <w:pStyle w:val="TableNText"/>
              <w:keepNext w:val="0"/>
              <w:spacing w:line="240" w:lineRule="auto"/>
              <w:rPr>
                <w:b/>
                <w:sz w:val="16"/>
                <w:szCs w:val="16"/>
              </w:rPr>
            </w:pPr>
            <w:r w:rsidRPr="00602824">
              <w:rPr>
                <w:sz w:val="16"/>
                <w:szCs w:val="16"/>
              </w:rPr>
              <w:t>(September 2022 – Present)</w:t>
            </w:r>
          </w:p>
        </w:tc>
        <w:tc>
          <w:tcPr>
            <w:tcW w:w="2763" w:type="dxa"/>
          </w:tcPr>
          <w:p w14:paraId="7E11267E" w14:textId="77777777" w:rsidR="00993178" w:rsidRPr="00602824" w:rsidRDefault="00993178" w:rsidP="00FB712C">
            <w:pPr>
              <w:pStyle w:val="TableNText"/>
              <w:keepNext w:val="0"/>
              <w:spacing w:line="240" w:lineRule="auto"/>
              <w:rPr>
                <w:sz w:val="16"/>
                <w:szCs w:val="16"/>
              </w:rPr>
            </w:pPr>
            <w:r w:rsidRPr="00602824">
              <w:rPr>
                <w:sz w:val="16"/>
                <w:szCs w:val="16"/>
              </w:rPr>
              <w:t>Assess the comparative clinical effectiveness and cost effectiveness of SCS as neurostimulation therapy for complex chronic pain management.</w:t>
            </w:r>
          </w:p>
        </w:tc>
        <w:tc>
          <w:tcPr>
            <w:tcW w:w="1754" w:type="dxa"/>
          </w:tcPr>
          <w:p w14:paraId="72FE9E71" w14:textId="77777777" w:rsidR="00993178" w:rsidRPr="00602824" w:rsidRDefault="00993178" w:rsidP="00FB712C">
            <w:pPr>
              <w:pStyle w:val="TableNText"/>
              <w:keepNext w:val="0"/>
              <w:spacing w:line="240" w:lineRule="auto"/>
              <w:rPr>
                <w:sz w:val="16"/>
                <w:szCs w:val="16"/>
              </w:rPr>
            </w:pPr>
            <w:r w:rsidRPr="00602824">
              <w:rPr>
                <w:sz w:val="16"/>
                <w:szCs w:val="16"/>
              </w:rPr>
              <w:t>Focused HTA through an external provider</w:t>
            </w:r>
          </w:p>
        </w:tc>
        <w:tc>
          <w:tcPr>
            <w:tcW w:w="2946" w:type="dxa"/>
          </w:tcPr>
          <w:p w14:paraId="2D1139D5" w14:textId="77777777" w:rsidR="00993178" w:rsidRPr="00602824" w:rsidRDefault="00993178" w:rsidP="00FB712C">
            <w:pPr>
              <w:pStyle w:val="TableNText"/>
              <w:keepNext w:val="0"/>
              <w:spacing w:line="240" w:lineRule="auto"/>
              <w:rPr>
                <w:sz w:val="16"/>
                <w:szCs w:val="16"/>
              </w:rPr>
            </w:pPr>
            <w:r w:rsidRPr="00602824">
              <w:rPr>
                <w:sz w:val="16"/>
                <w:szCs w:val="16"/>
              </w:rPr>
              <w:t xml:space="preserve">Stage 1: Uncertain comparative clinical effectiveness and insufficient evidence to inform alternative PL listing settings. </w:t>
            </w:r>
          </w:p>
          <w:p w14:paraId="08E45FB2" w14:textId="77777777" w:rsidR="00993178" w:rsidRPr="00602824" w:rsidRDefault="00993178" w:rsidP="00FB712C">
            <w:pPr>
              <w:pStyle w:val="TableNText"/>
              <w:keepNext w:val="0"/>
              <w:spacing w:line="240" w:lineRule="auto"/>
              <w:rPr>
                <w:sz w:val="16"/>
                <w:szCs w:val="16"/>
              </w:rPr>
            </w:pPr>
            <w:r w:rsidRPr="00602824">
              <w:rPr>
                <w:sz w:val="16"/>
                <w:szCs w:val="16"/>
              </w:rPr>
              <w:t xml:space="preserve">Stage 2: Assessed two components (implantable pulse generators and leads) of SCS systems that make up </w:t>
            </w:r>
            <w:proofErr w:type="gramStart"/>
            <w:r w:rsidRPr="00602824">
              <w:rPr>
                <w:sz w:val="16"/>
                <w:szCs w:val="16"/>
              </w:rPr>
              <w:t>the majority of</w:t>
            </w:r>
            <w:proofErr w:type="gramEnd"/>
            <w:r w:rsidRPr="00602824">
              <w:rPr>
                <w:sz w:val="16"/>
                <w:szCs w:val="16"/>
              </w:rPr>
              <w:t xml:space="preserve"> the benefit. </w:t>
            </w:r>
          </w:p>
          <w:p w14:paraId="3C37F5CC" w14:textId="77777777" w:rsidR="00993178" w:rsidRPr="00602824" w:rsidRDefault="00993178" w:rsidP="00FB712C">
            <w:pPr>
              <w:pStyle w:val="TableNText"/>
              <w:keepNext w:val="0"/>
              <w:spacing w:line="240" w:lineRule="auto"/>
              <w:rPr>
                <w:sz w:val="16"/>
                <w:szCs w:val="16"/>
              </w:rPr>
            </w:pPr>
            <w:r w:rsidRPr="00602824">
              <w:rPr>
                <w:sz w:val="16"/>
                <w:szCs w:val="16"/>
              </w:rPr>
              <w:t>Stage 3: Reviewing benefit settings for the two components separately.</w:t>
            </w:r>
            <w:r w:rsidRPr="00602824">
              <w:rPr>
                <w:rFonts w:cstheme="minorHAnsi"/>
                <w:sz w:val="16"/>
                <w:szCs w:val="16"/>
                <w:vertAlign w:val="superscript"/>
              </w:rPr>
              <w:footnoteReference w:id="105"/>
            </w:r>
          </w:p>
        </w:tc>
        <w:tc>
          <w:tcPr>
            <w:tcW w:w="3290" w:type="dxa"/>
          </w:tcPr>
          <w:p w14:paraId="49DD6D8C" w14:textId="77777777" w:rsidR="00993178" w:rsidRPr="00602824" w:rsidRDefault="00993178" w:rsidP="00FB712C">
            <w:pPr>
              <w:pStyle w:val="TableNText"/>
              <w:keepNext w:val="0"/>
              <w:spacing w:line="240" w:lineRule="auto"/>
              <w:rPr>
                <w:sz w:val="16"/>
                <w:szCs w:val="16"/>
              </w:rPr>
            </w:pPr>
            <w:r w:rsidRPr="00602824">
              <w:rPr>
                <w:sz w:val="16"/>
                <w:szCs w:val="16"/>
              </w:rPr>
              <w:t xml:space="preserve">Two focused commentaries received from </w:t>
            </w:r>
            <w:proofErr w:type="spellStart"/>
            <w:r w:rsidRPr="00602824">
              <w:rPr>
                <w:sz w:val="16"/>
                <w:szCs w:val="16"/>
              </w:rPr>
              <w:t>Hereco</w:t>
            </w:r>
            <w:proofErr w:type="spellEnd"/>
            <w:r w:rsidRPr="00602824">
              <w:rPr>
                <w:sz w:val="16"/>
                <w:szCs w:val="16"/>
              </w:rPr>
              <w:t xml:space="preserve"> and presented to MDHTAC for advice (May 2025). </w:t>
            </w:r>
          </w:p>
        </w:tc>
      </w:tr>
      <w:tr w:rsidR="00AC23EF" w:rsidRPr="00602824" w14:paraId="469B7FA2" w14:textId="77777777" w:rsidTr="00AD33E8">
        <w:tc>
          <w:tcPr>
            <w:tcW w:w="1610" w:type="dxa"/>
          </w:tcPr>
          <w:p w14:paraId="489ECDCB" w14:textId="4E39703D" w:rsidR="000464D0" w:rsidRPr="00602824" w:rsidRDefault="000464D0" w:rsidP="00FB712C">
            <w:pPr>
              <w:pStyle w:val="TableNText"/>
              <w:keepNext w:val="0"/>
              <w:spacing w:line="240" w:lineRule="auto"/>
              <w:rPr>
                <w:sz w:val="16"/>
                <w:szCs w:val="16"/>
              </w:rPr>
            </w:pPr>
            <w:r w:rsidRPr="00602824">
              <w:rPr>
                <w:rFonts w:asciiTheme="majorHAnsi" w:hAnsiTheme="majorHAnsi" w:cstheme="majorHAnsi"/>
                <w:sz w:val="16"/>
                <w:szCs w:val="16"/>
              </w:rPr>
              <w:lastRenderedPageBreak/>
              <w:t xml:space="preserve">Mid urethral sling (MUS) </w:t>
            </w:r>
            <w:r w:rsidR="002A2E5C" w:rsidRPr="00602824">
              <w:rPr>
                <w:rFonts w:asciiTheme="majorHAnsi" w:hAnsiTheme="majorHAnsi" w:cstheme="majorHAnsi"/>
                <w:sz w:val="16"/>
                <w:szCs w:val="16"/>
              </w:rPr>
              <w:t>–</w:t>
            </w:r>
            <w:r w:rsidRPr="00602824">
              <w:rPr>
                <w:rFonts w:asciiTheme="majorHAnsi" w:hAnsiTheme="majorHAnsi" w:cstheme="majorHAnsi"/>
                <w:sz w:val="16"/>
                <w:szCs w:val="16"/>
              </w:rPr>
              <w:t xml:space="preserve"> Urogynaecological mesh device </w:t>
            </w:r>
          </w:p>
        </w:tc>
        <w:tc>
          <w:tcPr>
            <w:tcW w:w="1528" w:type="dxa"/>
          </w:tcPr>
          <w:p w14:paraId="0F49B5F9" w14:textId="11EFBFD4" w:rsidR="000464D0" w:rsidRPr="00602824" w:rsidRDefault="00D05145" w:rsidP="00FB712C">
            <w:pPr>
              <w:pStyle w:val="TableNText"/>
              <w:keepNext w:val="0"/>
              <w:spacing w:line="240" w:lineRule="auto"/>
              <w:rPr>
                <w:b/>
                <w:sz w:val="16"/>
                <w:szCs w:val="16"/>
              </w:rPr>
            </w:pPr>
            <w:r>
              <w:rPr>
                <w:sz w:val="16"/>
                <w:szCs w:val="16"/>
              </w:rPr>
              <w:t xml:space="preserve">Eight </w:t>
            </w:r>
            <w:r w:rsidR="000464D0" w:rsidRPr="00602824">
              <w:rPr>
                <w:sz w:val="16"/>
                <w:szCs w:val="16"/>
              </w:rPr>
              <w:t xml:space="preserve">months (February 2023 – October 2023)  </w:t>
            </w:r>
          </w:p>
        </w:tc>
        <w:tc>
          <w:tcPr>
            <w:tcW w:w="2763" w:type="dxa"/>
          </w:tcPr>
          <w:p w14:paraId="19D6C10A" w14:textId="77777777" w:rsidR="000464D0" w:rsidRPr="00602824" w:rsidRDefault="000464D0" w:rsidP="00FB712C">
            <w:pPr>
              <w:pStyle w:val="TableNText"/>
              <w:keepNext w:val="0"/>
              <w:spacing w:line="240" w:lineRule="auto"/>
              <w:rPr>
                <w:sz w:val="16"/>
                <w:szCs w:val="16"/>
              </w:rPr>
            </w:pPr>
            <w:r w:rsidRPr="00602824">
              <w:rPr>
                <w:sz w:val="16"/>
                <w:szCs w:val="16"/>
              </w:rPr>
              <w:t xml:space="preserve">Assess the comparative clinical effectiveness and cost effectiveness of MUS for the treatment of stress urinary incontinence (SUI) following the removal of two other types of </w:t>
            </w:r>
            <w:proofErr w:type="spellStart"/>
            <w:r w:rsidRPr="00602824">
              <w:rPr>
                <w:sz w:val="16"/>
                <w:szCs w:val="16"/>
              </w:rPr>
              <w:t>urogynaecological</w:t>
            </w:r>
            <w:proofErr w:type="spellEnd"/>
            <w:r w:rsidRPr="00602824">
              <w:rPr>
                <w:sz w:val="16"/>
                <w:szCs w:val="16"/>
              </w:rPr>
              <w:t xml:space="preserve"> mesh devices from being supplied in Australia.</w:t>
            </w:r>
            <w:r w:rsidRPr="00602824">
              <w:rPr>
                <w:rFonts w:cstheme="minorHAnsi"/>
                <w:sz w:val="16"/>
                <w:szCs w:val="16"/>
                <w:vertAlign w:val="superscript"/>
              </w:rPr>
              <w:footnoteReference w:id="106"/>
            </w:r>
            <w:r w:rsidRPr="00602824">
              <w:rPr>
                <w:sz w:val="16"/>
                <w:szCs w:val="16"/>
              </w:rPr>
              <w:t xml:space="preserve"> </w:t>
            </w:r>
          </w:p>
        </w:tc>
        <w:tc>
          <w:tcPr>
            <w:tcW w:w="1754" w:type="dxa"/>
          </w:tcPr>
          <w:p w14:paraId="5EB85D38" w14:textId="77777777" w:rsidR="000464D0" w:rsidRPr="00602824" w:rsidRDefault="000464D0" w:rsidP="00FB712C">
            <w:pPr>
              <w:pStyle w:val="TableNText"/>
              <w:keepNext w:val="0"/>
              <w:spacing w:line="240" w:lineRule="auto"/>
              <w:rPr>
                <w:sz w:val="16"/>
                <w:szCs w:val="16"/>
              </w:rPr>
            </w:pPr>
            <w:r w:rsidRPr="00602824">
              <w:rPr>
                <w:sz w:val="16"/>
                <w:szCs w:val="16"/>
              </w:rPr>
              <w:t xml:space="preserve">Focused HTA through an external provider </w:t>
            </w:r>
          </w:p>
        </w:tc>
        <w:tc>
          <w:tcPr>
            <w:tcW w:w="2946" w:type="dxa"/>
          </w:tcPr>
          <w:p w14:paraId="61DD1D36" w14:textId="77777777" w:rsidR="000464D0" w:rsidRPr="00602824" w:rsidRDefault="000464D0" w:rsidP="00FB712C">
            <w:pPr>
              <w:pStyle w:val="TableNText"/>
              <w:keepNext w:val="0"/>
              <w:spacing w:line="240" w:lineRule="auto"/>
              <w:rPr>
                <w:sz w:val="16"/>
                <w:szCs w:val="16"/>
              </w:rPr>
            </w:pPr>
            <w:r w:rsidRPr="00602824">
              <w:rPr>
                <w:sz w:val="16"/>
                <w:szCs w:val="16"/>
              </w:rPr>
              <w:t xml:space="preserve">MUS demonstrates comparable effectiveness and cost-effectiveness to alternative surgical interventions for the treatment of SUI. </w:t>
            </w:r>
          </w:p>
        </w:tc>
        <w:tc>
          <w:tcPr>
            <w:tcW w:w="3290" w:type="dxa"/>
          </w:tcPr>
          <w:p w14:paraId="7AB681B9" w14:textId="77777777" w:rsidR="000464D0" w:rsidRPr="00602824" w:rsidRDefault="000464D0" w:rsidP="00FB712C">
            <w:pPr>
              <w:pStyle w:val="TableNText"/>
              <w:keepNext w:val="0"/>
              <w:spacing w:line="240" w:lineRule="auto"/>
              <w:rPr>
                <w:sz w:val="16"/>
                <w:szCs w:val="16"/>
              </w:rPr>
            </w:pPr>
            <w:r w:rsidRPr="00602824">
              <w:rPr>
                <w:rFonts w:asciiTheme="majorHAnsi" w:hAnsiTheme="majorHAnsi" w:cstheme="majorHAnsi"/>
                <w:sz w:val="16"/>
                <w:szCs w:val="16"/>
              </w:rPr>
              <w:t>October 2023 –</w:t>
            </w:r>
            <w:r w:rsidRPr="00602824">
              <w:rPr>
                <w:sz w:val="16"/>
                <w:szCs w:val="16"/>
              </w:rPr>
              <w:t xml:space="preserve"> Retained existing listings and benefits for </w:t>
            </w:r>
            <w:proofErr w:type="spellStart"/>
            <w:r w:rsidRPr="00602824">
              <w:rPr>
                <w:sz w:val="16"/>
                <w:szCs w:val="16"/>
              </w:rPr>
              <w:t>urogynaecological</w:t>
            </w:r>
            <w:proofErr w:type="spellEnd"/>
            <w:r w:rsidRPr="00602824">
              <w:rPr>
                <w:sz w:val="16"/>
                <w:szCs w:val="16"/>
              </w:rPr>
              <w:t xml:space="preserve"> mesh devices currently listed on the PL. </w:t>
            </w:r>
          </w:p>
        </w:tc>
      </w:tr>
    </w:tbl>
    <w:p w14:paraId="460454A3" w14:textId="77777777" w:rsidR="008C038D" w:rsidRPr="00602824" w:rsidRDefault="008C038D" w:rsidP="00310C32">
      <w:pPr>
        <w:pStyle w:val="Bullet"/>
        <w:numPr>
          <w:ilvl w:val="0"/>
          <w:numId w:val="0"/>
        </w:numPr>
        <w:sectPr w:rsidR="008C038D" w:rsidRPr="00602824" w:rsidSect="008C038D">
          <w:pgSz w:w="16839" w:h="11907" w:orient="landscape" w:code="9"/>
          <w:pgMar w:top="1418" w:right="1247" w:bottom="1418" w:left="1701" w:header="720" w:footer="720" w:gutter="0"/>
          <w:cols w:space="720"/>
          <w:docGrid w:linePitch="360"/>
        </w:sectPr>
      </w:pPr>
    </w:p>
    <w:p w14:paraId="09B2EB62" w14:textId="30EF01D4" w:rsidR="00E90511" w:rsidRPr="00602824" w:rsidRDefault="009855FD" w:rsidP="00FB712C">
      <w:pPr>
        <w:pStyle w:val="Heading3"/>
        <w:spacing w:before="120"/>
      </w:pPr>
      <w:r w:rsidRPr="00602824">
        <w:lastRenderedPageBreak/>
        <w:t>A r</w:t>
      </w:r>
      <w:r w:rsidR="008B4471" w:rsidRPr="00602824">
        <w:t xml:space="preserve">evised framework for post-listing reviews </w:t>
      </w:r>
      <w:r w:rsidRPr="00602824">
        <w:t xml:space="preserve">was released in </w:t>
      </w:r>
      <w:r w:rsidR="00F77875" w:rsidRPr="00602824">
        <w:t>December 2024</w:t>
      </w:r>
    </w:p>
    <w:p w14:paraId="3F159978" w14:textId="12E8966B" w:rsidR="008B4471" w:rsidRPr="00602824" w:rsidRDefault="005609EA" w:rsidP="00EC5B71">
      <w:r w:rsidRPr="00602824">
        <w:t xml:space="preserve">A </w:t>
      </w:r>
      <w:r w:rsidR="008B4471" w:rsidRPr="00602824">
        <w:t xml:space="preserve">new version of the post-listing review framework </w:t>
      </w:r>
      <w:r w:rsidRPr="00602824">
        <w:t xml:space="preserve">was </w:t>
      </w:r>
      <w:r w:rsidR="008B4471" w:rsidRPr="00602824">
        <w:t xml:space="preserve">released in </w:t>
      </w:r>
      <w:r w:rsidRPr="00602824">
        <w:t xml:space="preserve">December </w:t>
      </w:r>
      <w:r w:rsidR="008B4471" w:rsidRPr="00602824">
        <w:t>2024</w:t>
      </w:r>
      <w:r w:rsidRPr="00602824">
        <w:t xml:space="preserve">, updating the </w:t>
      </w:r>
      <w:r w:rsidR="006D1397" w:rsidRPr="00602824">
        <w:t xml:space="preserve">initial </w:t>
      </w:r>
      <w:r w:rsidRPr="00602824">
        <w:t xml:space="preserve">framework </w:t>
      </w:r>
      <w:r w:rsidR="006D1397" w:rsidRPr="00602824">
        <w:t>that was published</w:t>
      </w:r>
      <w:r w:rsidRPr="00602824">
        <w:t xml:space="preserve"> in July 2022. The updated framework </w:t>
      </w:r>
      <w:r w:rsidR="008B4471" w:rsidRPr="00602824">
        <w:t>was developed from stakeholder feedback and internal department experience with the four pilot post-listing reviews</w:t>
      </w:r>
      <w:r w:rsidRPr="00602824">
        <w:t>.</w:t>
      </w:r>
      <w:r w:rsidR="00F64072" w:rsidRPr="00602824">
        <w:rPr>
          <w:rStyle w:val="FootnoteReference"/>
        </w:rPr>
        <w:footnoteReference w:id="107"/>
      </w:r>
    </w:p>
    <w:p w14:paraId="66544DE9" w14:textId="77777777" w:rsidR="00D60A8D" w:rsidRPr="00602824" w:rsidRDefault="00EE209C" w:rsidP="00721833">
      <w:r w:rsidRPr="00602824">
        <w:t xml:space="preserve">Advice from the Department suggests that the key lessons </w:t>
      </w:r>
      <w:proofErr w:type="gramStart"/>
      <w:r w:rsidR="00F95C40" w:rsidRPr="00602824">
        <w:t>taken into account</w:t>
      </w:r>
      <w:proofErr w:type="gramEnd"/>
      <w:r w:rsidR="00F95C40" w:rsidRPr="00602824">
        <w:t xml:space="preserve"> in the new framework were</w:t>
      </w:r>
      <w:r w:rsidR="00D60A8D" w:rsidRPr="00602824">
        <w:t>:</w:t>
      </w:r>
    </w:p>
    <w:p w14:paraId="380EA06B" w14:textId="38502606" w:rsidR="00D60A8D" w:rsidRPr="00602824" w:rsidRDefault="000466C6" w:rsidP="00D60A8D">
      <w:pPr>
        <w:pStyle w:val="Bullet"/>
      </w:pPr>
      <w:r w:rsidRPr="00602824">
        <w:t xml:space="preserve"> </w:t>
      </w:r>
      <w:r w:rsidR="00531C08">
        <w:t>C</w:t>
      </w:r>
      <w:r w:rsidRPr="00602824">
        <w:t xml:space="preserve">ommunicating </w:t>
      </w:r>
      <w:r w:rsidR="00D60A8D" w:rsidRPr="00602824">
        <w:t xml:space="preserve">the </w:t>
      </w:r>
      <w:r w:rsidRPr="00602824">
        <w:t>scope with external stakeholders</w:t>
      </w:r>
    </w:p>
    <w:p w14:paraId="3D18E006" w14:textId="635175EC" w:rsidR="00827E73" w:rsidRPr="00602824" w:rsidRDefault="000466C6" w:rsidP="00D60A8D">
      <w:pPr>
        <w:pStyle w:val="Bullet"/>
      </w:pPr>
      <w:r w:rsidRPr="00602824">
        <w:t xml:space="preserve"> </w:t>
      </w:r>
      <w:r w:rsidR="0065082E" w:rsidRPr="00602824">
        <w:t>Clearly written</w:t>
      </w:r>
      <w:r w:rsidRPr="00602824">
        <w:t xml:space="preserve"> Terms of Reference</w:t>
      </w:r>
      <w:r w:rsidR="00827E73" w:rsidRPr="00602824">
        <w:t>, and</w:t>
      </w:r>
    </w:p>
    <w:p w14:paraId="047A3C70" w14:textId="7F6AE9A4" w:rsidR="000466C6" w:rsidRPr="00602824" w:rsidRDefault="000466C6" w:rsidP="0065082E">
      <w:pPr>
        <w:pStyle w:val="Bullet"/>
      </w:pPr>
      <w:r w:rsidRPr="00602824">
        <w:t xml:space="preserve"> </w:t>
      </w:r>
      <w:r w:rsidR="0065082E" w:rsidRPr="00602824">
        <w:t>Clear articulation of</w:t>
      </w:r>
      <w:r w:rsidRPr="00602824">
        <w:t xml:space="preserve"> the research questions before collecting information.  </w:t>
      </w:r>
    </w:p>
    <w:p w14:paraId="088310B9" w14:textId="75CF91D6" w:rsidR="00DA7B0F" w:rsidRPr="00602824" w:rsidRDefault="00AF57E2" w:rsidP="007669C7">
      <w:r w:rsidRPr="00602824">
        <w:t xml:space="preserve">In response to </w:t>
      </w:r>
      <w:r w:rsidR="00902FAB" w:rsidRPr="00602824">
        <w:t xml:space="preserve">feedback from some stakeholders </w:t>
      </w:r>
      <w:r w:rsidR="0013580B" w:rsidRPr="00602824">
        <w:t xml:space="preserve">advocating for more transparency regarding the evidence base for the decision to initiate reviews, and a timetable that provides advance notice, the Department has committed to publishing an annual plan of post-listing reviews. </w:t>
      </w:r>
      <w:r w:rsidR="00DA7B0F" w:rsidRPr="00602824">
        <w:t xml:space="preserve">No new reviews under the new framework have been announced.  </w:t>
      </w:r>
    </w:p>
    <w:p w14:paraId="3B93CFAB" w14:textId="4FCCA6E5" w:rsidR="0065082E" w:rsidRPr="00602824" w:rsidRDefault="0013580B" w:rsidP="0065082E">
      <w:r w:rsidRPr="00602824">
        <w:t xml:space="preserve">The evaluation notes that advance notice would likely improve the uncertainty caused by a device being listed for review.  </w:t>
      </w:r>
      <w:r w:rsidR="000871A0" w:rsidRPr="00602824">
        <w:fldChar w:fldCharType="begin"/>
      </w:r>
      <w:r w:rsidR="000871A0" w:rsidRPr="00602824">
        <w:instrText xml:space="preserve"> REF _Ref202915305 \h </w:instrText>
      </w:r>
      <w:r w:rsidR="000871A0" w:rsidRPr="00602824">
        <w:fldChar w:fldCharType="separate"/>
      </w:r>
      <w:r w:rsidR="00D30634" w:rsidRPr="00602824">
        <w:t xml:space="preserve">Figure </w:t>
      </w:r>
      <w:r w:rsidR="00D30634">
        <w:rPr>
          <w:noProof/>
        </w:rPr>
        <w:t>26</w:t>
      </w:r>
      <w:r w:rsidR="000871A0" w:rsidRPr="00602824">
        <w:fldChar w:fldCharType="end"/>
      </w:r>
      <w:r w:rsidR="009E50D7" w:rsidRPr="00602824">
        <w:t xml:space="preserve"> presents </w:t>
      </w:r>
      <w:r w:rsidR="003859C6" w:rsidRPr="00602824">
        <w:t>the revised process, as outlined in the new framework.</w:t>
      </w:r>
    </w:p>
    <w:p w14:paraId="30266A20" w14:textId="4ECD053A" w:rsidR="003A3536" w:rsidRPr="00602824" w:rsidRDefault="008C5DCC" w:rsidP="00B50EE7">
      <w:pPr>
        <w:pStyle w:val="Caption"/>
      </w:pPr>
      <w:bookmarkStart w:id="90" w:name="_Ref202915305"/>
      <w:r w:rsidRPr="00602824">
        <w:t xml:space="preserve">Figure </w:t>
      </w:r>
      <w:r w:rsidR="002604D0">
        <w:fldChar w:fldCharType="begin"/>
      </w:r>
      <w:r w:rsidR="002604D0">
        <w:instrText xml:space="preserve"> SEQ Figure \* ARABIC </w:instrText>
      </w:r>
      <w:r w:rsidR="002604D0">
        <w:fldChar w:fldCharType="separate"/>
      </w:r>
      <w:r w:rsidR="00D30634">
        <w:rPr>
          <w:noProof/>
        </w:rPr>
        <w:t>26</w:t>
      </w:r>
      <w:r w:rsidR="002604D0">
        <w:fldChar w:fldCharType="end"/>
      </w:r>
      <w:bookmarkEnd w:id="90"/>
      <w:r w:rsidRPr="00602824">
        <w:t xml:space="preserve"> | PL post-listing review process from new framework</w:t>
      </w:r>
    </w:p>
    <w:p w14:paraId="62D1ADE5" w14:textId="21091D0F" w:rsidR="000871A0" w:rsidRPr="00602824" w:rsidRDefault="000871A0" w:rsidP="000871A0">
      <w:r w:rsidRPr="00AC7E3F">
        <w:rPr>
          <w:noProof/>
        </w:rPr>
        <w:drawing>
          <wp:inline distT="0" distB="0" distL="0" distR="0" wp14:anchorId="75AC8D61" wp14:editId="6041A7C7">
            <wp:extent cx="5723807" cy="4834551"/>
            <wp:effectExtent l="0" t="0" r="0" b="4445"/>
            <wp:docPr id="310852762" name="Picture 2" descr="PL post-listing review process from new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52762" name="Picture 2" descr="PL post-listing review process from new framework"/>
                    <pic:cNvPicPr/>
                  </pic:nvPicPr>
                  <pic:blipFill rotWithShape="1">
                    <a:blip r:embed="rId51" cstate="print">
                      <a:extLst>
                        <a:ext uri="{28A0092B-C50C-407E-A947-70E740481C1C}">
                          <a14:useLocalDpi xmlns:a14="http://schemas.microsoft.com/office/drawing/2010/main" val="0"/>
                        </a:ext>
                      </a:extLst>
                    </a:blip>
                    <a:srcRect t="984" b="1161"/>
                    <a:stretch>
                      <a:fillRect/>
                    </a:stretch>
                  </pic:blipFill>
                  <pic:spPr bwMode="auto">
                    <a:xfrm>
                      <a:off x="0" y="0"/>
                      <a:ext cx="5742112" cy="4850012"/>
                    </a:xfrm>
                    <a:prstGeom prst="rect">
                      <a:avLst/>
                    </a:prstGeom>
                    <a:ln>
                      <a:noFill/>
                    </a:ln>
                    <a:extLst>
                      <a:ext uri="{53640926-AAD7-44D8-BBD7-CCE9431645EC}">
                        <a14:shadowObscured xmlns:a14="http://schemas.microsoft.com/office/drawing/2010/main"/>
                      </a:ext>
                    </a:extLst>
                  </pic:spPr>
                </pic:pic>
              </a:graphicData>
            </a:graphic>
          </wp:inline>
        </w:drawing>
      </w:r>
    </w:p>
    <w:p w14:paraId="0F53F6EA" w14:textId="1502652B" w:rsidR="008B4471" w:rsidRPr="00602824" w:rsidRDefault="0046315F" w:rsidP="00471A4B">
      <w:pPr>
        <w:pStyle w:val="Heading3"/>
      </w:pPr>
      <w:r w:rsidRPr="00602824">
        <w:lastRenderedPageBreak/>
        <w:t>S</w:t>
      </w:r>
      <w:r w:rsidR="008B4471" w:rsidRPr="00602824">
        <w:t xml:space="preserve">takeholder perspectives </w:t>
      </w:r>
    </w:p>
    <w:p w14:paraId="2A042735" w14:textId="2A037877" w:rsidR="000728F6" w:rsidRPr="00602824" w:rsidRDefault="00863E69" w:rsidP="00863E69">
      <w:pPr>
        <w:rPr>
          <w:lang w:eastAsia="en-AU"/>
        </w:rPr>
      </w:pPr>
      <w:r w:rsidRPr="00602824">
        <w:rPr>
          <w:lang w:eastAsia="en-AU"/>
        </w:rPr>
        <w:t>Stakeholders broadly supported the principle of post-listing reviews as a mechanism to maintain the integrity and value of the PL</w:t>
      </w:r>
      <w:r w:rsidR="00F63CF1" w:rsidRPr="00602824">
        <w:rPr>
          <w:lang w:eastAsia="en-AU"/>
        </w:rPr>
        <w:t xml:space="preserve">. </w:t>
      </w:r>
      <w:r w:rsidR="00B036F4" w:rsidRPr="00602824">
        <w:rPr>
          <w:lang w:eastAsia="en-AU"/>
        </w:rPr>
        <w:t>However,</w:t>
      </w:r>
      <w:r w:rsidR="00D81BC5" w:rsidRPr="00602824">
        <w:rPr>
          <w:lang w:eastAsia="en-AU"/>
        </w:rPr>
        <w:t xml:space="preserve"> they </w:t>
      </w:r>
      <w:r w:rsidRPr="00602824">
        <w:rPr>
          <w:lang w:eastAsia="en-AU"/>
        </w:rPr>
        <w:t>raised concerns about the execution, transparency, and impact</w:t>
      </w:r>
      <w:r w:rsidR="00D81BC5" w:rsidRPr="00602824">
        <w:rPr>
          <w:lang w:eastAsia="en-AU"/>
        </w:rPr>
        <w:t xml:space="preserve"> of the reviews.</w:t>
      </w:r>
    </w:p>
    <w:p w14:paraId="0B29F6B6" w14:textId="77777777" w:rsidR="00FB6E16" w:rsidRPr="00602824" w:rsidRDefault="00863E69" w:rsidP="00863E69">
      <w:pPr>
        <w:rPr>
          <w:lang w:eastAsia="en-AU"/>
        </w:rPr>
      </w:pPr>
      <w:r w:rsidRPr="00602824">
        <w:rPr>
          <w:lang w:eastAsia="en-AU"/>
        </w:rPr>
        <w:t xml:space="preserve">Private hospital </w:t>
      </w:r>
      <w:r w:rsidR="000728F6" w:rsidRPr="00602824">
        <w:rPr>
          <w:lang w:eastAsia="en-AU"/>
        </w:rPr>
        <w:t xml:space="preserve">representatives </w:t>
      </w:r>
      <w:r w:rsidRPr="00602824">
        <w:rPr>
          <w:lang w:eastAsia="en-AU"/>
        </w:rPr>
        <w:t xml:space="preserve">emphasised the need for meaningful stakeholder engagement, adequate resourcing, and a forward program of reviews to avoid disruption and mistrust, citing unresolved disputes from the </w:t>
      </w:r>
      <w:r w:rsidR="00FB6E16" w:rsidRPr="00602824">
        <w:rPr>
          <w:lang w:eastAsia="en-AU"/>
        </w:rPr>
        <w:t xml:space="preserve">ongoing </w:t>
      </w:r>
      <w:r w:rsidRPr="00602824">
        <w:rPr>
          <w:lang w:eastAsia="en-AU"/>
        </w:rPr>
        <w:t xml:space="preserve">surgical guides and biomodels pilot as a cautionary example. </w:t>
      </w:r>
    </w:p>
    <w:p w14:paraId="3003DFFB" w14:textId="568062EE" w:rsidR="00FB6E16" w:rsidRPr="00602824" w:rsidRDefault="00863E69" w:rsidP="00863E69">
      <w:pPr>
        <w:rPr>
          <w:lang w:eastAsia="en-AU"/>
        </w:rPr>
      </w:pPr>
      <w:r w:rsidRPr="00602824">
        <w:rPr>
          <w:lang w:eastAsia="en-AU"/>
        </w:rPr>
        <w:t xml:space="preserve">Private health insurance </w:t>
      </w:r>
      <w:r w:rsidR="005A07D7" w:rsidRPr="00602824">
        <w:rPr>
          <w:lang w:eastAsia="en-AU"/>
        </w:rPr>
        <w:t>representatives</w:t>
      </w:r>
      <w:r w:rsidRPr="00602824">
        <w:rPr>
          <w:lang w:eastAsia="en-AU"/>
        </w:rPr>
        <w:t xml:space="preserve"> </w:t>
      </w:r>
      <w:r w:rsidR="00FB6E16" w:rsidRPr="00602824">
        <w:rPr>
          <w:lang w:eastAsia="en-AU"/>
        </w:rPr>
        <w:t>saw the reviews</w:t>
      </w:r>
      <w:r w:rsidRPr="00602824">
        <w:rPr>
          <w:lang w:eastAsia="en-AU"/>
        </w:rPr>
        <w:t xml:space="preserve"> as essential to curbing waste and returning value to consumers, but criticised delays and </w:t>
      </w:r>
      <w:r w:rsidR="007E78E9" w:rsidRPr="00602824">
        <w:rPr>
          <w:lang w:eastAsia="en-AU"/>
        </w:rPr>
        <w:t>what they viewed</w:t>
      </w:r>
      <w:r w:rsidR="00DD458F" w:rsidRPr="00602824">
        <w:rPr>
          <w:lang w:eastAsia="en-AU"/>
        </w:rPr>
        <w:t xml:space="preserve"> as </w:t>
      </w:r>
      <w:r w:rsidRPr="00602824">
        <w:rPr>
          <w:lang w:eastAsia="en-AU"/>
        </w:rPr>
        <w:t xml:space="preserve">non-implementation of </w:t>
      </w:r>
      <w:r w:rsidR="00FB6E16" w:rsidRPr="00602824">
        <w:rPr>
          <w:lang w:eastAsia="en-AU"/>
        </w:rPr>
        <w:t>recommendations</w:t>
      </w:r>
      <w:r w:rsidR="00DD458F" w:rsidRPr="00602824">
        <w:rPr>
          <w:lang w:eastAsia="en-AU"/>
        </w:rPr>
        <w:t xml:space="preserve"> </w:t>
      </w:r>
      <w:r w:rsidR="006B7BE5" w:rsidRPr="00602824">
        <w:rPr>
          <w:lang w:eastAsia="en-AU"/>
        </w:rPr>
        <w:t xml:space="preserve">made </w:t>
      </w:r>
      <w:r w:rsidR="006010E5" w:rsidRPr="00602824">
        <w:rPr>
          <w:lang w:eastAsia="en-AU"/>
        </w:rPr>
        <w:t>in report</w:t>
      </w:r>
      <w:r w:rsidR="005366F7">
        <w:rPr>
          <w:lang w:eastAsia="en-AU"/>
        </w:rPr>
        <w:t>s</w:t>
      </w:r>
      <w:r w:rsidR="006010E5" w:rsidRPr="00602824">
        <w:rPr>
          <w:lang w:eastAsia="en-AU"/>
        </w:rPr>
        <w:t xml:space="preserve"> </w:t>
      </w:r>
      <w:r w:rsidR="006B7BE5" w:rsidRPr="00602824">
        <w:rPr>
          <w:lang w:eastAsia="en-AU"/>
        </w:rPr>
        <w:t xml:space="preserve">by </w:t>
      </w:r>
      <w:r w:rsidR="007E0157" w:rsidRPr="00602824">
        <w:rPr>
          <w:lang w:eastAsia="en-AU"/>
        </w:rPr>
        <w:t>independent</w:t>
      </w:r>
      <w:r w:rsidR="00240AD8" w:rsidRPr="00602824">
        <w:rPr>
          <w:lang w:eastAsia="en-AU"/>
        </w:rPr>
        <w:t xml:space="preserve"> consultants commissioned </w:t>
      </w:r>
      <w:r w:rsidR="007E0157" w:rsidRPr="00602824">
        <w:rPr>
          <w:lang w:eastAsia="en-AU"/>
        </w:rPr>
        <w:t>for the review</w:t>
      </w:r>
      <w:r w:rsidR="00ED223E" w:rsidRPr="00602824">
        <w:rPr>
          <w:lang w:eastAsia="en-AU"/>
        </w:rPr>
        <w:t>s</w:t>
      </w:r>
      <w:r w:rsidR="007E0157" w:rsidRPr="00602824">
        <w:rPr>
          <w:lang w:eastAsia="en-AU"/>
        </w:rPr>
        <w:t xml:space="preserve"> </w:t>
      </w:r>
      <w:r w:rsidR="00DD458F" w:rsidRPr="00602824">
        <w:rPr>
          <w:lang w:eastAsia="en-AU"/>
        </w:rPr>
        <w:t>into</w:t>
      </w:r>
      <w:r w:rsidRPr="00602824">
        <w:rPr>
          <w:lang w:eastAsia="en-AU"/>
        </w:rPr>
        <w:t xml:space="preserve"> spinal cord stimulators and </w:t>
      </w:r>
      <w:r w:rsidR="00DD458F" w:rsidRPr="00602824">
        <w:rPr>
          <w:lang w:eastAsia="en-AU"/>
        </w:rPr>
        <w:t xml:space="preserve">surgical guides and </w:t>
      </w:r>
      <w:r w:rsidRPr="00602824">
        <w:rPr>
          <w:lang w:eastAsia="en-AU"/>
        </w:rPr>
        <w:t xml:space="preserve">biomodels. </w:t>
      </w:r>
    </w:p>
    <w:p w14:paraId="25FF9CB8" w14:textId="2C467464" w:rsidR="005A07D7" w:rsidRPr="00602824" w:rsidRDefault="00FA1C21" w:rsidP="00863E69">
      <w:pPr>
        <w:rPr>
          <w:lang w:eastAsia="en-AU"/>
        </w:rPr>
      </w:pPr>
      <w:r w:rsidRPr="00602824">
        <w:rPr>
          <w:lang w:eastAsia="en-AU"/>
        </w:rPr>
        <w:t>The m</w:t>
      </w:r>
      <w:r w:rsidR="00863E69" w:rsidRPr="00602824">
        <w:rPr>
          <w:lang w:eastAsia="en-AU"/>
        </w:rPr>
        <w:t xml:space="preserve">edical technology </w:t>
      </w:r>
      <w:r w:rsidRPr="00602824">
        <w:rPr>
          <w:lang w:eastAsia="en-AU"/>
        </w:rPr>
        <w:t>sector</w:t>
      </w:r>
      <w:r w:rsidR="00863E69" w:rsidRPr="00602824">
        <w:rPr>
          <w:lang w:eastAsia="en-AU"/>
        </w:rPr>
        <w:t xml:space="preserve"> warned that reviews are resource-intensive and </w:t>
      </w:r>
      <w:r w:rsidRPr="00602824">
        <w:rPr>
          <w:lang w:eastAsia="en-AU"/>
        </w:rPr>
        <w:t xml:space="preserve">offered a view that they are </w:t>
      </w:r>
      <w:r w:rsidR="00863E69" w:rsidRPr="00602824">
        <w:rPr>
          <w:lang w:eastAsia="en-AU"/>
        </w:rPr>
        <w:t>often initiated without sufficient justification</w:t>
      </w:r>
      <w:r w:rsidRPr="00602824">
        <w:rPr>
          <w:lang w:eastAsia="en-AU"/>
        </w:rPr>
        <w:t xml:space="preserve">. They called </w:t>
      </w:r>
      <w:r w:rsidR="00863E69" w:rsidRPr="00602824">
        <w:rPr>
          <w:lang w:eastAsia="en-AU"/>
        </w:rPr>
        <w:t xml:space="preserve">for clearer guidelines, early consultation, and recognition that limited evidence does not equate to low performance. </w:t>
      </w:r>
    </w:p>
    <w:p w14:paraId="5736C9A4" w14:textId="33DB64C7" w:rsidR="002132A7" w:rsidRPr="00602824" w:rsidRDefault="00F64072" w:rsidP="00863E69">
      <w:pPr>
        <w:rPr>
          <w:lang w:eastAsia="en-AU"/>
        </w:rPr>
      </w:pPr>
      <w:r w:rsidRPr="00602824">
        <w:rPr>
          <w:lang w:eastAsia="en-AU"/>
        </w:rPr>
        <w:t>Clinician</w:t>
      </w:r>
      <w:r w:rsidR="00863E69" w:rsidRPr="00602824">
        <w:rPr>
          <w:lang w:eastAsia="en-AU"/>
        </w:rPr>
        <w:t xml:space="preserve"> representatives stressed the importance of preserving clinical discretion and cautioned against overreach by external reviewers, particularly in setting usage caps that may not reflect patient needs.</w:t>
      </w:r>
    </w:p>
    <w:p w14:paraId="74F79A28" w14:textId="5615A9AB" w:rsidR="00863E69" w:rsidRPr="00602824" w:rsidRDefault="00863E69" w:rsidP="00863E69">
      <w:pPr>
        <w:rPr>
          <w:lang w:eastAsia="en-AU"/>
        </w:rPr>
      </w:pPr>
      <w:r w:rsidRPr="00602824">
        <w:rPr>
          <w:lang w:eastAsia="en-AU"/>
        </w:rPr>
        <w:t xml:space="preserve">Overall, stakeholders called for a more transparent, consultative, and balanced approach to </w:t>
      </w:r>
      <w:r w:rsidR="002132A7" w:rsidRPr="00602824">
        <w:rPr>
          <w:lang w:eastAsia="en-AU"/>
        </w:rPr>
        <w:t>the reviews</w:t>
      </w:r>
      <w:r w:rsidRPr="00602824">
        <w:rPr>
          <w:lang w:eastAsia="en-AU"/>
        </w:rPr>
        <w:t xml:space="preserve"> that supports innovation while ensuring accountability.</w:t>
      </w:r>
    </w:p>
    <w:p w14:paraId="0EF447B5" w14:textId="4AC6F005" w:rsidR="009A4BE6" w:rsidRPr="00602824" w:rsidRDefault="00EE5FE3" w:rsidP="00B50EE7">
      <w:pPr>
        <w:pStyle w:val="Caption"/>
      </w:pPr>
      <w:r w:rsidRPr="00602824">
        <w:t xml:space="preserve">Table </w:t>
      </w:r>
      <w:r w:rsidR="002604D0">
        <w:fldChar w:fldCharType="begin"/>
      </w:r>
      <w:r w:rsidR="002604D0">
        <w:instrText xml:space="preserve"> SEQ Table \* ARABIC </w:instrText>
      </w:r>
      <w:r w:rsidR="002604D0">
        <w:fldChar w:fldCharType="separate"/>
      </w:r>
      <w:r w:rsidR="00D30634">
        <w:rPr>
          <w:noProof/>
        </w:rPr>
        <w:t>17</w:t>
      </w:r>
      <w:r w:rsidR="002604D0">
        <w:fldChar w:fldCharType="end"/>
      </w:r>
      <w:r w:rsidRPr="00602824">
        <w:t xml:space="preserve"> | Stakeholder perspectives on post-listing reviews</w:t>
      </w:r>
      <w:r w:rsidR="003E7D14" w:rsidRPr="00602824">
        <w:rPr>
          <w:rStyle w:val="FootnoteReference"/>
        </w:rPr>
        <w:footnoteReference w:id="108"/>
      </w:r>
    </w:p>
    <w:tbl>
      <w:tblPr>
        <w:tblStyle w:val="NOUS1"/>
        <w:tblW w:w="0" w:type="auto"/>
        <w:tblLook w:val="04A0" w:firstRow="1" w:lastRow="0" w:firstColumn="1" w:lastColumn="0" w:noHBand="0" w:noVBand="1"/>
      </w:tblPr>
      <w:tblGrid>
        <w:gridCol w:w="2252"/>
        <w:gridCol w:w="6819"/>
      </w:tblGrid>
      <w:tr w:rsidR="009A4BE6" w:rsidRPr="00602824" w14:paraId="63F9308D" w14:textId="77777777" w:rsidTr="78262323">
        <w:trPr>
          <w:cnfStyle w:val="100000000000" w:firstRow="1" w:lastRow="0" w:firstColumn="0" w:lastColumn="0" w:oddVBand="0" w:evenVBand="0" w:oddHBand="0" w:evenHBand="0" w:firstRowFirstColumn="0" w:firstRowLastColumn="0" w:lastRowFirstColumn="0" w:lastRowLastColumn="0"/>
        </w:trPr>
        <w:tc>
          <w:tcPr>
            <w:tcW w:w="2268" w:type="dxa"/>
          </w:tcPr>
          <w:p w14:paraId="4C6FB6A8" w14:textId="77777777" w:rsidR="009A4BE6" w:rsidRPr="00602824" w:rsidRDefault="009A4BE6" w:rsidP="00FB712C">
            <w:pPr>
              <w:pStyle w:val="TableNheader"/>
              <w:keepNext w:val="0"/>
              <w:spacing w:before="60" w:after="60" w:line="240" w:lineRule="auto"/>
              <w:jc w:val="center"/>
            </w:pPr>
            <w:r w:rsidRPr="00602824">
              <w:t>Stakeholder group</w:t>
            </w:r>
          </w:p>
        </w:tc>
        <w:tc>
          <w:tcPr>
            <w:tcW w:w="6917" w:type="dxa"/>
          </w:tcPr>
          <w:p w14:paraId="74BF24F1" w14:textId="77777777" w:rsidR="009A4BE6" w:rsidRPr="00602824" w:rsidRDefault="009A4BE6" w:rsidP="00FB712C">
            <w:pPr>
              <w:pStyle w:val="TableNheader"/>
              <w:keepNext w:val="0"/>
              <w:spacing w:before="60" w:after="60" w:line="240" w:lineRule="auto"/>
            </w:pPr>
            <w:r w:rsidRPr="00602824">
              <w:t>Perspectives on reform project</w:t>
            </w:r>
          </w:p>
        </w:tc>
      </w:tr>
      <w:tr w:rsidR="009A4BE6" w:rsidRPr="00602824" w14:paraId="0755C2A0" w14:textId="77777777" w:rsidTr="78262323">
        <w:tc>
          <w:tcPr>
            <w:tcW w:w="2268" w:type="dxa"/>
            <w:shd w:val="clear" w:color="auto" w:fill="00264D" w:themeFill="background2"/>
          </w:tcPr>
          <w:p w14:paraId="69C88CED" w14:textId="77777777" w:rsidR="009A4BE6" w:rsidRPr="00602824" w:rsidRDefault="009A4BE6" w:rsidP="00FB712C">
            <w:pPr>
              <w:pStyle w:val="TableNheader"/>
              <w:keepNext w:val="0"/>
              <w:spacing w:before="60" w:after="60" w:line="240" w:lineRule="auto"/>
              <w:jc w:val="center"/>
              <w:rPr>
                <w:color w:val="FFFFFF" w:themeColor="background1"/>
              </w:rPr>
            </w:pPr>
            <w:r w:rsidRPr="00602824">
              <w:rPr>
                <w:color w:val="FFFFFF" w:themeColor="background1"/>
              </w:rPr>
              <w:t>Private hospital sector</w:t>
            </w:r>
          </w:p>
          <w:p w14:paraId="407E6304" w14:textId="77777777" w:rsidR="009A4BE6" w:rsidRPr="00602824" w:rsidRDefault="009A4BE6"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6F00C677" wp14:editId="0BCAB0A1">
                      <wp:extent cx="320633" cy="314696"/>
                      <wp:effectExtent l="0" t="0" r="3810" b="9525"/>
                      <wp:docPr id="1857300428" name="Freeform: Shape 1857300428"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857300428"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159BBB4E">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4BA96E90" w14:textId="54EB4B2A" w:rsidR="009A4BE6" w:rsidRPr="00602824" w:rsidRDefault="00627619" w:rsidP="00A14A15">
            <w:pPr>
              <w:pStyle w:val="TableNBullet"/>
              <w:spacing w:before="60" w:after="60"/>
            </w:pPr>
            <w:r w:rsidRPr="00627619">
              <w:t>Hospitals noted the post-listing review framework as a critical component of the PL reforms</w:t>
            </w:r>
            <w:r w:rsidRPr="00627619" w:rsidDel="00627619">
              <w:t xml:space="preserve"> </w:t>
            </w:r>
            <w:r w:rsidR="009A4BE6" w:rsidRPr="00602824">
              <w:t xml:space="preserve">but stressed that </w:t>
            </w:r>
            <w:r w:rsidR="00972B6D">
              <w:t>the</w:t>
            </w:r>
            <w:r w:rsidR="00972B6D" w:rsidRPr="00602824">
              <w:t xml:space="preserve"> </w:t>
            </w:r>
            <w:r w:rsidR="009A4BE6" w:rsidRPr="00602824">
              <w:t xml:space="preserve">legitimacy </w:t>
            </w:r>
            <w:r w:rsidR="00972B6D">
              <w:t xml:space="preserve">of post-listing reviews </w:t>
            </w:r>
            <w:r w:rsidR="009A4BE6" w:rsidRPr="00602824">
              <w:t>depends on appropriate resourcing, stakeholder engagement and clear justification. Without this, confidence may erode, and clinical value may be deprioritised.</w:t>
            </w:r>
          </w:p>
          <w:p w14:paraId="3E03698C" w14:textId="2732EDFA" w:rsidR="009A4BE6" w:rsidRPr="00602824" w:rsidRDefault="009A4BE6" w:rsidP="00A14A15">
            <w:pPr>
              <w:pStyle w:val="TableNBullet"/>
              <w:spacing w:before="60" w:after="60"/>
            </w:pPr>
            <w:r w:rsidRPr="00602824">
              <w:t>Some reviews</w:t>
            </w:r>
            <w:r w:rsidR="0047550B" w:rsidRPr="00602824">
              <w:t xml:space="preserve">, in particular the review of surgical guides and </w:t>
            </w:r>
            <w:r w:rsidR="00163D22">
              <w:t>biomodels</w:t>
            </w:r>
            <w:r w:rsidR="0047550B" w:rsidRPr="00602824">
              <w:t>,</w:t>
            </w:r>
            <w:r w:rsidRPr="00602824">
              <w:t xml:space="preserve"> were seen to trigger prolonged disputes between stakeholders, with pilot reviews noted to have caused confusion or disruption rather than clarity.</w:t>
            </w:r>
          </w:p>
          <w:p w14:paraId="23F4F488" w14:textId="61AF801E" w:rsidR="009A4BE6" w:rsidRPr="00602824" w:rsidRDefault="009A4BE6" w:rsidP="00A14A15">
            <w:pPr>
              <w:pStyle w:val="TableNBullet"/>
              <w:spacing w:before="60" w:after="60"/>
            </w:pPr>
            <w:r w:rsidRPr="00602824">
              <w:t xml:space="preserve">Concerns were raised </w:t>
            </w:r>
            <w:r w:rsidR="00C259DC">
              <w:t>by some private hospital</w:t>
            </w:r>
            <w:r w:rsidR="00B0616A">
              <w:t xml:space="preserve"> representatives</w:t>
            </w:r>
            <w:r w:rsidR="00C259DC">
              <w:t xml:space="preserve"> </w:t>
            </w:r>
            <w:r w:rsidRPr="00602824">
              <w:t>about delays in review activity and perceived prioritisation of new listings over post-listing work. Hospitals called for a clearer forward program, stronger consultation processes, and adequate support to ensure timely and transparent delivery.</w:t>
            </w:r>
          </w:p>
        </w:tc>
      </w:tr>
      <w:tr w:rsidR="009A4BE6" w:rsidRPr="00602824" w14:paraId="156C9280" w14:textId="77777777" w:rsidTr="78262323">
        <w:tc>
          <w:tcPr>
            <w:tcW w:w="2268" w:type="dxa"/>
            <w:shd w:val="clear" w:color="auto" w:fill="00264D" w:themeFill="background2"/>
          </w:tcPr>
          <w:p w14:paraId="001836F7" w14:textId="77777777" w:rsidR="009A4BE6" w:rsidRPr="00602824" w:rsidRDefault="009A4BE6" w:rsidP="00FB712C">
            <w:pPr>
              <w:pStyle w:val="TableNheader"/>
              <w:keepNext w:val="0"/>
              <w:spacing w:before="60" w:after="60" w:line="240" w:lineRule="auto"/>
              <w:jc w:val="center"/>
              <w:rPr>
                <w:color w:val="FFFFFF" w:themeColor="background1"/>
              </w:rPr>
            </w:pPr>
            <w:r w:rsidRPr="00602824">
              <w:rPr>
                <w:color w:val="FFFFFF" w:themeColor="background1"/>
              </w:rPr>
              <w:t>Private health insurance representatives</w:t>
            </w:r>
          </w:p>
          <w:p w14:paraId="1A512261" w14:textId="77777777" w:rsidR="009A4BE6" w:rsidRPr="00602824" w:rsidRDefault="009A4BE6"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79E6CB74" wp14:editId="26181F79">
                      <wp:extent cx="292311" cy="292311"/>
                      <wp:effectExtent l="0" t="0" r="0" b="0"/>
                      <wp:docPr id="1286191236" name="Freeform: Shape 1286191236"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286191236"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1BD44966">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35A098D0" w14:textId="41A1BB29" w:rsidR="009A4BE6" w:rsidRPr="008B02FE" w:rsidRDefault="00BC7540" w:rsidP="00C9136D">
            <w:pPr>
              <w:pStyle w:val="TableNBullet"/>
            </w:pPr>
            <w:r w:rsidRPr="008B02FE">
              <w:t xml:space="preserve">Private health </w:t>
            </w:r>
            <w:r w:rsidR="003207F7" w:rsidRPr="008B02FE">
              <w:t>i</w:t>
            </w:r>
            <w:r w:rsidR="009A4BE6" w:rsidRPr="008B02FE">
              <w:t>nsurer</w:t>
            </w:r>
            <w:r w:rsidR="003207F7" w:rsidRPr="008B02FE">
              <w:t xml:space="preserve"> representatives</w:t>
            </w:r>
            <w:r w:rsidR="009A4BE6" w:rsidRPr="008B02FE">
              <w:t xml:space="preserve"> argued that post-listing reviews </w:t>
            </w:r>
            <w:r w:rsidR="003207F7" w:rsidRPr="008B02FE">
              <w:t xml:space="preserve">should be designed to deliver value to consumers and </w:t>
            </w:r>
            <w:r w:rsidR="00771E72" w:rsidRPr="008B02FE">
              <w:t>taxpayers and</w:t>
            </w:r>
            <w:r w:rsidR="003207F7" w:rsidRPr="008B02FE">
              <w:t xml:space="preserve"> emphasised the importance of timely implementation. They stated that when reviews result in the removal of substantial costs from a Prostheses List (PL) </w:t>
            </w:r>
            <w:proofErr w:type="gramStart"/>
            <w:r w:rsidR="003207F7" w:rsidRPr="008B02FE">
              <w:t>grouping;</w:t>
            </w:r>
            <w:proofErr w:type="gramEnd"/>
            <w:r w:rsidR="003207F7" w:rsidRPr="008B02FE">
              <w:t xml:space="preserve"> such as resetting benchmarks, the outcome is not just cost-neutral but represents a net gain on the investment made.</w:t>
            </w:r>
          </w:p>
          <w:p w14:paraId="5B6B9A33" w14:textId="7495D873" w:rsidR="000A2B6D" w:rsidRPr="008B02FE" w:rsidRDefault="000A2B6D" w:rsidP="00724B8A">
            <w:pPr>
              <w:pStyle w:val="TableNBullet"/>
              <w:spacing w:before="60" w:after="60"/>
              <w:rPr>
                <w:sz w:val="24"/>
                <w:szCs w:val="24"/>
              </w:rPr>
            </w:pPr>
            <w:r w:rsidRPr="00FD418B">
              <w:t>Insurer representatives expressed frustration</w:t>
            </w:r>
            <w:r w:rsidRPr="008B02FE">
              <w:t xml:space="preserve"> with the Department’s decision not to implement recommendations from the external consultant report on spinal cord stimulators. They viewed this as undermining the purpose of the review. Concerns were raised about permanent leads being funded by private health insurance during trials, despite trial leads being globally provided by the same </w:t>
            </w:r>
            <w:r w:rsidR="00724B8A" w:rsidRPr="008B02FE">
              <w:t xml:space="preserve">manufacturers. They suggested that delays or decisions not to proceed </w:t>
            </w:r>
            <w:r w:rsidR="053771CC">
              <w:t>ha</w:t>
            </w:r>
            <w:r w:rsidR="5B3BF6C6">
              <w:t>ve</w:t>
            </w:r>
            <w:r w:rsidR="00724B8A" w:rsidRPr="008B02FE">
              <w:t xml:space="preserve"> led to wasted resources. </w:t>
            </w:r>
          </w:p>
          <w:p w14:paraId="6D133887" w14:textId="1E89B4EC" w:rsidR="009A4BE6" w:rsidRPr="00FD418B" w:rsidRDefault="77F457B5" w:rsidP="00214639">
            <w:pPr>
              <w:pStyle w:val="TableNBullet"/>
              <w:rPr>
                <w:sz w:val="24"/>
                <w:szCs w:val="24"/>
              </w:rPr>
            </w:pPr>
            <w:r w:rsidRPr="00214639">
              <w:rPr>
                <w:rStyle w:val="Strong"/>
                <w:b w:val="0"/>
                <w:bCs w:val="0"/>
              </w:rPr>
              <w:t>Insurers</w:t>
            </w:r>
            <w:r w:rsidRPr="00FD418B">
              <w:rPr>
                <w:rStyle w:val="Strong"/>
                <w:rFonts w:cs="Segoe UI"/>
                <w:b w:val="0"/>
                <w:bCs w:val="0"/>
                <w:color w:val="424242"/>
              </w:rPr>
              <w:t xml:space="preserve"> </w:t>
            </w:r>
            <w:r w:rsidRPr="00214639">
              <w:rPr>
                <w:rStyle w:val="Strong"/>
                <w:rFonts w:cs="Segoe UI"/>
                <w:b w:val="0"/>
                <w:bCs w:val="0"/>
              </w:rPr>
              <w:t>described</w:t>
            </w:r>
            <w:r w:rsidRPr="00214639">
              <w:t xml:space="preserve"> the </w:t>
            </w:r>
            <w:r w:rsidRPr="008B02FE">
              <w:t xml:space="preserve">significant cost increase for surgical guides and biomodels on the PL as a policy failure that has enabled the growth of an industry delivering low-value care, costing consumers and taxpayers tens of millions of dollars. However, they </w:t>
            </w:r>
            <w:r w:rsidRPr="008B02FE">
              <w:lastRenderedPageBreak/>
              <w:t xml:space="preserve">also acknowledged that some surgeons use surgical guides appropriately for complex CMF </w:t>
            </w:r>
            <w:r w:rsidR="005D5DA0" w:rsidRPr="008B02FE">
              <w:t>procedures and</w:t>
            </w:r>
            <w:r w:rsidRPr="008B02FE">
              <w:t xml:space="preserve"> stated their willingness to continue supporting reimbursement in these specific cases.</w:t>
            </w:r>
          </w:p>
        </w:tc>
      </w:tr>
      <w:tr w:rsidR="009A4BE6" w:rsidRPr="00602824" w14:paraId="4BC0FBF7" w14:textId="77777777" w:rsidTr="78262323">
        <w:tc>
          <w:tcPr>
            <w:tcW w:w="2268" w:type="dxa"/>
            <w:shd w:val="clear" w:color="auto" w:fill="00264D" w:themeFill="background2"/>
          </w:tcPr>
          <w:p w14:paraId="013CEAEE" w14:textId="77777777" w:rsidR="009A4BE6" w:rsidRPr="00602824" w:rsidRDefault="009A4BE6" w:rsidP="00FB712C">
            <w:pPr>
              <w:pStyle w:val="TableNheader"/>
              <w:keepNext w:val="0"/>
              <w:spacing w:before="60" w:after="60" w:line="240" w:lineRule="auto"/>
              <w:jc w:val="center"/>
              <w:rPr>
                <w:color w:val="FFFFFF" w:themeColor="background1"/>
              </w:rPr>
            </w:pPr>
            <w:r w:rsidRPr="00602824">
              <w:rPr>
                <w:color w:val="FFFFFF" w:themeColor="background1"/>
              </w:rPr>
              <w:lastRenderedPageBreak/>
              <w:t>Medical technology representatives</w:t>
            </w:r>
          </w:p>
          <w:p w14:paraId="328D9BB2" w14:textId="77777777" w:rsidR="009A4BE6" w:rsidRPr="00602824" w:rsidRDefault="009A4BE6" w:rsidP="00FB712C">
            <w:pPr>
              <w:pStyle w:val="TableNheader"/>
              <w:keepNext w:val="0"/>
              <w:spacing w:before="60" w:after="60" w:line="240" w:lineRule="auto"/>
              <w:jc w:val="center"/>
              <w:rPr>
                <w:color w:val="FFFFFF" w:themeColor="background1"/>
              </w:rPr>
            </w:pPr>
            <w:r w:rsidRPr="00AC7E3F">
              <w:rPr>
                <w:i/>
                <w:iCs/>
                <w:noProof/>
              </w:rPr>
              <w:drawing>
                <wp:inline distT="0" distB="0" distL="0" distR="0" wp14:anchorId="067C2207" wp14:editId="63321B71">
                  <wp:extent cx="309245" cy="336734"/>
                  <wp:effectExtent l="0" t="0" r="0" b="6350"/>
                  <wp:docPr id="1232954371" name="Graphic 1232954371"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7D9AD024" w14:textId="77777777" w:rsidR="009A4BE6" w:rsidRPr="00602824" w:rsidRDefault="009A4BE6" w:rsidP="00A14A15">
            <w:pPr>
              <w:pStyle w:val="TableNBullet"/>
              <w:spacing w:before="60" w:after="60"/>
            </w:pPr>
            <w:r w:rsidRPr="00602824">
              <w:t>Industry stakeholders cautioned that reviews may be initiated without sufficient cause, risking commercial disruption and increasing costs for both industry and government (particularly with the introduction of cost recovery from FY26).</w:t>
            </w:r>
          </w:p>
          <w:p w14:paraId="373000C8" w14:textId="77777777" w:rsidR="009A4BE6" w:rsidRPr="00602824" w:rsidRDefault="009A4BE6" w:rsidP="00A14A15">
            <w:pPr>
              <w:pStyle w:val="TableNBullet"/>
              <w:spacing w:before="60" w:after="60"/>
            </w:pPr>
            <w:r w:rsidRPr="00602824">
              <w:t>They called for a published program of upcoming reviews, with early opportunities for input to help prioritise topics and align evidence development.</w:t>
            </w:r>
          </w:p>
          <w:p w14:paraId="479AD917" w14:textId="77777777" w:rsidR="009A4BE6" w:rsidRPr="00602824" w:rsidRDefault="009A4BE6" w:rsidP="00A14A15">
            <w:pPr>
              <w:pStyle w:val="TableNBullet"/>
              <w:spacing w:before="60" w:after="60"/>
            </w:pPr>
            <w:r w:rsidRPr="00602824">
              <w:t>Several reviews, including those on surgical guides and biomodels, were seen as slow-moving and poorly communicated, contributing to prolonged uncertainty and limited consultation on key stages such as benefit reductions. Other reviews, such as for metal backed patella, were seen as rushed, with minimal time for sponsor response.</w:t>
            </w:r>
          </w:p>
          <w:p w14:paraId="1A87186E" w14:textId="77777777" w:rsidR="009A4BE6" w:rsidRPr="00602824" w:rsidRDefault="009A4BE6" w:rsidP="00A14A15">
            <w:pPr>
              <w:pStyle w:val="TableNBullet"/>
              <w:spacing w:before="60" w:after="60"/>
            </w:pPr>
            <w:r w:rsidRPr="00602824">
              <w:t>Stakeholders noted that some devices are unlikely to meet Incremental Cost Effectiveness Ratio (ICER) thresholds due to inherent limitations in evidence generation and argued for flexible pricing mechanisms in such cases.</w:t>
            </w:r>
          </w:p>
        </w:tc>
      </w:tr>
      <w:tr w:rsidR="009A4BE6" w:rsidRPr="00602824" w14:paraId="16F5CE87" w14:textId="77777777" w:rsidTr="78262323">
        <w:tc>
          <w:tcPr>
            <w:tcW w:w="2268" w:type="dxa"/>
            <w:shd w:val="clear" w:color="auto" w:fill="00264D" w:themeFill="background2"/>
          </w:tcPr>
          <w:p w14:paraId="458F21ED" w14:textId="77777777" w:rsidR="009A4BE6" w:rsidRPr="00602824" w:rsidRDefault="009A4BE6" w:rsidP="00FB712C">
            <w:pPr>
              <w:pStyle w:val="TableNheader"/>
              <w:keepNext w:val="0"/>
              <w:spacing w:before="60" w:after="60" w:line="240" w:lineRule="auto"/>
              <w:jc w:val="center"/>
              <w:rPr>
                <w:color w:val="FFFFFF" w:themeColor="background1"/>
              </w:rPr>
            </w:pPr>
            <w:r w:rsidRPr="00602824">
              <w:rPr>
                <w:color w:val="FFFFFF" w:themeColor="background1"/>
              </w:rPr>
              <w:t>Clinician representatives</w:t>
            </w:r>
          </w:p>
          <w:p w14:paraId="0EBF1859" w14:textId="77777777" w:rsidR="009A4BE6" w:rsidRPr="00602824" w:rsidRDefault="009A4BE6" w:rsidP="00FB712C">
            <w:pPr>
              <w:pStyle w:val="TableNheader"/>
              <w:keepNext w:val="0"/>
              <w:spacing w:before="60" w:after="60" w:line="240" w:lineRule="auto"/>
              <w:jc w:val="center"/>
              <w:rPr>
                <w:color w:val="FFFFFF" w:themeColor="background1"/>
              </w:rPr>
            </w:pPr>
            <w:r w:rsidRPr="00AC7E3F">
              <w:rPr>
                <w:noProof/>
              </w:rPr>
              <w:drawing>
                <wp:inline distT="0" distB="0" distL="0" distR="0" wp14:anchorId="1453A109" wp14:editId="675587B8">
                  <wp:extent cx="267970" cy="323215"/>
                  <wp:effectExtent l="0" t="0" r="0" b="635"/>
                  <wp:docPr id="251475994"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5415D43D" w14:textId="77777777" w:rsidR="009A4BE6" w:rsidRPr="00602824" w:rsidRDefault="009A4BE6" w:rsidP="00A14A15">
            <w:pPr>
              <w:pStyle w:val="TableNBullet"/>
              <w:spacing w:before="60" w:after="60"/>
            </w:pPr>
            <w:r w:rsidRPr="00602824">
              <w:t>Clinicians supported the principle of post-listing reviews but called for greater recognition of how early-stage innovation may carry higher costs while delivering long-term value.</w:t>
            </w:r>
          </w:p>
          <w:p w14:paraId="647C140E" w14:textId="0F9AD3F5" w:rsidR="009A4BE6" w:rsidRPr="00602824" w:rsidRDefault="009A4BE6" w:rsidP="00A14A15">
            <w:pPr>
              <w:pStyle w:val="TableNBullet"/>
              <w:spacing w:before="60" w:after="60"/>
            </w:pPr>
            <w:r w:rsidRPr="00602824">
              <w:t>They raised concerns that some reviews</w:t>
            </w:r>
            <w:r w:rsidR="005D5DA0">
              <w:t xml:space="preserve"> have</w:t>
            </w:r>
            <w:r w:rsidRPr="00602824">
              <w:t xml:space="preserve"> imposed restrictions that exceeded their scope, particularly on surgical guides and biomodels, and noted negative impacts on clinical choice.</w:t>
            </w:r>
          </w:p>
          <w:p w14:paraId="071A4C82" w14:textId="77777777" w:rsidR="009A4BE6" w:rsidRPr="00602824" w:rsidRDefault="009A4BE6" w:rsidP="00A14A15">
            <w:pPr>
              <w:pStyle w:val="TableNBullet"/>
              <w:spacing w:before="60" w:after="60"/>
            </w:pPr>
            <w:r w:rsidRPr="00602824">
              <w:t>The importance of allowing clinicians to tailor decisions to individual patient needs was emphasised.</w:t>
            </w:r>
          </w:p>
        </w:tc>
      </w:tr>
    </w:tbl>
    <w:p w14:paraId="237F7239" w14:textId="32E96846" w:rsidR="005A3504" w:rsidRPr="00602824" w:rsidRDefault="005A3504" w:rsidP="00471A4B">
      <w:pPr>
        <w:pStyle w:val="Heading3"/>
      </w:pPr>
      <w:r w:rsidRPr="00602824">
        <w:t xml:space="preserve">Implementation progress </w:t>
      </w:r>
      <w:r w:rsidR="00EA7573" w:rsidRPr="00602824">
        <w:t>(b</w:t>
      </w:r>
      <w:r w:rsidR="00015D9F" w:rsidRPr="00602824">
        <w:t>)</w:t>
      </w:r>
      <w:r w:rsidRPr="00602824">
        <w:t xml:space="preserve">: </w:t>
      </w:r>
      <w:r w:rsidR="00015D9F" w:rsidRPr="00602824">
        <w:t>c</w:t>
      </w:r>
      <w:r w:rsidRPr="00602824">
        <w:t xml:space="preserve">ompliance activities   </w:t>
      </w:r>
    </w:p>
    <w:tbl>
      <w:tblPr>
        <w:tblStyle w:val="NOUSSideHeader41"/>
        <w:tblW w:w="0" w:type="auto"/>
        <w:tblLook w:val="04A0" w:firstRow="1" w:lastRow="0" w:firstColumn="1" w:lastColumn="0" w:noHBand="0" w:noVBand="1"/>
      </w:tblPr>
      <w:tblGrid>
        <w:gridCol w:w="9061"/>
      </w:tblGrid>
      <w:tr w:rsidR="00CB6CC3" w:rsidRPr="00602824" w14:paraId="5CC12CC3" w14:textId="77777777" w:rsidTr="00ED4623">
        <w:trPr>
          <w:cnfStyle w:val="100000000000" w:firstRow="1" w:lastRow="0" w:firstColumn="0" w:lastColumn="0" w:oddVBand="0" w:evenVBand="0" w:oddHBand="0" w:evenHBand="0" w:firstRowFirstColumn="0" w:firstRowLastColumn="0" w:lastRowFirstColumn="0" w:lastRowLastColumn="0"/>
        </w:trPr>
        <w:tc>
          <w:tcPr>
            <w:tcW w:w="9061" w:type="dxa"/>
          </w:tcPr>
          <w:p w14:paraId="1F1E5012" w14:textId="498A5FE1" w:rsidR="005A3504" w:rsidRPr="00602824" w:rsidRDefault="00493D84" w:rsidP="008A41D5">
            <w:pPr>
              <w:spacing w:line="259" w:lineRule="auto"/>
            </w:pPr>
            <w:r w:rsidRPr="00602824">
              <w:t>The</w:t>
            </w:r>
            <w:r w:rsidR="005A3504" w:rsidRPr="00602824">
              <w:t xml:space="preserve"> Department committed to developing a formal compliance strategy and associated compliance mechanisms to safeguard the PL</w:t>
            </w:r>
            <w:r w:rsidRPr="00602824">
              <w:t xml:space="preserve"> as part of the reforms. </w:t>
            </w:r>
          </w:p>
          <w:p w14:paraId="7A1AB5CA" w14:textId="617EE51A" w:rsidR="005A3504" w:rsidRPr="00602824" w:rsidRDefault="00E95FDF" w:rsidP="008A41D5">
            <w:pPr>
              <w:spacing w:line="259" w:lineRule="auto"/>
            </w:pPr>
            <w:r w:rsidRPr="00602824">
              <w:t>A</w:t>
            </w:r>
            <w:r w:rsidR="00525BC9" w:rsidRPr="00602824">
              <w:t xml:space="preserve"> compliance strategy</w:t>
            </w:r>
            <w:r w:rsidRPr="00602824">
              <w:t xml:space="preserve"> was </w:t>
            </w:r>
            <w:r w:rsidR="00A863C2" w:rsidRPr="00602824">
              <w:t>published</w:t>
            </w:r>
            <w:r w:rsidRPr="00602824">
              <w:t xml:space="preserve"> by the Department</w:t>
            </w:r>
            <w:r w:rsidR="00525BC9" w:rsidRPr="00602824">
              <w:t xml:space="preserve"> and </w:t>
            </w:r>
            <w:r w:rsidR="00F63C1E" w:rsidRPr="00602824">
              <w:t xml:space="preserve">consultations were conducted on </w:t>
            </w:r>
            <w:r w:rsidR="00155996" w:rsidRPr="00602824">
              <w:t xml:space="preserve">various proposed measures for compliance, assurance and information sharing. </w:t>
            </w:r>
            <w:r w:rsidR="00493D84" w:rsidRPr="00602824">
              <w:t xml:space="preserve">These were discussed in </w:t>
            </w:r>
            <w:r w:rsidR="00493D84" w:rsidRPr="00602824">
              <w:rPr>
                <w:i/>
              </w:rPr>
              <w:t xml:space="preserve">Interim </w:t>
            </w:r>
            <w:r w:rsidR="007F602B" w:rsidRPr="00602824">
              <w:rPr>
                <w:i/>
                <w:iCs/>
              </w:rPr>
              <w:t>Evaluation #</w:t>
            </w:r>
            <w:r w:rsidR="00493D84" w:rsidRPr="00602824">
              <w:rPr>
                <w:i/>
              </w:rPr>
              <w:t>1</w:t>
            </w:r>
            <w:r w:rsidR="007F602B" w:rsidRPr="00602824">
              <w:rPr>
                <w:i/>
                <w:iCs/>
              </w:rPr>
              <w:t xml:space="preserve"> report</w:t>
            </w:r>
            <w:r w:rsidR="00493D84" w:rsidRPr="00602824">
              <w:t>.</w:t>
            </w:r>
            <w:r w:rsidR="00155996" w:rsidRPr="00602824">
              <w:t xml:space="preserve"> </w:t>
            </w:r>
            <w:r w:rsidR="00E40B3B" w:rsidRPr="00602824">
              <w:t xml:space="preserve">Since </w:t>
            </w:r>
            <w:r w:rsidR="00493D84" w:rsidRPr="00602824">
              <w:t>then</w:t>
            </w:r>
            <w:r w:rsidR="00E40B3B" w:rsidRPr="00602824">
              <w:t>, the Department</w:t>
            </w:r>
            <w:r w:rsidR="00384C82" w:rsidRPr="00602824">
              <w:t xml:space="preserve"> </w:t>
            </w:r>
            <w:r w:rsidR="00F63C1E" w:rsidRPr="00602824">
              <w:t>h</w:t>
            </w:r>
            <w:r w:rsidR="00B97B72" w:rsidRPr="00602824">
              <w:t xml:space="preserve">as </w:t>
            </w:r>
            <w:r w:rsidR="00E40B3B" w:rsidRPr="00602824">
              <w:t xml:space="preserve">consulted on two additional </w:t>
            </w:r>
            <w:r w:rsidR="00384C82" w:rsidRPr="00602824">
              <w:t xml:space="preserve">proposed </w:t>
            </w:r>
            <w:r w:rsidR="00E40B3B" w:rsidRPr="00602824">
              <w:t xml:space="preserve">compliance measures: </w:t>
            </w:r>
          </w:p>
          <w:p w14:paraId="39EFA22F" w14:textId="388C7F58" w:rsidR="00E40B3B" w:rsidRPr="00602824" w:rsidRDefault="00E40B3B" w:rsidP="008A41D5">
            <w:pPr>
              <w:pStyle w:val="Bullet"/>
            </w:pPr>
            <w:r w:rsidRPr="00602824">
              <w:rPr>
                <w:rFonts w:eastAsiaTheme="minorHAnsi"/>
              </w:rPr>
              <w:t xml:space="preserve">Consultation Paper 8a </w:t>
            </w:r>
            <w:r w:rsidRPr="00602824">
              <w:rPr>
                <w:rFonts w:eastAsiaTheme="minorHAnsi"/>
                <w:i/>
              </w:rPr>
              <w:t>Gifts, benefits and discount reporting requirements</w:t>
            </w:r>
            <w:r w:rsidRPr="00602824">
              <w:rPr>
                <w:rFonts w:eastAsiaTheme="minorHAnsi"/>
              </w:rPr>
              <w:t xml:space="preserve">: </w:t>
            </w:r>
            <w:r w:rsidR="003A17F2" w:rsidRPr="00602824">
              <w:rPr>
                <w:rFonts w:eastAsiaTheme="minorHAnsi"/>
              </w:rPr>
              <w:t xml:space="preserve">a </w:t>
            </w:r>
            <w:r w:rsidR="00B02CD5" w:rsidRPr="00602824">
              <w:rPr>
                <w:rFonts w:eastAsiaTheme="minorHAnsi"/>
              </w:rPr>
              <w:t xml:space="preserve">compliance </w:t>
            </w:r>
            <w:r w:rsidRPr="00602824">
              <w:rPr>
                <w:rFonts w:eastAsiaTheme="minorHAnsi"/>
              </w:rPr>
              <w:t xml:space="preserve">measure that would require hospitals or sponsors to maintain and report a </w:t>
            </w:r>
            <w:r w:rsidR="00B97B72" w:rsidRPr="00602824">
              <w:rPr>
                <w:rFonts w:eastAsiaTheme="minorHAnsi"/>
              </w:rPr>
              <w:t xml:space="preserve">register of </w:t>
            </w:r>
            <w:r w:rsidRPr="00602824">
              <w:rPr>
                <w:rFonts w:eastAsiaTheme="minorHAnsi"/>
              </w:rPr>
              <w:t>gifts, benefits and discount</w:t>
            </w:r>
            <w:r w:rsidR="00B97B72" w:rsidRPr="00602824">
              <w:rPr>
                <w:rFonts w:eastAsiaTheme="minorHAnsi"/>
              </w:rPr>
              <w:t>s</w:t>
            </w:r>
            <w:r w:rsidRPr="00602824">
              <w:rPr>
                <w:rFonts w:eastAsiaTheme="minorHAnsi"/>
              </w:rPr>
              <w:t>.</w:t>
            </w:r>
          </w:p>
          <w:p w14:paraId="51757B96" w14:textId="3843DFCC" w:rsidR="00E40B3B" w:rsidRPr="00602824" w:rsidRDefault="00E40B3B" w:rsidP="008A41D5">
            <w:pPr>
              <w:pStyle w:val="Bullet"/>
            </w:pPr>
            <w:r w:rsidRPr="00602824">
              <w:t xml:space="preserve">Consultation Paper 8b </w:t>
            </w:r>
            <w:r w:rsidRPr="00602824">
              <w:rPr>
                <w:i/>
              </w:rPr>
              <w:t>Alignment of amount charged for supply of a device with corresponding PL benefit</w:t>
            </w:r>
            <w:r w:rsidRPr="00602824">
              <w:t xml:space="preserve">: </w:t>
            </w:r>
            <w:r w:rsidR="003A17F2" w:rsidRPr="00602824">
              <w:t xml:space="preserve">a </w:t>
            </w:r>
            <w:r w:rsidR="00B02CD5" w:rsidRPr="00602824">
              <w:t xml:space="preserve">compliance </w:t>
            </w:r>
            <w:r w:rsidRPr="00602824">
              <w:t xml:space="preserve">measure </w:t>
            </w:r>
            <w:r w:rsidR="00B02CD5" w:rsidRPr="00602824">
              <w:t xml:space="preserve">that would restrict </w:t>
            </w:r>
            <w:r w:rsidRPr="00602824">
              <w:t xml:space="preserve">sponsors from charging an amount higher than the PL benefit for </w:t>
            </w:r>
            <w:r w:rsidR="00AC1E77" w:rsidRPr="00602824">
              <w:t xml:space="preserve">the supply of </w:t>
            </w:r>
            <w:r w:rsidRPr="00602824">
              <w:t>medical devices</w:t>
            </w:r>
            <w:r w:rsidR="00D73B38" w:rsidRPr="00602824">
              <w:t xml:space="preserve"> on the PL</w:t>
            </w:r>
            <w:r w:rsidRPr="00602824">
              <w:t>.</w:t>
            </w:r>
          </w:p>
          <w:p w14:paraId="13D7E6E2" w14:textId="3B2CAC81" w:rsidR="00E40B3B" w:rsidRPr="00602824" w:rsidRDefault="00CD47C8" w:rsidP="008A41D5">
            <w:r w:rsidRPr="00602824">
              <w:t xml:space="preserve">The Department concluded in January 2025 that there </w:t>
            </w:r>
            <w:r w:rsidR="00D73B38" w:rsidRPr="00602824">
              <w:t>was</w:t>
            </w:r>
            <w:r w:rsidRPr="00602824">
              <w:t xml:space="preserve"> insufficient evidence to justify legislating these two measures and they </w:t>
            </w:r>
            <w:r w:rsidR="00FC2A2A" w:rsidRPr="00602824">
              <w:t>would</w:t>
            </w:r>
            <w:r w:rsidRPr="00602824">
              <w:t xml:space="preserve"> not be included in the proposed Compliance, Assurance and Data Sharing Bill.</w:t>
            </w:r>
            <w:r w:rsidRPr="00602824">
              <w:rPr>
                <w:rStyle w:val="FootnoteReference"/>
              </w:rPr>
              <w:footnoteReference w:id="109"/>
            </w:r>
            <w:r w:rsidR="00C6258C" w:rsidRPr="00602824">
              <w:t xml:space="preserve"> </w:t>
            </w:r>
          </w:p>
        </w:tc>
      </w:tr>
    </w:tbl>
    <w:p w14:paraId="07927174" w14:textId="36C2B441" w:rsidR="005F65D3" w:rsidRPr="00602824" w:rsidRDefault="005F65D3" w:rsidP="005F65D3">
      <w:pPr>
        <w:pStyle w:val="Heading3"/>
      </w:pPr>
      <w:bookmarkStart w:id="91" w:name="_Ref199947582"/>
      <w:r w:rsidRPr="00602824">
        <w:lastRenderedPageBreak/>
        <w:t>A compliance program was an essential element of the reforms</w:t>
      </w:r>
    </w:p>
    <w:p w14:paraId="6ABBB510" w14:textId="50521AE6" w:rsidR="008C460F" w:rsidRPr="00602824" w:rsidRDefault="00153BF2" w:rsidP="00907C77">
      <w:r w:rsidRPr="00602824">
        <w:t>At the outset of the reforms, t</w:t>
      </w:r>
      <w:r w:rsidR="00907C77" w:rsidRPr="00602824">
        <w:t xml:space="preserve">he establishment of a compliance program was </w:t>
      </w:r>
      <w:r w:rsidR="0043429F" w:rsidRPr="00602824">
        <w:t>cons</w:t>
      </w:r>
      <w:r w:rsidRPr="00602824">
        <w:t xml:space="preserve">idered </w:t>
      </w:r>
      <w:r w:rsidR="00907C77" w:rsidRPr="00602824">
        <w:t xml:space="preserve">essential for safeguarding the integrity of the PL. This would </w:t>
      </w:r>
      <w:r w:rsidR="00B92799" w:rsidRPr="00602824">
        <w:t>encompass</w:t>
      </w:r>
      <w:r w:rsidR="00907C77" w:rsidRPr="00602824">
        <w:t xml:space="preserve"> arrangements </w:t>
      </w:r>
      <w:r w:rsidR="00B92799" w:rsidRPr="00602824">
        <w:t>that would</w:t>
      </w:r>
      <w:r w:rsidR="00907C77" w:rsidRPr="00602824">
        <w:t xml:space="preserve"> ensure robust administration of the PL, limit opportunities for gaming, and have power to address types of non-compliance actions and make compliance decisions. In May 2023, the Department released Prescribed List Compliance Strategy (The Strategy), which incorporated stakeholder feedback on the draft strategy that was open for consultation in September and October 2022.</w:t>
      </w:r>
      <w:r w:rsidR="00907C77" w:rsidRPr="00602824">
        <w:rPr>
          <w:rStyle w:val="FootnoteReference"/>
        </w:rPr>
        <w:footnoteReference w:id="110"/>
      </w:r>
      <w:r w:rsidR="008D4F60" w:rsidRPr="00602824">
        <w:t xml:space="preserve"> </w:t>
      </w:r>
    </w:p>
    <w:p w14:paraId="0A7C9486" w14:textId="66E7EEA9" w:rsidR="007D4707" w:rsidRPr="00602824" w:rsidRDefault="00907C77" w:rsidP="00907C77">
      <w:r w:rsidRPr="00602824">
        <w:t xml:space="preserve">The Strategy set out the compliance approach according to a responsive enforcement model, with steps the Department may take when there are concerns about </w:t>
      </w:r>
      <w:r w:rsidR="005B26F6" w:rsidRPr="00602824">
        <w:t>inappropriate</w:t>
      </w:r>
      <w:r w:rsidRPr="00602824">
        <w:t xml:space="preserve"> practices</w:t>
      </w:r>
      <w:r w:rsidR="007D4707" w:rsidRPr="00602824">
        <w:t xml:space="preserve"> that:</w:t>
      </w:r>
    </w:p>
    <w:p w14:paraId="0899D5DC" w14:textId="288FB480" w:rsidR="007D4707" w:rsidRPr="00602824" w:rsidRDefault="00F94292" w:rsidP="007D4707">
      <w:pPr>
        <w:pStyle w:val="Bullet"/>
        <w:rPr>
          <w:rStyle w:val="BulletChar"/>
        </w:rPr>
      </w:pPr>
      <w:r w:rsidRPr="00602824">
        <w:rPr>
          <w:rStyle w:val="BulletChar"/>
        </w:rPr>
        <w:t>D</w:t>
      </w:r>
      <w:r w:rsidR="007D4707" w:rsidRPr="00602824">
        <w:rPr>
          <w:rStyle w:val="BulletChar"/>
        </w:rPr>
        <w:t>istort the benefit price settings</w:t>
      </w:r>
    </w:p>
    <w:p w14:paraId="0AFE885C" w14:textId="1683EEE7" w:rsidR="007D4707" w:rsidRPr="00602824" w:rsidRDefault="00F94292" w:rsidP="007D4707">
      <w:pPr>
        <w:pStyle w:val="Bullet"/>
        <w:rPr>
          <w:rStyle w:val="BulletChar"/>
        </w:rPr>
      </w:pPr>
      <w:r w:rsidRPr="00602824">
        <w:rPr>
          <w:rStyle w:val="BulletChar"/>
        </w:rPr>
        <w:t xml:space="preserve">Encourage </w:t>
      </w:r>
      <w:r w:rsidR="007D4707" w:rsidRPr="00602824">
        <w:rPr>
          <w:rStyle w:val="BulletChar"/>
        </w:rPr>
        <w:t>artificial listing structures</w:t>
      </w:r>
    </w:p>
    <w:p w14:paraId="68F82062" w14:textId="24CFEE39" w:rsidR="007D4707" w:rsidRPr="00602824" w:rsidRDefault="00F94292" w:rsidP="007D4707">
      <w:pPr>
        <w:pStyle w:val="Bullet"/>
        <w:rPr>
          <w:rStyle w:val="BulletChar"/>
        </w:rPr>
      </w:pPr>
      <w:r w:rsidRPr="00602824">
        <w:rPr>
          <w:rStyle w:val="BulletChar"/>
        </w:rPr>
        <w:t xml:space="preserve">Establish </w:t>
      </w:r>
      <w:r w:rsidR="007D4707" w:rsidRPr="00602824">
        <w:rPr>
          <w:rStyle w:val="BulletChar"/>
        </w:rPr>
        <w:t xml:space="preserve">benchmark benefit pricing for discontinued or dormant devices </w:t>
      </w:r>
    </w:p>
    <w:p w14:paraId="4D5E0E12" w14:textId="476F0AEB" w:rsidR="007D4707" w:rsidRPr="00602824" w:rsidRDefault="00F94292" w:rsidP="007D4707">
      <w:pPr>
        <w:pStyle w:val="Bullet"/>
        <w:rPr>
          <w:rStyle w:val="BulletChar"/>
        </w:rPr>
      </w:pPr>
      <w:r w:rsidRPr="00602824">
        <w:rPr>
          <w:rStyle w:val="BulletChar"/>
        </w:rPr>
        <w:t xml:space="preserve">Support </w:t>
      </w:r>
      <w:r w:rsidR="007D4707" w:rsidRPr="00602824">
        <w:rPr>
          <w:rStyle w:val="BulletChar"/>
        </w:rPr>
        <w:t>fraudulent listing and/or utilization</w:t>
      </w:r>
    </w:p>
    <w:p w14:paraId="79BB078A" w14:textId="42D5352D" w:rsidR="007D4707" w:rsidRPr="00602824" w:rsidRDefault="00F94292" w:rsidP="007D4707">
      <w:pPr>
        <w:pStyle w:val="Bullet"/>
        <w:rPr>
          <w:rStyle w:val="BulletChar"/>
        </w:rPr>
      </w:pPr>
      <w:r w:rsidRPr="00602824">
        <w:rPr>
          <w:rStyle w:val="BulletChar"/>
        </w:rPr>
        <w:t xml:space="preserve">Result </w:t>
      </w:r>
      <w:r w:rsidR="007D4707" w:rsidRPr="00602824">
        <w:rPr>
          <w:rStyle w:val="BulletChar"/>
        </w:rPr>
        <w:t>in unfair listing arrangements (e.g. applying for incorrect grouping)</w:t>
      </w:r>
    </w:p>
    <w:p w14:paraId="0F3872EB" w14:textId="0F398C18" w:rsidR="007D4707" w:rsidRPr="00602824" w:rsidRDefault="00F94292" w:rsidP="007D4707">
      <w:pPr>
        <w:pStyle w:val="Bullet"/>
      </w:pPr>
      <w:r w:rsidRPr="00602824">
        <w:rPr>
          <w:rStyle w:val="BulletChar"/>
        </w:rPr>
        <w:t>Drive</w:t>
      </w:r>
      <w:r w:rsidR="007D4707" w:rsidRPr="00602824">
        <w:t xml:space="preserve"> increases to patient out-of-pocket expenses</w:t>
      </w:r>
      <w:r w:rsidR="009A4BE6" w:rsidRPr="00602824">
        <w:t>.</w:t>
      </w:r>
      <w:r w:rsidR="007D4707" w:rsidRPr="00602824">
        <w:rPr>
          <w:rStyle w:val="FootnoteReference"/>
        </w:rPr>
        <w:footnoteReference w:id="111"/>
      </w:r>
    </w:p>
    <w:p w14:paraId="23F811A2" w14:textId="2544929E" w:rsidR="000B1883" w:rsidRDefault="000B1883" w:rsidP="000B1883">
      <w:r w:rsidRPr="000B1883">
        <w:t>The evaluation is aware that the Strategy hosted on the Department’s website was updated in July 2025,</w:t>
      </w:r>
      <w:r w:rsidRPr="000B1883">
        <w:rPr>
          <w:rStyle w:val="FootnoteReference"/>
        </w:rPr>
        <w:footnoteReference w:id="112"/>
      </w:r>
      <w:r w:rsidRPr="000B1883">
        <w:t xml:space="preserve"> and this will be considered in the final report.</w:t>
      </w:r>
    </w:p>
    <w:p w14:paraId="544E7410" w14:textId="77A35817" w:rsidR="008E739C" w:rsidRPr="00602824" w:rsidRDefault="00AF16EA" w:rsidP="008E739C">
      <w:pPr>
        <w:pStyle w:val="Heading3"/>
      </w:pPr>
      <w:r w:rsidRPr="00602824">
        <w:t xml:space="preserve">Additional proposed compliance measures were not </w:t>
      </w:r>
      <w:r w:rsidR="008E739C" w:rsidRPr="00602824">
        <w:t>supported</w:t>
      </w:r>
    </w:p>
    <w:p w14:paraId="50C7D2F8" w14:textId="2E2D1E14" w:rsidR="008E2815" w:rsidRPr="00602824" w:rsidRDefault="00935623" w:rsidP="00FE37F7">
      <w:r w:rsidRPr="00602824">
        <w:t xml:space="preserve">Additional compliance measures, proposed in Consultation Papers </w:t>
      </w:r>
      <w:r w:rsidR="00394B83" w:rsidRPr="00602824">
        <w:t>8A</w:t>
      </w:r>
      <w:r w:rsidR="00907FE6" w:rsidRPr="00602824">
        <w:t xml:space="preserve"> and 8B were </w:t>
      </w:r>
      <w:r w:rsidR="00D65305" w:rsidRPr="00602824">
        <w:t xml:space="preserve">considered unjustified </w:t>
      </w:r>
      <w:r w:rsidR="00076DAE" w:rsidRPr="00602824">
        <w:t>based on the evidence.</w:t>
      </w:r>
      <w:r w:rsidR="00FE37F7" w:rsidRPr="00602824">
        <w:rPr>
          <w:rStyle w:val="FootnoteReference"/>
        </w:rPr>
        <w:footnoteReference w:id="113"/>
      </w:r>
      <w:r w:rsidR="00076DAE" w:rsidRPr="00602824">
        <w:t xml:space="preserve"> These measures would have required </w:t>
      </w:r>
      <w:r w:rsidR="00B90F79" w:rsidRPr="00602824">
        <w:t xml:space="preserve">hospitals or sponsors to maintain and report a register of gifts, benefits and discounts </w:t>
      </w:r>
      <w:r w:rsidR="005C23D2" w:rsidRPr="00602824">
        <w:t xml:space="preserve">and </w:t>
      </w:r>
      <w:r w:rsidR="00B90F79" w:rsidRPr="00602824">
        <w:t xml:space="preserve">would </w:t>
      </w:r>
      <w:r w:rsidR="005C23D2" w:rsidRPr="00602824">
        <w:t xml:space="preserve">have </w:t>
      </w:r>
      <w:r w:rsidR="00B90F79" w:rsidRPr="00602824">
        <w:t>restrict</w:t>
      </w:r>
      <w:r w:rsidR="005C23D2" w:rsidRPr="00602824">
        <w:t>ed</w:t>
      </w:r>
      <w:r w:rsidR="00B90F79" w:rsidRPr="00602824">
        <w:t xml:space="preserve"> sponsors from charging an amount higher than the PL benefit for the supply of medical devices on the PL.</w:t>
      </w:r>
      <w:r w:rsidR="008E739C" w:rsidRPr="00602824">
        <w:t xml:space="preserve"> The decision not </w:t>
      </w:r>
      <w:r w:rsidR="000C1FA9" w:rsidRPr="00602824">
        <w:t>to proceed with these additional measures was supported by most stakeholders.</w:t>
      </w:r>
      <w:bookmarkEnd w:id="91"/>
    </w:p>
    <w:p w14:paraId="63F699B9" w14:textId="46E0B2DB" w:rsidR="00B24E62" w:rsidRPr="00602824" w:rsidRDefault="00B24E62" w:rsidP="00B24E62">
      <w:pPr>
        <w:pStyle w:val="Heading3"/>
      </w:pPr>
      <w:r w:rsidRPr="00602824">
        <w:t xml:space="preserve">As a result of delays to legislative reform, the </w:t>
      </w:r>
      <w:r w:rsidR="00173C2C" w:rsidRPr="00602824">
        <w:t>adequacy</w:t>
      </w:r>
      <w:r w:rsidR="00F53031" w:rsidRPr="00602824">
        <w:t xml:space="preserve"> of compliance activity to safeguard the PL remains unclear.</w:t>
      </w:r>
    </w:p>
    <w:p w14:paraId="3E8CC3F2" w14:textId="4F59A5A8" w:rsidR="00AC129C" w:rsidRPr="00602824" w:rsidRDefault="00AC129C" w:rsidP="00AC129C">
      <w:r w:rsidRPr="00602824">
        <w:t>As of June 2025, the proposed Compliance, Assurance and Data Sharing Bill remains in draft form, and has not commenced the legislative process. The Department initially advised that the draft bill was expected to be finalised in 2025.</w:t>
      </w:r>
      <w:r w:rsidRPr="00602824">
        <w:rPr>
          <w:rStyle w:val="FootnoteReference"/>
        </w:rPr>
        <w:footnoteReference w:id="114"/>
      </w:r>
      <w:r w:rsidRPr="00602824">
        <w:t xml:space="preserve"> In July 2025, the Department updated the estimate to be 2026 or 2027. </w:t>
      </w:r>
    </w:p>
    <w:p w14:paraId="3945E0BF" w14:textId="6B5408C1" w:rsidR="00AC129C" w:rsidRPr="00602824" w:rsidRDefault="00AC129C" w:rsidP="00AC129C">
      <w:r w:rsidRPr="00602824">
        <w:rPr>
          <w:lang w:eastAsia="en-AU"/>
        </w:rPr>
        <w:t>A</w:t>
      </w:r>
      <w:r w:rsidRPr="00602824">
        <w:t xml:space="preserve">s a result of the delays to the legislation, the Department does not yet possess </w:t>
      </w:r>
      <w:r w:rsidR="009E621C" w:rsidRPr="00602824">
        <w:t xml:space="preserve">any additional </w:t>
      </w:r>
      <w:r w:rsidRPr="00602824">
        <w:t xml:space="preserve">powers to compel stakeholders to comply with </w:t>
      </w:r>
      <w:proofErr w:type="gramStart"/>
      <w:r w:rsidRPr="00602824">
        <w:t>the majority of</w:t>
      </w:r>
      <w:proofErr w:type="gramEnd"/>
      <w:r w:rsidRPr="00602824">
        <w:t xml:space="preserve"> compliance measures outlined in Consultation Paper 7. </w:t>
      </w:r>
      <w:r w:rsidR="00F2665A" w:rsidRPr="00602824">
        <w:t xml:space="preserve">Subsequent investigation </w:t>
      </w:r>
      <w:r w:rsidR="007B75DF" w:rsidRPr="00602824">
        <w:t xml:space="preserve">by the </w:t>
      </w:r>
      <w:r w:rsidR="002275E3" w:rsidRPr="00602824">
        <w:t xml:space="preserve">Department found that some of these measures </w:t>
      </w:r>
      <w:r w:rsidR="00F128FD" w:rsidRPr="00602824">
        <w:t xml:space="preserve">may already be covered by existing legislation or found in </w:t>
      </w:r>
      <w:r w:rsidR="0035193D" w:rsidRPr="00602824">
        <w:t xml:space="preserve">existing industry practice. </w:t>
      </w:r>
    </w:p>
    <w:p w14:paraId="48CBE451" w14:textId="77777777" w:rsidR="00AC129C" w:rsidRPr="00602824" w:rsidRDefault="00AC129C" w:rsidP="00AC129C">
      <w:r w:rsidRPr="00602824">
        <w:t xml:space="preserve">The compliance mechanisms currently available include PL device utilisation monitoring, post listing reviews and communication and education. The Department also </w:t>
      </w:r>
      <w:proofErr w:type="gramStart"/>
      <w:r w:rsidRPr="00602824">
        <w:t>has the ability to</w:t>
      </w:r>
      <w:proofErr w:type="gramEnd"/>
      <w:r w:rsidRPr="00602824">
        <w:t xml:space="preserve"> place conditions on the use of PL listed devices, as occurred </w:t>
      </w:r>
      <w:proofErr w:type="gramStart"/>
      <w:r w:rsidRPr="00602824">
        <w:t>as a result of</w:t>
      </w:r>
      <w:proofErr w:type="gramEnd"/>
      <w:r w:rsidRPr="00602824">
        <w:t xml:space="preserve"> post-listing review into surgical guides and biomodels. However, </w:t>
      </w:r>
      <w:r w:rsidRPr="00602824">
        <w:lastRenderedPageBreak/>
        <w:t xml:space="preserve">placing conditions of use is a highly uncommon action, with less than twenty devices on Part A currently having a condition restricting its reimbursement. </w:t>
      </w:r>
    </w:p>
    <w:p w14:paraId="2DBFC46B" w14:textId="7D404FDF" w:rsidR="004726B4" w:rsidRPr="00602824" w:rsidRDefault="004726B4" w:rsidP="00AC129C">
      <w:r w:rsidRPr="00602824">
        <w:t xml:space="preserve">The evaluation will continue to monitor developments and progress for the compliance reform project. </w:t>
      </w:r>
    </w:p>
    <w:p w14:paraId="69B3B4DE" w14:textId="785AC86C" w:rsidR="00F66844" w:rsidRPr="00602824" w:rsidRDefault="002C7373" w:rsidP="00FB712C">
      <w:pPr>
        <w:pStyle w:val="Heading3"/>
        <w:spacing w:before="300"/>
      </w:pPr>
      <w:r w:rsidRPr="00602824">
        <w:t>Existing dispute resolution arrangements are consi</w:t>
      </w:r>
      <w:r w:rsidR="00A07F4A" w:rsidRPr="00602824">
        <w:t>dered adequate</w:t>
      </w:r>
    </w:p>
    <w:p w14:paraId="49C85B02" w14:textId="16AEC32B" w:rsidR="006D3836" w:rsidRPr="00602824" w:rsidRDefault="006D3836" w:rsidP="005342E5">
      <w:pPr>
        <w:spacing w:after="160" w:line="259" w:lineRule="auto"/>
      </w:pPr>
      <w:r w:rsidRPr="00602824">
        <w:t xml:space="preserve">Private hospital representatives raised concerns </w:t>
      </w:r>
      <w:r w:rsidR="00B570FB">
        <w:t>about the absence of a</w:t>
      </w:r>
      <w:r w:rsidR="00B570FB" w:rsidRPr="00602824">
        <w:t xml:space="preserve"> </w:t>
      </w:r>
      <w:r w:rsidRPr="00602824">
        <w:t>formal</w:t>
      </w:r>
      <w:r w:rsidR="00813B5B">
        <w:t xml:space="preserve"> PL</w:t>
      </w:r>
      <w:r w:rsidRPr="00602824">
        <w:t xml:space="preserve"> dispute resolution pathway between insurers and hospitals</w:t>
      </w:r>
      <w:r w:rsidR="00813B5B">
        <w:t>,</w:t>
      </w:r>
      <w:r w:rsidRPr="00602824">
        <w:t xml:space="preserve"> </w:t>
      </w:r>
      <w:r w:rsidR="00813B5B">
        <w:t>identifying this as a</w:t>
      </w:r>
      <w:r w:rsidRPr="00602824">
        <w:t xml:space="preserve"> gap the Department should </w:t>
      </w:r>
      <w:r w:rsidR="00813B5B">
        <w:t>consider addressing</w:t>
      </w:r>
      <w:r w:rsidRPr="00602824">
        <w:t>.</w:t>
      </w:r>
      <w:r w:rsidR="008F2B96" w:rsidRPr="00602824">
        <w:rPr>
          <w:rStyle w:val="FootnoteReference"/>
        </w:rPr>
        <w:footnoteReference w:id="115"/>
      </w:r>
    </w:p>
    <w:p w14:paraId="0F7AAA4C" w14:textId="5011B463" w:rsidR="005342E5" w:rsidRDefault="00DA46D9" w:rsidP="005342E5">
      <w:pPr>
        <w:spacing w:after="160" w:line="259" w:lineRule="auto"/>
        <w:rPr>
          <w:lang w:eastAsia="en-AU"/>
        </w:rPr>
      </w:pPr>
      <w:r>
        <w:t>The</w:t>
      </w:r>
      <w:r w:rsidR="00385BA1" w:rsidRPr="00602824">
        <w:t xml:space="preserve"> </w:t>
      </w:r>
      <w:r w:rsidR="005342E5" w:rsidRPr="00602824">
        <w:t xml:space="preserve">evaluation </w:t>
      </w:r>
      <w:r w:rsidR="00813B5B">
        <w:t>consulted the</w:t>
      </w:r>
      <w:r w:rsidR="005342E5" w:rsidRPr="00602824">
        <w:t xml:space="preserve"> </w:t>
      </w:r>
      <w:r w:rsidR="00375E06" w:rsidRPr="00602824">
        <w:t>Office of the</w:t>
      </w:r>
      <w:r w:rsidR="005342E5" w:rsidRPr="00602824">
        <w:t xml:space="preserve"> Commonwealth Ombudsman</w:t>
      </w:r>
      <w:r w:rsidR="00385BA1" w:rsidRPr="00602824">
        <w:t xml:space="preserve">, </w:t>
      </w:r>
      <w:r w:rsidR="00813B5B">
        <w:t>which</w:t>
      </w:r>
      <w:r w:rsidR="00813B5B" w:rsidRPr="00602824">
        <w:t xml:space="preserve"> </w:t>
      </w:r>
      <w:r w:rsidR="00385BA1" w:rsidRPr="00602824">
        <w:t xml:space="preserve">confirmed it receives a small number of </w:t>
      </w:r>
      <w:r w:rsidR="005342E5" w:rsidRPr="00602824">
        <w:t xml:space="preserve">complaints related to </w:t>
      </w:r>
      <w:r w:rsidR="0048319C" w:rsidRPr="00602824">
        <w:t>PL items</w:t>
      </w:r>
      <w:r w:rsidR="00385BA1" w:rsidRPr="00602824">
        <w:t>, some</w:t>
      </w:r>
      <w:r w:rsidR="005342E5" w:rsidRPr="00602824">
        <w:t xml:space="preserve"> </w:t>
      </w:r>
      <w:r w:rsidR="00813B5B">
        <w:t>involving</w:t>
      </w:r>
      <w:r w:rsidR="00385BA1" w:rsidRPr="00602824">
        <w:t xml:space="preserve"> hospital-insurer disputes.</w:t>
      </w:r>
      <w:r w:rsidR="0061115D" w:rsidRPr="00602824">
        <w:t xml:space="preserve"> </w:t>
      </w:r>
      <w:r w:rsidR="004D1A37" w:rsidRPr="00602824">
        <w:t xml:space="preserve">In carrying out </w:t>
      </w:r>
      <w:r w:rsidR="23E3547E" w:rsidRPr="00602824">
        <w:t xml:space="preserve">its </w:t>
      </w:r>
      <w:r w:rsidR="56776775" w:rsidRPr="00602824">
        <w:t>role</w:t>
      </w:r>
      <w:r w:rsidR="004D1A37" w:rsidRPr="00602824">
        <w:t xml:space="preserve">, the Ombudsman may make recommendations on individual cases, report on systemic issues or refer matters to the Department with a view to protecting the interests of private health insurance consumers. </w:t>
      </w:r>
      <w:r w:rsidR="0061115D" w:rsidRPr="00602824">
        <w:t xml:space="preserve"> </w:t>
      </w:r>
      <w:r w:rsidR="00937315" w:rsidRPr="00602824">
        <w:t>However</w:t>
      </w:r>
      <w:r w:rsidR="00291FCF" w:rsidRPr="00602824">
        <w:t>, a</w:t>
      </w:r>
      <w:r w:rsidR="000C07EB" w:rsidRPr="00602824">
        <w:rPr>
          <w:lang w:eastAsia="en-AU"/>
        </w:rPr>
        <w:t xml:space="preserve">s </w:t>
      </w:r>
      <w:r w:rsidR="00385BA1" w:rsidRPr="00602824">
        <w:rPr>
          <w:lang w:eastAsia="en-AU"/>
        </w:rPr>
        <w:t>outlined</w:t>
      </w:r>
      <w:r w:rsidR="000C07EB" w:rsidRPr="00602824">
        <w:rPr>
          <w:lang w:eastAsia="en-AU"/>
        </w:rPr>
        <w:t xml:space="preserve"> in </w:t>
      </w:r>
      <w:r w:rsidR="000377F0">
        <w:rPr>
          <w:lang w:eastAsia="en-AU"/>
        </w:rPr>
        <w:t>Section</w:t>
      </w:r>
      <w:r w:rsidR="000377F0" w:rsidRPr="00602824">
        <w:rPr>
          <w:lang w:eastAsia="en-AU"/>
        </w:rPr>
        <w:t xml:space="preserve"> </w:t>
      </w:r>
      <w:r w:rsidR="000C07EB" w:rsidRPr="00602824">
        <w:rPr>
          <w:lang w:eastAsia="en-AU"/>
        </w:rPr>
        <w:fldChar w:fldCharType="begin"/>
      </w:r>
      <w:r w:rsidR="000C07EB" w:rsidRPr="00602824">
        <w:rPr>
          <w:lang w:eastAsia="en-AU"/>
        </w:rPr>
        <w:instrText xml:space="preserve"> REF _Ref202812206 \r \h </w:instrText>
      </w:r>
      <w:r w:rsidR="000C07EB" w:rsidRPr="00602824">
        <w:rPr>
          <w:lang w:eastAsia="en-AU"/>
        </w:rPr>
      </w:r>
      <w:r w:rsidR="000C07EB" w:rsidRPr="00602824">
        <w:rPr>
          <w:lang w:eastAsia="en-AU"/>
        </w:rPr>
        <w:fldChar w:fldCharType="separate"/>
      </w:r>
      <w:r w:rsidR="00D30634">
        <w:rPr>
          <w:lang w:eastAsia="en-AU"/>
        </w:rPr>
        <w:t>2.2.2</w:t>
      </w:r>
      <w:r w:rsidR="000C07EB" w:rsidRPr="00602824">
        <w:rPr>
          <w:lang w:eastAsia="en-AU"/>
        </w:rPr>
        <w:fldChar w:fldCharType="end"/>
      </w:r>
      <w:r w:rsidR="000C07EB" w:rsidRPr="00602824">
        <w:rPr>
          <w:lang w:eastAsia="en-AU"/>
        </w:rPr>
        <w:t>, the Ombudsman has not observed any systemic</w:t>
      </w:r>
      <w:r w:rsidR="0037217D" w:rsidRPr="00602824">
        <w:rPr>
          <w:lang w:eastAsia="en-AU"/>
        </w:rPr>
        <w:t xml:space="preserve"> trends</w:t>
      </w:r>
      <w:r w:rsidR="000C07EB" w:rsidRPr="00602824">
        <w:rPr>
          <w:lang w:eastAsia="en-AU"/>
        </w:rPr>
        <w:t xml:space="preserve"> of concern</w:t>
      </w:r>
      <w:r w:rsidR="007E775E" w:rsidRPr="00602824">
        <w:rPr>
          <w:lang w:eastAsia="en-AU"/>
        </w:rPr>
        <w:t xml:space="preserve"> related to </w:t>
      </w:r>
      <w:r w:rsidR="0048319C" w:rsidRPr="00602824">
        <w:rPr>
          <w:lang w:eastAsia="en-AU"/>
        </w:rPr>
        <w:t>PL items</w:t>
      </w:r>
      <w:r w:rsidR="000C07EB" w:rsidRPr="00602824">
        <w:rPr>
          <w:lang w:eastAsia="en-AU"/>
        </w:rPr>
        <w:t>.</w:t>
      </w:r>
      <w:r w:rsidR="00124A60" w:rsidRPr="00602824">
        <w:rPr>
          <w:lang w:eastAsia="en-AU"/>
        </w:rPr>
        <w:t xml:space="preserve"> </w:t>
      </w:r>
    </w:p>
    <w:p w14:paraId="69B7CE4E" w14:textId="0C02D8BB" w:rsidR="001F7C1D" w:rsidRPr="00602824" w:rsidRDefault="005C0D51" w:rsidP="005342E5">
      <w:pPr>
        <w:spacing w:after="160" w:line="259" w:lineRule="auto"/>
        <w:rPr>
          <w:lang w:eastAsia="en-AU"/>
        </w:rPr>
      </w:pPr>
      <w:r>
        <w:rPr>
          <w:lang w:eastAsia="en-AU"/>
        </w:rPr>
        <w:t>T</w:t>
      </w:r>
      <w:r w:rsidR="5857ABB7" w:rsidRPr="0361C785">
        <w:rPr>
          <w:lang w:eastAsia="en-AU"/>
        </w:rPr>
        <w:t xml:space="preserve">he evaluation was advised </w:t>
      </w:r>
      <w:r w:rsidR="00C503E5">
        <w:rPr>
          <w:lang w:eastAsia="en-AU"/>
        </w:rPr>
        <w:t xml:space="preserve">that </w:t>
      </w:r>
      <w:r w:rsidR="00F86B6B">
        <w:rPr>
          <w:lang w:eastAsia="en-AU"/>
        </w:rPr>
        <w:t xml:space="preserve">some hospitals do not </w:t>
      </w:r>
      <w:r w:rsidR="00375CF2">
        <w:rPr>
          <w:lang w:eastAsia="en-AU"/>
        </w:rPr>
        <w:t>pursue</w:t>
      </w:r>
      <w:r w:rsidR="00F86B6B">
        <w:rPr>
          <w:lang w:eastAsia="en-AU"/>
        </w:rPr>
        <w:t xml:space="preserve"> disputes with insurers through the Ombudsman, perceiving the process to be ineffective or burdensome. </w:t>
      </w:r>
      <w:r w:rsidR="00375CF2">
        <w:rPr>
          <w:lang w:eastAsia="en-AU"/>
        </w:rPr>
        <w:t>Th</w:t>
      </w:r>
      <w:r w:rsidR="006120D2">
        <w:rPr>
          <w:lang w:eastAsia="en-AU"/>
        </w:rPr>
        <w:t xml:space="preserve">is indicates </w:t>
      </w:r>
      <w:r w:rsidR="35968F4F" w:rsidRPr="0361C785">
        <w:rPr>
          <w:lang w:eastAsia="en-AU"/>
        </w:rPr>
        <w:t xml:space="preserve">that the number of </w:t>
      </w:r>
      <w:r w:rsidR="338571B5" w:rsidRPr="0361C785">
        <w:rPr>
          <w:lang w:eastAsia="en-AU"/>
        </w:rPr>
        <w:t xml:space="preserve"> </w:t>
      </w:r>
      <w:r w:rsidR="006120D2">
        <w:rPr>
          <w:lang w:eastAsia="en-AU"/>
        </w:rPr>
        <w:t xml:space="preserve"> Ombudsman </w:t>
      </w:r>
      <w:r w:rsidR="005D083A">
        <w:rPr>
          <w:lang w:eastAsia="en-AU"/>
        </w:rPr>
        <w:t xml:space="preserve">cases </w:t>
      </w:r>
      <w:r w:rsidR="33D8F9F2" w:rsidRPr="0361C785">
        <w:rPr>
          <w:lang w:eastAsia="en-AU"/>
        </w:rPr>
        <w:t xml:space="preserve">likely </w:t>
      </w:r>
      <w:r w:rsidR="296F3DC5" w:rsidRPr="0361C785">
        <w:rPr>
          <w:lang w:eastAsia="en-AU"/>
        </w:rPr>
        <w:t>underrepresent</w:t>
      </w:r>
      <w:r w:rsidR="7D74ED44" w:rsidRPr="0361C785">
        <w:rPr>
          <w:lang w:eastAsia="en-AU"/>
        </w:rPr>
        <w:t>s</w:t>
      </w:r>
      <w:r w:rsidR="005D083A">
        <w:rPr>
          <w:lang w:eastAsia="en-AU"/>
        </w:rPr>
        <w:t xml:space="preserve"> the extent of disputes between </w:t>
      </w:r>
      <w:r w:rsidR="00BB5A10">
        <w:rPr>
          <w:lang w:eastAsia="en-AU"/>
        </w:rPr>
        <w:t xml:space="preserve">PL </w:t>
      </w:r>
      <w:r w:rsidR="005D083A">
        <w:rPr>
          <w:lang w:eastAsia="en-AU"/>
        </w:rPr>
        <w:t>parties.</w:t>
      </w:r>
    </w:p>
    <w:p w14:paraId="6D276CC2" w14:textId="54005FE0" w:rsidR="00C56DD0" w:rsidRPr="00602824" w:rsidRDefault="749B6DA4" w:rsidP="00124A60">
      <w:pPr>
        <w:spacing w:after="160" w:line="259" w:lineRule="auto"/>
      </w:pPr>
      <w:r>
        <w:t>The</w:t>
      </w:r>
      <w:r w:rsidR="465948D8">
        <w:t xml:space="preserve"> evaluation notes that the </w:t>
      </w:r>
      <w:r w:rsidR="00DE3DB6">
        <w:t xml:space="preserve">PL </w:t>
      </w:r>
      <w:r w:rsidR="341305FF">
        <w:t xml:space="preserve">does </w:t>
      </w:r>
      <w:r w:rsidR="00DE3DB6">
        <w:t xml:space="preserve">not govern the contractual relationships between </w:t>
      </w:r>
      <w:r w:rsidR="003755C3">
        <w:t>PL</w:t>
      </w:r>
      <w:r w:rsidR="00DE3DB6">
        <w:t xml:space="preserve"> parties</w:t>
      </w:r>
      <w:r w:rsidR="64CE866D">
        <w:t xml:space="preserve">. The addition of a dispute resolution function, as </w:t>
      </w:r>
      <w:r w:rsidR="07AF53BF">
        <w:t>advocated by some stakeholders, could be considered by the contractual parties.</w:t>
      </w:r>
    </w:p>
    <w:p w14:paraId="02510617" w14:textId="3C11C8A1" w:rsidR="00D36B23" w:rsidRPr="00602824" w:rsidRDefault="00C67504" w:rsidP="00FB712C">
      <w:pPr>
        <w:pStyle w:val="Heading3"/>
        <w:spacing w:before="300"/>
      </w:pPr>
      <w:r w:rsidRPr="00602824">
        <w:t xml:space="preserve">Stakeholder </w:t>
      </w:r>
      <w:r w:rsidR="00DD5F79" w:rsidRPr="00602824">
        <w:t>perspectives</w:t>
      </w:r>
    </w:p>
    <w:p w14:paraId="2783D0FD" w14:textId="2D6AEF6A" w:rsidR="00B146BE" w:rsidRPr="00602824" w:rsidRDefault="00E15927">
      <w:pPr>
        <w:spacing w:after="160" w:line="259" w:lineRule="auto"/>
        <w:rPr>
          <w:lang w:eastAsia="en-AU"/>
        </w:rPr>
      </w:pPr>
      <w:r w:rsidRPr="00602824">
        <w:rPr>
          <w:lang w:eastAsia="en-AU"/>
        </w:rPr>
        <w:t xml:space="preserve">Stakeholders </w:t>
      </w:r>
      <w:r w:rsidR="00CE77F1">
        <w:rPr>
          <w:lang w:eastAsia="en-AU"/>
        </w:rPr>
        <w:t>raised</w:t>
      </w:r>
      <w:r w:rsidR="00CE77F1" w:rsidRPr="00602824">
        <w:rPr>
          <w:lang w:eastAsia="en-AU"/>
        </w:rPr>
        <w:t xml:space="preserve"> </w:t>
      </w:r>
      <w:r w:rsidRPr="00602824">
        <w:rPr>
          <w:lang w:eastAsia="en-AU"/>
        </w:rPr>
        <w:t xml:space="preserve">widespread concern about the adequacy, clarity, and fairness of compliance arrangements under the PL reforms. </w:t>
      </w:r>
    </w:p>
    <w:p w14:paraId="3A94775A" w14:textId="35C3E5CB" w:rsidR="00783625" w:rsidRPr="00602824" w:rsidRDefault="00B146BE" w:rsidP="005342E5">
      <w:pPr>
        <w:spacing w:after="160" w:line="259" w:lineRule="auto"/>
      </w:pPr>
      <w:r w:rsidRPr="00602824">
        <w:rPr>
          <w:lang w:eastAsia="en-AU"/>
        </w:rPr>
        <w:t>The p</w:t>
      </w:r>
      <w:r w:rsidR="00E15927" w:rsidRPr="00602824">
        <w:rPr>
          <w:lang w:eastAsia="en-AU"/>
        </w:rPr>
        <w:t xml:space="preserve">rivate hospital </w:t>
      </w:r>
      <w:r w:rsidRPr="00602824">
        <w:rPr>
          <w:lang w:eastAsia="en-AU"/>
        </w:rPr>
        <w:t>sector</w:t>
      </w:r>
      <w:r w:rsidR="00E15927" w:rsidRPr="00602824">
        <w:rPr>
          <w:lang w:eastAsia="en-AU"/>
        </w:rPr>
        <w:t xml:space="preserve"> </w:t>
      </w:r>
      <w:r w:rsidR="00751038">
        <w:rPr>
          <w:lang w:eastAsia="en-AU"/>
        </w:rPr>
        <w:t>raised issue</w:t>
      </w:r>
      <w:r w:rsidR="774CC8FF" w:rsidRPr="0D916F59">
        <w:rPr>
          <w:lang w:eastAsia="en-AU"/>
        </w:rPr>
        <w:t xml:space="preserve"> </w:t>
      </w:r>
      <w:r w:rsidR="00881D14">
        <w:rPr>
          <w:lang w:eastAsia="en-AU"/>
        </w:rPr>
        <w:t>with</w:t>
      </w:r>
      <w:r w:rsidR="774CC8FF" w:rsidRPr="0D916F59">
        <w:rPr>
          <w:lang w:eastAsia="en-AU"/>
        </w:rPr>
        <w:t xml:space="preserve"> what they </w:t>
      </w:r>
      <w:r w:rsidR="00881D14">
        <w:rPr>
          <w:lang w:eastAsia="en-AU"/>
        </w:rPr>
        <w:t>view</w:t>
      </w:r>
      <w:r w:rsidR="774CC8FF" w:rsidRPr="0D916F59">
        <w:rPr>
          <w:lang w:eastAsia="en-AU"/>
        </w:rPr>
        <w:t xml:space="preserve"> as</w:t>
      </w:r>
      <w:r w:rsidR="00E15927" w:rsidRPr="00602824">
        <w:rPr>
          <w:lang w:eastAsia="en-AU"/>
        </w:rPr>
        <w:t xml:space="preserve"> under-resourcing within the Department</w:t>
      </w:r>
      <w:r w:rsidR="00881D14">
        <w:rPr>
          <w:lang w:eastAsia="en-AU"/>
        </w:rPr>
        <w:t>,</w:t>
      </w:r>
      <w:r w:rsidR="00E15927" w:rsidRPr="00602824">
        <w:rPr>
          <w:lang w:eastAsia="en-AU"/>
        </w:rPr>
        <w:t xml:space="preserve"> </w:t>
      </w:r>
      <w:r w:rsidR="015C407C" w:rsidRPr="0D916F59">
        <w:rPr>
          <w:lang w:eastAsia="en-AU"/>
        </w:rPr>
        <w:t xml:space="preserve">as well as </w:t>
      </w:r>
      <w:r w:rsidR="00E15927" w:rsidRPr="00602824">
        <w:rPr>
          <w:lang w:eastAsia="en-AU"/>
        </w:rPr>
        <w:t xml:space="preserve">a lack of enforceable obligations on insurers, leading to claim rejections and costly dispute resolution processes. They </w:t>
      </w:r>
      <w:r w:rsidR="00C645D9">
        <w:t>expressed concerns about the overall compliance strategy, particularly regarding balance, transparency, and administrative burden</w:t>
      </w:r>
      <w:r w:rsidR="003E2554">
        <w:t>, stating</w:t>
      </w:r>
      <w:r w:rsidR="00F6594E">
        <w:t xml:space="preserve"> that the</w:t>
      </w:r>
      <w:r w:rsidR="00A21BF1">
        <w:t xml:space="preserve"> current compliance approach disproportionately focuses on hospitals while failing to address insurer-related issues, such as the nonpayment of </w:t>
      </w:r>
      <w:r w:rsidR="5AE5D5F9">
        <w:t xml:space="preserve">what they believe are </w:t>
      </w:r>
      <w:r w:rsidR="00A21BF1">
        <w:t>valid prostheses claims</w:t>
      </w:r>
      <w:r w:rsidR="00F97F9E">
        <w:t xml:space="preserve">. </w:t>
      </w:r>
      <w:r w:rsidR="003E2554">
        <w:t xml:space="preserve">One </w:t>
      </w:r>
      <w:r w:rsidR="00F97F9E">
        <w:t xml:space="preserve">representative </w:t>
      </w:r>
      <w:r w:rsidR="00D35850">
        <w:t xml:space="preserve">called for a </w:t>
      </w:r>
      <w:r w:rsidR="00A21BF1">
        <w:t>comprehensive compliance framework that ensures equitable accountability across all stakeholders</w:t>
      </w:r>
      <w:r w:rsidR="00F97F9E">
        <w:t xml:space="preserve">, while another </w:t>
      </w:r>
      <w:r w:rsidR="00D35850">
        <w:t>requested</w:t>
      </w:r>
      <w:r w:rsidR="00F97F9E">
        <w:t xml:space="preserve"> </w:t>
      </w:r>
      <w:r w:rsidR="00E15927" w:rsidRPr="00602824">
        <w:rPr>
          <w:lang w:eastAsia="en-AU"/>
        </w:rPr>
        <w:t>greater transparency and reporting requirements</w:t>
      </w:r>
      <w:r w:rsidR="00A73E5F" w:rsidRPr="00602824">
        <w:rPr>
          <w:lang w:eastAsia="en-AU"/>
        </w:rPr>
        <w:t xml:space="preserve">, </w:t>
      </w:r>
      <w:r w:rsidR="006B0AC9" w:rsidRPr="00602824">
        <w:rPr>
          <w:lang w:eastAsia="en-AU"/>
        </w:rPr>
        <w:t xml:space="preserve">as well </w:t>
      </w:r>
      <w:r w:rsidR="00D35850">
        <w:rPr>
          <w:lang w:eastAsia="en-AU"/>
        </w:rPr>
        <w:t>the addition of</w:t>
      </w:r>
      <w:r w:rsidR="00D35850" w:rsidRPr="00602824">
        <w:rPr>
          <w:lang w:eastAsia="en-AU"/>
        </w:rPr>
        <w:t xml:space="preserve"> </w:t>
      </w:r>
      <w:r w:rsidR="006B0AC9" w:rsidRPr="00602824">
        <w:rPr>
          <w:lang w:eastAsia="en-AU"/>
        </w:rPr>
        <w:t xml:space="preserve">a dispute resolution function </w:t>
      </w:r>
      <w:r w:rsidR="00447AEB">
        <w:rPr>
          <w:lang w:eastAsia="en-AU"/>
        </w:rPr>
        <w:t>within</w:t>
      </w:r>
      <w:r w:rsidR="00447AEB" w:rsidRPr="00602824">
        <w:rPr>
          <w:lang w:eastAsia="en-AU"/>
        </w:rPr>
        <w:t xml:space="preserve"> </w:t>
      </w:r>
      <w:r w:rsidR="006B0AC9" w:rsidRPr="00602824">
        <w:rPr>
          <w:lang w:eastAsia="en-AU"/>
        </w:rPr>
        <w:t>the Department.</w:t>
      </w:r>
    </w:p>
    <w:p w14:paraId="0CD3ABAE" w14:textId="36526BDC" w:rsidR="00783625" w:rsidRPr="00602824" w:rsidRDefault="00545982">
      <w:pPr>
        <w:spacing w:after="160" w:line="259" w:lineRule="auto"/>
        <w:rPr>
          <w:lang w:eastAsia="en-AU"/>
        </w:rPr>
      </w:pPr>
      <w:r w:rsidRPr="00602824">
        <w:rPr>
          <w:lang w:eastAsia="en-AU"/>
        </w:rPr>
        <w:t xml:space="preserve">Private health </w:t>
      </w:r>
      <w:r w:rsidR="00B05AFA" w:rsidRPr="00602824">
        <w:rPr>
          <w:lang w:eastAsia="en-AU"/>
        </w:rPr>
        <w:t xml:space="preserve">insurance </w:t>
      </w:r>
      <w:r w:rsidR="00783625" w:rsidRPr="00602824">
        <w:rPr>
          <w:lang w:eastAsia="en-AU"/>
        </w:rPr>
        <w:t>representatives</w:t>
      </w:r>
      <w:r w:rsidRPr="00602824">
        <w:rPr>
          <w:lang w:eastAsia="en-AU"/>
        </w:rPr>
        <w:t xml:space="preserve"> criticised the slow progress and weak enforcement of compliance measures, warning that the absence of </w:t>
      </w:r>
      <w:r w:rsidR="007343E0" w:rsidRPr="00602824">
        <w:rPr>
          <w:lang w:eastAsia="en-AU"/>
        </w:rPr>
        <w:t xml:space="preserve">additional </w:t>
      </w:r>
      <w:r w:rsidRPr="00602824">
        <w:rPr>
          <w:lang w:eastAsia="en-AU"/>
        </w:rPr>
        <w:t xml:space="preserve">legislative backing </w:t>
      </w:r>
      <w:r w:rsidR="00CE04EB" w:rsidRPr="00602824">
        <w:rPr>
          <w:lang w:eastAsia="en-AU"/>
        </w:rPr>
        <w:t>may leave</w:t>
      </w:r>
      <w:r w:rsidRPr="00602824">
        <w:rPr>
          <w:lang w:eastAsia="en-AU"/>
        </w:rPr>
        <w:t xml:space="preserve"> </w:t>
      </w:r>
      <w:r w:rsidR="00CC6491" w:rsidRPr="00602824">
        <w:rPr>
          <w:lang w:eastAsia="en-AU"/>
        </w:rPr>
        <w:t>the PL susceptible to</w:t>
      </w:r>
      <w:r w:rsidRPr="00602824">
        <w:rPr>
          <w:lang w:eastAsia="en-AU"/>
        </w:rPr>
        <w:t xml:space="preserve"> fraud and system gaming. They advocated for full visibility of </w:t>
      </w:r>
      <w:r w:rsidR="008F3812" w:rsidRPr="00602824">
        <w:rPr>
          <w:lang w:eastAsia="en-AU"/>
        </w:rPr>
        <w:t>claimed device</w:t>
      </w:r>
      <w:r w:rsidRPr="00602824">
        <w:rPr>
          <w:lang w:eastAsia="en-AU"/>
        </w:rPr>
        <w:t xml:space="preserve"> product codes and a centralised, auditable register.</w:t>
      </w:r>
    </w:p>
    <w:p w14:paraId="1327ADE2" w14:textId="74DD5695" w:rsidR="00783625" w:rsidRPr="00602824" w:rsidRDefault="00545982">
      <w:pPr>
        <w:spacing w:after="160" w:line="259" w:lineRule="auto"/>
        <w:rPr>
          <w:lang w:eastAsia="en-AU"/>
        </w:rPr>
      </w:pPr>
      <w:r w:rsidRPr="00602824">
        <w:rPr>
          <w:lang w:eastAsia="en-AU"/>
        </w:rPr>
        <w:t xml:space="preserve">Medical technology </w:t>
      </w:r>
      <w:r w:rsidR="00783625" w:rsidRPr="00602824">
        <w:rPr>
          <w:lang w:eastAsia="en-AU"/>
        </w:rPr>
        <w:t>representatives</w:t>
      </w:r>
      <w:r w:rsidRPr="00602824">
        <w:rPr>
          <w:lang w:eastAsia="en-AU"/>
        </w:rPr>
        <w:t xml:space="preserve"> </w:t>
      </w:r>
      <w:r w:rsidR="007A0010" w:rsidRPr="00602824">
        <w:rPr>
          <w:lang w:eastAsia="en-AU"/>
        </w:rPr>
        <w:t xml:space="preserve">were concerned </w:t>
      </w:r>
      <w:r w:rsidRPr="00602824">
        <w:rPr>
          <w:lang w:eastAsia="en-AU"/>
        </w:rPr>
        <w:t>that compliance efforts appear to disproportionately target industry while failing to address insurer non-payment. They</w:t>
      </w:r>
      <w:r w:rsidRPr="00602824" w:rsidDel="007A0010">
        <w:rPr>
          <w:lang w:eastAsia="en-AU"/>
        </w:rPr>
        <w:t xml:space="preserve"> </w:t>
      </w:r>
      <w:r w:rsidR="007A0010" w:rsidRPr="00602824">
        <w:rPr>
          <w:lang w:eastAsia="en-AU"/>
        </w:rPr>
        <w:t xml:space="preserve">supported </w:t>
      </w:r>
      <w:r w:rsidRPr="00602824">
        <w:rPr>
          <w:lang w:eastAsia="en-AU"/>
        </w:rPr>
        <w:t xml:space="preserve">the Department’s decision not to proceed with earlier proposals </w:t>
      </w:r>
      <w:r w:rsidR="00C75DE0" w:rsidRPr="00602824">
        <w:rPr>
          <w:lang w:eastAsia="en-AU"/>
        </w:rPr>
        <w:t>(measures 8a and 8b)</w:t>
      </w:r>
      <w:r w:rsidRPr="00602824">
        <w:rPr>
          <w:lang w:eastAsia="en-AU"/>
        </w:rPr>
        <w:t xml:space="preserve"> to mandate discount disclosures and price caps. </w:t>
      </w:r>
    </w:p>
    <w:p w14:paraId="32BBCCF5" w14:textId="19A9F6C1" w:rsidR="00545982" w:rsidRPr="00602824" w:rsidRDefault="00545982">
      <w:pPr>
        <w:spacing w:after="160" w:line="259" w:lineRule="auto"/>
        <w:rPr>
          <w:lang w:eastAsia="en-AU"/>
        </w:rPr>
      </w:pPr>
      <w:r w:rsidRPr="00602824">
        <w:rPr>
          <w:lang w:eastAsia="en-AU"/>
        </w:rPr>
        <w:t>Clinic</w:t>
      </w:r>
      <w:r w:rsidR="007E7C49" w:rsidRPr="00602824">
        <w:rPr>
          <w:lang w:eastAsia="en-AU"/>
        </w:rPr>
        <w:t>ian</w:t>
      </w:r>
      <w:r w:rsidRPr="00602824">
        <w:rPr>
          <w:lang w:eastAsia="en-AU"/>
        </w:rPr>
        <w:t xml:space="preserve"> representatives acknowledged stakeholder concerns and noted that the compliance strategy is under revision. </w:t>
      </w:r>
    </w:p>
    <w:p w14:paraId="48EB111D" w14:textId="7905E48E" w:rsidR="00F56BE3" w:rsidRPr="00602824" w:rsidRDefault="00EE5FE3" w:rsidP="00B50EE7">
      <w:pPr>
        <w:pStyle w:val="Caption"/>
      </w:pPr>
      <w:r w:rsidRPr="00602824">
        <w:lastRenderedPageBreak/>
        <w:t xml:space="preserve">Table </w:t>
      </w:r>
      <w:r w:rsidR="002604D0">
        <w:fldChar w:fldCharType="begin"/>
      </w:r>
      <w:r w:rsidR="002604D0">
        <w:instrText xml:space="preserve"> SEQ Table \* ARABIC </w:instrText>
      </w:r>
      <w:r w:rsidR="002604D0">
        <w:fldChar w:fldCharType="separate"/>
      </w:r>
      <w:r w:rsidR="00D30634">
        <w:rPr>
          <w:noProof/>
        </w:rPr>
        <w:t>18</w:t>
      </w:r>
      <w:r w:rsidR="002604D0">
        <w:fldChar w:fldCharType="end"/>
      </w:r>
      <w:r w:rsidRPr="00602824">
        <w:t xml:space="preserve"> | Stakeholder perspectives on PL compliance</w:t>
      </w:r>
      <w:r w:rsidR="003E7D14" w:rsidRPr="00602824">
        <w:rPr>
          <w:rStyle w:val="FootnoteReference"/>
        </w:rPr>
        <w:footnoteReference w:id="116"/>
      </w:r>
    </w:p>
    <w:tbl>
      <w:tblPr>
        <w:tblStyle w:val="NOUS1"/>
        <w:tblW w:w="0" w:type="auto"/>
        <w:tblLook w:val="04A0" w:firstRow="1" w:lastRow="0" w:firstColumn="1" w:lastColumn="0" w:noHBand="0" w:noVBand="1"/>
      </w:tblPr>
      <w:tblGrid>
        <w:gridCol w:w="2252"/>
        <w:gridCol w:w="6819"/>
      </w:tblGrid>
      <w:tr w:rsidR="00F56BE3" w:rsidRPr="00602824" w14:paraId="2815AFF5" w14:textId="77777777" w:rsidTr="00F56BE3">
        <w:trPr>
          <w:cnfStyle w:val="100000000000" w:firstRow="1" w:lastRow="0" w:firstColumn="0" w:lastColumn="0" w:oddVBand="0" w:evenVBand="0" w:oddHBand="0" w:evenHBand="0" w:firstRowFirstColumn="0" w:firstRowLastColumn="0" w:lastRowFirstColumn="0" w:lastRowLastColumn="0"/>
        </w:trPr>
        <w:tc>
          <w:tcPr>
            <w:tcW w:w="2268" w:type="dxa"/>
          </w:tcPr>
          <w:p w14:paraId="7CFC4FDC" w14:textId="77777777" w:rsidR="00F56BE3" w:rsidRPr="00602824" w:rsidRDefault="00F56BE3" w:rsidP="00FB712C">
            <w:pPr>
              <w:pStyle w:val="TableNheader"/>
              <w:keepNext w:val="0"/>
              <w:spacing w:before="60" w:after="60" w:line="240" w:lineRule="auto"/>
              <w:jc w:val="center"/>
            </w:pPr>
            <w:r w:rsidRPr="00602824">
              <w:t>Stakeholder group</w:t>
            </w:r>
          </w:p>
        </w:tc>
        <w:tc>
          <w:tcPr>
            <w:tcW w:w="6917" w:type="dxa"/>
          </w:tcPr>
          <w:p w14:paraId="7690B250" w14:textId="77777777" w:rsidR="00F56BE3" w:rsidRPr="00602824" w:rsidRDefault="00F56BE3" w:rsidP="00FB712C">
            <w:pPr>
              <w:pStyle w:val="TableNheader"/>
              <w:keepNext w:val="0"/>
              <w:spacing w:before="60" w:after="60" w:line="240" w:lineRule="auto"/>
            </w:pPr>
            <w:r w:rsidRPr="00602824">
              <w:t>Perspectives on reform project</w:t>
            </w:r>
          </w:p>
        </w:tc>
      </w:tr>
      <w:tr w:rsidR="00F56BE3" w:rsidRPr="00602824" w14:paraId="21ACD933" w14:textId="77777777" w:rsidTr="00F56BE3">
        <w:tc>
          <w:tcPr>
            <w:tcW w:w="2268" w:type="dxa"/>
            <w:shd w:val="clear" w:color="auto" w:fill="00264D" w:themeFill="background2"/>
          </w:tcPr>
          <w:p w14:paraId="630C1E72" w14:textId="77777777" w:rsidR="00F56BE3" w:rsidRPr="00602824" w:rsidRDefault="00F56BE3" w:rsidP="00FB712C">
            <w:pPr>
              <w:pStyle w:val="TableNheader"/>
              <w:keepNext w:val="0"/>
              <w:spacing w:before="60" w:after="60" w:line="240" w:lineRule="auto"/>
              <w:jc w:val="center"/>
              <w:rPr>
                <w:color w:val="FFFFFF" w:themeColor="background1"/>
              </w:rPr>
            </w:pPr>
            <w:r w:rsidRPr="00602824">
              <w:rPr>
                <w:color w:val="FFFFFF" w:themeColor="background1"/>
              </w:rPr>
              <w:t>Private hospital sector</w:t>
            </w:r>
          </w:p>
          <w:p w14:paraId="032D6158" w14:textId="77777777" w:rsidR="00F56BE3" w:rsidRPr="00602824" w:rsidRDefault="00F56BE3"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1249644B" wp14:editId="24994540">
                      <wp:extent cx="320633" cy="314696"/>
                      <wp:effectExtent l="0" t="0" r="3810" b="9525"/>
                      <wp:docPr id="273348391" name="Freeform: Shape 273348391"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273348391"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15EF8B61">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7EFC2037" w14:textId="77777777" w:rsidR="00F56BE3" w:rsidRPr="00602824" w:rsidRDefault="00F56BE3" w:rsidP="00B21704">
            <w:pPr>
              <w:pStyle w:val="TableNBullet"/>
              <w:spacing w:before="60" w:after="60"/>
            </w:pPr>
            <w:r w:rsidRPr="00602824">
              <w:t>Hospitals viewed the Department as under-resourced, limiting its ability to effectively implement and enforce compliance activities.</w:t>
            </w:r>
          </w:p>
          <w:p w14:paraId="296CE77A" w14:textId="77777777" w:rsidR="00F56BE3" w:rsidRPr="00602824" w:rsidRDefault="00F56BE3" w:rsidP="00B21704">
            <w:pPr>
              <w:pStyle w:val="TableNBullet"/>
              <w:spacing w:before="60" w:after="60"/>
            </w:pPr>
            <w:r w:rsidRPr="00602824">
              <w:t>Stakeholders welcomed the decision not to proceed with the proposed compliance measures related to gifts, benefits and discounts, citing a lack of robust evidence and disproportionate regulatory burden.</w:t>
            </w:r>
          </w:p>
          <w:p w14:paraId="51F909B6" w14:textId="77777777" w:rsidR="00F56BE3" w:rsidRPr="00602824" w:rsidRDefault="00F56BE3" w:rsidP="00B21704">
            <w:pPr>
              <w:pStyle w:val="TableNBullet"/>
              <w:spacing w:before="60" w:after="60"/>
            </w:pPr>
            <w:r w:rsidRPr="00602824">
              <w:t>Concerns were raised that some private health insurers are unilaterally determining ‘reasonable use’ and rejecting claims for PL-compliant items, imposing administrative and financial burdens on hospitals.</w:t>
            </w:r>
          </w:p>
          <w:p w14:paraId="59F67584" w14:textId="77777777" w:rsidR="00F56BE3" w:rsidRPr="00602824" w:rsidRDefault="00F56BE3" w:rsidP="00B21704">
            <w:pPr>
              <w:pStyle w:val="TableNBullet"/>
              <w:spacing w:before="60" w:after="60"/>
            </w:pPr>
            <w:r w:rsidRPr="00602824">
              <w:t>Stakeholders expressed that the current system lacks a neutral, enforceable dispute resolution pathway, forcing parties to pursue costly mediation and exacerbating tensions between hospitals and insurers.</w:t>
            </w:r>
          </w:p>
          <w:p w14:paraId="5F072018" w14:textId="77777777" w:rsidR="00F56BE3" w:rsidRPr="00602824" w:rsidRDefault="00F56BE3" w:rsidP="00B21704">
            <w:pPr>
              <w:pStyle w:val="TableNBullet"/>
              <w:spacing w:before="60" w:after="60"/>
            </w:pPr>
            <w:r w:rsidRPr="00602824">
              <w:t>Hospitals argued that insurers should be required to report when they do not pay a benefit, pay less than listed, or delay payment pending clinical notes.</w:t>
            </w:r>
          </w:p>
          <w:p w14:paraId="2F671C13" w14:textId="10057B5D" w:rsidR="00F56BE3" w:rsidRPr="00602824" w:rsidRDefault="00F56BE3" w:rsidP="00B21704">
            <w:pPr>
              <w:pStyle w:val="TableNBullet"/>
              <w:spacing w:before="60" w:after="60"/>
            </w:pPr>
            <w:r w:rsidRPr="00602824">
              <w:t xml:space="preserve">Compliance measures were also seen </w:t>
            </w:r>
            <w:r w:rsidR="00855365">
              <w:t xml:space="preserve">by some private hospital representatives </w:t>
            </w:r>
            <w:r w:rsidRPr="00602824">
              <w:t>as necessary to monitor the impact of financial incentives that may influence clinicians’ device choices, noting hospitals’ limited visibility over these arrangements.</w:t>
            </w:r>
          </w:p>
        </w:tc>
      </w:tr>
      <w:tr w:rsidR="00F56BE3" w:rsidRPr="00602824" w14:paraId="1A404042" w14:textId="77777777" w:rsidTr="00F56BE3">
        <w:tc>
          <w:tcPr>
            <w:tcW w:w="2268" w:type="dxa"/>
            <w:shd w:val="clear" w:color="auto" w:fill="00264D" w:themeFill="background2"/>
          </w:tcPr>
          <w:p w14:paraId="7F153A43" w14:textId="77777777" w:rsidR="00F56BE3" w:rsidRPr="00602824" w:rsidRDefault="00F56BE3" w:rsidP="00FB712C">
            <w:pPr>
              <w:pStyle w:val="TableNheader"/>
              <w:keepNext w:val="0"/>
              <w:spacing w:before="60" w:after="60" w:line="240" w:lineRule="auto"/>
              <w:jc w:val="center"/>
              <w:rPr>
                <w:color w:val="FFFFFF" w:themeColor="background1"/>
              </w:rPr>
            </w:pPr>
            <w:r w:rsidRPr="00602824">
              <w:rPr>
                <w:color w:val="FFFFFF" w:themeColor="background1"/>
              </w:rPr>
              <w:t>Private health insurance representatives</w:t>
            </w:r>
          </w:p>
          <w:p w14:paraId="171CD662" w14:textId="77777777" w:rsidR="00F56BE3" w:rsidRPr="00602824" w:rsidRDefault="00F56BE3"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27025DFA" wp14:editId="20DBFC5D">
                      <wp:extent cx="292311" cy="292311"/>
                      <wp:effectExtent l="0" t="0" r="0" b="0"/>
                      <wp:docPr id="1951160743" name="Freeform: Shape 1951160743"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1951160743"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5CC4E97E">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48593874" w14:textId="77777777" w:rsidR="00F56BE3" w:rsidRPr="00602824" w:rsidRDefault="00F56BE3" w:rsidP="00B21704">
            <w:pPr>
              <w:pStyle w:val="TableNBullet"/>
              <w:spacing w:before="60" w:after="60"/>
            </w:pPr>
            <w:r w:rsidRPr="00602824">
              <w:t>Insurers considered compliance efforts under the PL reforms inadequate, particularly due to insufficient transparency and lack of enforceability.</w:t>
            </w:r>
          </w:p>
          <w:p w14:paraId="21D7A597" w14:textId="77777777" w:rsidR="00F56BE3" w:rsidRPr="00602824" w:rsidRDefault="00F56BE3" w:rsidP="00B21704">
            <w:pPr>
              <w:pStyle w:val="TableNBullet"/>
              <w:spacing w:before="60" w:after="60"/>
            </w:pPr>
            <w:r w:rsidRPr="00602824">
              <w:t>They argued that without legislative backing, compliance activity will remain weak and ineffective.</w:t>
            </w:r>
          </w:p>
          <w:p w14:paraId="68F85776" w14:textId="77777777" w:rsidR="00F56BE3" w:rsidRPr="00602824" w:rsidRDefault="00F56BE3" w:rsidP="00B21704">
            <w:pPr>
              <w:pStyle w:val="TableNBullet"/>
              <w:spacing w:before="60" w:after="60"/>
            </w:pPr>
            <w:r w:rsidRPr="00602824">
              <w:t>To improve oversight, they proposed that all PL product codes be mapped to billing codes and maintained in a central, publicly accessible register.</w:t>
            </w:r>
          </w:p>
        </w:tc>
      </w:tr>
      <w:tr w:rsidR="00F56BE3" w:rsidRPr="00602824" w14:paraId="5A0C51F4" w14:textId="77777777" w:rsidTr="00F56BE3">
        <w:tc>
          <w:tcPr>
            <w:tcW w:w="2268" w:type="dxa"/>
            <w:shd w:val="clear" w:color="auto" w:fill="00264D" w:themeFill="background2"/>
          </w:tcPr>
          <w:p w14:paraId="2DEDD727" w14:textId="77777777" w:rsidR="00F56BE3" w:rsidRPr="00602824" w:rsidRDefault="00F56BE3" w:rsidP="00FB712C">
            <w:pPr>
              <w:pStyle w:val="TableNheader"/>
              <w:keepNext w:val="0"/>
              <w:spacing w:before="60" w:after="60" w:line="240" w:lineRule="auto"/>
              <w:jc w:val="center"/>
              <w:rPr>
                <w:color w:val="FFFFFF" w:themeColor="background1"/>
              </w:rPr>
            </w:pPr>
            <w:r w:rsidRPr="00602824">
              <w:rPr>
                <w:color w:val="FFFFFF" w:themeColor="background1"/>
              </w:rPr>
              <w:t>Medical technology representatives</w:t>
            </w:r>
          </w:p>
          <w:p w14:paraId="4815B364" w14:textId="77777777" w:rsidR="00F56BE3" w:rsidRPr="00602824" w:rsidRDefault="00F56BE3" w:rsidP="00FB712C">
            <w:pPr>
              <w:pStyle w:val="TableNheader"/>
              <w:keepNext w:val="0"/>
              <w:spacing w:before="60" w:after="60" w:line="240" w:lineRule="auto"/>
              <w:jc w:val="center"/>
              <w:rPr>
                <w:color w:val="FFFFFF" w:themeColor="background1"/>
              </w:rPr>
            </w:pPr>
            <w:r w:rsidRPr="00AC7E3F">
              <w:rPr>
                <w:i/>
                <w:iCs/>
                <w:noProof/>
              </w:rPr>
              <w:drawing>
                <wp:inline distT="0" distB="0" distL="0" distR="0" wp14:anchorId="326D4CA2" wp14:editId="2621BC51">
                  <wp:extent cx="309245" cy="336734"/>
                  <wp:effectExtent l="0" t="0" r="0" b="6350"/>
                  <wp:docPr id="299174128" name="Graphic 299174128"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038FD00F" w14:textId="77777777" w:rsidR="00F56BE3" w:rsidRPr="00602824" w:rsidRDefault="00F56BE3" w:rsidP="00B21704">
            <w:pPr>
              <w:pStyle w:val="TableNBullet"/>
              <w:spacing w:before="60" w:after="60"/>
            </w:pPr>
            <w:r w:rsidRPr="00602824">
              <w:t>Industry noted that compliance requirements have yet to be implemented, and that draft proposals appear imbalanced, without adequate consultation or clarity.</w:t>
            </w:r>
          </w:p>
          <w:p w14:paraId="3F2D82ED" w14:textId="7E080602" w:rsidR="00F56BE3" w:rsidRPr="00602824" w:rsidRDefault="00F56BE3" w:rsidP="00B21704">
            <w:pPr>
              <w:pStyle w:val="TableNBullet"/>
              <w:spacing w:before="60" w:after="60"/>
            </w:pPr>
            <w:r w:rsidRPr="00602824">
              <w:t xml:space="preserve">Industry expressed </w:t>
            </w:r>
            <w:r w:rsidR="00724AB9" w:rsidRPr="00512022">
              <w:t xml:space="preserve">concern about the </w:t>
            </w:r>
            <w:r w:rsidR="62E8B1B8">
              <w:t xml:space="preserve">lack of enforcement </w:t>
            </w:r>
            <w:r w:rsidR="00706F2E">
              <w:t>mechanisms, and</w:t>
            </w:r>
            <w:r w:rsidR="60588B1F">
              <w:t xml:space="preserve"> what they believe is</w:t>
            </w:r>
            <w:r w:rsidR="62E8B1B8">
              <w:t xml:space="preserve"> the </w:t>
            </w:r>
            <w:r w:rsidR="00724AB9" w:rsidRPr="00512022">
              <w:t>Department’s unwillingness to enforce compliance specifically relate</w:t>
            </w:r>
            <w:r w:rsidR="00724AB9">
              <w:t>d</w:t>
            </w:r>
            <w:r w:rsidR="00724AB9" w:rsidRPr="00512022">
              <w:t xml:space="preserve"> to ongoing insurer non-payment of PL items</w:t>
            </w:r>
            <w:r w:rsidR="00724AB9">
              <w:t>.</w:t>
            </w:r>
          </w:p>
          <w:p w14:paraId="50048FC5" w14:textId="77777777" w:rsidR="00F56BE3" w:rsidRPr="00602824" w:rsidRDefault="00F56BE3" w:rsidP="00B21704">
            <w:pPr>
              <w:pStyle w:val="TableNBullet"/>
              <w:spacing w:before="60" w:after="60"/>
            </w:pPr>
            <w:r w:rsidRPr="00602824">
              <w:t>Stakeholders welcomed the decision not to proceed with requirements for disclosure of discounts and gifts, viewing the original proposals as misdirected and overly burdensome.</w:t>
            </w:r>
          </w:p>
        </w:tc>
      </w:tr>
      <w:tr w:rsidR="00F56BE3" w:rsidRPr="00602824" w14:paraId="4789F358" w14:textId="77777777" w:rsidTr="00F56BE3">
        <w:tc>
          <w:tcPr>
            <w:tcW w:w="2268" w:type="dxa"/>
            <w:shd w:val="clear" w:color="auto" w:fill="00264D" w:themeFill="background2"/>
          </w:tcPr>
          <w:p w14:paraId="25B0F23B" w14:textId="77777777" w:rsidR="00F56BE3" w:rsidRPr="00602824" w:rsidRDefault="00F56BE3" w:rsidP="00FB712C">
            <w:pPr>
              <w:pStyle w:val="TableNheader"/>
              <w:keepNext w:val="0"/>
              <w:spacing w:before="60" w:after="60" w:line="240" w:lineRule="auto"/>
              <w:jc w:val="center"/>
              <w:rPr>
                <w:color w:val="FFFFFF" w:themeColor="background1"/>
              </w:rPr>
            </w:pPr>
            <w:r w:rsidRPr="00602824">
              <w:rPr>
                <w:color w:val="FFFFFF" w:themeColor="background1"/>
              </w:rPr>
              <w:t>Clinician representatives</w:t>
            </w:r>
          </w:p>
          <w:p w14:paraId="70BA366A" w14:textId="77777777" w:rsidR="00F56BE3" w:rsidRPr="00602824" w:rsidRDefault="00F56BE3" w:rsidP="00FB712C">
            <w:pPr>
              <w:pStyle w:val="TableNheader"/>
              <w:keepNext w:val="0"/>
              <w:spacing w:before="60" w:after="60" w:line="240" w:lineRule="auto"/>
              <w:jc w:val="center"/>
              <w:rPr>
                <w:color w:val="FFFFFF" w:themeColor="background1"/>
              </w:rPr>
            </w:pPr>
            <w:r w:rsidRPr="00AC7E3F">
              <w:rPr>
                <w:noProof/>
              </w:rPr>
              <w:drawing>
                <wp:inline distT="0" distB="0" distL="0" distR="0" wp14:anchorId="7742449E" wp14:editId="444F4F65">
                  <wp:extent cx="267970" cy="323215"/>
                  <wp:effectExtent l="0" t="0" r="0" b="635"/>
                  <wp:docPr id="2101450266"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32C66164" w14:textId="77777777" w:rsidR="00F56BE3" w:rsidRPr="00602824" w:rsidRDefault="00F56BE3" w:rsidP="00B21704">
            <w:pPr>
              <w:pStyle w:val="TableNBullet"/>
              <w:spacing w:before="60" w:after="60"/>
            </w:pPr>
            <w:r w:rsidRPr="00602824">
              <w:t>Clinicians acknowledged that hospital and industry stakeholders had raised significant concerns about the original compliance strategy, particularly regarding lack of clarity and administrative burden.</w:t>
            </w:r>
          </w:p>
          <w:p w14:paraId="7F930DEB" w14:textId="77777777" w:rsidR="00F56BE3" w:rsidRPr="00602824" w:rsidRDefault="00F56BE3" w:rsidP="00B21704">
            <w:pPr>
              <w:pStyle w:val="TableNBullet"/>
              <w:spacing w:before="60" w:after="60"/>
            </w:pPr>
            <w:r w:rsidRPr="00602824">
              <w:t>They noted the strategy is now being revised and supported efforts to update it in line with practical needs.</w:t>
            </w:r>
          </w:p>
        </w:tc>
      </w:tr>
    </w:tbl>
    <w:p w14:paraId="5285A0DC" w14:textId="77777777" w:rsidR="002D7620" w:rsidRPr="00602824" w:rsidRDefault="002D7620" w:rsidP="002D7620">
      <w:pPr>
        <w:pStyle w:val="Heading2"/>
      </w:pPr>
      <w:bookmarkStart w:id="92" w:name="_Toc181405097"/>
      <w:bookmarkStart w:id="93" w:name="_Toc209176975"/>
      <w:r w:rsidRPr="00602824">
        <w:t>Objective 8: Ensure ongoing financial sustainability of PL administration through effective and efficient cost recovery arrangements that are compliant with the AGCF</w:t>
      </w:r>
      <w:bookmarkEnd w:id="92"/>
      <w:bookmarkEnd w:id="93"/>
    </w:p>
    <w:p w14:paraId="6B7902B1" w14:textId="3EC7CDCB" w:rsidR="002D7620" w:rsidRPr="00602824" w:rsidRDefault="002D7620" w:rsidP="002D7620">
      <w:pPr>
        <w:rPr>
          <w:i/>
          <w:iCs/>
          <w:lang w:eastAsia="en-AU"/>
        </w:rPr>
      </w:pPr>
      <w:r w:rsidRPr="00602824">
        <w:rPr>
          <w:i/>
          <w:iCs/>
          <w:lang w:eastAsia="en-AU"/>
        </w:rPr>
        <w:t xml:space="preserve">This section considers the implementation of cost recovery arrangements at a high level, noting a formal assessment of </w:t>
      </w:r>
      <w:r w:rsidR="007D70EB" w:rsidRPr="00602824">
        <w:rPr>
          <w:i/>
          <w:iCs/>
          <w:lang w:eastAsia="en-AU"/>
        </w:rPr>
        <w:t xml:space="preserve">cost recovery </w:t>
      </w:r>
      <w:r w:rsidRPr="00602824">
        <w:rPr>
          <w:i/>
          <w:iCs/>
          <w:lang w:eastAsia="en-AU"/>
        </w:rPr>
        <w:t xml:space="preserve">is out of scope for the evaluation. This section also considers the financial </w:t>
      </w:r>
      <w:r w:rsidRPr="00602824">
        <w:rPr>
          <w:i/>
          <w:iCs/>
          <w:lang w:eastAsia="en-AU"/>
        </w:rPr>
        <w:lastRenderedPageBreak/>
        <w:t>sustainability of the PL’s administration, outlining any change in PL administrative effort and documenting stakeholders</w:t>
      </w:r>
      <w:r w:rsidR="00140E07" w:rsidRPr="00602824">
        <w:rPr>
          <w:i/>
          <w:iCs/>
          <w:lang w:eastAsia="en-AU"/>
        </w:rPr>
        <w:t>’</w:t>
      </w:r>
      <w:r w:rsidRPr="00602824">
        <w:rPr>
          <w:i/>
          <w:iCs/>
          <w:lang w:eastAsia="en-AU"/>
        </w:rPr>
        <w:t xml:space="preserve"> perspectives on its resulting financial sustainability.</w:t>
      </w:r>
    </w:p>
    <w:p w14:paraId="1C693A49" w14:textId="4F0B569C" w:rsidR="002D7620" w:rsidRPr="00602824" w:rsidRDefault="002D7620" w:rsidP="00B50EE7">
      <w:pPr>
        <w:pStyle w:val="Caption"/>
      </w:pPr>
      <w:r w:rsidRPr="00602824">
        <w:t xml:space="preserve">Figure </w:t>
      </w:r>
      <w:r w:rsidR="002604D0">
        <w:fldChar w:fldCharType="begin"/>
      </w:r>
      <w:r w:rsidR="002604D0">
        <w:instrText xml:space="preserve"> SEQ Figure \* ARABIC </w:instrText>
      </w:r>
      <w:r w:rsidR="002604D0">
        <w:fldChar w:fldCharType="separate"/>
      </w:r>
      <w:r w:rsidR="00D30634">
        <w:rPr>
          <w:noProof/>
        </w:rPr>
        <w:t>27</w:t>
      </w:r>
      <w:r w:rsidR="002604D0">
        <w:fldChar w:fldCharType="end"/>
      </w:r>
      <w:r w:rsidRPr="00602824">
        <w:t xml:space="preserve"> | Reform projects related to reform objective 8</w:t>
      </w:r>
    </w:p>
    <w:p w14:paraId="0BEDD146" w14:textId="77777777" w:rsidR="002D7620" w:rsidRPr="00602824" w:rsidRDefault="002D7620" w:rsidP="002D7620">
      <w:r w:rsidRPr="00AC7E3F">
        <w:rPr>
          <w:noProof/>
        </w:rPr>
        <w:drawing>
          <wp:inline distT="0" distB="0" distL="0" distR="0" wp14:anchorId="3D821A3C" wp14:editId="4335454A">
            <wp:extent cx="5758741" cy="1044054"/>
            <wp:effectExtent l="0" t="0" r="0" b="3810"/>
            <wp:docPr id="1975919903" name="Picture 1" descr="A figure showing Objective 8. Financial sustainability connected to cost recovery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19903" name="Picture 1" descr="A figure showing Objective 8. Financial sustainability connected to cost recovery fees."/>
                    <pic:cNvPicPr/>
                  </pic:nvPicPr>
                  <pic:blipFill>
                    <a:blip r:embed="rId52"/>
                    <a:stretch>
                      <a:fillRect/>
                    </a:stretch>
                  </pic:blipFill>
                  <pic:spPr>
                    <a:xfrm>
                      <a:off x="0" y="0"/>
                      <a:ext cx="5760898" cy="1044445"/>
                    </a:xfrm>
                    <a:prstGeom prst="rect">
                      <a:avLst/>
                    </a:prstGeom>
                  </pic:spPr>
                </pic:pic>
              </a:graphicData>
            </a:graphic>
          </wp:inline>
        </w:drawing>
      </w:r>
    </w:p>
    <w:p w14:paraId="1B6FB447" w14:textId="18C65FA7" w:rsidR="003A69ED" w:rsidRPr="00602824" w:rsidRDefault="003A69ED" w:rsidP="00471A4B">
      <w:pPr>
        <w:pStyle w:val="Heading3"/>
      </w:pPr>
      <w:r w:rsidRPr="00602824">
        <w:t xml:space="preserve">Implementation </w:t>
      </w:r>
      <w:r w:rsidR="00471A4B" w:rsidRPr="00602824">
        <w:t>p</w:t>
      </w:r>
      <w:r w:rsidRPr="00602824">
        <w:t xml:space="preserve">rogress: </w:t>
      </w:r>
      <w:r w:rsidR="00015D9F" w:rsidRPr="00602824">
        <w:t>c</w:t>
      </w:r>
      <w:r w:rsidRPr="00602824">
        <w:t xml:space="preserve">ost </w:t>
      </w:r>
      <w:r w:rsidR="00471A4B" w:rsidRPr="00602824">
        <w:t>r</w:t>
      </w:r>
      <w:r w:rsidRPr="00602824">
        <w:t xml:space="preserve">ecovery fees  </w:t>
      </w:r>
    </w:p>
    <w:tbl>
      <w:tblPr>
        <w:tblStyle w:val="NOUSSideHeader4"/>
        <w:tblW w:w="0" w:type="auto"/>
        <w:tblLook w:val="04A0" w:firstRow="1" w:lastRow="0" w:firstColumn="1" w:lastColumn="0" w:noHBand="0" w:noVBand="1"/>
      </w:tblPr>
      <w:tblGrid>
        <w:gridCol w:w="9061"/>
      </w:tblGrid>
      <w:tr w:rsidR="003A69ED" w:rsidRPr="00602824" w14:paraId="11B7BF35" w14:textId="77777777" w:rsidTr="003A7F21">
        <w:trPr>
          <w:cnfStyle w:val="100000000000" w:firstRow="1" w:lastRow="0" w:firstColumn="0" w:lastColumn="0" w:oddVBand="0" w:evenVBand="0" w:oddHBand="0" w:evenHBand="0" w:firstRowFirstColumn="0" w:firstRowLastColumn="0" w:lastRowFirstColumn="0" w:lastRowLastColumn="0"/>
        </w:trPr>
        <w:tc>
          <w:tcPr>
            <w:tcW w:w="9061" w:type="dxa"/>
          </w:tcPr>
          <w:p w14:paraId="4A1F4757" w14:textId="681C3922" w:rsidR="003A69ED" w:rsidRPr="00602824" w:rsidRDefault="00FA4C5F" w:rsidP="003A3D2B">
            <w:r w:rsidRPr="00602824">
              <w:t>PL</w:t>
            </w:r>
            <w:r w:rsidR="0094623D" w:rsidRPr="00602824">
              <w:t xml:space="preserve"> cost recovery arrangements have been updated through the reform process and include application fees per device for Part A, C and D</w:t>
            </w:r>
            <w:r w:rsidR="00AB5010" w:rsidRPr="00602824">
              <w:rPr>
                <w:rStyle w:val="FootnoteReference"/>
              </w:rPr>
              <w:footnoteReference w:id="117"/>
            </w:r>
            <w:r w:rsidR="0094623D" w:rsidRPr="00602824">
              <w:t xml:space="preserve"> and the introduction of an annual levy payable for each billing code </w:t>
            </w:r>
            <w:r w:rsidR="000A49E4">
              <w:t>listed in</w:t>
            </w:r>
            <w:r w:rsidR="0094623D" w:rsidRPr="00602824">
              <w:t xml:space="preserve"> </w:t>
            </w:r>
            <w:r w:rsidR="000C145D" w:rsidRPr="00602824">
              <w:t>Part A, C and D</w:t>
            </w:r>
            <w:r w:rsidR="0094623D" w:rsidRPr="00602824">
              <w:t>.</w:t>
            </w:r>
            <w:r w:rsidR="00AB5010" w:rsidRPr="00602824">
              <w:rPr>
                <w:rStyle w:val="FootnoteReference"/>
              </w:rPr>
              <w:footnoteReference w:id="118"/>
            </w:r>
            <w:r w:rsidR="0094623D" w:rsidRPr="00602824">
              <w:t xml:space="preserve">  </w:t>
            </w:r>
          </w:p>
          <w:p w14:paraId="43707982" w14:textId="77777777" w:rsidR="000D6EAB" w:rsidRPr="00602824" w:rsidRDefault="00F0763F" w:rsidP="003A3D2B">
            <w:r w:rsidRPr="00602824">
              <w:t>With the passage in March 2023 of legislative amendments to provide authority for the revised cost recovery arrangements, the revised cost recovery model commenced on 1 July 2024.</w:t>
            </w:r>
          </w:p>
          <w:p w14:paraId="17A7AC9A" w14:textId="77777777" w:rsidR="00820944" w:rsidRPr="00602824" w:rsidRDefault="00BA0E48" w:rsidP="003A3D2B">
            <w:r w:rsidRPr="00602824">
              <w:t xml:space="preserve">The updated PL cost recovery fees for PL listings include a standard application fee, and any additional payable fees required, depending on which assessment pathway (tier) is relevant for the medical device or product application. </w:t>
            </w:r>
          </w:p>
          <w:p w14:paraId="196D7B89" w14:textId="6838DFDC" w:rsidR="009F61AD" w:rsidRPr="00602824" w:rsidRDefault="00D8493A" w:rsidP="003A3D2B">
            <w:r w:rsidRPr="00602824">
              <w:t xml:space="preserve">The </w:t>
            </w:r>
            <w:r w:rsidR="000D6EAB" w:rsidRPr="00602824">
              <w:t xml:space="preserve">new annual </w:t>
            </w:r>
            <w:r w:rsidRPr="00602824">
              <w:t>levy charges industry sponsors who have items listed on the PL for costs which cannot be assigned to a specific sponsor</w:t>
            </w:r>
            <w:r w:rsidR="00A14726" w:rsidRPr="00602824">
              <w:t xml:space="preserve">, such as PL administration costs and </w:t>
            </w:r>
            <w:r w:rsidR="000D3AC7">
              <w:t>IT</w:t>
            </w:r>
            <w:r w:rsidR="00A14726" w:rsidRPr="00602824">
              <w:t xml:space="preserve"> system</w:t>
            </w:r>
            <w:r w:rsidR="000D3AC7">
              <w:t xml:space="preserve"> costs.</w:t>
            </w:r>
            <w:r w:rsidR="00A14726" w:rsidRPr="00602824">
              <w:t xml:space="preserve"> </w:t>
            </w:r>
            <w:r w:rsidR="0060711F" w:rsidRPr="00602824">
              <w:t>The levy is</w:t>
            </w:r>
            <w:r w:rsidRPr="00602824">
              <w:t xml:space="preserve"> payable once annually for each item (billing code) that a sponsor has listed on the Prescribed List</w:t>
            </w:r>
            <w:r w:rsidR="008424C2">
              <w:t>, excluding Part B</w:t>
            </w:r>
            <w:r w:rsidRPr="00602824">
              <w:rPr>
                <w:rStyle w:val="FootnoteReference"/>
              </w:rPr>
              <w:footnoteReference w:id="119"/>
            </w:r>
            <w:r w:rsidR="00A6322F" w:rsidRPr="00602824">
              <w:t xml:space="preserve"> </w:t>
            </w:r>
          </w:p>
          <w:p w14:paraId="79419E0B" w14:textId="5933205D" w:rsidR="0060711F" w:rsidRPr="00602824" w:rsidRDefault="00A6322F" w:rsidP="003A3D2B">
            <w:r w:rsidRPr="00602824">
              <w:t xml:space="preserve">From 1 July 2025, the levy will also cover compliance activities and post-listing review costs. </w:t>
            </w:r>
          </w:p>
          <w:p w14:paraId="1901D3B4" w14:textId="7DAFAB92" w:rsidR="002E145C" w:rsidRPr="00602824" w:rsidRDefault="00EB6699" w:rsidP="003A3D2B">
            <w:r w:rsidRPr="00602824">
              <w:t>Since</w:t>
            </w:r>
            <w:r w:rsidR="007A4584" w:rsidRPr="00602824">
              <w:t xml:space="preserve"> the publication of</w:t>
            </w:r>
            <w:r w:rsidR="00335AE8" w:rsidRPr="00602824">
              <w:t xml:space="preserve"> </w:t>
            </w:r>
            <w:r w:rsidR="00335AE8" w:rsidRPr="00602824">
              <w:rPr>
                <w:i/>
              </w:rPr>
              <w:t>Interim</w:t>
            </w:r>
            <w:r w:rsidRPr="00602824">
              <w:rPr>
                <w:i/>
              </w:rPr>
              <w:t xml:space="preserve"> Evaluation </w:t>
            </w:r>
            <w:r w:rsidR="007F602B" w:rsidRPr="00602824">
              <w:rPr>
                <w:i/>
                <w:iCs/>
              </w:rPr>
              <w:t>#</w:t>
            </w:r>
            <w:r w:rsidRPr="00602824">
              <w:rPr>
                <w:i/>
              </w:rPr>
              <w:t>1</w:t>
            </w:r>
            <w:r w:rsidR="007F602B" w:rsidRPr="00602824">
              <w:rPr>
                <w:i/>
                <w:iCs/>
              </w:rPr>
              <w:t xml:space="preserve"> report</w:t>
            </w:r>
            <w:r w:rsidR="00E17852" w:rsidRPr="00602824">
              <w:rPr>
                <w:rFonts w:asciiTheme="majorHAnsi" w:hAnsiTheme="majorHAnsi" w:cstheme="majorHAnsi"/>
              </w:rPr>
              <w:t>,</w:t>
            </w:r>
            <w:r w:rsidRPr="00602824">
              <w:t xml:space="preserve"> the </w:t>
            </w:r>
            <w:r w:rsidR="00D35726" w:rsidRPr="00602824">
              <w:t xml:space="preserve">new cost recovery levy </w:t>
            </w:r>
            <w:r w:rsidR="007A4584" w:rsidRPr="00602824">
              <w:t>(for FY 2024-25) has been</w:t>
            </w:r>
            <w:r w:rsidR="00D35726" w:rsidRPr="00602824">
              <w:t xml:space="preserve"> charged to sponsors for the first time.</w:t>
            </w:r>
            <w:r w:rsidR="00393032">
              <w:rPr>
                <w:rStyle w:val="FootnoteReference"/>
              </w:rPr>
              <w:footnoteReference w:id="120"/>
            </w:r>
            <w:r w:rsidR="00D35726" w:rsidRPr="00602824">
              <w:t xml:space="preserve"> This </w:t>
            </w:r>
            <w:r w:rsidR="00826FE4" w:rsidRPr="00602824">
              <w:t xml:space="preserve">occurred on 15 March 2025, later than anticipated and is planned to occur </w:t>
            </w:r>
            <w:r w:rsidR="00E17852" w:rsidRPr="00602824">
              <w:t>annually</w:t>
            </w:r>
            <w:r w:rsidR="00826FE4" w:rsidRPr="00602824">
              <w:t xml:space="preserve"> on the 15</w:t>
            </w:r>
            <w:r w:rsidR="00E17852" w:rsidRPr="00602824">
              <w:rPr>
                <w:vertAlign w:val="superscript"/>
              </w:rPr>
              <w:t>th</w:t>
            </w:r>
            <w:r w:rsidR="00E17852" w:rsidRPr="00602824">
              <w:t xml:space="preserve"> of September going forward.</w:t>
            </w:r>
            <w:r w:rsidR="003E5524" w:rsidRPr="00602824">
              <w:rPr>
                <w:rStyle w:val="FootnoteReference"/>
              </w:rPr>
              <w:footnoteReference w:id="121"/>
            </w:r>
            <w:r w:rsidR="007A4584" w:rsidRPr="00602824">
              <w:t xml:space="preserve"> </w:t>
            </w:r>
          </w:p>
          <w:p w14:paraId="28BDBAE6" w14:textId="29F0C8FD" w:rsidR="00335AE8" w:rsidRPr="00602824" w:rsidRDefault="007A4584" w:rsidP="003A3D2B">
            <w:r w:rsidRPr="00602824">
              <w:t xml:space="preserve">Initially, the </w:t>
            </w:r>
            <w:r w:rsidR="00682877" w:rsidRPr="00602824">
              <w:t xml:space="preserve">new </w:t>
            </w:r>
            <w:r w:rsidRPr="00602824">
              <w:t xml:space="preserve">levy was estimated to </w:t>
            </w:r>
            <w:r w:rsidR="00621593" w:rsidRPr="00602824">
              <w:t xml:space="preserve">cost </w:t>
            </w:r>
            <w:r w:rsidR="00682877" w:rsidRPr="00602824">
              <w:t>medical device</w:t>
            </w:r>
            <w:r w:rsidR="00621593" w:rsidRPr="00602824">
              <w:t xml:space="preserve"> sponsors</w:t>
            </w:r>
            <w:r w:rsidRPr="00602824">
              <w:t xml:space="preserve"> between $350-$400 per </w:t>
            </w:r>
            <w:r w:rsidR="0019633F" w:rsidRPr="00602824">
              <w:t>billing code</w:t>
            </w:r>
            <w:r w:rsidRPr="00602824">
              <w:t xml:space="preserve"> </w:t>
            </w:r>
            <w:r w:rsidR="00682877" w:rsidRPr="00602824">
              <w:t xml:space="preserve">they had </w:t>
            </w:r>
            <w:r w:rsidRPr="00602824">
              <w:t xml:space="preserve">listed on the </w:t>
            </w:r>
            <w:r w:rsidR="00B81BA3" w:rsidRPr="00602824">
              <w:t>PL</w:t>
            </w:r>
            <w:r w:rsidR="00682877" w:rsidRPr="00602824">
              <w:t>. This first instance of the levy</w:t>
            </w:r>
            <w:r w:rsidRPr="00602824">
              <w:t xml:space="preserve"> was reduced to $150</w:t>
            </w:r>
            <w:r w:rsidR="00682877" w:rsidRPr="00602824">
              <w:t>,</w:t>
            </w:r>
            <w:r w:rsidRPr="00602824">
              <w:t xml:space="preserve"> as </w:t>
            </w:r>
            <w:r w:rsidR="00B81BA3" w:rsidRPr="00602824">
              <w:t xml:space="preserve">compliance </w:t>
            </w:r>
            <w:r w:rsidR="00513891">
              <w:t xml:space="preserve">and post-listing review </w:t>
            </w:r>
            <w:r w:rsidR="00B81BA3" w:rsidRPr="00602824">
              <w:t>costs for 2024-25</w:t>
            </w:r>
            <w:r w:rsidR="006C3A53" w:rsidRPr="00602824">
              <w:t xml:space="preserve"> </w:t>
            </w:r>
            <w:r w:rsidR="00621593" w:rsidRPr="00602824">
              <w:t>were</w:t>
            </w:r>
            <w:r w:rsidR="006C3A53" w:rsidRPr="00602824">
              <w:t xml:space="preserve"> funded through the reform process</w:t>
            </w:r>
            <w:r w:rsidR="00621593" w:rsidRPr="00602824">
              <w:t xml:space="preserve"> for this period</w:t>
            </w:r>
            <w:r w:rsidR="00B81BA3" w:rsidRPr="00602824">
              <w:t>.</w:t>
            </w:r>
            <w:r w:rsidR="007F6618" w:rsidRPr="00602824">
              <w:rPr>
                <w:rStyle w:val="FootnoteReference"/>
              </w:rPr>
              <w:footnoteReference w:id="122"/>
            </w:r>
            <w:r w:rsidR="00B81BA3" w:rsidRPr="00602824">
              <w:t xml:space="preserve"> </w:t>
            </w:r>
          </w:p>
        </w:tc>
      </w:tr>
    </w:tbl>
    <w:p w14:paraId="37E42349" w14:textId="75B6A238" w:rsidR="000C761E" w:rsidRPr="00602824" w:rsidRDefault="000C761E" w:rsidP="00F072A2">
      <w:pPr>
        <w:rPr>
          <w:lang w:eastAsia="en-AU"/>
        </w:rPr>
      </w:pPr>
    </w:p>
    <w:p w14:paraId="69EA3B6B" w14:textId="77777777" w:rsidR="008535A8" w:rsidRPr="00602824" w:rsidRDefault="008535A8" w:rsidP="00FB712C">
      <w:pPr>
        <w:pStyle w:val="Heading3"/>
        <w:spacing w:before="300"/>
      </w:pPr>
      <w:r w:rsidRPr="00602824">
        <w:t>Balancing efficient administration with cost recovery and financial sustainability of the PL is challenging</w:t>
      </w:r>
    </w:p>
    <w:p w14:paraId="59F65D53" w14:textId="39937D55" w:rsidR="008535A8" w:rsidRPr="00602824" w:rsidRDefault="002459BD" w:rsidP="008535A8">
      <w:r>
        <w:t>A key</w:t>
      </w:r>
      <w:r w:rsidR="008535A8" w:rsidRPr="00602824">
        <w:t xml:space="preserve"> aim of the cost recovery policy is to </w:t>
      </w:r>
      <w:r w:rsidR="00B65359">
        <w:t>support</w:t>
      </w:r>
      <w:r w:rsidR="008535A8" w:rsidRPr="00602824">
        <w:t xml:space="preserve"> the financial sustainability of the PL. As discussed in </w:t>
      </w:r>
      <w:r w:rsidR="008535A8" w:rsidRPr="00602824">
        <w:rPr>
          <w:i/>
        </w:rPr>
        <w:t xml:space="preserve">Interim </w:t>
      </w:r>
      <w:r w:rsidR="008535A8" w:rsidRPr="00602824">
        <w:rPr>
          <w:i/>
          <w:iCs/>
        </w:rPr>
        <w:t>Evaluation #</w:t>
      </w:r>
      <w:r w:rsidR="008535A8" w:rsidRPr="00602824">
        <w:rPr>
          <w:i/>
        </w:rPr>
        <w:t>1</w:t>
      </w:r>
      <w:r w:rsidR="008535A8" w:rsidRPr="00602824">
        <w:rPr>
          <w:i/>
          <w:iCs/>
        </w:rPr>
        <w:t xml:space="preserve"> report</w:t>
      </w:r>
      <w:r w:rsidR="008535A8" w:rsidRPr="00602824">
        <w:t xml:space="preserve">, prior to these changes, PL cost recovery arrangements had been unchanged since 2009. The arrangements did not align with the Australian Government Charging Framework (AGCF), as </w:t>
      </w:r>
      <w:r w:rsidR="008535A8" w:rsidRPr="00602824">
        <w:lastRenderedPageBreak/>
        <w:t>they were not adequately reflective of the size and complexity of the Department’s administration activities related to the PL.</w:t>
      </w:r>
      <w:r w:rsidR="008535A8" w:rsidRPr="00602824">
        <w:rPr>
          <w:rStyle w:val="FootnoteReference"/>
        </w:rPr>
        <w:footnoteReference w:id="123"/>
      </w:r>
      <w:r w:rsidR="008535A8" w:rsidRPr="00602824">
        <w:t xml:space="preserve"> </w:t>
      </w:r>
    </w:p>
    <w:p w14:paraId="5B6710BE" w14:textId="55529833" w:rsidR="008535A8" w:rsidRPr="00602824" w:rsidRDefault="008535A8" w:rsidP="008535A8">
      <w:r w:rsidRPr="00602824">
        <w:t xml:space="preserve">While the changes are intended to bring cost recovery fees into line with the cost of administration, all stakeholders, including departmental staff, are concerned that the resources available to administer the PL are inadequate and do not represent efficient administration. Creating a balance between adequate resources and the fees </w:t>
      </w:r>
      <w:r w:rsidR="009829BC">
        <w:t xml:space="preserve">and levies </w:t>
      </w:r>
      <w:r w:rsidRPr="00602824">
        <w:t>charged is challenging as many stakeholders do not welcome increases in fees.</w:t>
      </w:r>
    </w:p>
    <w:p w14:paraId="1BFA2FD4" w14:textId="77777777" w:rsidR="008535A8" w:rsidRPr="00602824" w:rsidRDefault="008535A8" w:rsidP="008535A8">
      <w:r w:rsidRPr="00602824">
        <w:t>For 2025-26 the Department has reviewed the fees and charges and increased fees in line with indexation. This includes a modest increase in staffing costs (3%) and increases for Tier 2 and 2a application pathways (between 6-33%) due to an increase in committee costs and costs of externally contracted health technology assessments for economic evaluations.</w:t>
      </w:r>
      <w:r w:rsidRPr="00602824">
        <w:rPr>
          <w:rStyle w:val="FootnoteReference"/>
        </w:rPr>
        <w:footnoteReference w:id="124"/>
      </w:r>
      <w:r w:rsidRPr="00602824">
        <w:t xml:space="preserve">  From 1 July 2025, the levy will increase from $150 to $355 per device as a result of including compliance, post listing review costs and increased IT costs.</w:t>
      </w:r>
      <w:r w:rsidRPr="00602824">
        <w:rPr>
          <w:rStyle w:val="FootnoteReference"/>
        </w:rPr>
        <w:footnoteReference w:id="125"/>
      </w:r>
    </w:p>
    <w:p w14:paraId="68099395" w14:textId="44BDA9D7" w:rsidR="008535A8" w:rsidRPr="00602824" w:rsidRDefault="008535A8" w:rsidP="008535A8">
      <w:pPr>
        <w:rPr>
          <w:bCs/>
          <w:lang w:eastAsia="en-AU"/>
        </w:rPr>
      </w:pPr>
      <w:r w:rsidRPr="00602824">
        <w:t xml:space="preserve">The cost recovery </w:t>
      </w:r>
      <w:r w:rsidR="00DE40B7">
        <w:t>charging</w:t>
      </w:r>
      <w:r w:rsidRPr="00602824">
        <w:t xml:space="preserve"> model is dynamic and will require continuous improvement to reflect policy and activity changes. </w:t>
      </w:r>
      <w:r w:rsidRPr="00602824">
        <w:rPr>
          <w:bCs/>
          <w:lang w:eastAsia="en-AU"/>
        </w:rPr>
        <w:t>The Department has communicated they are progressing an independent review of the Prescribed List cost recovery arrangements during 2025.</w:t>
      </w:r>
      <w:r w:rsidRPr="00602824">
        <w:rPr>
          <w:rStyle w:val="FootnoteReference"/>
          <w:bCs/>
          <w:lang w:eastAsia="en-AU"/>
        </w:rPr>
        <w:footnoteReference w:id="126"/>
      </w:r>
    </w:p>
    <w:p w14:paraId="0C99E56E" w14:textId="14DB6C9F" w:rsidR="00D245AD" w:rsidRPr="00602824" w:rsidRDefault="00EF2041" w:rsidP="00FB712C">
      <w:pPr>
        <w:pStyle w:val="Heading3"/>
        <w:spacing w:before="300"/>
      </w:pPr>
      <w:r w:rsidRPr="00602824">
        <w:t xml:space="preserve">Some </w:t>
      </w:r>
      <w:r w:rsidR="00F96D56" w:rsidRPr="00602824">
        <w:t xml:space="preserve">administrative </w:t>
      </w:r>
      <w:r w:rsidRPr="00602824">
        <w:t xml:space="preserve">practices </w:t>
      </w:r>
      <w:r w:rsidR="00F96D56" w:rsidRPr="00602824">
        <w:t xml:space="preserve">may </w:t>
      </w:r>
      <w:r w:rsidR="00F06558" w:rsidRPr="00602824">
        <w:t>be compromising cost recovery</w:t>
      </w:r>
    </w:p>
    <w:p w14:paraId="4B475AF1" w14:textId="3A4E0BFD" w:rsidR="007E0258" w:rsidRPr="00602824" w:rsidRDefault="070B4377" w:rsidP="00AC2A73">
      <w:r w:rsidRPr="00602824">
        <w:t xml:space="preserve">The </w:t>
      </w:r>
      <w:r w:rsidR="308878EB" w:rsidRPr="00602824">
        <w:t xml:space="preserve">evaluation </w:t>
      </w:r>
      <w:r w:rsidR="16C24243" w:rsidRPr="00602824">
        <w:t xml:space="preserve">was informed that </w:t>
      </w:r>
      <w:r w:rsidR="168A2750" w:rsidRPr="00602824">
        <w:t xml:space="preserve"> there have been cases where</w:t>
      </w:r>
      <w:r w:rsidR="16C24243" w:rsidRPr="00602824">
        <w:t xml:space="preserve"> applications </w:t>
      </w:r>
      <w:r w:rsidR="4F5E9993" w:rsidRPr="00602824">
        <w:t>submitted as</w:t>
      </w:r>
      <w:r w:rsidR="16C24243" w:rsidRPr="00602824">
        <w:t xml:space="preserve"> Tier </w:t>
      </w:r>
      <w:r w:rsidR="4F5E9993" w:rsidRPr="00602824">
        <w:t xml:space="preserve">1 are determined by departmental staff to require clinical assessment as per </w:t>
      </w:r>
      <w:r w:rsidR="152B7C9A" w:rsidRPr="00602824">
        <w:t>T</w:t>
      </w:r>
      <w:r w:rsidR="4F5E9993" w:rsidRPr="00602824">
        <w:t xml:space="preserve">ier 2, but no additional fees are </w:t>
      </w:r>
      <w:r w:rsidR="33F07DA5" w:rsidRPr="00602824">
        <w:t xml:space="preserve">requested or </w:t>
      </w:r>
      <w:r w:rsidR="4F5E9993" w:rsidRPr="00602824">
        <w:t xml:space="preserve">paid when the application </w:t>
      </w:r>
      <w:r w:rsidR="32974DF9" w:rsidRPr="00602824">
        <w:t xml:space="preserve">is </w:t>
      </w:r>
      <w:r w:rsidR="495FDF18" w:rsidRPr="00602824">
        <w:t>elevated to Tier 2.</w:t>
      </w:r>
      <w:r w:rsidR="00897771" w:rsidRPr="00602824">
        <w:rPr>
          <w:rStyle w:val="FootnoteReference"/>
        </w:rPr>
        <w:footnoteReference w:id="127"/>
      </w:r>
      <w:r w:rsidR="495FDF18" w:rsidRPr="00602824">
        <w:t xml:space="preserve"> Gi</w:t>
      </w:r>
      <w:r w:rsidR="152B7C9A" w:rsidRPr="00602824">
        <w:t>v</w:t>
      </w:r>
      <w:r w:rsidR="495FDF18" w:rsidRPr="00602824">
        <w:t xml:space="preserve">en that the clinical </w:t>
      </w:r>
      <w:r w:rsidR="152B7C9A" w:rsidRPr="00602824">
        <w:t>a</w:t>
      </w:r>
      <w:r w:rsidR="495FDF18" w:rsidRPr="00602824">
        <w:t>s</w:t>
      </w:r>
      <w:r w:rsidR="152B7C9A" w:rsidRPr="00602824">
        <w:t>s</w:t>
      </w:r>
      <w:r w:rsidR="495FDF18" w:rsidRPr="00602824">
        <w:t xml:space="preserve">essment fee for a Tier 2 application is $3,970 (and for </w:t>
      </w:r>
      <w:r w:rsidR="152B7C9A" w:rsidRPr="00602824">
        <w:t>T</w:t>
      </w:r>
      <w:r w:rsidR="495FDF18" w:rsidRPr="00602824">
        <w:t>ier 2</w:t>
      </w:r>
      <w:r w:rsidR="152B7C9A" w:rsidRPr="00602824">
        <w:t>b</w:t>
      </w:r>
      <w:r w:rsidR="495FDF18" w:rsidRPr="00602824">
        <w:t xml:space="preserve"> an additional economic </w:t>
      </w:r>
      <w:r w:rsidR="54B4317D" w:rsidRPr="00602824">
        <w:t xml:space="preserve">evaluation </w:t>
      </w:r>
      <w:r w:rsidR="495FDF18" w:rsidRPr="00602824">
        <w:t>fee of between $</w:t>
      </w:r>
      <w:r w:rsidR="152B7C9A" w:rsidRPr="00602824">
        <w:t>9</w:t>
      </w:r>
      <w:r w:rsidR="54B4317D" w:rsidRPr="00602824">
        <w:t>,</w:t>
      </w:r>
      <w:r w:rsidR="152B7C9A" w:rsidRPr="00602824">
        <w:t xml:space="preserve">250 and $28,920), this movement between the tiers may represent a significant </w:t>
      </w:r>
      <w:r w:rsidR="54B4317D" w:rsidRPr="00602824">
        <w:t>shortfall in potential cost recovery revenue.</w:t>
      </w:r>
      <w:r w:rsidR="416214A9" w:rsidRPr="00602824">
        <w:t xml:space="preserve"> The reason given for this movement between the tiers is a lack of appropriately skilled resources to undertake the Tier 1 assessments within the Department.</w:t>
      </w:r>
      <w:r w:rsidR="00706F2E">
        <w:t xml:space="preserve"> </w:t>
      </w:r>
      <w:r w:rsidR="0036631B" w:rsidRPr="0036631B">
        <w:t>In March 2025, the Department introduced additional internal controls to address the impact of PL administrative practices on cost recovery</w:t>
      </w:r>
      <w:r w:rsidR="001B0DA4">
        <w:t>. The evaluation will</w:t>
      </w:r>
      <w:r w:rsidR="00237CFD">
        <w:t xml:space="preserve"> </w:t>
      </w:r>
      <w:r w:rsidR="00B17CBE">
        <w:t>cont</w:t>
      </w:r>
      <w:r w:rsidR="009B36B2">
        <w:t>inue to monitor this area and provide any update in the</w:t>
      </w:r>
      <w:r w:rsidR="00237CFD">
        <w:t xml:space="preserve"> </w:t>
      </w:r>
      <w:r w:rsidR="00ED0BBE">
        <w:t>final report in 2026.</w:t>
      </w:r>
    </w:p>
    <w:p w14:paraId="0EBB7931" w14:textId="33149745" w:rsidR="00421EA8" w:rsidRPr="00602824" w:rsidRDefault="008F220E" w:rsidP="00FB712C">
      <w:pPr>
        <w:pStyle w:val="Heading3"/>
        <w:spacing w:before="300"/>
      </w:pPr>
      <w:r w:rsidRPr="00602824">
        <w:t>S</w:t>
      </w:r>
      <w:r w:rsidR="00421EA8" w:rsidRPr="00602824">
        <w:t xml:space="preserve">takeholder </w:t>
      </w:r>
      <w:r w:rsidRPr="00602824">
        <w:t>perspectives</w:t>
      </w:r>
    </w:p>
    <w:p w14:paraId="27150DAB" w14:textId="3CD579C0" w:rsidR="00772530" w:rsidRPr="00602824" w:rsidRDefault="00CF4C34" w:rsidP="00AC2A73">
      <w:pPr>
        <w:rPr>
          <w:rFonts w:eastAsia="Times New Roman" w:cs="Times New Roman"/>
          <w:szCs w:val="19"/>
          <w:lang w:eastAsia="en-AU"/>
        </w:rPr>
      </w:pPr>
      <w:r w:rsidRPr="00602824">
        <w:rPr>
          <w:rFonts w:eastAsia="Times New Roman" w:cs="Times New Roman"/>
          <w:szCs w:val="19"/>
          <w:lang w:eastAsia="en-AU"/>
        </w:rPr>
        <w:t>Stakeholder feedback on the financial sustainability of the PL reveals tensions between rising administrative costs and the need to preserve equitable access to medical technologies.</w:t>
      </w:r>
      <w:r w:rsidR="00BF33A6" w:rsidRPr="00602824">
        <w:rPr>
          <w:rFonts w:eastAsia="Times New Roman" w:cs="Times New Roman"/>
          <w:szCs w:val="19"/>
          <w:lang w:eastAsia="en-AU"/>
        </w:rPr>
        <w:t xml:space="preserve"> </w:t>
      </w:r>
    </w:p>
    <w:p w14:paraId="65E1D71E" w14:textId="06D7C9CA" w:rsidR="005D473D" w:rsidRPr="00602824" w:rsidRDefault="00BF33A6" w:rsidP="00AC2A73">
      <w:pPr>
        <w:rPr>
          <w:rFonts w:eastAsia="Times New Roman" w:cs="Times New Roman"/>
          <w:szCs w:val="19"/>
          <w:lang w:eastAsia="en-AU"/>
        </w:rPr>
      </w:pPr>
      <w:r w:rsidRPr="00602824">
        <w:rPr>
          <w:rFonts w:eastAsia="Times New Roman" w:cs="Times New Roman"/>
          <w:szCs w:val="19"/>
          <w:lang w:eastAsia="en-AU"/>
        </w:rPr>
        <w:t xml:space="preserve">Private hospital </w:t>
      </w:r>
      <w:r w:rsidR="005D473D" w:rsidRPr="00602824">
        <w:rPr>
          <w:rFonts w:eastAsia="Times New Roman" w:cs="Times New Roman"/>
          <w:szCs w:val="19"/>
          <w:lang w:eastAsia="en-AU"/>
        </w:rPr>
        <w:t xml:space="preserve">representatives </w:t>
      </w:r>
      <w:r w:rsidRPr="00602824">
        <w:rPr>
          <w:rFonts w:eastAsia="Times New Roman" w:cs="Times New Roman"/>
          <w:szCs w:val="19"/>
          <w:lang w:eastAsia="en-AU"/>
        </w:rPr>
        <w:t>stressed that under-resourcing within the Department has led to delays, errors, and cash flow disruptions, and called for arbitration mechanisms to resolve pricing disputes</w:t>
      </w:r>
      <w:r w:rsidR="00E73304" w:rsidRPr="00602824">
        <w:rPr>
          <w:rFonts w:eastAsia="Times New Roman" w:cs="Times New Roman"/>
          <w:szCs w:val="19"/>
          <w:lang w:eastAsia="en-AU"/>
        </w:rPr>
        <w:t xml:space="preserve">. </w:t>
      </w:r>
    </w:p>
    <w:p w14:paraId="6AA31490" w14:textId="77777777" w:rsidR="005D473D" w:rsidRPr="00602824" w:rsidRDefault="00E73304" w:rsidP="00AC2A73">
      <w:pPr>
        <w:rPr>
          <w:rFonts w:eastAsia="Times New Roman" w:cs="Times New Roman"/>
          <w:szCs w:val="19"/>
          <w:lang w:eastAsia="en-AU"/>
        </w:rPr>
      </w:pPr>
      <w:r w:rsidRPr="00602824">
        <w:rPr>
          <w:rFonts w:eastAsia="Times New Roman" w:cs="Times New Roman"/>
          <w:szCs w:val="19"/>
          <w:lang w:eastAsia="en-AU"/>
        </w:rPr>
        <w:t xml:space="preserve">Private health insurance </w:t>
      </w:r>
      <w:r w:rsidR="005D473D" w:rsidRPr="00602824">
        <w:rPr>
          <w:rFonts w:eastAsia="Times New Roman" w:cs="Times New Roman"/>
          <w:szCs w:val="19"/>
          <w:lang w:eastAsia="en-AU"/>
        </w:rPr>
        <w:t>representatives</w:t>
      </w:r>
      <w:r w:rsidRPr="00602824">
        <w:rPr>
          <w:rFonts w:eastAsia="Times New Roman" w:cs="Times New Roman"/>
          <w:szCs w:val="19"/>
          <w:lang w:eastAsia="en-AU"/>
        </w:rPr>
        <w:t xml:space="preserve"> questioned the continued viability of the PL model, advocating for a shift to bundled payment systems to reduce costs and administrative burden</w:t>
      </w:r>
      <w:r w:rsidR="00F215B1" w:rsidRPr="00602824">
        <w:rPr>
          <w:rFonts w:eastAsia="Times New Roman" w:cs="Times New Roman"/>
          <w:szCs w:val="19"/>
          <w:lang w:eastAsia="en-AU"/>
        </w:rPr>
        <w:t xml:space="preserve">. </w:t>
      </w:r>
    </w:p>
    <w:p w14:paraId="7F5F1690" w14:textId="77777777" w:rsidR="0054143A" w:rsidRPr="00602824" w:rsidRDefault="005D473D" w:rsidP="00AC2A73">
      <w:pPr>
        <w:rPr>
          <w:rFonts w:eastAsia="Times New Roman" w:cs="Times New Roman"/>
          <w:szCs w:val="19"/>
          <w:lang w:eastAsia="en-AU"/>
        </w:rPr>
      </w:pPr>
      <w:r w:rsidRPr="00602824">
        <w:rPr>
          <w:rFonts w:eastAsia="Times New Roman" w:cs="Times New Roman"/>
          <w:szCs w:val="19"/>
          <w:lang w:eastAsia="en-AU"/>
        </w:rPr>
        <w:t>The m</w:t>
      </w:r>
      <w:r w:rsidR="00F215B1" w:rsidRPr="00602824">
        <w:rPr>
          <w:rFonts w:eastAsia="Times New Roman" w:cs="Times New Roman"/>
          <w:szCs w:val="19"/>
          <w:lang w:eastAsia="en-AU"/>
        </w:rPr>
        <w:t xml:space="preserve">edical technology </w:t>
      </w:r>
      <w:r w:rsidRPr="00602824">
        <w:rPr>
          <w:rFonts w:eastAsia="Times New Roman" w:cs="Times New Roman"/>
          <w:szCs w:val="19"/>
          <w:lang w:eastAsia="en-AU"/>
        </w:rPr>
        <w:t>industry</w:t>
      </w:r>
      <w:r w:rsidR="00F215B1" w:rsidRPr="00602824">
        <w:rPr>
          <w:rFonts w:eastAsia="Times New Roman" w:cs="Times New Roman"/>
          <w:szCs w:val="19"/>
          <w:lang w:eastAsia="en-AU"/>
        </w:rPr>
        <w:t xml:space="preserve"> raised concerns about escalating cost recovery fees, particularly for smaller and Australian-based companies, warning that the financial burden may discourage listings and limit innovation. They </w:t>
      </w:r>
      <w:r w:rsidR="0054143A" w:rsidRPr="00602824">
        <w:rPr>
          <w:rFonts w:eastAsia="Times New Roman" w:cs="Times New Roman"/>
          <w:szCs w:val="19"/>
          <w:lang w:eastAsia="en-AU"/>
        </w:rPr>
        <w:t>advocated</w:t>
      </w:r>
      <w:r w:rsidR="00F215B1" w:rsidRPr="00602824">
        <w:rPr>
          <w:rFonts w:eastAsia="Times New Roman" w:cs="Times New Roman"/>
          <w:szCs w:val="19"/>
          <w:lang w:eastAsia="en-AU"/>
        </w:rPr>
        <w:t xml:space="preserve"> match</w:t>
      </w:r>
      <w:r w:rsidR="0054143A" w:rsidRPr="00602824">
        <w:rPr>
          <w:rFonts w:eastAsia="Times New Roman" w:cs="Times New Roman"/>
          <w:szCs w:val="19"/>
          <w:lang w:eastAsia="en-AU"/>
        </w:rPr>
        <w:t>ing</w:t>
      </w:r>
      <w:r w:rsidR="00F215B1" w:rsidRPr="00602824">
        <w:rPr>
          <w:rFonts w:eastAsia="Times New Roman" w:cs="Times New Roman"/>
          <w:szCs w:val="19"/>
          <w:lang w:eastAsia="en-AU"/>
        </w:rPr>
        <w:t xml:space="preserve"> fees with service commitments and consider</w:t>
      </w:r>
      <w:r w:rsidR="0054143A" w:rsidRPr="00602824">
        <w:rPr>
          <w:rFonts w:eastAsia="Times New Roman" w:cs="Times New Roman"/>
          <w:szCs w:val="19"/>
          <w:lang w:eastAsia="en-AU"/>
        </w:rPr>
        <w:t>ing</w:t>
      </w:r>
      <w:r w:rsidR="00F215B1" w:rsidRPr="00602824">
        <w:rPr>
          <w:rFonts w:eastAsia="Times New Roman" w:cs="Times New Roman"/>
          <w:szCs w:val="19"/>
          <w:lang w:eastAsia="en-AU"/>
        </w:rPr>
        <w:t xml:space="preserve"> fee relief for domestic firms. </w:t>
      </w:r>
    </w:p>
    <w:p w14:paraId="10CB9A34" w14:textId="1AB726FA" w:rsidR="00DE3C2A" w:rsidRPr="00602824" w:rsidRDefault="00F215B1" w:rsidP="00AC2A73">
      <w:pPr>
        <w:rPr>
          <w:lang w:eastAsia="en-AU"/>
        </w:rPr>
      </w:pPr>
      <w:r w:rsidRPr="00602824">
        <w:rPr>
          <w:rFonts w:eastAsia="Times New Roman" w:cs="Times New Roman"/>
          <w:szCs w:val="19"/>
          <w:lang w:eastAsia="en-AU"/>
        </w:rPr>
        <w:t>Clinic</w:t>
      </w:r>
      <w:r w:rsidR="0054143A" w:rsidRPr="00602824">
        <w:rPr>
          <w:rFonts w:eastAsia="Times New Roman" w:cs="Times New Roman"/>
          <w:szCs w:val="19"/>
          <w:lang w:eastAsia="en-AU"/>
        </w:rPr>
        <w:t>ian</w:t>
      </w:r>
      <w:r w:rsidRPr="00602824">
        <w:rPr>
          <w:rFonts w:eastAsia="Times New Roman" w:cs="Times New Roman"/>
          <w:szCs w:val="19"/>
          <w:lang w:eastAsia="en-AU"/>
        </w:rPr>
        <w:t xml:space="preserve"> representatives supported continued investment in the PL, warning that inadequate funding could delay access to new technologies and undermine the value of private health insurance for patients. </w:t>
      </w:r>
    </w:p>
    <w:p w14:paraId="503803C1" w14:textId="44332731" w:rsidR="00195E52" w:rsidRPr="00602824" w:rsidRDefault="00EE5FE3" w:rsidP="00B50EE7">
      <w:pPr>
        <w:pStyle w:val="Caption"/>
      </w:pPr>
      <w:r w:rsidRPr="00602824">
        <w:lastRenderedPageBreak/>
        <w:t xml:space="preserve">Table </w:t>
      </w:r>
      <w:r w:rsidR="002604D0">
        <w:fldChar w:fldCharType="begin"/>
      </w:r>
      <w:r w:rsidR="002604D0">
        <w:instrText xml:space="preserve"> SEQ Table \* ARABIC </w:instrText>
      </w:r>
      <w:r w:rsidR="002604D0">
        <w:fldChar w:fldCharType="separate"/>
      </w:r>
      <w:r w:rsidR="00D30634">
        <w:rPr>
          <w:noProof/>
        </w:rPr>
        <w:t>19</w:t>
      </w:r>
      <w:r w:rsidR="002604D0">
        <w:fldChar w:fldCharType="end"/>
      </w:r>
      <w:r w:rsidRPr="00602824">
        <w:t xml:space="preserve"> | Stakeholder perspectives on cost recovery and financial sustainability of the PL</w:t>
      </w:r>
      <w:r w:rsidR="003E7D14" w:rsidRPr="00602824">
        <w:rPr>
          <w:rStyle w:val="FootnoteReference"/>
        </w:rPr>
        <w:footnoteReference w:id="128"/>
      </w:r>
    </w:p>
    <w:tbl>
      <w:tblPr>
        <w:tblStyle w:val="NOUS1"/>
        <w:tblW w:w="0" w:type="auto"/>
        <w:tblLook w:val="04A0" w:firstRow="1" w:lastRow="0" w:firstColumn="1" w:lastColumn="0" w:noHBand="0" w:noVBand="1"/>
      </w:tblPr>
      <w:tblGrid>
        <w:gridCol w:w="2252"/>
        <w:gridCol w:w="6819"/>
      </w:tblGrid>
      <w:tr w:rsidR="00195E52" w:rsidRPr="00602824" w14:paraId="6925C97A" w14:textId="77777777" w:rsidTr="78262323">
        <w:trPr>
          <w:cnfStyle w:val="100000000000" w:firstRow="1" w:lastRow="0" w:firstColumn="0" w:lastColumn="0" w:oddVBand="0" w:evenVBand="0" w:oddHBand="0" w:evenHBand="0" w:firstRowFirstColumn="0" w:firstRowLastColumn="0" w:lastRowFirstColumn="0" w:lastRowLastColumn="0"/>
        </w:trPr>
        <w:tc>
          <w:tcPr>
            <w:tcW w:w="2268" w:type="dxa"/>
          </w:tcPr>
          <w:p w14:paraId="0FF4F0D0" w14:textId="77777777" w:rsidR="00195E52" w:rsidRPr="00602824" w:rsidRDefault="00195E52" w:rsidP="00FB712C">
            <w:pPr>
              <w:pStyle w:val="TableNheader"/>
              <w:keepNext w:val="0"/>
              <w:spacing w:before="60" w:after="60" w:line="240" w:lineRule="auto"/>
              <w:jc w:val="center"/>
            </w:pPr>
            <w:r w:rsidRPr="00602824">
              <w:t>Stakeholder group</w:t>
            </w:r>
          </w:p>
        </w:tc>
        <w:tc>
          <w:tcPr>
            <w:tcW w:w="6917" w:type="dxa"/>
          </w:tcPr>
          <w:p w14:paraId="42C70C0B" w14:textId="77777777" w:rsidR="00195E52" w:rsidRPr="00602824" w:rsidRDefault="00195E52" w:rsidP="00FB712C">
            <w:pPr>
              <w:pStyle w:val="TableNheader"/>
              <w:keepNext w:val="0"/>
              <w:spacing w:before="60" w:after="60" w:line="240" w:lineRule="auto"/>
            </w:pPr>
            <w:r w:rsidRPr="00602824">
              <w:t>Perspectives on reform project</w:t>
            </w:r>
          </w:p>
        </w:tc>
      </w:tr>
      <w:tr w:rsidR="00195E52" w:rsidRPr="00602824" w14:paraId="231BAFF4" w14:textId="77777777" w:rsidTr="78262323">
        <w:tc>
          <w:tcPr>
            <w:tcW w:w="2268" w:type="dxa"/>
            <w:shd w:val="clear" w:color="auto" w:fill="00264D" w:themeFill="background2"/>
          </w:tcPr>
          <w:p w14:paraId="69AF3219" w14:textId="77777777" w:rsidR="00195E52" w:rsidRPr="00602824" w:rsidRDefault="00195E52" w:rsidP="00FB712C">
            <w:pPr>
              <w:pStyle w:val="TableNheader"/>
              <w:keepNext w:val="0"/>
              <w:spacing w:before="60" w:after="60" w:line="240" w:lineRule="auto"/>
              <w:jc w:val="center"/>
              <w:rPr>
                <w:color w:val="FFFFFF" w:themeColor="background1"/>
              </w:rPr>
            </w:pPr>
            <w:r w:rsidRPr="00602824">
              <w:rPr>
                <w:color w:val="FFFFFF" w:themeColor="background1"/>
              </w:rPr>
              <w:t>Private hospital sector</w:t>
            </w:r>
          </w:p>
          <w:p w14:paraId="0902F51B" w14:textId="77777777" w:rsidR="00195E52" w:rsidRPr="00602824" w:rsidRDefault="00195E52"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67CB55F1" wp14:editId="7EACDEFB">
                      <wp:extent cx="320633" cy="314696"/>
                      <wp:effectExtent l="0" t="0" r="3810" b="9525"/>
                      <wp:docPr id="34509770" name="Freeform: Shape 34509770"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34509770" style="width:25.25pt;height:24.8pt;visibility:visible;mso-wrap-style:square;mso-left-percent:-10001;mso-top-percent:-10001;mso-position-horizontal:absolute;mso-position-horizontal-relative:char;mso-position-vertical:absolute;mso-position-vertical-relative:line;mso-left-percent:-10001;mso-top-percent:-10001;v-text-anchor:middle" alt="Icon of a person wearing a healthcare worker outfit" coordsize="533891,533972" o:spid="_x0000_s1026" fillcolor="window" stroked="f" strokeweight=".34853mm"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w14:anchorId="3188A21E">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6917" w:type="dxa"/>
          </w:tcPr>
          <w:p w14:paraId="5181C501" w14:textId="77777777" w:rsidR="00195E52" w:rsidRPr="00602824" w:rsidRDefault="00195E52" w:rsidP="003A3D2B">
            <w:pPr>
              <w:pStyle w:val="TableNBullet"/>
              <w:spacing w:before="60" w:after="60"/>
            </w:pPr>
            <w:r w:rsidRPr="00602824">
              <w:t>Hospitals stressed that the sustainability of the PL depends on adequate departmental resourcing, particularly during critical points in the PL cycle. They reported delays in list publication and errors that affect claims processing and cash flow.</w:t>
            </w:r>
          </w:p>
          <w:p w14:paraId="7A6FA58B" w14:textId="77777777" w:rsidR="00195E52" w:rsidRPr="00602824" w:rsidRDefault="00195E52" w:rsidP="003A3D2B">
            <w:pPr>
              <w:pStyle w:val="TableNBullet"/>
              <w:spacing w:before="60" w:after="60"/>
            </w:pPr>
            <w:r w:rsidRPr="00602824">
              <w:t>They supported introducing an arbitration mechanism to resolve pricing disputes, especially when sponsors charge above the listed benefit, to ensure fairness and reduce administrative burden.</w:t>
            </w:r>
          </w:p>
          <w:p w14:paraId="282EB67D" w14:textId="77777777" w:rsidR="00195E52" w:rsidRPr="00602824" w:rsidRDefault="00195E52" w:rsidP="003A3D2B">
            <w:pPr>
              <w:pStyle w:val="TableNBullet"/>
              <w:spacing w:before="60" w:after="60"/>
            </w:pPr>
            <w:r w:rsidRPr="00602824">
              <w:t>Stakeholders warned that under-resourcing may undermine the broader objectives of the reform by deprioritising essential activities.</w:t>
            </w:r>
          </w:p>
        </w:tc>
      </w:tr>
      <w:tr w:rsidR="00195E52" w:rsidRPr="00602824" w14:paraId="47D6D143" w14:textId="77777777" w:rsidTr="78262323">
        <w:tc>
          <w:tcPr>
            <w:tcW w:w="2268" w:type="dxa"/>
            <w:shd w:val="clear" w:color="auto" w:fill="00264D" w:themeFill="background2"/>
          </w:tcPr>
          <w:p w14:paraId="7839F59C" w14:textId="77777777" w:rsidR="00195E52" w:rsidRPr="00602824" w:rsidRDefault="00195E52" w:rsidP="00FB712C">
            <w:pPr>
              <w:pStyle w:val="TableNheader"/>
              <w:keepNext w:val="0"/>
              <w:spacing w:before="60" w:after="60" w:line="240" w:lineRule="auto"/>
              <w:jc w:val="center"/>
              <w:rPr>
                <w:color w:val="FFFFFF" w:themeColor="background1"/>
              </w:rPr>
            </w:pPr>
            <w:r w:rsidRPr="00602824">
              <w:rPr>
                <w:color w:val="FFFFFF" w:themeColor="background1"/>
              </w:rPr>
              <w:t>Private health insurance representatives</w:t>
            </w:r>
          </w:p>
          <w:p w14:paraId="5663F301" w14:textId="77777777" w:rsidR="00195E52" w:rsidRPr="00602824" w:rsidRDefault="00195E52" w:rsidP="00FB712C">
            <w:pPr>
              <w:pStyle w:val="TableNheader"/>
              <w:keepNext w:val="0"/>
              <w:spacing w:before="60" w:after="60" w:line="240" w:lineRule="auto"/>
              <w:jc w:val="center"/>
              <w:rPr>
                <w:color w:val="FFFFFF" w:themeColor="background1"/>
              </w:rPr>
            </w:pPr>
            <w:r w:rsidRPr="00AC7E3F">
              <w:rPr>
                <w:i/>
                <w:iCs/>
                <w:noProof/>
              </w:rPr>
              <mc:AlternateContent>
                <mc:Choice Requires="wps">
                  <w:drawing>
                    <wp:inline distT="0" distB="0" distL="0" distR="0" wp14:anchorId="48F33A9E" wp14:editId="361CADEB">
                      <wp:extent cx="292311" cy="292311"/>
                      <wp:effectExtent l="0" t="0" r="0" b="0"/>
                      <wp:docPr id="931731610" name="Freeform: Shape 931731610"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v:shape id="Freeform: Shape 931731610" style="width:23pt;height:23pt;visibility:visible;mso-wrap-style:square;mso-left-percent:-10001;mso-top-percent:-10001;mso-position-horizontal:absolute;mso-position-horizontal-relative:char;mso-position-vertical:absolute;mso-position-vertical-relative:line;mso-left-percent:-10001;mso-top-percent:-10001;v-text-anchor:top" alt="Icon of a medical cross " coordsize="168,170" o:spid="_x0000_s1026" fillcolor="window" stroked="f"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w14:anchorId="4BA6FE1D">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verticies="t" aspectratio="t"/>
                      <w10:anchorlock/>
                    </v:shape>
                  </w:pict>
                </mc:Fallback>
              </mc:AlternateContent>
            </w:r>
          </w:p>
        </w:tc>
        <w:tc>
          <w:tcPr>
            <w:tcW w:w="6917" w:type="dxa"/>
          </w:tcPr>
          <w:p w14:paraId="2AFFD5EC" w14:textId="77777777" w:rsidR="00CC5603" w:rsidRDefault="00195E52" w:rsidP="003A3D2B">
            <w:pPr>
              <w:pStyle w:val="TableNBullet"/>
              <w:spacing w:before="60" w:after="60"/>
            </w:pPr>
            <w:r w:rsidRPr="00602824">
              <w:t xml:space="preserve">Insurers argued against the continued operation of the PL in its current form, viewing it as outdated and </w:t>
            </w:r>
            <w:proofErr w:type="gramStart"/>
            <w:r w:rsidRPr="00602824">
              <w:t>resource-intensive</w:t>
            </w:r>
            <w:proofErr w:type="gramEnd"/>
            <w:r w:rsidRPr="00602824">
              <w:t xml:space="preserve">. </w:t>
            </w:r>
          </w:p>
          <w:p w14:paraId="536E4195" w14:textId="04FAF7C4" w:rsidR="00195E52" w:rsidRPr="00602824" w:rsidRDefault="00195E52" w:rsidP="003A3D2B">
            <w:pPr>
              <w:pStyle w:val="TableNBullet"/>
              <w:spacing w:before="60" w:after="60"/>
            </w:pPr>
            <w:r w:rsidRPr="00602824">
              <w:t>They advocated for a transition to a DRG or bundled payment model to support a more sustainable, value-based system.</w:t>
            </w:r>
          </w:p>
        </w:tc>
      </w:tr>
      <w:tr w:rsidR="00195E52" w:rsidRPr="00602824" w14:paraId="4AA1E531" w14:textId="77777777" w:rsidTr="78262323">
        <w:tc>
          <w:tcPr>
            <w:tcW w:w="2268" w:type="dxa"/>
            <w:shd w:val="clear" w:color="auto" w:fill="00264D" w:themeFill="background2"/>
          </w:tcPr>
          <w:p w14:paraId="1726D2E8" w14:textId="77777777" w:rsidR="00195E52" w:rsidRPr="00602824" w:rsidRDefault="00195E52" w:rsidP="00FB712C">
            <w:pPr>
              <w:pStyle w:val="TableNheader"/>
              <w:keepNext w:val="0"/>
              <w:spacing w:before="60" w:after="60" w:line="240" w:lineRule="auto"/>
              <w:jc w:val="center"/>
              <w:rPr>
                <w:color w:val="FFFFFF" w:themeColor="background1"/>
              </w:rPr>
            </w:pPr>
            <w:r w:rsidRPr="00602824">
              <w:rPr>
                <w:color w:val="FFFFFF" w:themeColor="background1"/>
              </w:rPr>
              <w:t>Medical technology representatives</w:t>
            </w:r>
          </w:p>
          <w:p w14:paraId="0B63437B" w14:textId="77777777" w:rsidR="00195E52" w:rsidRPr="00602824" w:rsidRDefault="00195E52" w:rsidP="00FB712C">
            <w:pPr>
              <w:pStyle w:val="TableNheader"/>
              <w:keepNext w:val="0"/>
              <w:spacing w:before="60" w:after="60" w:line="240" w:lineRule="auto"/>
              <w:jc w:val="center"/>
              <w:rPr>
                <w:color w:val="FFFFFF" w:themeColor="background1"/>
              </w:rPr>
            </w:pPr>
            <w:r w:rsidRPr="00AC7E3F">
              <w:rPr>
                <w:i/>
                <w:iCs/>
                <w:noProof/>
              </w:rPr>
              <w:drawing>
                <wp:inline distT="0" distB="0" distL="0" distR="0" wp14:anchorId="0548E724" wp14:editId="58D81097">
                  <wp:extent cx="309245" cy="336734"/>
                  <wp:effectExtent l="0" t="0" r="0" b="6350"/>
                  <wp:docPr id="1080854210" name="Graphic 1080854210"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19264" cy="347644"/>
                          </a:xfrm>
                          <a:prstGeom prst="rect">
                            <a:avLst/>
                          </a:prstGeom>
                        </pic:spPr>
                      </pic:pic>
                    </a:graphicData>
                  </a:graphic>
                </wp:inline>
              </w:drawing>
            </w:r>
          </w:p>
        </w:tc>
        <w:tc>
          <w:tcPr>
            <w:tcW w:w="6917" w:type="dxa"/>
          </w:tcPr>
          <w:p w14:paraId="7A207629" w14:textId="77777777" w:rsidR="00195E52" w:rsidRPr="00602824" w:rsidRDefault="00195E52" w:rsidP="003A3D2B">
            <w:pPr>
              <w:pStyle w:val="TableNBullet"/>
              <w:spacing w:before="60" w:after="60"/>
            </w:pPr>
            <w:r w:rsidRPr="00602824">
              <w:t>Industry representatives expressed concern about rising costs due to fee increases, the introduction of cost recovery, and charges related to the National Joint Replacement Registry (NJRR). These were seen as particularly burdensome for smaller or Australian-based companies.</w:t>
            </w:r>
          </w:p>
          <w:p w14:paraId="4A61F0BD" w14:textId="3CC8E283" w:rsidR="00195E52" w:rsidRPr="00602824" w:rsidRDefault="00195E52" w:rsidP="003A3D2B">
            <w:pPr>
              <w:pStyle w:val="TableNBullet"/>
              <w:spacing w:before="60" w:after="60"/>
            </w:pPr>
            <w:r w:rsidRPr="00602824">
              <w:t xml:space="preserve">They highlighted that previously free </w:t>
            </w:r>
            <w:r w:rsidR="00520FED">
              <w:t xml:space="preserve">listing </w:t>
            </w:r>
            <w:r w:rsidRPr="00602824">
              <w:t>amendment</w:t>
            </w:r>
            <w:r w:rsidR="00520FED">
              <w:t>s</w:t>
            </w:r>
            <w:r w:rsidRPr="00602824">
              <w:t xml:space="preserve"> now incur fees between $1,420 and $5,390, which may discourage sponsors from making necessary amendments, such as updated ARTG details on the PL </w:t>
            </w:r>
            <w:proofErr w:type="gramStart"/>
            <w:r w:rsidRPr="00602824">
              <w:t>as a result of</w:t>
            </w:r>
            <w:proofErr w:type="gramEnd"/>
            <w:r w:rsidRPr="00602824">
              <w:t xml:space="preserve"> change</w:t>
            </w:r>
            <w:r w:rsidR="009959DB">
              <w:t>s</w:t>
            </w:r>
            <w:r w:rsidRPr="00602824">
              <w:t xml:space="preserve"> made by the TGA.</w:t>
            </w:r>
          </w:p>
          <w:p w14:paraId="2A5D6797" w14:textId="1D3A70B9" w:rsidR="00195E52" w:rsidRPr="00602824" w:rsidRDefault="1BB7FB50" w:rsidP="003A3D2B">
            <w:pPr>
              <w:pStyle w:val="TableNBullet"/>
              <w:spacing w:before="60" w:after="60"/>
            </w:pPr>
            <w:r>
              <w:t xml:space="preserve">While supportive of the Department’s financial sustainability goals, </w:t>
            </w:r>
            <w:r w:rsidR="3749135A">
              <w:t xml:space="preserve">some </w:t>
            </w:r>
            <w:r>
              <w:t>stakeholders called for cost recovery measures to be proportionate to business size and capacity</w:t>
            </w:r>
            <w:r w:rsidR="00706F2E">
              <w:t xml:space="preserve"> </w:t>
            </w:r>
            <w:r w:rsidR="037B90A5">
              <w:t xml:space="preserve">and </w:t>
            </w:r>
            <w:r>
              <w:t>recommended waiving or reducing fees for smaller companies to support local innovation and biotech development.</w:t>
            </w:r>
            <w:r w:rsidR="3231B640">
              <w:t xml:space="preserve"> This position was not supported by other industry parties.</w:t>
            </w:r>
          </w:p>
          <w:p w14:paraId="5C5BD908" w14:textId="77777777" w:rsidR="00195E52" w:rsidRPr="00602824" w:rsidRDefault="00195E52" w:rsidP="003A3D2B">
            <w:pPr>
              <w:pStyle w:val="TableNBullet"/>
              <w:spacing w:before="60" w:after="60"/>
            </w:pPr>
            <w:r w:rsidRPr="00602824">
              <w:t>They also noted a lack of service level commitments despite increased costs.</w:t>
            </w:r>
          </w:p>
        </w:tc>
      </w:tr>
      <w:tr w:rsidR="00195E52" w:rsidRPr="00602824" w14:paraId="738F9EC8" w14:textId="77777777" w:rsidTr="78262323">
        <w:tc>
          <w:tcPr>
            <w:tcW w:w="2268" w:type="dxa"/>
            <w:shd w:val="clear" w:color="auto" w:fill="00264D" w:themeFill="background2"/>
          </w:tcPr>
          <w:p w14:paraId="3FE2681C" w14:textId="77777777" w:rsidR="00195E52" w:rsidRPr="00602824" w:rsidRDefault="00195E52" w:rsidP="00FB712C">
            <w:pPr>
              <w:pStyle w:val="TableNheader"/>
              <w:keepNext w:val="0"/>
              <w:spacing w:before="60" w:after="60" w:line="240" w:lineRule="auto"/>
              <w:jc w:val="center"/>
              <w:rPr>
                <w:color w:val="FFFFFF" w:themeColor="background1"/>
              </w:rPr>
            </w:pPr>
            <w:r w:rsidRPr="00602824">
              <w:rPr>
                <w:color w:val="FFFFFF" w:themeColor="background1"/>
              </w:rPr>
              <w:t>Clinician representatives</w:t>
            </w:r>
          </w:p>
          <w:p w14:paraId="5FD745A8" w14:textId="77777777" w:rsidR="00195E52" w:rsidRPr="00602824" w:rsidRDefault="00195E52" w:rsidP="00FB712C">
            <w:pPr>
              <w:pStyle w:val="TableNheader"/>
              <w:keepNext w:val="0"/>
              <w:spacing w:before="60" w:after="60" w:line="240" w:lineRule="auto"/>
              <w:jc w:val="center"/>
              <w:rPr>
                <w:color w:val="FFFFFF" w:themeColor="background1"/>
              </w:rPr>
            </w:pPr>
            <w:r w:rsidRPr="00AC7E3F">
              <w:rPr>
                <w:noProof/>
              </w:rPr>
              <w:drawing>
                <wp:inline distT="0" distB="0" distL="0" distR="0" wp14:anchorId="740159C1" wp14:editId="72DD2657">
                  <wp:extent cx="267970" cy="323215"/>
                  <wp:effectExtent l="0" t="0" r="0" b="635"/>
                  <wp:docPr id="605698255"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6917" w:type="dxa"/>
          </w:tcPr>
          <w:p w14:paraId="609827C1" w14:textId="77777777" w:rsidR="00195E52" w:rsidRPr="00602824" w:rsidRDefault="00195E52" w:rsidP="003A3D2B">
            <w:pPr>
              <w:pStyle w:val="TableNBullet"/>
              <w:spacing w:before="60" w:after="60"/>
            </w:pPr>
            <w:r w:rsidRPr="00602824">
              <w:t>Clinicians emphasised that the PL must be adequately funded to support sound decision-making and ensure timely access to new technologies in private hospitals.</w:t>
            </w:r>
          </w:p>
          <w:p w14:paraId="4839FC44" w14:textId="77777777" w:rsidR="00195E52" w:rsidRPr="00602824" w:rsidRDefault="00195E52" w:rsidP="003A3D2B">
            <w:pPr>
              <w:pStyle w:val="TableNBullet"/>
              <w:spacing w:before="60" w:after="60"/>
            </w:pPr>
            <w:r w:rsidRPr="00602824">
              <w:t>They warned that underfunding may increase costs elsewhere in the system or reduce access for patients, ultimately diminishing the value of private health insurance.</w:t>
            </w:r>
          </w:p>
        </w:tc>
      </w:tr>
    </w:tbl>
    <w:p w14:paraId="00891E87" w14:textId="396E1C14" w:rsidR="00EE5FE3" w:rsidRPr="00602824" w:rsidRDefault="00EE5FE3" w:rsidP="00B50EE7">
      <w:pPr>
        <w:pStyle w:val="Caption"/>
      </w:pPr>
      <w:r w:rsidRPr="00602824">
        <w:t xml:space="preserve"> </w:t>
      </w:r>
    </w:p>
    <w:p w14:paraId="251A645E" w14:textId="66A39C00" w:rsidR="00EE5FE3" w:rsidRPr="00602824" w:rsidRDefault="00EE5FE3" w:rsidP="00EE5FE3">
      <w:pPr>
        <w:spacing w:after="160" w:line="259" w:lineRule="auto"/>
        <w:rPr>
          <w:lang w:eastAsia="en-AU"/>
        </w:rPr>
      </w:pPr>
      <w:r w:rsidRPr="00602824">
        <w:rPr>
          <w:lang w:eastAsia="en-AU"/>
        </w:rPr>
        <w:br w:type="page"/>
      </w:r>
    </w:p>
    <w:p w14:paraId="43F0F8F4" w14:textId="53BC352B" w:rsidR="00AE4B7C" w:rsidRPr="00602824" w:rsidRDefault="00CE512B" w:rsidP="00AE4B7C">
      <w:pPr>
        <w:pStyle w:val="xAppendixLevel1"/>
      </w:pPr>
      <w:bookmarkStart w:id="94" w:name="_Ref202373269"/>
      <w:bookmarkStart w:id="95" w:name="_Toc209176976"/>
      <w:r w:rsidRPr="00602824">
        <w:lastRenderedPageBreak/>
        <w:t>Methodology</w:t>
      </w:r>
      <w:bookmarkEnd w:id="94"/>
      <w:bookmarkEnd w:id="95"/>
    </w:p>
    <w:p w14:paraId="59985CAF" w14:textId="77777777" w:rsidR="00CE512B" w:rsidRPr="00602824" w:rsidRDefault="00CE512B" w:rsidP="00CE512B">
      <w:pPr>
        <w:pStyle w:val="xAppendixLevel2"/>
      </w:pPr>
      <w:bookmarkStart w:id="96" w:name="_Toc181405102"/>
      <w:bookmarkStart w:id="97" w:name="_Toc209176977"/>
      <w:r w:rsidRPr="00602824">
        <w:t>Purpose and key objectives</w:t>
      </w:r>
      <w:bookmarkEnd w:id="96"/>
      <w:bookmarkEnd w:id="97"/>
      <w:r w:rsidRPr="00602824">
        <w:t> </w:t>
      </w:r>
    </w:p>
    <w:p w14:paraId="45289644" w14:textId="77777777" w:rsidR="00CE512B" w:rsidRPr="00602824" w:rsidRDefault="00CE512B" w:rsidP="00CE512B">
      <w:pPr>
        <w:pStyle w:val="Heading4"/>
      </w:pPr>
      <w:r w:rsidRPr="00602824">
        <w:t>The evaluation seeks to understand the extent to which PL reform activities have delivered the objectives of the reform </w:t>
      </w:r>
    </w:p>
    <w:p w14:paraId="41198FBC" w14:textId="77777777" w:rsidR="00CE512B" w:rsidRPr="00602824" w:rsidRDefault="00CE512B" w:rsidP="00CE512B">
      <w:pPr>
        <w:rPr>
          <w:lang w:eastAsia="en-AU"/>
        </w:rPr>
      </w:pPr>
      <w:r w:rsidRPr="00602824">
        <w:rPr>
          <w:lang w:eastAsia="en-AU"/>
        </w:rPr>
        <w:t>The purpose of the evaluation is to understand the extent to which PL reform activities have delivered the objectives and provide formative insight into their delivery. The key objectives of the evaluation are: </w:t>
      </w:r>
    </w:p>
    <w:p w14:paraId="0CAC01C2" w14:textId="4BA1ACA2" w:rsidR="00CE512B" w:rsidRPr="00602824" w:rsidRDefault="00CE512B" w:rsidP="0008394E">
      <w:pPr>
        <w:pStyle w:val="Bullet"/>
      </w:pPr>
      <w:r w:rsidRPr="00602824">
        <w:t>Documenting the implementation of PL reform activities, enabling and constraining factors, and the degree to which the PL reform is implemented as intended</w:t>
      </w:r>
      <w:r w:rsidR="00F94292">
        <w:t>.</w:t>
      </w:r>
    </w:p>
    <w:p w14:paraId="3DCC1684" w14:textId="30EF6551" w:rsidR="00CE512B" w:rsidRPr="00602824" w:rsidRDefault="00CE512B" w:rsidP="0008394E">
      <w:pPr>
        <w:pStyle w:val="Bullet"/>
      </w:pPr>
      <w:r w:rsidRPr="00602824">
        <w:t>Determining whether PL reform activities are achieving their intended objectives, and where possible, indicating the extent to which the desired outcomes have been achieved</w:t>
      </w:r>
      <w:r w:rsidR="00F94292">
        <w:t>.</w:t>
      </w:r>
    </w:p>
    <w:p w14:paraId="598891C8" w14:textId="19533E28" w:rsidR="00CE512B" w:rsidRPr="00602824" w:rsidRDefault="00CE512B" w:rsidP="0008394E">
      <w:pPr>
        <w:pStyle w:val="Bullet"/>
      </w:pPr>
      <w:r w:rsidRPr="00602824">
        <w:t>Identifying unintended consequences of reform activities and provide insight into how negative unintended consequences can be mitigated. </w:t>
      </w:r>
    </w:p>
    <w:p w14:paraId="674D789A" w14:textId="50F80FCD" w:rsidR="00CE512B" w:rsidRPr="00602824" w:rsidRDefault="00CE512B" w:rsidP="0008394E">
      <w:pPr>
        <w:pStyle w:val="Bullet"/>
      </w:pPr>
      <w:r w:rsidRPr="00602824">
        <w:t>Providing ongoing insight into additional activities to support the objectives of the program and findings to inform the future direction of PL management. </w:t>
      </w:r>
    </w:p>
    <w:p w14:paraId="221888B5" w14:textId="77777777" w:rsidR="00CE512B" w:rsidRPr="00602824" w:rsidRDefault="00CE512B" w:rsidP="00CE512B">
      <w:pPr>
        <w:pStyle w:val="xAppendixLevel2"/>
      </w:pPr>
      <w:bookmarkStart w:id="98" w:name="_Ref172225544"/>
      <w:bookmarkStart w:id="99" w:name="_Toc181405103"/>
      <w:bookmarkStart w:id="100" w:name="_Toc209176978"/>
      <w:r w:rsidRPr="00602824">
        <w:t>Evaluation plan and theory of change</w:t>
      </w:r>
      <w:bookmarkEnd w:id="98"/>
      <w:bookmarkEnd w:id="99"/>
      <w:bookmarkEnd w:id="100"/>
    </w:p>
    <w:p w14:paraId="22415CA6" w14:textId="77777777" w:rsidR="00CE512B" w:rsidRPr="00602824" w:rsidRDefault="00CE512B" w:rsidP="00CE512B">
      <w:pPr>
        <w:pStyle w:val="Heading4"/>
      </w:pPr>
      <w:r w:rsidRPr="00602824">
        <w:t>Nous planned the PL evaluation using the Department’s framework</w:t>
      </w:r>
    </w:p>
    <w:p w14:paraId="408C1E6D" w14:textId="3FB4E7C3" w:rsidR="00CE512B" w:rsidRPr="00602824" w:rsidRDefault="00CE512B" w:rsidP="00CE512B">
      <w:pPr>
        <w:rPr>
          <w:lang w:eastAsia="en-AU"/>
        </w:rPr>
      </w:pPr>
      <w:r w:rsidRPr="00602824">
        <w:rPr>
          <w:lang w:eastAsia="en-AU"/>
        </w:rPr>
        <w:t xml:space="preserve">The Department established the Prostheses List Evaluation Framework in 2021 to inform a consistent monitoring and evaluation approach that is applicable from the conceptualisation of the PL reforms through to its implementation and beyond. Nous was commissioned to evaluate the PL reforms using the evaluation framework. Nous has independently reviewed the Department’s evaluation </w:t>
      </w:r>
      <w:r w:rsidR="00636687" w:rsidRPr="00602824">
        <w:rPr>
          <w:lang w:eastAsia="en-AU"/>
        </w:rPr>
        <w:t>framework,</w:t>
      </w:r>
      <w:r w:rsidRPr="00602824">
        <w:rPr>
          <w:lang w:eastAsia="en-AU"/>
        </w:rPr>
        <w:t xml:space="preserve"> and the evaluation team is satisfied it outlines an appropriate structure by which the reforms should be evaluated.</w:t>
      </w:r>
    </w:p>
    <w:p w14:paraId="5A78186F" w14:textId="4B33256A" w:rsidR="00CE512B" w:rsidRPr="00602824" w:rsidRDefault="00CE512B" w:rsidP="00CE512B">
      <w:pPr>
        <w:rPr>
          <w:lang w:eastAsia="en-AU"/>
        </w:rPr>
      </w:pPr>
      <w:r w:rsidRPr="00602824">
        <w:rPr>
          <w:lang w:eastAsia="en-AU"/>
        </w:rPr>
        <w:t>Nous delivered its evaluation plan to the Department on 14 August 2023, detailing the evaluation context, objectives, approach, methodology and project plan. This is summarised in sub-</w:t>
      </w:r>
      <w:r w:rsidR="00C55D9B" w:rsidRPr="00602824">
        <w:rPr>
          <w:lang w:eastAsia="en-AU"/>
        </w:rPr>
        <w:t xml:space="preserve">sections </w:t>
      </w:r>
      <w:r w:rsidRPr="00602824">
        <w:rPr>
          <w:lang w:eastAsia="en-AU"/>
        </w:rPr>
        <w:t>below. The evaluation plan maintained the Framework’s overarching program logic and key evaluation questions (KEQs), while developing an explicit theory of change, and including its own evaluation activities, sub-research questions, indicators and measures.</w:t>
      </w:r>
    </w:p>
    <w:p w14:paraId="4C4E3630" w14:textId="21B1D815" w:rsidR="00CE512B" w:rsidRPr="00602824" w:rsidRDefault="00CE512B" w:rsidP="00CE512B">
      <w:pPr>
        <w:rPr>
          <w:rFonts w:ascii="Segoe UI Semibold" w:eastAsia="Times New Roman" w:hAnsi="Segoe UI Semibold" w:cs="Times New Roman"/>
          <w:color w:val="00264D" w:themeColor="background2"/>
          <w:sz w:val="22"/>
          <w:szCs w:val="19"/>
          <w:lang w:eastAsia="en-AU"/>
        </w:rPr>
      </w:pPr>
      <w:r w:rsidRPr="00602824">
        <w:rPr>
          <w:rFonts w:ascii="Segoe UI Semibold" w:eastAsia="Times New Roman" w:hAnsi="Segoe UI Semibold" w:cs="Times New Roman"/>
          <w:color w:val="00264D" w:themeColor="background2"/>
          <w:sz w:val="22"/>
          <w:szCs w:val="19"/>
          <w:lang w:eastAsia="en-AU"/>
        </w:rPr>
        <w:t>The program logic and theory of change outline the reasoning between completion of evaluation activities and measurable changes in outcomes</w:t>
      </w:r>
    </w:p>
    <w:p w14:paraId="6F819D6F" w14:textId="77777777" w:rsidR="00CE512B" w:rsidRPr="00602824" w:rsidRDefault="00CE512B" w:rsidP="00CE512B">
      <w:pPr>
        <w:rPr>
          <w:lang w:eastAsia="en-AU"/>
        </w:rPr>
      </w:pPr>
      <w:r w:rsidRPr="00602824">
        <w:rPr>
          <w:lang w:eastAsia="en-AU"/>
        </w:rPr>
        <w:t xml:space="preserve">The Federal Government has allocated $22 million and provided additional resources, including the establishment of the Prescribed List Taskforce within the Department, to drive the successful implementation of the reform program. The reform utilises various inputs such as PL data, reference pricing, clinical data, technological systems, and existing research, which support a series of targeted activities designed to refine documentation, engage stakeholders, enhance systems, and create a robust monitoring and evaluation framework. </w:t>
      </w:r>
    </w:p>
    <w:p w14:paraId="5A81AEE6" w14:textId="5B4C7859" w:rsidR="00CE512B" w:rsidRPr="00602824" w:rsidRDefault="00CE512B" w:rsidP="00CE512B">
      <w:pPr>
        <w:rPr>
          <w:lang w:eastAsia="en-AU"/>
        </w:rPr>
      </w:pPr>
      <w:r w:rsidRPr="00602824">
        <w:rPr>
          <w:lang w:eastAsia="en-AU"/>
        </w:rPr>
        <w:t xml:space="preserve">Activities conducted are expected to lead to distinct outcomes in the short term (e.g., reduced pricing disparities, legislative clarity, streamlined processes), medium term (e.g., improved compliance activities, transparent administration), and long term (e.g., better access to cost-effective prostheses, more affordable private health insurance). The program logic diagram depicted in </w:t>
      </w:r>
      <w:r w:rsidRPr="00602824">
        <w:rPr>
          <w:lang w:eastAsia="en-AU"/>
        </w:rPr>
        <w:fldChar w:fldCharType="begin"/>
      </w:r>
      <w:r w:rsidRPr="00602824">
        <w:rPr>
          <w:lang w:eastAsia="en-AU"/>
        </w:rPr>
        <w:instrText xml:space="preserve"> REF _Ref142000480 \h </w:instrText>
      </w:r>
      <w:r w:rsidRPr="00602824">
        <w:rPr>
          <w:lang w:eastAsia="en-AU"/>
        </w:rPr>
      </w:r>
      <w:r w:rsidRPr="00602824">
        <w:rPr>
          <w:lang w:eastAsia="en-AU"/>
        </w:rPr>
        <w:fldChar w:fldCharType="separate"/>
      </w:r>
      <w:r w:rsidR="00D30634" w:rsidRPr="00602824">
        <w:t xml:space="preserve">Figure </w:t>
      </w:r>
      <w:r w:rsidR="00D30634">
        <w:rPr>
          <w:noProof/>
        </w:rPr>
        <w:t>28</w:t>
      </w:r>
      <w:r w:rsidRPr="00602824">
        <w:rPr>
          <w:lang w:eastAsia="en-AU"/>
        </w:rPr>
        <w:fldChar w:fldCharType="end"/>
      </w:r>
      <w:r w:rsidRPr="00602824">
        <w:rPr>
          <w:lang w:eastAsia="en-AU"/>
        </w:rPr>
        <w:t xml:space="preserve"> provides a summary of the reform program as described above</w:t>
      </w:r>
    </w:p>
    <w:p w14:paraId="689BB6FA" w14:textId="77777777" w:rsidR="0038665F" w:rsidRDefault="00CE512B" w:rsidP="00CE512B">
      <w:pPr>
        <w:rPr>
          <w:lang w:eastAsia="en-AU"/>
        </w:rPr>
      </w:pPr>
      <w:r w:rsidRPr="00602824">
        <w:rPr>
          <w:lang w:eastAsia="en-AU"/>
        </w:rPr>
        <w:t xml:space="preserve">The theory of change posits that cost reduction in PL-listed items and PL administration will translate into better value for the public, with no adverse effects on patients' clinical outcomes, aligning spending on more valuable initiatives and improving value-for-money in private health cover. </w:t>
      </w:r>
    </w:p>
    <w:p w14:paraId="3C1F85E5" w14:textId="6BA42156" w:rsidR="00CE512B" w:rsidRPr="00602824" w:rsidRDefault="00CE512B" w:rsidP="00CE512B">
      <w:pPr>
        <w:rPr>
          <w:lang w:eastAsia="en-AU"/>
        </w:rPr>
      </w:pPr>
      <w:r w:rsidRPr="00602824">
        <w:rPr>
          <w:lang w:eastAsia="en-AU"/>
        </w:rPr>
        <w:lastRenderedPageBreak/>
        <w:t xml:space="preserve">The activities, outcomes, and long-term objectives of the reform are linked causally, with these relationships detailed in the causal logic diagram in </w:t>
      </w:r>
      <w:r w:rsidRPr="00602824">
        <w:rPr>
          <w:lang w:eastAsia="en-AU"/>
        </w:rPr>
        <w:fldChar w:fldCharType="begin"/>
      </w:r>
      <w:r w:rsidRPr="00602824">
        <w:rPr>
          <w:lang w:eastAsia="en-AU"/>
        </w:rPr>
        <w:instrText xml:space="preserve"> REF _Ref142000496 \h </w:instrText>
      </w:r>
      <w:r w:rsidRPr="00602824">
        <w:rPr>
          <w:lang w:eastAsia="en-AU"/>
        </w:rPr>
      </w:r>
      <w:r w:rsidRPr="00602824">
        <w:rPr>
          <w:lang w:eastAsia="en-AU"/>
        </w:rPr>
        <w:fldChar w:fldCharType="separate"/>
      </w:r>
      <w:r w:rsidR="00D30634" w:rsidRPr="00602824">
        <w:t xml:space="preserve">Figure </w:t>
      </w:r>
      <w:r w:rsidR="00D30634">
        <w:rPr>
          <w:noProof/>
        </w:rPr>
        <w:t>29</w:t>
      </w:r>
      <w:r w:rsidRPr="00602824">
        <w:rPr>
          <w:lang w:eastAsia="en-AU"/>
        </w:rPr>
        <w:fldChar w:fldCharType="end"/>
      </w:r>
      <w:r w:rsidRPr="00602824">
        <w:rPr>
          <w:lang w:eastAsia="en-AU"/>
        </w:rPr>
        <w:t xml:space="preserve"> and encapsulated within the broader theory of change: </w:t>
      </w:r>
    </w:p>
    <w:p w14:paraId="206081F4" w14:textId="77777777" w:rsidR="00CE512B" w:rsidRPr="00602824" w:rsidRDefault="00CE512B" w:rsidP="00CE512B">
      <w:pPr>
        <w:rPr>
          <w:rFonts w:asciiTheme="majorHAnsi" w:hAnsiTheme="majorHAnsi" w:cstheme="majorHAnsi"/>
          <w:i/>
          <w:iCs/>
        </w:rPr>
      </w:pPr>
      <w:r w:rsidRPr="00602824">
        <w:rPr>
          <w:rStyle w:val="cf01"/>
          <w:rFonts w:asciiTheme="majorHAnsi" w:hAnsiTheme="majorHAnsi" w:cstheme="majorHAnsi"/>
          <w:i/>
          <w:iCs/>
          <w:color w:val="00264D" w:themeColor="background2"/>
        </w:rPr>
        <w:t>If costs associated with the purchase of PL-listed items and with the administration of the PL are reduced, then this value will be passed to the public in the form of improved allocation of tax revenue to other valuable initiatives, reduced private health insurance premiums, or otherwise improved value-for-money in private health insurance. These cost reductions can be achieved without any negative impacts to consumers and their clinical outcomes.</w:t>
      </w:r>
    </w:p>
    <w:p w14:paraId="043B109B" w14:textId="77777777" w:rsidR="00CE512B" w:rsidRPr="00602824" w:rsidRDefault="00CE512B" w:rsidP="00CE512B">
      <w:pPr>
        <w:sectPr w:rsidR="00CE512B" w:rsidRPr="00602824" w:rsidSect="00904D09">
          <w:type w:val="continuous"/>
          <w:pgSz w:w="11907" w:h="16839" w:code="9"/>
          <w:pgMar w:top="1418" w:right="1418" w:bottom="1418" w:left="1418" w:header="720" w:footer="720" w:gutter="0"/>
          <w:cols w:space="720"/>
          <w:docGrid w:linePitch="360"/>
        </w:sectPr>
      </w:pPr>
    </w:p>
    <w:p w14:paraId="36DA8485" w14:textId="5C4511FE" w:rsidR="00CE512B" w:rsidRPr="00602824" w:rsidRDefault="00CE512B" w:rsidP="00FB712C">
      <w:pPr>
        <w:pStyle w:val="Caption"/>
        <w:spacing w:before="0"/>
        <w:rPr>
          <w:lang w:eastAsia="en-AU"/>
        </w:rPr>
      </w:pPr>
      <w:bookmarkStart w:id="101" w:name="_Ref142000480"/>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28</w:t>
      </w:r>
      <w:r w:rsidR="002604D0">
        <w:fldChar w:fldCharType="end"/>
      </w:r>
      <w:bookmarkEnd w:id="101"/>
      <w:r w:rsidRPr="00602824">
        <w:rPr>
          <w:lang w:eastAsia="en-AU"/>
        </w:rPr>
        <w:t xml:space="preserve"> | Prescribed List Reform Program Logic</w:t>
      </w:r>
    </w:p>
    <w:p w14:paraId="781AA7C6" w14:textId="77777777" w:rsidR="00CE512B" w:rsidRPr="00602824" w:rsidRDefault="00CE512B" w:rsidP="00CE512B">
      <w:pPr>
        <w:rPr>
          <w:lang w:eastAsia="en-AU"/>
        </w:rPr>
      </w:pPr>
      <w:r w:rsidRPr="00AC7E3F">
        <w:rPr>
          <w:noProof/>
          <w:lang w:eastAsia="en-AU"/>
        </w:rPr>
        <w:drawing>
          <wp:inline distT="0" distB="0" distL="0" distR="0" wp14:anchorId="2C6F871E" wp14:editId="69E84660">
            <wp:extent cx="8887324" cy="5359652"/>
            <wp:effectExtent l="0" t="0" r="9525" b="0"/>
            <wp:docPr id="54" name="Picture 54" descr="A figure of the Prescribed List Reform program logic. The figure has a theory of change, descriptions under program logic categories, and the objectives of the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figure of the Prescribed List Reform program logic. The figure has a theory of change, descriptions under program logic categories, and the objectives of the reform."/>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918385" cy="5378384"/>
                    </a:xfrm>
                    <a:prstGeom prst="rect">
                      <a:avLst/>
                    </a:prstGeom>
                  </pic:spPr>
                </pic:pic>
              </a:graphicData>
            </a:graphic>
          </wp:inline>
        </w:drawing>
      </w:r>
    </w:p>
    <w:p w14:paraId="222A05C7" w14:textId="7E1A5A4C" w:rsidR="00CE512B" w:rsidRPr="00602824" w:rsidRDefault="00CE512B" w:rsidP="00B50EE7">
      <w:pPr>
        <w:pStyle w:val="Caption"/>
        <w:rPr>
          <w:lang w:eastAsia="en-AU"/>
        </w:rPr>
      </w:pPr>
      <w:bookmarkStart w:id="102" w:name="_Ref142000496"/>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29</w:t>
      </w:r>
      <w:r w:rsidR="002604D0">
        <w:fldChar w:fldCharType="end"/>
      </w:r>
      <w:bookmarkEnd w:id="102"/>
      <w:r w:rsidRPr="00602824">
        <w:t xml:space="preserve"> </w:t>
      </w:r>
      <w:r w:rsidRPr="00602824">
        <w:rPr>
          <w:lang w:eastAsia="en-AU"/>
        </w:rPr>
        <w:t>| Causal logic diagram</w:t>
      </w:r>
    </w:p>
    <w:p w14:paraId="2FDE0EC9" w14:textId="2DDE8C3B" w:rsidR="00CE512B" w:rsidRPr="00602824" w:rsidRDefault="007E3C16" w:rsidP="00CE512B">
      <w:pPr>
        <w:rPr>
          <w:lang w:eastAsia="en-AU"/>
        </w:rPr>
      </w:pPr>
      <w:r w:rsidRPr="00AC7E3F">
        <w:rPr>
          <w:noProof/>
          <w:lang w:eastAsia="en-AU"/>
        </w:rPr>
        <w:drawing>
          <wp:inline distT="0" distB="0" distL="0" distR="0" wp14:anchorId="4DB67B4A" wp14:editId="51CE704F">
            <wp:extent cx="8923497" cy="5423026"/>
            <wp:effectExtent l="0" t="0" r="0" b="6350"/>
            <wp:docPr id="55" name="Picture 55" descr="A diagram showing causal logic from activity to immediate outcomes to secondary outcomes to impacts. The objectives of the reform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showing causal logic from activity to immediate outcomes to secondary outcomes to impacts. The objectives of the reform are includ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923497" cy="5423026"/>
                    </a:xfrm>
                    <a:prstGeom prst="rect">
                      <a:avLst/>
                    </a:prstGeom>
                  </pic:spPr>
                </pic:pic>
              </a:graphicData>
            </a:graphic>
          </wp:inline>
        </w:drawing>
      </w:r>
    </w:p>
    <w:p w14:paraId="5034D68C" w14:textId="77777777" w:rsidR="00CE512B" w:rsidRPr="00602824" w:rsidRDefault="00CE512B" w:rsidP="00CE512B">
      <w:pPr>
        <w:rPr>
          <w:lang w:eastAsia="en-AU"/>
        </w:rPr>
        <w:sectPr w:rsidR="00CE512B" w:rsidRPr="00602824" w:rsidSect="007E3C16">
          <w:pgSz w:w="16839" w:h="11907" w:orient="landscape" w:code="9"/>
          <w:pgMar w:top="1418" w:right="1418" w:bottom="1418" w:left="1418" w:header="720" w:footer="720" w:gutter="0"/>
          <w:cols w:space="720"/>
          <w:docGrid w:linePitch="360"/>
        </w:sectPr>
      </w:pPr>
    </w:p>
    <w:p w14:paraId="1A8402C5" w14:textId="1D366F6E" w:rsidR="00CE512B" w:rsidRPr="00602824" w:rsidRDefault="00CE512B" w:rsidP="00CE512B">
      <w:pPr>
        <w:rPr>
          <w:lang w:eastAsia="en-AU"/>
        </w:rPr>
      </w:pPr>
      <w:r w:rsidRPr="00602824">
        <w:rPr>
          <w:rFonts w:ascii="Segoe UI Semibold" w:eastAsia="Times New Roman" w:hAnsi="Segoe UI Semibold" w:cs="Times New Roman"/>
          <w:color w:val="00264D" w:themeColor="background2"/>
          <w:sz w:val="22"/>
          <w:szCs w:val="19"/>
          <w:lang w:eastAsia="en-AU"/>
        </w:rPr>
        <w:lastRenderedPageBreak/>
        <w:t xml:space="preserve">The scope of this evaluation is informed by both a formative and summative evaluation approach </w:t>
      </w:r>
    </w:p>
    <w:p w14:paraId="556B0FE3" w14:textId="77777777" w:rsidR="00CE512B" w:rsidRPr="00602824" w:rsidRDefault="00CE512B" w:rsidP="00CE512B">
      <w:pPr>
        <w:rPr>
          <w:lang w:eastAsia="en-AU"/>
        </w:rPr>
      </w:pPr>
      <w:r w:rsidRPr="00602824">
        <w:t>The evaluation consists of three components – a baseline report, interim reports and a final report</w:t>
      </w:r>
      <w:r w:rsidRPr="00602824">
        <w:rPr>
          <w:lang w:eastAsia="en-AU"/>
        </w:rPr>
        <w:t>. Each of the reports that the evaluation produces will have a distinct purpose. This first interim report is a key milestone in the progress monitoring stage of the evaluation. As the evaluation is occurring at a time where PL reform activities are ongoing and where some outcomes are yet to be realised, Nous will share ongoing findings with the Department. These formative aspects of the evaluation are in the interest of improving PL reform activities and outputs to achieve the desired outcomes and mitigate against any unintended negative consequences.</w:t>
      </w:r>
    </w:p>
    <w:p w14:paraId="074D6CE2" w14:textId="77777777" w:rsidR="00CE512B" w:rsidRPr="00602824" w:rsidRDefault="00CE512B" w:rsidP="00CE512B">
      <w:pPr>
        <w:rPr>
          <w:lang w:eastAsia="en-AU"/>
        </w:rPr>
      </w:pPr>
      <w:r w:rsidRPr="00602824">
        <w:rPr>
          <w:lang w:eastAsia="en-AU"/>
        </w:rPr>
        <w:t>The evaluation will also have summative components to understand the actions that have already been done (and will be done) and to assess early outcomes. This report contains some summative analysis of early activities, and the final evaluation report will provide more substantial summative analysis of the PL Reforms. The evaluation will also consider the extent to which the reform activities have been implemented as planned at completion and will distil lessons learned from the implementation experience to inform ongoing monitoring and evaluation of the PL itself.</w:t>
      </w:r>
    </w:p>
    <w:p w14:paraId="4056BF6B" w14:textId="2FEE521B" w:rsidR="00CE512B" w:rsidRPr="00602824" w:rsidRDefault="00CE512B" w:rsidP="00CE512B">
      <w:pPr>
        <w:rPr>
          <w:lang w:eastAsia="en-AU"/>
        </w:rPr>
      </w:pPr>
      <w:r w:rsidRPr="00602824">
        <w:t xml:space="preserve">Key elements of the evaluation’s scope are outlined below in </w:t>
      </w:r>
      <w:r w:rsidRPr="00602824">
        <w:fldChar w:fldCharType="begin"/>
      </w:r>
      <w:r w:rsidRPr="00602824">
        <w:instrText xml:space="preserve"> REF _Ref141884015 \h </w:instrText>
      </w:r>
      <w:r w:rsidRPr="00602824">
        <w:fldChar w:fldCharType="separate"/>
      </w:r>
      <w:r w:rsidR="00D30634" w:rsidRPr="00602824">
        <w:t xml:space="preserve">Table </w:t>
      </w:r>
      <w:r w:rsidR="00D30634">
        <w:rPr>
          <w:noProof/>
        </w:rPr>
        <w:t>20</w:t>
      </w:r>
      <w:r w:rsidRPr="00602824">
        <w:fldChar w:fldCharType="end"/>
      </w:r>
      <w:r w:rsidRPr="00602824">
        <w:t xml:space="preserve">. </w:t>
      </w:r>
    </w:p>
    <w:p w14:paraId="5AFA30E1" w14:textId="1121D09D" w:rsidR="00CE512B" w:rsidRPr="00602824" w:rsidRDefault="00CE512B" w:rsidP="00B50EE7">
      <w:pPr>
        <w:pStyle w:val="Caption"/>
      </w:pPr>
      <w:bookmarkStart w:id="103" w:name="_Ref141884015"/>
      <w:bookmarkStart w:id="104" w:name="_Ref170394453"/>
      <w:r w:rsidRPr="00602824">
        <w:t xml:space="preserve">Table </w:t>
      </w:r>
      <w:r w:rsidR="002604D0">
        <w:fldChar w:fldCharType="begin"/>
      </w:r>
      <w:r w:rsidR="002604D0">
        <w:instrText xml:space="preserve"> SEQ Table \* ARABIC </w:instrText>
      </w:r>
      <w:r w:rsidR="002604D0">
        <w:fldChar w:fldCharType="separate"/>
      </w:r>
      <w:r w:rsidR="00D30634">
        <w:rPr>
          <w:noProof/>
        </w:rPr>
        <w:t>20</w:t>
      </w:r>
      <w:r w:rsidR="002604D0">
        <w:fldChar w:fldCharType="end"/>
      </w:r>
      <w:bookmarkEnd w:id="103"/>
      <w:r w:rsidRPr="00602824">
        <w:t xml:space="preserve"> | Scope of the evaluation</w:t>
      </w:r>
      <w:bookmarkEnd w:id="104"/>
    </w:p>
    <w:tbl>
      <w:tblPr>
        <w:tblStyle w:val="NOUSSideHeader"/>
        <w:tblW w:w="9072" w:type="dxa"/>
        <w:tblLook w:val="04A0" w:firstRow="1" w:lastRow="0" w:firstColumn="1" w:lastColumn="0" w:noHBand="0" w:noVBand="1"/>
      </w:tblPr>
      <w:tblGrid>
        <w:gridCol w:w="2686"/>
        <w:gridCol w:w="6356"/>
        <w:gridCol w:w="30"/>
      </w:tblGrid>
      <w:tr w:rsidR="003825DE" w:rsidRPr="00602824" w14:paraId="744E3B5E" w14:textId="77777777" w:rsidTr="00773C26">
        <w:trPr>
          <w:trHeight w:val="1538"/>
        </w:trPr>
        <w:tc>
          <w:tcPr>
            <w:cnfStyle w:val="001000000000" w:firstRow="0" w:lastRow="0" w:firstColumn="1" w:lastColumn="0" w:oddVBand="0" w:evenVBand="0" w:oddHBand="0" w:evenHBand="0" w:firstRowFirstColumn="0" w:firstRowLastColumn="0" w:lastRowFirstColumn="0" w:lastRowLastColumn="0"/>
            <w:tcW w:w="2694" w:type="dxa"/>
          </w:tcPr>
          <w:p w14:paraId="1F548649" w14:textId="5EA8DA5D" w:rsidR="00CE512B" w:rsidRPr="00602824" w:rsidRDefault="00CE512B" w:rsidP="00F8221E">
            <w:pPr>
              <w:pStyle w:val="TableNheader"/>
              <w:spacing w:line="240" w:lineRule="auto"/>
              <w:rPr>
                <w:b/>
                <w:bCs/>
              </w:rPr>
            </w:pPr>
            <w:r w:rsidRPr="00602824">
              <w:t>In-scope aspects of the evaluation</w:t>
            </w:r>
          </w:p>
        </w:tc>
        <w:tc>
          <w:tcPr>
            <w:tcW w:w="6378" w:type="dxa"/>
            <w:gridSpan w:val="2"/>
          </w:tcPr>
          <w:p w14:paraId="6F7D3E67" w14:textId="11E2AB47" w:rsidR="00CE512B" w:rsidRPr="00602824" w:rsidRDefault="00CE512B" w:rsidP="00F8221E">
            <w:pPr>
              <w:pStyle w:val="TableNBullet"/>
              <w:cnfStyle w:val="000000000000" w:firstRow="0" w:lastRow="0" w:firstColumn="0" w:lastColumn="0" w:oddVBand="0" w:evenVBand="0" w:oddHBand="0" w:evenHBand="0" w:firstRowFirstColumn="0" w:firstRowLastColumn="0" w:lastRowFirstColumn="0" w:lastRowLastColumn="0"/>
            </w:pPr>
            <w:r w:rsidRPr="00602824">
              <w:t>PL reform implementation, effectiveness and impact (extent to which intended outcomes were achieved)</w:t>
            </w:r>
            <w:r w:rsidR="007829C3">
              <w:t>.</w:t>
            </w:r>
          </w:p>
          <w:p w14:paraId="32CFE98F" w14:textId="726CD2EC" w:rsidR="00CE512B" w:rsidRPr="00602824" w:rsidRDefault="00CE512B" w:rsidP="00F8221E">
            <w:pPr>
              <w:pStyle w:val="TableNBullet"/>
              <w:cnfStyle w:val="000000000000" w:firstRow="0" w:lastRow="0" w:firstColumn="0" w:lastColumn="0" w:oddVBand="0" w:evenVBand="0" w:oddHBand="0" w:evenHBand="0" w:firstRowFirstColumn="0" w:firstRowLastColumn="0" w:lastRowFirstColumn="0" w:lastRowLastColumn="0"/>
            </w:pPr>
            <w:r w:rsidRPr="00602824">
              <w:t>Unintended positive or negative consequences beyond the expected outcomes</w:t>
            </w:r>
            <w:r w:rsidR="007829C3">
              <w:t>.</w:t>
            </w:r>
          </w:p>
          <w:p w14:paraId="08B07391" w14:textId="58A2AFF3" w:rsidR="00CE512B" w:rsidRPr="00602824" w:rsidRDefault="00CE512B" w:rsidP="00F8221E">
            <w:pPr>
              <w:pStyle w:val="TableNBullet"/>
              <w:cnfStyle w:val="000000000000" w:firstRow="0" w:lastRow="0" w:firstColumn="0" w:lastColumn="0" w:oddVBand="0" w:evenVBand="0" w:oddHBand="0" w:evenHBand="0" w:firstRowFirstColumn="0" w:firstRowLastColumn="0" w:lastRowFirstColumn="0" w:lastRowLastColumn="0"/>
            </w:pPr>
            <w:r w:rsidRPr="00602824">
              <w:t>Experiences of consumers, private health insurers, private hospitals, public hospitals, medical device sponsors and clinicians</w:t>
            </w:r>
            <w:r w:rsidR="007829C3">
              <w:t>.</w:t>
            </w:r>
          </w:p>
        </w:tc>
      </w:tr>
      <w:tr w:rsidR="003825DE" w:rsidRPr="00602824" w14:paraId="6A209E23" w14:textId="77777777" w:rsidTr="00773C26">
        <w:trPr>
          <w:gridAfter w:val="1"/>
          <w:wAfter w:w="30" w:type="dxa"/>
        </w:trPr>
        <w:tc>
          <w:tcPr>
            <w:cnfStyle w:val="001000000000" w:firstRow="0" w:lastRow="0" w:firstColumn="1" w:lastColumn="0" w:oddVBand="0" w:evenVBand="0" w:oddHBand="0" w:evenHBand="0" w:firstRowFirstColumn="0" w:firstRowLastColumn="0" w:lastRowFirstColumn="0" w:lastRowLastColumn="0"/>
            <w:tcW w:w="2694" w:type="dxa"/>
          </w:tcPr>
          <w:p w14:paraId="7848801A" w14:textId="0ECE00DF" w:rsidR="00CE512B" w:rsidRPr="00602824" w:rsidRDefault="00CE512B" w:rsidP="00F8221E">
            <w:pPr>
              <w:pStyle w:val="TableNheader"/>
              <w:spacing w:line="240" w:lineRule="auto"/>
              <w:rPr>
                <w:b/>
                <w:bCs/>
              </w:rPr>
            </w:pPr>
            <w:r w:rsidRPr="00602824">
              <w:t>Out-of-scope aspects of the evaluation</w:t>
            </w:r>
          </w:p>
        </w:tc>
        <w:tc>
          <w:tcPr>
            <w:tcW w:w="6378" w:type="dxa"/>
          </w:tcPr>
          <w:p w14:paraId="226C3A9F" w14:textId="155E5ADE" w:rsidR="00CE512B" w:rsidRPr="00602824" w:rsidRDefault="00CE512B" w:rsidP="00F8221E">
            <w:pPr>
              <w:pStyle w:val="TableNBullet"/>
              <w:cnfStyle w:val="000000000000" w:firstRow="0" w:lastRow="0" w:firstColumn="0" w:lastColumn="0" w:oddVBand="0" w:evenVBand="0" w:oddHBand="0" w:evenHBand="0" w:firstRowFirstColumn="0" w:firstRowLastColumn="0" w:lastRowFirstColumn="0" w:lastRowLastColumn="0"/>
            </w:pPr>
            <w:r w:rsidRPr="00602824">
              <w:t>Full cost-benefit analysis and/or economic evaluation, beyond that required to establish the suitability/sustainability of cost recovery efforts</w:t>
            </w:r>
            <w:r w:rsidR="007829C3">
              <w:t>.</w:t>
            </w:r>
          </w:p>
          <w:p w14:paraId="2D11981D" w14:textId="1503BE1F" w:rsidR="00CE512B" w:rsidRPr="00602824" w:rsidRDefault="00CE512B" w:rsidP="00F8221E">
            <w:pPr>
              <w:pStyle w:val="TableNBullet"/>
              <w:cnfStyle w:val="000000000000" w:firstRow="0" w:lastRow="0" w:firstColumn="0" w:lastColumn="0" w:oddVBand="0" w:evenVBand="0" w:oddHBand="0" w:evenHBand="0" w:firstRowFirstColumn="0" w:firstRowLastColumn="0" w:lastRowFirstColumn="0" w:lastRowLastColumn="0"/>
            </w:pPr>
            <w:r w:rsidRPr="00602824">
              <w:t>Evaluation of the Department’s wider PHI reforms</w:t>
            </w:r>
            <w:r w:rsidR="007829C3">
              <w:t>.</w:t>
            </w:r>
          </w:p>
          <w:p w14:paraId="10676880" w14:textId="37C5B217" w:rsidR="00CE512B" w:rsidRPr="00602824" w:rsidRDefault="00CE512B" w:rsidP="00F8221E">
            <w:pPr>
              <w:pStyle w:val="TableNBullet"/>
              <w:cnfStyle w:val="000000000000" w:firstRow="0" w:lastRow="0" w:firstColumn="0" w:lastColumn="0" w:oddVBand="0" w:evenVBand="0" w:oddHBand="0" w:evenHBand="0" w:firstRowFirstColumn="0" w:firstRowLastColumn="0" w:lastRowFirstColumn="0" w:lastRowLastColumn="0"/>
            </w:pPr>
            <w:r w:rsidRPr="00602824">
              <w:t>Evaluation or analysis of PL components not impacted by the scope of the reforms</w:t>
            </w:r>
            <w:r w:rsidR="007829C3">
              <w:t>.</w:t>
            </w:r>
          </w:p>
        </w:tc>
      </w:tr>
      <w:tr w:rsidR="003825DE" w:rsidRPr="00602824" w14:paraId="35905D73" w14:textId="77777777" w:rsidTr="00773C26">
        <w:tc>
          <w:tcPr>
            <w:cnfStyle w:val="001000000000" w:firstRow="0" w:lastRow="0" w:firstColumn="1" w:lastColumn="0" w:oddVBand="0" w:evenVBand="0" w:oddHBand="0" w:evenHBand="0" w:firstRowFirstColumn="0" w:firstRowLastColumn="0" w:lastRowFirstColumn="0" w:lastRowLastColumn="0"/>
            <w:tcW w:w="2694" w:type="dxa"/>
          </w:tcPr>
          <w:p w14:paraId="005F81EE" w14:textId="100431BF" w:rsidR="00CE512B" w:rsidRPr="00602824" w:rsidRDefault="00CE512B" w:rsidP="00F8221E">
            <w:pPr>
              <w:pStyle w:val="TableNheader"/>
              <w:spacing w:line="240" w:lineRule="auto"/>
              <w:rPr>
                <w:b/>
                <w:bCs/>
              </w:rPr>
            </w:pPr>
            <w:r w:rsidRPr="00602824">
              <w:t>Any context or related activities that need to be considered</w:t>
            </w:r>
          </w:p>
        </w:tc>
        <w:tc>
          <w:tcPr>
            <w:tcW w:w="6378" w:type="dxa"/>
            <w:gridSpan w:val="2"/>
          </w:tcPr>
          <w:p w14:paraId="6FD3CFB7" w14:textId="62EFB50F" w:rsidR="00CE512B" w:rsidRPr="00602824" w:rsidRDefault="00CE512B" w:rsidP="00F8221E">
            <w:pPr>
              <w:pStyle w:val="TableNBullet"/>
              <w:cnfStyle w:val="000000000000" w:firstRow="0" w:lastRow="0" w:firstColumn="0" w:lastColumn="0" w:oddVBand="0" w:evenVBand="0" w:oddHBand="0" w:evenHBand="0" w:firstRowFirstColumn="0" w:firstRowLastColumn="0" w:lastRowFirstColumn="0" w:lastRowLastColumn="0"/>
            </w:pPr>
            <w:r w:rsidRPr="00602824">
              <w:t>Understanding of the Government’s PHI reforms and policy agenda</w:t>
            </w:r>
            <w:r w:rsidR="007829C3">
              <w:t>.</w:t>
            </w:r>
          </w:p>
          <w:p w14:paraId="6B083970" w14:textId="46C2E86B" w:rsidR="00CE512B" w:rsidRPr="00602824" w:rsidRDefault="00CE512B" w:rsidP="00F8221E">
            <w:pPr>
              <w:pStyle w:val="TableNBullet"/>
              <w:cnfStyle w:val="000000000000" w:firstRow="0" w:lastRow="0" w:firstColumn="0" w:lastColumn="0" w:oddVBand="0" w:evenVBand="0" w:oddHBand="0" w:evenHBand="0" w:firstRowFirstColumn="0" w:firstRowLastColumn="0" w:lastRowFirstColumn="0" w:lastRowLastColumn="0"/>
            </w:pPr>
            <w:r w:rsidRPr="00602824">
              <w:t>Understanding of stakeholder consultations and input to the PL Reforms that have already taken place and how reform activities have changed as a result</w:t>
            </w:r>
            <w:r w:rsidR="007829C3">
              <w:t>.</w:t>
            </w:r>
          </w:p>
        </w:tc>
      </w:tr>
    </w:tbl>
    <w:p w14:paraId="44D93EBE" w14:textId="77777777" w:rsidR="00CE512B" w:rsidRPr="00602824" w:rsidRDefault="00CE512B" w:rsidP="00CE512B">
      <w:pPr>
        <w:pStyle w:val="xAppendixLevel2"/>
      </w:pPr>
      <w:bookmarkStart w:id="105" w:name="_Toc204695310"/>
      <w:bookmarkStart w:id="106" w:name="_Toc204767295"/>
      <w:bookmarkStart w:id="107" w:name="_Ref170379350"/>
      <w:bookmarkStart w:id="108" w:name="_Toc181405104"/>
      <w:bookmarkStart w:id="109" w:name="_Toc209176979"/>
      <w:bookmarkEnd w:id="105"/>
      <w:bookmarkEnd w:id="106"/>
      <w:r w:rsidRPr="00602824">
        <w:t>Overall approach and KEQs</w:t>
      </w:r>
      <w:bookmarkEnd w:id="107"/>
      <w:bookmarkEnd w:id="108"/>
      <w:bookmarkEnd w:id="109"/>
    </w:p>
    <w:p w14:paraId="5D48CA2D" w14:textId="77777777" w:rsidR="00CE512B" w:rsidRPr="00602824" w:rsidRDefault="00CE512B" w:rsidP="00CE512B">
      <w:pPr>
        <w:pStyle w:val="Heading4"/>
      </w:pPr>
      <w:r w:rsidRPr="00602824">
        <w:t>The evaluation is guided by three KEQs</w:t>
      </w:r>
    </w:p>
    <w:p w14:paraId="4C81014E" w14:textId="77777777" w:rsidR="00CE512B" w:rsidRPr="00602824" w:rsidRDefault="00CE512B" w:rsidP="00CE512B">
      <w:pPr>
        <w:rPr>
          <w:lang w:eastAsia="en-AU"/>
        </w:rPr>
      </w:pPr>
      <w:r w:rsidRPr="00602824">
        <w:rPr>
          <w:lang w:eastAsia="en-AU"/>
        </w:rPr>
        <w:t>There are three key evaluation questions (KEQs) for the evaluation:</w:t>
      </w:r>
    </w:p>
    <w:p w14:paraId="0C1BE8D4" w14:textId="77777777" w:rsidR="00CE512B" w:rsidRPr="00602824" w:rsidRDefault="00CE512B" w:rsidP="00DC5B5A">
      <w:pPr>
        <w:pStyle w:val="Listnumbered"/>
        <w:numPr>
          <w:ilvl w:val="0"/>
          <w:numId w:val="8"/>
        </w:numPr>
        <w:rPr>
          <w:lang w:eastAsia="en-AU"/>
        </w:rPr>
      </w:pPr>
      <w:r w:rsidRPr="00602824">
        <w:rPr>
          <w:lang w:eastAsia="en-AU"/>
        </w:rPr>
        <w:t>Is the PL reform program being implemented as intended?</w:t>
      </w:r>
    </w:p>
    <w:p w14:paraId="25BFB82D" w14:textId="77777777" w:rsidR="00CE512B" w:rsidRPr="00602824" w:rsidRDefault="00CE512B" w:rsidP="00CE512B">
      <w:pPr>
        <w:pStyle w:val="Listnumbered"/>
        <w:rPr>
          <w:lang w:eastAsia="en-AU"/>
        </w:rPr>
      </w:pPr>
      <w:r w:rsidRPr="00602824">
        <w:rPr>
          <w:lang w:eastAsia="en-AU"/>
        </w:rPr>
        <w:t>Is the PL reform program achieving the expected outcomes?</w:t>
      </w:r>
    </w:p>
    <w:p w14:paraId="470961CD" w14:textId="77777777" w:rsidR="00CE512B" w:rsidRPr="00602824" w:rsidRDefault="00CE512B" w:rsidP="00CE512B">
      <w:pPr>
        <w:pStyle w:val="Listnumbered"/>
        <w:rPr>
          <w:lang w:eastAsia="en-AU"/>
        </w:rPr>
      </w:pPr>
      <w:r w:rsidRPr="00602824">
        <w:rPr>
          <w:lang w:eastAsia="en-AU"/>
        </w:rPr>
        <w:t>What are the ongoing and future directions, opportunities and priorities for the PL reforms?</w:t>
      </w:r>
    </w:p>
    <w:p w14:paraId="0311A78F" w14:textId="77777777" w:rsidR="00CE512B" w:rsidRPr="00602824" w:rsidRDefault="00CE512B" w:rsidP="00CE512B">
      <w:pPr>
        <w:pStyle w:val="Heading4"/>
      </w:pPr>
      <w:r w:rsidRPr="00602824">
        <w:t>Nous has structured the evaluation by the eight objectives of the PL reforms</w:t>
      </w:r>
    </w:p>
    <w:p w14:paraId="5755C59B" w14:textId="289A4A29" w:rsidR="00CE512B" w:rsidRPr="00602824" w:rsidRDefault="00CE512B" w:rsidP="00CE512B">
      <w:pPr>
        <w:rPr>
          <w:lang w:eastAsia="en-AU"/>
        </w:rPr>
      </w:pPr>
      <w:r w:rsidRPr="00602824">
        <w:rPr>
          <w:lang w:eastAsia="en-AU"/>
        </w:rPr>
        <w:t>The evaluation team developed a structure for the ongoing reporting of the evaluation that is adapted to the evolving projects and priorities of the reform program, while still aligning with the KEQs and evaluation plan. The structure is centred around the eight objectives of the PL reforms established by the Department’s PL Evaluation Framework, with nine key projects summarising the primary actions of the reforms.</w:t>
      </w:r>
    </w:p>
    <w:p w14:paraId="108AAF0B" w14:textId="0466D426" w:rsidR="00CE512B" w:rsidRPr="00602824" w:rsidRDefault="00CE512B" w:rsidP="00B50EE7">
      <w:pPr>
        <w:pStyle w:val="Caption"/>
        <w:rPr>
          <w:lang w:eastAsia="en-AU"/>
        </w:rPr>
      </w:pPr>
      <w:r w:rsidRPr="00602824">
        <w:lastRenderedPageBreak/>
        <w:t xml:space="preserve">Figure </w:t>
      </w:r>
      <w:r w:rsidR="002604D0">
        <w:fldChar w:fldCharType="begin"/>
      </w:r>
      <w:r w:rsidR="002604D0">
        <w:instrText xml:space="preserve"> SEQ Figure \* ARABIC </w:instrText>
      </w:r>
      <w:r w:rsidR="002604D0">
        <w:fldChar w:fldCharType="separate"/>
      </w:r>
      <w:r w:rsidR="00D30634">
        <w:rPr>
          <w:noProof/>
        </w:rPr>
        <w:t>30</w:t>
      </w:r>
      <w:r w:rsidR="002604D0">
        <w:fldChar w:fldCharType="end"/>
      </w:r>
      <w:r w:rsidRPr="00602824">
        <w:t xml:space="preserve"> | PL reform objectives and reform projects</w:t>
      </w:r>
    </w:p>
    <w:p w14:paraId="3369FA69" w14:textId="4DEF8A23" w:rsidR="00CE512B" w:rsidRPr="00602824" w:rsidRDefault="006F4FD0" w:rsidP="00CE512B">
      <w:pPr>
        <w:rPr>
          <w:lang w:eastAsia="en-AU"/>
        </w:rPr>
      </w:pPr>
      <w:r w:rsidRPr="00AC7E3F">
        <w:rPr>
          <w:noProof/>
          <w:lang w:eastAsia="en-AU"/>
        </w:rPr>
        <w:drawing>
          <wp:inline distT="0" distB="0" distL="0" distR="0" wp14:anchorId="79933202" wp14:editId="307E0C0A">
            <wp:extent cx="5670550" cy="6286500"/>
            <wp:effectExtent l="0" t="0" r="6350" b="0"/>
            <wp:docPr id="1657594827" name="Picture 1" descr="A diagram showing the reform objectives alongside the reform projects. Objective 1. Alignment of benefit reductions is connected to the Benefit reductions. Objective 2. Maintain no additional out-of-pocket costs is maintained through guardrails on benefit reductions. Objective 3. Maintain clinician choice is maintain baseline policy position. Objective 4. Affordability and value of PHI is achieved through objectives 1, 2 and 3. Objective 5. Purpose, definition and scope of the PL is connected to clarifying scope and definition in legislation, regrouping of the PL, and review general use items. Objective 6. PL assessment pathways is connected to modernised pathways and governance arrangements. Objective 7. PL listing reviews and PL compliance frameworks is connected to post-listing reviews and compliance activities. Objective 8. Financial sustainability is connected to cost recovery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94827" name="Picture 1" descr="A diagram showing the reform objectives alongside the reform projects. Objective 1. Alignment of benefit reductions is connected to the Benefit reductions. Objective 2. Maintain no additional out-of-pocket costs is maintained through guardrails on benefit reductions. Objective 3. Maintain clinician choice is maintain baseline policy position. Objective 4. Affordability and value of PHI is achieved through objectives 1, 2 and 3. Objective 5. Purpose, definition and scope of the PL is connected to clarifying scope and definition in legislation, regrouping of the PL, and review general use items. Objective 6. PL assessment pathways is connected to modernised pathways and governance arrangements. Objective 7. PL listing reviews and PL compliance frameworks is connected to post-listing reviews and compliance activities. Objective 8. Financial sustainability is connected to cost recovery fees."/>
                    <pic:cNvPicPr/>
                  </pic:nvPicPr>
                  <pic:blipFill>
                    <a:blip r:embed="rId55"/>
                    <a:stretch>
                      <a:fillRect/>
                    </a:stretch>
                  </pic:blipFill>
                  <pic:spPr>
                    <a:xfrm>
                      <a:off x="0" y="0"/>
                      <a:ext cx="5670550" cy="6286500"/>
                    </a:xfrm>
                    <a:prstGeom prst="rect">
                      <a:avLst/>
                    </a:prstGeom>
                  </pic:spPr>
                </pic:pic>
              </a:graphicData>
            </a:graphic>
          </wp:inline>
        </w:drawing>
      </w:r>
    </w:p>
    <w:p w14:paraId="52047C8A" w14:textId="77777777" w:rsidR="00CE512B" w:rsidRPr="00602824" w:rsidRDefault="00CE512B" w:rsidP="00FB712C">
      <w:pPr>
        <w:pStyle w:val="Heading4"/>
        <w:spacing w:before="360"/>
      </w:pPr>
      <w:r w:rsidRPr="00602824">
        <w:t>A set of indicators and measures guide the data collection, analysis and reporting</w:t>
      </w:r>
    </w:p>
    <w:p w14:paraId="112AA7AE" w14:textId="39A282B2" w:rsidR="00CE512B" w:rsidRPr="00602824" w:rsidRDefault="00CE512B" w:rsidP="00CE512B">
      <w:pPr>
        <w:rPr>
          <w:lang w:eastAsia="en-AU"/>
        </w:rPr>
      </w:pPr>
      <w:r w:rsidRPr="00602824">
        <w:rPr>
          <w:lang w:eastAsia="en-AU"/>
        </w:rPr>
        <w:t>The evaluation team developed a set of indicators and measures that sit under each of the eight objectives of the PL reforms (see</w:t>
      </w:r>
      <w:r w:rsidR="00241E8B" w:rsidRPr="00602824">
        <w:rPr>
          <w:lang w:eastAsia="en-AU"/>
        </w:rPr>
        <w:t xml:space="preserve"> </w:t>
      </w:r>
      <w:r w:rsidR="00241E8B" w:rsidRPr="00602824">
        <w:rPr>
          <w:lang w:eastAsia="en-AU"/>
        </w:rPr>
        <w:fldChar w:fldCharType="begin"/>
      </w:r>
      <w:r w:rsidR="00241E8B" w:rsidRPr="00602824">
        <w:rPr>
          <w:lang w:eastAsia="en-AU"/>
        </w:rPr>
        <w:instrText xml:space="preserve"> REF _Ref193905798 \r \h </w:instrText>
      </w:r>
      <w:r w:rsidR="00241E8B" w:rsidRPr="00602824">
        <w:rPr>
          <w:lang w:eastAsia="en-AU"/>
        </w:rPr>
      </w:r>
      <w:r w:rsidR="00241E8B" w:rsidRPr="00602824">
        <w:rPr>
          <w:lang w:eastAsia="en-AU"/>
        </w:rPr>
        <w:fldChar w:fldCharType="separate"/>
      </w:r>
      <w:r w:rsidR="00D30634">
        <w:rPr>
          <w:lang w:eastAsia="en-AU"/>
        </w:rPr>
        <w:t>Appendix C</w:t>
      </w:r>
      <w:r w:rsidR="00241E8B" w:rsidRPr="00602824">
        <w:rPr>
          <w:lang w:eastAsia="en-AU"/>
        </w:rPr>
        <w:fldChar w:fldCharType="end"/>
      </w:r>
      <w:r w:rsidR="00B04604" w:rsidRPr="00602824">
        <w:rPr>
          <w:lang w:eastAsia="en-AU"/>
        </w:rPr>
        <w:t>)</w:t>
      </w:r>
      <w:r w:rsidRPr="00602824">
        <w:rPr>
          <w:lang w:eastAsia="en-AU"/>
        </w:rPr>
        <w:t>. The indicators and measures cover KEQ 1 and KEQ 2 and resemble the key evaluation sub-questions introduced in the Department’s PL Evaluation Framework. Since the Baseline Evaluation, the indicators and measures have guided the evaluation team’s data collection, analysis and reporting.</w:t>
      </w:r>
    </w:p>
    <w:p w14:paraId="65BEA60F" w14:textId="3E8F1220" w:rsidR="00177AAB" w:rsidRPr="00602824" w:rsidRDefault="00177AAB" w:rsidP="00177AAB">
      <w:pPr>
        <w:pStyle w:val="xAppendixLevel2"/>
      </w:pPr>
      <w:bookmarkStart w:id="110" w:name="_Toc209176980"/>
      <w:r w:rsidRPr="00602824">
        <w:lastRenderedPageBreak/>
        <w:t>Approach to data collection and engagement</w:t>
      </w:r>
      <w:bookmarkEnd w:id="110"/>
    </w:p>
    <w:p w14:paraId="486ED88E" w14:textId="77777777" w:rsidR="00177AAB" w:rsidRPr="00602824" w:rsidRDefault="00177AAB" w:rsidP="00177AAB">
      <w:pPr>
        <w:pStyle w:val="Heading4"/>
      </w:pPr>
      <w:r w:rsidRPr="00602824">
        <w:t>The evaluation is using a ‘mixed methods’ approach</w:t>
      </w:r>
    </w:p>
    <w:p w14:paraId="5F76A304" w14:textId="77777777" w:rsidR="00177AAB" w:rsidRPr="00602824" w:rsidRDefault="00177AAB" w:rsidP="00177AAB">
      <w:pPr>
        <w:rPr>
          <w:rFonts w:eastAsia="Segoe UI" w:cs="Segoe UI"/>
          <w:szCs w:val="19"/>
        </w:rPr>
      </w:pPr>
      <w:r w:rsidRPr="00602824">
        <w:rPr>
          <w:rFonts w:eastAsia="Segoe UI" w:cs="Segoe UI"/>
          <w:szCs w:val="19"/>
        </w:rPr>
        <w:t xml:space="preserve">Evaluating the PL reforms involves a large and diverse group of stakeholders, a nuanced prostheses market, intertwined reform initiatives, and several intangible outcomes. To address this complexity, this evaluation is using a principles-based approach with KEQ and a program logic to focus the evaluation on the intentions of the reform. </w:t>
      </w:r>
    </w:p>
    <w:p w14:paraId="6558ABB7" w14:textId="77777777" w:rsidR="00177AAB" w:rsidRPr="00602824" w:rsidRDefault="00177AAB" w:rsidP="00177AAB">
      <w:pPr>
        <w:rPr>
          <w:rFonts w:eastAsia="Segoe UI" w:cs="Segoe UI"/>
          <w:szCs w:val="19"/>
        </w:rPr>
      </w:pPr>
      <w:r w:rsidRPr="00602824">
        <w:rPr>
          <w:rFonts w:eastAsia="Segoe UI" w:cs="Segoe UI"/>
          <w:szCs w:val="19"/>
        </w:rPr>
        <w:t xml:space="preserve">This interim report uses a ‘mixed methods’ approach, collecting both qualitative and quantitative data </w:t>
      </w:r>
      <w:r w:rsidRPr="00602824">
        <w:rPr>
          <w:lang w:eastAsia="en-AU"/>
        </w:rPr>
        <w:t>from interviews, focus groups, desktop research, surveys and existing datasets</w:t>
      </w:r>
      <w:r w:rsidRPr="00602824">
        <w:rPr>
          <w:rFonts w:eastAsia="Segoe UI" w:cs="Segoe UI"/>
          <w:szCs w:val="19"/>
        </w:rPr>
        <w:t>. Data analysis has involved thematic, descriptive, and inferential techniques with triangulation of findings from various sources to validate the evidence.</w:t>
      </w:r>
    </w:p>
    <w:p w14:paraId="15C06E77" w14:textId="77777777" w:rsidR="00177AAB" w:rsidRPr="00602824" w:rsidRDefault="00177AAB" w:rsidP="00177AAB">
      <w:pPr>
        <w:pStyle w:val="Heading4"/>
      </w:pPr>
      <w:r w:rsidRPr="00602824">
        <w:t>Quantitative analysis is informing an assessment of reforms’ outcomes</w:t>
      </w:r>
    </w:p>
    <w:p w14:paraId="125A7CB0" w14:textId="77777777" w:rsidR="00177AAB" w:rsidRPr="00602824" w:rsidRDefault="00177AAB" w:rsidP="00177AAB">
      <w:pPr>
        <w:rPr>
          <w:lang w:eastAsia="en-AU"/>
        </w:rPr>
      </w:pPr>
      <w:r w:rsidRPr="00602824">
        <w:rPr>
          <w:lang w:eastAsia="en-AU"/>
        </w:rPr>
        <w:t>The performance of the PL reforms is being assessed through an analysis of a range of quantitative indicators. This involved compiling and assessing relevant descriptive statistics to develop hypotheses related to the sub-research questions and categorised under the indicators and measures. Where feasible, inferential methods, such as regression models are also being used to add rigour to the analysis and support efforts to attribute changes to the reforms. As part of this, graphs have been included to visualise, develop, and convey important findings and analysis.</w:t>
      </w:r>
    </w:p>
    <w:p w14:paraId="346E1AEB" w14:textId="77777777" w:rsidR="00177AAB" w:rsidRPr="00602824" w:rsidRDefault="00177AAB" w:rsidP="00177AAB">
      <w:pPr>
        <w:pStyle w:val="Heading4"/>
      </w:pPr>
      <w:r w:rsidRPr="00602824">
        <w:t>Qualitative analysis is crucial to answering the evaluation’s research questions</w:t>
      </w:r>
    </w:p>
    <w:p w14:paraId="7F0B7EF0" w14:textId="77777777" w:rsidR="00177AAB" w:rsidRPr="00602824" w:rsidRDefault="00177AAB" w:rsidP="00177AAB">
      <w:pPr>
        <w:rPr>
          <w:lang w:eastAsia="en-AU"/>
        </w:rPr>
      </w:pPr>
      <w:r w:rsidRPr="00602824">
        <w:rPr>
          <w:lang w:eastAsia="en-AU"/>
        </w:rPr>
        <w:t xml:space="preserve">On its own, quantitative analysis is unable to satisfactorily answer all the evaluation’s sub-research questions. In many circumstances, quantitative data is missing or is of inadequate quality, requiring a qualitative approach that allows the evaluation team to hear directly from stakeholders. In circumstances where sufficient quantitative data has been available, qualitative evidence bolsters the evidence base underpinning the evaluation’s findings, by allowing insights to be triangulated from different sources of information. </w:t>
      </w:r>
    </w:p>
    <w:p w14:paraId="7711A7A8" w14:textId="77777777" w:rsidR="00177AAB" w:rsidRPr="00602824" w:rsidRDefault="00177AAB" w:rsidP="00177AAB">
      <w:pPr>
        <w:rPr>
          <w:lang w:eastAsia="en-AU"/>
        </w:rPr>
      </w:pPr>
      <w:r w:rsidRPr="00602824">
        <w:rPr>
          <w:lang w:eastAsia="en-AU"/>
        </w:rPr>
        <w:t xml:space="preserve">Qualitative research methods – including surveys, interviews and workshops – are also ideal for understanding individual stakeholder perspectives, experiences and sensitivities in depth, especially in relation to the “how” and “why” elements of our KEQs which cannot be adequately answered with reference to quantitative data. This process also continues to help to build buy-in for the evaluation’s findings and recommendations, by facilitating forums for those impacted by the reforms to have their perspective heard. </w:t>
      </w:r>
    </w:p>
    <w:p w14:paraId="6EECA7C1" w14:textId="0CCC22F2" w:rsidR="00E6392D" w:rsidRPr="00602824" w:rsidRDefault="00177AAB" w:rsidP="00177AAB">
      <w:pPr>
        <w:rPr>
          <w:lang w:eastAsia="en-AU"/>
        </w:rPr>
      </w:pPr>
      <w:r w:rsidRPr="00602824">
        <w:rPr>
          <w:lang w:eastAsia="en-AU"/>
        </w:rPr>
        <w:t>The evaluation has drawn on several different qualitative data sources including Departmental documentation and PL planning documentation, published stakeholder submissions and perspectives, stakeholder interviews and stakeholder information requests</w:t>
      </w:r>
      <w:r w:rsidR="00131E75">
        <w:rPr>
          <w:lang w:eastAsia="en-AU"/>
        </w:rPr>
        <w:t>.</w:t>
      </w:r>
    </w:p>
    <w:p w14:paraId="63F02155" w14:textId="68453D6E" w:rsidR="00BB79A0" w:rsidRPr="00602824" w:rsidRDefault="00BB79A0" w:rsidP="00BB79A0">
      <w:pPr>
        <w:pStyle w:val="xAppendixLevel1"/>
      </w:pPr>
      <w:bookmarkStart w:id="111" w:name="_Toc209176981"/>
      <w:r w:rsidRPr="00602824">
        <w:lastRenderedPageBreak/>
        <w:t xml:space="preserve">List of </w:t>
      </w:r>
      <w:r w:rsidR="0075381C" w:rsidRPr="00602824">
        <w:t xml:space="preserve">external </w:t>
      </w:r>
      <w:r w:rsidRPr="00602824">
        <w:t>stakeholders consulted</w:t>
      </w:r>
      <w:r w:rsidR="00836F41" w:rsidRPr="00602824">
        <w:t xml:space="preserve"> for </w:t>
      </w:r>
      <w:r w:rsidR="00836F41" w:rsidRPr="00D94E1A">
        <w:rPr>
          <w:i/>
          <w:iCs/>
        </w:rPr>
        <w:t>Interim Evaluation #</w:t>
      </w:r>
      <w:r w:rsidR="007E3C16" w:rsidRPr="00D94E1A">
        <w:rPr>
          <w:i/>
          <w:iCs/>
        </w:rPr>
        <w:t>2</w:t>
      </w:r>
      <w:r w:rsidR="001B18E7" w:rsidRPr="00D94E1A">
        <w:rPr>
          <w:i/>
          <w:iCs/>
        </w:rPr>
        <w:t xml:space="preserve"> report</w:t>
      </w:r>
      <w:bookmarkEnd w:id="111"/>
    </w:p>
    <w:p w14:paraId="7B221ACC" w14:textId="1173F229" w:rsidR="00986AF5" w:rsidRPr="00602824" w:rsidRDefault="0040137F" w:rsidP="00986AF5">
      <w:pPr>
        <w:rPr>
          <w:lang w:eastAsia="en-AU"/>
        </w:rPr>
      </w:pPr>
      <w:r w:rsidRPr="00602824">
        <w:rPr>
          <w:lang w:eastAsia="en-AU"/>
        </w:rPr>
        <w:t>A few</w:t>
      </w:r>
      <w:r w:rsidR="00853C88" w:rsidRPr="00602824">
        <w:rPr>
          <w:lang w:eastAsia="en-AU"/>
        </w:rPr>
        <w:t xml:space="preserve"> external</w:t>
      </w:r>
      <w:r w:rsidR="00986AF5" w:rsidRPr="00602824">
        <w:rPr>
          <w:lang w:eastAsia="en-AU"/>
        </w:rPr>
        <w:t xml:space="preserve"> stakeholders were consulted for this </w:t>
      </w:r>
      <w:r w:rsidR="00A43329" w:rsidRPr="00602824">
        <w:rPr>
          <w:lang w:eastAsia="en-AU"/>
        </w:rPr>
        <w:t>evaluation report</w:t>
      </w:r>
      <w:r w:rsidR="00853C88" w:rsidRPr="00602824">
        <w:rPr>
          <w:lang w:eastAsia="en-AU"/>
        </w:rPr>
        <w:t xml:space="preserve"> and are detailed in </w:t>
      </w:r>
      <w:r w:rsidRPr="00602824">
        <w:rPr>
          <w:lang w:eastAsia="en-AU"/>
        </w:rPr>
        <w:fldChar w:fldCharType="begin"/>
      </w:r>
      <w:r w:rsidRPr="00602824">
        <w:rPr>
          <w:lang w:eastAsia="en-AU"/>
        </w:rPr>
        <w:instrText xml:space="preserve"> REF _Ref202779041 \h </w:instrText>
      </w:r>
      <w:r w:rsidRPr="00602824">
        <w:rPr>
          <w:lang w:eastAsia="en-AU"/>
        </w:rPr>
      </w:r>
      <w:r w:rsidRPr="00602824">
        <w:rPr>
          <w:lang w:eastAsia="en-AU"/>
        </w:rPr>
        <w:fldChar w:fldCharType="separate"/>
      </w:r>
      <w:r w:rsidR="00D30634" w:rsidRPr="00602824">
        <w:t xml:space="preserve">Table </w:t>
      </w:r>
      <w:r w:rsidR="00D30634">
        <w:rPr>
          <w:noProof/>
        </w:rPr>
        <w:t>21</w:t>
      </w:r>
      <w:r w:rsidRPr="00602824">
        <w:rPr>
          <w:lang w:eastAsia="en-AU"/>
        </w:rPr>
        <w:fldChar w:fldCharType="end"/>
      </w:r>
      <w:r w:rsidRPr="00602824">
        <w:rPr>
          <w:lang w:eastAsia="en-AU"/>
        </w:rPr>
        <w:t>.</w:t>
      </w:r>
      <w:r w:rsidR="00A43329" w:rsidRPr="00602824">
        <w:rPr>
          <w:lang w:eastAsia="en-AU"/>
        </w:rPr>
        <w:t xml:space="preserve"> </w:t>
      </w:r>
      <w:r w:rsidR="00853C88" w:rsidRPr="00602824">
        <w:rPr>
          <w:lang w:eastAsia="en-AU"/>
        </w:rPr>
        <w:t xml:space="preserve">Their </w:t>
      </w:r>
      <w:r w:rsidRPr="00602824">
        <w:rPr>
          <w:lang w:eastAsia="en-AU"/>
        </w:rPr>
        <w:t>perspectives and input</w:t>
      </w:r>
      <w:r w:rsidR="00853C88" w:rsidRPr="00602824">
        <w:rPr>
          <w:lang w:eastAsia="en-AU"/>
        </w:rPr>
        <w:t xml:space="preserve"> have been included in a summarised form throughout the report. </w:t>
      </w:r>
    </w:p>
    <w:p w14:paraId="775F746E" w14:textId="155E8211" w:rsidR="00853C88" w:rsidRPr="00602824" w:rsidRDefault="00853C88" w:rsidP="00B50EE7">
      <w:pPr>
        <w:pStyle w:val="Caption"/>
      </w:pPr>
      <w:bookmarkStart w:id="112" w:name="_Ref202779041"/>
      <w:r w:rsidRPr="00602824">
        <w:t xml:space="preserve">Table </w:t>
      </w:r>
      <w:r w:rsidR="002604D0">
        <w:fldChar w:fldCharType="begin"/>
      </w:r>
      <w:r w:rsidR="002604D0">
        <w:instrText xml:space="preserve"> SEQ Table \* ARABIC </w:instrText>
      </w:r>
      <w:r w:rsidR="002604D0">
        <w:fldChar w:fldCharType="separate"/>
      </w:r>
      <w:r w:rsidR="00D30634">
        <w:rPr>
          <w:noProof/>
        </w:rPr>
        <w:t>21</w:t>
      </w:r>
      <w:r w:rsidR="002604D0">
        <w:fldChar w:fldCharType="end"/>
      </w:r>
      <w:bookmarkEnd w:id="112"/>
      <w:r w:rsidRPr="00602824">
        <w:t xml:space="preserve"> | External stakeholders consulted for </w:t>
      </w:r>
      <w:r w:rsidR="001B18E7" w:rsidRPr="00D94E1A">
        <w:rPr>
          <w:i/>
          <w:iCs/>
        </w:rPr>
        <w:t xml:space="preserve">Interim Evaluation #2 </w:t>
      </w:r>
      <w:r w:rsidRPr="00D94E1A">
        <w:rPr>
          <w:i/>
          <w:iCs/>
        </w:rPr>
        <w:t>report</w:t>
      </w:r>
    </w:p>
    <w:tbl>
      <w:tblPr>
        <w:tblStyle w:val="NOUS1"/>
        <w:tblW w:w="0" w:type="auto"/>
        <w:tblLook w:val="04A0" w:firstRow="1" w:lastRow="0" w:firstColumn="1" w:lastColumn="0" w:noHBand="0" w:noVBand="1"/>
      </w:tblPr>
      <w:tblGrid>
        <w:gridCol w:w="2977"/>
        <w:gridCol w:w="5943"/>
      </w:tblGrid>
      <w:tr w:rsidR="00CC01F7" w:rsidRPr="00602824" w14:paraId="2C53AA99" w14:textId="77777777" w:rsidTr="00CC01F7">
        <w:trPr>
          <w:cnfStyle w:val="100000000000" w:firstRow="1" w:lastRow="0" w:firstColumn="0" w:lastColumn="0" w:oddVBand="0" w:evenVBand="0" w:oddHBand="0" w:evenHBand="0" w:firstRowFirstColumn="0" w:firstRowLastColumn="0" w:lastRowFirstColumn="0" w:lastRowLastColumn="0"/>
        </w:trPr>
        <w:tc>
          <w:tcPr>
            <w:tcW w:w="2977" w:type="dxa"/>
          </w:tcPr>
          <w:p w14:paraId="2328CCF1" w14:textId="62BA58EB" w:rsidR="00CC01F7" w:rsidRPr="00602824" w:rsidRDefault="00CC01F7" w:rsidP="00FB712C">
            <w:pPr>
              <w:pStyle w:val="TableNheader"/>
              <w:spacing w:before="60" w:after="60" w:line="240" w:lineRule="auto"/>
            </w:pPr>
            <w:r w:rsidRPr="00602824">
              <w:t xml:space="preserve">Stakeholder group </w:t>
            </w:r>
          </w:p>
        </w:tc>
        <w:tc>
          <w:tcPr>
            <w:tcW w:w="5943" w:type="dxa"/>
          </w:tcPr>
          <w:p w14:paraId="6F4B06E0" w14:textId="21F223E3" w:rsidR="00CC01F7" w:rsidRPr="00602824" w:rsidRDefault="00CC01F7" w:rsidP="00FB712C">
            <w:pPr>
              <w:pStyle w:val="TableNheader"/>
              <w:spacing w:before="60" w:after="60" w:line="240" w:lineRule="auto"/>
            </w:pPr>
            <w:r w:rsidRPr="00602824">
              <w:t xml:space="preserve">Organisation </w:t>
            </w:r>
          </w:p>
        </w:tc>
      </w:tr>
      <w:tr w:rsidR="00CC01F7" w:rsidRPr="00602824" w14:paraId="4B464A9B" w14:textId="77777777" w:rsidTr="00CC01F7">
        <w:tc>
          <w:tcPr>
            <w:tcW w:w="2977" w:type="dxa"/>
          </w:tcPr>
          <w:p w14:paraId="20C486BA" w14:textId="53AB34A3" w:rsidR="00CC01F7" w:rsidRPr="00602824" w:rsidRDefault="00CC01F7" w:rsidP="00FB712C">
            <w:pPr>
              <w:pStyle w:val="TableNText"/>
              <w:spacing w:before="60" w:after="60" w:line="240" w:lineRule="auto"/>
            </w:pPr>
            <w:r w:rsidRPr="00602824">
              <w:t>Consumers representatives</w:t>
            </w:r>
          </w:p>
        </w:tc>
        <w:tc>
          <w:tcPr>
            <w:tcW w:w="5943" w:type="dxa"/>
          </w:tcPr>
          <w:p w14:paraId="2E714A90" w14:textId="3E8A27C6" w:rsidR="00CC01F7" w:rsidRPr="00602824" w:rsidRDefault="00CC01F7" w:rsidP="00FB712C">
            <w:pPr>
              <w:pStyle w:val="TableNBullet"/>
              <w:spacing w:before="60" w:after="60"/>
            </w:pPr>
            <w:r w:rsidRPr="00602824">
              <w:t>Consumer Health Forum (CHF)</w:t>
            </w:r>
          </w:p>
        </w:tc>
      </w:tr>
      <w:tr w:rsidR="00CC01F7" w:rsidRPr="00602824" w14:paraId="2D41155C" w14:textId="77777777" w:rsidTr="00CC01F7">
        <w:tc>
          <w:tcPr>
            <w:tcW w:w="2977" w:type="dxa"/>
          </w:tcPr>
          <w:p w14:paraId="62A90368" w14:textId="6A0F3FF5" w:rsidR="00CC01F7" w:rsidRPr="00602824" w:rsidRDefault="00CC01F7" w:rsidP="00FB712C">
            <w:pPr>
              <w:pStyle w:val="TableNText"/>
              <w:spacing w:before="60" w:after="60" w:line="240" w:lineRule="auto"/>
            </w:pPr>
            <w:r w:rsidRPr="00602824">
              <w:t xml:space="preserve">Independent and advisory bodies  </w:t>
            </w:r>
          </w:p>
        </w:tc>
        <w:tc>
          <w:tcPr>
            <w:tcW w:w="5943" w:type="dxa"/>
          </w:tcPr>
          <w:p w14:paraId="4FA5AEA9" w14:textId="523117A7" w:rsidR="00CC01F7" w:rsidRPr="00602824" w:rsidRDefault="008C5A33" w:rsidP="00FB712C">
            <w:pPr>
              <w:pStyle w:val="TableNBullet"/>
              <w:spacing w:before="60" w:after="60"/>
            </w:pPr>
            <w:r w:rsidRPr="00602824">
              <w:t xml:space="preserve">The Office of the </w:t>
            </w:r>
            <w:r w:rsidR="00CC01F7" w:rsidRPr="00602824">
              <w:t xml:space="preserve">Commonwealth Ombudsman – Industry Investigations </w:t>
            </w:r>
          </w:p>
          <w:p w14:paraId="08F4AA97" w14:textId="222A797D" w:rsidR="00CC01F7" w:rsidRPr="00602824" w:rsidRDefault="00CC01F7" w:rsidP="00FB712C">
            <w:pPr>
              <w:pStyle w:val="TableNBullet"/>
              <w:spacing w:before="60" w:after="60"/>
            </w:pPr>
            <w:r w:rsidRPr="00602824">
              <w:t>Medical Devices and Human Tissue Advisory Committee (MDHTAC)</w:t>
            </w:r>
          </w:p>
        </w:tc>
      </w:tr>
      <w:tr w:rsidR="00CC01F7" w:rsidRPr="00602824" w14:paraId="4B1400A0" w14:textId="77777777" w:rsidTr="00CC01F7">
        <w:tc>
          <w:tcPr>
            <w:tcW w:w="2977" w:type="dxa"/>
          </w:tcPr>
          <w:p w14:paraId="34DD2E3C" w14:textId="661585AD" w:rsidR="00CC01F7" w:rsidRPr="00602824" w:rsidRDefault="00CC01F7" w:rsidP="00FB712C">
            <w:pPr>
              <w:pStyle w:val="TableNText"/>
              <w:spacing w:before="60" w:after="60" w:line="240" w:lineRule="auto"/>
            </w:pPr>
            <w:r w:rsidRPr="00602824">
              <w:t>Clinician representatives</w:t>
            </w:r>
          </w:p>
        </w:tc>
        <w:tc>
          <w:tcPr>
            <w:tcW w:w="5943" w:type="dxa"/>
          </w:tcPr>
          <w:p w14:paraId="1C5B99B7" w14:textId="77777777" w:rsidR="00CC01F7" w:rsidRPr="00602824" w:rsidRDefault="00CC01F7" w:rsidP="00FB712C">
            <w:pPr>
              <w:pStyle w:val="TableNBullet"/>
              <w:spacing w:before="60" w:after="60"/>
            </w:pPr>
            <w:r w:rsidRPr="00602824">
              <w:t>Australian and New Zealand Association of Oral and Maxillofacial Surgeons (ANZAOMS)</w:t>
            </w:r>
          </w:p>
          <w:p w14:paraId="0124CC0A" w14:textId="77777777" w:rsidR="00CC01F7" w:rsidRPr="00602824" w:rsidRDefault="00CC01F7" w:rsidP="00FB712C">
            <w:pPr>
              <w:pStyle w:val="TableNBullet"/>
              <w:spacing w:before="60" w:after="60"/>
            </w:pPr>
            <w:r w:rsidRPr="00602824">
              <w:t>Australian Medical Association (AMA)</w:t>
            </w:r>
          </w:p>
          <w:p w14:paraId="7BB444D7" w14:textId="77777777" w:rsidR="00CC01F7" w:rsidRPr="00602824" w:rsidRDefault="00CC01F7" w:rsidP="00FB712C">
            <w:pPr>
              <w:pStyle w:val="TableNBullet"/>
              <w:spacing w:before="60" w:after="60"/>
            </w:pPr>
            <w:r w:rsidRPr="00602824">
              <w:t>Australian Orthopaedic Association (AOA)</w:t>
            </w:r>
          </w:p>
          <w:p w14:paraId="24437609" w14:textId="4DC1E890" w:rsidR="00CC01F7" w:rsidRPr="00602824" w:rsidRDefault="00CC01F7" w:rsidP="00FB712C">
            <w:pPr>
              <w:pStyle w:val="TableNBullet"/>
              <w:spacing w:before="60" w:after="60"/>
            </w:pPr>
            <w:r w:rsidRPr="00602824">
              <w:t>Cardiac Society of Australia and New Zealand (CZANZ)</w:t>
            </w:r>
          </w:p>
        </w:tc>
      </w:tr>
      <w:tr w:rsidR="00CC01F7" w:rsidRPr="00602824" w14:paraId="0F6E848B" w14:textId="77777777" w:rsidTr="00CC01F7">
        <w:tc>
          <w:tcPr>
            <w:tcW w:w="2977" w:type="dxa"/>
          </w:tcPr>
          <w:p w14:paraId="5968CD4B" w14:textId="62B6185C" w:rsidR="00CC01F7" w:rsidRPr="00602824" w:rsidRDefault="00CC01F7" w:rsidP="00FB712C">
            <w:pPr>
              <w:pStyle w:val="TableNText"/>
              <w:spacing w:before="60" w:after="60" w:line="240" w:lineRule="auto"/>
            </w:pPr>
            <w:r w:rsidRPr="00602824">
              <w:t xml:space="preserve">Private health insurer representatives </w:t>
            </w:r>
          </w:p>
        </w:tc>
        <w:tc>
          <w:tcPr>
            <w:tcW w:w="5943" w:type="dxa"/>
          </w:tcPr>
          <w:p w14:paraId="5386D55B" w14:textId="77777777" w:rsidR="00CC01F7" w:rsidRPr="00602824" w:rsidRDefault="00CC01F7" w:rsidP="00FB712C">
            <w:pPr>
              <w:pStyle w:val="TableNBullet"/>
              <w:spacing w:before="60" w:after="60"/>
            </w:pPr>
            <w:r w:rsidRPr="00602824">
              <w:t>Australian Health Service Alliance (AHSA)</w:t>
            </w:r>
          </w:p>
          <w:p w14:paraId="2498A7EA" w14:textId="76B3EE4E" w:rsidR="00CC01F7" w:rsidRPr="00602824" w:rsidRDefault="00CC01F7" w:rsidP="00FB712C">
            <w:pPr>
              <w:pStyle w:val="TableNBullet"/>
              <w:spacing w:before="60" w:after="60"/>
            </w:pPr>
            <w:r w:rsidRPr="00602824">
              <w:t>Private Healthcare Australia (PHA)</w:t>
            </w:r>
          </w:p>
        </w:tc>
      </w:tr>
      <w:tr w:rsidR="00CC01F7" w:rsidRPr="00602824" w14:paraId="3D024515" w14:textId="77777777" w:rsidTr="00CC01F7">
        <w:tc>
          <w:tcPr>
            <w:tcW w:w="2977" w:type="dxa"/>
          </w:tcPr>
          <w:p w14:paraId="45B2D379" w14:textId="258D2C7E" w:rsidR="00CC01F7" w:rsidRPr="00602824" w:rsidRDefault="00CC01F7" w:rsidP="00FB712C">
            <w:pPr>
              <w:pStyle w:val="TableNText"/>
              <w:spacing w:before="60" w:after="60" w:line="240" w:lineRule="auto"/>
            </w:pPr>
            <w:r w:rsidRPr="00602824">
              <w:t xml:space="preserve">Hospital sector representatives </w:t>
            </w:r>
          </w:p>
        </w:tc>
        <w:tc>
          <w:tcPr>
            <w:tcW w:w="5943" w:type="dxa"/>
          </w:tcPr>
          <w:p w14:paraId="59334577" w14:textId="77777777" w:rsidR="00CC01F7" w:rsidRPr="00602824" w:rsidRDefault="00CC01F7" w:rsidP="00FB712C">
            <w:pPr>
              <w:pStyle w:val="TableNBullet"/>
              <w:spacing w:before="60" w:after="60"/>
            </w:pPr>
            <w:r w:rsidRPr="00602824">
              <w:t>Australian Private Hospitals Association (APHA)</w:t>
            </w:r>
          </w:p>
          <w:p w14:paraId="7867B11B" w14:textId="1EFCC46B" w:rsidR="00CC01F7" w:rsidRPr="00602824" w:rsidRDefault="00CC01F7" w:rsidP="00FB712C">
            <w:pPr>
              <w:pStyle w:val="TableNBullet"/>
              <w:spacing w:before="60" w:after="60"/>
            </w:pPr>
            <w:r w:rsidRPr="00602824">
              <w:t>Catholic Hospitals Australia (CHA)</w:t>
            </w:r>
          </w:p>
        </w:tc>
      </w:tr>
      <w:tr w:rsidR="00CC01F7" w:rsidRPr="00602824" w14:paraId="5F37649D" w14:textId="77777777" w:rsidTr="00CC01F7">
        <w:tc>
          <w:tcPr>
            <w:tcW w:w="2977" w:type="dxa"/>
          </w:tcPr>
          <w:p w14:paraId="1B20FC3D" w14:textId="33F0A8A1" w:rsidR="00CC01F7" w:rsidRPr="00602824" w:rsidRDefault="00CC01F7" w:rsidP="00FB712C">
            <w:pPr>
              <w:pStyle w:val="TableNText"/>
              <w:spacing w:before="60" w:after="60" w:line="240" w:lineRule="auto"/>
            </w:pPr>
            <w:r w:rsidRPr="00602824">
              <w:t xml:space="preserve">Medical device and technology industry representatives </w:t>
            </w:r>
          </w:p>
        </w:tc>
        <w:tc>
          <w:tcPr>
            <w:tcW w:w="5943" w:type="dxa"/>
          </w:tcPr>
          <w:p w14:paraId="630686E4" w14:textId="77777777" w:rsidR="00CC01F7" w:rsidRPr="00602824" w:rsidRDefault="00CC01F7" w:rsidP="00FB712C">
            <w:pPr>
              <w:pStyle w:val="TableNBullet"/>
              <w:spacing w:before="60" w:after="60"/>
            </w:pPr>
            <w:proofErr w:type="spellStart"/>
            <w:r w:rsidRPr="00602824">
              <w:t>AusBiotech</w:t>
            </w:r>
            <w:proofErr w:type="spellEnd"/>
          </w:p>
          <w:p w14:paraId="0C71B3DF" w14:textId="77777777" w:rsidR="00CC01F7" w:rsidRPr="00602824" w:rsidRDefault="00CC01F7" w:rsidP="00FB712C">
            <w:pPr>
              <w:pStyle w:val="TableNBullet"/>
              <w:spacing w:before="60" w:after="60"/>
            </w:pPr>
            <w:r w:rsidRPr="00602824">
              <w:t>Medical Technology Association of Australia (MTAA)</w:t>
            </w:r>
          </w:p>
          <w:p w14:paraId="5B79802F" w14:textId="010E19BA" w:rsidR="00CC01F7" w:rsidRPr="00602824" w:rsidRDefault="00CC01F7" w:rsidP="00FB712C">
            <w:pPr>
              <w:pStyle w:val="TableNBullet"/>
              <w:spacing w:before="60" w:after="60"/>
            </w:pPr>
            <w:r w:rsidRPr="00602824">
              <w:t>Medical Technology Association of Australia (MTAA) Cardiac Forum</w:t>
            </w:r>
          </w:p>
        </w:tc>
      </w:tr>
    </w:tbl>
    <w:p w14:paraId="05FE0A32" w14:textId="77777777" w:rsidR="007E3C16" w:rsidRPr="00602824" w:rsidRDefault="007E3C16" w:rsidP="00EF26D8">
      <w:pPr>
        <w:pStyle w:val="Bullet"/>
        <w:numPr>
          <w:ilvl w:val="0"/>
          <w:numId w:val="0"/>
        </w:numPr>
      </w:pPr>
    </w:p>
    <w:p w14:paraId="4A969826" w14:textId="77777777" w:rsidR="00CC01F7" w:rsidRPr="00602824" w:rsidRDefault="00CC01F7" w:rsidP="00EF26D8">
      <w:pPr>
        <w:pStyle w:val="Bullet"/>
        <w:numPr>
          <w:ilvl w:val="0"/>
          <w:numId w:val="0"/>
        </w:numPr>
      </w:pPr>
    </w:p>
    <w:p w14:paraId="221E4D92" w14:textId="4FDC6935" w:rsidR="006F4FD0" w:rsidRPr="00602824" w:rsidRDefault="006F4FD0" w:rsidP="007E3C16">
      <w:pPr>
        <w:sectPr w:rsidR="006F4FD0" w:rsidRPr="00602824" w:rsidSect="00A31063">
          <w:type w:val="continuous"/>
          <w:pgSz w:w="11907" w:h="16839" w:code="9"/>
          <w:pgMar w:top="1247" w:right="1418" w:bottom="1701" w:left="1559" w:header="720" w:footer="720" w:gutter="0"/>
          <w:cols w:space="720"/>
          <w:docGrid w:linePitch="360"/>
        </w:sectPr>
      </w:pPr>
    </w:p>
    <w:p w14:paraId="31245331" w14:textId="703982AA" w:rsidR="00CE512B" w:rsidRPr="00602824" w:rsidRDefault="00117340" w:rsidP="006F4FD0">
      <w:pPr>
        <w:pStyle w:val="xAppendixLevel1"/>
      </w:pPr>
      <w:bookmarkStart w:id="113" w:name="_Ref193905798"/>
      <w:bookmarkStart w:id="114" w:name="_Toc209176982"/>
      <w:r w:rsidRPr="00602824">
        <w:lastRenderedPageBreak/>
        <w:t>Overview of indicators and measures</w:t>
      </w:r>
      <w:bookmarkEnd w:id="113"/>
      <w:bookmarkEnd w:id="114"/>
    </w:p>
    <w:p w14:paraId="7C02E18D" w14:textId="62019551" w:rsidR="003C11B5" w:rsidRPr="00602824" w:rsidRDefault="00900A47" w:rsidP="00B50EE7">
      <w:pPr>
        <w:pStyle w:val="Caption"/>
      </w:pPr>
      <w:r w:rsidRPr="00602824">
        <w:t xml:space="preserve">Table </w:t>
      </w:r>
      <w:r w:rsidR="002604D0">
        <w:fldChar w:fldCharType="begin"/>
      </w:r>
      <w:r w:rsidR="002604D0">
        <w:instrText xml:space="preserve"> SEQ Table \* ARABIC </w:instrText>
      </w:r>
      <w:r w:rsidR="002604D0">
        <w:fldChar w:fldCharType="separate"/>
      </w:r>
      <w:r w:rsidR="00D30634">
        <w:rPr>
          <w:noProof/>
        </w:rPr>
        <w:t>22</w:t>
      </w:r>
      <w:r w:rsidR="002604D0">
        <w:fldChar w:fldCharType="end"/>
      </w:r>
      <w:r w:rsidRPr="00602824">
        <w:t xml:space="preserve"> | Overview of indicators and measures</w:t>
      </w:r>
    </w:p>
    <w:tbl>
      <w:tblPr>
        <w:tblStyle w:val="NOUS1"/>
        <w:tblW w:w="13892" w:type="dxa"/>
        <w:tblLook w:val="04A0" w:firstRow="1" w:lastRow="0" w:firstColumn="1" w:lastColumn="0" w:noHBand="0" w:noVBand="1"/>
      </w:tblPr>
      <w:tblGrid>
        <w:gridCol w:w="2835"/>
        <w:gridCol w:w="851"/>
        <w:gridCol w:w="3544"/>
        <w:gridCol w:w="6662"/>
      </w:tblGrid>
      <w:tr w:rsidR="0034354E" w:rsidRPr="00602824" w14:paraId="2689C2E1" w14:textId="77777777" w:rsidTr="00FB712C">
        <w:trPr>
          <w:cnfStyle w:val="100000000000" w:firstRow="1" w:lastRow="0" w:firstColumn="0" w:lastColumn="0" w:oddVBand="0" w:evenVBand="0" w:oddHBand="0" w:evenHBand="0" w:firstRowFirstColumn="0" w:firstRowLastColumn="0" w:lastRowFirstColumn="0" w:lastRowLastColumn="0"/>
        </w:trPr>
        <w:tc>
          <w:tcPr>
            <w:tcW w:w="2835" w:type="dxa"/>
          </w:tcPr>
          <w:p w14:paraId="1593CEFE" w14:textId="77777777" w:rsidR="003C11B5" w:rsidRPr="00A33D50" w:rsidRDefault="003C11B5" w:rsidP="00FB712C">
            <w:pPr>
              <w:pStyle w:val="TableNheader"/>
              <w:keepNext w:val="0"/>
              <w:keepLines/>
              <w:spacing w:before="60" w:after="60" w:line="240" w:lineRule="auto"/>
              <w:rPr>
                <w:rFonts w:asciiTheme="majorHAnsi" w:hAnsiTheme="majorHAnsi" w:cstheme="majorHAnsi"/>
              </w:rPr>
            </w:pPr>
            <w:r w:rsidRPr="00A33D50">
              <w:rPr>
                <w:rFonts w:asciiTheme="majorHAnsi" w:hAnsiTheme="majorHAnsi" w:cstheme="majorHAnsi"/>
              </w:rPr>
              <w:t>Objective</w:t>
            </w:r>
          </w:p>
        </w:tc>
        <w:tc>
          <w:tcPr>
            <w:tcW w:w="851" w:type="dxa"/>
          </w:tcPr>
          <w:p w14:paraId="6278A7FC" w14:textId="77777777" w:rsidR="003C11B5" w:rsidRPr="00602824" w:rsidRDefault="003C11B5" w:rsidP="00FB712C">
            <w:pPr>
              <w:pStyle w:val="TableNheader"/>
              <w:keepNext w:val="0"/>
              <w:keepLines/>
              <w:spacing w:before="60" w:after="60" w:line="240" w:lineRule="auto"/>
              <w:jc w:val="center"/>
            </w:pPr>
            <w:r w:rsidRPr="00602824">
              <w:t>KEQ</w:t>
            </w:r>
          </w:p>
        </w:tc>
        <w:tc>
          <w:tcPr>
            <w:tcW w:w="3544" w:type="dxa"/>
          </w:tcPr>
          <w:p w14:paraId="49D153DA" w14:textId="77777777" w:rsidR="003C11B5" w:rsidRPr="00602824" w:rsidRDefault="003C11B5" w:rsidP="00FB712C">
            <w:pPr>
              <w:pStyle w:val="TableNheader"/>
              <w:keepNext w:val="0"/>
              <w:keepLines/>
              <w:spacing w:before="60" w:after="60" w:line="240" w:lineRule="auto"/>
            </w:pPr>
            <w:r w:rsidRPr="00602824">
              <w:t>Indicators</w:t>
            </w:r>
          </w:p>
        </w:tc>
        <w:tc>
          <w:tcPr>
            <w:tcW w:w="6662" w:type="dxa"/>
          </w:tcPr>
          <w:p w14:paraId="7E8A9BD9" w14:textId="77777777" w:rsidR="003C11B5" w:rsidRPr="00602824" w:rsidRDefault="003C11B5" w:rsidP="00FB712C">
            <w:pPr>
              <w:pStyle w:val="TableNheader"/>
              <w:keepNext w:val="0"/>
              <w:keepLines/>
              <w:spacing w:before="60" w:after="60" w:line="240" w:lineRule="auto"/>
            </w:pPr>
            <w:r w:rsidRPr="00602824">
              <w:t>Key evaluation sub-questions</w:t>
            </w:r>
          </w:p>
        </w:tc>
      </w:tr>
      <w:tr w:rsidR="003C11B5" w:rsidRPr="00602824" w14:paraId="3779AF92" w14:textId="77777777" w:rsidTr="00FB712C">
        <w:tc>
          <w:tcPr>
            <w:tcW w:w="0" w:type="dxa"/>
            <w:vMerge w:val="restart"/>
          </w:tcPr>
          <w:p w14:paraId="0E05ECB6"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r w:rsidRPr="00A33D50">
              <w:rPr>
                <w:rFonts w:asciiTheme="majorHAnsi" w:eastAsia="Segoe UI" w:hAnsiTheme="majorHAnsi" w:cstheme="majorHAnsi"/>
              </w:rPr>
              <w:t>1. Improve alignment of the scheduled benefits of the PL with the prices paid in more competitive markets such as the public hospital system and comparable international markets</w:t>
            </w:r>
          </w:p>
        </w:tc>
        <w:tc>
          <w:tcPr>
            <w:tcW w:w="0" w:type="dxa"/>
          </w:tcPr>
          <w:p w14:paraId="1456B3B9" w14:textId="77777777" w:rsidR="003C11B5" w:rsidRPr="00602824" w:rsidRDefault="003C11B5" w:rsidP="00FB712C">
            <w:pPr>
              <w:pStyle w:val="TableNText"/>
              <w:keepNext w:val="0"/>
              <w:keepLines/>
              <w:spacing w:before="60" w:after="60" w:line="240" w:lineRule="auto"/>
              <w:jc w:val="center"/>
            </w:pPr>
            <w:r w:rsidRPr="00602824">
              <w:t>1</w:t>
            </w:r>
          </w:p>
        </w:tc>
        <w:tc>
          <w:tcPr>
            <w:tcW w:w="0" w:type="dxa"/>
          </w:tcPr>
          <w:p w14:paraId="5D397D1F" w14:textId="77777777" w:rsidR="003C11B5" w:rsidRPr="00602824" w:rsidRDefault="003C11B5" w:rsidP="00FB712C">
            <w:pPr>
              <w:pStyle w:val="TableNText"/>
              <w:keepLines/>
              <w:spacing w:before="60" w:after="60" w:line="240" w:lineRule="auto"/>
              <w:rPr>
                <w:rFonts w:eastAsia="Segoe UI"/>
                <w:i/>
                <w:iCs/>
              </w:rPr>
            </w:pPr>
            <w:r w:rsidRPr="00602824">
              <w:rPr>
                <w:rFonts w:asciiTheme="majorHAnsi" w:eastAsia="Segoe UI" w:hAnsiTheme="majorHAnsi" w:cstheme="majorHAnsi"/>
              </w:rPr>
              <w:t>Indicator 1</w:t>
            </w:r>
            <w:r w:rsidRPr="00602824">
              <w:rPr>
                <w:rFonts w:eastAsia="Segoe UI"/>
              </w:rPr>
              <w:t>: Reduction in benefits</w:t>
            </w:r>
          </w:p>
        </w:tc>
        <w:tc>
          <w:tcPr>
            <w:tcW w:w="6662" w:type="dxa"/>
          </w:tcPr>
          <w:p w14:paraId="018201F5" w14:textId="77777777" w:rsidR="003C11B5" w:rsidRPr="00602824" w:rsidRDefault="003C11B5" w:rsidP="00FB712C">
            <w:pPr>
              <w:pStyle w:val="TableNBullet"/>
              <w:spacing w:before="60" w:after="60"/>
              <w:rPr>
                <w:rFonts w:eastAsia="Segoe UI"/>
              </w:rPr>
            </w:pPr>
            <w:r w:rsidRPr="00602824">
              <w:rPr>
                <w:rFonts w:asciiTheme="majorHAnsi" w:eastAsia="Segoe UI" w:hAnsiTheme="majorHAnsi" w:cstheme="majorHAnsi"/>
                <w:color w:val="F25E21" w:themeColor="accent2"/>
              </w:rPr>
              <w:t>Measure 1.1</w:t>
            </w:r>
            <w:r w:rsidRPr="00602824">
              <w:rPr>
                <w:rFonts w:eastAsia="Segoe UI"/>
              </w:rPr>
              <w:t>: Change in PL benefits</w:t>
            </w:r>
          </w:p>
          <w:p w14:paraId="7391B27F" w14:textId="77777777" w:rsidR="003C11B5" w:rsidRPr="00602824" w:rsidRDefault="003C11B5" w:rsidP="00FB712C">
            <w:pPr>
              <w:pStyle w:val="TableNBullet"/>
              <w:spacing w:before="60" w:after="60"/>
              <w:rPr>
                <w:rFonts w:eastAsia="Segoe UI"/>
              </w:rPr>
            </w:pPr>
            <w:r w:rsidRPr="00602824">
              <w:rPr>
                <w:rFonts w:asciiTheme="majorHAnsi" w:eastAsia="Segoe UI" w:hAnsiTheme="majorHAnsi" w:cstheme="majorBidi"/>
                <w:color w:val="F25E21" w:themeColor="accent2"/>
              </w:rPr>
              <w:t>Measure 1.2</w:t>
            </w:r>
            <w:r w:rsidRPr="00602824">
              <w:rPr>
                <w:rFonts w:eastAsia="Segoe UI"/>
              </w:rPr>
              <w:t>: Benefit reduction methodology</w:t>
            </w:r>
          </w:p>
        </w:tc>
      </w:tr>
      <w:tr w:rsidR="003C11B5" w:rsidRPr="00602824" w14:paraId="2B52E485" w14:textId="77777777" w:rsidTr="00FB712C">
        <w:tc>
          <w:tcPr>
            <w:tcW w:w="0" w:type="dxa"/>
            <w:vMerge/>
          </w:tcPr>
          <w:p w14:paraId="5251359A"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tcPr>
          <w:p w14:paraId="10822C51" w14:textId="77777777" w:rsidR="003C11B5" w:rsidRPr="00602824" w:rsidRDefault="003C11B5" w:rsidP="00FB712C">
            <w:pPr>
              <w:pStyle w:val="TableNText"/>
              <w:keepNext w:val="0"/>
              <w:keepLines/>
              <w:spacing w:before="60" w:after="60" w:line="240" w:lineRule="auto"/>
              <w:jc w:val="center"/>
            </w:pPr>
            <w:r w:rsidRPr="00602824">
              <w:t>2</w:t>
            </w:r>
          </w:p>
        </w:tc>
        <w:tc>
          <w:tcPr>
            <w:tcW w:w="0" w:type="dxa"/>
          </w:tcPr>
          <w:p w14:paraId="6CEACAF5" w14:textId="77777777" w:rsidR="003C11B5" w:rsidRPr="00602824" w:rsidRDefault="003C11B5" w:rsidP="00FB712C">
            <w:pPr>
              <w:pStyle w:val="TableNText"/>
              <w:keepLines/>
              <w:spacing w:before="60" w:after="60" w:line="240" w:lineRule="auto"/>
            </w:pPr>
            <w:r w:rsidRPr="00602824">
              <w:rPr>
                <w:rFonts w:asciiTheme="majorHAnsi" w:eastAsia="Segoe UI" w:hAnsiTheme="majorHAnsi" w:cstheme="majorHAnsi"/>
              </w:rPr>
              <w:t>Indicator 2</w:t>
            </w:r>
            <w:r w:rsidRPr="00602824">
              <w:rPr>
                <w:rFonts w:eastAsia="Segoe UI"/>
              </w:rPr>
              <w:t>: Change in the size of the gap between PL benefits and prices paid in more competitive markets</w:t>
            </w:r>
          </w:p>
        </w:tc>
        <w:tc>
          <w:tcPr>
            <w:tcW w:w="6662" w:type="dxa"/>
          </w:tcPr>
          <w:p w14:paraId="0679074D" w14:textId="77777777" w:rsidR="003C11B5" w:rsidRPr="00602824" w:rsidRDefault="003C11B5" w:rsidP="00FB712C">
            <w:pPr>
              <w:pStyle w:val="TableNBullet"/>
              <w:spacing w:before="60" w:after="60"/>
            </w:pPr>
            <w:r w:rsidRPr="00602824">
              <w:rPr>
                <w:rFonts w:asciiTheme="majorHAnsi" w:hAnsiTheme="majorHAnsi" w:cstheme="majorHAnsi"/>
                <w:color w:val="F25E21" w:themeColor="accent2"/>
              </w:rPr>
              <w:t>Measure 2.1</w:t>
            </w:r>
            <w:r w:rsidRPr="00602824">
              <w:t>: Overall savings associated with benefit reductions</w:t>
            </w:r>
          </w:p>
          <w:p w14:paraId="6C19D6D5" w14:textId="77777777" w:rsidR="003C11B5" w:rsidRPr="00602824" w:rsidRDefault="003C11B5" w:rsidP="00FB712C">
            <w:pPr>
              <w:pStyle w:val="TableNBullet"/>
              <w:spacing w:before="60" w:after="60"/>
            </w:pPr>
            <w:r w:rsidRPr="00602824">
              <w:rPr>
                <w:rFonts w:asciiTheme="majorHAnsi" w:hAnsiTheme="majorHAnsi" w:cstheme="majorHAnsi"/>
                <w:color w:val="F25E21" w:themeColor="accent2"/>
              </w:rPr>
              <w:t>Measure 2.2</w:t>
            </w:r>
            <w:r w:rsidRPr="00602824">
              <w:t>: Gap between PL benefits and prices in Australian public hospitals</w:t>
            </w:r>
          </w:p>
          <w:p w14:paraId="36539C9F" w14:textId="77777777" w:rsidR="003C11B5" w:rsidRPr="00602824" w:rsidRDefault="003C11B5" w:rsidP="00FB712C">
            <w:pPr>
              <w:pStyle w:val="TableNBullet"/>
              <w:spacing w:before="60" w:after="60"/>
            </w:pPr>
            <w:r w:rsidRPr="00602824">
              <w:rPr>
                <w:rFonts w:asciiTheme="majorHAnsi" w:hAnsiTheme="majorHAnsi" w:cstheme="majorBidi"/>
                <w:color w:val="F25E21" w:themeColor="accent2"/>
              </w:rPr>
              <w:t>Measure 2.3</w:t>
            </w:r>
            <w:r w:rsidRPr="00602824">
              <w:t>: Gap between PL benefits and prices on the Liste des Produits et Prestations (LPP) and Pharmac Hospital Medical Devices Schedule</w:t>
            </w:r>
          </w:p>
          <w:p w14:paraId="40AC4153" w14:textId="77777777" w:rsidR="003C11B5" w:rsidRPr="00602824" w:rsidRDefault="003C11B5" w:rsidP="00FB712C">
            <w:pPr>
              <w:pStyle w:val="TableNBullet"/>
              <w:spacing w:before="60" w:after="60"/>
            </w:pPr>
            <w:r w:rsidRPr="00602824">
              <w:rPr>
                <w:rFonts w:asciiTheme="majorHAnsi" w:hAnsiTheme="majorHAnsi" w:cstheme="majorHAnsi"/>
                <w:color w:val="F25E21" w:themeColor="accent2"/>
              </w:rPr>
              <w:t>Measure 2.4</w:t>
            </w:r>
            <w:r w:rsidRPr="00602824">
              <w:t>: Stakeholder perspectives on the gap between PL benefits and prices in more competitive markets</w:t>
            </w:r>
          </w:p>
        </w:tc>
      </w:tr>
      <w:tr w:rsidR="003C11B5" w:rsidRPr="00602824" w14:paraId="0433B63F" w14:textId="77777777" w:rsidTr="00FB712C">
        <w:tc>
          <w:tcPr>
            <w:tcW w:w="0" w:type="dxa"/>
            <w:vMerge w:val="restart"/>
          </w:tcPr>
          <w:p w14:paraId="26159437"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r w:rsidRPr="00A33D50">
              <w:rPr>
                <w:rFonts w:asciiTheme="majorHAnsi" w:eastAsia="Segoe UI" w:hAnsiTheme="majorHAnsi" w:cstheme="majorHAnsi"/>
              </w:rPr>
              <w:t>2. Maintain no additional out-of-pocket costs associated with the PL devices for consumers</w:t>
            </w:r>
          </w:p>
        </w:tc>
        <w:tc>
          <w:tcPr>
            <w:tcW w:w="0" w:type="dxa"/>
          </w:tcPr>
          <w:p w14:paraId="24E3C9EA" w14:textId="77777777" w:rsidR="003C11B5" w:rsidRPr="00602824" w:rsidRDefault="003C11B5" w:rsidP="00FB712C">
            <w:pPr>
              <w:pStyle w:val="TableNText"/>
              <w:keepNext w:val="0"/>
              <w:keepLines/>
              <w:spacing w:before="60" w:after="60" w:line="240" w:lineRule="auto"/>
              <w:jc w:val="center"/>
            </w:pPr>
            <w:r w:rsidRPr="00602824">
              <w:t>1</w:t>
            </w:r>
          </w:p>
        </w:tc>
        <w:tc>
          <w:tcPr>
            <w:tcW w:w="0" w:type="dxa"/>
          </w:tcPr>
          <w:p w14:paraId="51C5D7DE" w14:textId="77777777" w:rsidR="003C11B5" w:rsidRPr="00602824" w:rsidRDefault="003C11B5" w:rsidP="00FB712C">
            <w:pPr>
              <w:pStyle w:val="TableNText"/>
              <w:keepLines/>
              <w:spacing w:before="60" w:after="60" w:line="240" w:lineRule="auto"/>
              <w:rPr>
                <w:i/>
                <w:iCs/>
              </w:rPr>
            </w:pPr>
            <w:r w:rsidRPr="00602824">
              <w:rPr>
                <w:i/>
                <w:iCs/>
              </w:rPr>
              <w:t>No activity directly associated</w:t>
            </w:r>
          </w:p>
        </w:tc>
        <w:tc>
          <w:tcPr>
            <w:tcW w:w="6662" w:type="dxa"/>
          </w:tcPr>
          <w:p w14:paraId="2DF752E4" w14:textId="77777777" w:rsidR="003C11B5" w:rsidRPr="00602824" w:rsidRDefault="003C11B5" w:rsidP="00FB712C">
            <w:pPr>
              <w:pStyle w:val="TableNBullet"/>
              <w:numPr>
                <w:ilvl w:val="0"/>
                <w:numId w:val="0"/>
              </w:numPr>
              <w:spacing w:before="60" w:after="60"/>
            </w:pPr>
          </w:p>
        </w:tc>
      </w:tr>
      <w:tr w:rsidR="003C11B5" w:rsidRPr="00602824" w14:paraId="6FC4485F" w14:textId="77777777" w:rsidTr="00FB712C">
        <w:tc>
          <w:tcPr>
            <w:tcW w:w="0" w:type="dxa"/>
            <w:vMerge/>
          </w:tcPr>
          <w:p w14:paraId="4EE331F4" w14:textId="77777777" w:rsidR="003C11B5" w:rsidRPr="00A33D50" w:rsidRDefault="003C11B5" w:rsidP="00FB712C">
            <w:pPr>
              <w:pStyle w:val="TableNText"/>
              <w:keepNext w:val="0"/>
              <w:keepLines/>
              <w:spacing w:before="60" w:after="60" w:line="240" w:lineRule="auto"/>
              <w:rPr>
                <w:rFonts w:asciiTheme="majorHAnsi" w:hAnsiTheme="majorHAnsi" w:cstheme="majorHAnsi"/>
              </w:rPr>
            </w:pPr>
          </w:p>
        </w:tc>
        <w:tc>
          <w:tcPr>
            <w:tcW w:w="0" w:type="dxa"/>
          </w:tcPr>
          <w:p w14:paraId="7D0037C7" w14:textId="77777777" w:rsidR="003C11B5" w:rsidRPr="00602824" w:rsidRDefault="003C11B5" w:rsidP="00FB712C">
            <w:pPr>
              <w:pStyle w:val="TableNText"/>
              <w:keepNext w:val="0"/>
              <w:keepLines/>
              <w:spacing w:before="60" w:after="60" w:line="240" w:lineRule="auto"/>
              <w:jc w:val="center"/>
            </w:pPr>
            <w:r w:rsidRPr="00602824">
              <w:t>2</w:t>
            </w:r>
          </w:p>
        </w:tc>
        <w:tc>
          <w:tcPr>
            <w:tcW w:w="0" w:type="dxa"/>
          </w:tcPr>
          <w:p w14:paraId="0C68BAD7" w14:textId="77777777" w:rsidR="003C11B5" w:rsidRPr="00602824" w:rsidRDefault="003C11B5" w:rsidP="00FB712C">
            <w:pPr>
              <w:pStyle w:val="TableNText"/>
              <w:keepLines/>
              <w:spacing w:before="60" w:after="60" w:line="240" w:lineRule="auto"/>
            </w:pPr>
            <w:r w:rsidRPr="00602824">
              <w:rPr>
                <w:rFonts w:asciiTheme="majorHAnsi" w:hAnsiTheme="majorHAnsi" w:cstheme="majorHAnsi"/>
              </w:rPr>
              <w:t>Indicator 3</w:t>
            </w:r>
            <w:r w:rsidRPr="00602824">
              <w:t>: Change in out-of-pocket expenses related to PL items</w:t>
            </w:r>
          </w:p>
        </w:tc>
        <w:tc>
          <w:tcPr>
            <w:tcW w:w="6662" w:type="dxa"/>
          </w:tcPr>
          <w:p w14:paraId="28D4932A" w14:textId="77777777" w:rsidR="003C11B5" w:rsidRPr="00602824" w:rsidRDefault="003C11B5" w:rsidP="00FB712C">
            <w:pPr>
              <w:pStyle w:val="TableNBullet"/>
              <w:spacing w:before="60" w:after="60"/>
            </w:pPr>
            <w:r w:rsidRPr="00602824">
              <w:rPr>
                <w:rFonts w:asciiTheme="majorHAnsi" w:hAnsiTheme="majorHAnsi" w:cstheme="majorHAnsi"/>
                <w:color w:val="F25E21" w:themeColor="accent2"/>
              </w:rPr>
              <w:t>Measure 3.1</w:t>
            </w:r>
            <w:r w:rsidRPr="00602824">
              <w:t>: Prevalence of a gap payment for PL items</w:t>
            </w:r>
          </w:p>
          <w:p w14:paraId="7E1E698D" w14:textId="77777777" w:rsidR="003C11B5" w:rsidRPr="00602824" w:rsidRDefault="003C11B5" w:rsidP="00FB712C">
            <w:pPr>
              <w:pStyle w:val="TableNBullet"/>
              <w:spacing w:before="60" w:after="60"/>
            </w:pPr>
            <w:r w:rsidRPr="00602824">
              <w:rPr>
                <w:rFonts w:asciiTheme="majorHAnsi" w:hAnsiTheme="majorHAnsi" w:cstheme="majorHAnsi"/>
                <w:color w:val="F25E21" w:themeColor="accent2"/>
              </w:rPr>
              <w:t>Measure 3.2</w:t>
            </w:r>
            <w:r w:rsidRPr="00602824">
              <w:t>: Average gap payment for PL-listed items</w:t>
            </w:r>
          </w:p>
        </w:tc>
      </w:tr>
      <w:tr w:rsidR="003C11B5" w:rsidRPr="004A357C" w14:paraId="692F270D" w14:textId="77777777" w:rsidTr="00FB712C">
        <w:tc>
          <w:tcPr>
            <w:tcW w:w="0" w:type="dxa"/>
            <w:vMerge w:val="restart"/>
          </w:tcPr>
          <w:p w14:paraId="581951FB"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r w:rsidRPr="00A33D50">
              <w:rPr>
                <w:rFonts w:asciiTheme="majorHAnsi" w:eastAsia="Segoe UI" w:hAnsiTheme="majorHAnsi" w:cstheme="majorHAnsi"/>
              </w:rPr>
              <w:t>3. Maintain clinician choice of appropriate prostheses for their patients</w:t>
            </w:r>
          </w:p>
        </w:tc>
        <w:tc>
          <w:tcPr>
            <w:tcW w:w="0" w:type="dxa"/>
          </w:tcPr>
          <w:p w14:paraId="5E6AF28F" w14:textId="77777777" w:rsidR="003C11B5" w:rsidRPr="004A357C" w:rsidRDefault="003C11B5" w:rsidP="00FB712C">
            <w:pPr>
              <w:pStyle w:val="TableNText"/>
              <w:keepNext w:val="0"/>
              <w:keepLines/>
              <w:spacing w:before="60" w:after="60" w:line="240" w:lineRule="auto"/>
              <w:jc w:val="center"/>
            </w:pPr>
            <w:r w:rsidRPr="004A357C">
              <w:t>1</w:t>
            </w:r>
          </w:p>
        </w:tc>
        <w:tc>
          <w:tcPr>
            <w:tcW w:w="0" w:type="dxa"/>
          </w:tcPr>
          <w:p w14:paraId="47E832C3" w14:textId="77777777" w:rsidR="003C11B5" w:rsidRPr="004A357C" w:rsidRDefault="003C11B5" w:rsidP="00FB712C">
            <w:pPr>
              <w:pStyle w:val="TableNText"/>
              <w:keepLines/>
              <w:spacing w:before="60" w:after="60" w:line="240" w:lineRule="auto"/>
              <w:rPr>
                <w:rFonts w:eastAsia="Segoe UI"/>
              </w:rPr>
            </w:pPr>
            <w:r w:rsidRPr="004A357C">
              <w:rPr>
                <w:i/>
                <w:iCs/>
              </w:rPr>
              <w:t>No activity directly associated</w:t>
            </w:r>
          </w:p>
        </w:tc>
        <w:tc>
          <w:tcPr>
            <w:tcW w:w="6662" w:type="dxa"/>
          </w:tcPr>
          <w:p w14:paraId="31F04260" w14:textId="77777777" w:rsidR="003C11B5" w:rsidRPr="004A357C" w:rsidRDefault="003C11B5" w:rsidP="00FB712C">
            <w:pPr>
              <w:pStyle w:val="TableNBullet"/>
              <w:numPr>
                <w:ilvl w:val="0"/>
                <w:numId w:val="0"/>
              </w:numPr>
              <w:spacing w:before="60" w:after="60"/>
              <w:ind w:left="227"/>
              <w:rPr>
                <w:rFonts w:eastAsia="Segoe UI"/>
              </w:rPr>
            </w:pPr>
          </w:p>
        </w:tc>
      </w:tr>
      <w:tr w:rsidR="003C11B5" w:rsidRPr="004A357C" w14:paraId="762560F9" w14:textId="77777777" w:rsidTr="00FB712C">
        <w:tc>
          <w:tcPr>
            <w:tcW w:w="0" w:type="dxa"/>
            <w:vMerge/>
          </w:tcPr>
          <w:p w14:paraId="50FA172E"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vMerge w:val="restart"/>
          </w:tcPr>
          <w:p w14:paraId="25582A69" w14:textId="77777777" w:rsidR="003C11B5" w:rsidRPr="004A357C" w:rsidRDefault="003C11B5" w:rsidP="00FB712C">
            <w:pPr>
              <w:pStyle w:val="TableNText"/>
              <w:keepNext w:val="0"/>
              <w:keepLines/>
              <w:spacing w:before="60" w:after="60" w:line="240" w:lineRule="auto"/>
              <w:jc w:val="center"/>
            </w:pPr>
            <w:r w:rsidRPr="004A357C">
              <w:t>2</w:t>
            </w:r>
          </w:p>
        </w:tc>
        <w:tc>
          <w:tcPr>
            <w:tcW w:w="0" w:type="dxa"/>
          </w:tcPr>
          <w:p w14:paraId="425FCACC"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4</w:t>
            </w:r>
            <w:r w:rsidRPr="004A357C">
              <w:rPr>
                <w:rFonts w:eastAsia="Segoe UI"/>
              </w:rPr>
              <w:t>: Change in clinician experience of choosing prostheses</w:t>
            </w:r>
          </w:p>
        </w:tc>
        <w:tc>
          <w:tcPr>
            <w:tcW w:w="6662" w:type="dxa"/>
          </w:tcPr>
          <w:p w14:paraId="6FF3C6FA"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4.1</w:t>
            </w:r>
            <w:r w:rsidRPr="004A357C">
              <w:rPr>
                <w:rFonts w:eastAsia="Segoe UI"/>
              </w:rPr>
              <w:t>: Clinician perspectives on the level of clinician choice</w:t>
            </w:r>
          </w:p>
        </w:tc>
      </w:tr>
      <w:tr w:rsidR="003C11B5" w:rsidRPr="004A357C" w14:paraId="2899EE2F" w14:textId="77777777" w:rsidTr="00FB712C">
        <w:tc>
          <w:tcPr>
            <w:tcW w:w="0" w:type="dxa"/>
            <w:vMerge/>
          </w:tcPr>
          <w:p w14:paraId="13062FEA"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vMerge/>
          </w:tcPr>
          <w:p w14:paraId="6F68D66F" w14:textId="77777777" w:rsidR="003C11B5" w:rsidRPr="004A357C" w:rsidRDefault="003C11B5" w:rsidP="00FB712C">
            <w:pPr>
              <w:pStyle w:val="TableNText"/>
              <w:keepNext w:val="0"/>
              <w:keepLines/>
              <w:spacing w:before="60" w:after="60" w:line="240" w:lineRule="auto"/>
              <w:jc w:val="center"/>
            </w:pPr>
          </w:p>
        </w:tc>
        <w:tc>
          <w:tcPr>
            <w:tcW w:w="0" w:type="dxa"/>
          </w:tcPr>
          <w:p w14:paraId="23F74388"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5</w:t>
            </w:r>
            <w:r w:rsidRPr="004A357C">
              <w:rPr>
                <w:rFonts w:eastAsia="Segoe UI"/>
              </w:rPr>
              <w:t xml:space="preserve">: Change in utilisation of PL items  </w:t>
            </w:r>
          </w:p>
        </w:tc>
        <w:tc>
          <w:tcPr>
            <w:tcW w:w="6662" w:type="dxa"/>
          </w:tcPr>
          <w:p w14:paraId="5FE67EC3"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5.1</w:t>
            </w:r>
            <w:r w:rsidRPr="004A357C">
              <w:rPr>
                <w:rFonts w:eastAsia="Segoe UI"/>
              </w:rPr>
              <w:t>: Utilisation of PL items</w:t>
            </w:r>
          </w:p>
        </w:tc>
      </w:tr>
      <w:tr w:rsidR="003C11B5" w:rsidRPr="004A357C" w14:paraId="0DD5381D" w14:textId="77777777" w:rsidTr="00FB712C">
        <w:tc>
          <w:tcPr>
            <w:tcW w:w="0" w:type="dxa"/>
            <w:vMerge w:val="restart"/>
          </w:tcPr>
          <w:p w14:paraId="345357C4"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r w:rsidRPr="00A33D50">
              <w:rPr>
                <w:rFonts w:asciiTheme="majorHAnsi" w:eastAsia="Segoe UI" w:hAnsiTheme="majorHAnsi" w:cstheme="majorHAnsi"/>
              </w:rPr>
              <w:t>4. Improve the affordability and value of private health insurance for privately insured Australians</w:t>
            </w:r>
          </w:p>
        </w:tc>
        <w:tc>
          <w:tcPr>
            <w:tcW w:w="0" w:type="dxa"/>
          </w:tcPr>
          <w:p w14:paraId="7C5ADA1C" w14:textId="77777777" w:rsidR="003C11B5" w:rsidRPr="004A357C" w:rsidRDefault="003C11B5" w:rsidP="00FB712C">
            <w:pPr>
              <w:pStyle w:val="TableNText"/>
              <w:keepNext w:val="0"/>
              <w:keepLines/>
              <w:spacing w:before="60" w:after="60" w:line="240" w:lineRule="auto"/>
              <w:jc w:val="center"/>
            </w:pPr>
            <w:r w:rsidRPr="004A357C">
              <w:t>1</w:t>
            </w:r>
          </w:p>
        </w:tc>
        <w:tc>
          <w:tcPr>
            <w:tcW w:w="0" w:type="dxa"/>
          </w:tcPr>
          <w:p w14:paraId="446E5131" w14:textId="77777777" w:rsidR="003C11B5" w:rsidRPr="004A357C" w:rsidRDefault="003C11B5" w:rsidP="00FB712C">
            <w:pPr>
              <w:pStyle w:val="TableNText"/>
              <w:keepLines/>
              <w:spacing w:before="60" w:after="60" w:line="240" w:lineRule="auto"/>
              <w:rPr>
                <w:rFonts w:eastAsia="Segoe UI"/>
              </w:rPr>
            </w:pPr>
            <w:r w:rsidRPr="004A357C">
              <w:rPr>
                <w:i/>
                <w:iCs/>
              </w:rPr>
              <w:t>No activity directly associated</w:t>
            </w:r>
          </w:p>
        </w:tc>
        <w:tc>
          <w:tcPr>
            <w:tcW w:w="6662" w:type="dxa"/>
          </w:tcPr>
          <w:p w14:paraId="572DA9BA" w14:textId="77777777" w:rsidR="003C11B5" w:rsidRPr="004A357C" w:rsidRDefault="003C11B5" w:rsidP="00FB712C">
            <w:pPr>
              <w:pStyle w:val="TableNBullet"/>
              <w:numPr>
                <w:ilvl w:val="0"/>
                <w:numId w:val="0"/>
              </w:numPr>
              <w:spacing w:before="60" w:after="60"/>
              <w:rPr>
                <w:rFonts w:eastAsia="Segoe UI"/>
              </w:rPr>
            </w:pPr>
          </w:p>
        </w:tc>
      </w:tr>
      <w:tr w:rsidR="003C11B5" w:rsidRPr="004A357C" w14:paraId="5BC13BF0" w14:textId="77777777" w:rsidTr="00FB712C">
        <w:tc>
          <w:tcPr>
            <w:tcW w:w="0" w:type="dxa"/>
            <w:vMerge/>
          </w:tcPr>
          <w:p w14:paraId="47D66775"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vMerge w:val="restart"/>
          </w:tcPr>
          <w:p w14:paraId="074BD2D1" w14:textId="77777777" w:rsidR="003C11B5" w:rsidRPr="004A357C" w:rsidRDefault="003C11B5" w:rsidP="00FB712C">
            <w:pPr>
              <w:pStyle w:val="TableNText"/>
              <w:keepNext w:val="0"/>
              <w:keepLines/>
              <w:spacing w:before="60" w:after="60" w:line="240" w:lineRule="auto"/>
              <w:jc w:val="center"/>
            </w:pPr>
            <w:r w:rsidRPr="004A357C">
              <w:t>2</w:t>
            </w:r>
          </w:p>
        </w:tc>
        <w:tc>
          <w:tcPr>
            <w:tcW w:w="0" w:type="dxa"/>
          </w:tcPr>
          <w:p w14:paraId="02E35134"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6</w:t>
            </w:r>
            <w:r w:rsidRPr="004A357C">
              <w:rPr>
                <w:rFonts w:eastAsia="Segoe UI"/>
              </w:rPr>
              <w:t>: Change in PHI premium increases</w:t>
            </w:r>
          </w:p>
        </w:tc>
        <w:tc>
          <w:tcPr>
            <w:tcW w:w="6662" w:type="dxa"/>
          </w:tcPr>
          <w:p w14:paraId="65AEF0FC"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6.1</w:t>
            </w:r>
            <w:r w:rsidRPr="004A357C">
              <w:rPr>
                <w:rFonts w:eastAsia="Segoe UI"/>
              </w:rPr>
              <w:t>: PHI premium price changes over time</w:t>
            </w:r>
          </w:p>
          <w:p w14:paraId="035FDD21"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6.2</w:t>
            </w:r>
            <w:r w:rsidRPr="004A357C">
              <w:rPr>
                <w:rFonts w:eastAsia="Segoe UI"/>
              </w:rPr>
              <w:t>: Change in PHI premiums related to PL item expenditure</w:t>
            </w:r>
          </w:p>
          <w:p w14:paraId="0FB2DC7C"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6.3</w:t>
            </w:r>
            <w:r w:rsidRPr="004A357C">
              <w:rPr>
                <w:rFonts w:eastAsia="Segoe UI"/>
              </w:rPr>
              <w:t>: Stakeholder perspectives on the drivers of change in PHI premiums</w:t>
            </w:r>
          </w:p>
        </w:tc>
      </w:tr>
      <w:tr w:rsidR="003C11B5" w:rsidRPr="004A357C" w14:paraId="31A16FE1" w14:textId="77777777" w:rsidTr="00FB712C">
        <w:tc>
          <w:tcPr>
            <w:tcW w:w="0" w:type="dxa"/>
            <w:vMerge/>
          </w:tcPr>
          <w:p w14:paraId="1F255D8D"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vMerge/>
          </w:tcPr>
          <w:p w14:paraId="7782AB42" w14:textId="77777777" w:rsidR="003C11B5" w:rsidRPr="004A357C" w:rsidRDefault="003C11B5" w:rsidP="00FB712C">
            <w:pPr>
              <w:pStyle w:val="TableNText"/>
              <w:keepNext w:val="0"/>
              <w:keepLines/>
              <w:spacing w:before="60" w:after="60" w:line="240" w:lineRule="auto"/>
              <w:jc w:val="center"/>
            </w:pPr>
          </w:p>
        </w:tc>
        <w:tc>
          <w:tcPr>
            <w:tcW w:w="0" w:type="dxa"/>
          </w:tcPr>
          <w:p w14:paraId="6AF0F64A"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7</w:t>
            </w:r>
            <w:r w:rsidRPr="004A357C">
              <w:rPr>
                <w:rFonts w:eastAsia="Segoe UI"/>
              </w:rPr>
              <w:t>: Change in PHI coverage and for whom</w:t>
            </w:r>
          </w:p>
        </w:tc>
        <w:tc>
          <w:tcPr>
            <w:tcW w:w="6662" w:type="dxa"/>
          </w:tcPr>
          <w:p w14:paraId="392563B4"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7.1</w:t>
            </w:r>
            <w:r w:rsidRPr="004A357C">
              <w:rPr>
                <w:rFonts w:eastAsia="Segoe UI"/>
              </w:rPr>
              <w:t>: PHI coverage by demographic group</w:t>
            </w:r>
          </w:p>
          <w:p w14:paraId="6A6EBCBE"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7.2</w:t>
            </w:r>
            <w:r w:rsidRPr="004A357C">
              <w:rPr>
                <w:rFonts w:eastAsia="Segoe UI"/>
              </w:rPr>
              <w:t>: Utilisation of PL items by privately insured patients</w:t>
            </w:r>
          </w:p>
          <w:p w14:paraId="354BA263"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7.3</w:t>
            </w:r>
            <w:r w:rsidRPr="004A357C">
              <w:rPr>
                <w:rFonts w:eastAsia="Segoe UI"/>
              </w:rPr>
              <w:t>: Stakeholder perspectives on the drivers of change in PHI coverage</w:t>
            </w:r>
          </w:p>
        </w:tc>
      </w:tr>
      <w:tr w:rsidR="003C11B5" w:rsidRPr="004A357C" w14:paraId="0EE96317" w14:textId="77777777" w:rsidTr="00FB712C">
        <w:tc>
          <w:tcPr>
            <w:tcW w:w="0" w:type="dxa"/>
            <w:vMerge w:val="restart"/>
          </w:tcPr>
          <w:p w14:paraId="194DE242"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r w:rsidRPr="00A33D50">
              <w:rPr>
                <w:rFonts w:asciiTheme="majorHAnsi" w:eastAsia="Segoe UI" w:hAnsiTheme="majorHAnsi" w:cstheme="majorHAnsi"/>
              </w:rPr>
              <w:t>5. Clarify the purpose, definition, and scope of the PL in legislation</w:t>
            </w:r>
          </w:p>
        </w:tc>
        <w:tc>
          <w:tcPr>
            <w:tcW w:w="0" w:type="dxa"/>
            <w:vMerge w:val="restart"/>
          </w:tcPr>
          <w:p w14:paraId="5BEDB772" w14:textId="77777777" w:rsidR="003C11B5" w:rsidRPr="004A357C" w:rsidRDefault="003C11B5" w:rsidP="00FB712C">
            <w:pPr>
              <w:pStyle w:val="TableNText"/>
              <w:keepNext w:val="0"/>
              <w:keepLines/>
              <w:spacing w:before="60" w:after="60" w:line="240" w:lineRule="auto"/>
              <w:jc w:val="center"/>
            </w:pPr>
            <w:r w:rsidRPr="004A357C">
              <w:t>1</w:t>
            </w:r>
          </w:p>
        </w:tc>
        <w:tc>
          <w:tcPr>
            <w:tcW w:w="0" w:type="dxa"/>
          </w:tcPr>
          <w:p w14:paraId="49A37677"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8</w:t>
            </w:r>
            <w:r w:rsidRPr="004A357C">
              <w:rPr>
                <w:rFonts w:eastAsia="Segoe UI"/>
              </w:rPr>
              <w:t>: Legislative changes to the PL</w:t>
            </w:r>
          </w:p>
        </w:tc>
        <w:tc>
          <w:tcPr>
            <w:tcW w:w="6662" w:type="dxa"/>
          </w:tcPr>
          <w:p w14:paraId="1F049C35"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Bidi"/>
                <w:color w:val="F25E21" w:themeColor="accent2"/>
              </w:rPr>
              <w:t>Measure 8.1</w:t>
            </w:r>
            <w:r w:rsidRPr="004A357C">
              <w:rPr>
                <w:rFonts w:eastAsia="Segoe UI"/>
              </w:rPr>
              <w:t>: Description of the PL's purpose, definition and scope in legislation</w:t>
            </w:r>
          </w:p>
        </w:tc>
      </w:tr>
      <w:tr w:rsidR="003C11B5" w:rsidRPr="004A357C" w14:paraId="7236C059" w14:textId="77777777" w:rsidTr="00FB712C">
        <w:tc>
          <w:tcPr>
            <w:tcW w:w="0" w:type="dxa"/>
            <w:vMerge/>
          </w:tcPr>
          <w:p w14:paraId="2A8B27EC"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vMerge/>
          </w:tcPr>
          <w:p w14:paraId="378755E9" w14:textId="77777777" w:rsidR="003C11B5" w:rsidRPr="004A357C" w:rsidRDefault="003C11B5" w:rsidP="00FB712C">
            <w:pPr>
              <w:pStyle w:val="TableNText"/>
              <w:keepNext w:val="0"/>
              <w:keepLines/>
              <w:spacing w:before="60" w:after="60" w:line="240" w:lineRule="auto"/>
              <w:jc w:val="center"/>
            </w:pPr>
          </w:p>
        </w:tc>
        <w:tc>
          <w:tcPr>
            <w:tcW w:w="0" w:type="dxa"/>
          </w:tcPr>
          <w:p w14:paraId="5DF7A8EE"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9</w:t>
            </w:r>
            <w:r w:rsidRPr="004A357C">
              <w:rPr>
                <w:rFonts w:eastAsia="Segoe UI"/>
              </w:rPr>
              <w:t>: Implementation of PL regrouping</w:t>
            </w:r>
          </w:p>
        </w:tc>
        <w:tc>
          <w:tcPr>
            <w:tcW w:w="6662" w:type="dxa"/>
          </w:tcPr>
          <w:p w14:paraId="011891C6"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9.1</w:t>
            </w:r>
            <w:r w:rsidRPr="004A357C">
              <w:rPr>
                <w:rFonts w:eastAsia="Segoe UI"/>
              </w:rPr>
              <w:t>: Changes made to the PL grouping structure and PL item categorisation</w:t>
            </w:r>
          </w:p>
          <w:p w14:paraId="269D0E35"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9.2</w:t>
            </w:r>
            <w:r w:rsidRPr="004A357C">
              <w:rPr>
                <w:rFonts w:eastAsia="Segoe UI"/>
              </w:rPr>
              <w:t>: Number of PL items and benefit groups</w:t>
            </w:r>
          </w:p>
        </w:tc>
      </w:tr>
      <w:tr w:rsidR="003C11B5" w:rsidRPr="004A357C" w14:paraId="259B5D8E" w14:textId="77777777" w:rsidTr="00FB712C">
        <w:tc>
          <w:tcPr>
            <w:tcW w:w="0" w:type="dxa"/>
            <w:vMerge/>
          </w:tcPr>
          <w:p w14:paraId="397E0B69"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vMerge/>
          </w:tcPr>
          <w:p w14:paraId="33887AC2" w14:textId="77777777" w:rsidR="003C11B5" w:rsidRPr="004A357C" w:rsidRDefault="003C11B5" w:rsidP="00FB712C">
            <w:pPr>
              <w:pStyle w:val="TableNText"/>
              <w:keepNext w:val="0"/>
              <w:keepLines/>
              <w:spacing w:before="60" w:after="60" w:line="240" w:lineRule="auto"/>
              <w:jc w:val="center"/>
            </w:pPr>
          </w:p>
        </w:tc>
        <w:tc>
          <w:tcPr>
            <w:tcW w:w="0" w:type="dxa"/>
          </w:tcPr>
          <w:p w14:paraId="15DA467C"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Bidi"/>
              </w:rPr>
              <w:t>Indicator 10</w:t>
            </w:r>
            <w:r w:rsidRPr="004A357C">
              <w:rPr>
                <w:rFonts w:eastAsia="Segoe UI"/>
              </w:rPr>
              <w:t>: Implementation of changes to general use items</w:t>
            </w:r>
          </w:p>
        </w:tc>
        <w:tc>
          <w:tcPr>
            <w:tcW w:w="6662" w:type="dxa"/>
          </w:tcPr>
          <w:p w14:paraId="71CECD00"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Bidi"/>
                <w:color w:val="F25E21" w:themeColor="accent2"/>
              </w:rPr>
              <w:t>Measure 10.1</w:t>
            </w:r>
            <w:r w:rsidRPr="004A357C">
              <w:rPr>
                <w:rFonts w:eastAsia="Segoe UI"/>
              </w:rPr>
              <w:t>: Description of changes to general use items</w:t>
            </w:r>
          </w:p>
        </w:tc>
      </w:tr>
      <w:tr w:rsidR="003C11B5" w:rsidRPr="004A357C" w14:paraId="22809869" w14:textId="77777777" w:rsidTr="00FB712C">
        <w:tc>
          <w:tcPr>
            <w:tcW w:w="0" w:type="dxa"/>
            <w:vMerge/>
          </w:tcPr>
          <w:p w14:paraId="5460E16F"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vMerge w:val="restart"/>
          </w:tcPr>
          <w:p w14:paraId="23B538CA" w14:textId="77777777" w:rsidR="003C11B5" w:rsidRPr="004A357C" w:rsidRDefault="003C11B5" w:rsidP="00FB712C">
            <w:pPr>
              <w:pStyle w:val="TableNText"/>
              <w:keepNext w:val="0"/>
              <w:keepLines/>
              <w:spacing w:before="60" w:after="60" w:line="240" w:lineRule="auto"/>
              <w:jc w:val="center"/>
            </w:pPr>
            <w:r w:rsidRPr="004A357C">
              <w:t>2</w:t>
            </w:r>
          </w:p>
        </w:tc>
        <w:tc>
          <w:tcPr>
            <w:tcW w:w="0" w:type="dxa"/>
          </w:tcPr>
          <w:p w14:paraId="7A507293"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11</w:t>
            </w:r>
            <w:r w:rsidRPr="004A357C">
              <w:rPr>
                <w:rFonts w:eastAsia="Segoe UI"/>
              </w:rPr>
              <w:t>: Assessment of legislative changes to the PL</w:t>
            </w:r>
          </w:p>
        </w:tc>
        <w:tc>
          <w:tcPr>
            <w:tcW w:w="6662" w:type="dxa"/>
          </w:tcPr>
          <w:p w14:paraId="7B485F65"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Bidi"/>
                <w:color w:val="F25E21" w:themeColor="accent2"/>
              </w:rPr>
              <w:t>Measure 11.1</w:t>
            </w:r>
            <w:r w:rsidRPr="004A357C">
              <w:rPr>
                <w:rFonts w:eastAsia="Segoe UI"/>
              </w:rPr>
              <w:t>: Stakeholder perspectives on the level of clarity in the PL's purpose, definition and scope</w:t>
            </w:r>
          </w:p>
        </w:tc>
      </w:tr>
      <w:tr w:rsidR="003C11B5" w:rsidRPr="004A357C" w14:paraId="4DA98238" w14:textId="77777777" w:rsidTr="00FB712C">
        <w:tc>
          <w:tcPr>
            <w:tcW w:w="0" w:type="dxa"/>
            <w:vMerge/>
          </w:tcPr>
          <w:p w14:paraId="3A63AB38"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vMerge/>
          </w:tcPr>
          <w:p w14:paraId="1CAC4A3A" w14:textId="77777777" w:rsidR="003C11B5" w:rsidRPr="004A357C" w:rsidRDefault="003C11B5" w:rsidP="00FB712C">
            <w:pPr>
              <w:pStyle w:val="TableNText"/>
              <w:keepNext w:val="0"/>
              <w:keepLines/>
              <w:spacing w:before="60" w:after="60" w:line="240" w:lineRule="auto"/>
              <w:jc w:val="center"/>
            </w:pPr>
          </w:p>
        </w:tc>
        <w:tc>
          <w:tcPr>
            <w:tcW w:w="0" w:type="dxa"/>
          </w:tcPr>
          <w:p w14:paraId="18A86678"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12</w:t>
            </w:r>
            <w:r w:rsidRPr="004A357C">
              <w:rPr>
                <w:rFonts w:eastAsia="Segoe UI"/>
              </w:rPr>
              <w:t>: Assessment of PL regrouping</w:t>
            </w:r>
          </w:p>
        </w:tc>
        <w:tc>
          <w:tcPr>
            <w:tcW w:w="6662" w:type="dxa"/>
          </w:tcPr>
          <w:p w14:paraId="0F6FC371"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12.1</w:t>
            </w:r>
            <w:r w:rsidRPr="004A357C">
              <w:rPr>
                <w:rFonts w:eastAsia="Segoe UI"/>
              </w:rPr>
              <w:t>: Stakeholder perspectives on PL regrouping</w:t>
            </w:r>
          </w:p>
        </w:tc>
      </w:tr>
      <w:tr w:rsidR="003C11B5" w:rsidRPr="004A357C" w14:paraId="55DF5606" w14:textId="77777777" w:rsidTr="00FB712C">
        <w:tc>
          <w:tcPr>
            <w:tcW w:w="0" w:type="dxa"/>
            <w:vMerge/>
          </w:tcPr>
          <w:p w14:paraId="7AF572B6"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vMerge/>
          </w:tcPr>
          <w:p w14:paraId="353E9E30" w14:textId="77777777" w:rsidR="003C11B5" w:rsidRPr="004A357C" w:rsidRDefault="003C11B5" w:rsidP="00FB712C">
            <w:pPr>
              <w:pStyle w:val="TableNText"/>
              <w:keepNext w:val="0"/>
              <w:keepLines/>
              <w:spacing w:before="60" w:after="60" w:line="240" w:lineRule="auto"/>
              <w:jc w:val="center"/>
            </w:pPr>
          </w:p>
        </w:tc>
        <w:tc>
          <w:tcPr>
            <w:tcW w:w="0" w:type="dxa"/>
          </w:tcPr>
          <w:p w14:paraId="3E476AD5"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Bidi"/>
              </w:rPr>
              <w:t>Indicator 13</w:t>
            </w:r>
            <w:r w:rsidRPr="004A357C">
              <w:rPr>
                <w:rFonts w:eastAsia="Segoe UI"/>
              </w:rPr>
              <w:t>: Assessment of changes to general use items</w:t>
            </w:r>
          </w:p>
        </w:tc>
        <w:tc>
          <w:tcPr>
            <w:tcW w:w="6662" w:type="dxa"/>
          </w:tcPr>
          <w:p w14:paraId="54DA4D96"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Bidi"/>
                <w:color w:val="F25E21" w:themeColor="accent2"/>
              </w:rPr>
              <w:t>Measure 13.1</w:t>
            </w:r>
            <w:r w:rsidRPr="004A357C">
              <w:rPr>
                <w:rFonts w:eastAsia="Segoe UI"/>
              </w:rPr>
              <w:t>: Stakeholder perspectives on changes to general use items</w:t>
            </w:r>
          </w:p>
        </w:tc>
      </w:tr>
      <w:tr w:rsidR="003C11B5" w:rsidRPr="004A357C" w14:paraId="1D99718F" w14:textId="77777777" w:rsidTr="00FB712C">
        <w:tc>
          <w:tcPr>
            <w:tcW w:w="0" w:type="dxa"/>
            <w:vMerge w:val="restart"/>
          </w:tcPr>
          <w:p w14:paraId="73F3F88C"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r w:rsidRPr="00A33D50">
              <w:rPr>
                <w:rFonts w:asciiTheme="majorHAnsi" w:eastAsia="Segoe UI" w:hAnsiTheme="majorHAnsi" w:cstheme="majorHAnsi"/>
              </w:rPr>
              <w:t>6. Implement new PL assessment pathways aligned to Health Technology Assessment Policy Branch principles and streamline application process through simple and robust IT infrastructure</w:t>
            </w:r>
          </w:p>
        </w:tc>
        <w:tc>
          <w:tcPr>
            <w:tcW w:w="0" w:type="dxa"/>
          </w:tcPr>
          <w:p w14:paraId="719300ED" w14:textId="77777777" w:rsidR="003C11B5" w:rsidRPr="004A357C" w:rsidRDefault="003C11B5" w:rsidP="00FB712C">
            <w:pPr>
              <w:pStyle w:val="TableNText"/>
              <w:keepNext w:val="0"/>
              <w:keepLines/>
              <w:spacing w:before="60" w:after="60" w:line="240" w:lineRule="auto"/>
              <w:jc w:val="center"/>
            </w:pPr>
            <w:r w:rsidRPr="004A357C">
              <w:t>1</w:t>
            </w:r>
          </w:p>
        </w:tc>
        <w:tc>
          <w:tcPr>
            <w:tcW w:w="0" w:type="dxa"/>
          </w:tcPr>
          <w:p w14:paraId="2F977DDC"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14</w:t>
            </w:r>
            <w:r w:rsidRPr="004A357C">
              <w:rPr>
                <w:rFonts w:eastAsia="Segoe UI"/>
              </w:rPr>
              <w:t>: Implementation of new assessment processes</w:t>
            </w:r>
          </w:p>
        </w:tc>
        <w:tc>
          <w:tcPr>
            <w:tcW w:w="6662" w:type="dxa"/>
          </w:tcPr>
          <w:p w14:paraId="61C41AD7"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14.1</w:t>
            </w:r>
            <w:r w:rsidRPr="004A357C">
              <w:rPr>
                <w:rFonts w:eastAsia="Segoe UI"/>
              </w:rPr>
              <w:t>: Description of assessment pathways</w:t>
            </w:r>
          </w:p>
          <w:p w14:paraId="3B46939B"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14.2</w:t>
            </w:r>
            <w:r w:rsidRPr="004A357C">
              <w:rPr>
                <w:rFonts w:eastAsia="Segoe UI"/>
              </w:rPr>
              <w:t>: Description of governance processes</w:t>
            </w:r>
          </w:p>
        </w:tc>
      </w:tr>
      <w:tr w:rsidR="003C11B5" w:rsidRPr="004A357C" w14:paraId="7C3FBB0E" w14:textId="77777777" w:rsidTr="00FB712C">
        <w:trPr>
          <w:trHeight w:val="664"/>
        </w:trPr>
        <w:tc>
          <w:tcPr>
            <w:tcW w:w="0" w:type="dxa"/>
            <w:vMerge/>
          </w:tcPr>
          <w:p w14:paraId="22A64308"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tcPr>
          <w:p w14:paraId="5F6659B4" w14:textId="77777777" w:rsidR="003C11B5" w:rsidRPr="004A357C" w:rsidRDefault="003C11B5" w:rsidP="00FB712C">
            <w:pPr>
              <w:pStyle w:val="TableNText"/>
              <w:keepNext w:val="0"/>
              <w:keepLines/>
              <w:spacing w:before="60" w:after="60" w:line="240" w:lineRule="auto"/>
              <w:jc w:val="center"/>
            </w:pPr>
            <w:r w:rsidRPr="004A357C">
              <w:t>2</w:t>
            </w:r>
          </w:p>
        </w:tc>
        <w:tc>
          <w:tcPr>
            <w:tcW w:w="0" w:type="dxa"/>
          </w:tcPr>
          <w:p w14:paraId="748C3963"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15</w:t>
            </w:r>
            <w:r w:rsidRPr="004A357C">
              <w:rPr>
                <w:rFonts w:eastAsia="Segoe UI"/>
              </w:rPr>
              <w:t>: Assessment of new assessment processes</w:t>
            </w:r>
          </w:p>
        </w:tc>
        <w:tc>
          <w:tcPr>
            <w:tcW w:w="6662" w:type="dxa"/>
          </w:tcPr>
          <w:p w14:paraId="4282737D"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15.1</w:t>
            </w:r>
            <w:r w:rsidRPr="004A357C">
              <w:rPr>
                <w:rFonts w:asciiTheme="minorHAnsi" w:eastAsia="Segoe UI" w:hAnsiTheme="minorHAnsi" w:cstheme="minorHAnsi"/>
              </w:rPr>
              <w:t>: Volume</w:t>
            </w:r>
            <w:r w:rsidRPr="004A357C">
              <w:rPr>
                <w:rFonts w:eastAsia="Segoe UI"/>
              </w:rPr>
              <w:t xml:space="preserve"> of PL applications per tier</w:t>
            </w:r>
          </w:p>
          <w:p w14:paraId="21956B3D"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15.2</w:t>
            </w:r>
            <w:r w:rsidRPr="004A357C">
              <w:rPr>
                <w:rFonts w:eastAsia="Segoe UI"/>
              </w:rPr>
              <w:t>: Stakeholder perspectives on the assessment pathways and listing process</w:t>
            </w:r>
          </w:p>
        </w:tc>
      </w:tr>
      <w:tr w:rsidR="003C11B5" w:rsidRPr="004A357C" w14:paraId="3D8B4E84" w14:textId="77777777" w:rsidTr="00FB712C">
        <w:tc>
          <w:tcPr>
            <w:tcW w:w="0" w:type="dxa"/>
            <w:vMerge w:val="restart"/>
          </w:tcPr>
          <w:p w14:paraId="33F7F542"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r w:rsidRPr="00A33D50">
              <w:rPr>
                <w:rFonts w:asciiTheme="majorHAnsi" w:eastAsia="Segoe UI" w:hAnsiTheme="majorHAnsi" w:cstheme="majorHAnsi"/>
              </w:rPr>
              <w:t>7. Develop and implement PL listing review and PL compliance frameworks to safeguard the PL reforms</w:t>
            </w:r>
          </w:p>
        </w:tc>
        <w:tc>
          <w:tcPr>
            <w:tcW w:w="0" w:type="dxa"/>
          </w:tcPr>
          <w:p w14:paraId="4A88B17A" w14:textId="77777777" w:rsidR="003C11B5" w:rsidRPr="004A357C" w:rsidRDefault="003C11B5" w:rsidP="00FB712C">
            <w:pPr>
              <w:pStyle w:val="TableNText"/>
              <w:keepNext w:val="0"/>
              <w:keepLines/>
              <w:spacing w:before="60" w:after="60" w:line="240" w:lineRule="auto"/>
              <w:jc w:val="center"/>
            </w:pPr>
            <w:r w:rsidRPr="004A357C">
              <w:t>1</w:t>
            </w:r>
          </w:p>
        </w:tc>
        <w:tc>
          <w:tcPr>
            <w:tcW w:w="0" w:type="dxa"/>
          </w:tcPr>
          <w:p w14:paraId="790D809D"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16</w:t>
            </w:r>
            <w:r w:rsidRPr="004A357C">
              <w:rPr>
                <w:rFonts w:eastAsia="Segoe UI"/>
              </w:rPr>
              <w:t>: Change in listing review and compliance frameworks</w:t>
            </w:r>
          </w:p>
        </w:tc>
        <w:tc>
          <w:tcPr>
            <w:tcW w:w="6662" w:type="dxa"/>
          </w:tcPr>
          <w:p w14:paraId="160C0B70"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16.1</w:t>
            </w:r>
            <w:r w:rsidRPr="004A357C">
              <w:rPr>
                <w:rFonts w:eastAsia="Segoe UI"/>
              </w:rPr>
              <w:t>: Description of post-listing review framework</w:t>
            </w:r>
          </w:p>
          <w:p w14:paraId="671F79AA"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16.2</w:t>
            </w:r>
            <w:r w:rsidRPr="004A357C">
              <w:rPr>
                <w:rFonts w:eastAsia="Segoe UI"/>
              </w:rPr>
              <w:t>: Description of compliance strategy</w:t>
            </w:r>
          </w:p>
        </w:tc>
      </w:tr>
      <w:tr w:rsidR="003C11B5" w:rsidRPr="004A357C" w14:paraId="70C06EBF" w14:textId="77777777" w:rsidTr="00FB712C">
        <w:tc>
          <w:tcPr>
            <w:tcW w:w="0" w:type="dxa"/>
            <w:vMerge/>
          </w:tcPr>
          <w:p w14:paraId="244FFD0A"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tcPr>
          <w:p w14:paraId="2BAB2F5E" w14:textId="77777777" w:rsidR="003C11B5" w:rsidRPr="004A357C" w:rsidRDefault="003C11B5" w:rsidP="00FB712C">
            <w:pPr>
              <w:pStyle w:val="TableNText"/>
              <w:keepNext w:val="0"/>
              <w:keepLines/>
              <w:spacing w:before="60" w:after="60" w:line="240" w:lineRule="auto"/>
              <w:jc w:val="center"/>
              <w:rPr>
                <w:rFonts w:eastAsia="Segoe UI"/>
              </w:rPr>
            </w:pPr>
            <w:r w:rsidRPr="004A357C">
              <w:rPr>
                <w:rFonts w:eastAsia="Segoe UI"/>
              </w:rPr>
              <w:t>2</w:t>
            </w:r>
          </w:p>
        </w:tc>
        <w:tc>
          <w:tcPr>
            <w:tcW w:w="0" w:type="dxa"/>
          </w:tcPr>
          <w:p w14:paraId="6144EE9B"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17</w:t>
            </w:r>
            <w:r w:rsidRPr="004A357C">
              <w:rPr>
                <w:rFonts w:eastAsia="Segoe UI"/>
              </w:rPr>
              <w:t>: Assessment of listing review and compliance frameworks</w:t>
            </w:r>
          </w:p>
        </w:tc>
        <w:tc>
          <w:tcPr>
            <w:tcW w:w="6662" w:type="dxa"/>
          </w:tcPr>
          <w:p w14:paraId="2C8298C3"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17.1</w:t>
            </w:r>
            <w:r w:rsidRPr="004A357C">
              <w:rPr>
                <w:rFonts w:eastAsia="Segoe UI"/>
              </w:rPr>
              <w:t>: Description of post-listing reviews conducted</w:t>
            </w:r>
          </w:p>
          <w:p w14:paraId="292B2C42"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17.2</w:t>
            </w:r>
            <w:r w:rsidRPr="004A357C">
              <w:rPr>
                <w:rFonts w:eastAsia="Segoe UI"/>
              </w:rPr>
              <w:t>: Stakeholder perspectives on post-listing reviews</w:t>
            </w:r>
          </w:p>
          <w:p w14:paraId="784DBB63"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17.3</w:t>
            </w:r>
            <w:r w:rsidRPr="004A357C">
              <w:rPr>
                <w:rFonts w:eastAsia="Segoe UI"/>
              </w:rPr>
              <w:t>: Description of compliance activities conducted</w:t>
            </w:r>
          </w:p>
          <w:p w14:paraId="591AB5E1"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17.4</w:t>
            </w:r>
            <w:r w:rsidRPr="004A357C">
              <w:rPr>
                <w:rFonts w:eastAsia="Segoe UI"/>
              </w:rPr>
              <w:t>: Stakeholder perspectives on PL compliance</w:t>
            </w:r>
          </w:p>
        </w:tc>
      </w:tr>
      <w:tr w:rsidR="003C11B5" w:rsidRPr="004A357C" w14:paraId="0D6FFD40" w14:textId="77777777" w:rsidTr="00FB712C">
        <w:tc>
          <w:tcPr>
            <w:tcW w:w="0" w:type="dxa"/>
            <w:vMerge w:val="restart"/>
          </w:tcPr>
          <w:p w14:paraId="216598D0"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r w:rsidRPr="00A33D50">
              <w:rPr>
                <w:rFonts w:asciiTheme="majorHAnsi" w:eastAsia="Segoe UI" w:hAnsiTheme="majorHAnsi" w:cstheme="majorHAnsi"/>
              </w:rPr>
              <w:t>8. Ensure ongoing financial sustainability of PL administration through effective and efficient cost recovery arrangements that are compliant with the AGCF</w:t>
            </w:r>
          </w:p>
        </w:tc>
        <w:tc>
          <w:tcPr>
            <w:tcW w:w="0" w:type="dxa"/>
          </w:tcPr>
          <w:p w14:paraId="51A42E1E" w14:textId="77777777" w:rsidR="003C11B5" w:rsidRPr="004A357C" w:rsidRDefault="003C11B5" w:rsidP="00FB712C">
            <w:pPr>
              <w:pStyle w:val="TableNText"/>
              <w:keepNext w:val="0"/>
              <w:keepLines/>
              <w:spacing w:before="60" w:after="60" w:line="240" w:lineRule="auto"/>
              <w:jc w:val="center"/>
              <w:rPr>
                <w:rFonts w:eastAsia="Segoe UI"/>
              </w:rPr>
            </w:pPr>
            <w:r w:rsidRPr="004A357C">
              <w:rPr>
                <w:rFonts w:eastAsia="Segoe UI"/>
              </w:rPr>
              <w:t>1</w:t>
            </w:r>
          </w:p>
        </w:tc>
        <w:tc>
          <w:tcPr>
            <w:tcW w:w="0" w:type="dxa"/>
          </w:tcPr>
          <w:p w14:paraId="228A0479"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18</w:t>
            </w:r>
            <w:r w:rsidRPr="004A357C">
              <w:rPr>
                <w:rFonts w:eastAsia="Segoe UI"/>
              </w:rPr>
              <w:t>: Implementation of cost recovery arrangements</w:t>
            </w:r>
          </w:p>
        </w:tc>
        <w:tc>
          <w:tcPr>
            <w:tcW w:w="6662" w:type="dxa"/>
          </w:tcPr>
          <w:p w14:paraId="23DA6C0D"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18.1</w:t>
            </w:r>
            <w:r w:rsidRPr="004A357C">
              <w:rPr>
                <w:rFonts w:eastAsia="Segoe UI"/>
              </w:rPr>
              <w:t>: Description of cost recovery arrangements</w:t>
            </w:r>
          </w:p>
        </w:tc>
      </w:tr>
      <w:tr w:rsidR="003C11B5" w:rsidRPr="004A357C" w14:paraId="1C4B86FD" w14:textId="77777777" w:rsidTr="00FB712C">
        <w:tc>
          <w:tcPr>
            <w:tcW w:w="0" w:type="dxa"/>
            <w:vMerge/>
          </w:tcPr>
          <w:p w14:paraId="1C534184" w14:textId="77777777" w:rsidR="003C11B5" w:rsidRPr="00A33D50" w:rsidRDefault="003C11B5" w:rsidP="00FB712C">
            <w:pPr>
              <w:pStyle w:val="TableNText"/>
              <w:keepNext w:val="0"/>
              <w:keepLines/>
              <w:spacing w:before="60" w:after="60" w:line="240" w:lineRule="auto"/>
              <w:rPr>
                <w:rFonts w:asciiTheme="majorHAnsi" w:eastAsia="Segoe UI" w:hAnsiTheme="majorHAnsi" w:cstheme="majorHAnsi"/>
              </w:rPr>
            </w:pPr>
          </w:p>
        </w:tc>
        <w:tc>
          <w:tcPr>
            <w:tcW w:w="0" w:type="dxa"/>
          </w:tcPr>
          <w:p w14:paraId="41052072" w14:textId="77777777" w:rsidR="003C11B5" w:rsidRPr="004A357C" w:rsidRDefault="003C11B5" w:rsidP="00FB712C">
            <w:pPr>
              <w:pStyle w:val="TableNText"/>
              <w:keepNext w:val="0"/>
              <w:keepLines/>
              <w:spacing w:before="60" w:after="60" w:line="240" w:lineRule="auto"/>
              <w:jc w:val="center"/>
              <w:rPr>
                <w:rFonts w:eastAsia="Segoe UI"/>
              </w:rPr>
            </w:pPr>
            <w:r w:rsidRPr="004A357C">
              <w:rPr>
                <w:rFonts w:eastAsia="Segoe UI"/>
              </w:rPr>
              <w:t>2</w:t>
            </w:r>
          </w:p>
        </w:tc>
        <w:tc>
          <w:tcPr>
            <w:tcW w:w="0" w:type="dxa"/>
          </w:tcPr>
          <w:p w14:paraId="7CBA97CB" w14:textId="77777777" w:rsidR="003C11B5" w:rsidRPr="004A357C" w:rsidRDefault="003C11B5" w:rsidP="00FB712C">
            <w:pPr>
              <w:pStyle w:val="TableNText"/>
              <w:keepLines/>
              <w:spacing w:before="60" w:after="60" w:line="240" w:lineRule="auto"/>
              <w:rPr>
                <w:rFonts w:eastAsia="Segoe UI"/>
              </w:rPr>
            </w:pPr>
            <w:r w:rsidRPr="004A357C">
              <w:rPr>
                <w:rFonts w:asciiTheme="majorHAnsi" w:eastAsia="Segoe UI" w:hAnsiTheme="majorHAnsi" w:cstheme="majorHAnsi"/>
              </w:rPr>
              <w:t>Indicator 19</w:t>
            </w:r>
            <w:r w:rsidRPr="004A357C">
              <w:rPr>
                <w:rFonts w:eastAsia="Segoe UI"/>
              </w:rPr>
              <w:t>: Financial sustainability of PL administration</w:t>
            </w:r>
          </w:p>
        </w:tc>
        <w:tc>
          <w:tcPr>
            <w:tcW w:w="6662" w:type="dxa"/>
          </w:tcPr>
          <w:p w14:paraId="1D5E338B"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19.1</w:t>
            </w:r>
            <w:r w:rsidRPr="004A357C">
              <w:rPr>
                <w:rFonts w:eastAsia="Segoe UI"/>
              </w:rPr>
              <w:t>: Change in PL administrative effort</w:t>
            </w:r>
          </w:p>
          <w:p w14:paraId="41EC2B72" w14:textId="77777777" w:rsidR="003C11B5" w:rsidRPr="004A357C" w:rsidRDefault="003C11B5" w:rsidP="00FB712C">
            <w:pPr>
              <w:pStyle w:val="TableNBullet"/>
              <w:spacing w:before="60" w:after="60"/>
              <w:rPr>
                <w:rFonts w:eastAsia="Segoe UI"/>
              </w:rPr>
            </w:pPr>
            <w:r w:rsidRPr="004A357C">
              <w:rPr>
                <w:rFonts w:asciiTheme="majorHAnsi" w:eastAsia="Segoe UI" w:hAnsiTheme="majorHAnsi" w:cstheme="majorHAnsi"/>
                <w:color w:val="F25E21" w:themeColor="accent2"/>
              </w:rPr>
              <w:t>Measure 19.2</w:t>
            </w:r>
            <w:r w:rsidRPr="004A357C">
              <w:rPr>
                <w:rFonts w:eastAsia="Segoe UI"/>
              </w:rPr>
              <w:t>: Stakeholder perspectives on the financial sustainability of PL administration</w:t>
            </w:r>
          </w:p>
        </w:tc>
      </w:tr>
    </w:tbl>
    <w:p w14:paraId="7583BD8A" w14:textId="77777777" w:rsidR="00564733" w:rsidRPr="004A357C" w:rsidRDefault="00564733" w:rsidP="00564733">
      <w:pPr>
        <w:rPr>
          <w:lang w:eastAsia="en-AU"/>
        </w:rPr>
      </w:pPr>
    </w:p>
    <w:p w14:paraId="1530EBB3" w14:textId="77777777" w:rsidR="008B4EE7" w:rsidRPr="004A357C" w:rsidRDefault="008B4EE7" w:rsidP="00564733">
      <w:pPr>
        <w:rPr>
          <w:lang w:eastAsia="en-AU"/>
        </w:rPr>
        <w:sectPr w:rsidR="008B4EE7" w:rsidRPr="004A357C" w:rsidSect="00A31063">
          <w:pgSz w:w="16839" w:h="11907" w:orient="landscape" w:code="9"/>
          <w:pgMar w:top="1559" w:right="1247" w:bottom="1418" w:left="1701" w:header="720" w:footer="720" w:gutter="0"/>
          <w:cols w:space="720"/>
          <w:docGrid w:linePitch="360"/>
        </w:sectPr>
      </w:pPr>
    </w:p>
    <w:p w14:paraId="7F089CA9" w14:textId="0631B1FA" w:rsidR="00564733" w:rsidRPr="004A357C" w:rsidRDefault="00564733" w:rsidP="00564733">
      <w:pPr>
        <w:pStyle w:val="xAppendixLevel1"/>
      </w:pPr>
      <w:bookmarkStart w:id="115" w:name="_Ref193905770"/>
      <w:bookmarkStart w:id="116" w:name="_Toc209176983"/>
      <w:r w:rsidRPr="004A357C">
        <w:lastRenderedPageBreak/>
        <w:t>Me</w:t>
      </w:r>
      <w:r w:rsidR="008B4EE7" w:rsidRPr="004A357C">
        <w:t>asures detail</w:t>
      </w:r>
      <w:bookmarkEnd w:id="115"/>
      <w:bookmarkEnd w:id="116"/>
    </w:p>
    <w:p w14:paraId="1FDF4419" w14:textId="088F1085" w:rsidR="002625ED" w:rsidRPr="004A357C" w:rsidRDefault="002625ED" w:rsidP="002625ED">
      <w:pPr>
        <w:pStyle w:val="xAppendixLevel2"/>
      </w:pPr>
      <w:bookmarkStart w:id="117" w:name="_Ref199417547"/>
      <w:bookmarkStart w:id="118" w:name="_Toc209176984"/>
      <w:r w:rsidRPr="004A357C">
        <w:t>Indicator 1: Reduction in benefits</w:t>
      </w:r>
      <w:bookmarkEnd w:id="117"/>
      <w:bookmarkEnd w:id="118"/>
    </w:p>
    <w:p w14:paraId="6F800F52" w14:textId="77777777" w:rsidR="00E24501" w:rsidRPr="004A357C" w:rsidRDefault="00E24501" w:rsidP="00E24501">
      <w:pPr>
        <w:pStyle w:val="Heading4"/>
      </w:pPr>
      <w:bookmarkStart w:id="119" w:name="_Ref202471043"/>
      <w:r w:rsidRPr="004A357C">
        <w:rPr>
          <w:color w:val="F25E21" w:themeColor="accent2"/>
        </w:rPr>
        <w:t xml:space="preserve">Measure 1.1: </w:t>
      </w:r>
      <w:r w:rsidRPr="004A357C">
        <w:t>Change in PL benefits</w:t>
      </w:r>
    </w:p>
    <w:p w14:paraId="1DE41895" w14:textId="71075FE8" w:rsidR="00E14A9B" w:rsidRPr="004A357C" w:rsidRDefault="006B7BBA" w:rsidP="00B50EE7">
      <w:pPr>
        <w:pStyle w:val="Caption"/>
      </w:pPr>
      <w:bookmarkStart w:id="120" w:name="_Ref202471095"/>
      <w:r w:rsidRPr="004A357C">
        <w:t xml:space="preserve">Table </w:t>
      </w:r>
      <w:r w:rsidR="002604D0">
        <w:fldChar w:fldCharType="begin"/>
      </w:r>
      <w:r w:rsidR="002604D0">
        <w:instrText xml:space="preserve"> SEQ Table \* ARABIC </w:instrText>
      </w:r>
      <w:r w:rsidR="002604D0">
        <w:fldChar w:fldCharType="separate"/>
      </w:r>
      <w:r w:rsidR="00D30634">
        <w:rPr>
          <w:noProof/>
        </w:rPr>
        <w:t>23</w:t>
      </w:r>
      <w:r w:rsidR="002604D0">
        <w:fldChar w:fldCharType="end"/>
      </w:r>
      <w:bookmarkEnd w:id="119"/>
      <w:bookmarkEnd w:id="120"/>
      <w:r w:rsidRPr="004A357C">
        <w:t xml:space="preserve"> | Benefit groups and items subject to reform reductions (Parts A and D, excluding CIED items)</w:t>
      </w:r>
      <w:r w:rsidR="003D325A" w:rsidRPr="004A357C">
        <w:rPr>
          <w:rStyle w:val="FootnoteReference"/>
        </w:rPr>
        <w:footnoteReference w:id="129"/>
      </w:r>
    </w:p>
    <w:tbl>
      <w:tblPr>
        <w:tblStyle w:val="NOUSSideHeader1"/>
        <w:tblW w:w="8931" w:type="dxa"/>
        <w:tblLook w:val="04A0" w:firstRow="1" w:lastRow="0" w:firstColumn="1" w:lastColumn="0" w:noHBand="0" w:noVBand="1"/>
      </w:tblPr>
      <w:tblGrid>
        <w:gridCol w:w="2254"/>
        <w:gridCol w:w="3558"/>
        <w:gridCol w:w="3119"/>
      </w:tblGrid>
      <w:tr w:rsidR="00FF1004" w:rsidRPr="004A357C" w14:paraId="3AF216B4" w14:textId="77777777" w:rsidTr="00FB712C">
        <w:trPr>
          <w:cnfStyle w:val="100000000000" w:firstRow="1" w:lastRow="0" w:firstColumn="0" w:lastColumn="0" w:oddVBand="0" w:evenVBand="0" w:oddHBand="0" w:evenHBand="0" w:firstRowFirstColumn="0" w:firstRowLastColumn="0" w:lastRowFirstColumn="0" w:lastRowLastColumn="0"/>
        </w:trPr>
        <w:tc>
          <w:tcPr>
            <w:tcW w:w="2254" w:type="dxa"/>
          </w:tcPr>
          <w:p w14:paraId="492ACAED" w14:textId="77777777" w:rsidR="00FF1004" w:rsidRPr="004A357C" w:rsidRDefault="00FF1004" w:rsidP="00FB712C">
            <w:pPr>
              <w:pStyle w:val="TableNheader"/>
              <w:spacing w:before="60" w:after="60" w:line="240" w:lineRule="auto"/>
              <w:outlineLvl w:val="3"/>
              <w:rPr>
                <w:b/>
              </w:rPr>
            </w:pPr>
            <w:r w:rsidRPr="004A357C">
              <w:t>Categories</w:t>
            </w:r>
          </w:p>
        </w:tc>
        <w:tc>
          <w:tcPr>
            <w:tcW w:w="3558" w:type="dxa"/>
          </w:tcPr>
          <w:p w14:paraId="09B7C26A" w14:textId="77777777" w:rsidR="00FF1004" w:rsidRPr="004A357C" w:rsidRDefault="00FF1004" w:rsidP="00FB712C">
            <w:pPr>
              <w:pStyle w:val="TableNheader"/>
              <w:spacing w:before="60" w:after="60" w:line="240" w:lineRule="auto"/>
              <w:jc w:val="center"/>
              <w:outlineLvl w:val="3"/>
              <w:rPr>
                <w:b/>
              </w:rPr>
            </w:pPr>
            <w:r w:rsidRPr="004A357C">
              <w:t>Benefits groups subject to reductions</w:t>
            </w:r>
          </w:p>
        </w:tc>
        <w:tc>
          <w:tcPr>
            <w:tcW w:w="3119" w:type="dxa"/>
          </w:tcPr>
          <w:p w14:paraId="69AA0797" w14:textId="77777777" w:rsidR="00FF1004" w:rsidRPr="004A357C" w:rsidRDefault="00FF1004" w:rsidP="00FB712C">
            <w:pPr>
              <w:pStyle w:val="TableNheader"/>
              <w:spacing w:before="60" w:after="60" w:line="240" w:lineRule="auto"/>
              <w:jc w:val="center"/>
              <w:outlineLvl w:val="3"/>
              <w:rPr>
                <w:b/>
              </w:rPr>
            </w:pPr>
            <w:r w:rsidRPr="004A357C">
              <w:t>Items subject to reductions</w:t>
            </w:r>
          </w:p>
        </w:tc>
      </w:tr>
      <w:tr w:rsidR="00E5293C" w:rsidRPr="004A357C" w14:paraId="40148BC8" w14:textId="77777777" w:rsidTr="00E5293C">
        <w:trPr>
          <w:cnfStyle w:val="000000100000" w:firstRow="0" w:lastRow="0" w:firstColumn="0" w:lastColumn="0" w:oddVBand="0" w:evenVBand="0" w:oddHBand="1" w:evenHBand="0" w:firstRowFirstColumn="0" w:firstRowLastColumn="0" w:lastRowFirstColumn="0" w:lastRowLastColumn="0"/>
        </w:trPr>
        <w:tc>
          <w:tcPr>
            <w:tcW w:w="2254" w:type="dxa"/>
          </w:tcPr>
          <w:p w14:paraId="745DD1FA" w14:textId="2BD9C2CB"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01 – Ophthalmic</w:t>
            </w:r>
          </w:p>
        </w:tc>
        <w:tc>
          <w:tcPr>
            <w:tcW w:w="3558" w:type="dxa"/>
          </w:tcPr>
          <w:p w14:paraId="4E4D54D0" w14:textId="7FD1FDB9" w:rsidR="00E5293C" w:rsidRPr="004A357C" w:rsidRDefault="00E5293C" w:rsidP="00E5293C">
            <w:pPr>
              <w:pStyle w:val="TableNText"/>
              <w:spacing w:before="60" w:after="60" w:line="240" w:lineRule="auto"/>
              <w:jc w:val="center"/>
              <w:outlineLvl w:val="3"/>
            </w:pPr>
            <w:r w:rsidRPr="00CF2318">
              <w:t>26</w:t>
            </w:r>
          </w:p>
        </w:tc>
        <w:tc>
          <w:tcPr>
            <w:tcW w:w="3119" w:type="dxa"/>
          </w:tcPr>
          <w:p w14:paraId="07BB861C" w14:textId="2974B206" w:rsidR="00E5293C" w:rsidRPr="004A357C" w:rsidRDefault="00E5293C" w:rsidP="00E5293C">
            <w:pPr>
              <w:pStyle w:val="TableNText"/>
              <w:spacing w:before="60" w:after="60" w:line="240" w:lineRule="auto"/>
              <w:jc w:val="center"/>
              <w:outlineLvl w:val="3"/>
            </w:pPr>
            <w:r w:rsidRPr="00CF2318">
              <w:t>170</w:t>
            </w:r>
          </w:p>
        </w:tc>
      </w:tr>
      <w:tr w:rsidR="00E5293C" w:rsidRPr="004A357C" w14:paraId="58504D7A" w14:textId="77777777" w:rsidTr="00E5293C">
        <w:trPr>
          <w:cnfStyle w:val="000000010000" w:firstRow="0" w:lastRow="0" w:firstColumn="0" w:lastColumn="0" w:oddVBand="0" w:evenVBand="0" w:oddHBand="0" w:evenHBand="1" w:firstRowFirstColumn="0" w:firstRowLastColumn="0" w:lastRowFirstColumn="0" w:lastRowLastColumn="0"/>
        </w:trPr>
        <w:tc>
          <w:tcPr>
            <w:tcW w:w="2254" w:type="dxa"/>
          </w:tcPr>
          <w:p w14:paraId="6F43468E" w14:textId="4BD7A482"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02 – Ear, Nose &amp; Throat</w:t>
            </w:r>
          </w:p>
        </w:tc>
        <w:tc>
          <w:tcPr>
            <w:tcW w:w="3558" w:type="dxa"/>
          </w:tcPr>
          <w:p w14:paraId="02F699B2" w14:textId="77AAE09F" w:rsidR="00E5293C" w:rsidRPr="004A357C" w:rsidRDefault="00E5293C" w:rsidP="00E5293C">
            <w:pPr>
              <w:pStyle w:val="TableNText"/>
              <w:spacing w:before="60" w:after="60" w:line="240" w:lineRule="auto"/>
              <w:jc w:val="center"/>
              <w:outlineLvl w:val="3"/>
            </w:pPr>
            <w:r w:rsidRPr="00CF2318">
              <w:t>6</w:t>
            </w:r>
          </w:p>
        </w:tc>
        <w:tc>
          <w:tcPr>
            <w:tcW w:w="3119" w:type="dxa"/>
          </w:tcPr>
          <w:p w14:paraId="4972E88D" w14:textId="2871BEE1" w:rsidR="00E5293C" w:rsidRPr="004A357C" w:rsidRDefault="00E5293C" w:rsidP="00E5293C">
            <w:pPr>
              <w:pStyle w:val="TableNText"/>
              <w:spacing w:before="60" w:after="60" w:line="240" w:lineRule="auto"/>
              <w:jc w:val="center"/>
              <w:outlineLvl w:val="3"/>
            </w:pPr>
            <w:r w:rsidRPr="00CF2318">
              <w:t>25</w:t>
            </w:r>
          </w:p>
        </w:tc>
      </w:tr>
      <w:tr w:rsidR="00E5293C" w:rsidRPr="004A357C" w14:paraId="7CAF9D4C" w14:textId="77777777" w:rsidTr="00E5293C">
        <w:trPr>
          <w:cnfStyle w:val="000000100000" w:firstRow="0" w:lastRow="0" w:firstColumn="0" w:lastColumn="0" w:oddVBand="0" w:evenVBand="0" w:oddHBand="1" w:evenHBand="0" w:firstRowFirstColumn="0" w:firstRowLastColumn="0" w:lastRowFirstColumn="0" w:lastRowLastColumn="0"/>
        </w:trPr>
        <w:tc>
          <w:tcPr>
            <w:tcW w:w="2254" w:type="dxa"/>
          </w:tcPr>
          <w:p w14:paraId="1BB93383" w14:textId="2ACEF774"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03 – General Miscellaneous</w:t>
            </w:r>
          </w:p>
        </w:tc>
        <w:tc>
          <w:tcPr>
            <w:tcW w:w="3558" w:type="dxa"/>
          </w:tcPr>
          <w:p w14:paraId="2AF9FB89" w14:textId="5FB22B40" w:rsidR="00E5293C" w:rsidRPr="004A357C" w:rsidRDefault="00E5293C" w:rsidP="00E5293C">
            <w:pPr>
              <w:pStyle w:val="TableNText"/>
              <w:spacing w:before="60" w:after="60" w:line="240" w:lineRule="auto"/>
              <w:jc w:val="center"/>
              <w:outlineLvl w:val="3"/>
            </w:pPr>
            <w:r w:rsidRPr="00CF2318">
              <w:t>68</w:t>
            </w:r>
          </w:p>
        </w:tc>
        <w:tc>
          <w:tcPr>
            <w:tcW w:w="3119" w:type="dxa"/>
          </w:tcPr>
          <w:p w14:paraId="53339388" w14:textId="085B1723" w:rsidR="00E5293C" w:rsidRPr="004A357C" w:rsidRDefault="00E5293C" w:rsidP="00E5293C">
            <w:pPr>
              <w:pStyle w:val="TableNText"/>
              <w:spacing w:before="60" w:after="60" w:line="240" w:lineRule="auto"/>
              <w:jc w:val="center"/>
              <w:outlineLvl w:val="3"/>
            </w:pPr>
            <w:r w:rsidRPr="00CF2318">
              <w:t>232</w:t>
            </w:r>
          </w:p>
        </w:tc>
      </w:tr>
      <w:tr w:rsidR="00E5293C" w:rsidRPr="004A357C" w14:paraId="2FEA76A6" w14:textId="77777777" w:rsidTr="00E5293C">
        <w:trPr>
          <w:cnfStyle w:val="000000010000" w:firstRow="0" w:lastRow="0" w:firstColumn="0" w:lastColumn="0" w:oddVBand="0" w:evenVBand="0" w:oddHBand="0" w:evenHBand="1" w:firstRowFirstColumn="0" w:firstRowLastColumn="0" w:lastRowFirstColumn="0" w:lastRowLastColumn="0"/>
        </w:trPr>
        <w:tc>
          <w:tcPr>
            <w:tcW w:w="2254" w:type="dxa"/>
          </w:tcPr>
          <w:p w14:paraId="78326517" w14:textId="60F7EA04"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04 – Neurosurgical</w:t>
            </w:r>
          </w:p>
        </w:tc>
        <w:tc>
          <w:tcPr>
            <w:tcW w:w="3558" w:type="dxa"/>
          </w:tcPr>
          <w:p w14:paraId="405D268E" w14:textId="1086FF30" w:rsidR="00E5293C" w:rsidRPr="004A357C" w:rsidRDefault="00E5293C" w:rsidP="00E5293C">
            <w:pPr>
              <w:pStyle w:val="TableNText"/>
              <w:spacing w:before="60" w:after="60" w:line="240" w:lineRule="auto"/>
              <w:jc w:val="center"/>
              <w:outlineLvl w:val="3"/>
            </w:pPr>
            <w:r w:rsidRPr="00CF2318">
              <w:t>23</w:t>
            </w:r>
          </w:p>
        </w:tc>
        <w:tc>
          <w:tcPr>
            <w:tcW w:w="3119" w:type="dxa"/>
          </w:tcPr>
          <w:p w14:paraId="509CF186" w14:textId="4991788B" w:rsidR="00E5293C" w:rsidRPr="004A357C" w:rsidRDefault="00E5293C" w:rsidP="00E5293C">
            <w:pPr>
              <w:pStyle w:val="TableNText"/>
              <w:spacing w:before="60" w:after="60" w:line="240" w:lineRule="auto"/>
              <w:jc w:val="center"/>
              <w:outlineLvl w:val="3"/>
            </w:pPr>
            <w:r w:rsidRPr="00CF2318">
              <w:t>88</w:t>
            </w:r>
          </w:p>
        </w:tc>
      </w:tr>
      <w:tr w:rsidR="00E5293C" w:rsidRPr="004A357C" w14:paraId="12BEFA4C" w14:textId="77777777" w:rsidTr="00E5293C">
        <w:trPr>
          <w:cnfStyle w:val="000000100000" w:firstRow="0" w:lastRow="0" w:firstColumn="0" w:lastColumn="0" w:oddVBand="0" w:evenVBand="0" w:oddHBand="1" w:evenHBand="0" w:firstRowFirstColumn="0" w:firstRowLastColumn="0" w:lastRowFirstColumn="0" w:lastRowLastColumn="0"/>
        </w:trPr>
        <w:tc>
          <w:tcPr>
            <w:tcW w:w="2254" w:type="dxa"/>
          </w:tcPr>
          <w:p w14:paraId="50D69765" w14:textId="21D9833B"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05 – Urogenital</w:t>
            </w:r>
          </w:p>
        </w:tc>
        <w:tc>
          <w:tcPr>
            <w:tcW w:w="3558" w:type="dxa"/>
          </w:tcPr>
          <w:p w14:paraId="537AD668" w14:textId="270A6224" w:rsidR="00E5293C" w:rsidRPr="004A357C" w:rsidRDefault="00E5293C" w:rsidP="00E5293C">
            <w:pPr>
              <w:pStyle w:val="TableNText"/>
              <w:spacing w:before="60" w:after="60" w:line="240" w:lineRule="auto"/>
              <w:jc w:val="center"/>
              <w:outlineLvl w:val="3"/>
            </w:pPr>
            <w:r w:rsidRPr="00CF2318">
              <w:t>10</w:t>
            </w:r>
          </w:p>
        </w:tc>
        <w:tc>
          <w:tcPr>
            <w:tcW w:w="3119" w:type="dxa"/>
          </w:tcPr>
          <w:p w14:paraId="2A803005" w14:textId="11BFAC80" w:rsidR="00E5293C" w:rsidRPr="004A357C" w:rsidRDefault="00E5293C" w:rsidP="00E5293C">
            <w:pPr>
              <w:pStyle w:val="TableNText"/>
              <w:spacing w:before="60" w:after="60" w:line="240" w:lineRule="auto"/>
              <w:jc w:val="center"/>
              <w:outlineLvl w:val="3"/>
            </w:pPr>
            <w:r w:rsidRPr="00CF2318">
              <w:t>55</w:t>
            </w:r>
          </w:p>
        </w:tc>
      </w:tr>
      <w:tr w:rsidR="00E5293C" w:rsidRPr="004A357C" w14:paraId="45615236" w14:textId="77777777" w:rsidTr="00E5293C">
        <w:trPr>
          <w:cnfStyle w:val="000000010000" w:firstRow="0" w:lastRow="0" w:firstColumn="0" w:lastColumn="0" w:oddVBand="0" w:evenVBand="0" w:oddHBand="0" w:evenHBand="1" w:firstRowFirstColumn="0" w:firstRowLastColumn="0" w:lastRowFirstColumn="0" w:lastRowLastColumn="0"/>
        </w:trPr>
        <w:tc>
          <w:tcPr>
            <w:tcW w:w="2254" w:type="dxa"/>
          </w:tcPr>
          <w:p w14:paraId="4394FE37" w14:textId="308C37DD"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06 – Specialist Orthopaedic</w:t>
            </w:r>
          </w:p>
        </w:tc>
        <w:tc>
          <w:tcPr>
            <w:tcW w:w="3558" w:type="dxa"/>
          </w:tcPr>
          <w:p w14:paraId="45E95E32" w14:textId="771FCC0F" w:rsidR="00E5293C" w:rsidRPr="004A357C" w:rsidRDefault="00E5293C" w:rsidP="00E5293C">
            <w:pPr>
              <w:pStyle w:val="TableNText"/>
              <w:spacing w:before="60" w:after="60" w:line="240" w:lineRule="auto"/>
              <w:jc w:val="center"/>
              <w:outlineLvl w:val="3"/>
            </w:pPr>
            <w:r w:rsidRPr="00CF2318">
              <w:t>173</w:t>
            </w:r>
          </w:p>
        </w:tc>
        <w:tc>
          <w:tcPr>
            <w:tcW w:w="3119" w:type="dxa"/>
          </w:tcPr>
          <w:p w14:paraId="24CF7251" w14:textId="23119B62" w:rsidR="00E5293C" w:rsidRPr="004A357C" w:rsidRDefault="00E5293C" w:rsidP="00E5293C">
            <w:pPr>
              <w:pStyle w:val="TableNText"/>
              <w:spacing w:before="60" w:after="60" w:line="240" w:lineRule="auto"/>
              <w:jc w:val="center"/>
              <w:outlineLvl w:val="3"/>
            </w:pPr>
            <w:r w:rsidRPr="00CF2318">
              <w:t>1</w:t>
            </w:r>
            <w:r>
              <w:t>,8</w:t>
            </w:r>
            <w:r w:rsidRPr="00CF2318">
              <w:t>45</w:t>
            </w:r>
          </w:p>
        </w:tc>
      </w:tr>
      <w:tr w:rsidR="00E5293C" w:rsidRPr="004A357C" w14:paraId="19599287" w14:textId="77777777" w:rsidTr="00E5293C">
        <w:trPr>
          <w:cnfStyle w:val="000000100000" w:firstRow="0" w:lastRow="0" w:firstColumn="0" w:lastColumn="0" w:oddVBand="0" w:evenVBand="0" w:oddHBand="1" w:evenHBand="0" w:firstRowFirstColumn="0" w:firstRowLastColumn="0" w:lastRowFirstColumn="0" w:lastRowLastColumn="0"/>
        </w:trPr>
        <w:tc>
          <w:tcPr>
            <w:tcW w:w="2254" w:type="dxa"/>
          </w:tcPr>
          <w:p w14:paraId="419BB1B7" w14:textId="0E47F36D"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07 – Plastic and Reconstructive</w:t>
            </w:r>
          </w:p>
        </w:tc>
        <w:tc>
          <w:tcPr>
            <w:tcW w:w="3558" w:type="dxa"/>
          </w:tcPr>
          <w:p w14:paraId="0CFD99FE" w14:textId="6EA0A492" w:rsidR="00E5293C" w:rsidRPr="004A357C" w:rsidRDefault="00E5293C" w:rsidP="00E5293C">
            <w:pPr>
              <w:pStyle w:val="TableNText"/>
              <w:spacing w:before="60" w:after="60" w:line="240" w:lineRule="auto"/>
              <w:jc w:val="center"/>
              <w:outlineLvl w:val="3"/>
            </w:pPr>
            <w:r w:rsidRPr="00CF2318">
              <w:t>73</w:t>
            </w:r>
          </w:p>
        </w:tc>
        <w:tc>
          <w:tcPr>
            <w:tcW w:w="3119" w:type="dxa"/>
          </w:tcPr>
          <w:p w14:paraId="780956F3" w14:textId="73ECADD2" w:rsidR="00E5293C" w:rsidRPr="004A357C" w:rsidRDefault="00E5293C" w:rsidP="00E5293C">
            <w:pPr>
              <w:pStyle w:val="TableNText"/>
              <w:spacing w:before="60" w:after="60" w:line="240" w:lineRule="auto"/>
              <w:jc w:val="center"/>
              <w:outlineLvl w:val="3"/>
            </w:pPr>
            <w:r w:rsidRPr="00CF2318">
              <w:t>248</w:t>
            </w:r>
          </w:p>
        </w:tc>
      </w:tr>
      <w:tr w:rsidR="00E5293C" w:rsidRPr="004A357C" w14:paraId="2AB27968" w14:textId="77777777" w:rsidTr="00E5293C">
        <w:trPr>
          <w:cnfStyle w:val="000000010000" w:firstRow="0" w:lastRow="0" w:firstColumn="0" w:lastColumn="0" w:oddVBand="0" w:evenVBand="0" w:oddHBand="0" w:evenHBand="1" w:firstRowFirstColumn="0" w:firstRowLastColumn="0" w:lastRowFirstColumn="0" w:lastRowLastColumn="0"/>
        </w:trPr>
        <w:tc>
          <w:tcPr>
            <w:tcW w:w="2254" w:type="dxa"/>
          </w:tcPr>
          <w:p w14:paraId="1C570E66" w14:textId="795263C7"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08 – Cardiac</w:t>
            </w:r>
          </w:p>
        </w:tc>
        <w:tc>
          <w:tcPr>
            <w:tcW w:w="3558" w:type="dxa"/>
          </w:tcPr>
          <w:p w14:paraId="52D03239" w14:textId="672E45E5" w:rsidR="00E5293C" w:rsidRPr="004A357C" w:rsidRDefault="00E5293C" w:rsidP="00E5293C">
            <w:pPr>
              <w:pStyle w:val="TableNText"/>
              <w:spacing w:before="60" w:after="60" w:line="240" w:lineRule="auto"/>
              <w:jc w:val="center"/>
              <w:outlineLvl w:val="3"/>
            </w:pPr>
            <w:r w:rsidRPr="00CF2318">
              <w:t>3</w:t>
            </w:r>
          </w:p>
        </w:tc>
        <w:tc>
          <w:tcPr>
            <w:tcW w:w="3119" w:type="dxa"/>
          </w:tcPr>
          <w:p w14:paraId="1823A660" w14:textId="27303E88" w:rsidR="00E5293C" w:rsidRPr="004A357C" w:rsidRDefault="00E5293C" w:rsidP="00E5293C">
            <w:pPr>
              <w:pStyle w:val="TableNText"/>
              <w:spacing w:before="60" w:after="60" w:line="240" w:lineRule="auto"/>
              <w:jc w:val="center"/>
              <w:outlineLvl w:val="3"/>
            </w:pPr>
            <w:r w:rsidRPr="00CF2318">
              <w:t>23</w:t>
            </w:r>
          </w:p>
        </w:tc>
      </w:tr>
      <w:tr w:rsidR="00E5293C" w:rsidRPr="004A357C" w14:paraId="3124D8DD" w14:textId="77777777" w:rsidTr="00E5293C">
        <w:trPr>
          <w:cnfStyle w:val="000000100000" w:firstRow="0" w:lastRow="0" w:firstColumn="0" w:lastColumn="0" w:oddVBand="0" w:evenVBand="0" w:oddHBand="1" w:evenHBand="0" w:firstRowFirstColumn="0" w:firstRowLastColumn="0" w:lastRowFirstColumn="0" w:lastRowLastColumn="0"/>
        </w:trPr>
        <w:tc>
          <w:tcPr>
            <w:tcW w:w="2254" w:type="dxa"/>
          </w:tcPr>
          <w:p w14:paraId="1BE85E07" w14:textId="68CAB88F"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09 – Cardiothoracic</w:t>
            </w:r>
          </w:p>
        </w:tc>
        <w:tc>
          <w:tcPr>
            <w:tcW w:w="3558" w:type="dxa"/>
          </w:tcPr>
          <w:p w14:paraId="3C6C04D1" w14:textId="0638C61A" w:rsidR="00E5293C" w:rsidRPr="004A357C" w:rsidRDefault="00E5293C" w:rsidP="00E5293C">
            <w:pPr>
              <w:pStyle w:val="TableNText"/>
              <w:spacing w:before="60" w:after="60" w:line="240" w:lineRule="auto"/>
              <w:jc w:val="center"/>
              <w:outlineLvl w:val="3"/>
            </w:pPr>
            <w:r w:rsidRPr="00CF2318">
              <w:t>8</w:t>
            </w:r>
          </w:p>
        </w:tc>
        <w:tc>
          <w:tcPr>
            <w:tcW w:w="3119" w:type="dxa"/>
          </w:tcPr>
          <w:p w14:paraId="17018A57" w14:textId="6D88E8E7" w:rsidR="00E5293C" w:rsidRPr="004A357C" w:rsidRDefault="00E5293C" w:rsidP="00E5293C">
            <w:pPr>
              <w:pStyle w:val="TableNText"/>
              <w:spacing w:before="60" w:after="60" w:line="240" w:lineRule="auto"/>
              <w:jc w:val="center"/>
              <w:outlineLvl w:val="3"/>
            </w:pPr>
            <w:r w:rsidRPr="00CF2318">
              <w:t>17</w:t>
            </w:r>
          </w:p>
        </w:tc>
      </w:tr>
      <w:tr w:rsidR="00E5293C" w:rsidRPr="004A357C" w14:paraId="542FCDF5" w14:textId="77777777" w:rsidTr="00E5293C">
        <w:trPr>
          <w:cnfStyle w:val="000000010000" w:firstRow="0" w:lastRow="0" w:firstColumn="0" w:lastColumn="0" w:oddVBand="0" w:evenVBand="0" w:oddHBand="0" w:evenHBand="1" w:firstRowFirstColumn="0" w:firstRowLastColumn="0" w:lastRowFirstColumn="0" w:lastRowLastColumn="0"/>
        </w:trPr>
        <w:tc>
          <w:tcPr>
            <w:tcW w:w="2254" w:type="dxa"/>
          </w:tcPr>
          <w:p w14:paraId="6DA06508" w14:textId="44173C1C"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10 – Vascular</w:t>
            </w:r>
          </w:p>
        </w:tc>
        <w:tc>
          <w:tcPr>
            <w:tcW w:w="3558" w:type="dxa"/>
          </w:tcPr>
          <w:p w14:paraId="3D50E070" w14:textId="33D53BD8" w:rsidR="00E5293C" w:rsidRPr="004A357C" w:rsidRDefault="00E5293C" w:rsidP="00E5293C">
            <w:pPr>
              <w:pStyle w:val="TableNText"/>
              <w:spacing w:before="60" w:after="60" w:line="240" w:lineRule="auto"/>
              <w:jc w:val="center"/>
              <w:outlineLvl w:val="3"/>
            </w:pPr>
            <w:r w:rsidRPr="00CF2318">
              <w:t>36</w:t>
            </w:r>
          </w:p>
        </w:tc>
        <w:tc>
          <w:tcPr>
            <w:tcW w:w="3119" w:type="dxa"/>
          </w:tcPr>
          <w:p w14:paraId="62BEFE54" w14:textId="532F861F" w:rsidR="00E5293C" w:rsidRPr="004A357C" w:rsidRDefault="00E5293C" w:rsidP="00E5293C">
            <w:pPr>
              <w:pStyle w:val="TableNText"/>
              <w:spacing w:before="60" w:after="60" w:line="240" w:lineRule="auto"/>
              <w:jc w:val="center"/>
              <w:outlineLvl w:val="3"/>
            </w:pPr>
            <w:r w:rsidRPr="00CF2318">
              <w:t>202</w:t>
            </w:r>
          </w:p>
        </w:tc>
      </w:tr>
      <w:tr w:rsidR="00E5293C" w:rsidRPr="004A357C" w14:paraId="366FCD3A" w14:textId="77777777" w:rsidTr="00E5293C">
        <w:trPr>
          <w:cnfStyle w:val="000000100000" w:firstRow="0" w:lastRow="0" w:firstColumn="0" w:lastColumn="0" w:oddVBand="0" w:evenVBand="0" w:oddHBand="1" w:evenHBand="0" w:firstRowFirstColumn="0" w:firstRowLastColumn="0" w:lastRowFirstColumn="0" w:lastRowLastColumn="0"/>
        </w:trPr>
        <w:tc>
          <w:tcPr>
            <w:tcW w:w="2254" w:type="dxa"/>
          </w:tcPr>
          <w:p w14:paraId="48FD09FE" w14:textId="4A69E92B"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11 – Hip</w:t>
            </w:r>
          </w:p>
        </w:tc>
        <w:tc>
          <w:tcPr>
            <w:tcW w:w="3558" w:type="dxa"/>
          </w:tcPr>
          <w:p w14:paraId="2E7534E2" w14:textId="6CC2CABD" w:rsidR="00E5293C" w:rsidRPr="004A357C" w:rsidRDefault="00E5293C" w:rsidP="00E5293C">
            <w:pPr>
              <w:pStyle w:val="TableNText"/>
              <w:spacing w:before="60" w:after="60" w:line="240" w:lineRule="auto"/>
              <w:jc w:val="center"/>
              <w:outlineLvl w:val="3"/>
            </w:pPr>
            <w:r w:rsidRPr="00CF2318">
              <w:t>43</w:t>
            </w:r>
          </w:p>
        </w:tc>
        <w:tc>
          <w:tcPr>
            <w:tcW w:w="3119" w:type="dxa"/>
          </w:tcPr>
          <w:p w14:paraId="617A933F" w14:textId="051BF7DC" w:rsidR="00E5293C" w:rsidRPr="004A357C" w:rsidRDefault="00E5293C" w:rsidP="00E5293C">
            <w:pPr>
              <w:pStyle w:val="TableNText"/>
              <w:spacing w:before="60" w:after="60" w:line="240" w:lineRule="auto"/>
              <w:jc w:val="center"/>
              <w:outlineLvl w:val="3"/>
            </w:pPr>
            <w:r w:rsidRPr="00CF2318">
              <w:t>378</w:t>
            </w:r>
          </w:p>
        </w:tc>
      </w:tr>
      <w:tr w:rsidR="00E5293C" w:rsidRPr="004A357C" w14:paraId="06DAFDF9" w14:textId="77777777" w:rsidTr="00E5293C">
        <w:trPr>
          <w:cnfStyle w:val="000000010000" w:firstRow="0" w:lastRow="0" w:firstColumn="0" w:lastColumn="0" w:oddVBand="0" w:evenVBand="0" w:oddHBand="0" w:evenHBand="1" w:firstRowFirstColumn="0" w:firstRowLastColumn="0" w:lastRowFirstColumn="0" w:lastRowLastColumn="0"/>
        </w:trPr>
        <w:tc>
          <w:tcPr>
            <w:tcW w:w="2254" w:type="dxa"/>
          </w:tcPr>
          <w:p w14:paraId="7A20EEC7" w14:textId="5C22FF25"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12 – Knee</w:t>
            </w:r>
          </w:p>
        </w:tc>
        <w:tc>
          <w:tcPr>
            <w:tcW w:w="3558" w:type="dxa"/>
          </w:tcPr>
          <w:p w14:paraId="5C7537C9" w14:textId="361429D2" w:rsidR="00E5293C" w:rsidRPr="004A357C" w:rsidRDefault="00E5293C" w:rsidP="00E5293C">
            <w:pPr>
              <w:pStyle w:val="TableNText"/>
              <w:spacing w:before="60" w:after="60" w:line="240" w:lineRule="auto"/>
              <w:jc w:val="center"/>
              <w:outlineLvl w:val="3"/>
            </w:pPr>
            <w:r w:rsidRPr="00CF2318">
              <w:t>16</w:t>
            </w:r>
          </w:p>
        </w:tc>
        <w:tc>
          <w:tcPr>
            <w:tcW w:w="3119" w:type="dxa"/>
          </w:tcPr>
          <w:p w14:paraId="17E9FEA7" w14:textId="797FCC0D" w:rsidR="00E5293C" w:rsidRPr="004A357C" w:rsidRDefault="00E5293C" w:rsidP="00E5293C">
            <w:pPr>
              <w:pStyle w:val="TableNText"/>
              <w:spacing w:before="60" w:after="60" w:line="240" w:lineRule="auto"/>
              <w:jc w:val="center"/>
              <w:outlineLvl w:val="3"/>
            </w:pPr>
            <w:r w:rsidRPr="00CF2318">
              <w:t>306</w:t>
            </w:r>
          </w:p>
        </w:tc>
      </w:tr>
      <w:tr w:rsidR="00E5293C" w:rsidRPr="004A357C" w14:paraId="2515EA35" w14:textId="77777777" w:rsidTr="00E5293C">
        <w:trPr>
          <w:cnfStyle w:val="000000100000" w:firstRow="0" w:lastRow="0" w:firstColumn="0" w:lastColumn="0" w:oddVBand="0" w:evenVBand="0" w:oddHBand="1" w:evenHBand="0" w:firstRowFirstColumn="0" w:firstRowLastColumn="0" w:lastRowFirstColumn="0" w:lastRowLastColumn="0"/>
        </w:trPr>
        <w:tc>
          <w:tcPr>
            <w:tcW w:w="2254" w:type="dxa"/>
          </w:tcPr>
          <w:p w14:paraId="1A4E00DE" w14:textId="45A31731"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13 – Spinal</w:t>
            </w:r>
          </w:p>
        </w:tc>
        <w:tc>
          <w:tcPr>
            <w:tcW w:w="3558" w:type="dxa"/>
          </w:tcPr>
          <w:p w14:paraId="3D83FC19" w14:textId="18BA203A" w:rsidR="00E5293C" w:rsidRPr="004A357C" w:rsidRDefault="00E5293C" w:rsidP="00E5293C">
            <w:pPr>
              <w:pStyle w:val="TableNText"/>
              <w:spacing w:before="60" w:after="60" w:line="240" w:lineRule="auto"/>
              <w:jc w:val="center"/>
              <w:outlineLvl w:val="3"/>
            </w:pPr>
            <w:r w:rsidRPr="00CF2318">
              <w:t>51</w:t>
            </w:r>
          </w:p>
        </w:tc>
        <w:tc>
          <w:tcPr>
            <w:tcW w:w="3119" w:type="dxa"/>
          </w:tcPr>
          <w:p w14:paraId="0B6B0E72" w14:textId="7582CD6C" w:rsidR="00E5293C" w:rsidRPr="004A357C" w:rsidRDefault="00E5293C" w:rsidP="00E5293C">
            <w:pPr>
              <w:pStyle w:val="TableNText"/>
              <w:spacing w:before="60" w:after="60" w:line="240" w:lineRule="auto"/>
              <w:jc w:val="center"/>
              <w:outlineLvl w:val="3"/>
            </w:pPr>
            <w:r w:rsidRPr="00CF2318">
              <w:t>1</w:t>
            </w:r>
            <w:r>
              <w:t>,</w:t>
            </w:r>
            <w:r w:rsidRPr="00CF2318">
              <w:t>417</w:t>
            </w:r>
          </w:p>
        </w:tc>
      </w:tr>
      <w:tr w:rsidR="00E5293C" w:rsidRPr="004A357C" w14:paraId="4B3C0B8E" w14:textId="77777777" w:rsidTr="00E5293C">
        <w:trPr>
          <w:cnfStyle w:val="000000010000" w:firstRow="0" w:lastRow="0" w:firstColumn="0" w:lastColumn="0" w:oddVBand="0" w:evenVBand="0" w:oddHBand="0" w:evenHBand="1" w:firstRowFirstColumn="0" w:firstRowLastColumn="0" w:lastRowFirstColumn="0" w:lastRowLastColumn="0"/>
        </w:trPr>
        <w:tc>
          <w:tcPr>
            <w:tcW w:w="2254" w:type="dxa"/>
          </w:tcPr>
          <w:p w14:paraId="54C6AEF9" w14:textId="77777777" w:rsidR="00E5293C" w:rsidRPr="004A357C" w:rsidRDefault="00E5293C" w:rsidP="00E5293C">
            <w:pPr>
              <w:pStyle w:val="TableNText"/>
              <w:spacing w:before="60" w:after="60" w:line="240" w:lineRule="auto"/>
              <w:outlineLvl w:val="3"/>
              <w:rPr>
                <w:rFonts w:asciiTheme="majorHAnsi" w:hAnsiTheme="majorHAnsi" w:cstheme="majorHAnsi"/>
              </w:rPr>
            </w:pPr>
            <w:r w:rsidRPr="004A357C">
              <w:rPr>
                <w:rFonts w:asciiTheme="majorHAnsi" w:hAnsiTheme="majorHAnsi" w:cstheme="majorHAnsi"/>
              </w:rPr>
              <w:t>Total</w:t>
            </w:r>
          </w:p>
        </w:tc>
        <w:tc>
          <w:tcPr>
            <w:tcW w:w="3558" w:type="dxa"/>
          </w:tcPr>
          <w:p w14:paraId="65335761" w14:textId="047478D8" w:rsidR="00E5293C" w:rsidRPr="004A357C" w:rsidRDefault="00E5293C" w:rsidP="00E5293C">
            <w:pPr>
              <w:pStyle w:val="TableNText"/>
              <w:spacing w:before="60" w:after="60" w:line="240" w:lineRule="auto"/>
              <w:jc w:val="center"/>
              <w:outlineLvl w:val="3"/>
              <w:rPr>
                <w:rFonts w:asciiTheme="majorHAnsi" w:hAnsiTheme="majorHAnsi" w:cstheme="majorHAnsi"/>
              </w:rPr>
            </w:pPr>
            <w:r w:rsidRPr="00CF2318">
              <w:t>536</w:t>
            </w:r>
          </w:p>
        </w:tc>
        <w:tc>
          <w:tcPr>
            <w:tcW w:w="3119" w:type="dxa"/>
          </w:tcPr>
          <w:p w14:paraId="7DAC04AB" w14:textId="360FABBC" w:rsidR="00E5293C" w:rsidRPr="004A357C" w:rsidRDefault="00E5293C" w:rsidP="00E5293C">
            <w:pPr>
              <w:pStyle w:val="TableNText"/>
              <w:spacing w:before="60" w:after="60" w:line="240" w:lineRule="auto"/>
              <w:jc w:val="center"/>
              <w:outlineLvl w:val="3"/>
              <w:rPr>
                <w:rFonts w:asciiTheme="majorHAnsi" w:hAnsiTheme="majorHAnsi" w:cstheme="majorHAnsi"/>
              </w:rPr>
            </w:pPr>
            <w:r w:rsidRPr="00CF2318">
              <w:t>5</w:t>
            </w:r>
            <w:r>
              <w:t>,</w:t>
            </w:r>
            <w:r w:rsidRPr="00CF2318">
              <w:t>006</w:t>
            </w:r>
          </w:p>
        </w:tc>
      </w:tr>
    </w:tbl>
    <w:p w14:paraId="73A3691D" w14:textId="77777777" w:rsidR="006B7BBA" w:rsidRPr="004A357C" w:rsidRDefault="006B7BBA" w:rsidP="006B7BBA"/>
    <w:p w14:paraId="0DCAFB94" w14:textId="21B167B0" w:rsidR="00E14A9B" w:rsidRPr="004A357C" w:rsidRDefault="00666A7D" w:rsidP="00666A7D">
      <w:pPr>
        <w:pStyle w:val="xAppendixLevel2"/>
      </w:pPr>
      <w:bookmarkStart w:id="121" w:name="_Ref199758364"/>
      <w:bookmarkStart w:id="122" w:name="_Toc209176985"/>
      <w:r w:rsidRPr="004A357C">
        <w:lastRenderedPageBreak/>
        <w:t>Indicator 2: Change in the size of the gap between PL benefits and prices paid in more competitive markets</w:t>
      </w:r>
      <w:bookmarkEnd w:id="121"/>
      <w:bookmarkEnd w:id="122"/>
    </w:p>
    <w:p w14:paraId="6BB61FED" w14:textId="19BAF49F" w:rsidR="00C54FAC" w:rsidRPr="004A357C" w:rsidRDefault="00C54FAC" w:rsidP="00C54FAC">
      <w:pPr>
        <w:pStyle w:val="Heading4"/>
      </w:pPr>
      <w:r w:rsidRPr="004A357C">
        <w:rPr>
          <w:color w:val="F25E21" w:themeColor="accent2"/>
        </w:rPr>
        <w:t xml:space="preserve">Measure 2.1: </w:t>
      </w:r>
      <w:r w:rsidRPr="004A357C">
        <w:t>Overall savings associated with benefit reductions</w:t>
      </w:r>
    </w:p>
    <w:p w14:paraId="3479D05F" w14:textId="3BD4D12A" w:rsidR="00594D3C" w:rsidRDefault="002E3C85" w:rsidP="00705806">
      <w:r w:rsidRPr="004A357C">
        <w:t xml:space="preserve">The evaluation </w:t>
      </w:r>
      <w:r w:rsidR="005D60CE" w:rsidRPr="004A357C">
        <w:t>relie</w:t>
      </w:r>
      <w:r w:rsidRPr="004A357C">
        <w:t xml:space="preserve">s </w:t>
      </w:r>
      <w:r w:rsidR="005D60CE" w:rsidRPr="004A357C">
        <w:t xml:space="preserve">on </w:t>
      </w:r>
      <w:r w:rsidRPr="004A357C">
        <w:t>analys</w:t>
      </w:r>
      <w:r w:rsidR="00594D3C">
        <w:t>es</w:t>
      </w:r>
      <w:r w:rsidRPr="004A357C">
        <w:t xml:space="preserve"> conducted by IHACPA </w:t>
      </w:r>
      <w:r w:rsidR="00B53E65" w:rsidRPr="004A357C">
        <w:t>in December 20</w:t>
      </w:r>
      <w:r w:rsidR="00271949" w:rsidRPr="004A357C">
        <w:t>2</w:t>
      </w:r>
      <w:r w:rsidR="00B53E65" w:rsidRPr="004A357C">
        <w:t xml:space="preserve">3 </w:t>
      </w:r>
      <w:r w:rsidR="009E2CD4" w:rsidRPr="004A357C">
        <w:t>to report on estimates of overall savings</w:t>
      </w:r>
      <w:r w:rsidR="00AD2FBB" w:rsidRPr="004A357C">
        <w:t xml:space="preserve"> associated with benefit reductions</w:t>
      </w:r>
      <w:r w:rsidR="00594D3C">
        <w:t>:</w:t>
      </w:r>
    </w:p>
    <w:p w14:paraId="54AAC19E" w14:textId="6FE47AEE" w:rsidR="00594D3C" w:rsidRDefault="00852416" w:rsidP="00594D3C">
      <w:pPr>
        <w:pStyle w:val="Bullet"/>
      </w:pPr>
      <w:r>
        <w:rPr>
          <w:i/>
          <w:iCs/>
        </w:rPr>
        <w:t>‘</w:t>
      </w:r>
      <w:r w:rsidR="00594D3C" w:rsidRPr="00594D3C">
        <w:rPr>
          <w:i/>
          <w:iCs/>
        </w:rPr>
        <w:t>Updated estimates of projected benefits and savings associated with Prescribed List reforms</w:t>
      </w:r>
      <w:r>
        <w:rPr>
          <w:i/>
          <w:iCs/>
        </w:rPr>
        <w:t>’</w:t>
      </w:r>
      <w:r w:rsidR="00594D3C">
        <w:t xml:space="preserve"> (</w:t>
      </w:r>
      <w:r w:rsidR="00594D3C" w:rsidRPr="00594D3C">
        <w:t>13 December 2023</w:t>
      </w:r>
      <w:r w:rsidR="00594D3C">
        <w:t xml:space="preserve">) </w:t>
      </w:r>
      <w:r>
        <w:t>estimates</w:t>
      </w:r>
      <w:r w:rsidR="00D4070F">
        <w:t xml:space="preserve"> </w:t>
      </w:r>
      <w:r w:rsidR="00594D3C">
        <w:t>projected savings</w:t>
      </w:r>
      <w:r w:rsidR="00C4452B">
        <w:t xml:space="preserve"> from July 2022 to June 202</w:t>
      </w:r>
      <w:r>
        <w:t>7</w:t>
      </w:r>
      <w:r w:rsidR="0085714D">
        <w:t>.</w:t>
      </w:r>
    </w:p>
    <w:p w14:paraId="4CEB7D27" w14:textId="7D7059C9" w:rsidR="00705806" w:rsidRDefault="006F392C" w:rsidP="00594D3C">
      <w:pPr>
        <w:pStyle w:val="Bullet"/>
      </w:pPr>
      <w:r w:rsidRPr="006F392C">
        <w:rPr>
          <w:i/>
          <w:iCs/>
        </w:rPr>
        <w:t>‘</w:t>
      </w:r>
      <w:r w:rsidR="00D4070F" w:rsidRPr="006F392C">
        <w:rPr>
          <w:i/>
          <w:iCs/>
        </w:rPr>
        <w:t>Analysis on prescribed list benefit reductions for general use items (GUIs) and projected savings</w:t>
      </w:r>
      <w:r w:rsidRPr="006F392C">
        <w:rPr>
          <w:i/>
          <w:iCs/>
        </w:rPr>
        <w:t>’</w:t>
      </w:r>
      <w:r w:rsidR="00D4070F">
        <w:t xml:space="preserve"> (20 January 2025) </w:t>
      </w:r>
      <w:r w:rsidR="00852416">
        <w:t xml:space="preserve">estimates savings </w:t>
      </w:r>
      <w:r>
        <w:t xml:space="preserve">from </w:t>
      </w:r>
      <w:r w:rsidR="00852416">
        <w:t>July 2022 to</w:t>
      </w:r>
      <w:r>
        <w:t xml:space="preserve"> June 2024</w:t>
      </w:r>
      <w:r w:rsidR="0085714D">
        <w:t>.</w:t>
      </w:r>
    </w:p>
    <w:p w14:paraId="44332385" w14:textId="70B3F9D1" w:rsidR="003C3287" w:rsidRPr="004A357C" w:rsidRDefault="003921A5" w:rsidP="00594D3C">
      <w:r w:rsidRPr="004A357C">
        <w:t>Th</w:t>
      </w:r>
      <w:r w:rsidR="00D06CF3" w:rsidRPr="004A357C">
        <w:t xml:space="preserve">e Department provided instructions and advice </w:t>
      </w:r>
      <w:r w:rsidR="006C4993" w:rsidRPr="004A357C">
        <w:t>to IHACPA to conduct th</w:t>
      </w:r>
      <w:r w:rsidR="009549FD">
        <w:t>ese</w:t>
      </w:r>
      <w:r w:rsidRPr="004A357C">
        <w:t xml:space="preserve"> </w:t>
      </w:r>
      <w:r w:rsidR="00D06CF3" w:rsidRPr="004A357C">
        <w:t>analys</w:t>
      </w:r>
      <w:r w:rsidR="009549FD">
        <w:t>es</w:t>
      </w:r>
      <w:r w:rsidR="006C4993" w:rsidRPr="004A357C">
        <w:t xml:space="preserve">, </w:t>
      </w:r>
      <w:r w:rsidRPr="004A357C">
        <w:t>includ</w:t>
      </w:r>
      <w:r w:rsidR="006C4993" w:rsidRPr="004A357C">
        <w:t>ing</w:t>
      </w:r>
      <w:r w:rsidRPr="004A357C">
        <w:t xml:space="preserve"> </w:t>
      </w:r>
      <w:r w:rsidR="006C4993" w:rsidRPr="004A357C">
        <w:t xml:space="preserve">miscellaneous </w:t>
      </w:r>
      <w:r w:rsidRPr="004A357C">
        <w:t xml:space="preserve">adjustments </w:t>
      </w:r>
      <w:r w:rsidR="006C4993" w:rsidRPr="004A357C">
        <w:t>to account for additional factors.</w:t>
      </w:r>
      <w:r w:rsidR="00A14CFD" w:rsidRPr="004A357C">
        <w:rPr>
          <w:rStyle w:val="FootnoteReference"/>
        </w:rPr>
        <w:footnoteReference w:id="130"/>
      </w:r>
      <w:r w:rsidR="006C4993" w:rsidRPr="004A357C">
        <w:t xml:space="preserve"> </w:t>
      </w:r>
      <w:r w:rsidR="003959DA" w:rsidRPr="004A357C">
        <w:t xml:space="preserve">As discussed in Appendix B.2 of the </w:t>
      </w:r>
      <w:r w:rsidR="003959DA" w:rsidRPr="004A357C">
        <w:rPr>
          <w:i/>
        </w:rPr>
        <w:t>Interim Evaluation #1 report</w:t>
      </w:r>
      <w:r w:rsidR="00C90CED" w:rsidRPr="004A357C">
        <w:t>,</w:t>
      </w:r>
      <w:r w:rsidR="00C90CED" w:rsidRPr="004A357C">
        <w:rPr>
          <w:rStyle w:val="FootnoteReference"/>
        </w:rPr>
        <w:footnoteReference w:id="131"/>
      </w:r>
      <w:r w:rsidR="00C90CED" w:rsidRPr="004A357C">
        <w:t xml:space="preserve"> the Nous evaluation team </w:t>
      </w:r>
      <w:r w:rsidR="00FC4E6C">
        <w:t xml:space="preserve">has not </w:t>
      </w:r>
      <w:r w:rsidR="00592409" w:rsidRPr="004A357C">
        <w:t>been</w:t>
      </w:r>
      <w:r w:rsidR="0067308A" w:rsidRPr="004A357C">
        <w:t xml:space="preserve"> able to independently validate these estimates through analysis of the same data sources following only the policy parameters of the MOU</w:t>
      </w:r>
      <w:r w:rsidR="00F96F39" w:rsidRPr="004A357C">
        <w:t>.</w:t>
      </w:r>
    </w:p>
    <w:p w14:paraId="2A9047FE" w14:textId="2406AAB8" w:rsidR="006E1989" w:rsidRPr="004A357C" w:rsidRDefault="00CE0711" w:rsidP="00C54FAC">
      <w:r w:rsidRPr="004A357C">
        <w:t>The evaluation anticipates that the Department and IHACPA will provide stakeholder</w:t>
      </w:r>
      <w:r w:rsidR="002863C2" w:rsidRPr="004A357C">
        <w:t>s</w:t>
      </w:r>
      <w:r w:rsidRPr="004A357C">
        <w:t xml:space="preserve"> a f</w:t>
      </w:r>
      <w:r w:rsidR="00E0051F" w:rsidRPr="004A357C">
        <w:t>urther</w:t>
      </w:r>
      <w:r w:rsidRPr="004A357C">
        <w:t xml:space="preserve"> update to these savings estimates </w:t>
      </w:r>
      <w:r w:rsidR="00CF674C">
        <w:t>prior to the end of the evaluation period</w:t>
      </w:r>
      <w:r w:rsidR="00807DAA" w:rsidRPr="004A357C">
        <w:t>.</w:t>
      </w:r>
    </w:p>
    <w:p w14:paraId="678B981F" w14:textId="10CCAA1F" w:rsidR="00553F09" w:rsidRPr="004A357C" w:rsidRDefault="00553F09" w:rsidP="00B50EE7">
      <w:pPr>
        <w:pStyle w:val="Caption"/>
      </w:pPr>
      <w:r w:rsidRPr="004A357C">
        <w:t xml:space="preserve">Table </w:t>
      </w:r>
      <w:r w:rsidR="002604D0">
        <w:fldChar w:fldCharType="begin"/>
      </w:r>
      <w:r w:rsidR="002604D0">
        <w:instrText xml:space="preserve"> SEQ Table \* ARABIC </w:instrText>
      </w:r>
      <w:r w:rsidR="002604D0">
        <w:fldChar w:fldCharType="separate"/>
      </w:r>
      <w:r w:rsidR="00D30634">
        <w:rPr>
          <w:noProof/>
        </w:rPr>
        <w:t>24</w:t>
      </w:r>
      <w:r w:rsidR="002604D0">
        <w:fldChar w:fldCharType="end"/>
      </w:r>
      <w:r w:rsidRPr="004A357C">
        <w:t xml:space="preserve"> | Projected savings</w:t>
      </w:r>
      <w:r w:rsidR="00587502">
        <w:t xml:space="preserve"> (based on IHACPA’s December 2023 analysis)</w:t>
      </w:r>
      <w:r w:rsidR="009A1FC8" w:rsidRPr="004A357C">
        <w:rPr>
          <w:rStyle w:val="FootnoteReference"/>
        </w:rPr>
        <w:footnoteReference w:id="132"/>
      </w:r>
    </w:p>
    <w:tbl>
      <w:tblPr>
        <w:tblStyle w:val="NOUS1"/>
        <w:tblW w:w="8931" w:type="dxa"/>
        <w:tblLook w:val="04A0" w:firstRow="1" w:lastRow="0" w:firstColumn="1" w:lastColumn="0" w:noHBand="0" w:noVBand="1"/>
      </w:tblPr>
      <w:tblGrid>
        <w:gridCol w:w="1134"/>
        <w:gridCol w:w="2552"/>
        <w:gridCol w:w="2693"/>
        <w:gridCol w:w="2552"/>
      </w:tblGrid>
      <w:tr w:rsidR="00CC01F7" w:rsidRPr="004A357C" w14:paraId="058089BD" w14:textId="77777777" w:rsidTr="00FB712C">
        <w:trPr>
          <w:cnfStyle w:val="100000000000" w:firstRow="1" w:lastRow="0" w:firstColumn="0" w:lastColumn="0" w:oddVBand="0" w:evenVBand="0" w:oddHBand="0" w:evenHBand="0" w:firstRowFirstColumn="0" w:firstRowLastColumn="0" w:lastRowFirstColumn="0" w:lastRowLastColumn="0"/>
        </w:trPr>
        <w:tc>
          <w:tcPr>
            <w:tcW w:w="1134" w:type="dxa"/>
            <w:vAlign w:val="center"/>
          </w:tcPr>
          <w:p w14:paraId="63D713FA" w14:textId="52ED9748" w:rsidR="00CC01F7" w:rsidRPr="004A357C" w:rsidRDefault="00CC01F7" w:rsidP="00FB712C">
            <w:pPr>
              <w:pStyle w:val="TableNheader"/>
              <w:spacing w:before="60" w:after="60" w:line="240" w:lineRule="auto"/>
              <w:jc w:val="center"/>
            </w:pPr>
            <w:r w:rsidRPr="004A357C">
              <w:t>Scope of items</w:t>
            </w:r>
          </w:p>
        </w:tc>
        <w:tc>
          <w:tcPr>
            <w:tcW w:w="2552" w:type="dxa"/>
            <w:vAlign w:val="center"/>
          </w:tcPr>
          <w:p w14:paraId="4D26436C" w14:textId="7FD19758" w:rsidR="00CC01F7" w:rsidRPr="004A357C" w:rsidRDefault="00CC01F7" w:rsidP="00FB712C">
            <w:pPr>
              <w:pStyle w:val="TableNheader"/>
              <w:spacing w:before="60" w:after="60" w:line="240" w:lineRule="auto"/>
              <w:jc w:val="center"/>
            </w:pPr>
            <w:r w:rsidRPr="004A357C">
              <w:t>Savings period</w:t>
            </w:r>
          </w:p>
        </w:tc>
        <w:tc>
          <w:tcPr>
            <w:tcW w:w="2693" w:type="dxa"/>
            <w:vAlign w:val="center"/>
          </w:tcPr>
          <w:p w14:paraId="5828E783" w14:textId="77777777" w:rsidR="00334599" w:rsidRPr="004A357C" w:rsidRDefault="00334599" w:rsidP="00FB712C">
            <w:pPr>
              <w:pStyle w:val="TableNheader"/>
              <w:spacing w:before="60" w:after="60" w:line="240" w:lineRule="auto"/>
              <w:jc w:val="center"/>
            </w:pPr>
            <w:r w:rsidRPr="004A357C">
              <w:t>Lower savings estimate</w:t>
            </w:r>
          </w:p>
          <w:p w14:paraId="4FF56BC3" w14:textId="344661DC" w:rsidR="00CC01F7" w:rsidRPr="004A357C" w:rsidRDefault="00334599" w:rsidP="00FB712C">
            <w:pPr>
              <w:pStyle w:val="TableNheader"/>
              <w:spacing w:before="60" w:after="60" w:line="240" w:lineRule="auto"/>
              <w:jc w:val="center"/>
            </w:pPr>
            <w:r w:rsidRPr="004A357C">
              <w:t>(0% annual growth)</w:t>
            </w:r>
          </w:p>
        </w:tc>
        <w:tc>
          <w:tcPr>
            <w:tcW w:w="2552" w:type="dxa"/>
            <w:vAlign w:val="center"/>
          </w:tcPr>
          <w:p w14:paraId="667B351C" w14:textId="77777777" w:rsidR="00334599" w:rsidRPr="004A357C" w:rsidRDefault="00334599" w:rsidP="00FB712C">
            <w:pPr>
              <w:pStyle w:val="TableNheader"/>
              <w:spacing w:before="60" w:after="60" w:line="240" w:lineRule="auto"/>
              <w:jc w:val="center"/>
            </w:pPr>
            <w:r w:rsidRPr="004A357C">
              <w:t>Upper savings estimate</w:t>
            </w:r>
          </w:p>
          <w:p w14:paraId="1533F667" w14:textId="1FB15ABA" w:rsidR="00CC01F7" w:rsidRPr="004A357C" w:rsidRDefault="00334599" w:rsidP="00FB712C">
            <w:pPr>
              <w:pStyle w:val="TableNheader"/>
              <w:spacing w:before="60" w:after="60" w:line="240" w:lineRule="auto"/>
              <w:jc w:val="center"/>
            </w:pPr>
            <w:r w:rsidRPr="004A357C">
              <w:t>(5% annual growth)</w:t>
            </w:r>
          </w:p>
        </w:tc>
      </w:tr>
      <w:tr w:rsidR="00AC7F0C" w:rsidRPr="004A357C" w14:paraId="73CA0BB5" w14:textId="77777777" w:rsidTr="00FB712C">
        <w:tc>
          <w:tcPr>
            <w:tcW w:w="1134" w:type="dxa"/>
            <w:vMerge w:val="restart"/>
            <w:vAlign w:val="center"/>
          </w:tcPr>
          <w:p w14:paraId="2F30D39B" w14:textId="6DF7B0E1" w:rsidR="00AC7F0C" w:rsidRPr="004A357C" w:rsidRDefault="00AC7F0C"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All items</w:t>
            </w:r>
          </w:p>
        </w:tc>
        <w:tc>
          <w:tcPr>
            <w:tcW w:w="2552" w:type="dxa"/>
            <w:vAlign w:val="center"/>
          </w:tcPr>
          <w:p w14:paraId="5D1C9B13" w14:textId="1EB6EF23" w:rsidR="00AC7F0C" w:rsidRPr="004A357C" w:rsidRDefault="00AC7F0C"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 xml:space="preserve">Savings </w:t>
            </w:r>
            <w:r w:rsidR="00F065B8">
              <w:rPr>
                <w:rFonts w:asciiTheme="majorHAnsi" w:hAnsiTheme="majorHAnsi" w:cstheme="majorHAnsi"/>
              </w:rPr>
              <w:t>to date</w:t>
            </w:r>
          </w:p>
          <w:p w14:paraId="7F32A0C5" w14:textId="2D760D82" w:rsidR="00AC7F0C" w:rsidRPr="004A357C" w:rsidRDefault="00AC7F0C" w:rsidP="00FB712C">
            <w:pPr>
              <w:pStyle w:val="TableNText"/>
              <w:spacing w:before="60" w:after="60" w:line="240" w:lineRule="auto"/>
              <w:jc w:val="center"/>
            </w:pPr>
            <w:r w:rsidRPr="004A357C">
              <w:t>(July 2022 to June 2025)</w:t>
            </w:r>
          </w:p>
        </w:tc>
        <w:tc>
          <w:tcPr>
            <w:tcW w:w="2693" w:type="dxa"/>
            <w:vAlign w:val="center"/>
          </w:tcPr>
          <w:p w14:paraId="544EA000" w14:textId="0AC801D0" w:rsidR="00AC7F0C" w:rsidRPr="004A357C" w:rsidRDefault="00AC7F0C" w:rsidP="00FB712C">
            <w:pPr>
              <w:pStyle w:val="TableNText"/>
              <w:spacing w:before="60" w:after="60" w:line="240" w:lineRule="auto"/>
              <w:jc w:val="center"/>
            </w:pPr>
            <w:r w:rsidRPr="004A357C">
              <w:t>$514 million</w:t>
            </w:r>
          </w:p>
        </w:tc>
        <w:tc>
          <w:tcPr>
            <w:tcW w:w="2552" w:type="dxa"/>
            <w:vAlign w:val="center"/>
          </w:tcPr>
          <w:p w14:paraId="675CF258" w14:textId="35FA2C14" w:rsidR="00AC7F0C" w:rsidRPr="004A357C" w:rsidRDefault="00AC7F0C" w:rsidP="00FB712C">
            <w:pPr>
              <w:pStyle w:val="TableNText"/>
              <w:spacing w:before="60" w:after="60" w:line="240" w:lineRule="auto"/>
              <w:jc w:val="center"/>
            </w:pPr>
            <w:r w:rsidRPr="004A357C">
              <w:t>$547 million</w:t>
            </w:r>
          </w:p>
        </w:tc>
      </w:tr>
      <w:tr w:rsidR="00AC7F0C" w:rsidRPr="004A357C" w14:paraId="5ECA5EFF" w14:textId="77777777" w:rsidTr="00FB712C">
        <w:tc>
          <w:tcPr>
            <w:tcW w:w="1134" w:type="dxa"/>
            <w:vMerge/>
            <w:vAlign w:val="center"/>
          </w:tcPr>
          <w:p w14:paraId="2930149E" w14:textId="77777777" w:rsidR="00AC7F0C" w:rsidRPr="004A357C" w:rsidRDefault="00AC7F0C" w:rsidP="00FB712C">
            <w:pPr>
              <w:pStyle w:val="TableNText"/>
              <w:spacing w:before="60" w:after="60" w:line="240" w:lineRule="auto"/>
              <w:jc w:val="center"/>
              <w:rPr>
                <w:rFonts w:asciiTheme="majorHAnsi" w:hAnsiTheme="majorHAnsi" w:cstheme="majorHAnsi"/>
              </w:rPr>
            </w:pPr>
          </w:p>
        </w:tc>
        <w:tc>
          <w:tcPr>
            <w:tcW w:w="2552" w:type="dxa"/>
            <w:vAlign w:val="center"/>
          </w:tcPr>
          <w:p w14:paraId="24F0F365" w14:textId="77777777" w:rsidR="00AC7F0C" w:rsidRPr="004A357C" w:rsidRDefault="00AC7F0C"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Five-year projected savings</w:t>
            </w:r>
          </w:p>
          <w:p w14:paraId="3493C099" w14:textId="4AB621E3" w:rsidR="00AC7F0C" w:rsidRPr="004A357C" w:rsidRDefault="00AC7F0C" w:rsidP="00FB712C">
            <w:pPr>
              <w:pStyle w:val="TableNText"/>
              <w:spacing w:before="60" w:after="60" w:line="240" w:lineRule="auto"/>
              <w:jc w:val="center"/>
            </w:pPr>
            <w:r w:rsidRPr="004A357C">
              <w:t>(July 2022 to June 2027)</w:t>
            </w:r>
          </w:p>
        </w:tc>
        <w:tc>
          <w:tcPr>
            <w:tcW w:w="2693" w:type="dxa"/>
            <w:vAlign w:val="center"/>
          </w:tcPr>
          <w:p w14:paraId="23508733" w14:textId="5979D8DA" w:rsidR="00AC7F0C" w:rsidRPr="004A357C" w:rsidRDefault="00AC7F0C" w:rsidP="00FB712C">
            <w:pPr>
              <w:pStyle w:val="TableNText"/>
              <w:spacing w:before="60" w:after="60" w:line="240" w:lineRule="auto"/>
              <w:jc w:val="center"/>
            </w:pPr>
            <w:r w:rsidRPr="004A357C">
              <w:t>$1,042 million</w:t>
            </w:r>
          </w:p>
        </w:tc>
        <w:tc>
          <w:tcPr>
            <w:tcW w:w="2552" w:type="dxa"/>
            <w:vAlign w:val="center"/>
          </w:tcPr>
          <w:p w14:paraId="635F6C4B" w14:textId="3280F804" w:rsidR="00AC7F0C" w:rsidRPr="004A357C" w:rsidRDefault="00AC7F0C" w:rsidP="00FB712C">
            <w:pPr>
              <w:pStyle w:val="TableNText"/>
              <w:spacing w:before="60" w:after="60" w:line="240" w:lineRule="auto"/>
              <w:jc w:val="center"/>
            </w:pPr>
            <w:r w:rsidRPr="004A357C">
              <w:t>$1,173 million</w:t>
            </w:r>
          </w:p>
        </w:tc>
      </w:tr>
      <w:tr w:rsidR="00AC7F0C" w:rsidRPr="004A357C" w14:paraId="6D8C1920" w14:textId="77777777" w:rsidTr="00FB712C">
        <w:tc>
          <w:tcPr>
            <w:tcW w:w="1134" w:type="dxa"/>
            <w:vMerge w:val="restart"/>
            <w:vAlign w:val="center"/>
          </w:tcPr>
          <w:p w14:paraId="7B0D41FA" w14:textId="20977A9A" w:rsidR="00AC7F0C" w:rsidRPr="004A357C" w:rsidRDefault="00AC7F0C"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All items excluding CIEDs</w:t>
            </w:r>
          </w:p>
        </w:tc>
        <w:tc>
          <w:tcPr>
            <w:tcW w:w="2552" w:type="dxa"/>
            <w:vAlign w:val="center"/>
          </w:tcPr>
          <w:p w14:paraId="483EE425" w14:textId="77777777" w:rsidR="00AC7F0C" w:rsidRPr="004A357C" w:rsidRDefault="00AC7F0C"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Savings to date</w:t>
            </w:r>
          </w:p>
          <w:p w14:paraId="46A8FC32" w14:textId="2FC341C0" w:rsidR="00AC7F0C" w:rsidRPr="004A357C" w:rsidRDefault="00AC7F0C" w:rsidP="00FB712C">
            <w:pPr>
              <w:pStyle w:val="TableNText"/>
              <w:spacing w:before="60" w:after="60" w:line="240" w:lineRule="auto"/>
              <w:jc w:val="center"/>
            </w:pPr>
            <w:r w:rsidRPr="004A357C">
              <w:t>(July 2022 to June 2025)</w:t>
            </w:r>
          </w:p>
        </w:tc>
        <w:tc>
          <w:tcPr>
            <w:tcW w:w="2693" w:type="dxa"/>
            <w:vAlign w:val="center"/>
          </w:tcPr>
          <w:p w14:paraId="5BDFE50D" w14:textId="18B77C9C" w:rsidR="00AC7F0C" w:rsidRPr="004A357C" w:rsidRDefault="00AC7F0C" w:rsidP="00FB712C">
            <w:pPr>
              <w:pStyle w:val="TableNText"/>
              <w:spacing w:before="60" w:after="60" w:line="240" w:lineRule="auto"/>
              <w:jc w:val="center"/>
            </w:pPr>
            <w:r w:rsidRPr="004A357C">
              <w:t>$431 million</w:t>
            </w:r>
          </w:p>
        </w:tc>
        <w:tc>
          <w:tcPr>
            <w:tcW w:w="2552" w:type="dxa"/>
            <w:vAlign w:val="center"/>
          </w:tcPr>
          <w:p w14:paraId="37630A3A" w14:textId="52342744" w:rsidR="00AC7F0C" w:rsidRPr="004A357C" w:rsidRDefault="00AC7F0C" w:rsidP="00FB712C">
            <w:pPr>
              <w:pStyle w:val="TableNText"/>
              <w:spacing w:before="60" w:after="60" w:line="240" w:lineRule="auto"/>
              <w:jc w:val="center"/>
            </w:pPr>
            <w:r w:rsidRPr="004A357C">
              <w:t>$457 million</w:t>
            </w:r>
          </w:p>
        </w:tc>
      </w:tr>
      <w:tr w:rsidR="00AC7F0C" w:rsidRPr="004A357C" w14:paraId="459E45D1" w14:textId="77777777" w:rsidTr="00FB712C">
        <w:tc>
          <w:tcPr>
            <w:tcW w:w="1134" w:type="dxa"/>
            <w:vMerge/>
            <w:vAlign w:val="center"/>
          </w:tcPr>
          <w:p w14:paraId="32ACDA76" w14:textId="77777777" w:rsidR="00AC7F0C" w:rsidRPr="004A357C" w:rsidRDefault="00AC7F0C" w:rsidP="00FB712C">
            <w:pPr>
              <w:pStyle w:val="TableNText"/>
              <w:spacing w:before="60" w:after="60" w:line="240" w:lineRule="auto"/>
              <w:jc w:val="center"/>
            </w:pPr>
          </w:p>
        </w:tc>
        <w:tc>
          <w:tcPr>
            <w:tcW w:w="2552" w:type="dxa"/>
            <w:vAlign w:val="center"/>
          </w:tcPr>
          <w:p w14:paraId="70BE2236" w14:textId="77777777" w:rsidR="00AC7F0C" w:rsidRPr="004A357C" w:rsidRDefault="00AC7F0C"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Five-year projected savings</w:t>
            </w:r>
          </w:p>
          <w:p w14:paraId="2C45A1D5" w14:textId="49336C0D" w:rsidR="00AC7F0C" w:rsidRPr="004A357C" w:rsidRDefault="00AC7F0C" w:rsidP="00FB712C">
            <w:pPr>
              <w:pStyle w:val="TableNText"/>
              <w:spacing w:before="60" w:after="60" w:line="240" w:lineRule="auto"/>
              <w:jc w:val="center"/>
            </w:pPr>
            <w:r w:rsidRPr="004A357C">
              <w:t>(July 2022 to June 2027)</w:t>
            </w:r>
          </w:p>
        </w:tc>
        <w:tc>
          <w:tcPr>
            <w:tcW w:w="2693" w:type="dxa"/>
            <w:vAlign w:val="center"/>
          </w:tcPr>
          <w:p w14:paraId="065E2E5E" w14:textId="35D33731" w:rsidR="00AC7F0C" w:rsidRPr="004A357C" w:rsidRDefault="00AC7F0C" w:rsidP="00FB712C">
            <w:pPr>
              <w:pStyle w:val="TableNText"/>
              <w:spacing w:before="60" w:after="60" w:line="240" w:lineRule="auto"/>
              <w:jc w:val="center"/>
            </w:pPr>
            <w:r w:rsidRPr="004A357C">
              <w:t>$782 million</w:t>
            </w:r>
          </w:p>
        </w:tc>
        <w:tc>
          <w:tcPr>
            <w:tcW w:w="2552" w:type="dxa"/>
            <w:vAlign w:val="center"/>
          </w:tcPr>
          <w:p w14:paraId="66257249" w14:textId="02F92454" w:rsidR="00AC7F0C" w:rsidRPr="004A357C" w:rsidRDefault="00AC7F0C" w:rsidP="00FB712C">
            <w:pPr>
              <w:pStyle w:val="TableNText"/>
              <w:spacing w:before="60" w:after="60" w:line="240" w:lineRule="auto"/>
              <w:jc w:val="center"/>
            </w:pPr>
            <w:r w:rsidRPr="004A357C">
              <w:t>$873 million</w:t>
            </w:r>
          </w:p>
        </w:tc>
      </w:tr>
    </w:tbl>
    <w:p w14:paraId="750B2C7D" w14:textId="77777777" w:rsidR="00AD2FBB" w:rsidRDefault="00AD2FBB" w:rsidP="00C54FAC"/>
    <w:p w14:paraId="7CC9BD3F" w14:textId="08777D97" w:rsidR="00587502" w:rsidRDefault="00F065B8" w:rsidP="00F065B8">
      <w:pPr>
        <w:pStyle w:val="Caption"/>
      </w:pPr>
      <w:r>
        <w:lastRenderedPageBreak/>
        <w:t xml:space="preserve">Table </w:t>
      </w:r>
      <w:r>
        <w:fldChar w:fldCharType="begin"/>
      </w:r>
      <w:r>
        <w:instrText xml:space="preserve"> SEQ Table \* ARABIC </w:instrText>
      </w:r>
      <w:r>
        <w:fldChar w:fldCharType="separate"/>
      </w:r>
      <w:r w:rsidR="00D30634">
        <w:rPr>
          <w:noProof/>
        </w:rPr>
        <w:t>25</w:t>
      </w:r>
      <w:r>
        <w:fldChar w:fldCharType="end"/>
      </w:r>
      <w:r>
        <w:t xml:space="preserve"> | Estimated savings for FY23 and FY24 (IHACPA’s January 2025 analysis)</w:t>
      </w:r>
      <w:r>
        <w:rPr>
          <w:rStyle w:val="FootnoteReference"/>
        </w:rPr>
        <w:footnoteReference w:id="133"/>
      </w:r>
    </w:p>
    <w:tbl>
      <w:tblPr>
        <w:tblStyle w:val="NOUS1"/>
        <w:tblW w:w="0" w:type="auto"/>
        <w:tblLook w:val="04A0" w:firstRow="1" w:lastRow="0" w:firstColumn="1" w:lastColumn="0" w:noHBand="0" w:noVBand="1"/>
      </w:tblPr>
      <w:tblGrid>
        <w:gridCol w:w="2973"/>
        <w:gridCol w:w="2973"/>
        <w:gridCol w:w="2974"/>
      </w:tblGrid>
      <w:tr w:rsidR="00F065B8" w14:paraId="6030BB0D" w14:textId="77777777" w:rsidTr="00F065B8">
        <w:trPr>
          <w:cnfStyle w:val="100000000000" w:firstRow="1" w:lastRow="0" w:firstColumn="0" w:lastColumn="0" w:oddVBand="0" w:evenVBand="0" w:oddHBand="0" w:evenHBand="0" w:firstRowFirstColumn="0" w:firstRowLastColumn="0" w:lastRowFirstColumn="0" w:lastRowLastColumn="0"/>
        </w:trPr>
        <w:tc>
          <w:tcPr>
            <w:tcW w:w="2973" w:type="dxa"/>
          </w:tcPr>
          <w:p w14:paraId="17D659DD" w14:textId="268B1A82" w:rsidR="00F065B8" w:rsidRDefault="00FC4E6C" w:rsidP="00FC4E6C">
            <w:pPr>
              <w:pStyle w:val="TableNheader"/>
              <w:jc w:val="center"/>
            </w:pPr>
            <w:r>
              <w:t>FY23 savings</w:t>
            </w:r>
          </w:p>
        </w:tc>
        <w:tc>
          <w:tcPr>
            <w:tcW w:w="2973" w:type="dxa"/>
          </w:tcPr>
          <w:p w14:paraId="15423CA5" w14:textId="3B95702F" w:rsidR="00F065B8" w:rsidRDefault="00FC4E6C" w:rsidP="00FC4E6C">
            <w:pPr>
              <w:pStyle w:val="TableNheader"/>
              <w:jc w:val="center"/>
            </w:pPr>
            <w:r>
              <w:t>FY24 savings</w:t>
            </w:r>
          </w:p>
        </w:tc>
        <w:tc>
          <w:tcPr>
            <w:tcW w:w="2974" w:type="dxa"/>
          </w:tcPr>
          <w:p w14:paraId="291D32C0" w14:textId="67B8A035" w:rsidR="00F065B8" w:rsidRDefault="00FC4E6C" w:rsidP="00FC4E6C">
            <w:pPr>
              <w:pStyle w:val="TableNheader"/>
              <w:jc w:val="center"/>
            </w:pPr>
            <w:r>
              <w:t>FY23 – FY24 savings</w:t>
            </w:r>
          </w:p>
        </w:tc>
      </w:tr>
      <w:tr w:rsidR="00F065B8" w14:paraId="69C16E63" w14:textId="77777777" w:rsidTr="00F065B8">
        <w:tc>
          <w:tcPr>
            <w:tcW w:w="2973" w:type="dxa"/>
          </w:tcPr>
          <w:p w14:paraId="4884D09E" w14:textId="10AD5BEE" w:rsidR="00F065B8" w:rsidRDefault="00FC4E6C" w:rsidP="00FC4E6C">
            <w:pPr>
              <w:pStyle w:val="TableNText"/>
              <w:jc w:val="center"/>
            </w:pPr>
            <w:r>
              <w:t>$106 million</w:t>
            </w:r>
          </w:p>
        </w:tc>
        <w:tc>
          <w:tcPr>
            <w:tcW w:w="2973" w:type="dxa"/>
          </w:tcPr>
          <w:p w14:paraId="2A4410A5" w14:textId="4C6A7BEA" w:rsidR="00F065B8" w:rsidRDefault="00FC4E6C" w:rsidP="00FC4E6C">
            <w:pPr>
              <w:pStyle w:val="TableNText"/>
              <w:jc w:val="center"/>
            </w:pPr>
            <w:r>
              <w:t>$196 million</w:t>
            </w:r>
          </w:p>
        </w:tc>
        <w:tc>
          <w:tcPr>
            <w:tcW w:w="2974" w:type="dxa"/>
          </w:tcPr>
          <w:p w14:paraId="103F5C37" w14:textId="125A7E7A" w:rsidR="00F065B8" w:rsidRDefault="00FC4E6C" w:rsidP="00FC4E6C">
            <w:pPr>
              <w:pStyle w:val="TableNText"/>
              <w:jc w:val="center"/>
            </w:pPr>
            <w:r>
              <w:t>$302 million</w:t>
            </w:r>
          </w:p>
        </w:tc>
      </w:tr>
    </w:tbl>
    <w:p w14:paraId="63D0180B" w14:textId="77777777" w:rsidR="00F065B8" w:rsidRPr="00F065B8" w:rsidRDefault="00F065B8" w:rsidP="00F065B8"/>
    <w:p w14:paraId="7E976F7F" w14:textId="3F9C002B" w:rsidR="00FE0D85" w:rsidRPr="004A357C" w:rsidRDefault="00FE0D85" w:rsidP="00FE0D85">
      <w:pPr>
        <w:pStyle w:val="Heading4"/>
      </w:pPr>
      <w:r w:rsidRPr="004A357C">
        <w:rPr>
          <w:color w:val="F25E21" w:themeColor="accent2"/>
        </w:rPr>
        <w:t xml:space="preserve">Measure 2.2: </w:t>
      </w:r>
      <w:r w:rsidRPr="004A357C">
        <w:t>Gap between PL benefits and prices in Australian public hospitals</w:t>
      </w:r>
    </w:p>
    <w:p w14:paraId="073493F2" w14:textId="607ADD30" w:rsidR="004A2939" w:rsidRPr="004A357C" w:rsidRDefault="002D538C" w:rsidP="00B50EE7">
      <w:pPr>
        <w:pStyle w:val="Caption"/>
      </w:pPr>
      <w:bookmarkStart w:id="123" w:name="_Ref202612746"/>
      <w:bookmarkStart w:id="124" w:name="_Ref202878064"/>
      <w:r w:rsidRPr="004A357C">
        <w:t>Table</w:t>
      </w:r>
      <w:bookmarkEnd w:id="123"/>
      <w:r w:rsidRPr="004A357C">
        <w:t xml:space="preserve"> </w:t>
      </w:r>
      <w:r w:rsidR="002604D0">
        <w:fldChar w:fldCharType="begin"/>
      </w:r>
      <w:r w:rsidR="002604D0">
        <w:instrText xml:space="preserve"> SEQ Table \* ARABIC </w:instrText>
      </w:r>
      <w:r w:rsidR="002604D0">
        <w:fldChar w:fldCharType="separate"/>
      </w:r>
      <w:r w:rsidR="00D30634">
        <w:rPr>
          <w:noProof/>
        </w:rPr>
        <w:t>26</w:t>
      </w:r>
      <w:r w:rsidR="002604D0">
        <w:fldChar w:fldCharType="end"/>
      </w:r>
      <w:bookmarkEnd w:id="124"/>
      <w:r w:rsidRPr="004A357C">
        <w:t xml:space="preserve"> | Gap between PL benefits and public benchmark prices for items where a gap is present for reduction (Parts A and D, excluding CIEDs)</w:t>
      </w:r>
      <w:r w:rsidR="00D27A39" w:rsidRPr="004A357C">
        <w:rPr>
          <w:rStyle w:val="FootnoteReference"/>
        </w:rPr>
        <w:footnoteReference w:id="134"/>
      </w:r>
    </w:p>
    <w:tbl>
      <w:tblPr>
        <w:tblStyle w:val="NOUSSideHeader1"/>
        <w:tblW w:w="8931" w:type="dxa"/>
        <w:tblLook w:val="04A0" w:firstRow="1" w:lastRow="0" w:firstColumn="1" w:lastColumn="0" w:noHBand="0" w:noVBand="1"/>
      </w:tblPr>
      <w:tblGrid>
        <w:gridCol w:w="2127"/>
        <w:gridCol w:w="1701"/>
        <w:gridCol w:w="1559"/>
        <w:gridCol w:w="1701"/>
        <w:gridCol w:w="1843"/>
      </w:tblGrid>
      <w:tr w:rsidR="00F072F2" w:rsidRPr="004A357C" w14:paraId="10B0894A" w14:textId="77777777" w:rsidTr="00FB712C">
        <w:trPr>
          <w:cnfStyle w:val="100000000000" w:firstRow="1" w:lastRow="0" w:firstColumn="0" w:lastColumn="0" w:oddVBand="0" w:evenVBand="0" w:oddHBand="0" w:evenHBand="0" w:firstRowFirstColumn="0" w:firstRowLastColumn="0" w:lastRowFirstColumn="0" w:lastRowLastColumn="0"/>
        </w:trPr>
        <w:tc>
          <w:tcPr>
            <w:tcW w:w="2127" w:type="dxa"/>
          </w:tcPr>
          <w:p w14:paraId="16DA1CFD" w14:textId="77777777" w:rsidR="00D27A39" w:rsidRPr="004A357C" w:rsidRDefault="00D27A39" w:rsidP="00FB712C">
            <w:pPr>
              <w:pStyle w:val="TableNheader"/>
              <w:spacing w:before="60" w:after="60" w:line="240" w:lineRule="auto"/>
            </w:pPr>
            <w:r w:rsidRPr="004A357C">
              <w:t>Categories</w:t>
            </w:r>
          </w:p>
        </w:tc>
        <w:tc>
          <w:tcPr>
            <w:tcW w:w="1701" w:type="dxa"/>
          </w:tcPr>
          <w:p w14:paraId="4896C617" w14:textId="77777777" w:rsidR="00D27A39" w:rsidRPr="004A357C" w:rsidRDefault="00D27A39" w:rsidP="00FB712C">
            <w:pPr>
              <w:pStyle w:val="TableNheader"/>
              <w:spacing w:before="60" w:after="60" w:line="240" w:lineRule="auto"/>
              <w:jc w:val="center"/>
            </w:pPr>
            <w:r w:rsidRPr="004A357C">
              <w:t>Median gap $</w:t>
            </w:r>
          </w:p>
        </w:tc>
        <w:tc>
          <w:tcPr>
            <w:tcW w:w="1559" w:type="dxa"/>
          </w:tcPr>
          <w:p w14:paraId="5B3A3253" w14:textId="77777777" w:rsidR="00D27A39" w:rsidRPr="004A357C" w:rsidRDefault="00D27A39" w:rsidP="00FB712C">
            <w:pPr>
              <w:pStyle w:val="TableNheader"/>
              <w:spacing w:before="60" w:after="60" w:line="240" w:lineRule="auto"/>
              <w:jc w:val="center"/>
            </w:pPr>
            <w:r w:rsidRPr="004A357C">
              <w:t>Gap $ change</w:t>
            </w:r>
          </w:p>
        </w:tc>
        <w:tc>
          <w:tcPr>
            <w:tcW w:w="1701" w:type="dxa"/>
          </w:tcPr>
          <w:p w14:paraId="62A98F6A" w14:textId="77777777" w:rsidR="00D27A39" w:rsidRPr="004A357C" w:rsidRDefault="00D27A39" w:rsidP="00FB712C">
            <w:pPr>
              <w:pStyle w:val="TableNheader"/>
              <w:spacing w:before="60" w:after="60" w:line="240" w:lineRule="auto"/>
              <w:jc w:val="center"/>
            </w:pPr>
            <w:r w:rsidRPr="004A357C">
              <w:t>Median gap %</w:t>
            </w:r>
          </w:p>
        </w:tc>
        <w:tc>
          <w:tcPr>
            <w:tcW w:w="1843" w:type="dxa"/>
          </w:tcPr>
          <w:p w14:paraId="1DEFB99D" w14:textId="77777777" w:rsidR="00D27A39" w:rsidRPr="004A357C" w:rsidRDefault="00D27A39" w:rsidP="00FB712C">
            <w:pPr>
              <w:pStyle w:val="TableNheader"/>
              <w:spacing w:before="60" w:after="60" w:line="240" w:lineRule="auto"/>
              <w:jc w:val="center"/>
            </w:pPr>
            <w:r w:rsidRPr="004A357C">
              <w:t>Gap % change</w:t>
            </w:r>
          </w:p>
        </w:tc>
      </w:tr>
      <w:tr w:rsidR="00D3309B" w:rsidRPr="004A357C" w14:paraId="5E9C710A" w14:textId="77777777" w:rsidTr="00FB712C">
        <w:trPr>
          <w:cnfStyle w:val="000000100000" w:firstRow="0" w:lastRow="0" w:firstColumn="0" w:lastColumn="0" w:oddVBand="0" w:evenVBand="0" w:oddHBand="1" w:evenHBand="0" w:firstRowFirstColumn="0" w:firstRowLastColumn="0" w:lastRowFirstColumn="0" w:lastRowLastColumn="0"/>
        </w:trPr>
        <w:tc>
          <w:tcPr>
            <w:tcW w:w="2127" w:type="dxa"/>
          </w:tcPr>
          <w:p w14:paraId="5F8F99C6" w14:textId="68FAEE02" w:rsidR="00D3309B" w:rsidRPr="004A357C" w:rsidRDefault="00D3309B" w:rsidP="00FB712C">
            <w:pPr>
              <w:pStyle w:val="TableNText"/>
              <w:spacing w:before="60" w:after="60" w:line="240" w:lineRule="auto"/>
            </w:pPr>
            <w:r w:rsidRPr="004A357C">
              <w:rPr>
                <w:rFonts w:asciiTheme="majorHAnsi" w:hAnsiTheme="majorHAnsi" w:cstheme="majorHAnsi"/>
              </w:rPr>
              <w:t xml:space="preserve">01 </w:t>
            </w:r>
            <w:r w:rsidR="00886310" w:rsidRPr="004A357C">
              <w:rPr>
                <w:rFonts w:asciiTheme="majorHAnsi" w:hAnsiTheme="majorHAnsi" w:cstheme="majorHAnsi"/>
              </w:rPr>
              <w:t>–</w:t>
            </w:r>
            <w:r w:rsidRPr="004A357C">
              <w:rPr>
                <w:rFonts w:asciiTheme="majorHAnsi" w:hAnsiTheme="majorHAnsi" w:cstheme="majorHAnsi"/>
              </w:rPr>
              <w:t xml:space="preserve"> Ophthalmic</w:t>
            </w:r>
          </w:p>
        </w:tc>
        <w:tc>
          <w:tcPr>
            <w:tcW w:w="1701" w:type="dxa"/>
          </w:tcPr>
          <w:p w14:paraId="230B1C1F" w14:textId="58AC5CB3" w:rsidR="00D3309B" w:rsidRPr="004A357C" w:rsidRDefault="00D3309B" w:rsidP="00FB712C">
            <w:pPr>
              <w:pStyle w:val="TableNText"/>
              <w:spacing w:before="60" w:after="60" w:line="240" w:lineRule="auto"/>
              <w:jc w:val="center"/>
              <w:rPr>
                <w:highlight w:val="yellow"/>
              </w:rPr>
            </w:pPr>
            <w:r w:rsidRPr="004A357C">
              <w:t xml:space="preserve"> $25 </w:t>
            </w:r>
          </w:p>
        </w:tc>
        <w:tc>
          <w:tcPr>
            <w:tcW w:w="1559" w:type="dxa"/>
          </w:tcPr>
          <w:p w14:paraId="7C4286E8" w14:textId="5DC003FB"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-$33 </w:t>
            </w:r>
          </w:p>
        </w:tc>
        <w:tc>
          <w:tcPr>
            <w:tcW w:w="1701" w:type="dxa"/>
          </w:tcPr>
          <w:p w14:paraId="1F3E7495" w14:textId="4DE37600" w:rsidR="00D3309B" w:rsidRPr="004A357C" w:rsidRDefault="00D3309B" w:rsidP="00FB712C">
            <w:pPr>
              <w:pStyle w:val="TableNText"/>
              <w:spacing w:before="60" w:after="60" w:line="240" w:lineRule="auto"/>
              <w:jc w:val="center"/>
              <w:rPr>
                <w:highlight w:val="yellow"/>
              </w:rPr>
            </w:pPr>
            <w:r w:rsidRPr="004A357C">
              <w:t>11%</w:t>
            </w:r>
          </w:p>
        </w:tc>
        <w:tc>
          <w:tcPr>
            <w:tcW w:w="1843" w:type="dxa"/>
          </w:tcPr>
          <w:p w14:paraId="3A0B4D2C" w14:textId="4B0A3C3A"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-16%</w:t>
            </w:r>
          </w:p>
        </w:tc>
      </w:tr>
      <w:tr w:rsidR="00D3309B" w:rsidRPr="004A357C" w14:paraId="0B3E33C0" w14:textId="77777777" w:rsidTr="00FB712C">
        <w:trPr>
          <w:cnfStyle w:val="000000010000" w:firstRow="0" w:lastRow="0" w:firstColumn="0" w:lastColumn="0" w:oddVBand="0" w:evenVBand="0" w:oddHBand="0" w:evenHBand="1" w:firstRowFirstColumn="0" w:firstRowLastColumn="0" w:lastRowFirstColumn="0" w:lastRowLastColumn="0"/>
        </w:trPr>
        <w:tc>
          <w:tcPr>
            <w:tcW w:w="2127" w:type="dxa"/>
          </w:tcPr>
          <w:p w14:paraId="32A98797" w14:textId="7D89B49D" w:rsidR="00D3309B" w:rsidRPr="004A357C" w:rsidRDefault="00D3309B" w:rsidP="00FB712C">
            <w:pPr>
              <w:pStyle w:val="TableNText"/>
              <w:spacing w:before="60" w:after="60" w:line="240" w:lineRule="auto"/>
            </w:pPr>
            <w:r w:rsidRPr="004A357C">
              <w:rPr>
                <w:rFonts w:asciiTheme="majorHAnsi" w:hAnsiTheme="majorHAnsi" w:cstheme="majorHAnsi"/>
              </w:rPr>
              <w:t xml:space="preserve">02 </w:t>
            </w:r>
            <w:r w:rsidR="00886310" w:rsidRPr="004A357C">
              <w:rPr>
                <w:rFonts w:asciiTheme="majorHAnsi" w:hAnsiTheme="majorHAnsi" w:cstheme="majorHAnsi"/>
              </w:rPr>
              <w:t>–</w:t>
            </w:r>
            <w:r w:rsidRPr="004A357C">
              <w:rPr>
                <w:rFonts w:asciiTheme="majorHAnsi" w:hAnsiTheme="majorHAnsi" w:cstheme="majorHAnsi"/>
              </w:rPr>
              <w:t xml:space="preserve"> Ear, Nose &amp; Throat</w:t>
            </w:r>
          </w:p>
        </w:tc>
        <w:tc>
          <w:tcPr>
            <w:tcW w:w="1701" w:type="dxa"/>
          </w:tcPr>
          <w:p w14:paraId="2CC38878" w14:textId="63AF9CA8" w:rsidR="00D3309B" w:rsidRPr="004A357C" w:rsidRDefault="00D3309B" w:rsidP="00FB712C">
            <w:pPr>
              <w:pStyle w:val="TableNText"/>
              <w:spacing w:before="60" w:after="60" w:line="240" w:lineRule="auto"/>
              <w:jc w:val="center"/>
              <w:rPr>
                <w:highlight w:val="yellow"/>
              </w:rPr>
            </w:pPr>
            <w:r w:rsidRPr="004A357C">
              <w:t xml:space="preserve"> $6 </w:t>
            </w:r>
          </w:p>
        </w:tc>
        <w:tc>
          <w:tcPr>
            <w:tcW w:w="1559" w:type="dxa"/>
          </w:tcPr>
          <w:p w14:paraId="64572A8D" w14:textId="18592793"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-$38 </w:t>
            </w:r>
          </w:p>
        </w:tc>
        <w:tc>
          <w:tcPr>
            <w:tcW w:w="1701" w:type="dxa"/>
          </w:tcPr>
          <w:p w14:paraId="7F083D95" w14:textId="78FCAB2B" w:rsidR="00D3309B" w:rsidRPr="004A357C" w:rsidRDefault="00D3309B" w:rsidP="00FB712C">
            <w:pPr>
              <w:pStyle w:val="TableNText"/>
              <w:spacing w:before="60" w:after="60" w:line="240" w:lineRule="auto"/>
              <w:jc w:val="center"/>
              <w:rPr>
                <w:highlight w:val="yellow"/>
              </w:rPr>
            </w:pPr>
            <w:r w:rsidRPr="004A357C">
              <w:t>6%</w:t>
            </w:r>
          </w:p>
        </w:tc>
        <w:tc>
          <w:tcPr>
            <w:tcW w:w="1843" w:type="dxa"/>
          </w:tcPr>
          <w:p w14:paraId="7A2F7F93" w14:textId="64663CB3"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-12%</w:t>
            </w:r>
          </w:p>
        </w:tc>
      </w:tr>
      <w:tr w:rsidR="00D3309B" w:rsidRPr="004A357C" w14:paraId="4C9A7807" w14:textId="77777777" w:rsidTr="00FB712C">
        <w:trPr>
          <w:cnfStyle w:val="000000100000" w:firstRow="0" w:lastRow="0" w:firstColumn="0" w:lastColumn="0" w:oddVBand="0" w:evenVBand="0" w:oddHBand="1" w:evenHBand="0" w:firstRowFirstColumn="0" w:firstRowLastColumn="0" w:lastRowFirstColumn="0" w:lastRowLastColumn="0"/>
        </w:trPr>
        <w:tc>
          <w:tcPr>
            <w:tcW w:w="2127" w:type="dxa"/>
          </w:tcPr>
          <w:p w14:paraId="6C53FE46" w14:textId="26E2EED6" w:rsidR="00D3309B" w:rsidRPr="004A357C" w:rsidRDefault="00D3309B" w:rsidP="00FB712C">
            <w:pPr>
              <w:pStyle w:val="TableNText"/>
              <w:spacing w:before="60" w:after="60" w:line="240" w:lineRule="auto"/>
            </w:pPr>
            <w:r w:rsidRPr="004A357C">
              <w:rPr>
                <w:rFonts w:asciiTheme="majorHAnsi" w:hAnsiTheme="majorHAnsi" w:cstheme="majorHAnsi"/>
              </w:rPr>
              <w:t xml:space="preserve">03 </w:t>
            </w:r>
            <w:r w:rsidR="00886310" w:rsidRPr="004A357C">
              <w:rPr>
                <w:rFonts w:asciiTheme="majorHAnsi" w:hAnsiTheme="majorHAnsi" w:cstheme="majorHAnsi"/>
              </w:rPr>
              <w:t>–</w:t>
            </w:r>
            <w:r w:rsidRPr="004A357C">
              <w:rPr>
                <w:rFonts w:asciiTheme="majorHAnsi" w:hAnsiTheme="majorHAnsi" w:cstheme="majorHAnsi"/>
              </w:rPr>
              <w:t xml:space="preserve"> General Miscellaneous</w:t>
            </w:r>
          </w:p>
        </w:tc>
        <w:tc>
          <w:tcPr>
            <w:tcW w:w="1701" w:type="dxa"/>
          </w:tcPr>
          <w:p w14:paraId="6D4EC61A" w14:textId="702E75CC" w:rsidR="00D3309B" w:rsidRPr="004A357C" w:rsidRDefault="00D3309B" w:rsidP="00FB712C">
            <w:pPr>
              <w:pStyle w:val="TableNText"/>
              <w:spacing w:before="60" w:after="60" w:line="240" w:lineRule="auto"/>
              <w:jc w:val="center"/>
              <w:rPr>
                <w:highlight w:val="yellow"/>
              </w:rPr>
            </w:pPr>
            <w:r w:rsidRPr="004A357C">
              <w:t xml:space="preserve"> $4 </w:t>
            </w:r>
          </w:p>
        </w:tc>
        <w:tc>
          <w:tcPr>
            <w:tcW w:w="1559" w:type="dxa"/>
          </w:tcPr>
          <w:p w14:paraId="0212CB42" w14:textId="284C6DBD"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-$25 </w:t>
            </w:r>
          </w:p>
        </w:tc>
        <w:tc>
          <w:tcPr>
            <w:tcW w:w="1701" w:type="dxa"/>
          </w:tcPr>
          <w:p w14:paraId="260C678A" w14:textId="7005D305" w:rsidR="00D3309B" w:rsidRPr="004A357C" w:rsidRDefault="00D3309B" w:rsidP="00FB712C">
            <w:pPr>
              <w:pStyle w:val="TableNText"/>
              <w:spacing w:before="60" w:after="60" w:line="240" w:lineRule="auto"/>
              <w:jc w:val="center"/>
              <w:rPr>
                <w:highlight w:val="yellow"/>
              </w:rPr>
            </w:pPr>
            <w:r w:rsidRPr="004A357C">
              <w:t>2%</w:t>
            </w:r>
          </w:p>
        </w:tc>
        <w:tc>
          <w:tcPr>
            <w:tcW w:w="1843" w:type="dxa"/>
          </w:tcPr>
          <w:p w14:paraId="44ECD454" w14:textId="70ECB495"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-10%</w:t>
            </w:r>
          </w:p>
        </w:tc>
      </w:tr>
      <w:tr w:rsidR="00D3309B" w:rsidRPr="004A357C" w14:paraId="2BB21CB4" w14:textId="77777777" w:rsidTr="00FB712C">
        <w:trPr>
          <w:cnfStyle w:val="000000010000" w:firstRow="0" w:lastRow="0" w:firstColumn="0" w:lastColumn="0" w:oddVBand="0" w:evenVBand="0" w:oddHBand="0" w:evenHBand="1" w:firstRowFirstColumn="0" w:firstRowLastColumn="0" w:lastRowFirstColumn="0" w:lastRowLastColumn="0"/>
        </w:trPr>
        <w:tc>
          <w:tcPr>
            <w:tcW w:w="2127" w:type="dxa"/>
          </w:tcPr>
          <w:p w14:paraId="5CFB7264" w14:textId="6AF14EB2" w:rsidR="00D3309B" w:rsidRPr="004A357C" w:rsidRDefault="00D3309B" w:rsidP="00FB712C">
            <w:pPr>
              <w:pStyle w:val="TableNText"/>
              <w:spacing w:before="60" w:after="60" w:line="240" w:lineRule="auto"/>
            </w:pPr>
            <w:r w:rsidRPr="004A357C">
              <w:rPr>
                <w:rFonts w:asciiTheme="majorHAnsi" w:hAnsiTheme="majorHAnsi" w:cstheme="majorHAnsi"/>
              </w:rPr>
              <w:t xml:space="preserve">04 </w:t>
            </w:r>
            <w:r w:rsidR="00886310" w:rsidRPr="004A357C">
              <w:rPr>
                <w:rFonts w:asciiTheme="majorHAnsi" w:hAnsiTheme="majorHAnsi" w:cstheme="majorHAnsi"/>
              </w:rPr>
              <w:t>–</w:t>
            </w:r>
            <w:r w:rsidRPr="004A357C">
              <w:rPr>
                <w:rFonts w:asciiTheme="majorHAnsi" w:hAnsiTheme="majorHAnsi" w:cstheme="majorHAnsi"/>
              </w:rPr>
              <w:t xml:space="preserve"> Neurosurgical</w:t>
            </w:r>
          </w:p>
        </w:tc>
        <w:tc>
          <w:tcPr>
            <w:tcW w:w="1701" w:type="dxa"/>
          </w:tcPr>
          <w:p w14:paraId="35605BF7" w14:textId="19E75EAE" w:rsidR="00D3309B" w:rsidRPr="004A357C" w:rsidRDefault="00D3309B" w:rsidP="00FB712C">
            <w:pPr>
              <w:pStyle w:val="TableNText"/>
              <w:spacing w:before="60" w:after="60" w:line="240" w:lineRule="auto"/>
              <w:jc w:val="center"/>
              <w:rPr>
                <w:highlight w:val="yellow"/>
              </w:rPr>
            </w:pPr>
            <w:r w:rsidRPr="004A357C">
              <w:t xml:space="preserve"> $49 </w:t>
            </w:r>
          </w:p>
        </w:tc>
        <w:tc>
          <w:tcPr>
            <w:tcW w:w="1559" w:type="dxa"/>
          </w:tcPr>
          <w:p w14:paraId="4CB4F350" w14:textId="75FE34DD"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-$169 </w:t>
            </w:r>
          </w:p>
        </w:tc>
        <w:tc>
          <w:tcPr>
            <w:tcW w:w="1701" w:type="dxa"/>
          </w:tcPr>
          <w:p w14:paraId="54E72312" w14:textId="25D23491" w:rsidR="00D3309B" w:rsidRPr="004A357C" w:rsidRDefault="00D3309B" w:rsidP="00FB712C">
            <w:pPr>
              <w:pStyle w:val="TableNText"/>
              <w:spacing w:before="60" w:after="60" w:line="240" w:lineRule="auto"/>
              <w:jc w:val="center"/>
              <w:rPr>
                <w:highlight w:val="yellow"/>
              </w:rPr>
            </w:pPr>
            <w:r w:rsidRPr="004A357C">
              <w:t>6%</w:t>
            </w:r>
          </w:p>
        </w:tc>
        <w:tc>
          <w:tcPr>
            <w:tcW w:w="1843" w:type="dxa"/>
          </w:tcPr>
          <w:p w14:paraId="42394FAB" w14:textId="69E86049"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-15%</w:t>
            </w:r>
          </w:p>
        </w:tc>
      </w:tr>
      <w:tr w:rsidR="00D3309B" w:rsidRPr="004A357C" w14:paraId="43F86AC0" w14:textId="77777777" w:rsidTr="00FB712C">
        <w:trPr>
          <w:cnfStyle w:val="000000100000" w:firstRow="0" w:lastRow="0" w:firstColumn="0" w:lastColumn="0" w:oddVBand="0" w:evenVBand="0" w:oddHBand="1" w:evenHBand="0" w:firstRowFirstColumn="0" w:firstRowLastColumn="0" w:lastRowFirstColumn="0" w:lastRowLastColumn="0"/>
        </w:trPr>
        <w:tc>
          <w:tcPr>
            <w:tcW w:w="2127" w:type="dxa"/>
          </w:tcPr>
          <w:p w14:paraId="6B03E71A" w14:textId="46650364" w:rsidR="00D3309B" w:rsidRPr="004A357C" w:rsidRDefault="00D3309B" w:rsidP="00FB712C">
            <w:pPr>
              <w:pStyle w:val="TableNText"/>
              <w:spacing w:before="60" w:after="60" w:line="240" w:lineRule="auto"/>
            </w:pPr>
            <w:r w:rsidRPr="004A357C">
              <w:rPr>
                <w:rFonts w:asciiTheme="majorHAnsi" w:hAnsiTheme="majorHAnsi" w:cstheme="majorHAnsi"/>
              </w:rPr>
              <w:t xml:space="preserve">05 </w:t>
            </w:r>
            <w:r w:rsidR="00886310" w:rsidRPr="004A357C">
              <w:rPr>
                <w:rFonts w:asciiTheme="majorHAnsi" w:hAnsiTheme="majorHAnsi" w:cstheme="majorHAnsi"/>
              </w:rPr>
              <w:t>–</w:t>
            </w:r>
            <w:r w:rsidRPr="004A357C">
              <w:rPr>
                <w:rFonts w:asciiTheme="majorHAnsi" w:hAnsiTheme="majorHAnsi" w:cstheme="majorHAnsi"/>
              </w:rPr>
              <w:t xml:space="preserve"> Urogenital</w:t>
            </w:r>
          </w:p>
        </w:tc>
        <w:tc>
          <w:tcPr>
            <w:tcW w:w="1701" w:type="dxa"/>
          </w:tcPr>
          <w:p w14:paraId="0FC5B5C0" w14:textId="035985FC" w:rsidR="00D3309B" w:rsidRPr="004A357C" w:rsidRDefault="00D3309B" w:rsidP="00FB712C">
            <w:pPr>
              <w:pStyle w:val="TableNText"/>
              <w:spacing w:before="60" w:after="60" w:line="240" w:lineRule="auto"/>
              <w:jc w:val="center"/>
              <w:rPr>
                <w:highlight w:val="yellow"/>
              </w:rPr>
            </w:pPr>
            <w:r w:rsidRPr="004A357C">
              <w:t xml:space="preserve"> $17 </w:t>
            </w:r>
          </w:p>
        </w:tc>
        <w:tc>
          <w:tcPr>
            <w:tcW w:w="1559" w:type="dxa"/>
          </w:tcPr>
          <w:p w14:paraId="2EDA5068" w14:textId="6E389F36"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-$27 </w:t>
            </w:r>
          </w:p>
        </w:tc>
        <w:tc>
          <w:tcPr>
            <w:tcW w:w="1701" w:type="dxa"/>
          </w:tcPr>
          <w:p w14:paraId="084B6E77" w14:textId="42A204F8" w:rsidR="00D3309B" w:rsidRPr="004A357C" w:rsidRDefault="00D3309B" w:rsidP="00FB712C">
            <w:pPr>
              <w:pStyle w:val="TableNText"/>
              <w:spacing w:before="60" w:after="60" w:line="240" w:lineRule="auto"/>
              <w:jc w:val="center"/>
              <w:rPr>
                <w:highlight w:val="yellow"/>
              </w:rPr>
            </w:pPr>
            <w:r w:rsidRPr="004A357C">
              <w:t>7%</w:t>
            </w:r>
          </w:p>
        </w:tc>
        <w:tc>
          <w:tcPr>
            <w:tcW w:w="1843" w:type="dxa"/>
          </w:tcPr>
          <w:p w14:paraId="50D9860C" w14:textId="5327E4E9"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-24%</w:t>
            </w:r>
          </w:p>
        </w:tc>
      </w:tr>
      <w:tr w:rsidR="00D3309B" w:rsidRPr="004A357C" w14:paraId="2D619FB8" w14:textId="77777777" w:rsidTr="00FB712C">
        <w:trPr>
          <w:cnfStyle w:val="000000010000" w:firstRow="0" w:lastRow="0" w:firstColumn="0" w:lastColumn="0" w:oddVBand="0" w:evenVBand="0" w:oddHBand="0" w:evenHBand="1" w:firstRowFirstColumn="0" w:firstRowLastColumn="0" w:lastRowFirstColumn="0" w:lastRowLastColumn="0"/>
        </w:trPr>
        <w:tc>
          <w:tcPr>
            <w:tcW w:w="2127" w:type="dxa"/>
          </w:tcPr>
          <w:p w14:paraId="2C243346" w14:textId="2C3FEF91" w:rsidR="00D3309B" w:rsidRPr="004A357C" w:rsidRDefault="00D3309B" w:rsidP="00FB712C">
            <w:pPr>
              <w:pStyle w:val="TableNText"/>
              <w:spacing w:before="60" w:after="60" w:line="240" w:lineRule="auto"/>
            </w:pPr>
            <w:r w:rsidRPr="004A357C">
              <w:rPr>
                <w:rFonts w:asciiTheme="majorHAnsi" w:hAnsiTheme="majorHAnsi" w:cstheme="majorHAnsi"/>
              </w:rPr>
              <w:t xml:space="preserve">06 </w:t>
            </w:r>
            <w:r w:rsidR="00886310" w:rsidRPr="004A357C">
              <w:rPr>
                <w:rFonts w:asciiTheme="majorHAnsi" w:hAnsiTheme="majorHAnsi" w:cstheme="majorHAnsi"/>
              </w:rPr>
              <w:t>–</w:t>
            </w:r>
            <w:r w:rsidRPr="004A357C">
              <w:rPr>
                <w:rFonts w:asciiTheme="majorHAnsi" w:hAnsiTheme="majorHAnsi" w:cstheme="majorHAnsi"/>
              </w:rPr>
              <w:t xml:space="preserve"> Specialist Orthopaedic</w:t>
            </w:r>
          </w:p>
        </w:tc>
        <w:tc>
          <w:tcPr>
            <w:tcW w:w="1701" w:type="dxa"/>
          </w:tcPr>
          <w:p w14:paraId="03CFD103" w14:textId="10FB10D5" w:rsidR="00D3309B" w:rsidRPr="004A357C" w:rsidRDefault="00D3309B" w:rsidP="00FB712C">
            <w:pPr>
              <w:pStyle w:val="TableNText"/>
              <w:spacing w:before="60" w:after="60" w:line="240" w:lineRule="auto"/>
              <w:jc w:val="center"/>
              <w:rPr>
                <w:highlight w:val="yellow"/>
              </w:rPr>
            </w:pPr>
            <w:r w:rsidRPr="004A357C">
              <w:t xml:space="preserve"> $2</w:t>
            </w:r>
            <w:r w:rsidR="004023DE">
              <w:t>8</w:t>
            </w:r>
          </w:p>
        </w:tc>
        <w:tc>
          <w:tcPr>
            <w:tcW w:w="1559" w:type="dxa"/>
          </w:tcPr>
          <w:p w14:paraId="569205A1" w14:textId="38484A6E"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-$13</w:t>
            </w:r>
            <w:r w:rsidR="004023DE">
              <w:rPr>
                <w:color w:val="F25E21" w:themeColor="accent2"/>
              </w:rPr>
              <w:t>7</w:t>
            </w:r>
            <w:r w:rsidRPr="004A357C">
              <w:rPr>
                <w:color w:val="F25E21" w:themeColor="accent2"/>
              </w:rPr>
              <w:t xml:space="preserve"> </w:t>
            </w:r>
          </w:p>
        </w:tc>
        <w:tc>
          <w:tcPr>
            <w:tcW w:w="1701" w:type="dxa"/>
          </w:tcPr>
          <w:p w14:paraId="3AEECB67" w14:textId="50B3C866" w:rsidR="00D3309B" w:rsidRPr="004A357C" w:rsidRDefault="00A64CD2" w:rsidP="00FB712C">
            <w:pPr>
              <w:pStyle w:val="TableNText"/>
              <w:spacing w:before="60" w:after="60" w:line="240" w:lineRule="auto"/>
              <w:jc w:val="center"/>
              <w:rPr>
                <w:highlight w:val="yellow"/>
              </w:rPr>
            </w:pPr>
            <w:r>
              <w:t>8</w:t>
            </w:r>
            <w:r w:rsidR="00D3309B" w:rsidRPr="004A357C">
              <w:t>%</w:t>
            </w:r>
          </w:p>
        </w:tc>
        <w:tc>
          <w:tcPr>
            <w:tcW w:w="1843" w:type="dxa"/>
          </w:tcPr>
          <w:p w14:paraId="75FE070E" w14:textId="6BA50550"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-36%</w:t>
            </w:r>
          </w:p>
        </w:tc>
      </w:tr>
      <w:tr w:rsidR="00D3309B" w:rsidRPr="004A357C" w14:paraId="7F24EFDC" w14:textId="77777777" w:rsidTr="00FB712C">
        <w:trPr>
          <w:cnfStyle w:val="000000100000" w:firstRow="0" w:lastRow="0" w:firstColumn="0" w:lastColumn="0" w:oddVBand="0" w:evenVBand="0" w:oddHBand="1" w:evenHBand="0" w:firstRowFirstColumn="0" w:firstRowLastColumn="0" w:lastRowFirstColumn="0" w:lastRowLastColumn="0"/>
        </w:trPr>
        <w:tc>
          <w:tcPr>
            <w:tcW w:w="2127" w:type="dxa"/>
          </w:tcPr>
          <w:p w14:paraId="15392499" w14:textId="2BD65828" w:rsidR="00D3309B" w:rsidRPr="004A357C" w:rsidRDefault="00D3309B" w:rsidP="00FB712C">
            <w:pPr>
              <w:pStyle w:val="TableNText"/>
              <w:spacing w:before="60" w:after="60" w:line="240" w:lineRule="auto"/>
            </w:pPr>
            <w:r w:rsidRPr="004A357C">
              <w:rPr>
                <w:rFonts w:asciiTheme="majorHAnsi" w:hAnsiTheme="majorHAnsi" w:cstheme="majorHAnsi"/>
              </w:rPr>
              <w:t xml:space="preserve">07 </w:t>
            </w:r>
            <w:r w:rsidR="00886310" w:rsidRPr="004A357C">
              <w:rPr>
                <w:rFonts w:asciiTheme="majorHAnsi" w:hAnsiTheme="majorHAnsi" w:cstheme="majorHAnsi"/>
              </w:rPr>
              <w:t>–</w:t>
            </w:r>
            <w:r w:rsidRPr="004A357C">
              <w:rPr>
                <w:rFonts w:asciiTheme="majorHAnsi" w:hAnsiTheme="majorHAnsi" w:cstheme="majorHAnsi"/>
              </w:rPr>
              <w:t xml:space="preserve"> Plastic and Reconstructive</w:t>
            </w:r>
          </w:p>
        </w:tc>
        <w:tc>
          <w:tcPr>
            <w:tcW w:w="1701" w:type="dxa"/>
          </w:tcPr>
          <w:p w14:paraId="4C3DB163" w14:textId="3F54BF93" w:rsidR="00D3309B" w:rsidRPr="004A357C" w:rsidRDefault="00D3309B" w:rsidP="00FB712C">
            <w:pPr>
              <w:pStyle w:val="TableNText"/>
              <w:spacing w:before="60" w:after="60" w:line="240" w:lineRule="auto"/>
              <w:jc w:val="center"/>
              <w:rPr>
                <w:highlight w:val="yellow"/>
              </w:rPr>
            </w:pPr>
            <w:r w:rsidRPr="004A357C">
              <w:t xml:space="preserve"> $24 </w:t>
            </w:r>
          </w:p>
        </w:tc>
        <w:tc>
          <w:tcPr>
            <w:tcW w:w="1559" w:type="dxa"/>
          </w:tcPr>
          <w:p w14:paraId="75CAF874" w14:textId="5BCF497F"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-$116 </w:t>
            </w:r>
          </w:p>
        </w:tc>
        <w:tc>
          <w:tcPr>
            <w:tcW w:w="1701" w:type="dxa"/>
          </w:tcPr>
          <w:p w14:paraId="06AA8403" w14:textId="1059B55B" w:rsidR="00D3309B" w:rsidRPr="004A357C" w:rsidRDefault="00D3309B" w:rsidP="00FB712C">
            <w:pPr>
              <w:pStyle w:val="TableNText"/>
              <w:spacing w:before="60" w:after="60" w:line="240" w:lineRule="auto"/>
              <w:jc w:val="center"/>
              <w:rPr>
                <w:highlight w:val="yellow"/>
              </w:rPr>
            </w:pPr>
            <w:r w:rsidRPr="004A357C">
              <w:t>8%</w:t>
            </w:r>
          </w:p>
        </w:tc>
        <w:tc>
          <w:tcPr>
            <w:tcW w:w="1843" w:type="dxa"/>
          </w:tcPr>
          <w:p w14:paraId="569722F5" w14:textId="39EA1BD5"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-20%</w:t>
            </w:r>
          </w:p>
        </w:tc>
      </w:tr>
      <w:tr w:rsidR="00D3309B" w:rsidRPr="004A357C" w14:paraId="74849934" w14:textId="77777777" w:rsidTr="00FB712C">
        <w:trPr>
          <w:cnfStyle w:val="000000010000" w:firstRow="0" w:lastRow="0" w:firstColumn="0" w:lastColumn="0" w:oddVBand="0" w:evenVBand="0" w:oddHBand="0" w:evenHBand="1" w:firstRowFirstColumn="0" w:firstRowLastColumn="0" w:lastRowFirstColumn="0" w:lastRowLastColumn="0"/>
        </w:trPr>
        <w:tc>
          <w:tcPr>
            <w:tcW w:w="2127" w:type="dxa"/>
          </w:tcPr>
          <w:p w14:paraId="4712C97A" w14:textId="5900BF23" w:rsidR="00D3309B" w:rsidRPr="004A357C" w:rsidRDefault="00D3309B" w:rsidP="00FB712C">
            <w:pPr>
              <w:pStyle w:val="TableNText"/>
              <w:spacing w:before="60" w:after="60" w:line="240" w:lineRule="auto"/>
            </w:pPr>
            <w:r w:rsidRPr="004A357C">
              <w:rPr>
                <w:rFonts w:asciiTheme="majorHAnsi" w:hAnsiTheme="majorHAnsi" w:cstheme="majorHAnsi"/>
              </w:rPr>
              <w:t xml:space="preserve">08 </w:t>
            </w:r>
            <w:r w:rsidR="00886310" w:rsidRPr="004A357C">
              <w:rPr>
                <w:rFonts w:asciiTheme="majorHAnsi" w:hAnsiTheme="majorHAnsi" w:cstheme="majorHAnsi"/>
              </w:rPr>
              <w:t>–</w:t>
            </w:r>
            <w:r w:rsidRPr="004A357C">
              <w:rPr>
                <w:rFonts w:asciiTheme="majorHAnsi" w:hAnsiTheme="majorHAnsi" w:cstheme="majorHAnsi"/>
              </w:rPr>
              <w:t xml:space="preserve"> Cardiac</w:t>
            </w:r>
            <w:r w:rsidRPr="004A357C">
              <w:t xml:space="preserve"> </w:t>
            </w:r>
            <w:r w:rsidRPr="004A357C">
              <w:rPr>
                <w:rFonts w:asciiTheme="majorHAnsi" w:hAnsiTheme="majorHAnsi" w:cstheme="majorHAnsi"/>
              </w:rPr>
              <w:t>(excluding CIEDs)</w:t>
            </w:r>
          </w:p>
        </w:tc>
        <w:tc>
          <w:tcPr>
            <w:tcW w:w="1701" w:type="dxa"/>
          </w:tcPr>
          <w:p w14:paraId="36C81F38" w14:textId="6C6A9616" w:rsidR="00D3309B" w:rsidRPr="004A357C" w:rsidRDefault="00D3309B" w:rsidP="00FB712C">
            <w:pPr>
              <w:pStyle w:val="TableNText"/>
              <w:spacing w:before="60" w:after="60" w:line="240" w:lineRule="auto"/>
              <w:jc w:val="center"/>
              <w:rPr>
                <w:highlight w:val="yellow"/>
              </w:rPr>
            </w:pPr>
            <w:r w:rsidRPr="004A357C">
              <w:t xml:space="preserve"> $323 </w:t>
            </w:r>
          </w:p>
        </w:tc>
        <w:tc>
          <w:tcPr>
            <w:tcW w:w="1559" w:type="dxa"/>
          </w:tcPr>
          <w:p w14:paraId="36626F47" w14:textId="4A11111E"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-$1,174 </w:t>
            </w:r>
          </w:p>
        </w:tc>
        <w:tc>
          <w:tcPr>
            <w:tcW w:w="1701" w:type="dxa"/>
          </w:tcPr>
          <w:p w14:paraId="7953B8A7" w14:textId="775EA1C2" w:rsidR="00D3309B" w:rsidRPr="004A357C" w:rsidRDefault="00D3309B" w:rsidP="00FB712C">
            <w:pPr>
              <w:pStyle w:val="TableNText"/>
              <w:spacing w:before="60" w:after="60" w:line="240" w:lineRule="auto"/>
              <w:jc w:val="center"/>
              <w:rPr>
                <w:highlight w:val="yellow"/>
              </w:rPr>
            </w:pPr>
            <w:r w:rsidRPr="004A357C">
              <w:t>42%</w:t>
            </w:r>
          </w:p>
        </w:tc>
        <w:tc>
          <w:tcPr>
            <w:tcW w:w="1843" w:type="dxa"/>
          </w:tcPr>
          <w:p w14:paraId="1BDFD1E9" w14:textId="117AAF5C"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-145%</w:t>
            </w:r>
          </w:p>
        </w:tc>
      </w:tr>
      <w:tr w:rsidR="00D3309B" w:rsidRPr="004A357C" w14:paraId="29679A0D" w14:textId="77777777" w:rsidTr="00FB712C">
        <w:trPr>
          <w:cnfStyle w:val="000000100000" w:firstRow="0" w:lastRow="0" w:firstColumn="0" w:lastColumn="0" w:oddVBand="0" w:evenVBand="0" w:oddHBand="1" w:evenHBand="0" w:firstRowFirstColumn="0" w:firstRowLastColumn="0" w:lastRowFirstColumn="0" w:lastRowLastColumn="0"/>
        </w:trPr>
        <w:tc>
          <w:tcPr>
            <w:tcW w:w="2127" w:type="dxa"/>
          </w:tcPr>
          <w:p w14:paraId="1DF65D9F" w14:textId="0CB17BEF" w:rsidR="00D3309B" w:rsidRPr="004A357C" w:rsidRDefault="00D3309B" w:rsidP="00FB712C">
            <w:pPr>
              <w:pStyle w:val="TableNText"/>
              <w:spacing w:before="60" w:after="60" w:line="240" w:lineRule="auto"/>
            </w:pPr>
            <w:r w:rsidRPr="004A357C">
              <w:rPr>
                <w:rFonts w:asciiTheme="majorHAnsi" w:hAnsiTheme="majorHAnsi" w:cstheme="majorHAnsi"/>
              </w:rPr>
              <w:t xml:space="preserve">09 </w:t>
            </w:r>
            <w:r w:rsidR="00886310" w:rsidRPr="004A357C">
              <w:rPr>
                <w:rFonts w:asciiTheme="majorHAnsi" w:hAnsiTheme="majorHAnsi" w:cstheme="majorHAnsi"/>
              </w:rPr>
              <w:t>–</w:t>
            </w:r>
            <w:r w:rsidRPr="004A357C">
              <w:rPr>
                <w:rFonts w:asciiTheme="majorHAnsi" w:hAnsiTheme="majorHAnsi" w:cstheme="majorHAnsi"/>
              </w:rPr>
              <w:t xml:space="preserve"> Cardiothoracic</w:t>
            </w:r>
          </w:p>
        </w:tc>
        <w:tc>
          <w:tcPr>
            <w:tcW w:w="1701" w:type="dxa"/>
          </w:tcPr>
          <w:p w14:paraId="0F726ED0" w14:textId="129F3567" w:rsidR="00D3309B" w:rsidRPr="004A357C" w:rsidRDefault="00D3309B" w:rsidP="00FB712C">
            <w:pPr>
              <w:pStyle w:val="TableNText"/>
              <w:spacing w:before="60" w:after="60" w:line="240" w:lineRule="auto"/>
              <w:jc w:val="center"/>
              <w:rPr>
                <w:highlight w:val="yellow"/>
              </w:rPr>
            </w:pPr>
            <w:r w:rsidRPr="004A357C">
              <w:t xml:space="preserve"> $61 </w:t>
            </w:r>
          </w:p>
        </w:tc>
        <w:tc>
          <w:tcPr>
            <w:tcW w:w="1559" w:type="dxa"/>
          </w:tcPr>
          <w:p w14:paraId="3411D111" w14:textId="73261914"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-$595 </w:t>
            </w:r>
          </w:p>
        </w:tc>
        <w:tc>
          <w:tcPr>
            <w:tcW w:w="1701" w:type="dxa"/>
          </w:tcPr>
          <w:p w14:paraId="2A8E5929" w14:textId="6D92748A" w:rsidR="00D3309B" w:rsidRPr="004A357C" w:rsidRDefault="00D3309B" w:rsidP="00FB712C">
            <w:pPr>
              <w:pStyle w:val="TableNText"/>
              <w:spacing w:before="60" w:after="60" w:line="240" w:lineRule="auto"/>
              <w:jc w:val="center"/>
              <w:rPr>
                <w:highlight w:val="yellow"/>
              </w:rPr>
            </w:pPr>
            <w:r w:rsidRPr="004A357C">
              <w:t>3%</w:t>
            </w:r>
          </w:p>
        </w:tc>
        <w:tc>
          <w:tcPr>
            <w:tcW w:w="1843" w:type="dxa"/>
          </w:tcPr>
          <w:p w14:paraId="31FF4785" w14:textId="3E162F3D"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-20%</w:t>
            </w:r>
          </w:p>
        </w:tc>
      </w:tr>
      <w:tr w:rsidR="00D3309B" w:rsidRPr="004A357C" w14:paraId="6DBDF55C" w14:textId="77777777" w:rsidTr="00FB712C">
        <w:trPr>
          <w:cnfStyle w:val="000000010000" w:firstRow="0" w:lastRow="0" w:firstColumn="0" w:lastColumn="0" w:oddVBand="0" w:evenVBand="0" w:oddHBand="0" w:evenHBand="1" w:firstRowFirstColumn="0" w:firstRowLastColumn="0" w:lastRowFirstColumn="0" w:lastRowLastColumn="0"/>
        </w:trPr>
        <w:tc>
          <w:tcPr>
            <w:tcW w:w="2127" w:type="dxa"/>
          </w:tcPr>
          <w:p w14:paraId="068DAB4F" w14:textId="0FEC279D" w:rsidR="00D3309B" w:rsidRPr="004A357C" w:rsidRDefault="00D3309B" w:rsidP="00FB712C">
            <w:pPr>
              <w:pStyle w:val="TableNText"/>
              <w:spacing w:before="60" w:after="60" w:line="240" w:lineRule="auto"/>
            </w:pPr>
            <w:r w:rsidRPr="004A357C">
              <w:rPr>
                <w:rFonts w:asciiTheme="majorHAnsi" w:hAnsiTheme="majorHAnsi" w:cstheme="majorHAnsi"/>
              </w:rPr>
              <w:t xml:space="preserve">10 </w:t>
            </w:r>
            <w:r w:rsidR="00886310" w:rsidRPr="004A357C">
              <w:rPr>
                <w:rFonts w:asciiTheme="majorHAnsi" w:hAnsiTheme="majorHAnsi" w:cstheme="majorHAnsi"/>
              </w:rPr>
              <w:t>–</w:t>
            </w:r>
            <w:r w:rsidRPr="004A357C">
              <w:rPr>
                <w:rFonts w:asciiTheme="majorHAnsi" w:hAnsiTheme="majorHAnsi" w:cstheme="majorHAnsi"/>
              </w:rPr>
              <w:t xml:space="preserve"> Vascular</w:t>
            </w:r>
          </w:p>
        </w:tc>
        <w:tc>
          <w:tcPr>
            <w:tcW w:w="1701" w:type="dxa"/>
          </w:tcPr>
          <w:p w14:paraId="03F1AD3A" w14:textId="58A016D1" w:rsidR="00D3309B" w:rsidRPr="004A357C" w:rsidRDefault="00D3309B" w:rsidP="00FB712C">
            <w:pPr>
              <w:pStyle w:val="TableNText"/>
              <w:spacing w:before="60" w:after="60" w:line="240" w:lineRule="auto"/>
              <w:jc w:val="center"/>
              <w:rPr>
                <w:highlight w:val="yellow"/>
              </w:rPr>
            </w:pPr>
            <w:r w:rsidRPr="004A357C">
              <w:t xml:space="preserve"> $64 </w:t>
            </w:r>
          </w:p>
        </w:tc>
        <w:tc>
          <w:tcPr>
            <w:tcW w:w="1559" w:type="dxa"/>
          </w:tcPr>
          <w:p w14:paraId="698F2E09" w14:textId="00BF6A6A"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-$209 </w:t>
            </w:r>
          </w:p>
        </w:tc>
        <w:tc>
          <w:tcPr>
            <w:tcW w:w="1701" w:type="dxa"/>
          </w:tcPr>
          <w:p w14:paraId="34E5F04D" w14:textId="26A34368" w:rsidR="00D3309B" w:rsidRPr="004A357C" w:rsidRDefault="00D3309B" w:rsidP="00FB712C">
            <w:pPr>
              <w:pStyle w:val="TableNText"/>
              <w:spacing w:before="60" w:after="60" w:line="240" w:lineRule="auto"/>
              <w:jc w:val="center"/>
              <w:rPr>
                <w:highlight w:val="yellow"/>
              </w:rPr>
            </w:pPr>
            <w:r w:rsidRPr="004A357C">
              <w:t>6%</w:t>
            </w:r>
          </w:p>
        </w:tc>
        <w:tc>
          <w:tcPr>
            <w:tcW w:w="1843" w:type="dxa"/>
          </w:tcPr>
          <w:p w14:paraId="74409C6D" w14:textId="65972D49"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-39%</w:t>
            </w:r>
          </w:p>
        </w:tc>
      </w:tr>
      <w:tr w:rsidR="00D3309B" w:rsidRPr="004A357C" w14:paraId="0FEB45E7" w14:textId="77777777" w:rsidTr="00FB712C">
        <w:trPr>
          <w:cnfStyle w:val="000000100000" w:firstRow="0" w:lastRow="0" w:firstColumn="0" w:lastColumn="0" w:oddVBand="0" w:evenVBand="0" w:oddHBand="1" w:evenHBand="0" w:firstRowFirstColumn="0" w:firstRowLastColumn="0" w:lastRowFirstColumn="0" w:lastRowLastColumn="0"/>
        </w:trPr>
        <w:tc>
          <w:tcPr>
            <w:tcW w:w="2127" w:type="dxa"/>
          </w:tcPr>
          <w:p w14:paraId="2B7ABCB0" w14:textId="71B876D1" w:rsidR="00D3309B" w:rsidRPr="004A357C" w:rsidRDefault="00D3309B" w:rsidP="00FB712C">
            <w:pPr>
              <w:pStyle w:val="TableNText"/>
              <w:spacing w:before="60" w:after="60" w:line="240" w:lineRule="auto"/>
            </w:pPr>
            <w:r w:rsidRPr="004A357C">
              <w:rPr>
                <w:rFonts w:asciiTheme="majorHAnsi" w:hAnsiTheme="majorHAnsi" w:cstheme="majorHAnsi"/>
              </w:rPr>
              <w:t xml:space="preserve">11 </w:t>
            </w:r>
            <w:r w:rsidR="00886310" w:rsidRPr="004A357C">
              <w:rPr>
                <w:rFonts w:asciiTheme="majorHAnsi" w:hAnsiTheme="majorHAnsi" w:cstheme="majorHAnsi"/>
              </w:rPr>
              <w:t>–</w:t>
            </w:r>
            <w:r w:rsidRPr="004A357C">
              <w:rPr>
                <w:rFonts w:asciiTheme="majorHAnsi" w:hAnsiTheme="majorHAnsi" w:cstheme="majorHAnsi"/>
              </w:rPr>
              <w:t xml:space="preserve"> Hip</w:t>
            </w:r>
          </w:p>
        </w:tc>
        <w:tc>
          <w:tcPr>
            <w:tcW w:w="1701" w:type="dxa"/>
          </w:tcPr>
          <w:p w14:paraId="1EA585EE" w14:textId="37D2097D" w:rsidR="00D3309B" w:rsidRPr="004A357C" w:rsidRDefault="00D3309B" w:rsidP="00FB712C">
            <w:pPr>
              <w:pStyle w:val="TableNText"/>
              <w:spacing w:before="60" w:after="60" w:line="240" w:lineRule="auto"/>
              <w:jc w:val="center"/>
              <w:rPr>
                <w:highlight w:val="yellow"/>
              </w:rPr>
            </w:pPr>
            <w:r w:rsidRPr="004A357C">
              <w:t xml:space="preserve"> $69 </w:t>
            </w:r>
          </w:p>
        </w:tc>
        <w:tc>
          <w:tcPr>
            <w:tcW w:w="1559" w:type="dxa"/>
          </w:tcPr>
          <w:p w14:paraId="4F0FB4B5" w14:textId="31F0FCB1"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-$145 </w:t>
            </w:r>
          </w:p>
        </w:tc>
        <w:tc>
          <w:tcPr>
            <w:tcW w:w="1701" w:type="dxa"/>
          </w:tcPr>
          <w:p w14:paraId="289454E7" w14:textId="05F05216" w:rsidR="00D3309B" w:rsidRPr="004A357C" w:rsidRDefault="00D3309B" w:rsidP="00FB712C">
            <w:pPr>
              <w:pStyle w:val="TableNText"/>
              <w:spacing w:before="60" w:after="60" w:line="240" w:lineRule="auto"/>
              <w:jc w:val="center"/>
              <w:rPr>
                <w:highlight w:val="yellow"/>
              </w:rPr>
            </w:pPr>
            <w:r w:rsidRPr="004A357C">
              <w:t>6%</w:t>
            </w:r>
          </w:p>
        </w:tc>
        <w:tc>
          <w:tcPr>
            <w:tcW w:w="1843" w:type="dxa"/>
          </w:tcPr>
          <w:p w14:paraId="5D89F0E4" w14:textId="6E64098E"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-9%</w:t>
            </w:r>
          </w:p>
        </w:tc>
      </w:tr>
      <w:tr w:rsidR="00D3309B" w:rsidRPr="004A357C" w14:paraId="0A11C079" w14:textId="77777777" w:rsidTr="00FB712C">
        <w:trPr>
          <w:cnfStyle w:val="000000010000" w:firstRow="0" w:lastRow="0" w:firstColumn="0" w:lastColumn="0" w:oddVBand="0" w:evenVBand="0" w:oddHBand="0" w:evenHBand="1" w:firstRowFirstColumn="0" w:firstRowLastColumn="0" w:lastRowFirstColumn="0" w:lastRowLastColumn="0"/>
        </w:trPr>
        <w:tc>
          <w:tcPr>
            <w:tcW w:w="2127" w:type="dxa"/>
          </w:tcPr>
          <w:p w14:paraId="4FE5780C" w14:textId="4CB32663" w:rsidR="00D3309B" w:rsidRPr="004A357C" w:rsidRDefault="00D3309B" w:rsidP="00FB712C">
            <w:pPr>
              <w:pStyle w:val="TableNText"/>
              <w:spacing w:before="60" w:after="60" w:line="240" w:lineRule="auto"/>
            </w:pPr>
            <w:r w:rsidRPr="004A357C">
              <w:rPr>
                <w:rFonts w:asciiTheme="majorHAnsi" w:hAnsiTheme="majorHAnsi" w:cstheme="majorHAnsi"/>
              </w:rPr>
              <w:t xml:space="preserve">12 </w:t>
            </w:r>
            <w:r w:rsidR="00886310" w:rsidRPr="004A357C">
              <w:rPr>
                <w:rFonts w:asciiTheme="majorHAnsi" w:hAnsiTheme="majorHAnsi" w:cstheme="majorHAnsi"/>
              </w:rPr>
              <w:t>–</w:t>
            </w:r>
            <w:r w:rsidRPr="004A357C">
              <w:rPr>
                <w:rFonts w:asciiTheme="majorHAnsi" w:hAnsiTheme="majorHAnsi" w:cstheme="majorHAnsi"/>
              </w:rPr>
              <w:t xml:space="preserve"> Knee</w:t>
            </w:r>
          </w:p>
        </w:tc>
        <w:tc>
          <w:tcPr>
            <w:tcW w:w="1701" w:type="dxa"/>
          </w:tcPr>
          <w:p w14:paraId="313B48FD" w14:textId="3EA0B8ED" w:rsidR="00D3309B" w:rsidRPr="004A357C" w:rsidRDefault="00D3309B" w:rsidP="00FB712C">
            <w:pPr>
              <w:pStyle w:val="TableNText"/>
              <w:spacing w:before="60" w:after="60" w:line="240" w:lineRule="auto"/>
              <w:jc w:val="center"/>
              <w:rPr>
                <w:highlight w:val="yellow"/>
              </w:rPr>
            </w:pPr>
            <w:r w:rsidRPr="004A357C">
              <w:t xml:space="preserve"> $78 </w:t>
            </w:r>
          </w:p>
        </w:tc>
        <w:tc>
          <w:tcPr>
            <w:tcW w:w="1559" w:type="dxa"/>
          </w:tcPr>
          <w:p w14:paraId="4A6BE993" w14:textId="7543AE5A"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-$154 </w:t>
            </w:r>
          </w:p>
        </w:tc>
        <w:tc>
          <w:tcPr>
            <w:tcW w:w="1701" w:type="dxa"/>
          </w:tcPr>
          <w:p w14:paraId="28EC9A2D" w14:textId="169514A7" w:rsidR="00D3309B" w:rsidRPr="004A357C" w:rsidRDefault="00D3309B" w:rsidP="00FB712C">
            <w:pPr>
              <w:pStyle w:val="TableNText"/>
              <w:spacing w:before="60" w:after="60" w:line="240" w:lineRule="auto"/>
              <w:jc w:val="center"/>
              <w:rPr>
                <w:highlight w:val="yellow"/>
              </w:rPr>
            </w:pPr>
            <w:r w:rsidRPr="004A357C">
              <w:t>7%</w:t>
            </w:r>
          </w:p>
        </w:tc>
        <w:tc>
          <w:tcPr>
            <w:tcW w:w="1843" w:type="dxa"/>
          </w:tcPr>
          <w:p w14:paraId="17E367CC" w14:textId="4AC379DB"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-3%</w:t>
            </w:r>
          </w:p>
        </w:tc>
      </w:tr>
      <w:tr w:rsidR="00D3309B" w:rsidRPr="004A357C" w14:paraId="3A2447A4" w14:textId="77777777" w:rsidTr="00FB712C">
        <w:trPr>
          <w:cnfStyle w:val="000000100000" w:firstRow="0" w:lastRow="0" w:firstColumn="0" w:lastColumn="0" w:oddVBand="0" w:evenVBand="0" w:oddHBand="1" w:evenHBand="0" w:firstRowFirstColumn="0" w:firstRowLastColumn="0" w:lastRowFirstColumn="0" w:lastRowLastColumn="0"/>
        </w:trPr>
        <w:tc>
          <w:tcPr>
            <w:tcW w:w="2127" w:type="dxa"/>
          </w:tcPr>
          <w:p w14:paraId="6611A0BF" w14:textId="0FD4848D" w:rsidR="00D3309B" w:rsidRPr="004A357C" w:rsidRDefault="00D3309B" w:rsidP="00FB712C">
            <w:pPr>
              <w:pStyle w:val="TableNText"/>
              <w:spacing w:before="60" w:after="60" w:line="240" w:lineRule="auto"/>
            </w:pPr>
            <w:r w:rsidRPr="004A357C">
              <w:rPr>
                <w:rFonts w:asciiTheme="majorHAnsi" w:hAnsiTheme="majorHAnsi" w:cstheme="majorHAnsi"/>
              </w:rPr>
              <w:t xml:space="preserve">13 </w:t>
            </w:r>
            <w:r w:rsidR="00886310" w:rsidRPr="004A357C">
              <w:rPr>
                <w:rFonts w:asciiTheme="majorHAnsi" w:hAnsiTheme="majorHAnsi" w:cstheme="majorHAnsi"/>
              </w:rPr>
              <w:t>–</w:t>
            </w:r>
            <w:r w:rsidRPr="004A357C">
              <w:rPr>
                <w:rFonts w:asciiTheme="majorHAnsi" w:hAnsiTheme="majorHAnsi" w:cstheme="majorHAnsi"/>
              </w:rPr>
              <w:t xml:space="preserve"> Spinal</w:t>
            </w:r>
          </w:p>
        </w:tc>
        <w:tc>
          <w:tcPr>
            <w:tcW w:w="1701" w:type="dxa"/>
          </w:tcPr>
          <w:p w14:paraId="4D50A178" w14:textId="4514CFCF" w:rsidR="00D3309B" w:rsidRPr="004A357C" w:rsidRDefault="00D3309B" w:rsidP="00FB712C">
            <w:pPr>
              <w:pStyle w:val="TableNText"/>
              <w:spacing w:before="60" w:after="60" w:line="240" w:lineRule="auto"/>
              <w:jc w:val="center"/>
              <w:rPr>
                <w:highlight w:val="yellow"/>
              </w:rPr>
            </w:pPr>
            <w:r w:rsidRPr="004A357C">
              <w:t xml:space="preserve"> $34 </w:t>
            </w:r>
          </w:p>
        </w:tc>
        <w:tc>
          <w:tcPr>
            <w:tcW w:w="1559" w:type="dxa"/>
          </w:tcPr>
          <w:p w14:paraId="294F4985" w14:textId="39FE9F46"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 xml:space="preserve">-$205 </w:t>
            </w:r>
          </w:p>
        </w:tc>
        <w:tc>
          <w:tcPr>
            <w:tcW w:w="1701" w:type="dxa"/>
          </w:tcPr>
          <w:p w14:paraId="61C42D62" w14:textId="4A72893F" w:rsidR="00D3309B" w:rsidRPr="004A357C" w:rsidRDefault="00D3309B" w:rsidP="00FB712C">
            <w:pPr>
              <w:pStyle w:val="TableNText"/>
              <w:spacing w:before="60" w:after="60" w:line="240" w:lineRule="auto"/>
              <w:jc w:val="center"/>
              <w:rPr>
                <w:highlight w:val="yellow"/>
              </w:rPr>
            </w:pPr>
            <w:r w:rsidRPr="004A357C">
              <w:t>4%</w:t>
            </w:r>
          </w:p>
        </w:tc>
        <w:tc>
          <w:tcPr>
            <w:tcW w:w="1843" w:type="dxa"/>
          </w:tcPr>
          <w:p w14:paraId="3E0E000A" w14:textId="0B7CEAE5" w:rsidR="00D3309B" w:rsidRPr="004A357C" w:rsidRDefault="00D3309B" w:rsidP="00FB712C">
            <w:pPr>
              <w:pStyle w:val="TableNText"/>
              <w:spacing w:before="60" w:after="60" w:line="240" w:lineRule="auto"/>
              <w:jc w:val="center"/>
              <w:rPr>
                <w:color w:val="F25E21" w:themeColor="accent2"/>
                <w:highlight w:val="yellow"/>
              </w:rPr>
            </w:pPr>
            <w:r w:rsidRPr="004A357C">
              <w:rPr>
                <w:color w:val="F25E21" w:themeColor="accent2"/>
              </w:rPr>
              <w:t>-14%</w:t>
            </w:r>
          </w:p>
        </w:tc>
      </w:tr>
      <w:tr w:rsidR="00D3309B" w:rsidRPr="004A357C" w14:paraId="39314415" w14:textId="77777777" w:rsidTr="00FB712C">
        <w:trPr>
          <w:cnfStyle w:val="000000010000" w:firstRow="0" w:lastRow="0" w:firstColumn="0" w:lastColumn="0" w:oddVBand="0" w:evenVBand="0" w:oddHBand="0" w:evenHBand="1" w:firstRowFirstColumn="0" w:firstRowLastColumn="0" w:lastRowFirstColumn="0" w:lastRowLastColumn="0"/>
        </w:trPr>
        <w:tc>
          <w:tcPr>
            <w:tcW w:w="2127" w:type="dxa"/>
          </w:tcPr>
          <w:p w14:paraId="1CDD2769" w14:textId="77777777" w:rsidR="00D3309B" w:rsidRPr="004A357C" w:rsidRDefault="00D3309B" w:rsidP="00FB712C">
            <w:pPr>
              <w:pStyle w:val="TableNText"/>
              <w:spacing w:before="60" w:after="60" w:line="240" w:lineRule="auto"/>
            </w:pPr>
            <w:r w:rsidRPr="004A357C">
              <w:rPr>
                <w:rFonts w:asciiTheme="majorHAnsi" w:hAnsiTheme="majorHAnsi" w:cstheme="majorHAnsi"/>
              </w:rPr>
              <w:t>Total</w:t>
            </w:r>
          </w:p>
        </w:tc>
        <w:tc>
          <w:tcPr>
            <w:tcW w:w="1701" w:type="dxa"/>
          </w:tcPr>
          <w:p w14:paraId="6B3DAFE6" w14:textId="07DA5FF7" w:rsidR="00D3309B" w:rsidRPr="004A357C" w:rsidRDefault="00D3309B" w:rsidP="00FB712C">
            <w:pPr>
              <w:pStyle w:val="TableNText"/>
              <w:spacing w:before="60" w:after="60" w:line="240" w:lineRule="auto"/>
              <w:jc w:val="center"/>
              <w:rPr>
                <w:rFonts w:asciiTheme="majorHAnsi" w:hAnsiTheme="majorHAnsi" w:cstheme="majorHAnsi"/>
                <w:highlight w:val="yellow"/>
              </w:rPr>
            </w:pPr>
            <w:r w:rsidRPr="004A357C">
              <w:rPr>
                <w:rFonts w:asciiTheme="majorHAnsi" w:hAnsiTheme="majorHAnsi" w:cstheme="majorHAnsi"/>
              </w:rPr>
              <w:t xml:space="preserve"> $35 </w:t>
            </w:r>
          </w:p>
        </w:tc>
        <w:tc>
          <w:tcPr>
            <w:tcW w:w="1559" w:type="dxa"/>
          </w:tcPr>
          <w:p w14:paraId="3891F2B5" w14:textId="0D064F0C" w:rsidR="00D3309B" w:rsidRPr="004A357C" w:rsidRDefault="00D3309B" w:rsidP="00FB712C">
            <w:pPr>
              <w:pStyle w:val="TableNText"/>
              <w:spacing w:before="60" w:after="60" w:line="240" w:lineRule="auto"/>
              <w:jc w:val="center"/>
              <w:rPr>
                <w:rFonts w:asciiTheme="majorHAnsi" w:hAnsiTheme="majorHAnsi" w:cstheme="majorHAnsi"/>
                <w:color w:val="F25E21" w:themeColor="accent2"/>
                <w:highlight w:val="yellow"/>
              </w:rPr>
            </w:pPr>
            <w:r w:rsidRPr="004A357C">
              <w:rPr>
                <w:rFonts w:asciiTheme="majorHAnsi" w:hAnsiTheme="majorHAnsi" w:cstheme="majorHAnsi"/>
                <w:color w:val="F25E21" w:themeColor="accent2"/>
              </w:rPr>
              <w:t xml:space="preserve">-$142 </w:t>
            </w:r>
          </w:p>
        </w:tc>
        <w:tc>
          <w:tcPr>
            <w:tcW w:w="1701" w:type="dxa"/>
          </w:tcPr>
          <w:p w14:paraId="5218CFD0" w14:textId="7E3B829D" w:rsidR="00D3309B" w:rsidRPr="004A357C" w:rsidRDefault="00D3309B" w:rsidP="00FB712C">
            <w:pPr>
              <w:pStyle w:val="TableNText"/>
              <w:spacing w:before="60" w:after="60" w:line="240" w:lineRule="auto"/>
              <w:jc w:val="center"/>
              <w:rPr>
                <w:rFonts w:asciiTheme="majorHAnsi" w:hAnsiTheme="majorHAnsi" w:cstheme="majorHAnsi"/>
                <w:highlight w:val="yellow"/>
              </w:rPr>
            </w:pPr>
            <w:r w:rsidRPr="004A357C">
              <w:rPr>
                <w:rFonts w:asciiTheme="majorHAnsi" w:hAnsiTheme="majorHAnsi" w:cstheme="majorHAnsi"/>
              </w:rPr>
              <w:t>6%</w:t>
            </w:r>
          </w:p>
        </w:tc>
        <w:tc>
          <w:tcPr>
            <w:tcW w:w="1843" w:type="dxa"/>
          </w:tcPr>
          <w:p w14:paraId="1CE93209" w14:textId="4C0CE43F" w:rsidR="00D3309B" w:rsidRPr="004A357C" w:rsidRDefault="00D3309B" w:rsidP="00FB712C">
            <w:pPr>
              <w:pStyle w:val="TableNText"/>
              <w:spacing w:before="60" w:after="60" w:line="240" w:lineRule="auto"/>
              <w:jc w:val="center"/>
              <w:rPr>
                <w:rFonts w:asciiTheme="majorHAnsi" w:hAnsiTheme="majorHAnsi" w:cstheme="majorHAnsi"/>
                <w:color w:val="F25E21" w:themeColor="accent2"/>
                <w:highlight w:val="yellow"/>
              </w:rPr>
            </w:pPr>
            <w:r w:rsidRPr="004A357C">
              <w:rPr>
                <w:rFonts w:asciiTheme="majorHAnsi" w:hAnsiTheme="majorHAnsi" w:cstheme="majorHAnsi"/>
                <w:color w:val="F25E21" w:themeColor="accent2"/>
              </w:rPr>
              <w:t>-19%</w:t>
            </w:r>
          </w:p>
        </w:tc>
      </w:tr>
    </w:tbl>
    <w:p w14:paraId="520E030A" w14:textId="5471E443" w:rsidR="00FE0D85" w:rsidRPr="004A357C" w:rsidRDefault="00AC7F0C" w:rsidP="00FB712C">
      <w:pPr>
        <w:spacing w:before="240"/>
        <w:rPr>
          <w:lang w:eastAsia="en-AU"/>
        </w:rPr>
      </w:pPr>
      <w:r w:rsidRPr="004A357C">
        <w:rPr>
          <w:lang w:eastAsia="en-AU"/>
        </w:rPr>
        <w:fldChar w:fldCharType="begin"/>
      </w:r>
      <w:r w:rsidRPr="004A357C">
        <w:rPr>
          <w:lang w:eastAsia="en-AU"/>
        </w:rPr>
        <w:instrText xml:space="preserve"> REF _Ref202878064 \h </w:instrText>
      </w:r>
      <w:r w:rsidRPr="004A357C">
        <w:rPr>
          <w:lang w:eastAsia="en-AU"/>
        </w:rPr>
      </w:r>
      <w:r w:rsidRPr="004A357C">
        <w:rPr>
          <w:lang w:eastAsia="en-AU"/>
        </w:rPr>
        <w:fldChar w:fldCharType="separate"/>
      </w:r>
      <w:r w:rsidR="00D30634" w:rsidRPr="004A357C">
        <w:t xml:space="preserve">Table </w:t>
      </w:r>
      <w:r w:rsidR="00D30634">
        <w:rPr>
          <w:noProof/>
        </w:rPr>
        <w:t>26</w:t>
      </w:r>
      <w:r w:rsidRPr="004A357C">
        <w:rPr>
          <w:lang w:eastAsia="en-AU"/>
        </w:rPr>
        <w:fldChar w:fldCharType="end"/>
      </w:r>
      <w:r w:rsidR="008F3368" w:rsidRPr="004A357C">
        <w:rPr>
          <w:lang w:eastAsia="en-AU"/>
        </w:rPr>
        <w:t xml:space="preserve"> shows that there is a closer alignment of benefits with public hospital prices across all PL categories. The median gap (for items where a gap is present for reduction) has fallen below 1</w:t>
      </w:r>
      <w:r w:rsidR="0006602B" w:rsidRPr="004A357C">
        <w:rPr>
          <w:lang w:eastAsia="en-AU"/>
        </w:rPr>
        <w:t>0</w:t>
      </w:r>
      <w:r w:rsidR="008F3368" w:rsidRPr="004A357C">
        <w:rPr>
          <w:lang w:eastAsia="en-AU"/>
        </w:rPr>
        <w:t>% for all categories except for the</w:t>
      </w:r>
      <w:r w:rsidR="00E67428" w:rsidRPr="004A357C">
        <w:rPr>
          <w:lang w:eastAsia="en-AU"/>
        </w:rPr>
        <w:t xml:space="preserve"> ophthalmic category and the</w:t>
      </w:r>
      <w:r w:rsidR="008F3368" w:rsidRPr="004A357C">
        <w:rPr>
          <w:lang w:eastAsia="en-AU"/>
        </w:rPr>
        <w:t xml:space="preserve"> cardiac category (CIEDs excluded). For non-CIED cardiac items, there remains a median gap of </w:t>
      </w:r>
      <w:r w:rsidR="00E67428" w:rsidRPr="004A357C">
        <w:rPr>
          <w:lang w:eastAsia="en-AU"/>
        </w:rPr>
        <w:t>42</w:t>
      </w:r>
      <w:r w:rsidR="008F3368" w:rsidRPr="004A357C">
        <w:rPr>
          <w:lang w:eastAsia="en-AU"/>
        </w:rPr>
        <w:t>% ($</w:t>
      </w:r>
      <w:r w:rsidR="00E67428" w:rsidRPr="004A357C">
        <w:rPr>
          <w:lang w:eastAsia="en-AU"/>
        </w:rPr>
        <w:t>323</w:t>
      </w:r>
      <w:r w:rsidR="008F3368" w:rsidRPr="004A357C">
        <w:rPr>
          <w:lang w:eastAsia="en-AU"/>
        </w:rPr>
        <w:t>) after all three rounds of reductions.</w:t>
      </w:r>
    </w:p>
    <w:p w14:paraId="33A96514" w14:textId="42192FB9" w:rsidR="00EF50ED" w:rsidRPr="004A357C" w:rsidRDefault="00EF50ED" w:rsidP="00EF50ED">
      <w:pPr>
        <w:pStyle w:val="Heading4"/>
      </w:pPr>
      <w:r w:rsidRPr="004A357C">
        <w:rPr>
          <w:color w:val="F25E21" w:themeColor="accent2"/>
        </w:rPr>
        <w:lastRenderedPageBreak/>
        <w:t>Measure 2.</w:t>
      </w:r>
      <w:r w:rsidR="00C54FAC" w:rsidRPr="004A357C">
        <w:rPr>
          <w:color w:val="F25E21" w:themeColor="accent2"/>
        </w:rPr>
        <w:t>3</w:t>
      </w:r>
      <w:r w:rsidRPr="004A357C">
        <w:rPr>
          <w:color w:val="F25E21" w:themeColor="accent2"/>
        </w:rPr>
        <w:t xml:space="preserve">: </w:t>
      </w:r>
      <w:r w:rsidR="00F01413" w:rsidRPr="004A357C">
        <w:t>Gap between PL benefits and prices on the Liste des Produits et Prestations (LPP) and Pharmac Hospital Medical Devices Schedule</w:t>
      </w:r>
    </w:p>
    <w:p w14:paraId="11CF0D71" w14:textId="6FE85412" w:rsidR="00F77FBB" w:rsidRPr="004A357C" w:rsidRDefault="00024F5B" w:rsidP="00F77FBB">
      <w:pPr>
        <w:rPr>
          <w:lang w:eastAsia="en-AU"/>
        </w:rPr>
      </w:pPr>
      <w:r w:rsidRPr="004A357C">
        <w:rPr>
          <w:lang w:eastAsia="en-AU"/>
        </w:rPr>
        <w:t xml:space="preserve">The evaluation </w:t>
      </w:r>
      <w:r w:rsidR="008907A3" w:rsidRPr="004A357C">
        <w:rPr>
          <w:lang w:eastAsia="en-AU"/>
        </w:rPr>
        <w:t>uses three PL benefit groups as case studies to compare with the same</w:t>
      </w:r>
      <w:r w:rsidR="0038467C" w:rsidRPr="004A357C">
        <w:rPr>
          <w:lang w:eastAsia="en-AU"/>
        </w:rPr>
        <w:t xml:space="preserve"> products on the Liste des Produits et Prestations (LPP)</w:t>
      </w:r>
      <w:r w:rsidR="0038467C" w:rsidRPr="004A357C">
        <w:rPr>
          <w:rStyle w:val="FootnoteReference"/>
          <w:lang w:eastAsia="en-AU"/>
        </w:rPr>
        <w:footnoteReference w:id="135"/>
      </w:r>
      <w:r w:rsidR="0038467C" w:rsidRPr="004A357C">
        <w:rPr>
          <w:lang w:eastAsia="en-AU"/>
        </w:rPr>
        <w:t xml:space="preserve"> and the Pharmac Hospital Medical Devices Schedule (Pharmac)</w:t>
      </w:r>
      <w:r w:rsidR="00263E20" w:rsidRPr="004A357C">
        <w:rPr>
          <w:rStyle w:val="FootnoteReference"/>
          <w:lang w:eastAsia="en-AU"/>
        </w:rPr>
        <w:footnoteReference w:id="136"/>
      </w:r>
      <w:r w:rsidR="0038467C" w:rsidRPr="004A357C">
        <w:rPr>
          <w:lang w:eastAsia="en-AU"/>
        </w:rPr>
        <w:t>.</w:t>
      </w:r>
      <w:r w:rsidR="008B43B8" w:rsidRPr="004A357C">
        <w:rPr>
          <w:lang w:eastAsia="en-AU"/>
        </w:rPr>
        <w:t xml:space="preserve"> The methodology </w:t>
      </w:r>
      <w:r w:rsidR="00DE75B9" w:rsidRPr="004A357C">
        <w:rPr>
          <w:lang w:eastAsia="en-AU"/>
        </w:rPr>
        <w:t>for this measure</w:t>
      </w:r>
      <w:r w:rsidR="00F40CD0" w:rsidRPr="004A357C">
        <w:rPr>
          <w:lang w:eastAsia="en-AU"/>
        </w:rPr>
        <w:t xml:space="preserve"> is outlined in</w:t>
      </w:r>
      <w:r w:rsidR="00DE75B9" w:rsidRPr="004A357C">
        <w:rPr>
          <w:lang w:eastAsia="en-AU"/>
        </w:rPr>
        <w:t xml:space="preserve"> the </w:t>
      </w:r>
      <w:r w:rsidR="00DE75B9" w:rsidRPr="004A357C">
        <w:rPr>
          <w:i/>
          <w:lang w:eastAsia="en-AU"/>
        </w:rPr>
        <w:t>Interim Evaluation #1 report</w:t>
      </w:r>
      <w:r w:rsidR="00DE75B9" w:rsidRPr="004A357C">
        <w:rPr>
          <w:lang w:eastAsia="en-AU"/>
        </w:rPr>
        <w:t>.</w:t>
      </w:r>
      <w:r w:rsidR="000E7B10" w:rsidRPr="004A357C">
        <w:rPr>
          <w:rStyle w:val="FootnoteReference"/>
          <w:lang w:eastAsia="en-AU"/>
        </w:rPr>
        <w:footnoteReference w:id="137"/>
      </w:r>
    </w:p>
    <w:p w14:paraId="58046956" w14:textId="4DC80FC6" w:rsidR="00EF50ED" w:rsidRPr="004A357C" w:rsidRDefault="00F901EA" w:rsidP="00B50EE7">
      <w:pPr>
        <w:pStyle w:val="Caption"/>
        <w:rPr>
          <w:lang w:eastAsia="en-AU"/>
        </w:rPr>
      </w:pPr>
      <w:bookmarkStart w:id="125" w:name="_Ref199754519"/>
      <w:r w:rsidRPr="004A357C">
        <w:t xml:space="preserve">Figure </w:t>
      </w:r>
      <w:r w:rsidR="002604D0">
        <w:fldChar w:fldCharType="begin"/>
      </w:r>
      <w:r w:rsidR="002604D0">
        <w:instrText xml:space="preserve"> SEQ Figure \* ARABIC </w:instrText>
      </w:r>
      <w:r w:rsidR="002604D0">
        <w:fldChar w:fldCharType="separate"/>
      </w:r>
      <w:r w:rsidR="00D30634">
        <w:rPr>
          <w:noProof/>
        </w:rPr>
        <w:t>31</w:t>
      </w:r>
      <w:r w:rsidR="002604D0">
        <w:fldChar w:fldCharType="end"/>
      </w:r>
      <w:bookmarkEnd w:id="125"/>
      <w:r w:rsidRPr="004A357C">
        <w:t xml:space="preserve"> | </w:t>
      </w:r>
      <w:r w:rsidR="0089102A" w:rsidRPr="004A357C">
        <w:t>International case study 1 (knee implant) – Benefit group comparison over time</w:t>
      </w:r>
      <w:r w:rsidR="0089102A" w:rsidRPr="004A357C">
        <w:rPr>
          <w:rStyle w:val="FootnoteReference"/>
        </w:rPr>
        <w:footnoteReference w:id="138"/>
      </w:r>
    </w:p>
    <w:p w14:paraId="7B6B8E4F" w14:textId="41520906" w:rsidR="006A45D0" w:rsidRPr="004A357C" w:rsidRDefault="00344821" w:rsidP="006A45D0">
      <w:pPr>
        <w:rPr>
          <w:lang w:eastAsia="en-AU"/>
        </w:rPr>
      </w:pPr>
      <w:r w:rsidRPr="00AC7E3F">
        <w:rPr>
          <w:noProof/>
          <w:lang w:eastAsia="en-AU"/>
        </w:rPr>
        <w:drawing>
          <wp:inline distT="0" distB="0" distL="0" distR="0" wp14:anchorId="0330FAAF" wp14:editId="74517270">
            <wp:extent cx="5670550" cy="2394585"/>
            <wp:effectExtent l="0" t="0" r="6350" b="5715"/>
            <wp:docPr id="1793299781" name="Picture 1" descr="International case study chart comparing knee implant benefit levels with French and NZ pric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99781" name="Picture 1" descr="International case study chart comparing knee implant benefit levels with French and NZ prices over time."/>
                    <pic:cNvPicPr/>
                  </pic:nvPicPr>
                  <pic:blipFill>
                    <a:blip r:embed="rId56"/>
                    <a:stretch>
                      <a:fillRect/>
                    </a:stretch>
                  </pic:blipFill>
                  <pic:spPr>
                    <a:xfrm>
                      <a:off x="0" y="0"/>
                      <a:ext cx="5670550" cy="2394585"/>
                    </a:xfrm>
                    <a:prstGeom prst="rect">
                      <a:avLst/>
                    </a:prstGeom>
                  </pic:spPr>
                </pic:pic>
              </a:graphicData>
            </a:graphic>
          </wp:inline>
        </w:drawing>
      </w:r>
    </w:p>
    <w:p w14:paraId="35AF5F76" w14:textId="4B8673CA" w:rsidR="00A95D0F" w:rsidRPr="004A357C" w:rsidRDefault="0083052F" w:rsidP="00FB712C">
      <w:pPr>
        <w:spacing w:before="240"/>
        <w:rPr>
          <w:lang w:eastAsia="en-AU"/>
        </w:rPr>
      </w:pPr>
      <w:r w:rsidRPr="004A357C">
        <w:rPr>
          <w:lang w:eastAsia="en-AU"/>
        </w:rPr>
        <w:t>Case study 1 (</w:t>
      </w:r>
      <w:r w:rsidRPr="004A357C">
        <w:rPr>
          <w:lang w:eastAsia="en-AU"/>
        </w:rPr>
        <w:fldChar w:fldCharType="begin"/>
      </w:r>
      <w:r w:rsidRPr="004A357C">
        <w:rPr>
          <w:lang w:eastAsia="en-AU"/>
        </w:rPr>
        <w:instrText xml:space="preserve"> REF _Ref199754519 \h </w:instrText>
      </w:r>
      <w:r w:rsidRPr="004A357C">
        <w:rPr>
          <w:lang w:eastAsia="en-AU"/>
        </w:rPr>
      </w:r>
      <w:r w:rsidRPr="004A357C">
        <w:rPr>
          <w:lang w:eastAsia="en-AU"/>
        </w:rPr>
        <w:fldChar w:fldCharType="separate"/>
      </w:r>
      <w:r w:rsidR="00D30634" w:rsidRPr="004A357C">
        <w:t xml:space="preserve">Figure </w:t>
      </w:r>
      <w:r w:rsidR="00D30634">
        <w:rPr>
          <w:noProof/>
        </w:rPr>
        <w:t>31</w:t>
      </w:r>
      <w:r w:rsidRPr="004A357C">
        <w:rPr>
          <w:lang w:eastAsia="en-AU"/>
        </w:rPr>
        <w:fldChar w:fldCharType="end"/>
      </w:r>
      <w:r w:rsidRPr="004A357C">
        <w:rPr>
          <w:lang w:eastAsia="en-AU"/>
        </w:rPr>
        <w:t>) shows</w:t>
      </w:r>
      <w:r w:rsidR="00A95D0F" w:rsidRPr="004A357C">
        <w:rPr>
          <w:lang w:eastAsia="en-AU"/>
        </w:rPr>
        <w:t xml:space="preserve"> </w:t>
      </w:r>
      <w:r w:rsidR="002568D1" w:rsidRPr="004A357C">
        <w:rPr>
          <w:lang w:eastAsia="en-AU"/>
        </w:rPr>
        <w:t xml:space="preserve">the benefit and pricing history of four knee implants products from the </w:t>
      </w:r>
      <w:r w:rsidR="00114751" w:rsidRPr="004A357C">
        <w:rPr>
          <w:lang w:eastAsia="en-AU"/>
        </w:rPr>
        <w:t xml:space="preserve">12.08.01 PL benefit group from 2016 to 2024. Prior to the reforms, </w:t>
      </w:r>
      <w:r w:rsidR="00BF3E1A" w:rsidRPr="004A357C">
        <w:rPr>
          <w:lang w:eastAsia="en-AU"/>
        </w:rPr>
        <w:t>the PL benefit was higher than the LPP and Pharmac prices on average</w:t>
      </w:r>
      <w:r w:rsidR="00EE2CE4" w:rsidRPr="004A357C">
        <w:rPr>
          <w:lang w:eastAsia="en-AU"/>
        </w:rPr>
        <w:t>.</w:t>
      </w:r>
      <w:r w:rsidR="00F64E24" w:rsidRPr="004A357C">
        <w:rPr>
          <w:lang w:eastAsia="en-AU"/>
        </w:rPr>
        <w:t xml:space="preserve"> </w:t>
      </w:r>
      <w:r w:rsidR="002A254D" w:rsidRPr="004A357C">
        <w:rPr>
          <w:lang w:eastAsia="en-AU"/>
        </w:rPr>
        <w:t xml:space="preserve">As a result of the benefit reductions, the PL benefit has fallen below the New Zealand </w:t>
      </w:r>
      <w:r w:rsidR="00667082" w:rsidRPr="004A357C">
        <w:rPr>
          <w:lang w:eastAsia="en-AU"/>
        </w:rPr>
        <w:t>median</w:t>
      </w:r>
      <w:r w:rsidR="002A254D" w:rsidRPr="004A357C">
        <w:rPr>
          <w:lang w:eastAsia="en-AU"/>
        </w:rPr>
        <w:t xml:space="preserve"> price </w:t>
      </w:r>
      <w:r w:rsidR="00094803" w:rsidRPr="004A357C">
        <w:rPr>
          <w:lang w:eastAsia="en-AU"/>
        </w:rPr>
        <w:t>and remains higher than the French price.</w:t>
      </w:r>
    </w:p>
    <w:p w14:paraId="661356B6" w14:textId="7B9F263F" w:rsidR="006A45D0" w:rsidRPr="004A357C" w:rsidRDefault="006A45D0" w:rsidP="00B50EE7">
      <w:pPr>
        <w:pStyle w:val="Caption"/>
      </w:pPr>
      <w:bookmarkStart w:id="126" w:name="_Ref199754521"/>
      <w:r w:rsidRPr="004A357C">
        <w:lastRenderedPageBreak/>
        <w:t xml:space="preserve">Figure </w:t>
      </w:r>
      <w:r w:rsidR="002604D0">
        <w:fldChar w:fldCharType="begin"/>
      </w:r>
      <w:r w:rsidR="002604D0">
        <w:instrText xml:space="preserve"> SEQ Figure \* ARABIC </w:instrText>
      </w:r>
      <w:r w:rsidR="002604D0">
        <w:fldChar w:fldCharType="separate"/>
      </w:r>
      <w:r w:rsidR="00D30634">
        <w:rPr>
          <w:noProof/>
        </w:rPr>
        <w:t>32</w:t>
      </w:r>
      <w:r w:rsidR="002604D0">
        <w:fldChar w:fldCharType="end"/>
      </w:r>
      <w:bookmarkEnd w:id="126"/>
      <w:r w:rsidRPr="004A357C">
        <w:t xml:space="preserve"> | </w:t>
      </w:r>
      <w:r w:rsidR="00AC630B" w:rsidRPr="004A357C">
        <w:t>International case study 2 (hip joint implant) – Benefit group comparison over time</w:t>
      </w:r>
      <w:r w:rsidR="004B39E4" w:rsidRPr="004A357C">
        <w:rPr>
          <w:rStyle w:val="FootnoteReference"/>
        </w:rPr>
        <w:footnoteReference w:id="139"/>
      </w:r>
    </w:p>
    <w:p w14:paraId="08AAFD61" w14:textId="5294B721" w:rsidR="006A45D0" w:rsidRPr="004A357C" w:rsidRDefault="007C1941" w:rsidP="006A45D0">
      <w:pPr>
        <w:rPr>
          <w:lang w:eastAsia="en-AU"/>
        </w:rPr>
      </w:pPr>
      <w:r w:rsidRPr="00AC7E3F">
        <w:rPr>
          <w:noProof/>
          <w:lang w:eastAsia="en-AU"/>
        </w:rPr>
        <w:drawing>
          <wp:inline distT="0" distB="0" distL="0" distR="0" wp14:anchorId="2E4241BC" wp14:editId="18B7AA4A">
            <wp:extent cx="5670550" cy="2390140"/>
            <wp:effectExtent l="0" t="0" r="6350" b="0"/>
            <wp:docPr id="1329418977" name="Picture 1" descr="International case study chart comparing hip joint implant benefits with French and NZ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18977" name="Picture 1" descr="International case study chart comparing hip joint implant benefits with French and NZ prices."/>
                    <pic:cNvPicPr/>
                  </pic:nvPicPr>
                  <pic:blipFill>
                    <a:blip r:embed="rId57"/>
                    <a:stretch>
                      <a:fillRect/>
                    </a:stretch>
                  </pic:blipFill>
                  <pic:spPr>
                    <a:xfrm>
                      <a:off x="0" y="0"/>
                      <a:ext cx="5670550" cy="2390140"/>
                    </a:xfrm>
                    <a:prstGeom prst="rect">
                      <a:avLst/>
                    </a:prstGeom>
                  </pic:spPr>
                </pic:pic>
              </a:graphicData>
            </a:graphic>
          </wp:inline>
        </w:drawing>
      </w:r>
    </w:p>
    <w:p w14:paraId="68F7EFB3" w14:textId="09562D35" w:rsidR="00094803" w:rsidRPr="004A357C" w:rsidRDefault="00094803" w:rsidP="00FB712C">
      <w:pPr>
        <w:spacing w:before="240"/>
        <w:rPr>
          <w:lang w:eastAsia="en-AU"/>
        </w:rPr>
      </w:pPr>
      <w:r w:rsidRPr="004A357C">
        <w:rPr>
          <w:lang w:eastAsia="en-AU"/>
        </w:rPr>
        <w:t>Case study 2 (</w:t>
      </w:r>
      <w:r w:rsidRPr="004A357C">
        <w:rPr>
          <w:lang w:eastAsia="en-AU"/>
        </w:rPr>
        <w:fldChar w:fldCharType="begin"/>
      </w:r>
      <w:r w:rsidRPr="004A357C">
        <w:rPr>
          <w:lang w:eastAsia="en-AU"/>
        </w:rPr>
        <w:instrText xml:space="preserve"> REF _Ref199754521 \h </w:instrText>
      </w:r>
      <w:r w:rsidRPr="004A357C">
        <w:rPr>
          <w:lang w:eastAsia="en-AU"/>
        </w:rPr>
      </w:r>
      <w:r w:rsidRPr="004A357C">
        <w:rPr>
          <w:lang w:eastAsia="en-AU"/>
        </w:rPr>
        <w:fldChar w:fldCharType="separate"/>
      </w:r>
      <w:r w:rsidR="00D30634" w:rsidRPr="004A357C">
        <w:t xml:space="preserve">Figure </w:t>
      </w:r>
      <w:r w:rsidR="00D30634">
        <w:rPr>
          <w:noProof/>
        </w:rPr>
        <w:t>32</w:t>
      </w:r>
      <w:r w:rsidRPr="004A357C">
        <w:rPr>
          <w:lang w:eastAsia="en-AU"/>
        </w:rPr>
        <w:fldChar w:fldCharType="end"/>
      </w:r>
      <w:r w:rsidRPr="004A357C">
        <w:rPr>
          <w:lang w:eastAsia="en-AU"/>
        </w:rPr>
        <w:t>)</w:t>
      </w:r>
      <w:r w:rsidR="0022718B" w:rsidRPr="004A357C">
        <w:rPr>
          <w:lang w:eastAsia="en-AU"/>
        </w:rPr>
        <w:t xml:space="preserve"> compares the </w:t>
      </w:r>
      <w:r w:rsidR="000876CF" w:rsidRPr="004A357C">
        <w:rPr>
          <w:lang w:eastAsia="en-AU"/>
        </w:rPr>
        <w:t xml:space="preserve">international </w:t>
      </w:r>
      <w:r w:rsidR="0022718B" w:rsidRPr="004A357C">
        <w:rPr>
          <w:lang w:eastAsia="en-AU"/>
        </w:rPr>
        <w:t xml:space="preserve">benefits and prices of six hip joint implant products </w:t>
      </w:r>
      <w:r w:rsidR="00B0528D" w:rsidRPr="004A357C">
        <w:rPr>
          <w:lang w:eastAsia="en-AU"/>
        </w:rPr>
        <w:t>from the 11</w:t>
      </w:r>
      <w:r w:rsidR="007C1941" w:rsidRPr="004A357C">
        <w:rPr>
          <w:lang w:eastAsia="en-AU"/>
        </w:rPr>
        <w:t xml:space="preserve">.02.02.05 PL </w:t>
      </w:r>
      <w:r w:rsidR="000876CF" w:rsidRPr="004A357C">
        <w:rPr>
          <w:lang w:eastAsia="en-AU"/>
        </w:rPr>
        <w:t>benefit group</w:t>
      </w:r>
      <w:r w:rsidR="007C1941" w:rsidRPr="004A357C">
        <w:rPr>
          <w:lang w:eastAsia="en-AU"/>
        </w:rPr>
        <w:t>.</w:t>
      </w:r>
      <w:r w:rsidR="00E430AC" w:rsidRPr="004A357C">
        <w:rPr>
          <w:lang w:eastAsia="en-AU"/>
        </w:rPr>
        <w:t xml:space="preserve"> The reforms have resulted in a PL benefit that is more closely aligned with New Zealand and French pricing. However, the PL benefit remains </w:t>
      </w:r>
      <w:r w:rsidR="00BE78A5" w:rsidRPr="004A357C">
        <w:rPr>
          <w:lang w:eastAsia="en-AU"/>
        </w:rPr>
        <w:t>$</w:t>
      </w:r>
      <w:r w:rsidR="00482C31" w:rsidRPr="004A357C">
        <w:rPr>
          <w:lang w:eastAsia="en-AU"/>
        </w:rPr>
        <w:t>338 higher than the Pharmac median price (though lower than the highe</w:t>
      </w:r>
      <w:r w:rsidR="007307F8" w:rsidRPr="004A357C">
        <w:rPr>
          <w:lang w:eastAsia="en-AU"/>
        </w:rPr>
        <w:t>st</w:t>
      </w:r>
      <w:r w:rsidR="00482C31" w:rsidRPr="004A357C">
        <w:rPr>
          <w:lang w:eastAsia="en-AU"/>
        </w:rPr>
        <w:t xml:space="preserve"> priced product</w:t>
      </w:r>
      <w:r w:rsidR="007307F8" w:rsidRPr="004A357C">
        <w:rPr>
          <w:lang w:eastAsia="en-AU"/>
        </w:rPr>
        <w:t xml:space="preserve"> in the Pharmac category</w:t>
      </w:r>
      <w:r w:rsidR="00482C31" w:rsidRPr="004A357C">
        <w:rPr>
          <w:lang w:eastAsia="en-AU"/>
        </w:rPr>
        <w:t>)</w:t>
      </w:r>
      <w:r w:rsidR="007307F8" w:rsidRPr="004A357C">
        <w:rPr>
          <w:lang w:eastAsia="en-AU"/>
        </w:rPr>
        <w:t xml:space="preserve"> and $</w:t>
      </w:r>
      <w:r w:rsidR="00E61601" w:rsidRPr="004A357C">
        <w:rPr>
          <w:lang w:eastAsia="en-AU"/>
        </w:rPr>
        <w:t>1</w:t>
      </w:r>
      <w:r w:rsidR="008B1B24" w:rsidRPr="004A357C">
        <w:rPr>
          <w:lang w:eastAsia="en-AU"/>
        </w:rPr>
        <w:t>,</w:t>
      </w:r>
      <w:r w:rsidR="00E61601" w:rsidRPr="004A357C">
        <w:rPr>
          <w:lang w:eastAsia="en-AU"/>
        </w:rPr>
        <w:t>284 higher than the LPP price.</w:t>
      </w:r>
    </w:p>
    <w:p w14:paraId="4B0A85A8" w14:textId="018883A5" w:rsidR="006A45D0" w:rsidRPr="004A357C" w:rsidRDefault="006A45D0" w:rsidP="00B50EE7">
      <w:pPr>
        <w:pStyle w:val="Caption"/>
      </w:pPr>
      <w:bookmarkStart w:id="127" w:name="_Ref199754522"/>
      <w:r w:rsidRPr="004A357C">
        <w:t xml:space="preserve">Figure </w:t>
      </w:r>
      <w:r w:rsidR="002604D0">
        <w:fldChar w:fldCharType="begin"/>
      </w:r>
      <w:r w:rsidR="002604D0">
        <w:instrText xml:space="preserve"> SEQ Figure \* ARABIC </w:instrText>
      </w:r>
      <w:r w:rsidR="002604D0">
        <w:fldChar w:fldCharType="separate"/>
      </w:r>
      <w:r w:rsidR="00D30634">
        <w:rPr>
          <w:noProof/>
        </w:rPr>
        <w:t>33</w:t>
      </w:r>
      <w:r w:rsidR="002604D0">
        <w:fldChar w:fldCharType="end"/>
      </w:r>
      <w:bookmarkEnd w:id="127"/>
      <w:r w:rsidRPr="004A357C">
        <w:t xml:space="preserve"> | </w:t>
      </w:r>
      <w:r w:rsidR="004B39E4" w:rsidRPr="004A357C">
        <w:t>International case study 3 (spinal fusion cage) – Benefit group comparison over time</w:t>
      </w:r>
      <w:r w:rsidR="004B39E4" w:rsidRPr="004A357C">
        <w:rPr>
          <w:rStyle w:val="FootnoteReference"/>
        </w:rPr>
        <w:footnoteReference w:id="140"/>
      </w:r>
    </w:p>
    <w:p w14:paraId="6E1EBDA3" w14:textId="5C17FBE7" w:rsidR="00C03B5F" w:rsidRPr="004A357C" w:rsidRDefault="00C03B5F" w:rsidP="00C03B5F">
      <w:pPr>
        <w:rPr>
          <w:lang w:eastAsia="en-AU"/>
        </w:rPr>
      </w:pPr>
      <w:r w:rsidRPr="00AC7E3F">
        <w:rPr>
          <w:noProof/>
          <w:lang w:eastAsia="en-AU"/>
        </w:rPr>
        <w:drawing>
          <wp:inline distT="0" distB="0" distL="0" distR="0" wp14:anchorId="1F27B825" wp14:editId="23289476">
            <wp:extent cx="5670550" cy="2396490"/>
            <wp:effectExtent l="0" t="0" r="6350" b="3810"/>
            <wp:docPr id="722433903" name="Picture 1" descr="International case study chart comparing spinal fusion cage benefits with French and NZ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33903" name="Picture 1" descr="International case study chart comparing spinal fusion cage benefits with French and NZ prices."/>
                    <pic:cNvPicPr/>
                  </pic:nvPicPr>
                  <pic:blipFill>
                    <a:blip r:embed="rId58"/>
                    <a:stretch>
                      <a:fillRect/>
                    </a:stretch>
                  </pic:blipFill>
                  <pic:spPr>
                    <a:xfrm>
                      <a:off x="0" y="0"/>
                      <a:ext cx="5670550" cy="2396490"/>
                    </a:xfrm>
                    <a:prstGeom prst="rect">
                      <a:avLst/>
                    </a:prstGeom>
                  </pic:spPr>
                </pic:pic>
              </a:graphicData>
            </a:graphic>
          </wp:inline>
        </w:drawing>
      </w:r>
    </w:p>
    <w:p w14:paraId="226838FA" w14:textId="63F4462D" w:rsidR="00094803" w:rsidRPr="004A357C" w:rsidRDefault="00094803" w:rsidP="00FB712C">
      <w:pPr>
        <w:spacing w:before="240"/>
        <w:rPr>
          <w:lang w:eastAsia="en-AU"/>
        </w:rPr>
      </w:pPr>
      <w:r w:rsidRPr="004A357C">
        <w:rPr>
          <w:lang w:eastAsia="en-AU"/>
        </w:rPr>
        <w:t>Case study 3 (</w:t>
      </w:r>
      <w:r w:rsidRPr="004A357C">
        <w:rPr>
          <w:lang w:eastAsia="en-AU"/>
        </w:rPr>
        <w:fldChar w:fldCharType="begin"/>
      </w:r>
      <w:r w:rsidRPr="004A357C">
        <w:rPr>
          <w:lang w:eastAsia="en-AU"/>
        </w:rPr>
        <w:instrText xml:space="preserve"> REF _Ref199754522 \h </w:instrText>
      </w:r>
      <w:r w:rsidRPr="004A357C">
        <w:rPr>
          <w:lang w:eastAsia="en-AU"/>
        </w:rPr>
      </w:r>
      <w:r w:rsidRPr="004A357C">
        <w:rPr>
          <w:lang w:eastAsia="en-AU"/>
        </w:rPr>
        <w:fldChar w:fldCharType="separate"/>
      </w:r>
      <w:r w:rsidR="00D30634" w:rsidRPr="004A357C">
        <w:t xml:space="preserve">Figure </w:t>
      </w:r>
      <w:r w:rsidR="00D30634">
        <w:rPr>
          <w:noProof/>
        </w:rPr>
        <w:t>33</w:t>
      </w:r>
      <w:r w:rsidRPr="004A357C">
        <w:rPr>
          <w:lang w:eastAsia="en-AU"/>
        </w:rPr>
        <w:fldChar w:fldCharType="end"/>
      </w:r>
      <w:r w:rsidRPr="004A357C">
        <w:rPr>
          <w:lang w:eastAsia="en-AU"/>
        </w:rPr>
        <w:t xml:space="preserve">) </w:t>
      </w:r>
      <w:r w:rsidR="007909D3" w:rsidRPr="004A357C">
        <w:rPr>
          <w:lang w:eastAsia="en-AU"/>
        </w:rPr>
        <w:t xml:space="preserve">compares the international benefits and prices of </w:t>
      </w:r>
      <w:r w:rsidR="00AE4D50" w:rsidRPr="004A357C">
        <w:rPr>
          <w:lang w:eastAsia="en-AU"/>
        </w:rPr>
        <w:t xml:space="preserve">four spinal fusion cage products from the 13.10.01.02 PL category. The reforms have resulted in a marginal decrease in </w:t>
      </w:r>
      <w:r w:rsidR="007A411F" w:rsidRPr="004A357C">
        <w:rPr>
          <w:lang w:eastAsia="en-AU"/>
        </w:rPr>
        <w:t xml:space="preserve">the </w:t>
      </w:r>
      <w:r w:rsidR="00AE4D50" w:rsidRPr="004A357C">
        <w:rPr>
          <w:lang w:eastAsia="en-AU"/>
        </w:rPr>
        <w:t>PL benefit</w:t>
      </w:r>
      <w:r w:rsidR="007A411F" w:rsidRPr="004A357C">
        <w:rPr>
          <w:lang w:eastAsia="en-AU"/>
        </w:rPr>
        <w:t>, while the median Pharmac price has increased and the LPP price has held steady.</w:t>
      </w:r>
      <w:r w:rsidR="009B51A0" w:rsidRPr="004A357C">
        <w:rPr>
          <w:lang w:eastAsia="en-AU"/>
        </w:rPr>
        <w:t xml:space="preserve"> </w:t>
      </w:r>
      <w:r w:rsidR="003A14F9" w:rsidRPr="004A357C">
        <w:rPr>
          <w:lang w:eastAsia="en-AU"/>
        </w:rPr>
        <w:t>The</w:t>
      </w:r>
      <w:r w:rsidR="009B51A0" w:rsidRPr="004A357C">
        <w:rPr>
          <w:lang w:eastAsia="en-AU"/>
        </w:rPr>
        <w:t xml:space="preserve"> PL benefit remains around six times the LPP price </w:t>
      </w:r>
      <w:r w:rsidR="003A14F9" w:rsidRPr="004A357C">
        <w:rPr>
          <w:lang w:eastAsia="en-AU"/>
        </w:rPr>
        <w:t>for</w:t>
      </w:r>
      <w:r w:rsidR="009B51A0" w:rsidRPr="004A357C">
        <w:rPr>
          <w:lang w:eastAsia="en-AU"/>
        </w:rPr>
        <w:t xml:space="preserve"> the same products.</w:t>
      </w:r>
    </w:p>
    <w:p w14:paraId="75D79C8E" w14:textId="4A5B4BEB" w:rsidR="00E65534" w:rsidRPr="004A357C" w:rsidRDefault="00E65534" w:rsidP="003F5E17">
      <w:pPr>
        <w:pStyle w:val="xAppendixLevel2"/>
      </w:pPr>
      <w:bookmarkStart w:id="128" w:name="_Ref202353872"/>
      <w:bookmarkStart w:id="129" w:name="_Toc209176986"/>
      <w:r w:rsidRPr="004A357C">
        <w:lastRenderedPageBreak/>
        <w:t>Indicator 3: Change in out-of-pocket expenses related to PL items</w:t>
      </w:r>
      <w:bookmarkEnd w:id="128"/>
      <w:bookmarkEnd w:id="129"/>
    </w:p>
    <w:p w14:paraId="4009C421" w14:textId="57FD7209" w:rsidR="000057EC" w:rsidRPr="004A357C" w:rsidRDefault="000057EC" w:rsidP="000057EC">
      <w:pPr>
        <w:pStyle w:val="Heading4"/>
      </w:pPr>
      <w:r w:rsidRPr="004A357C">
        <w:rPr>
          <w:color w:val="F25E21" w:themeColor="accent2"/>
        </w:rPr>
        <w:t xml:space="preserve">Measure 3.1: </w:t>
      </w:r>
      <w:r w:rsidRPr="004A357C">
        <w:t>Prevalence of a gap payment for PL items</w:t>
      </w:r>
    </w:p>
    <w:p w14:paraId="72071418" w14:textId="4C37C87A" w:rsidR="000057EC" w:rsidRPr="004A357C" w:rsidRDefault="0024585F" w:rsidP="00B50EE7">
      <w:pPr>
        <w:pStyle w:val="Caption"/>
      </w:pPr>
      <w:bookmarkStart w:id="130" w:name="_Ref202353844"/>
      <w:r w:rsidRPr="004A357C">
        <w:t xml:space="preserve">Table </w:t>
      </w:r>
      <w:r w:rsidR="002604D0">
        <w:fldChar w:fldCharType="begin"/>
      </w:r>
      <w:r w:rsidR="002604D0">
        <w:instrText xml:space="preserve"> SEQ Table \* ARABIC </w:instrText>
      </w:r>
      <w:r w:rsidR="002604D0">
        <w:fldChar w:fldCharType="separate"/>
      </w:r>
      <w:r w:rsidR="00D30634">
        <w:rPr>
          <w:noProof/>
        </w:rPr>
        <w:t>27</w:t>
      </w:r>
      <w:r w:rsidR="002604D0">
        <w:fldChar w:fldCharType="end"/>
      </w:r>
      <w:bookmarkEnd w:id="130"/>
      <w:r w:rsidRPr="004A357C">
        <w:t xml:space="preserve"> | Prevalence of gap by PL category for items in Part A</w:t>
      </w:r>
      <w:r w:rsidR="007E4C69" w:rsidRPr="004A357C">
        <w:rPr>
          <w:rStyle w:val="FootnoteReference"/>
        </w:rPr>
        <w:footnoteReference w:id="141"/>
      </w:r>
    </w:p>
    <w:tbl>
      <w:tblPr>
        <w:tblStyle w:val="NOUSSideHeader1"/>
        <w:tblW w:w="0" w:type="auto"/>
        <w:tblLook w:val="04A0" w:firstRow="1" w:lastRow="0" w:firstColumn="1" w:lastColumn="0" w:noHBand="0" w:noVBand="1"/>
      </w:tblPr>
      <w:tblGrid>
        <w:gridCol w:w="2090"/>
        <w:gridCol w:w="981"/>
        <w:gridCol w:w="972"/>
        <w:gridCol w:w="976"/>
        <w:gridCol w:w="983"/>
        <w:gridCol w:w="974"/>
        <w:gridCol w:w="976"/>
        <w:gridCol w:w="978"/>
      </w:tblGrid>
      <w:tr w:rsidR="008A1095" w:rsidRPr="004A357C" w14:paraId="4E8EC142" w14:textId="77777777" w:rsidTr="00EA7ED2">
        <w:trPr>
          <w:cnfStyle w:val="100000000000" w:firstRow="1" w:lastRow="0" w:firstColumn="0" w:lastColumn="0" w:oddVBand="0" w:evenVBand="0" w:oddHBand="0" w:evenHBand="0" w:firstRowFirstColumn="0" w:firstRowLastColumn="0" w:lastRowFirstColumn="0" w:lastRowLastColumn="0"/>
        </w:trPr>
        <w:tc>
          <w:tcPr>
            <w:tcW w:w="2090" w:type="dxa"/>
            <w:tcBorders>
              <w:right w:val="single" w:sz="8" w:space="0" w:color="FFFFFF"/>
            </w:tcBorders>
          </w:tcPr>
          <w:p w14:paraId="46AD5145" w14:textId="77777777" w:rsidR="008A1095" w:rsidRPr="004A357C" w:rsidRDefault="008A1095" w:rsidP="00FB712C">
            <w:pPr>
              <w:pStyle w:val="TableNheader"/>
              <w:spacing w:before="60" w:after="60" w:line="240" w:lineRule="auto"/>
              <w:rPr>
                <w:b/>
              </w:rPr>
            </w:pPr>
          </w:p>
        </w:tc>
        <w:tc>
          <w:tcPr>
            <w:tcW w:w="2929" w:type="dxa"/>
            <w:gridSpan w:val="3"/>
            <w:tcBorders>
              <w:left w:val="single" w:sz="8" w:space="0" w:color="FFFFFF"/>
              <w:right w:val="single" w:sz="8" w:space="0" w:color="FFFFFF"/>
            </w:tcBorders>
          </w:tcPr>
          <w:p w14:paraId="0213A148" w14:textId="0321B336" w:rsidR="008A1095" w:rsidRPr="004A357C" w:rsidRDefault="008A1095" w:rsidP="00FB712C">
            <w:pPr>
              <w:pStyle w:val="TableNheader"/>
              <w:spacing w:before="60" w:after="60" w:line="240" w:lineRule="auto"/>
              <w:rPr>
                <w:b/>
              </w:rPr>
            </w:pPr>
            <w:r w:rsidRPr="004A357C">
              <w:t>FY2</w:t>
            </w:r>
            <w:r w:rsidR="00EA7ED2">
              <w:t>3</w:t>
            </w:r>
          </w:p>
        </w:tc>
        <w:tc>
          <w:tcPr>
            <w:tcW w:w="2933" w:type="dxa"/>
            <w:gridSpan w:val="3"/>
            <w:tcBorders>
              <w:left w:val="single" w:sz="8" w:space="0" w:color="FFFFFF"/>
              <w:right w:val="nil"/>
            </w:tcBorders>
          </w:tcPr>
          <w:p w14:paraId="461EF922" w14:textId="693A9876" w:rsidR="008A1095" w:rsidRPr="004A357C" w:rsidRDefault="008A1095" w:rsidP="00FB712C">
            <w:pPr>
              <w:pStyle w:val="TableNheader"/>
              <w:spacing w:before="60" w:after="60" w:line="240" w:lineRule="auto"/>
              <w:rPr>
                <w:b/>
              </w:rPr>
            </w:pPr>
            <w:r w:rsidRPr="004A357C">
              <w:t>FY2</w:t>
            </w:r>
            <w:r w:rsidR="00EA7ED2">
              <w:t>4</w:t>
            </w:r>
          </w:p>
        </w:tc>
        <w:tc>
          <w:tcPr>
            <w:tcW w:w="978" w:type="dxa"/>
            <w:tcBorders>
              <w:left w:val="nil"/>
            </w:tcBorders>
          </w:tcPr>
          <w:p w14:paraId="2D486D1D" w14:textId="77777777" w:rsidR="008A1095" w:rsidRPr="004A357C" w:rsidRDefault="008A1095" w:rsidP="00FB712C">
            <w:pPr>
              <w:pStyle w:val="TableNheader"/>
              <w:spacing w:before="60" w:after="60" w:line="240" w:lineRule="auto"/>
              <w:rPr>
                <w:b/>
              </w:rPr>
            </w:pPr>
          </w:p>
        </w:tc>
      </w:tr>
      <w:tr w:rsidR="00A57904" w:rsidRPr="004A357C" w14:paraId="0ECFCE60" w14:textId="77777777" w:rsidTr="00EA7ED2">
        <w:trPr>
          <w:cnfStyle w:val="000000100000" w:firstRow="0" w:lastRow="0" w:firstColumn="0" w:lastColumn="0" w:oddVBand="0" w:evenVBand="0" w:oddHBand="1" w:evenHBand="0" w:firstRowFirstColumn="0" w:firstRowLastColumn="0" w:lastRowFirstColumn="0" w:lastRowLastColumn="0"/>
        </w:trPr>
        <w:tc>
          <w:tcPr>
            <w:tcW w:w="2090" w:type="dxa"/>
            <w:tcBorders>
              <w:top w:val="nil"/>
              <w:bottom w:val="nil"/>
              <w:right w:val="single" w:sz="8" w:space="0" w:color="FFFFFF"/>
            </w:tcBorders>
            <w:shd w:val="clear" w:color="auto" w:fill="E6E6E1" w:themeFill="accent5"/>
          </w:tcPr>
          <w:p w14:paraId="5598E501" w14:textId="77777777" w:rsidR="008A1095" w:rsidRPr="00A57904" w:rsidRDefault="008A1095" w:rsidP="00FB712C">
            <w:pPr>
              <w:pStyle w:val="TableNheader"/>
              <w:spacing w:before="60" w:after="60" w:line="240" w:lineRule="auto"/>
            </w:pPr>
            <w:r w:rsidRPr="00A57904">
              <w:t>Categories</w:t>
            </w:r>
          </w:p>
        </w:tc>
        <w:tc>
          <w:tcPr>
            <w:tcW w:w="981" w:type="dxa"/>
            <w:tcBorders>
              <w:top w:val="nil"/>
              <w:left w:val="single" w:sz="8" w:space="0" w:color="FFFFFF"/>
              <w:bottom w:val="nil"/>
              <w:right w:val="single" w:sz="8" w:space="0" w:color="FFFFFF"/>
            </w:tcBorders>
            <w:shd w:val="clear" w:color="auto" w:fill="E6E6E1" w:themeFill="accent5"/>
          </w:tcPr>
          <w:p w14:paraId="65964402" w14:textId="77777777" w:rsidR="008A1095" w:rsidRPr="00A57904" w:rsidRDefault="008A1095" w:rsidP="00FB712C">
            <w:pPr>
              <w:pStyle w:val="TableNheader"/>
              <w:spacing w:before="60" w:after="60" w:line="240" w:lineRule="auto"/>
              <w:rPr>
                <w:sz w:val="15"/>
                <w:szCs w:val="15"/>
              </w:rPr>
            </w:pPr>
            <w:r w:rsidRPr="00A57904">
              <w:rPr>
                <w:sz w:val="15"/>
                <w:szCs w:val="15"/>
              </w:rPr>
              <w:t># of items</w:t>
            </w:r>
          </w:p>
        </w:tc>
        <w:tc>
          <w:tcPr>
            <w:tcW w:w="972" w:type="dxa"/>
            <w:tcBorders>
              <w:top w:val="nil"/>
              <w:left w:val="single" w:sz="8" w:space="0" w:color="FFFFFF"/>
              <w:bottom w:val="nil"/>
              <w:right w:val="single" w:sz="8" w:space="0" w:color="FFFFFF"/>
            </w:tcBorders>
            <w:shd w:val="clear" w:color="auto" w:fill="E6E6E1" w:themeFill="accent5"/>
          </w:tcPr>
          <w:p w14:paraId="50BBE91A" w14:textId="77777777" w:rsidR="008A1095" w:rsidRPr="00A57904" w:rsidRDefault="008A1095" w:rsidP="00FB712C">
            <w:pPr>
              <w:pStyle w:val="TableNheader"/>
              <w:spacing w:before="60" w:after="60" w:line="240" w:lineRule="auto"/>
              <w:rPr>
                <w:sz w:val="15"/>
                <w:szCs w:val="15"/>
              </w:rPr>
            </w:pPr>
            <w:r w:rsidRPr="00A57904">
              <w:rPr>
                <w:sz w:val="15"/>
                <w:szCs w:val="15"/>
              </w:rPr>
              <w:t># of items with a gap</w:t>
            </w:r>
          </w:p>
        </w:tc>
        <w:tc>
          <w:tcPr>
            <w:tcW w:w="976" w:type="dxa"/>
            <w:tcBorders>
              <w:top w:val="nil"/>
              <w:left w:val="single" w:sz="8" w:space="0" w:color="FFFFFF"/>
              <w:bottom w:val="nil"/>
              <w:right w:val="single" w:sz="8" w:space="0" w:color="FFFFFF"/>
            </w:tcBorders>
            <w:shd w:val="clear" w:color="auto" w:fill="E6E6E1" w:themeFill="accent5"/>
          </w:tcPr>
          <w:p w14:paraId="53EA6542" w14:textId="77777777" w:rsidR="008A1095" w:rsidRPr="00A57904" w:rsidRDefault="008A1095" w:rsidP="00FB712C">
            <w:pPr>
              <w:pStyle w:val="TableNheader"/>
              <w:spacing w:before="60" w:after="60" w:line="240" w:lineRule="auto"/>
              <w:rPr>
                <w:sz w:val="15"/>
                <w:szCs w:val="15"/>
              </w:rPr>
            </w:pPr>
            <w:r w:rsidRPr="00A57904">
              <w:rPr>
                <w:sz w:val="15"/>
                <w:szCs w:val="15"/>
              </w:rPr>
              <w:t>Rate of gap</w:t>
            </w:r>
          </w:p>
        </w:tc>
        <w:tc>
          <w:tcPr>
            <w:tcW w:w="983" w:type="dxa"/>
            <w:tcBorders>
              <w:top w:val="nil"/>
              <w:left w:val="single" w:sz="8" w:space="0" w:color="FFFFFF"/>
              <w:bottom w:val="nil"/>
              <w:right w:val="single" w:sz="8" w:space="0" w:color="FFFFFF"/>
            </w:tcBorders>
            <w:shd w:val="clear" w:color="auto" w:fill="E6E6E1" w:themeFill="accent5"/>
          </w:tcPr>
          <w:p w14:paraId="623B7482" w14:textId="77777777" w:rsidR="008A1095" w:rsidRPr="00A57904" w:rsidRDefault="008A1095" w:rsidP="00FB712C">
            <w:pPr>
              <w:pStyle w:val="TableNheader"/>
              <w:spacing w:before="60" w:after="60" w:line="240" w:lineRule="auto"/>
              <w:rPr>
                <w:sz w:val="15"/>
                <w:szCs w:val="15"/>
              </w:rPr>
            </w:pPr>
            <w:r w:rsidRPr="00A57904">
              <w:rPr>
                <w:sz w:val="15"/>
                <w:szCs w:val="15"/>
              </w:rPr>
              <w:t># of items</w:t>
            </w:r>
          </w:p>
        </w:tc>
        <w:tc>
          <w:tcPr>
            <w:tcW w:w="974" w:type="dxa"/>
            <w:tcBorders>
              <w:top w:val="nil"/>
              <w:left w:val="single" w:sz="8" w:space="0" w:color="FFFFFF"/>
              <w:bottom w:val="nil"/>
              <w:right w:val="single" w:sz="8" w:space="0" w:color="FFFFFF"/>
            </w:tcBorders>
            <w:shd w:val="clear" w:color="auto" w:fill="E6E6E1" w:themeFill="accent5"/>
          </w:tcPr>
          <w:p w14:paraId="1DF18FC5" w14:textId="77777777" w:rsidR="008A1095" w:rsidRPr="00A57904" w:rsidRDefault="008A1095" w:rsidP="00FB712C">
            <w:pPr>
              <w:pStyle w:val="TableNheader"/>
              <w:spacing w:before="60" w:after="60" w:line="240" w:lineRule="auto"/>
              <w:rPr>
                <w:sz w:val="15"/>
                <w:szCs w:val="15"/>
              </w:rPr>
            </w:pPr>
            <w:r w:rsidRPr="00A57904">
              <w:rPr>
                <w:sz w:val="15"/>
                <w:szCs w:val="15"/>
              </w:rPr>
              <w:t># of items with a gap</w:t>
            </w:r>
          </w:p>
        </w:tc>
        <w:tc>
          <w:tcPr>
            <w:tcW w:w="976" w:type="dxa"/>
            <w:tcBorders>
              <w:top w:val="nil"/>
              <w:left w:val="single" w:sz="8" w:space="0" w:color="FFFFFF"/>
              <w:bottom w:val="nil"/>
              <w:right w:val="single" w:sz="8" w:space="0" w:color="FFFFFF"/>
            </w:tcBorders>
            <w:shd w:val="clear" w:color="auto" w:fill="E6E6E1" w:themeFill="accent5"/>
          </w:tcPr>
          <w:p w14:paraId="57254BA9" w14:textId="77777777" w:rsidR="008A1095" w:rsidRPr="00A57904" w:rsidRDefault="008A1095" w:rsidP="00FB712C">
            <w:pPr>
              <w:pStyle w:val="TableNheader"/>
              <w:spacing w:before="60" w:after="60" w:line="240" w:lineRule="auto"/>
              <w:rPr>
                <w:sz w:val="15"/>
                <w:szCs w:val="15"/>
              </w:rPr>
            </w:pPr>
            <w:r w:rsidRPr="00A57904">
              <w:rPr>
                <w:sz w:val="15"/>
                <w:szCs w:val="15"/>
              </w:rPr>
              <w:t>Rate of gap</w:t>
            </w:r>
          </w:p>
        </w:tc>
        <w:tc>
          <w:tcPr>
            <w:tcW w:w="978" w:type="dxa"/>
            <w:tcBorders>
              <w:top w:val="nil"/>
              <w:left w:val="single" w:sz="8" w:space="0" w:color="FFFFFF"/>
              <w:bottom w:val="nil"/>
            </w:tcBorders>
            <w:shd w:val="clear" w:color="auto" w:fill="E6E6E1" w:themeFill="accent5"/>
          </w:tcPr>
          <w:p w14:paraId="4CD47D18" w14:textId="77777777" w:rsidR="008A1095" w:rsidRPr="00A57904" w:rsidRDefault="008A1095" w:rsidP="00FB712C">
            <w:pPr>
              <w:pStyle w:val="TableNheader"/>
              <w:spacing w:before="60" w:after="60" w:line="240" w:lineRule="auto"/>
              <w:rPr>
                <w:sz w:val="15"/>
                <w:szCs w:val="15"/>
              </w:rPr>
            </w:pPr>
            <w:r w:rsidRPr="00A57904">
              <w:rPr>
                <w:sz w:val="15"/>
                <w:szCs w:val="15"/>
              </w:rPr>
              <w:t>Change in rate of gap</w:t>
            </w:r>
          </w:p>
        </w:tc>
      </w:tr>
      <w:tr w:rsidR="00EA7ED2" w:rsidRPr="004A357C" w14:paraId="1320E821" w14:textId="77777777" w:rsidTr="00EA7ED2">
        <w:trPr>
          <w:cnfStyle w:val="000000010000" w:firstRow="0" w:lastRow="0" w:firstColumn="0" w:lastColumn="0" w:oddVBand="0" w:evenVBand="0" w:oddHBand="0" w:evenHBand="1" w:firstRowFirstColumn="0" w:firstRowLastColumn="0" w:lastRowFirstColumn="0" w:lastRowLastColumn="0"/>
        </w:trPr>
        <w:tc>
          <w:tcPr>
            <w:tcW w:w="2090" w:type="dxa"/>
            <w:tcBorders>
              <w:top w:val="nil"/>
            </w:tcBorders>
          </w:tcPr>
          <w:p w14:paraId="552CE562" w14:textId="5D4D5213"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01 – Ophthalmic</w:t>
            </w:r>
          </w:p>
        </w:tc>
        <w:tc>
          <w:tcPr>
            <w:tcW w:w="981" w:type="dxa"/>
            <w:tcBorders>
              <w:top w:val="nil"/>
            </w:tcBorders>
          </w:tcPr>
          <w:p w14:paraId="3668B665" w14:textId="147E5827" w:rsidR="00EA7ED2" w:rsidRPr="004A357C" w:rsidRDefault="00EA7ED2" w:rsidP="00EA7ED2">
            <w:pPr>
              <w:pStyle w:val="TableNText"/>
              <w:spacing w:before="60" w:after="60" w:line="240" w:lineRule="auto"/>
            </w:pPr>
            <w:r w:rsidRPr="00DD19EC">
              <w:t>377</w:t>
            </w:r>
            <w:r>
              <w:t>,</w:t>
            </w:r>
            <w:r w:rsidRPr="00DD19EC">
              <w:t>388</w:t>
            </w:r>
          </w:p>
        </w:tc>
        <w:tc>
          <w:tcPr>
            <w:tcW w:w="972" w:type="dxa"/>
            <w:tcBorders>
              <w:top w:val="nil"/>
            </w:tcBorders>
          </w:tcPr>
          <w:p w14:paraId="6A2A19B4" w14:textId="01126763" w:rsidR="00EA7ED2" w:rsidRPr="004A357C" w:rsidRDefault="00EA7ED2" w:rsidP="00EA7ED2">
            <w:pPr>
              <w:pStyle w:val="TableNText"/>
              <w:spacing w:before="60" w:after="60" w:line="240" w:lineRule="auto"/>
            </w:pPr>
            <w:r w:rsidRPr="00DD19EC">
              <w:t>3</w:t>
            </w:r>
            <w:r>
              <w:t>,</w:t>
            </w:r>
            <w:r w:rsidRPr="00DD19EC">
              <w:t>797</w:t>
            </w:r>
          </w:p>
        </w:tc>
        <w:tc>
          <w:tcPr>
            <w:tcW w:w="976" w:type="dxa"/>
            <w:tcBorders>
              <w:top w:val="nil"/>
            </w:tcBorders>
          </w:tcPr>
          <w:p w14:paraId="6C290680" w14:textId="68310C1E" w:rsidR="00EA7ED2" w:rsidRPr="004A357C" w:rsidRDefault="00EA7ED2" w:rsidP="00EA7ED2">
            <w:pPr>
              <w:pStyle w:val="TableNText"/>
              <w:spacing w:before="60" w:after="60" w:line="240" w:lineRule="auto"/>
            </w:pPr>
            <w:r w:rsidRPr="00DD19EC">
              <w:t>1.01%</w:t>
            </w:r>
          </w:p>
        </w:tc>
        <w:tc>
          <w:tcPr>
            <w:tcW w:w="983" w:type="dxa"/>
            <w:tcBorders>
              <w:top w:val="nil"/>
            </w:tcBorders>
          </w:tcPr>
          <w:p w14:paraId="7CEB3CDB" w14:textId="4F405840" w:rsidR="00EA7ED2" w:rsidRPr="004A357C" w:rsidRDefault="00EA7ED2" w:rsidP="00EA7ED2">
            <w:pPr>
              <w:pStyle w:val="TableNText"/>
              <w:spacing w:before="60" w:after="60" w:line="240" w:lineRule="auto"/>
            </w:pPr>
            <w:r w:rsidRPr="00DD19EC">
              <w:t>393</w:t>
            </w:r>
            <w:r>
              <w:t>,</w:t>
            </w:r>
            <w:r w:rsidRPr="00DD19EC">
              <w:t>400</w:t>
            </w:r>
          </w:p>
        </w:tc>
        <w:tc>
          <w:tcPr>
            <w:tcW w:w="974" w:type="dxa"/>
            <w:tcBorders>
              <w:top w:val="nil"/>
            </w:tcBorders>
          </w:tcPr>
          <w:p w14:paraId="678A8E2C" w14:textId="2AD32303" w:rsidR="00EA7ED2" w:rsidRPr="004A357C" w:rsidRDefault="00EA7ED2" w:rsidP="00EA7ED2">
            <w:pPr>
              <w:pStyle w:val="TableNText"/>
              <w:spacing w:before="60" w:after="60" w:line="240" w:lineRule="auto"/>
            </w:pPr>
            <w:r w:rsidRPr="00DD19EC">
              <w:t>2</w:t>
            </w:r>
            <w:r>
              <w:t>,</w:t>
            </w:r>
            <w:r w:rsidRPr="00DD19EC">
              <w:t>488</w:t>
            </w:r>
          </w:p>
        </w:tc>
        <w:tc>
          <w:tcPr>
            <w:tcW w:w="976" w:type="dxa"/>
            <w:tcBorders>
              <w:top w:val="nil"/>
            </w:tcBorders>
          </w:tcPr>
          <w:p w14:paraId="497D2E7C" w14:textId="6E597F66" w:rsidR="00EA7ED2" w:rsidRPr="004A357C" w:rsidRDefault="00EA7ED2" w:rsidP="00EA7ED2">
            <w:pPr>
              <w:pStyle w:val="TableNText"/>
              <w:spacing w:before="60" w:after="60" w:line="240" w:lineRule="auto"/>
            </w:pPr>
            <w:r w:rsidRPr="00DD19EC">
              <w:t>0.63%</w:t>
            </w:r>
          </w:p>
        </w:tc>
        <w:tc>
          <w:tcPr>
            <w:tcW w:w="978" w:type="dxa"/>
            <w:tcBorders>
              <w:top w:val="nil"/>
            </w:tcBorders>
          </w:tcPr>
          <w:p w14:paraId="626D3897" w14:textId="1A5E49CD"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-0.37%</w:t>
            </w:r>
          </w:p>
        </w:tc>
      </w:tr>
      <w:tr w:rsidR="00EA7ED2" w:rsidRPr="004A357C" w14:paraId="0A6E589F" w14:textId="77777777" w:rsidTr="00EA7ED2">
        <w:trPr>
          <w:cnfStyle w:val="000000100000" w:firstRow="0" w:lastRow="0" w:firstColumn="0" w:lastColumn="0" w:oddVBand="0" w:evenVBand="0" w:oddHBand="1" w:evenHBand="0" w:firstRowFirstColumn="0" w:firstRowLastColumn="0" w:lastRowFirstColumn="0" w:lastRowLastColumn="0"/>
        </w:trPr>
        <w:tc>
          <w:tcPr>
            <w:tcW w:w="2090" w:type="dxa"/>
          </w:tcPr>
          <w:p w14:paraId="7075E359" w14:textId="7A528009"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02 – Ear; Nose &amp; Throat</w:t>
            </w:r>
          </w:p>
        </w:tc>
        <w:tc>
          <w:tcPr>
            <w:tcW w:w="981" w:type="dxa"/>
          </w:tcPr>
          <w:p w14:paraId="759FB15C" w14:textId="4E088358" w:rsidR="00EA7ED2" w:rsidRPr="004A357C" w:rsidRDefault="00EA7ED2" w:rsidP="00EA7ED2">
            <w:pPr>
              <w:pStyle w:val="TableNText"/>
              <w:spacing w:before="60" w:after="60" w:line="240" w:lineRule="auto"/>
            </w:pPr>
            <w:r w:rsidRPr="00DD19EC">
              <w:t>40</w:t>
            </w:r>
            <w:r>
              <w:t>,</w:t>
            </w:r>
            <w:r w:rsidRPr="00DD19EC">
              <w:t>863</w:t>
            </w:r>
          </w:p>
        </w:tc>
        <w:tc>
          <w:tcPr>
            <w:tcW w:w="972" w:type="dxa"/>
          </w:tcPr>
          <w:p w14:paraId="0A640325" w14:textId="5DB87A8E" w:rsidR="00EA7ED2" w:rsidRPr="004A357C" w:rsidRDefault="00EA7ED2" w:rsidP="00EA7ED2">
            <w:pPr>
              <w:pStyle w:val="TableNText"/>
              <w:spacing w:before="60" w:after="60" w:line="240" w:lineRule="auto"/>
            </w:pPr>
            <w:r w:rsidRPr="00DD19EC">
              <w:t>20</w:t>
            </w:r>
          </w:p>
        </w:tc>
        <w:tc>
          <w:tcPr>
            <w:tcW w:w="976" w:type="dxa"/>
          </w:tcPr>
          <w:p w14:paraId="39D96B7F" w14:textId="5A5AB455" w:rsidR="00EA7ED2" w:rsidRPr="004A357C" w:rsidRDefault="00EA7ED2" w:rsidP="00EA7ED2">
            <w:pPr>
              <w:pStyle w:val="TableNText"/>
              <w:spacing w:before="60" w:after="60" w:line="240" w:lineRule="auto"/>
            </w:pPr>
            <w:r w:rsidRPr="00DD19EC">
              <w:t>0.05%</w:t>
            </w:r>
          </w:p>
        </w:tc>
        <w:tc>
          <w:tcPr>
            <w:tcW w:w="983" w:type="dxa"/>
          </w:tcPr>
          <w:p w14:paraId="64FDC4CC" w14:textId="72867C91" w:rsidR="00EA7ED2" w:rsidRPr="004A357C" w:rsidRDefault="00EA7ED2" w:rsidP="00EA7ED2">
            <w:pPr>
              <w:pStyle w:val="TableNText"/>
              <w:spacing w:before="60" w:after="60" w:line="240" w:lineRule="auto"/>
            </w:pPr>
            <w:r w:rsidRPr="00DD19EC">
              <w:t>42</w:t>
            </w:r>
            <w:r>
              <w:t>,</w:t>
            </w:r>
            <w:r w:rsidRPr="00DD19EC">
              <w:t>029</w:t>
            </w:r>
          </w:p>
        </w:tc>
        <w:tc>
          <w:tcPr>
            <w:tcW w:w="974" w:type="dxa"/>
          </w:tcPr>
          <w:p w14:paraId="7673A1E5" w14:textId="10AFF314" w:rsidR="00EA7ED2" w:rsidRPr="004A357C" w:rsidRDefault="00EA7ED2" w:rsidP="00EA7ED2">
            <w:pPr>
              <w:pStyle w:val="TableNText"/>
              <w:spacing w:before="60" w:after="60" w:line="240" w:lineRule="auto"/>
            </w:pPr>
            <w:r w:rsidRPr="00DD19EC">
              <w:t>30</w:t>
            </w:r>
          </w:p>
        </w:tc>
        <w:tc>
          <w:tcPr>
            <w:tcW w:w="976" w:type="dxa"/>
          </w:tcPr>
          <w:p w14:paraId="4D16BB96" w14:textId="13374FCB" w:rsidR="00EA7ED2" w:rsidRPr="004A357C" w:rsidRDefault="00EA7ED2" w:rsidP="00EA7ED2">
            <w:pPr>
              <w:pStyle w:val="TableNText"/>
              <w:spacing w:before="60" w:after="60" w:line="240" w:lineRule="auto"/>
            </w:pPr>
            <w:r w:rsidRPr="00DD19EC">
              <w:t>0.07%</w:t>
            </w:r>
          </w:p>
        </w:tc>
        <w:tc>
          <w:tcPr>
            <w:tcW w:w="978" w:type="dxa"/>
          </w:tcPr>
          <w:p w14:paraId="7C274AD2" w14:textId="3BCF1540"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0.02%</w:t>
            </w:r>
          </w:p>
        </w:tc>
      </w:tr>
      <w:tr w:rsidR="00EA7ED2" w:rsidRPr="004A357C" w14:paraId="4BE827E9" w14:textId="77777777" w:rsidTr="00EA7ED2">
        <w:trPr>
          <w:cnfStyle w:val="000000010000" w:firstRow="0" w:lastRow="0" w:firstColumn="0" w:lastColumn="0" w:oddVBand="0" w:evenVBand="0" w:oddHBand="0" w:evenHBand="1" w:firstRowFirstColumn="0" w:firstRowLastColumn="0" w:lastRowFirstColumn="0" w:lastRowLastColumn="0"/>
        </w:trPr>
        <w:tc>
          <w:tcPr>
            <w:tcW w:w="2090" w:type="dxa"/>
          </w:tcPr>
          <w:p w14:paraId="464A88D4" w14:textId="4A06D101"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03 – General Miscellaneous</w:t>
            </w:r>
          </w:p>
        </w:tc>
        <w:tc>
          <w:tcPr>
            <w:tcW w:w="981" w:type="dxa"/>
          </w:tcPr>
          <w:p w14:paraId="34700848" w14:textId="37A3A322" w:rsidR="00EA7ED2" w:rsidRPr="004A357C" w:rsidRDefault="00EA7ED2" w:rsidP="00EA7ED2">
            <w:pPr>
              <w:pStyle w:val="TableNText"/>
              <w:spacing w:before="60" w:after="60" w:line="240" w:lineRule="auto"/>
            </w:pPr>
            <w:r w:rsidRPr="00DD19EC">
              <w:t>134</w:t>
            </w:r>
            <w:r>
              <w:t>,</w:t>
            </w:r>
            <w:r w:rsidRPr="00DD19EC">
              <w:t>350</w:t>
            </w:r>
          </w:p>
        </w:tc>
        <w:tc>
          <w:tcPr>
            <w:tcW w:w="972" w:type="dxa"/>
          </w:tcPr>
          <w:p w14:paraId="48FA6EC6" w14:textId="369A6189" w:rsidR="00EA7ED2" w:rsidRPr="004A357C" w:rsidRDefault="00EA7ED2" w:rsidP="00EA7ED2">
            <w:pPr>
              <w:pStyle w:val="TableNText"/>
              <w:spacing w:before="60" w:after="60" w:line="240" w:lineRule="auto"/>
            </w:pPr>
            <w:r w:rsidRPr="00DD19EC">
              <w:t>217</w:t>
            </w:r>
          </w:p>
        </w:tc>
        <w:tc>
          <w:tcPr>
            <w:tcW w:w="976" w:type="dxa"/>
          </w:tcPr>
          <w:p w14:paraId="4A7879BF" w14:textId="200254ED" w:rsidR="00EA7ED2" w:rsidRPr="004A357C" w:rsidRDefault="00EA7ED2" w:rsidP="00EA7ED2">
            <w:pPr>
              <w:pStyle w:val="TableNText"/>
              <w:spacing w:before="60" w:after="60" w:line="240" w:lineRule="auto"/>
            </w:pPr>
            <w:r w:rsidRPr="00DD19EC">
              <w:t>0.16%</w:t>
            </w:r>
          </w:p>
        </w:tc>
        <w:tc>
          <w:tcPr>
            <w:tcW w:w="983" w:type="dxa"/>
          </w:tcPr>
          <w:p w14:paraId="0AE369BC" w14:textId="2C65C767" w:rsidR="00EA7ED2" w:rsidRPr="004A357C" w:rsidRDefault="00EA7ED2" w:rsidP="00EA7ED2">
            <w:pPr>
              <w:pStyle w:val="TableNText"/>
              <w:spacing w:before="60" w:after="60" w:line="240" w:lineRule="auto"/>
            </w:pPr>
            <w:r w:rsidRPr="00DD19EC">
              <w:t>145</w:t>
            </w:r>
            <w:r>
              <w:t>,</w:t>
            </w:r>
            <w:r w:rsidRPr="00DD19EC">
              <w:t>991</w:t>
            </w:r>
          </w:p>
        </w:tc>
        <w:tc>
          <w:tcPr>
            <w:tcW w:w="974" w:type="dxa"/>
          </w:tcPr>
          <w:p w14:paraId="515C0080" w14:textId="1B95991B" w:rsidR="00EA7ED2" w:rsidRPr="004A357C" w:rsidRDefault="00EA7ED2" w:rsidP="00EA7ED2">
            <w:pPr>
              <w:pStyle w:val="TableNText"/>
              <w:spacing w:before="60" w:after="60" w:line="240" w:lineRule="auto"/>
            </w:pPr>
            <w:r w:rsidRPr="00DD19EC">
              <w:t>202</w:t>
            </w:r>
          </w:p>
        </w:tc>
        <w:tc>
          <w:tcPr>
            <w:tcW w:w="976" w:type="dxa"/>
          </w:tcPr>
          <w:p w14:paraId="518C18F9" w14:textId="3035EC12" w:rsidR="00EA7ED2" w:rsidRPr="004A357C" w:rsidRDefault="00EA7ED2" w:rsidP="00EA7ED2">
            <w:pPr>
              <w:pStyle w:val="TableNText"/>
              <w:spacing w:before="60" w:after="60" w:line="240" w:lineRule="auto"/>
            </w:pPr>
            <w:r w:rsidRPr="00DD19EC">
              <w:t>0.14%</w:t>
            </w:r>
          </w:p>
        </w:tc>
        <w:tc>
          <w:tcPr>
            <w:tcW w:w="978" w:type="dxa"/>
          </w:tcPr>
          <w:p w14:paraId="06A6E692" w14:textId="780531FB"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-0.02%</w:t>
            </w:r>
          </w:p>
        </w:tc>
      </w:tr>
      <w:tr w:rsidR="00EA7ED2" w:rsidRPr="004A357C" w14:paraId="59BC5B1E" w14:textId="77777777" w:rsidTr="00EA7ED2">
        <w:trPr>
          <w:cnfStyle w:val="000000100000" w:firstRow="0" w:lastRow="0" w:firstColumn="0" w:lastColumn="0" w:oddVBand="0" w:evenVBand="0" w:oddHBand="1" w:evenHBand="0" w:firstRowFirstColumn="0" w:firstRowLastColumn="0" w:lastRowFirstColumn="0" w:lastRowLastColumn="0"/>
        </w:trPr>
        <w:tc>
          <w:tcPr>
            <w:tcW w:w="2090" w:type="dxa"/>
          </w:tcPr>
          <w:p w14:paraId="244FEA51" w14:textId="028CF766"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04 – Neurosurgical</w:t>
            </w:r>
          </w:p>
        </w:tc>
        <w:tc>
          <w:tcPr>
            <w:tcW w:w="981" w:type="dxa"/>
          </w:tcPr>
          <w:p w14:paraId="28DCE2A5" w14:textId="1BB612DD" w:rsidR="00EA7ED2" w:rsidRPr="004A357C" w:rsidRDefault="00EA7ED2" w:rsidP="00EA7ED2">
            <w:pPr>
              <w:pStyle w:val="TableNText"/>
              <w:spacing w:before="60" w:after="60" w:line="240" w:lineRule="auto"/>
            </w:pPr>
            <w:r w:rsidRPr="00DD19EC">
              <w:t>24</w:t>
            </w:r>
            <w:r>
              <w:t>,</w:t>
            </w:r>
            <w:r w:rsidRPr="00DD19EC">
              <w:t>182</w:t>
            </w:r>
          </w:p>
        </w:tc>
        <w:tc>
          <w:tcPr>
            <w:tcW w:w="972" w:type="dxa"/>
          </w:tcPr>
          <w:p w14:paraId="3CEF96C7" w14:textId="7EAC5A9E" w:rsidR="00EA7ED2" w:rsidRPr="004A357C" w:rsidRDefault="00EA7ED2" w:rsidP="00EA7ED2">
            <w:pPr>
              <w:pStyle w:val="TableNText"/>
              <w:spacing w:before="60" w:after="60" w:line="240" w:lineRule="auto"/>
            </w:pPr>
            <w:r w:rsidRPr="00DD19EC">
              <w:t>85</w:t>
            </w:r>
          </w:p>
        </w:tc>
        <w:tc>
          <w:tcPr>
            <w:tcW w:w="976" w:type="dxa"/>
          </w:tcPr>
          <w:p w14:paraId="4E782B08" w14:textId="44B55400" w:rsidR="00EA7ED2" w:rsidRPr="004A357C" w:rsidRDefault="00EA7ED2" w:rsidP="00EA7ED2">
            <w:pPr>
              <w:pStyle w:val="TableNText"/>
              <w:spacing w:before="60" w:after="60" w:line="240" w:lineRule="auto"/>
            </w:pPr>
            <w:r w:rsidRPr="00DD19EC">
              <w:t>0.35%</w:t>
            </w:r>
          </w:p>
        </w:tc>
        <w:tc>
          <w:tcPr>
            <w:tcW w:w="983" w:type="dxa"/>
          </w:tcPr>
          <w:p w14:paraId="7317AA78" w14:textId="579F96A7" w:rsidR="00EA7ED2" w:rsidRPr="004A357C" w:rsidRDefault="00EA7ED2" w:rsidP="00EA7ED2">
            <w:pPr>
              <w:pStyle w:val="TableNText"/>
              <w:spacing w:before="60" w:after="60" w:line="240" w:lineRule="auto"/>
            </w:pPr>
            <w:r w:rsidRPr="00DD19EC">
              <w:t>25</w:t>
            </w:r>
            <w:r>
              <w:t>,</w:t>
            </w:r>
            <w:r w:rsidRPr="00DD19EC">
              <w:t>263</w:t>
            </w:r>
          </w:p>
        </w:tc>
        <w:tc>
          <w:tcPr>
            <w:tcW w:w="974" w:type="dxa"/>
          </w:tcPr>
          <w:p w14:paraId="6DF3B241" w14:textId="76FC16D8" w:rsidR="00EA7ED2" w:rsidRPr="004A357C" w:rsidRDefault="00EA7ED2" w:rsidP="00EA7ED2">
            <w:pPr>
              <w:pStyle w:val="TableNText"/>
              <w:spacing w:before="60" w:after="60" w:line="240" w:lineRule="auto"/>
            </w:pPr>
            <w:r w:rsidRPr="00DD19EC">
              <w:t>22</w:t>
            </w:r>
          </w:p>
        </w:tc>
        <w:tc>
          <w:tcPr>
            <w:tcW w:w="976" w:type="dxa"/>
          </w:tcPr>
          <w:p w14:paraId="390A60C6" w14:textId="2506AF2B" w:rsidR="00EA7ED2" w:rsidRPr="004A357C" w:rsidRDefault="00EA7ED2" w:rsidP="00EA7ED2">
            <w:pPr>
              <w:pStyle w:val="TableNText"/>
              <w:spacing w:before="60" w:after="60" w:line="240" w:lineRule="auto"/>
            </w:pPr>
            <w:r w:rsidRPr="00DD19EC">
              <w:t>0.09%</w:t>
            </w:r>
          </w:p>
        </w:tc>
        <w:tc>
          <w:tcPr>
            <w:tcW w:w="978" w:type="dxa"/>
          </w:tcPr>
          <w:p w14:paraId="5E2F5AD4" w14:textId="5FC0D188"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-0.26%</w:t>
            </w:r>
          </w:p>
        </w:tc>
      </w:tr>
      <w:tr w:rsidR="00EA7ED2" w:rsidRPr="004A357C" w14:paraId="28C387A7" w14:textId="77777777" w:rsidTr="00EA7ED2">
        <w:trPr>
          <w:cnfStyle w:val="000000010000" w:firstRow="0" w:lastRow="0" w:firstColumn="0" w:lastColumn="0" w:oddVBand="0" w:evenVBand="0" w:oddHBand="0" w:evenHBand="1" w:firstRowFirstColumn="0" w:firstRowLastColumn="0" w:lastRowFirstColumn="0" w:lastRowLastColumn="0"/>
        </w:trPr>
        <w:tc>
          <w:tcPr>
            <w:tcW w:w="2090" w:type="dxa"/>
          </w:tcPr>
          <w:p w14:paraId="2A008184" w14:textId="74FBA3F9"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05 – Urogenital</w:t>
            </w:r>
          </w:p>
        </w:tc>
        <w:tc>
          <w:tcPr>
            <w:tcW w:w="981" w:type="dxa"/>
          </w:tcPr>
          <w:p w14:paraId="707562D7" w14:textId="32FE7503" w:rsidR="00EA7ED2" w:rsidRPr="004A357C" w:rsidRDefault="00EA7ED2" w:rsidP="00EA7ED2">
            <w:pPr>
              <w:pStyle w:val="TableNText"/>
              <w:spacing w:before="60" w:after="60" w:line="240" w:lineRule="auto"/>
            </w:pPr>
            <w:r w:rsidRPr="00DD19EC">
              <w:t>44</w:t>
            </w:r>
            <w:r>
              <w:t>,</w:t>
            </w:r>
            <w:r w:rsidRPr="00DD19EC">
              <w:t>738</w:t>
            </w:r>
          </w:p>
        </w:tc>
        <w:tc>
          <w:tcPr>
            <w:tcW w:w="972" w:type="dxa"/>
          </w:tcPr>
          <w:p w14:paraId="625DD3A8" w14:textId="46BA7034" w:rsidR="00EA7ED2" w:rsidRPr="004A357C" w:rsidRDefault="00EA7ED2" w:rsidP="00EA7ED2">
            <w:pPr>
              <w:pStyle w:val="TableNText"/>
              <w:spacing w:before="60" w:after="60" w:line="240" w:lineRule="auto"/>
            </w:pPr>
            <w:r w:rsidRPr="00DD19EC">
              <w:t>148</w:t>
            </w:r>
          </w:p>
        </w:tc>
        <w:tc>
          <w:tcPr>
            <w:tcW w:w="976" w:type="dxa"/>
          </w:tcPr>
          <w:p w14:paraId="448DB01E" w14:textId="3DE7690E" w:rsidR="00EA7ED2" w:rsidRPr="004A357C" w:rsidRDefault="00EA7ED2" w:rsidP="00EA7ED2">
            <w:pPr>
              <w:pStyle w:val="TableNText"/>
              <w:spacing w:before="60" w:after="60" w:line="240" w:lineRule="auto"/>
            </w:pPr>
            <w:r w:rsidRPr="00DD19EC">
              <w:t>0.33%</w:t>
            </w:r>
          </w:p>
        </w:tc>
        <w:tc>
          <w:tcPr>
            <w:tcW w:w="983" w:type="dxa"/>
          </w:tcPr>
          <w:p w14:paraId="0AAA51CF" w14:textId="20637583" w:rsidR="00EA7ED2" w:rsidRPr="004A357C" w:rsidRDefault="00EA7ED2" w:rsidP="00EA7ED2">
            <w:pPr>
              <w:pStyle w:val="TableNText"/>
              <w:spacing w:before="60" w:after="60" w:line="240" w:lineRule="auto"/>
            </w:pPr>
            <w:r w:rsidRPr="00DD19EC">
              <w:t>47</w:t>
            </w:r>
            <w:r>
              <w:t>,</w:t>
            </w:r>
            <w:r w:rsidRPr="00DD19EC">
              <w:t>955</w:t>
            </w:r>
          </w:p>
        </w:tc>
        <w:tc>
          <w:tcPr>
            <w:tcW w:w="974" w:type="dxa"/>
          </w:tcPr>
          <w:p w14:paraId="43111CAF" w14:textId="3AD3EC14" w:rsidR="00EA7ED2" w:rsidRPr="004A357C" w:rsidRDefault="00EA7ED2" w:rsidP="00EA7ED2">
            <w:pPr>
              <w:pStyle w:val="TableNText"/>
              <w:spacing w:before="60" w:after="60" w:line="240" w:lineRule="auto"/>
            </w:pPr>
            <w:r w:rsidRPr="00DD19EC">
              <w:t>73</w:t>
            </w:r>
          </w:p>
        </w:tc>
        <w:tc>
          <w:tcPr>
            <w:tcW w:w="976" w:type="dxa"/>
          </w:tcPr>
          <w:p w14:paraId="02863F0B" w14:textId="030525DB" w:rsidR="00EA7ED2" w:rsidRPr="004A357C" w:rsidRDefault="00EA7ED2" w:rsidP="00EA7ED2">
            <w:pPr>
              <w:pStyle w:val="TableNText"/>
              <w:spacing w:before="60" w:after="60" w:line="240" w:lineRule="auto"/>
            </w:pPr>
            <w:r w:rsidRPr="00DD19EC">
              <w:t>0.15%</w:t>
            </w:r>
          </w:p>
        </w:tc>
        <w:tc>
          <w:tcPr>
            <w:tcW w:w="978" w:type="dxa"/>
          </w:tcPr>
          <w:p w14:paraId="732D37D3" w14:textId="03574172"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-0.18%</w:t>
            </w:r>
          </w:p>
        </w:tc>
      </w:tr>
      <w:tr w:rsidR="00EA7ED2" w:rsidRPr="004A357C" w14:paraId="3C3AAF67" w14:textId="77777777" w:rsidTr="00EA7ED2">
        <w:trPr>
          <w:cnfStyle w:val="000000100000" w:firstRow="0" w:lastRow="0" w:firstColumn="0" w:lastColumn="0" w:oddVBand="0" w:evenVBand="0" w:oddHBand="1" w:evenHBand="0" w:firstRowFirstColumn="0" w:firstRowLastColumn="0" w:lastRowFirstColumn="0" w:lastRowLastColumn="0"/>
        </w:trPr>
        <w:tc>
          <w:tcPr>
            <w:tcW w:w="2090" w:type="dxa"/>
          </w:tcPr>
          <w:p w14:paraId="7037CEBB" w14:textId="74CE6FD5"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06 – Specialist Orthopaedic</w:t>
            </w:r>
          </w:p>
        </w:tc>
        <w:tc>
          <w:tcPr>
            <w:tcW w:w="981" w:type="dxa"/>
          </w:tcPr>
          <w:p w14:paraId="2802DD90" w14:textId="66DBCDED" w:rsidR="00EA7ED2" w:rsidRPr="004A357C" w:rsidRDefault="00EA7ED2" w:rsidP="00EA7ED2">
            <w:pPr>
              <w:pStyle w:val="TableNText"/>
              <w:spacing w:before="60" w:after="60" w:line="240" w:lineRule="auto"/>
            </w:pPr>
            <w:r w:rsidRPr="00DD19EC">
              <w:t>654</w:t>
            </w:r>
            <w:r>
              <w:t>,</w:t>
            </w:r>
            <w:r w:rsidRPr="00DD19EC">
              <w:t>345</w:t>
            </w:r>
          </w:p>
        </w:tc>
        <w:tc>
          <w:tcPr>
            <w:tcW w:w="972" w:type="dxa"/>
          </w:tcPr>
          <w:p w14:paraId="10FA9A15" w14:textId="3A14E921" w:rsidR="00EA7ED2" w:rsidRPr="004A357C" w:rsidRDefault="00EA7ED2" w:rsidP="00EA7ED2">
            <w:pPr>
              <w:pStyle w:val="TableNText"/>
              <w:spacing w:before="60" w:after="60" w:line="240" w:lineRule="auto"/>
            </w:pPr>
            <w:r w:rsidRPr="00DD19EC">
              <w:t>2</w:t>
            </w:r>
            <w:r>
              <w:t>,</w:t>
            </w:r>
            <w:r w:rsidRPr="00DD19EC">
              <w:t>505</w:t>
            </w:r>
          </w:p>
        </w:tc>
        <w:tc>
          <w:tcPr>
            <w:tcW w:w="976" w:type="dxa"/>
          </w:tcPr>
          <w:p w14:paraId="78F5D704" w14:textId="3B8A39C2" w:rsidR="00EA7ED2" w:rsidRPr="004A357C" w:rsidRDefault="00EA7ED2" w:rsidP="00EA7ED2">
            <w:pPr>
              <w:pStyle w:val="TableNText"/>
              <w:spacing w:before="60" w:after="60" w:line="240" w:lineRule="auto"/>
            </w:pPr>
            <w:r w:rsidRPr="00DD19EC">
              <w:t>0.38%</w:t>
            </w:r>
          </w:p>
        </w:tc>
        <w:tc>
          <w:tcPr>
            <w:tcW w:w="983" w:type="dxa"/>
          </w:tcPr>
          <w:p w14:paraId="0A46A7EC" w14:textId="229FEB33" w:rsidR="00EA7ED2" w:rsidRPr="004A357C" w:rsidRDefault="00EA7ED2" w:rsidP="00EA7ED2">
            <w:pPr>
              <w:pStyle w:val="TableNText"/>
              <w:spacing w:before="60" w:after="60" w:line="240" w:lineRule="auto"/>
            </w:pPr>
            <w:r w:rsidRPr="00DD19EC">
              <w:t>679</w:t>
            </w:r>
            <w:r>
              <w:t>,</w:t>
            </w:r>
            <w:r w:rsidRPr="00DD19EC">
              <w:t>617</w:t>
            </w:r>
          </w:p>
        </w:tc>
        <w:tc>
          <w:tcPr>
            <w:tcW w:w="974" w:type="dxa"/>
          </w:tcPr>
          <w:p w14:paraId="53A4B8C3" w14:textId="7B814F7B" w:rsidR="00EA7ED2" w:rsidRPr="004A357C" w:rsidRDefault="00EA7ED2" w:rsidP="00EA7ED2">
            <w:pPr>
              <w:pStyle w:val="TableNText"/>
              <w:spacing w:before="60" w:after="60" w:line="240" w:lineRule="auto"/>
            </w:pPr>
            <w:r w:rsidRPr="00DD19EC">
              <w:t>1</w:t>
            </w:r>
            <w:r>
              <w:t>,</w:t>
            </w:r>
            <w:r w:rsidRPr="00DD19EC">
              <w:t>346</w:t>
            </w:r>
          </w:p>
        </w:tc>
        <w:tc>
          <w:tcPr>
            <w:tcW w:w="976" w:type="dxa"/>
          </w:tcPr>
          <w:p w14:paraId="7150FB3C" w14:textId="74EE917A" w:rsidR="00EA7ED2" w:rsidRPr="004A357C" w:rsidRDefault="00EA7ED2" w:rsidP="00EA7ED2">
            <w:pPr>
              <w:pStyle w:val="TableNText"/>
              <w:spacing w:before="60" w:after="60" w:line="240" w:lineRule="auto"/>
            </w:pPr>
            <w:r w:rsidRPr="00DD19EC">
              <w:t>0.20%</w:t>
            </w:r>
          </w:p>
        </w:tc>
        <w:tc>
          <w:tcPr>
            <w:tcW w:w="978" w:type="dxa"/>
          </w:tcPr>
          <w:p w14:paraId="4AC32A4D" w14:textId="3765E00E"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-0.18%</w:t>
            </w:r>
          </w:p>
        </w:tc>
      </w:tr>
      <w:tr w:rsidR="00EA7ED2" w:rsidRPr="004A357C" w14:paraId="230B0818" w14:textId="77777777" w:rsidTr="00EA7ED2">
        <w:trPr>
          <w:cnfStyle w:val="000000010000" w:firstRow="0" w:lastRow="0" w:firstColumn="0" w:lastColumn="0" w:oddVBand="0" w:evenVBand="0" w:oddHBand="0" w:evenHBand="1" w:firstRowFirstColumn="0" w:firstRowLastColumn="0" w:lastRowFirstColumn="0" w:lastRowLastColumn="0"/>
        </w:trPr>
        <w:tc>
          <w:tcPr>
            <w:tcW w:w="2090" w:type="dxa"/>
          </w:tcPr>
          <w:p w14:paraId="3267DDAF" w14:textId="2EA53032"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07 – Plastic and Reconstructive</w:t>
            </w:r>
          </w:p>
        </w:tc>
        <w:tc>
          <w:tcPr>
            <w:tcW w:w="981" w:type="dxa"/>
          </w:tcPr>
          <w:p w14:paraId="55B03F31" w14:textId="1977F523" w:rsidR="00EA7ED2" w:rsidRPr="004A357C" w:rsidRDefault="00EA7ED2" w:rsidP="00EA7ED2">
            <w:pPr>
              <w:pStyle w:val="TableNText"/>
              <w:spacing w:before="60" w:after="60" w:line="240" w:lineRule="auto"/>
            </w:pPr>
            <w:r w:rsidRPr="00DD19EC">
              <w:t>139</w:t>
            </w:r>
            <w:r>
              <w:t>,</w:t>
            </w:r>
            <w:r w:rsidRPr="00DD19EC">
              <w:t>605</w:t>
            </w:r>
          </w:p>
        </w:tc>
        <w:tc>
          <w:tcPr>
            <w:tcW w:w="972" w:type="dxa"/>
          </w:tcPr>
          <w:p w14:paraId="6575129D" w14:textId="58C50F35" w:rsidR="00EA7ED2" w:rsidRPr="004A357C" w:rsidRDefault="00EA7ED2" w:rsidP="00EA7ED2">
            <w:pPr>
              <w:pStyle w:val="TableNText"/>
              <w:spacing w:before="60" w:after="60" w:line="240" w:lineRule="auto"/>
            </w:pPr>
            <w:r w:rsidRPr="00DD19EC">
              <w:t>550</w:t>
            </w:r>
          </w:p>
        </w:tc>
        <w:tc>
          <w:tcPr>
            <w:tcW w:w="976" w:type="dxa"/>
          </w:tcPr>
          <w:p w14:paraId="57580CBE" w14:textId="673E53E1" w:rsidR="00EA7ED2" w:rsidRPr="004A357C" w:rsidRDefault="00EA7ED2" w:rsidP="00EA7ED2">
            <w:pPr>
              <w:pStyle w:val="TableNText"/>
              <w:spacing w:before="60" w:after="60" w:line="240" w:lineRule="auto"/>
            </w:pPr>
            <w:r w:rsidRPr="00DD19EC">
              <w:t>0.39%</w:t>
            </w:r>
          </w:p>
        </w:tc>
        <w:tc>
          <w:tcPr>
            <w:tcW w:w="983" w:type="dxa"/>
          </w:tcPr>
          <w:p w14:paraId="67EDAA97" w14:textId="6C0EB760" w:rsidR="00EA7ED2" w:rsidRPr="004A357C" w:rsidRDefault="00EA7ED2" w:rsidP="00EA7ED2">
            <w:pPr>
              <w:pStyle w:val="TableNText"/>
              <w:spacing w:before="60" w:after="60" w:line="240" w:lineRule="auto"/>
            </w:pPr>
            <w:r w:rsidRPr="00DD19EC">
              <w:t>144</w:t>
            </w:r>
            <w:r>
              <w:t>,</w:t>
            </w:r>
            <w:r w:rsidRPr="00DD19EC">
              <w:t>054</w:t>
            </w:r>
          </w:p>
        </w:tc>
        <w:tc>
          <w:tcPr>
            <w:tcW w:w="974" w:type="dxa"/>
          </w:tcPr>
          <w:p w14:paraId="23B64D55" w14:textId="46B702C0" w:rsidR="00EA7ED2" w:rsidRPr="004A357C" w:rsidRDefault="00EA7ED2" w:rsidP="00EA7ED2">
            <w:pPr>
              <w:pStyle w:val="TableNText"/>
              <w:spacing w:before="60" w:after="60" w:line="240" w:lineRule="auto"/>
            </w:pPr>
            <w:r w:rsidRPr="00DD19EC">
              <w:t>328</w:t>
            </w:r>
          </w:p>
        </w:tc>
        <w:tc>
          <w:tcPr>
            <w:tcW w:w="976" w:type="dxa"/>
          </w:tcPr>
          <w:p w14:paraId="23C16DA1" w14:textId="46407073" w:rsidR="00EA7ED2" w:rsidRPr="004A357C" w:rsidRDefault="00EA7ED2" w:rsidP="00EA7ED2">
            <w:pPr>
              <w:pStyle w:val="TableNText"/>
              <w:spacing w:before="60" w:after="60" w:line="240" w:lineRule="auto"/>
            </w:pPr>
            <w:r w:rsidRPr="00DD19EC">
              <w:t>0.23%</w:t>
            </w:r>
          </w:p>
        </w:tc>
        <w:tc>
          <w:tcPr>
            <w:tcW w:w="978" w:type="dxa"/>
          </w:tcPr>
          <w:p w14:paraId="4E97725C" w14:textId="39C8356E"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-0.17%</w:t>
            </w:r>
          </w:p>
        </w:tc>
      </w:tr>
      <w:tr w:rsidR="00EA7ED2" w:rsidRPr="004A357C" w14:paraId="5C8BC6CA" w14:textId="77777777" w:rsidTr="00EA7ED2">
        <w:trPr>
          <w:cnfStyle w:val="000000100000" w:firstRow="0" w:lastRow="0" w:firstColumn="0" w:lastColumn="0" w:oddVBand="0" w:evenVBand="0" w:oddHBand="1" w:evenHBand="0" w:firstRowFirstColumn="0" w:firstRowLastColumn="0" w:lastRowFirstColumn="0" w:lastRowLastColumn="0"/>
        </w:trPr>
        <w:tc>
          <w:tcPr>
            <w:tcW w:w="2090" w:type="dxa"/>
          </w:tcPr>
          <w:p w14:paraId="79423DEF" w14:textId="1236C4B6"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08 – Cardiac</w:t>
            </w:r>
          </w:p>
        </w:tc>
        <w:tc>
          <w:tcPr>
            <w:tcW w:w="981" w:type="dxa"/>
          </w:tcPr>
          <w:p w14:paraId="7D4EE305" w14:textId="2A03F2BE" w:rsidR="00EA7ED2" w:rsidRPr="004A357C" w:rsidRDefault="00EA7ED2" w:rsidP="00EA7ED2">
            <w:pPr>
              <w:pStyle w:val="TableNText"/>
              <w:spacing w:before="60" w:after="60" w:line="240" w:lineRule="auto"/>
            </w:pPr>
            <w:r w:rsidRPr="00DD19EC">
              <w:t>77</w:t>
            </w:r>
            <w:r>
              <w:t>,</w:t>
            </w:r>
            <w:r w:rsidRPr="00DD19EC">
              <w:t>932</w:t>
            </w:r>
          </w:p>
        </w:tc>
        <w:tc>
          <w:tcPr>
            <w:tcW w:w="972" w:type="dxa"/>
          </w:tcPr>
          <w:p w14:paraId="566837EB" w14:textId="090EC702" w:rsidR="00EA7ED2" w:rsidRPr="004A357C" w:rsidRDefault="00EA7ED2" w:rsidP="00EA7ED2">
            <w:pPr>
              <w:pStyle w:val="TableNText"/>
              <w:spacing w:before="60" w:after="60" w:line="240" w:lineRule="auto"/>
            </w:pPr>
            <w:r w:rsidRPr="00DD19EC">
              <w:t>824</w:t>
            </w:r>
          </w:p>
        </w:tc>
        <w:tc>
          <w:tcPr>
            <w:tcW w:w="976" w:type="dxa"/>
          </w:tcPr>
          <w:p w14:paraId="77360B02" w14:textId="5CB76285" w:rsidR="00EA7ED2" w:rsidRPr="004A357C" w:rsidRDefault="00EA7ED2" w:rsidP="00EA7ED2">
            <w:pPr>
              <w:pStyle w:val="TableNText"/>
              <w:spacing w:before="60" w:after="60" w:line="240" w:lineRule="auto"/>
            </w:pPr>
            <w:r w:rsidRPr="00DD19EC">
              <w:t>1.06%</w:t>
            </w:r>
          </w:p>
        </w:tc>
        <w:tc>
          <w:tcPr>
            <w:tcW w:w="983" w:type="dxa"/>
          </w:tcPr>
          <w:p w14:paraId="6F51475B" w14:textId="0B9DD264" w:rsidR="00EA7ED2" w:rsidRPr="004A357C" w:rsidRDefault="00EA7ED2" w:rsidP="00EA7ED2">
            <w:pPr>
              <w:pStyle w:val="TableNText"/>
              <w:spacing w:before="60" w:after="60" w:line="240" w:lineRule="auto"/>
            </w:pPr>
            <w:r w:rsidRPr="00DD19EC">
              <w:t>81</w:t>
            </w:r>
            <w:r>
              <w:t>,</w:t>
            </w:r>
            <w:r w:rsidRPr="00DD19EC">
              <w:t>282</w:t>
            </w:r>
          </w:p>
        </w:tc>
        <w:tc>
          <w:tcPr>
            <w:tcW w:w="974" w:type="dxa"/>
          </w:tcPr>
          <w:p w14:paraId="1C2B632D" w14:textId="3E282DE1" w:rsidR="00EA7ED2" w:rsidRPr="004A357C" w:rsidRDefault="00EA7ED2" w:rsidP="00EA7ED2">
            <w:pPr>
              <w:pStyle w:val="TableNText"/>
              <w:spacing w:before="60" w:after="60" w:line="240" w:lineRule="auto"/>
            </w:pPr>
            <w:r w:rsidRPr="00DD19EC">
              <w:t>961</w:t>
            </w:r>
          </w:p>
        </w:tc>
        <w:tc>
          <w:tcPr>
            <w:tcW w:w="976" w:type="dxa"/>
          </w:tcPr>
          <w:p w14:paraId="4788653A" w14:textId="6D2A2F04" w:rsidR="00EA7ED2" w:rsidRPr="004A357C" w:rsidRDefault="00EA7ED2" w:rsidP="00EA7ED2">
            <w:pPr>
              <w:pStyle w:val="TableNText"/>
              <w:spacing w:before="60" w:after="60" w:line="240" w:lineRule="auto"/>
            </w:pPr>
            <w:r w:rsidRPr="00DD19EC">
              <w:t>1.18%</w:t>
            </w:r>
          </w:p>
        </w:tc>
        <w:tc>
          <w:tcPr>
            <w:tcW w:w="978" w:type="dxa"/>
          </w:tcPr>
          <w:p w14:paraId="56A03E88" w14:textId="5B688B33"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0.12%</w:t>
            </w:r>
          </w:p>
        </w:tc>
      </w:tr>
      <w:tr w:rsidR="00EA7ED2" w:rsidRPr="004A357C" w14:paraId="35B46C10" w14:textId="77777777" w:rsidTr="00EA7ED2">
        <w:trPr>
          <w:cnfStyle w:val="000000010000" w:firstRow="0" w:lastRow="0" w:firstColumn="0" w:lastColumn="0" w:oddVBand="0" w:evenVBand="0" w:oddHBand="0" w:evenHBand="1" w:firstRowFirstColumn="0" w:firstRowLastColumn="0" w:lastRowFirstColumn="0" w:lastRowLastColumn="0"/>
        </w:trPr>
        <w:tc>
          <w:tcPr>
            <w:tcW w:w="2090" w:type="dxa"/>
          </w:tcPr>
          <w:p w14:paraId="795615FC" w14:textId="5A2525B9"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09 – Cardiothoracic</w:t>
            </w:r>
          </w:p>
        </w:tc>
        <w:tc>
          <w:tcPr>
            <w:tcW w:w="981" w:type="dxa"/>
          </w:tcPr>
          <w:p w14:paraId="7696663F" w14:textId="7484313F" w:rsidR="00EA7ED2" w:rsidRPr="004A357C" w:rsidRDefault="00EA7ED2" w:rsidP="00EA7ED2">
            <w:pPr>
              <w:pStyle w:val="TableNText"/>
              <w:spacing w:before="60" w:after="60" w:line="240" w:lineRule="auto"/>
            </w:pPr>
            <w:r w:rsidRPr="00DD19EC">
              <w:t>9</w:t>
            </w:r>
            <w:r>
              <w:t>,</w:t>
            </w:r>
            <w:r w:rsidRPr="00DD19EC">
              <w:t>098</w:t>
            </w:r>
          </w:p>
        </w:tc>
        <w:tc>
          <w:tcPr>
            <w:tcW w:w="972" w:type="dxa"/>
          </w:tcPr>
          <w:p w14:paraId="02DD68EA" w14:textId="4A7D2A9F" w:rsidR="00EA7ED2" w:rsidRPr="004A357C" w:rsidRDefault="00EA7ED2" w:rsidP="00EA7ED2">
            <w:pPr>
              <w:pStyle w:val="TableNText"/>
              <w:spacing w:before="60" w:after="60" w:line="240" w:lineRule="auto"/>
            </w:pPr>
            <w:r w:rsidRPr="00DD19EC">
              <w:t>185</w:t>
            </w:r>
          </w:p>
        </w:tc>
        <w:tc>
          <w:tcPr>
            <w:tcW w:w="976" w:type="dxa"/>
          </w:tcPr>
          <w:p w14:paraId="030E8D63" w14:textId="22B1E107" w:rsidR="00EA7ED2" w:rsidRPr="004A357C" w:rsidRDefault="00EA7ED2" w:rsidP="00EA7ED2">
            <w:pPr>
              <w:pStyle w:val="TableNText"/>
              <w:spacing w:before="60" w:after="60" w:line="240" w:lineRule="auto"/>
            </w:pPr>
            <w:r w:rsidRPr="00DD19EC">
              <w:t>2.03%</w:t>
            </w:r>
          </w:p>
        </w:tc>
        <w:tc>
          <w:tcPr>
            <w:tcW w:w="983" w:type="dxa"/>
          </w:tcPr>
          <w:p w14:paraId="6052C12B" w14:textId="6927DC6D" w:rsidR="00EA7ED2" w:rsidRPr="004A357C" w:rsidRDefault="00EA7ED2" w:rsidP="00EA7ED2">
            <w:pPr>
              <w:pStyle w:val="TableNText"/>
              <w:spacing w:before="60" w:after="60" w:line="240" w:lineRule="auto"/>
            </w:pPr>
            <w:r w:rsidRPr="00DD19EC">
              <w:t>9827</w:t>
            </w:r>
          </w:p>
        </w:tc>
        <w:tc>
          <w:tcPr>
            <w:tcW w:w="974" w:type="dxa"/>
          </w:tcPr>
          <w:p w14:paraId="61C973EB" w14:textId="6EDBE1A7" w:rsidR="00EA7ED2" w:rsidRPr="004A357C" w:rsidRDefault="00EA7ED2" w:rsidP="00EA7ED2">
            <w:pPr>
              <w:pStyle w:val="TableNText"/>
              <w:spacing w:before="60" w:after="60" w:line="240" w:lineRule="auto"/>
            </w:pPr>
            <w:r w:rsidRPr="00DD19EC">
              <w:t>258</w:t>
            </w:r>
          </w:p>
        </w:tc>
        <w:tc>
          <w:tcPr>
            <w:tcW w:w="976" w:type="dxa"/>
          </w:tcPr>
          <w:p w14:paraId="0870E6C0" w14:textId="5BB17309" w:rsidR="00EA7ED2" w:rsidRPr="004A357C" w:rsidRDefault="00EA7ED2" w:rsidP="00EA7ED2">
            <w:pPr>
              <w:pStyle w:val="TableNText"/>
              <w:spacing w:before="60" w:after="60" w:line="240" w:lineRule="auto"/>
            </w:pPr>
            <w:r w:rsidRPr="00DD19EC">
              <w:t>2.63%</w:t>
            </w:r>
          </w:p>
        </w:tc>
        <w:tc>
          <w:tcPr>
            <w:tcW w:w="978" w:type="dxa"/>
          </w:tcPr>
          <w:p w14:paraId="6E510833" w14:textId="5A9DD7F8"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0.59%</w:t>
            </w:r>
          </w:p>
        </w:tc>
      </w:tr>
      <w:tr w:rsidR="00EA7ED2" w:rsidRPr="004A357C" w14:paraId="50A7E8D4" w14:textId="77777777" w:rsidTr="00EA7ED2">
        <w:trPr>
          <w:cnfStyle w:val="000000100000" w:firstRow="0" w:lastRow="0" w:firstColumn="0" w:lastColumn="0" w:oddVBand="0" w:evenVBand="0" w:oddHBand="1" w:evenHBand="0" w:firstRowFirstColumn="0" w:firstRowLastColumn="0" w:lastRowFirstColumn="0" w:lastRowLastColumn="0"/>
        </w:trPr>
        <w:tc>
          <w:tcPr>
            <w:tcW w:w="2090" w:type="dxa"/>
          </w:tcPr>
          <w:p w14:paraId="65A26C11" w14:textId="5E251F78"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10 – Vascular</w:t>
            </w:r>
          </w:p>
        </w:tc>
        <w:tc>
          <w:tcPr>
            <w:tcW w:w="981" w:type="dxa"/>
          </w:tcPr>
          <w:p w14:paraId="2318A23E" w14:textId="0E623002" w:rsidR="00EA7ED2" w:rsidRPr="004A357C" w:rsidRDefault="00EA7ED2" w:rsidP="00EA7ED2">
            <w:pPr>
              <w:pStyle w:val="TableNText"/>
              <w:spacing w:before="60" w:after="60" w:line="240" w:lineRule="auto"/>
            </w:pPr>
            <w:r w:rsidRPr="00DD19EC">
              <w:t>36</w:t>
            </w:r>
            <w:r>
              <w:t>,</w:t>
            </w:r>
            <w:r w:rsidRPr="00DD19EC">
              <w:t>389</w:t>
            </w:r>
          </w:p>
        </w:tc>
        <w:tc>
          <w:tcPr>
            <w:tcW w:w="972" w:type="dxa"/>
          </w:tcPr>
          <w:p w14:paraId="0314E4BE" w14:textId="651F502F" w:rsidR="00EA7ED2" w:rsidRPr="004A357C" w:rsidRDefault="00EA7ED2" w:rsidP="00EA7ED2">
            <w:pPr>
              <w:pStyle w:val="TableNText"/>
              <w:spacing w:before="60" w:after="60" w:line="240" w:lineRule="auto"/>
            </w:pPr>
            <w:r w:rsidRPr="00DD19EC">
              <w:t>85</w:t>
            </w:r>
          </w:p>
        </w:tc>
        <w:tc>
          <w:tcPr>
            <w:tcW w:w="976" w:type="dxa"/>
          </w:tcPr>
          <w:p w14:paraId="5397F3B0" w14:textId="1CAA7B5C" w:rsidR="00EA7ED2" w:rsidRPr="004A357C" w:rsidRDefault="00EA7ED2" w:rsidP="00EA7ED2">
            <w:pPr>
              <w:pStyle w:val="TableNText"/>
              <w:spacing w:before="60" w:after="60" w:line="240" w:lineRule="auto"/>
            </w:pPr>
            <w:r w:rsidRPr="00DD19EC">
              <w:t>0.23%</w:t>
            </w:r>
          </w:p>
        </w:tc>
        <w:tc>
          <w:tcPr>
            <w:tcW w:w="983" w:type="dxa"/>
          </w:tcPr>
          <w:p w14:paraId="076C764B" w14:textId="409D0B30" w:rsidR="00EA7ED2" w:rsidRPr="004A357C" w:rsidRDefault="00EA7ED2" w:rsidP="00EA7ED2">
            <w:pPr>
              <w:pStyle w:val="TableNText"/>
              <w:spacing w:before="60" w:after="60" w:line="240" w:lineRule="auto"/>
            </w:pPr>
            <w:r w:rsidRPr="00DD19EC">
              <w:t>37</w:t>
            </w:r>
            <w:r>
              <w:t>,</w:t>
            </w:r>
            <w:r w:rsidRPr="00DD19EC">
              <w:t>223</w:t>
            </w:r>
          </w:p>
        </w:tc>
        <w:tc>
          <w:tcPr>
            <w:tcW w:w="974" w:type="dxa"/>
          </w:tcPr>
          <w:p w14:paraId="6702CD12" w14:textId="2E1B6780" w:rsidR="00EA7ED2" w:rsidRPr="004A357C" w:rsidRDefault="00EA7ED2" w:rsidP="00EA7ED2">
            <w:pPr>
              <w:pStyle w:val="TableNText"/>
              <w:spacing w:before="60" w:after="60" w:line="240" w:lineRule="auto"/>
            </w:pPr>
            <w:r w:rsidRPr="00DD19EC">
              <w:t>47</w:t>
            </w:r>
          </w:p>
        </w:tc>
        <w:tc>
          <w:tcPr>
            <w:tcW w:w="976" w:type="dxa"/>
          </w:tcPr>
          <w:p w14:paraId="718223B9" w14:textId="7B5106BE" w:rsidR="00EA7ED2" w:rsidRPr="004A357C" w:rsidRDefault="00EA7ED2" w:rsidP="00EA7ED2">
            <w:pPr>
              <w:pStyle w:val="TableNText"/>
              <w:spacing w:before="60" w:after="60" w:line="240" w:lineRule="auto"/>
            </w:pPr>
            <w:r w:rsidRPr="00DD19EC">
              <w:t>0.13%</w:t>
            </w:r>
          </w:p>
        </w:tc>
        <w:tc>
          <w:tcPr>
            <w:tcW w:w="978" w:type="dxa"/>
          </w:tcPr>
          <w:p w14:paraId="28A15789" w14:textId="40C61B32"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-0.11%</w:t>
            </w:r>
          </w:p>
        </w:tc>
      </w:tr>
      <w:tr w:rsidR="00EA7ED2" w:rsidRPr="004A357C" w14:paraId="5F2A6F56" w14:textId="77777777" w:rsidTr="00EA7ED2">
        <w:trPr>
          <w:cnfStyle w:val="000000010000" w:firstRow="0" w:lastRow="0" w:firstColumn="0" w:lastColumn="0" w:oddVBand="0" w:evenVBand="0" w:oddHBand="0" w:evenHBand="1" w:firstRowFirstColumn="0" w:firstRowLastColumn="0" w:lastRowFirstColumn="0" w:lastRowLastColumn="0"/>
        </w:trPr>
        <w:tc>
          <w:tcPr>
            <w:tcW w:w="2090" w:type="dxa"/>
          </w:tcPr>
          <w:p w14:paraId="549BE07C" w14:textId="513522B2"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11 – Hip</w:t>
            </w:r>
          </w:p>
        </w:tc>
        <w:tc>
          <w:tcPr>
            <w:tcW w:w="981" w:type="dxa"/>
          </w:tcPr>
          <w:p w14:paraId="7AFFDC38" w14:textId="67D8626A" w:rsidR="00EA7ED2" w:rsidRPr="004A357C" w:rsidRDefault="00EA7ED2" w:rsidP="00EA7ED2">
            <w:pPr>
              <w:pStyle w:val="TableNText"/>
              <w:spacing w:before="60" w:after="60" w:line="240" w:lineRule="auto"/>
            </w:pPr>
            <w:r w:rsidRPr="00DD19EC">
              <w:t>150</w:t>
            </w:r>
            <w:r>
              <w:t>,</w:t>
            </w:r>
            <w:r w:rsidRPr="00DD19EC">
              <w:t>559</w:t>
            </w:r>
          </w:p>
        </w:tc>
        <w:tc>
          <w:tcPr>
            <w:tcW w:w="972" w:type="dxa"/>
          </w:tcPr>
          <w:p w14:paraId="44B0551E" w14:textId="587027CC" w:rsidR="00EA7ED2" w:rsidRPr="004A357C" w:rsidRDefault="00EA7ED2" w:rsidP="00EA7ED2">
            <w:pPr>
              <w:pStyle w:val="TableNText"/>
              <w:spacing w:before="60" w:after="60" w:line="240" w:lineRule="auto"/>
            </w:pPr>
            <w:r w:rsidRPr="00DD19EC">
              <w:t>296</w:t>
            </w:r>
          </w:p>
        </w:tc>
        <w:tc>
          <w:tcPr>
            <w:tcW w:w="976" w:type="dxa"/>
          </w:tcPr>
          <w:p w14:paraId="3BBE34A5" w14:textId="45111327" w:rsidR="00EA7ED2" w:rsidRPr="004A357C" w:rsidRDefault="00EA7ED2" w:rsidP="00EA7ED2">
            <w:pPr>
              <w:pStyle w:val="TableNText"/>
              <w:spacing w:before="60" w:after="60" w:line="240" w:lineRule="auto"/>
            </w:pPr>
            <w:r w:rsidRPr="00DD19EC">
              <w:t>0.20%</w:t>
            </w:r>
          </w:p>
        </w:tc>
        <w:tc>
          <w:tcPr>
            <w:tcW w:w="983" w:type="dxa"/>
          </w:tcPr>
          <w:p w14:paraId="0AF66221" w14:textId="63C30781" w:rsidR="00EA7ED2" w:rsidRPr="004A357C" w:rsidRDefault="00EA7ED2" w:rsidP="00EA7ED2">
            <w:pPr>
              <w:pStyle w:val="TableNText"/>
              <w:spacing w:before="60" w:after="60" w:line="240" w:lineRule="auto"/>
            </w:pPr>
            <w:r w:rsidRPr="00DD19EC">
              <w:t>154</w:t>
            </w:r>
            <w:r>
              <w:t>,</w:t>
            </w:r>
            <w:r w:rsidRPr="00DD19EC">
              <w:t>886</w:t>
            </w:r>
          </w:p>
        </w:tc>
        <w:tc>
          <w:tcPr>
            <w:tcW w:w="974" w:type="dxa"/>
          </w:tcPr>
          <w:p w14:paraId="291F4AB4" w14:textId="57798FE7" w:rsidR="00EA7ED2" w:rsidRPr="004A357C" w:rsidRDefault="00EA7ED2" w:rsidP="00EA7ED2">
            <w:pPr>
              <w:pStyle w:val="TableNText"/>
              <w:spacing w:before="60" w:after="60" w:line="240" w:lineRule="auto"/>
            </w:pPr>
            <w:r w:rsidRPr="00DD19EC">
              <w:t>124</w:t>
            </w:r>
          </w:p>
        </w:tc>
        <w:tc>
          <w:tcPr>
            <w:tcW w:w="976" w:type="dxa"/>
          </w:tcPr>
          <w:p w14:paraId="3081B681" w14:textId="241F3146" w:rsidR="00EA7ED2" w:rsidRPr="004A357C" w:rsidRDefault="00EA7ED2" w:rsidP="00EA7ED2">
            <w:pPr>
              <w:pStyle w:val="TableNText"/>
              <w:spacing w:before="60" w:after="60" w:line="240" w:lineRule="auto"/>
            </w:pPr>
            <w:r w:rsidRPr="00DD19EC">
              <w:t>0.08%</w:t>
            </w:r>
          </w:p>
        </w:tc>
        <w:tc>
          <w:tcPr>
            <w:tcW w:w="978" w:type="dxa"/>
          </w:tcPr>
          <w:p w14:paraId="7B4347E7" w14:textId="57B3EFF3"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-0.12%</w:t>
            </w:r>
          </w:p>
        </w:tc>
      </w:tr>
      <w:tr w:rsidR="00EA7ED2" w:rsidRPr="004A357C" w14:paraId="5DF9A82D" w14:textId="77777777" w:rsidTr="00EA7ED2">
        <w:trPr>
          <w:cnfStyle w:val="000000100000" w:firstRow="0" w:lastRow="0" w:firstColumn="0" w:lastColumn="0" w:oddVBand="0" w:evenVBand="0" w:oddHBand="1" w:evenHBand="0" w:firstRowFirstColumn="0" w:firstRowLastColumn="0" w:lastRowFirstColumn="0" w:lastRowLastColumn="0"/>
        </w:trPr>
        <w:tc>
          <w:tcPr>
            <w:tcW w:w="2090" w:type="dxa"/>
          </w:tcPr>
          <w:p w14:paraId="79FE3159" w14:textId="7E80FA46"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12 – Knee</w:t>
            </w:r>
          </w:p>
        </w:tc>
        <w:tc>
          <w:tcPr>
            <w:tcW w:w="981" w:type="dxa"/>
          </w:tcPr>
          <w:p w14:paraId="27B80DE2" w14:textId="7344645B" w:rsidR="00EA7ED2" w:rsidRPr="004A357C" w:rsidRDefault="00EA7ED2" w:rsidP="00EA7ED2">
            <w:pPr>
              <w:pStyle w:val="TableNText"/>
              <w:spacing w:before="60" w:after="60" w:line="240" w:lineRule="auto"/>
            </w:pPr>
            <w:r w:rsidRPr="00DD19EC">
              <w:t>182</w:t>
            </w:r>
            <w:r>
              <w:t>,</w:t>
            </w:r>
            <w:r w:rsidRPr="00DD19EC">
              <w:t>625</w:t>
            </w:r>
          </w:p>
        </w:tc>
        <w:tc>
          <w:tcPr>
            <w:tcW w:w="972" w:type="dxa"/>
          </w:tcPr>
          <w:p w14:paraId="5AF955F7" w14:textId="41A0B5EF" w:rsidR="00EA7ED2" w:rsidRPr="004A357C" w:rsidRDefault="00EA7ED2" w:rsidP="00EA7ED2">
            <w:pPr>
              <w:pStyle w:val="TableNText"/>
              <w:spacing w:before="60" w:after="60" w:line="240" w:lineRule="auto"/>
            </w:pPr>
            <w:r w:rsidRPr="00DD19EC">
              <w:t>513</w:t>
            </w:r>
          </w:p>
        </w:tc>
        <w:tc>
          <w:tcPr>
            <w:tcW w:w="976" w:type="dxa"/>
          </w:tcPr>
          <w:p w14:paraId="2A63CDC8" w14:textId="6BFEF484" w:rsidR="00EA7ED2" w:rsidRPr="004A357C" w:rsidRDefault="00EA7ED2" w:rsidP="00EA7ED2">
            <w:pPr>
              <w:pStyle w:val="TableNText"/>
              <w:spacing w:before="60" w:after="60" w:line="240" w:lineRule="auto"/>
            </w:pPr>
            <w:r w:rsidRPr="00DD19EC">
              <w:t>0.28%</w:t>
            </w:r>
          </w:p>
        </w:tc>
        <w:tc>
          <w:tcPr>
            <w:tcW w:w="983" w:type="dxa"/>
          </w:tcPr>
          <w:p w14:paraId="51DA3E75" w14:textId="4C03BC40" w:rsidR="00EA7ED2" w:rsidRPr="004A357C" w:rsidRDefault="00EA7ED2" w:rsidP="00EA7ED2">
            <w:pPr>
              <w:pStyle w:val="TableNText"/>
              <w:spacing w:before="60" w:after="60" w:line="240" w:lineRule="auto"/>
            </w:pPr>
            <w:r w:rsidRPr="00DD19EC">
              <w:t>196</w:t>
            </w:r>
            <w:r>
              <w:t>,</w:t>
            </w:r>
            <w:r w:rsidRPr="00DD19EC">
              <w:t>533</w:t>
            </w:r>
          </w:p>
        </w:tc>
        <w:tc>
          <w:tcPr>
            <w:tcW w:w="974" w:type="dxa"/>
          </w:tcPr>
          <w:p w14:paraId="3C9AEF50" w14:textId="542A8093" w:rsidR="00EA7ED2" w:rsidRPr="004A357C" w:rsidRDefault="00EA7ED2" w:rsidP="00EA7ED2">
            <w:pPr>
              <w:pStyle w:val="TableNText"/>
              <w:spacing w:before="60" w:after="60" w:line="240" w:lineRule="auto"/>
            </w:pPr>
            <w:r w:rsidRPr="00DD19EC">
              <w:t>170</w:t>
            </w:r>
          </w:p>
        </w:tc>
        <w:tc>
          <w:tcPr>
            <w:tcW w:w="976" w:type="dxa"/>
          </w:tcPr>
          <w:p w14:paraId="1EDB9D9E" w14:textId="1C3C9FB8" w:rsidR="00EA7ED2" w:rsidRPr="004A357C" w:rsidRDefault="00EA7ED2" w:rsidP="00EA7ED2">
            <w:pPr>
              <w:pStyle w:val="TableNText"/>
              <w:spacing w:before="60" w:after="60" w:line="240" w:lineRule="auto"/>
            </w:pPr>
            <w:r w:rsidRPr="00DD19EC">
              <w:t>0.09%</w:t>
            </w:r>
          </w:p>
        </w:tc>
        <w:tc>
          <w:tcPr>
            <w:tcW w:w="978" w:type="dxa"/>
          </w:tcPr>
          <w:p w14:paraId="6A3A69CC" w14:textId="05DD29A1"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-0.19%</w:t>
            </w:r>
          </w:p>
        </w:tc>
      </w:tr>
      <w:tr w:rsidR="00EA7ED2" w:rsidRPr="004A357C" w14:paraId="3D85D613" w14:textId="77777777" w:rsidTr="00EA7ED2">
        <w:trPr>
          <w:cnfStyle w:val="000000010000" w:firstRow="0" w:lastRow="0" w:firstColumn="0" w:lastColumn="0" w:oddVBand="0" w:evenVBand="0" w:oddHBand="0" w:evenHBand="1" w:firstRowFirstColumn="0" w:firstRowLastColumn="0" w:lastRowFirstColumn="0" w:lastRowLastColumn="0"/>
        </w:trPr>
        <w:tc>
          <w:tcPr>
            <w:tcW w:w="2090" w:type="dxa"/>
          </w:tcPr>
          <w:p w14:paraId="4DB5A3DC" w14:textId="350E5A0C" w:rsidR="00EA7ED2" w:rsidRPr="004A357C" w:rsidRDefault="00EA7ED2" w:rsidP="00EA7ED2">
            <w:pPr>
              <w:pStyle w:val="TableNText"/>
              <w:spacing w:before="60" w:after="60" w:line="240" w:lineRule="auto"/>
              <w:rPr>
                <w:rFonts w:asciiTheme="majorHAnsi" w:hAnsiTheme="majorHAnsi" w:cstheme="majorHAnsi"/>
              </w:rPr>
            </w:pPr>
            <w:r w:rsidRPr="004A357C">
              <w:rPr>
                <w:rFonts w:asciiTheme="majorHAnsi" w:hAnsiTheme="majorHAnsi" w:cstheme="majorHAnsi"/>
              </w:rPr>
              <w:t>13 – Spinal</w:t>
            </w:r>
          </w:p>
        </w:tc>
        <w:tc>
          <w:tcPr>
            <w:tcW w:w="981" w:type="dxa"/>
          </w:tcPr>
          <w:p w14:paraId="4C5BFCC6" w14:textId="21CAEDD2" w:rsidR="00EA7ED2" w:rsidRPr="004A357C" w:rsidRDefault="00EA7ED2" w:rsidP="00EA7ED2">
            <w:pPr>
              <w:pStyle w:val="TableNText"/>
              <w:spacing w:before="60" w:after="60" w:line="240" w:lineRule="auto"/>
            </w:pPr>
            <w:r w:rsidRPr="00DD19EC">
              <w:t>138</w:t>
            </w:r>
            <w:r>
              <w:t>,</w:t>
            </w:r>
            <w:r w:rsidRPr="00DD19EC">
              <w:t>810</w:t>
            </w:r>
          </w:p>
        </w:tc>
        <w:tc>
          <w:tcPr>
            <w:tcW w:w="972" w:type="dxa"/>
          </w:tcPr>
          <w:p w14:paraId="7FFD0733" w14:textId="3A7F9E40" w:rsidR="00EA7ED2" w:rsidRPr="004A357C" w:rsidRDefault="00EA7ED2" w:rsidP="00EA7ED2">
            <w:pPr>
              <w:pStyle w:val="TableNText"/>
              <w:spacing w:before="60" w:after="60" w:line="240" w:lineRule="auto"/>
            </w:pPr>
            <w:r w:rsidRPr="00DD19EC">
              <w:t>229</w:t>
            </w:r>
          </w:p>
        </w:tc>
        <w:tc>
          <w:tcPr>
            <w:tcW w:w="976" w:type="dxa"/>
          </w:tcPr>
          <w:p w14:paraId="290A367A" w14:textId="4E2FA687" w:rsidR="00EA7ED2" w:rsidRPr="004A357C" w:rsidRDefault="00EA7ED2" w:rsidP="00EA7ED2">
            <w:pPr>
              <w:pStyle w:val="TableNText"/>
              <w:spacing w:before="60" w:after="60" w:line="240" w:lineRule="auto"/>
            </w:pPr>
            <w:r w:rsidRPr="00DD19EC">
              <w:t>0.16%</w:t>
            </w:r>
          </w:p>
        </w:tc>
        <w:tc>
          <w:tcPr>
            <w:tcW w:w="983" w:type="dxa"/>
          </w:tcPr>
          <w:p w14:paraId="07D89F0B" w14:textId="4659BBAA" w:rsidR="00EA7ED2" w:rsidRPr="004A357C" w:rsidRDefault="00EA7ED2" w:rsidP="00EA7ED2">
            <w:pPr>
              <w:pStyle w:val="TableNText"/>
              <w:spacing w:before="60" w:after="60" w:line="240" w:lineRule="auto"/>
            </w:pPr>
            <w:r w:rsidRPr="00DD19EC">
              <w:t>142</w:t>
            </w:r>
            <w:r>
              <w:t>,</w:t>
            </w:r>
            <w:r w:rsidRPr="00DD19EC">
              <w:t>190</w:t>
            </w:r>
          </w:p>
        </w:tc>
        <w:tc>
          <w:tcPr>
            <w:tcW w:w="974" w:type="dxa"/>
          </w:tcPr>
          <w:p w14:paraId="1C5A2FBB" w14:textId="367CD0BA" w:rsidR="00EA7ED2" w:rsidRPr="004A357C" w:rsidRDefault="00EA7ED2" w:rsidP="00EA7ED2">
            <w:pPr>
              <w:pStyle w:val="TableNText"/>
              <w:spacing w:before="60" w:after="60" w:line="240" w:lineRule="auto"/>
            </w:pPr>
            <w:r w:rsidRPr="00DD19EC">
              <w:t>384</w:t>
            </w:r>
          </w:p>
        </w:tc>
        <w:tc>
          <w:tcPr>
            <w:tcW w:w="976" w:type="dxa"/>
          </w:tcPr>
          <w:p w14:paraId="4AE5DE64" w14:textId="1E32BDC1" w:rsidR="00EA7ED2" w:rsidRPr="004A357C" w:rsidRDefault="00EA7ED2" w:rsidP="00EA7ED2">
            <w:pPr>
              <w:pStyle w:val="TableNText"/>
              <w:spacing w:before="60" w:after="60" w:line="240" w:lineRule="auto"/>
            </w:pPr>
            <w:r w:rsidRPr="00DD19EC">
              <w:t>0.27%</w:t>
            </w:r>
          </w:p>
        </w:tc>
        <w:tc>
          <w:tcPr>
            <w:tcW w:w="978" w:type="dxa"/>
          </w:tcPr>
          <w:p w14:paraId="6F918AC7" w14:textId="59016F13" w:rsidR="00EA7ED2" w:rsidRPr="00EA7ED2" w:rsidRDefault="00EA7ED2" w:rsidP="00EA7ED2">
            <w:pPr>
              <w:pStyle w:val="TableNText"/>
              <w:spacing w:before="60" w:after="60" w:line="240" w:lineRule="auto"/>
              <w:rPr>
                <w:rFonts w:asciiTheme="majorHAnsi" w:hAnsiTheme="majorHAnsi" w:cstheme="majorHAnsi"/>
              </w:rPr>
            </w:pPr>
            <w:r w:rsidRPr="00EA7ED2">
              <w:rPr>
                <w:rFonts w:asciiTheme="majorHAnsi" w:hAnsiTheme="majorHAnsi" w:cstheme="majorHAnsi"/>
              </w:rPr>
              <w:t>0.11%</w:t>
            </w:r>
          </w:p>
        </w:tc>
      </w:tr>
    </w:tbl>
    <w:p w14:paraId="24070C6E" w14:textId="77777777" w:rsidR="0024585F" w:rsidRPr="004A357C" w:rsidRDefault="0024585F" w:rsidP="0024585F"/>
    <w:p w14:paraId="703E4994" w14:textId="64EC1FDA" w:rsidR="000057EC" w:rsidRPr="004A357C" w:rsidRDefault="000057EC" w:rsidP="000057EC">
      <w:pPr>
        <w:pStyle w:val="Heading4"/>
      </w:pPr>
      <w:r w:rsidRPr="004A357C">
        <w:rPr>
          <w:color w:val="F25E21" w:themeColor="accent2"/>
        </w:rPr>
        <w:lastRenderedPageBreak/>
        <w:t xml:space="preserve">Measure 3.2: </w:t>
      </w:r>
      <w:r w:rsidR="0024585F" w:rsidRPr="004A357C">
        <w:t>Average</w:t>
      </w:r>
      <w:r w:rsidRPr="004A357C">
        <w:t xml:space="preserve"> gap payment for PL</w:t>
      </w:r>
      <w:r w:rsidR="0024585F" w:rsidRPr="004A357C">
        <w:t>-listed</w:t>
      </w:r>
      <w:r w:rsidRPr="004A357C">
        <w:t xml:space="preserve"> items</w:t>
      </w:r>
    </w:p>
    <w:p w14:paraId="12B2CBBA" w14:textId="630CBA8C" w:rsidR="000057EC" w:rsidRPr="004A357C" w:rsidRDefault="0024585F" w:rsidP="00B50EE7">
      <w:pPr>
        <w:pStyle w:val="Caption"/>
      </w:pPr>
      <w:bookmarkStart w:id="131" w:name="_Ref202360874"/>
      <w:r w:rsidRPr="004A357C">
        <w:t xml:space="preserve">Table </w:t>
      </w:r>
      <w:r w:rsidR="002604D0">
        <w:fldChar w:fldCharType="begin"/>
      </w:r>
      <w:r w:rsidR="002604D0">
        <w:instrText xml:space="preserve"> SEQ Table \* ARABIC </w:instrText>
      </w:r>
      <w:r w:rsidR="002604D0">
        <w:fldChar w:fldCharType="separate"/>
      </w:r>
      <w:r w:rsidR="00D30634">
        <w:rPr>
          <w:noProof/>
        </w:rPr>
        <w:t>28</w:t>
      </w:r>
      <w:r w:rsidR="002604D0">
        <w:fldChar w:fldCharType="end"/>
      </w:r>
      <w:bookmarkEnd w:id="131"/>
      <w:r w:rsidRPr="004A357C">
        <w:t xml:space="preserve"> | Value of gap in Part A categories</w:t>
      </w:r>
      <w:r w:rsidR="00AD7A96" w:rsidRPr="004A357C">
        <w:rPr>
          <w:rStyle w:val="FootnoteReference"/>
        </w:rPr>
        <w:footnoteReference w:id="142"/>
      </w:r>
    </w:p>
    <w:tbl>
      <w:tblPr>
        <w:tblStyle w:val="NOUSSideHeader1"/>
        <w:tblW w:w="0" w:type="auto"/>
        <w:tblLook w:val="04A0" w:firstRow="1" w:lastRow="0" w:firstColumn="1" w:lastColumn="0" w:noHBand="0" w:noVBand="1"/>
      </w:tblPr>
      <w:tblGrid>
        <w:gridCol w:w="2089"/>
        <w:gridCol w:w="978"/>
        <w:gridCol w:w="977"/>
        <w:gridCol w:w="978"/>
        <w:gridCol w:w="978"/>
        <w:gridCol w:w="974"/>
        <w:gridCol w:w="978"/>
        <w:gridCol w:w="978"/>
      </w:tblGrid>
      <w:tr w:rsidR="00D91B7A" w:rsidRPr="004A357C" w14:paraId="4374FA7E" w14:textId="77777777" w:rsidTr="00A57904">
        <w:trPr>
          <w:cnfStyle w:val="100000000000" w:firstRow="1" w:lastRow="0" w:firstColumn="0" w:lastColumn="0" w:oddVBand="0" w:evenVBand="0" w:oddHBand="0" w:evenHBand="0" w:firstRowFirstColumn="0" w:firstRowLastColumn="0" w:lastRowFirstColumn="0" w:lastRowLastColumn="0"/>
        </w:trPr>
        <w:tc>
          <w:tcPr>
            <w:tcW w:w="2089" w:type="dxa"/>
          </w:tcPr>
          <w:p w14:paraId="6CC25B7A" w14:textId="77777777" w:rsidR="00D91B7A" w:rsidRPr="004A357C" w:rsidRDefault="00D91B7A" w:rsidP="00FB712C">
            <w:pPr>
              <w:pStyle w:val="TableNheader"/>
              <w:spacing w:before="60" w:after="60" w:line="240" w:lineRule="auto"/>
              <w:rPr>
                <w:b/>
              </w:rPr>
            </w:pPr>
          </w:p>
        </w:tc>
        <w:tc>
          <w:tcPr>
            <w:tcW w:w="2933" w:type="dxa"/>
            <w:gridSpan w:val="3"/>
          </w:tcPr>
          <w:p w14:paraId="773C562C" w14:textId="08A9B5EE" w:rsidR="00D91B7A" w:rsidRPr="00A57904" w:rsidRDefault="00D91B7A" w:rsidP="00FB712C">
            <w:pPr>
              <w:pStyle w:val="TableNheader"/>
              <w:spacing w:before="60" w:after="60" w:line="240" w:lineRule="auto"/>
              <w:rPr>
                <w:b/>
                <w:szCs w:val="18"/>
              </w:rPr>
            </w:pPr>
            <w:r w:rsidRPr="00A57904">
              <w:rPr>
                <w:szCs w:val="18"/>
              </w:rPr>
              <w:t>FY2</w:t>
            </w:r>
            <w:r w:rsidR="001613C9">
              <w:rPr>
                <w:szCs w:val="18"/>
              </w:rPr>
              <w:t>3</w:t>
            </w:r>
          </w:p>
        </w:tc>
        <w:tc>
          <w:tcPr>
            <w:tcW w:w="2930" w:type="dxa"/>
            <w:gridSpan w:val="3"/>
            <w:tcBorders>
              <w:right w:val="single" w:sz="8" w:space="0" w:color="E6E6E1" w:themeColor="accent5"/>
            </w:tcBorders>
          </w:tcPr>
          <w:p w14:paraId="60C2CF4B" w14:textId="4B7C59DA" w:rsidR="00D91B7A" w:rsidRPr="00A57904" w:rsidRDefault="00D91B7A" w:rsidP="00FB712C">
            <w:pPr>
              <w:pStyle w:val="TableNheader"/>
              <w:spacing w:before="60" w:after="60" w:line="240" w:lineRule="auto"/>
              <w:rPr>
                <w:b/>
                <w:szCs w:val="18"/>
              </w:rPr>
            </w:pPr>
            <w:r w:rsidRPr="00A57904">
              <w:rPr>
                <w:szCs w:val="18"/>
              </w:rPr>
              <w:t>FY2</w:t>
            </w:r>
            <w:r w:rsidR="001613C9">
              <w:rPr>
                <w:szCs w:val="18"/>
              </w:rPr>
              <w:t>4</w:t>
            </w:r>
          </w:p>
        </w:tc>
        <w:tc>
          <w:tcPr>
            <w:tcW w:w="978" w:type="dxa"/>
            <w:tcBorders>
              <w:left w:val="single" w:sz="8" w:space="0" w:color="E6E6E1" w:themeColor="accent5"/>
            </w:tcBorders>
          </w:tcPr>
          <w:p w14:paraId="2C974D15" w14:textId="77777777" w:rsidR="00D91B7A" w:rsidRPr="004A357C" w:rsidRDefault="00D91B7A" w:rsidP="00FB712C">
            <w:pPr>
              <w:pStyle w:val="TableNheader"/>
              <w:spacing w:before="60" w:after="60" w:line="240" w:lineRule="auto"/>
              <w:rPr>
                <w:b/>
              </w:rPr>
            </w:pPr>
          </w:p>
        </w:tc>
      </w:tr>
      <w:tr w:rsidR="004C2F3E" w:rsidRPr="00A57904" w14:paraId="2B34481B" w14:textId="77777777" w:rsidTr="00A57904">
        <w:trPr>
          <w:cnfStyle w:val="000000100000" w:firstRow="0" w:lastRow="0" w:firstColumn="0" w:lastColumn="0" w:oddVBand="0" w:evenVBand="0" w:oddHBand="1" w:evenHBand="0" w:firstRowFirstColumn="0" w:firstRowLastColumn="0" w:lastRowFirstColumn="0" w:lastRowLastColumn="0"/>
        </w:trPr>
        <w:tc>
          <w:tcPr>
            <w:tcW w:w="2089" w:type="dxa"/>
            <w:tcBorders>
              <w:right w:val="single" w:sz="8" w:space="0" w:color="FFFFFF" w:themeColor="background1"/>
            </w:tcBorders>
            <w:shd w:val="clear" w:color="auto" w:fill="E6E6E1" w:themeFill="accent5"/>
          </w:tcPr>
          <w:p w14:paraId="79BA81C5" w14:textId="77777777" w:rsidR="00D91B7A" w:rsidRPr="00A57904" w:rsidRDefault="00D91B7A" w:rsidP="00FB712C">
            <w:pPr>
              <w:pStyle w:val="TableNheader"/>
              <w:spacing w:before="60" w:after="60" w:line="240" w:lineRule="auto"/>
              <w:rPr>
                <w:sz w:val="17"/>
                <w:szCs w:val="17"/>
              </w:rPr>
            </w:pPr>
            <w:r w:rsidRPr="00A57904">
              <w:rPr>
                <w:szCs w:val="18"/>
              </w:rPr>
              <w:t>Categories</w:t>
            </w:r>
          </w:p>
        </w:tc>
        <w:tc>
          <w:tcPr>
            <w:tcW w:w="978" w:type="dxa"/>
            <w:tcBorders>
              <w:left w:val="single" w:sz="8" w:space="0" w:color="FFFFFF" w:themeColor="background1"/>
              <w:right w:val="single" w:sz="8" w:space="0" w:color="FFFFFF" w:themeColor="background1"/>
            </w:tcBorders>
            <w:shd w:val="clear" w:color="auto" w:fill="E6E6E1" w:themeFill="accent5"/>
          </w:tcPr>
          <w:p w14:paraId="03116625" w14:textId="77777777" w:rsidR="00D91B7A" w:rsidRPr="00A57904" w:rsidRDefault="00D91B7A" w:rsidP="00FB712C">
            <w:pPr>
              <w:pStyle w:val="TableNheader"/>
              <w:spacing w:before="60" w:after="60" w:line="240" w:lineRule="auto"/>
              <w:rPr>
                <w:sz w:val="15"/>
                <w:szCs w:val="15"/>
              </w:rPr>
            </w:pPr>
            <w:r w:rsidRPr="00A57904">
              <w:rPr>
                <w:sz w:val="15"/>
                <w:szCs w:val="15"/>
              </w:rPr>
              <w:t>Avg benefit</w:t>
            </w:r>
          </w:p>
        </w:tc>
        <w:tc>
          <w:tcPr>
            <w:tcW w:w="977" w:type="dxa"/>
            <w:tcBorders>
              <w:left w:val="single" w:sz="8" w:space="0" w:color="FFFFFF" w:themeColor="background1"/>
              <w:right w:val="single" w:sz="8" w:space="0" w:color="FFFFFF" w:themeColor="background1"/>
            </w:tcBorders>
            <w:shd w:val="clear" w:color="auto" w:fill="E6E6E1" w:themeFill="accent5"/>
          </w:tcPr>
          <w:p w14:paraId="4D884B6B" w14:textId="77777777" w:rsidR="00D91B7A" w:rsidRPr="00A57904" w:rsidRDefault="00D91B7A" w:rsidP="00FB712C">
            <w:pPr>
              <w:pStyle w:val="TableNheader"/>
              <w:spacing w:before="60" w:after="60" w:line="240" w:lineRule="auto"/>
              <w:rPr>
                <w:sz w:val="15"/>
                <w:szCs w:val="15"/>
              </w:rPr>
            </w:pPr>
            <w:r w:rsidRPr="00A57904">
              <w:rPr>
                <w:sz w:val="15"/>
                <w:szCs w:val="15"/>
              </w:rPr>
              <w:t>Avg gap where gap was paid</w:t>
            </w:r>
          </w:p>
        </w:tc>
        <w:tc>
          <w:tcPr>
            <w:tcW w:w="978" w:type="dxa"/>
            <w:tcBorders>
              <w:left w:val="single" w:sz="8" w:space="0" w:color="FFFFFF" w:themeColor="background1"/>
              <w:right w:val="single" w:sz="8" w:space="0" w:color="FFFFFF" w:themeColor="background1"/>
            </w:tcBorders>
            <w:shd w:val="clear" w:color="auto" w:fill="E6E6E1" w:themeFill="accent5"/>
          </w:tcPr>
          <w:p w14:paraId="00C227A3" w14:textId="77777777" w:rsidR="00D91B7A" w:rsidRPr="00A57904" w:rsidRDefault="00D91B7A" w:rsidP="00FB712C">
            <w:pPr>
              <w:pStyle w:val="TableNheader"/>
              <w:spacing w:before="60" w:after="60" w:line="240" w:lineRule="auto"/>
              <w:rPr>
                <w:sz w:val="15"/>
                <w:szCs w:val="15"/>
              </w:rPr>
            </w:pPr>
            <w:r w:rsidRPr="00A57904">
              <w:rPr>
                <w:sz w:val="15"/>
                <w:szCs w:val="15"/>
              </w:rPr>
              <w:t>Avg gap relative to avg benefit</w:t>
            </w:r>
          </w:p>
        </w:tc>
        <w:tc>
          <w:tcPr>
            <w:tcW w:w="978" w:type="dxa"/>
            <w:tcBorders>
              <w:left w:val="single" w:sz="8" w:space="0" w:color="FFFFFF" w:themeColor="background1"/>
              <w:right w:val="single" w:sz="8" w:space="0" w:color="FFFFFF" w:themeColor="background1"/>
            </w:tcBorders>
            <w:shd w:val="clear" w:color="auto" w:fill="E6E6E1" w:themeFill="accent5"/>
          </w:tcPr>
          <w:p w14:paraId="33774194" w14:textId="77777777" w:rsidR="00D91B7A" w:rsidRPr="00A57904" w:rsidRDefault="00D91B7A" w:rsidP="00FB712C">
            <w:pPr>
              <w:pStyle w:val="TableNheader"/>
              <w:spacing w:before="60" w:after="60" w:line="240" w:lineRule="auto"/>
              <w:rPr>
                <w:sz w:val="15"/>
                <w:szCs w:val="15"/>
              </w:rPr>
            </w:pPr>
            <w:r w:rsidRPr="00A57904">
              <w:rPr>
                <w:sz w:val="15"/>
                <w:szCs w:val="15"/>
              </w:rPr>
              <w:t>Avg benefit</w:t>
            </w:r>
          </w:p>
        </w:tc>
        <w:tc>
          <w:tcPr>
            <w:tcW w:w="974" w:type="dxa"/>
            <w:tcBorders>
              <w:left w:val="single" w:sz="8" w:space="0" w:color="FFFFFF" w:themeColor="background1"/>
              <w:right w:val="single" w:sz="8" w:space="0" w:color="FFFFFF" w:themeColor="background1"/>
            </w:tcBorders>
            <w:shd w:val="clear" w:color="auto" w:fill="E6E6E1" w:themeFill="accent5"/>
          </w:tcPr>
          <w:p w14:paraId="011B8870" w14:textId="77777777" w:rsidR="00D91B7A" w:rsidRPr="00A57904" w:rsidRDefault="00D91B7A" w:rsidP="00FB712C">
            <w:pPr>
              <w:pStyle w:val="TableNheader"/>
              <w:spacing w:before="60" w:after="60" w:line="240" w:lineRule="auto"/>
              <w:rPr>
                <w:sz w:val="15"/>
                <w:szCs w:val="15"/>
              </w:rPr>
            </w:pPr>
            <w:r w:rsidRPr="00A57904">
              <w:rPr>
                <w:sz w:val="15"/>
                <w:szCs w:val="15"/>
              </w:rPr>
              <w:t>Avg gap where gap was paid</w:t>
            </w:r>
          </w:p>
        </w:tc>
        <w:tc>
          <w:tcPr>
            <w:tcW w:w="978" w:type="dxa"/>
            <w:tcBorders>
              <w:left w:val="single" w:sz="8" w:space="0" w:color="FFFFFF" w:themeColor="background1"/>
              <w:right w:val="single" w:sz="8" w:space="0" w:color="FFFFFF" w:themeColor="background1"/>
            </w:tcBorders>
            <w:shd w:val="clear" w:color="auto" w:fill="E6E6E1" w:themeFill="accent5"/>
          </w:tcPr>
          <w:p w14:paraId="184DDC1C" w14:textId="77777777" w:rsidR="00D91B7A" w:rsidRPr="00A57904" w:rsidRDefault="00D91B7A" w:rsidP="00FB712C">
            <w:pPr>
              <w:pStyle w:val="TableNheader"/>
              <w:spacing w:before="60" w:after="60" w:line="240" w:lineRule="auto"/>
              <w:rPr>
                <w:sz w:val="15"/>
                <w:szCs w:val="15"/>
              </w:rPr>
            </w:pPr>
            <w:r w:rsidRPr="00A57904">
              <w:rPr>
                <w:sz w:val="15"/>
                <w:szCs w:val="15"/>
              </w:rPr>
              <w:t>Avg gap relative to avg benefit</w:t>
            </w:r>
          </w:p>
        </w:tc>
        <w:tc>
          <w:tcPr>
            <w:tcW w:w="978" w:type="dxa"/>
            <w:tcBorders>
              <w:left w:val="single" w:sz="8" w:space="0" w:color="FFFFFF" w:themeColor="background1"/>
            </w:tcBorders>
            <w:shd w:val="clear" w:color="auto" w:fill="E6E6E1" w:themeFill="accent5"/>
          </w:tcPr>
          <w:p w14:paraId="7E01EED4" w14:textId="77777777" w:rsidR="00D91B7A" w:rsidRPr="00A57904" w:rsidRDefault="00D91B7A" w:rsidP="00FB712C">
            <w:pPr>
              <w:pStyle w:val="TableNheader"/>
              <w:spacing w:before="60" w:after="60" w:line="240" w:lineRule="auto"/>
              <w:rPr>
                <w:sz w:val="15"/>
                <w:szCs w:val="15"/>
              </w:rPr>
            </w:pPr>
            <w:r w:rsidRPr="00A57904">
              <w:rPr>
                <w:sz w:val="15"/>
                <w:szCs w:val="15"/>
              </w:rPr>
              <w:t>Change in avg gap to avg benefit</w:t>
            </w:r>
          </w:p>
        </w:tc>
      </w:tr>
      <w:tr w:rsidR="00D91B7A" w:rsidRPr="004A357C" w14:paraId="673AC696" w14:textId="77777777" w:rsidTr="00AC7F0C">
        <w:trPr>
          <w:cnfStyle w:val="000000010000" w:firstRow="0" w:lastRow="0" w:firstColumn="0" w:lastColumn="0" w:oddVBand="0" w:evenVBand="0" w:oddHBand="0" w:evenHBand="1" w:firstRowFirstColumn="0" w:firstRowLastColumn="0" w:lastRowFirstColumn="0" w:lastRowLastColumn="0"/>
        </w:trPr>
        <w:tc>
          <w:tcPr>
            <w:tcW w:w="2089" w:type="dxa"/>
          </w:tcPr>
          <w:p w14:paraId="0FBF0EDA" w14:textId="12983CED" w:rsidR="00D91B7A" w:rsidRPr="004A357C" w:rsidRDefault="00D91B7A" w:rsidP="00FB712C">
            <w:pPr>
              <w:pStyle w:val="TableNText"/>
              <w:spacing w:before="60" w:after="60" w:line="240" w:lineRule="auto"/>
              <w:rPr>
                <w:rFonts w:asciiTheme="majorHAnsi" w:hAnsiTheme="majorHAnsi" w:cstheme="majorHAnsi"/>
                <w:b/>
              </w:rPr>
            </w:pPr>
            <w:r w:rsidRPr="004A357C">
              <w:rPr>
                <w:rFonts w:asciiTheme="majorHAnsi" w:hAnsiTheme="majorHAnsi" w:cstheme="majorHAnsi"/>
              </w:rPr>
              <w:t xml:space="preserve">01 </w:t>
            </w:r>
            <w:r w:rsidR="00886310" w:rsidRPr="004A357C">
              <w:rPr>
                <w:rFonts w:asciiTheme="majorHAnsi" w:hAnsiTheme="majorHAnsi" w:cstheme="majorHAnsi"/>
              </w:rPr>
              <w:t>–</w:t>
            </w:r>
            <w:r w:rsidRPr="004A357C">
              <w:rPr>
                <w:rFonts w:asciiTheme="majorHAnsi" w:hAnsiTheme="majorHAnsi" w:cstheme="majorHAnsi"/>
              </w:rPr>
              <w:t xml:space="preserve"> Ophthalmic</w:t>
            </w:r>
          </w:p>
        </w:tc>
        <w:tc>
          <w:tcPr>
            <w:tcW w:w="978" w:type="dxa"/>
          </w:tcPr>
          <w:p w14:paraId="2FA968E9" w14:textId="3A190951" w:rsidR="00D91B7A" w:rsidRPr="004A357C" w:rsidRDefault="00D91B7A" w:rsidP="00FB712C">
            <w:pPr>
              <w:pStyle w:val="TableNText"/>
              <w:spacing w:before="60" w:after="60" w:line="240" w:lineRule="auto"/>
              <w:rPr>
                <w:b/>
              </w:rPr>
            </w:pPr>
            <w:r w:rsidRPr="004A357C">
              <w:t>$</w:t>
            </w:r>
            <w:r w:rsidR="00AD7A96" w:rsidRPr="004A357C">
              <w:t>290</w:t>
            </w:r>
          </w:p>
        </w:tc>
        <w:tc>
          <w:tcPr>
            <w:tcW w:w="977" w:type="dxa"/>
          </w:tcPr>
          <w:p w14:paraId="112A7077" w14:textId="752648FD" w:rsidR="00D91B7A" w:rsidRPr="004A357C" w:rsidRDefault="00D91B7A" w:rsidP="00FB712C">
            <w:pPr>
              <w:pStyle w:val="TableNText"/>
              <w:spacing w:before="60" w:after="60" w:line="240" w:lineRule="auto"/>
              <w:rPr>
                <w:b/>
              </w:rPr>
            </w:pPr>
            <w:r w:rsidRPr="004A357C">
              <w:t>$</w:t>
            </w:r>
            <w:r w:rsidR="00AD7A96" w:rsidRPr="004A357C">
              <w:t>40</w:t>
            </w:r>
          </w:p>
        </w:tc>
        <w:tc>
          <w:tcPr>
            <w:tcW w:w="978" w:type="dxa"/>
          </w:tcPr>
          <w:p w14:paraId="24293317" w14:textId="01CD70EC" w:rsidR="00D91B7A" w:rsidRPr="004A357C" w:rsidRDefault="00AD7A96" w:rsidP="00FB712C">
            <w:pPr>
              <w:pStyle w:val="TableNText"/>
              <w:spacing w:before="60" w:after="60" w:line="240" w:lineRule="auto"/>
              <w:rPr>
                <w:b/>
              </w:rPr>
            </w:pPr>
            <w:r w:rsidRPr="004A357C">
              <w:t>14</w:t>
            </w:r>
            <w:r w:rsidR="00D91B7A" w:rsidRPr="004A357C">
              <w:t>%</w:t>
            </w:r>
          </w:p>
        </w:tc>
        <w:tc>
          <w:tcPr>
            <w:tcW w:w="978" w:type="dxa"/>
          </w:tcPr>
          <w:p w14:paraId="5B99B320" w14:textId="4638CD55" w:rsidR="00D91B7A" w:rsidRPr="004A357C" w:rsidRDefault="00D91B7A" w:rsidP="00FB712C">
            <w:pPr>
              <w:pStyle w:val="TableNText"/>
              <w:spacing w:before="60" w:after="60" w:line="240" w:lineRule="auto"/>
              <w:rPr>
                <w:b/>
              </w:rPr>
            </w:pPr>
            <w:r w:rsidRPr="004A357C">
              <w:t>$290</w:t>
            </w:r>
          </w:p>
        </w:tc>
        <w:tc>
          <w:tcPr>
            <w:tcW w:w="974" w:type="dxa"/>
          </w:tcPr>
          <w:p w14:paraId="3279AE30" w14:textId="43D52116" w:rsidR="00D91B7A" w:rsidRPr="004A357C" w:rsidRDefault="00D91B7A" w:rsidP="00FB712C">
            <w:pPr>
              <w:pStyle w:val="TableNText"/>
              <w:spacing w:before="60" w:after="60" w:line="240" w:lineRule="auto"/>
              <w:rPr>
                <w:b/>
              </w:rPr>
            </w:pPr>
            <w:r w:rsidRPr="004A357C">
              <w:t>$40</w:t>
            </w:r>
          </w:p>
        </w:tc>
        <w:tc>
          <w:tcPr>
            <w:tcW w:w="978" w:type="dxa"/>
          </w:tcPr>
          <w:p w14:paraId="011C3FEF" w14:textId="0FE01B31" w:rsidR="00D91B7A" w:rsidRPr="004A357C" w:rsidRDefault="00D91B7A" w:rsidP="00FB712C">
            <w:pPr>
              <w:pStyle w:val="TableNText"/>
              <w:spacing w:before="60" w:after="60" w:line="240" w:lineRule="auto"/>
              <w:rPr>
                <w:b/>
              </w:rPr>
            </w:pPr>
            <w:r w:rsidRPr="004A357C">
              <w:t>14%</w:t>
            </w:r>
          </w:p>
        </w:tc>
        <w:tc>
          <w:tcPr>
            <w:tcW w:w="978" w:type="dxa"/>
          </w:tcPr>
          <w:p w14:paraId="33CD54CB" w14:textId="7D584B45" w:rsidR="00D91B7A" w:rsidRPr="004A357C" w:rsidRDefault="00AD7A96" w:rsidP="00FB712C">
            <w:pPr>
              <w:pStyle w:val="TableNText"/>
              <w:spacing w:before="60" w:after="60" w:line="240" w:lineRule="auto"/>
              <w:rPr>
                <w:rFonts w:asciiTheme="majorHAnsi" w:hAnsiTheme="majorHAnsi" w:cstheme="majorHAnsi"/>
                <w:b/>
              </w:rPr>
            </w:pPr>
            <w:r w:rsidRPr="004A357C">
              <w:rPr>
                <w:rFonts w:asciiTheme="majorHAnsi" w:hAnsiTheme="majorHAnsi" w:cstheme="majorHAnsi"/>
              </w:rPr>
              <w:t>0</w:t>
            </w:r>
            <w:r w:rsidR="00D91B7A" w:rsidRPr="004A357C">
              <w:rPr>
                <w:rFonts w:asciiTheme="majorHAnsi" w:hAnsiTheme="majorHAnsi" w:cstheme="majorHAnsi"/>
              </w:rPr>
              <w:t>%</w:t>
            </w:r>
          </w:p>
        </w:tc>
      </w:tr>
      <w:tr w:rsidR="00D91B7A" w:rsidRPr="004A357C" w14:paraId="594CB347" w14:textId="77777777" w:rsidTr="00AC7F0C">
        <w:trPr>
          <w:cnfStyle w:val="000000100000" w:firstRow="0" w:lastRow="0" w:firstColumn="0" w:lastColumn="0" w:oddVBand="0" w:evenVBand="0" w:oddHBand="1" w:evenHBand="0" w:firstRowFirstColumn="0" w:firstRowLastColumn="0" w:lastRowFirstColumn="0" w:lastRowLastColumn="0"/>
        </w:trPr>
        <w:tc>
          <w:tcPr>
            <w:tcW w:w="2089" w:type="dxa"/>
          </w:tcPr>
          <w:p w14:paraId="54E161D6" w14:textId="7565FD6D" w:rsidR="00D91B7A" w:rsidRPr="004A357C" w:rsidRDefault="00D91B7A" w:rsidP="00FB712C">
            <w:pPr>
              <w:pStyle w:val="TableNText"/>
              <w:spacing w:before="60" w:after="60" w:line="240" w:lineRule="auto"/>
              <w:rPr>
                <w:rFonts w:asciiTheme="majorHAnsi" w:hAnsiTheme="majorHAnsi" w:cstheme="majorHAnsi"/>
                <w:b/>
              </w:rPr>
            </w:pPr>
            <w:r w:rsidRPr="004A357C">
              <w:rPr>
                <w:rFonts w:asciiTheme="majorHAnsi" w:hAnsiTheme="majorHAnsi" w:cstheme="majorHAnsi"/>
              </w:rPr>
              <w:t xml:space="preserve">02 </w:t>
            </w:r>
            <w:r w:rsidR="00886310" w:rsidRPr="004A357C">
              <w:rPr>
                <w:rFonts w:asciiTheme="majorHAnsi" w:hAnsiTheme="majorHAnsi" w:cstheme="majorHAnsi"/>
              </w:rPr>
              <w:t>–</w:t>
            </w:r>
            <w:r w:rsidRPr="004A357C">
              <w:rPr>
                <w:rFonts w:asciiTheme="majorHAnsi" w:hAnsiTheme="majorHAnsi" w:cstheme="majorHAnsi"/>
              </w:rPr>
              <w:t xml:space="preserve"> Ear; Nose &amp; Throat</w:t>
            </w:r>
          </w:p>
        </w:tc>
        <w:tc>
          <w:tcPr>
            <w:tcW w:w="978" w:type="dxa"/>
          </w:tcPr>
          <w:p w14:paraId="65734221" w14:textId="75B54343" w:rsidR="00D91B7A" w:rsidRPr="004A357C" w:rsidRDefault="00D91B7A" w:rsidP="00FB712C">
            <w:pPr>
              <w:pStyle w:val="TableNText"/>
              <w:spacing w:before="60" w:after="60" w:line="240" w:lineRule="auto"/>
              <w:rPr>
                <w:b/>
              </w:rPr>
            </w:pPr>
            <w:r w:rsidRPr="004A357C">
              <w:t>$</w:t>
            </w:r>
            <w:r w:rsidR="00AD7A96" w:rsidRPr="004A357C">
              <w:t>680</w:t>
            </w:r>
          </w:p>
        </w:tc>
        <w:tc>
          <w:tcPr>
            <w:tcW w:w="977" w:type="dxa"/>
          </w:tcPr>
          <w:p w14:paraId="11BCE1B4" w14:textId="17A29062" w:rsidR="00D91B7A" w:rsidRPr="004A357C" w:rsidRDefault="00D91B7A" w:rsidP="00FB712C">
            <w:pPr>
              <w:pStyle w:val="TableNText"/>
              <w:spacing w:before="60" w:after="60" w:line="240" w:lineRule="auto"/>
              <w:rPr>
                <w:b/>
              </w:rPr>
            </w:pPr>
            <w:r w:rsidRPr="004A357C">
              <w:t>$</w:t>
            </w:r>
            <w:r w:rsidR="00AD7A96" w:rsidRPr="004A357C">
              <w:t>10</w:t>
            </w:r>
          </w:p>
        </w:tc>
        <w:tc>
          <w:tcPr>
            <w:tcW w:w="978" w:type="dxa"/>
          </w:tcPr>
          <w:p w14:paraId="162B7795" w14:textId="08CFEA9F" w:rsidR="00D91B7A" w:rsidRPr="004A357C" w:rsidRDefault="00AD7A96" w:rsidP="00FB712C">
            <w:pPr>
              <w:pStyle w:val="TableNText"/>
              <w:spacing w:before="60" w:after="60" w:line="240" w:lineRule="auto"/>
              <w:rPr>
                <w:b/>
              </w:rPr>
            </w:pPr>
            <w:r w:rsidRPr="004A357C">
              <w:t>1</w:t>
            </w:r>
            <w:r w:rsidR="00D91B7A" w:rsidRPr="004A357C">
              <w:t>%</w:t>
            </w:r>
          </w:p>
        </w:tc>
        <w:tc>
          <w:tcPr>
            <w:tcW w:w="978" w:type="dxa"/>
          </w:tcPr>
          <w:p w14:paraId="1C9743A8" w14:textId="63F59FE0" w:rsidR="00D91B7A" w:rsidRPr="004A357C" w:rsidRDefault="00D91B7A" w:rsidP="00FB712C">
            <w:pPr>
              <w:pStyle w:val="TableNText"/>
              <w:spacing w:before="60" w:after="60" w:line="240" w:lineRule="auto"/>
              <w:rPr>
                <w:b/>
              </w:rPr>
            </w:pPr>
            <w:r w:rsidRPr="004A357C">
              <w:t>$</w:t>
            </w:r>
            <w:r w:rsidR="00AD7A96" w:rsidRPr="004A357C">
              <w:t>650</w:t>
            </w:r>
          </w:p>
        </w:tc>
        <w:tc>
          <w:tcPr>
            <w:tcW w:w="974" w:type="dxa"/>
          </w:tcPr>
          <w:p w14:paraId="720B442B" w14:textId="531659E2" w:rsidR="00D91B7A" w:rsidRPr="004A357C" w:rsidRDefault="00D91B7A" w:rsidP="00FB712C">
            <w:pPr>
              <w:pStyle w:val="TableNText"/>
              <w:spacing w:before="60" w:after="60" w:line="240" w:lineRule="auto"/>
              <w:rPr>
                <w:b/>
              </w:rPr>
            </w:pPr>
            <w:r w:rsidRPr="004A357C">
              <w:t>$</w:t>
            </w:r>
            <w:r w:rsidR="00AD7A96" w:rsidRPr="004A357C">
              <w:t>300</w:t>
            </w:r>
          </w:p>
        </w:tc>
        <w:tc>
          <w:tcPr>
            <w:tcW w:w="978" w:type="dxa"/>
          </w:tcPr>
          <w:p w14:paraId="3543120B" w14:textId="0ECD9D21" w:rsidR="00D91B7A" w:rsidRPr="004A357C" w:rsidRDefault="00AD7A96" w:rsidP="00FB712C">
            <w:pPr>
              <w:pStyle w:val="TableNText"/>
              <w:spacing w:before="60" w:after="60" w:line="240" w:lineRule="auto"/>
              <w:rPr>
                <w:b/>
              </w:rPr>
            </w:pPr>
            <w:r w:rsidRPr="004A357C">
              <w:t>46</w:t>
            </w:r>
            <w:r w:rsidR="00D91B7A" w:rsidRPr="004A357C">
              <w:t>%</w:t>
            </w:r>
          </w:p>
        </w:tc>
        <w:tc>
          <w:tcPr>
            <w:tcW w:w="978" w:type="dxa"/>
          </w:tcPr>
          <w:p w14:paraId="6918038A" w14:textId="1FF9EA69" w:rsidR="00D91B7A" w:rsidRPr="004A357C" w:rsidRDefault="00AD7A96" w:rsidP="00FB712C">
            <w:pPr>
              <w:pStyle w:val="TableNText"/>
              <w:spacing w:before="60" w:after="60" w:line="240" w:lineRule="auto"/>
              <w:rPr>
                <w:rFonts w:asciiTheme="majorHAnsi" w:hAnsiTheme="majorHAnsi" w:cstheme="majorHAnsi"/>
                <w:b/>
              </w:rPr>
            </w:pPr>
            <w:r w:rsidRPr="004A357C">
              <w:rPr>
                <w:rFonts w:asciiTheme="majorHAnsi" w:hAnsiTheme="majorHAnsi" w:cstheme="majorHAnsi"/>
              </w:rPr>
              <w:t>45</w:t>
            </w:r>
            <w:r w:rsidR="00D91B7A" w:rsidRPr="004A357C">
              <w:rPr>
                <w:rFonts w:asciiTheme="majorHAnsi" w:hAnsiTheme="majorHAnsi" w:cstheme="majorHAnsi"/>
              </w:rPr>
              <w:t>%</w:t>
            </w:r>
          </w:p>
        </w:tc>
      </w:tr>
      <w:tr w:rsidR="00D91B7A" w:rsidRPr="004A357C" w14:paraId="3D0F20F7" w14:textId="77777777" w:rsidTr="00AC7F0C">
        <w:trPr>
          <w:cnfStyle w:val="000000010000" w:firstRow="0" w:lastRow="0" w:firstColumn="0" w:lastColumn="0" w:oddVBand="0" w:evenVBand="0" w:oddHBand="0" w:evenHBand="1" w:firstRowFirstColumn="0" w:firstRowLastColumn="0" w:lastRowFirstColumn="0" w:lastRowLastColumn="0"/>
        </w:trPr>
        <w:tc>
          <w:tcPr>
            <w:tcW w:w="2089" w:type="dxa"/>
          </w:tcPr>
          <w:p w14:paraId="6E868514" w14:textId="64B83AAD"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03 </w:t>
            </w:r>
            <w:r w:rsidR="00886310" w:rsidRPr="004A357C">
              <w:rPr>
                <w:rFonts w:asciiTheme="majorHAnsi" w:hAnsiTheme="majorHAnsi" w:cstheme="majorHAnsi"/>
              </w:rPr>
              <w:t>–</w:t>
            </w:r>
            <w:r w:rsidRPr="004A357C">
              <w:rPr>
                <w:rFonts w:asciiTheme="majorHAnsi" w:hAnsiTheme="majorHAnsi" w:cstheme="majorHAnsi"/>
              </w:rPr>
              <w:t xml:space="preserve"> General Miscellaneous</w:t>
            </w:r>
          </w:p>
        </w:tc>
        <w:tc>
          <w:tcPr>
            <w:tcW w:w="978" w:type="dxa"/>
          </w:tcPr>
          <w:p w14:paraId="39AC4BC0" w14:textId="6388746B" w:rsidR="00D91B7A" w:rsidRPr="004A357C" w:rsidRDefault="00D91B7A" w:rsidP="00FB712C">
            <w:pPr>
              <w:pStyle w:val="TableNText"/>
              <w:spacing w:before="60" w:after="60" w:line="240" w:lineRule="auto"/>
            </w:pPr>
            <w:r w:rsidRPr="004A357C">
              <w:t>$</w:t>
            </w:r>
            <w:r w:rsidR="00AD7A96" w:rsidRPr="004A357C">
              <w:t>310</w:t>
            </w:r>
          </w:p>
        </w:tc>
        <w:tc>
          <w:tcPr>
            <w:tcW w:w="977" w:type="dxa"/>
          </w:tcPr>
          <w:p w14:paraId="21E2C56A" w14:textId="33152AF2" w:rsidR="00D91B7A" w:rsidRPr="004A357C" w:rsidRDefault="00D91B7A" w:rsidP="00FB712C">
            <w:pPr>
              <w:pStyle w:val="TableNText"/>
              <w:spacing w:before="60" w:after="60" w:line="240" w:lineRule="auto"/>
            </w:pPr>
            <w:r w:rsidRPr="004A357C">
              <w:t>$</w:t>
            </w:r>
            <w:r w:rsidR="00AD7A96" w:rsidRPr="004A357C">
              <w:t>30</w:t>
            </w:r>
          </w:p>
        </w:tc>
        <w:tc>
          <w:tcPr>
            <w:tcW w:w="978" w:type="dxa"/>
          </w:tcPr>
          <w:p w14:paraId="13BC43FC" w14:textId="5893196A" w:rsidR="00D91B7A" w:rsidRPr="004A357C" w:rsidRDefault="00AD7A96" w:rsidP="00FB712C">
            <w:pPr>
              <w:pStyle w:val="TableNText"/>
              <w:spacing w:before="60" w:after="60" w:line="240" w:lineRule="auto"/>
            </w:pPr>
            <w:r w:rsidRPr="004A357C">
              <w:t>10</w:t>
            </w:r>
            <w:r w:rsidR="00D91B7A" w:rsidRPr="004A357C">
              <w:t>%</w:t>
            </w:r>
          </w:p>
        </w:tc>
        <w:tc>
          <w:tcPr>
            <w:tcW w:w="978" w:type="dxa"/>
          </w:tcPr>
          <w:p w14:paraId="3888D12C" w14:textId="039FBDEE" w:rsidR="00D91B7A" w:rsidRPr="004A357C" w:rsidRDefault="00D91B7A" w:rsidP="00FB712C">
            <w:pPr>
              <w:pStyle w:val="TableNText"/>
              <w:spacing w:before="60" w:after="60" w:line="240" w:lineRule="auto"/>
            </w:pPr>
            <w:r w:rsidRPr="004A357C">
              <w:t>$</w:t>
            </w:r>
            <w:r w:rsidR="00AD7A96" w:rsidRPr="004A357C">
              <w:t>300</w:t>
            </w:r>
          </w:p>
        </w:tc>
        <w:tc>
          <w:tcPr>
            <w:tcW w:w="974" w:type="dxa"/>
          </w:tcPr>
          <w:p w14:paraId="73CD486B" w14:textId="75D23C58" w:rsidR="00D91B7A" w:rsidRPr="004A357C" w:rsidRDefault="00D91B7A" w:rsidP="00FB712C">
            <w:pPr>
              <w:pStyle w:val="TableNText"/>
              <w:spacing w:before="60" w:after="60" w:line="240" w:lineRule="auto"/>
            </w:pPr>
            <w:r w:rsidRPr="004A357C">
              <w:t>$</w:t>
            </w:r>
            <w:r w:rsidR="00AD7A96" w:rsidRPr="004A357C">
              <w:t>20</w:t>
            </w:r>
          </w:p>
        </w:tc>
        <w:tc>
          <w:tcPr>
            <w:tcW w:w="978" w:type="dxa"/>
          </w:tcPr>
          <w:p w14:paraId="25601CFF" w14:textId="52E31801" w:rsidR="00D91B7A" w:rsidRPr="004A357C" w:rsidRDefault="00AD7A96" w:rsidP="00FB712C">
            <w:pPr>
              <w:pStyle w:val="TableNText"/>
              <w:spacing w:before="60" w:after="60" w:line="240" w:lineRule="auto"/>
            </w:pPr>
            <w:r w:rsidRPr="004A357C">
              <w:t>7</w:t>
            </w:r>
            <w:r w:rsidR="00D91B7A" w:rsidRPr="004A357C">
              <w:t>%</w:t>
            </w:r>
          </w:p>
        </w:tc>
        <w:tc>
          <w:tcPr>
            <w:tcW w:w="978" w:type="dxa"/>
          </w:tcPr>
          <w:p w14:paraId="73451A4E" w14:textId="02D908CC"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w:t>
            </w:r>
            <w:r w:rsidR="00AD7A96" w:rsidRPr="004A357C">
              <w:rPr>
                <w:rFonts w:asciiTheme="majorHAnsi" w:hAnsiTheme="majorHAnsi" w:cstheme="majorHAnsi"/>
              </w:rPr>
              <w:t>3</w:t>
            </w:r>
            <w:r w:rsidRPr="004A357C">
              <w:rPr>
                <w:rFonts w:asciiTheme="majorHAnsi" w:hAnsiTheme="majorHAnsi" w:cstheme="majorHAnsi"/>
              </w:rPr>
              <w:t>%</w:t>
            </w:r>
          </w:p>
        </w:tc>
      </w:tr>
      <w:tr w:rsidR="00D91B7A" w:rsidRPr="004A357C" w14:paraId="582427AB" w14:textId="77777777" w:rsidTr="00AC7F0C">
        <w:trPr>
          <w:cnfStyle w:val="000000100000" w:firstRow="0" w:lastRow="0" w:firstColumn="0" w:lastColumn="0" w:oddVBand="0" w:evenVBand="0" w:oddHBand="1" w:evenHBand="0" w:firstRowFirstColumn="0" w:firstRowLastColumn="0" w:lastRowFirstColumn="0" w:lastRowLastColumn="0"/>
        </w:trPr>
        <w:tc>
          <w:tcPr>
            <w:tcW w:w="2089" w:type="dxa"/>
          </w:tcPr>
          <w:p w14:paraId="08707CAD" w14:textId="0AAFF743"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04 </w:t>
            </w:r>
            <w:r w:rsidR="00886310" w:rsidRPr="004A357C">
              <w:rPr>
                <w:rFonts w:asciiTheme="majorHAnsi" w:hAnsiTheme="majorHAnsi" w:cstheme="majorHAnsi"/>
              </w:rPr>
              <w:t>–</w:t>
            </w:r>
            <w:r w:rsidRPr="004A357C">
              <w:rPr>
                <w:rFonts w:asciiTheme="majorHAnsi" w:hAnsiTheme="majorHAnsi" w:cstheme="majorHAnsi"/>
              </w:rPr>
              <w:t xml:space="preserve"> Neurosurgical</w:t>
            </w:r>
          </w:p>
        </w:tc>
        <w:tc>
          <w:tcPr>
            <w:tcW w:w="978" w:type="dxa"/>
          </w:tcPr>
          <w:p w14:paraId="5E6B9D43" w14:textId="56A4D6F1" w:rsidR="00D91B7A" w:rsidRPr="004A357C" w:rsidRDefault="00D91B7A" w:rsidP="00FB712C">
            <w:pPr>
              <w:pStyle w:val="TableNText"/>
              <w:spacing w:before="60" w:after="60" w:line="240" w:lineRule="auto"/>
            </w:pPr>
            <w:r w:rsidRPr="004A357C">
              <w:t>$2,500</w:t>
            </w:r>
          </w:p>
        </w:tc>
        <w:tc>
          <w:tcPr>
            <w:tcW w:w="977" w:type="dxa"/>
          </w:tcPr>
          <w:p w14:paraId="617CF7D1" w14:textId="22A93E22" w:rsidR="00D91B7A" w:rsidRPr="004A357C" w:rsidRDefault="00AD7A96" w:rsidP="00FB712C">
            <w:pPr>
              <w:pStyle w:val="TableNText"/>
              <w:spacing w:before="60" w:after="60" w:line="240" w:lineRule="auto"/>
            </w:pPr>
            <w:r w:rsidRPr="004A357C">
              <w:t>$770</w:t>
            </w:r>
          </w:p>
        </w:tc>
        <w:tc>
          <w:tcPr>
            <w:tcW w:w="978" w:type="dxa"/>
          </w:tcPr>
          <w:p w14:paraId="123BFD06" w14:textId="03A03ED5" w:rsidR="00D91B7A" w:rsidRPr="004A357C" w:rsidRDefault="00AD7A96" w:rsidP="00FB712C">
            <w:pPr>
              <w:pStyle w:val="TableNText"/>
              <w:spacing w:before="60" w:after="60" w:line="240" w:lineRule="auto"/>
            </w:pPr>
            <w:r w:rsidRPr="004A357C">
              <w:t>31</w:t>
            </w:r>
            <w:r w:rsidR="00D91B7A" w:rsidRPr="004A357C">
              <w:t>%</w:t>
            </w:r>
          </w:p>
        </w:tc>
        <w:tc>
          <w:tcPr>
            <w:tcW w:w="978" w:type="dxa"/>
          </w:tcPr>
          <w:p w14:paraId="22667878" w14:textId="0492BE88" w:rsidR="00D91B7A" w:rsidRPr="004A357C" w:rsidRDefault="00D91B7A" w:rsidP="00FB712C">
            <w:pPr>
              <w:pStyle w:val="TableNText"/>
              <w:spacing w:before="60" w:after="60" w:line="240" w:lineRule="auto"/>
            </w:pPr>
            <w:r w:rsidRPr="004A357C">
              <w:t>$2,</w:t>
            </w:r>
            <w:r w:rsidR="00AD7A96" w:rsidRPr="004A357C">
              <w:t>500</w:t>
            </w:r>
          </w:p>
        </w:tc>
        <w:tc>
          <w:tcPr>
            <w:tcW w:w="974" w:type="dxa"/>
          </w:tcPr>
          <w:p w14:paraId="50284A4A" w14:textId="115CE29C" w:rsidR="00D91B7A" w:rsidRPr="004A357C" w:rsidRDefault="00AD7A96" w:rsidP="00FB712C">
            <w:pPr>
              <w:pStyle w:val="TableNText"/>
              <w:spacing w:before="60" w:after="60" w:line="240" w:lineRule="auto"/>
            </w:pPr>
            <w:r w:rsidRPr="004A357C">
              <w:t>$2,100</w:t>
            </w:r>
          </w:p>
        </w:tc>
        <w:tc>
          <w:tcPr>
            <w:tcW w:w="978" w:type="dxa"/>
          </w:tcPr>
          <w:p w14:paraId="34B6E9A7" w14:textId="257FD2E2" w:rsidR="00D91B7A" w:rsidRPr="004A357C" w:rsidRDefault="00AD7A96" w:rsidP="00FB712C">
            <w:pPr>
              <w:pStyle w:val="TableNText"/>
              <w:spacing w:before="60" w:after="60" w:line="240" w:lineRule="auto"/>
            </w:pPr>
            <w:r w:rsidRPr="004A357C">
              <w:t>84</w:t>
            </w:r>
            <w:r w:rsidR="00D91B7A" w:rsidRPr="004A357C">
              <w:t>%</w:t>
            </w:r>
          </w:p>
        </w:tc>
        <w:tc>
          <w:tcPr>
            <w:tcW w:w="978" w:type="dxa"/>
          </w:tcPr>
          <w:p w14:paraId="682E6D4E" w14:textId="64E7CCAE" w:rsidR="00D91B7A" w:rsidRPr="004A357C" w:rsidRDefault="00AD7A96"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53</w:t>
            </w:r>
            <w:r w:rsidR="00D91B7A" w:rsidRPr="004A357C">
              <w:rPr>
                <w:rFonts w:asciiTheme="majorHAnsi" w:hAnsiTheme="majorHAnsi" w:cstheme="majorHAnsi"/>
              </w:rPr>
              <w:t>%</w:t>
            </w:r>
          </w:p>
        </w:tc>
      </w:tr>
      <w:tr w:rsidR="00D91B7A" w:rsidRPr="004A357C" w14:paraId="78EDE653" w14:textId="77777777" w:rsidTr="00AC7F0C">
        <w:trPr>
          <w:cnfStyle w:val="000000010000" w:firstRow="0" w:lastRow="0" w:firstColumn="0" w:lastColumn="0" w:oddVBand="0" w:evenVBand="0" w:oddHBand="0" w:evenHBand="1" w:firstRowFirstColumn="0" w:firstRowLastColumn="0" w:lastRowFirstColumn="0" w:lastRowLastColumn="0"/>
        </w:trPr>
        <w:tc>
          <w:tcPr>
            <w:tcW w:w="2089" w:type="dxa"/>
          </w:tcPr>
          <w:p w14:paraId="7E12BF42" w14:textId="1BAD74D9"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05 </w:t>
            </w:r>
            <w:r w:rsidR="00886310" w:rsidRPr="004A357C">
              <w:rPr>
                <w:rFonts w:asciiTheme="majorHAnsi" w:hAnsiTheme="majorHAnsi" w:cstheme="majorHAnsi"/>
              </w:rPr>
              <w:t>–</w:t>
            </w:r>
            <w:r w:rsidRPr="004A357C">
              <w:rPr>
                <w:rFonts w:asciiTheme="majorHAnsi" w:hAnsiTheme="majorHAnsi" w:cstheme="majorHAnsi"/>
              </w:rPr>
              <w:t xml:space="preserve"> Urogenital</w:t>
            </w:r>
          </w:p>
        </w:tc>
        <w:tc>
          <w:tcPr>
            <w:tcW w:w="978" w:type="dxa"/>
          </w:tcPr>
          <w:p w14:paraId="304035A6" w14:textId="5473EA69" w:rsidR="00D91B7A" w:rsidRPr="004A357C" w:rsidRDefault="00D91B7A" w:rsidP="00FB712C">
            <w:pPr>
              <w:pStyle w:val="TableNText"/>
              <w:spacing w:before="60" w:after="60" w:line="240" w:lineRule="auto"/>
            </w:pPr>
            <w:r w:rsidRPr="004A357C">
              <w:t>$</w:t>
            </w:r>
            <w:r w:rsidR="00AD7A96" w:rsidRPr="004A357C">
              <w:t>770</w:t>
            </w:r>
          </w:p>
        </w:tc>
        <w:tc>
          <w:tcPr>
            <w:tcW w:w="977" w:type="dxa"/>
          </w:tcPr>
          <w:p w14:paraId="2A56DFB9" w14:textId="2F57239A" w:rsidR="00D91B7A" w:rsidRPr="004A357C" w:rsidRDefault="00D91B7A" w:rsidP="00FB712C">
            <w:pPr>
              <w:pStyle w:val="TableNText"/>
              <w:spacing w:before="60" w:after="60" w:line="240" w:lineRule="auto"/>
            </w:pPr>
            <w:r w:rsidRPr="004A357C">
              <w:t>$</w:t>
            </w:r>
            <w:r w:rsidR="00AD7A96" w:rsidRPr="004A357C">
              <w:t>130</w:t>
            </w:r>
          </w:p>
        </w:tc>
        <w:tc>
          <w:tcPr>
            <w:tcW w:w="978" w:type="dxa"/>
          </w:tcPr>
          <w:p w14:paraId="61D17B72" w14:textId="69400958" w:rsidR="00D91B7A" w:rsidRPr="004A357C" w:rsidRDefault="00AD7A96" w:rsidP="00FB712C">
            <w:pPr>
              <w:pStyle w:val="TableNText"/>
              <w:spacing w:before="60" w:after="60" w:line="240" w:lineRule="auto"/>
            </w:pPr>
            <w:r w:rsidRPr="004A357C">
              <w:t>17</w:t>
            </w:r>
            <w:r w:rsidR="00D91B7A" w:rsidRPr="004A357C">
              <w:t>%</w:t>
            </w:r>
          </w:p>
        </w:tc>
        <w:tc>
          <w:tcPr>
            <w:tcW w:w="978" w:type="dxa"/>
          </w:tcPr>
          <w:p w14:paraId="3C79A9F1" w14:textId="76CE3439" w:rsidR="00D91B7A" w:rsidRPr="004A357C" w:rsidRDefault="00D91B7A" w:rsidP="00FB712C">
            <w:pPr>
              <w:pStyle w:val="TableNText"/>
              <w:spacing w:before="60" w:after="60" w:line="240" w:lineRule="auto"/>
            </w:pPr>
            <w:r w:rsidRPr="004A357C">
              <w:t>$</w:t>
            </w:r>
            <w:r w:rsidR="00AD7A96" w:rsidRPr="004A357C">
              <w:t>880</w:t>
            </w:r>
          </w:p>
        </w:tc>
        <w:tc>
          <w:tcPr>
            <w:tcW w:w="974" w:type="dxa"/>
          </w:tcPr>
          <w:p w14:paraId="2279611D" w14:textId="746DB687" w:rsidR="00D91B7A" w:rsidRPr="004A357C" w:rsidRDefault="00D91B7A" w:rsidP="00FB712C">
            <w:pPr>
              <w:pStyle w:val="TableNText"/>
              <w:spacing w:before="60" w:after="60" w:line="240" w:lineRule="auto"/>
            </w:pPr>
            <w:r w:rsidRPr="004A357C">
              <w:t>$</w:t>
            </w:r>
            <w:r w:rsidR="00AD7A96" w:rsidRPr="004A357C">
              <w:t>130</w:t>
            </w:r>
          </w:p>
        </w:tc>
        <w:tc>
          <w:tcPr>
            <w:tcW w:w="978" w:type="dxa"/>
          </w:tcPr>
          <w:p w14:paraId="258F51DB" w14:textId="162AD1B5" w:rsidR="00D91B7A" w:rsidRPr="004A357C" w:rsidRDefault="00AD7A96" w:rsidP="00FB712C">
            <w:pPr>
              <w:pStyle w:val="TableNText"/>
              <w:spacing w:before="60" w:after="60" w:line="240" w:lineRule="auto"/>
            </w:pPr>
            <w:r w:rsidRPr="004A357C">
              <w:t>15</w:t>
            </w:r>
            <w:r w:rsidR="00D91B7A" w:rsidRPr="004A357C">
              <w:t>%</w:t>
            </w:r>
          </w:p>
        </w:tc>
        <w:tc>
          <w:tcPr>
            <w:tcW w:w="978" w:type="dxa"/>
          </w:tcPr>
          <w:p w14:paraId="0643FA81" w14:textId="54770CDB"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w:t>
            </w:r>
            <w:r w:rsidR="00AD7A96" w:rsidRPr="004A357C">
              <w:rPr>
                <w:rFonts w:asciiTheme="majorHAnsi" w:hAnsiTheme="majorHAnsi" w:cstheme="majorHAnsi"/>
              </w:rPr>
              <w:t>2</w:t>
            </w:r>
            <w:r w:rsidRPr="004A357C">
              <w:rPr>
                <w:rFonts w:asciiTheme="majorHAnsi" w:hAnsiTheme="majorHAnsi" w:cstheme="majorHAnsi"/>
              </w:rPr>
              <w:t>%</w:t>
            </w:r>
          </w:p>
        </w:tc>
      </w:tr>
      <w:tr w:rsidR="00D91B7A" w:rsidRPr="004A357C" w14:paraId="75677ECE" w14:textId="77777777" w:rsidTr="00AC7F0C">
        <w:trPr>
          <w:cnfStyle w:val="000000100000" w:firstRow="0" w:lastRow="0" w:firstColumn="0" w:lastColumn="0" w:oddVBand="0" w:evenVBand="0" w:oddHBand="1" w:evenHBand="0" w:firstRowFirstColumn="0" w:firstRowLastColumn="0" w:lastRowFirstColumn="0" w:lastRowLastColumn="0"/>
        </w:trPr>
        <w:tc>
          <w:tcPr>
            <w:tcW w:w="2089" w:type="dxa"/>
          </w:tcPr>
          <w:p w14:paraId="59A9F895" w14:textId="68686273"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06 </w:t>
            </w:r>
            <w:r w:rsidR="00886310" w:rsidRPr="004A357C">
              <w:rPr>
                <w:rFonts w:asciiTheme="majorHAnsi" w:hAnsiTheme="majorHAnsi" w:cstheme="majorHAnsi"/>
              </w:rPr>
              <w:t>–</w:t>
            </w:r>
            <w:r w:rsidRPr="004A357C">
              <w:rPr>
                <w:rFonts w:asciiTheme="majorHAnsi" w:hAnsiTheme="majorHAnsi" w:cstheme="majorHAnsi"/>
              </w:rPr>
              <w:t xml:space="preserve"> Specialist Orthopaedic</w:t>
            </w:r>
          </w:p>
        </w:tc>
        <w:tc>
          <w:tcPr>
            <w:tcW w:w="978" w:type="dxa"/>
          </w:tcPr>
          <w:p w14:paraId="68B264D6" w14:textId="6C01FEDF" w:rsidR="00D91B7A" w:rsidRPr="004A357C" w:rsidRDefault="00D91B7A" w:rsidP="00FB712C">
            <w:pPr>
              <w:pStyle w:val="TableNText"/>
              <w:spacing w:before="60" w:after="60" w:line="240" w:lineRule="auto"/>
            </w:pPr>
            <w:r w:rsidRPr="004A357C">
              <w:t>$</w:t>
            </w:r>
            <w:r w:rsidR="00AD7A96" w:rsidRPr="004A357C">
              <w:t>370</w:t>
            </w:r>
          </w:p>
        </w:tc>
        <w:tc>
          <w:tcPr>
            <w:tcW w:w="977" w:type="dxa"/>
          </w:tcPr>
          <w:p w14:paraId="1ED3577C" w14:textId="22DF8B49" w:rsidR="00D91B7A" w:rsidRPr="004A357C" w:rsidRDefault="00D91B7A" w:rsidP="00FB712C">
            <w:pPr>
              <w:pStyle w:val="TableNText"/>
              <w:spacing w:before="60" w:after="60" w:line="240" w:lineRule="auto"/>
            </w:pPr>
            <w:r w:rsidRPr="004A357C">
              <w:t>$</w:t>
            </w:r>
            <w:r w:rsidR="00AD7A96" w:rsidRPr="004A357C">
              <w:t>70</w:t>
            </w:r>
          </w:p>
        </w:tc>
        <w:tc>
          <w:tcPr>
            <w:tcW w:w="978" w:type="dxa"/>
          </w:tcPr>
          <w:p w14:paraId="2CCFFF8C" w14:textId="19F54A92" w:rsidR="00D91B7A" w:rsidRPr="004A357C" w:rsidRDefault="00AD7A96" w:rsidP="00FB712C">
            <w:pPr>
              <w:pStyle w:val="TableNText"/>
              <w:spacing w:before="60" w:after="60" w:line="240" w:lineRule="auto"/>
            </w:pPr>
            <w:r w:rsidRPr="004A357C">
              <w:t>19</w:t>
            </w:r>
            <w:r w:rsidR="00D91B7A" w:rsidRPr="004A357C">
              <w:t>%</w:t>
            </w:r>
          </w:p>
        </w:tc>
        <w:tc>
          <w:tcPr>
            <w:tcW w:w="978" w:type="dxa"/>
          </w:tcPr>
          <w:p w14:paraId="428B6CFC" w14:textId="4BDB09D8" w:rsidR="00D91B7A" w:rsidRPr="004A357C" w:rsidRDefault="00D91B7A" w:rsidP="00FB712C">
            <w:pPr>
              <w:pStyle w:val="TableNText"/>
              <w:spacing w:before="60" w:after="60" w:line="240" w:lineRule="auto"/>
            </w:pPr>
            <w:r w:rsidRPr="004A357C">
              <w:t>$</w:t>
            </w:r>
            <w:r w:rsidR="00AD7A96" w:rsidRPr="004A357C">
              <w:t>360</w:t>
            </w:r>
          </w:p>
        </w:tc>
        <w:tc>
          <w:tcPr>
            <w:tcW w:w="974" w:type="dxa"/>
          </w:tcPr>
          <w:p w14:paraId="79E0D231" w14:textId="2C3B93F6" w:rsidR="00D91B7A" w:rsidRPr="004A357C" w:rsidRDefault="00D91B7A" w:rsidP="00FB712C">
            <w:pPr>
              <w:pStyle w:val="TableNText"/>
              <w:spacing w:before="60" w:after="60" w:line="240" w:lineRule="auto"/>
            </w:pPr>
            <w:r w:rsidRPr="004A357C">
              <w:t>$</w:t>
            </w:r>
            <w:r w:rsidR="00AD7A96" w:rsidRPr="004A357C">
              <w:t>100</w:t>
            </w:r>
          </w:p>
        </w:tc>
        <w:tc>
          <w:tcPr>
            <w:tcW w:w="978" w:type="dxa"/>
          </w:tcPr>
          <w:p w14:paraId="40EC890D" w14:textId="3BA52217" w:rsidR="00D91B7A" w:rsidRPr="004A357C" w:rsidRDefault="00AD7A96" w:rsidP="00FB712C">
            <w:pPr>
              <w:pStyle w:val="TableNText"/>
              <w:spacing w:before="60" w:after="60" w:line="240" w:lineRule="auto"/>
            </w:pPr>
            <w:r w:rsidRPr="004A357C">
              <w:t>28</w:t>
            </w:r>
            <w:r w:rsidR="00D91B7A" w:rsidRPr="004A357C">
              <w:t>%</w:t>
            </w:r>
          </w:p>
        </w:tc>
        <w:tc>
          <w:tcPr>
            <w:tcW w:w="978" w:type="dxa"/>
          </w:tcPr>
          <w:p w14:paraId="4D529D40" w14:textId="74FBC102" w:rsidR="00D91B7A" w:rsidRPr="004A357C" w:rsidRDefault="00AD7A96"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9</w:t>
            </w:r>
            <w:r w:rsidR="00D91B7A" w:rsidRPr="004A357C">
              <w:rPr>
                <w:rFonts w:asciiTheme="majorHAnsi" w:hAnsiTheme="majorHAnsi" w:cstheme="majorHAnsi"/>
              </w:rPr>
              <w:t>%</w:t>
            </w:r>
          </w:p>
        </w:tc>
      </w:tr>
      <w:tr w:rsidR="00D91B7A" w:rsidRPr="004A357C" w14:paraId="06277027" w14:textId="77777777" w:rsidTr="00AC7F0C">
        <w:trPr>
          <w:cnfStyle w:val="000000010000" w:firstRow="0" w:lastRow="0" w:firstColumn="0" w:lastColumn="0" w:oddVBand="0" w:evenVBand="0" w:oddHBand="0" w:evenHBand="1" w:firstRowFirstColumn="0" w:firstRowLastColumn="0" w:lastRowFirstColumn="0" w:lastRowLastColumn="0"/>
        </w:trPr>
        <w:tc>
          <w:tcPr>
            <w:tcW w:w="2089" w:type="dxa"/>
          </w:tcPr>
          <w:p w14:paraId="1E78ADE2" w14:textId="0795C9C5"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07 </w:t>
            </w:r>
            <w:r w:rsidR="00886310" w:rsidRPr="004A357C">
              <w:rPr>
                <w:rFonts w:asciiTheme="majorHAnsi" w:hAnsiTheme="majorHAnsi" w:cstheme="majorHAnsi"/>
              </w:rPr>
              <w:t>–</w:t>
            </w:r>
            <w:r w:rsidRPr="004A357C">
              <w:rPr>
                <w:rFonts w:asciiTheme="majorHAnsi" w:hAnsiTheme="majorHAnsi" w:cstheme="majorHAnsi"/>
              </w:rPr>
              <w:t xml:space="preserve"> Plastic and Reconstructive</w:t>
            </w:r>
          </w:p>
        </w:tc>
        <w:tc>
          <w:tcPr>
            <w:tcW w:w="978" w:type="dxa"/>
          </w:tcPr>
          <w:p w14:paraId="16B3731F" w14:textId="1FA55380" w:rsidR="00D91B7A" w:rsidRPr="004A357C" w:rsidRDefault="00D91B7A" w:rsidP="00FB712C">
            <w:pPr>
              <w:pStyle w:val="TableNText"/>
              <w:spacing w:before="60" w:after="60" w:line="240" w:lineRule="auto"/>
            </w:pPr>
            <w:r w:rsidRPr="004A357C">
              <w:t>$</w:t>
            </w:r>
            <w:r w:rsidR="00AD7A96" w:rsidRPr="004A357C">
              <w:t>370</w:t>
            </w:r>
          </w:p>
        </w:tc>
        <w:tc>
          <w:tcPr>
            <w:tcW w:w="977" w:type="dxa"/>
          </w:tcPr>
          <w:p w14:paraId="7D5432B1" w14:textId="09C5BC82" w:rsidR="00D91B7A" w:rsidRPr="004A357C" w:rsidRDefault="00D91B7A" w:rsidP="00FB712C">
            <w:pPr>
              <w:pStyle w:val="TableNText"/>
              <w:spacing w:before="60" w:after="60" w:line="240" w:lineRule="auto"/>
            </w:pPr>
            <w:r w:rsidRPr="004A357C">
              <w:t>$</w:t>
            </w:r>
            <w:r w:rsidR="00AD7A96" w:rsidRPr="004A357C">
              <w:t>410</w:t>
            </w:r>
          </w:p>
        </w:tc>
        <w:tc>
          <w:tcPr>
            <w:tcW w:w="978" w:type="dxa"/>
          </w:tcPr>
          <w:p w14:paraId="2229A69D" w14:textId="2799A9FF" w:rsidR="00D91B7A" w:rsidRPr="004A357C" w:rsidRDefault="00AD7A96" w:rsidP="00FB712C">
            <w:pPr>
              <w:pStyle w:val="TableNText"/>
              <w:spacing w:before="60" w:after="60" w:line="240" w:lineRule="auto"/>
            </w:pPr>
            <w:r w:rsidRPr="004A357C">
              <w:t>111</w:t>
            </w:r>
            <w:r w:rsidR="00D91B7A" w:rsidRPr="004A357C">
              <w:t>%</w:t>
            </w:r>
          </w:p>
        </w:tc>
        <w:tc>
          <w:tcPr>
            <w:tcW w:w="978" w:type="dxa"/>
          </w:tcPr>
          <w:p w14:paraId="32E9A7AF" w14:textId="2FEA03D8" w:rsidR="00D91B7A" w:rsidRPr="004A357C" w:rsidRDefault="00D91B7A" w:rsidP="00FB712C">
            <w:pPr>
              <w:pStyle w:val="TableNText"/>
              <w:spacing w:before="60" w:after="60" w:line="240" w:lineRule="auto"/>
            </w:pPr>
            <w:r w:rsidRPr="004A357C">
              <w:t>$</w:t>
            </w:r>
            <w:r w:rsidR="00AD7A96" w:rsidRPr="004A357C">
              <w:t>360</w:t>
            </w:r>
          </w:p>
        </w:tc>
        <w:tc>
          <w:tcPr>
            <w:tcW w:w="974" w:type="dxa"/>
          </w:tcPr>
          <w:p w14:paraId="48D2A576" w14:textId="4E59976F" w:rsidR="00D91B7A" w:rsidRPr="004A357C" w:rsidRDefault="00D91B7A" w:rsidP="00FB712C">
            <w:pPr>
              <w:pStyle w:val="TableNText"/>
              <w:spacing w:before="60" w:after="60" w:line="240" w:lineRule="auto"/>
            </w:pPr>
            <w:r w:rsidRPr="004A357C">
              <w:t>$</w:t>
            </w:r>
            <w:r w:rsidR="00AD7A96" w:rsidRPr="004A357C">
              <w:t>790</w:t>
            </w:r>
          </w:p>
        </w:tc>
        <w:tc>
          <w:tcPr>
            <w:tcW w:w="978" w:type="dxa"/>
          </w:tcPr>
          <w:p w14:paraId="5422853F" w14:textId="28BB8425" w:rsidR="00D91B7A" w:rsidRPr="004A357C" w:rsidRDefault="00AD7A96" w:rsidP="00FB712C">
            <w:pPr>
              <w:pStyle w:val="TableNText"/>
              <w:spacing w:before="60" w:after="60" w:line="240" w:lineRule="auto"/>
            </w:pPr>
            <w:r w:rsidRPr="004A357C">
              <w:t>219</w:t>
            </w:r>
            <w:r w:rsidR="00D91B7A" w:rsidRPr="004A357C">
              <w:t>%</w:t>
            </w:r>
          </w:p>
        </w:tc>
        <w:tc>
          <w:tcPr>
            <w:tcW w:w="978" w:type="dxa"/>
          </w:tcPr>
          <w:p w14:paraId="4B5E9282" w14:textId="10E0AE72" w:rsidR="00D91B7A" w:rsidRPr="004A357C" w:rsidRDefault="00AD7A96"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109</w:t>
            </w:r>
            <w:r w:rsidR="00D91B7A" w:rsidRPr="004A357C">
              <w:rPr>
                <w:rFonts w:asciiTheme="majorHAnsi" w:hAnsiTheme="majorHAnsi" w:cstheme="majorHAnsi"/>
              </w:rPr>
              <w:t>%</w:t>
            </w:r>
          </w:p>
        </w:tc>
      </w:tr>
      <w:tr w:rsidR="00D91B7A" w:rsidRPr="004A357C" w14:paraId="2B06F45F" w14:textId="77777777" w:rsidTr="00AC7F0C">
        <w:trPr>
          <w:cnfStyle w:val="000000100000" w:firstRow="0" w:lastRow="0" w:firstColumn="0" w:lastColumn="0" w:oddVBand="0" w:evenVBand="0" w:oddHBand="1" w:evenHBand="0" w:firstRowFirstColumn="0" w:firstRowLastColumn="0" w:lastRowFirstColumn="0" w:lastRowLastColumn="0"/>
        </w:trPr>
        <w:tc>
          <w:tcPr>
            <w:tcW w:w="2089" w:type="dxa"/>
          </w:tcPr>
          <w:p w14:paraId="3206435D" w14:textId="186A44F0"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08 </w:t>
            </w:r>
            <w:r w:rsidR="00886310" w:rsidRPr="004A357C">
              <w:rPr>
                <w:rFonts w:asciiTheme="majorHAnsi" w:hAnsiTheme="majorHAnsi" w:cstheme="majorHAnsi"/>
              </w:rPr>
              <w:t>–</w:t>
            </w:r>
            <w:r w:rsidRPr="004A357C">
              <w:rPr>
                <w:rFonts w:asciiTheme="majorHAnsi" w:hAnsiTheme="majorHAnsi" w:cstheme="majorHAnsi"/>
              </w:rPr>
              <w:t xml:space="preserve"> Cardiac</w:t>
            </w:r>
          </w:p>
        </w:tc>
        <w:tc>
          <w:tcPr>
            <w:tcW w:w="978" w:type="dxa"/>
          </w:tcPr>
          <w:p w14:paraId="35530D4B" w14:textId="56F07B92" w:rsidR="00D91B7A" w:rsidRPr="004A357C" w:rsidRDefault="00D91B7A" w:rsidP="00FB712C">
            <w:pPr>
              <w:pStyle w:val="TableNText"/>
              <w:spacing w:before="60" w:after="60" w:line="240" w:lineRule="auto"/>
            </w:pPr>
            <w:r w:rsidRPr="004A357C">
              <w:t>$4,</w:t>
            </w:r>
            <w:r w:rsidR="00AD7A96" w:rsidRPr="004A357C">
              <w:t>600</w:t>
            </w:r>
          </w:p>
        </w:tc>
        <w:tc>
          <w:tcPr>
            <w:tcW w:w="977" w:type="dxa"/>
          </w:tcPr>
          <w:p w14:paraId="4E31CD2A" w14:textId="34CAA316" w:rsidR="00D91B7A" w:rsidRPr="004A357C" w:rsidRDefault="00D91B7A" w:rsidP="00FB712C">
            <w:pPr>
              <w:pStyle w:val="TableNText"/>
              <w:spacing w:before="60" w:after="60" w:line="240" w:lineRule="auto"/>
            </w:pPr>
            <w:r w:rsidRPr="004A357C">
              <w:t>$</w:t>
            </w:r>
            <w:r w:rsidR="00AD7A96" w:rsidRPr="004A357C">
              <w:t>470</w:t>
            </w:r>
          </w:p>
        </w:tc>
        <w:tc>
          <w:tcPr>
            <w:tcW w:w="978" w:type="dxa"/>
          </w:tcPr>
          <w:p w14:paraId="679892B5" w14:textId="7FFC08EB" w:rsidR="00D91B7A" w:rsidRPr="004A357C" w:rsidRDefault="00AD7A96" w:rsidP="00FB712C">
            <w:pPr>
              <w:pStyle w:val="TableNText"/>
              <w:spacing w:before="60" w:after="60" w:line="240" w:lineRule="auto"/>
            </w:pPr>
            <w:r w:rsidRPr="004A357C">
              <w:t>10</w:t>
            </w:r>
            <w:r w:rsidR="00D91B7A" w:rsidRPr="004A357C">
              <w:t>%</w:t>
            </w:r>
          </w:p>
        </w:tc>
        <w:tc>
          <w:tcPr>
            <w:tcW w:w="978" w:type="dxa"/>
          </w:tcPr>
          <w:p w14:paraId="63410A69" w14:textId="29EBC41D" w:rsidR="00D91B7A" w:rsidRPr="004A357C" w:rsidRDefault="00D91B7A" w:rsidP="00FB712C">
            <w:pPr>
              <w:pStyle w:val="TableNText"/>
              <w:spacing w:before="60" w:after="60" w:line="240" w:lineRule="auto"/>
            </w:pPr>
            <w:r w:rsidRPr="004A357C">
              <w:t>$4,</w:t>
            </w:r>
            <w:r w:rsidR="00AD7A96" w:rsidRPr="004A357C">
              <w:t>200</w:t>
            </w:r>
          </w:p>
        </w:tc>
        <w:tc>
          <w:tcPr>
            <w:tcW w:w="974" w:type="dxa"/>
          </w:tcPr>
          <w:p w14:paraId="5139441F" w14:textId="330A7FE3" w:rsidR="00D91B7A" w:rsidRPr="004A357C" w:rsidRDefault="00D91B7A" w:rsidP="00FB712C">
            <w:pPr>
              <w:pStyle w:val="TableNText"/>
              <w:spacing w:before="60" w:after="60" w:line="240" w:lineRule="auto"/>
            </w:pPr>
            <w:r w:rsidRPr="004A357C">
              <w:t>$</w:t>
            </w:r>
            <w:r w:rsidR="00AD7A96" w:rsidRPr="004A357C">
              <w:t>410</w:t>
            </w:r>
          </w:p>
        </w:tc>
        <w:tc>
          <w:tcPr>
            <w:tcW w:w="978" w:type="dxa"/>
          </w:tcPr>
          <w:p w14:paraId="1CF73B45" w14:textId="042ADDFA" w:rsidR="00D91B7A" w:rsidRPr="004A357C" w:rsidRDefault="00D91B7A" w:rsidP="00FB712C">
            <w:pPr>
              <w:pStyle w:val="TableNText"/>
              <w:spacing w:before="60" w:after="60" w:line="240" w:lineRule="auto"/>
            </w:pPr>
            <w:r w:rsidRPr="004A357C">
              <w:t>10%</w:t>
            </w:r>
          </w:p>
        </w:tc>
        <w:tc>
          <w:tcPr>
            <w:tcW w:w="978" w:type="dxa"/>
          </w:tcPr>
          <w:p w14:paraId="53A99005" w14:textId="3D1BB3BF" w:rsidR="00D91B7A" w:rsidRPr="004A357C" w:rsidRDefault="00AD7A96"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0</w:t>
            </w:r>
            <w:r w:rsidR="00D91B7A" w:rsidRPr="004A357C">
              <w:rPr>
                <w:rFonts w:asciiTheme="majorHAnsi" w:hAnsiTheme="majorHAnsi" w:cstheme="majorHAnsi"/>
              </w:rPr>
              <w:t>%</w:t>
            </w:r>
          </w:p>
        </w:tc>
      </w:tr>
      <w:tr w:rsidR="00D91B7A" w:rsidRPr="004A357C" w14:paraId="4B9FA699" w14:textId="77777777" w:rsidTr="00AC7F0C">
        <w:trPr>
          <w:cnfStyle w:val="000000010000" w:firstRow="0" w:lastRow="0" w:firstColumn="0" w:lastColumn="0" w:oddVBand="0" w:evenVBand="0" w:oddHBand="0" w:evenHBand="1" w:firstRowFirstColumn="0" w:firstRowLastColumn="0" w:lastRowFirstColumn="0" w:lastRowLastColumn="0"/>
        </w:trPr>
        <w:tc>
          <w:tcPr>
            <w:tcW w:w="2089" w:type="dxa"/>
          </w:tcPr>
          <w:p w14:paraId="44D9B136" w14:textId="3FE371C5"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09 </w:t>
            </w:r>
            <w:r w:rsidR="00886310" w:rsidRPr="004A357C">
              <w:rPr>
                <w:rFonts w:asciiTheme="majorHAnsi" w:hAnsiTheme="majorHAnsi" w:cstheme="majorHAnsi"/>
              </w:rPr>
              <w:t>–</w:t>
            </w:r>
            <w:r w:rsidRPr="004A357C">
              <w:rPr>
                <w:rFonts w:asciiTheme="majorHAnsi" w:hAnsiTheme="majorHAnsi" w:cstheme="majorHAnsi"/>
              </w:rPr>
              <w:t xml:space="preserve"> Cardiothoracic</w:t>
            </w:r>
          </w:p>
        </w:tc>
        <w:tc>
          <w:tcPr>
            <w:tcW w:w="978" w:type="dxa"/>
          </w:tcPr>
          <w:p w14:paraId="6E703024" w14:textId="1B6D8978" w:rsidR="00D91B7A" w:rsidRPr="004A357C" w:rsidRDefault="00D91B7A" w:rsidP="00FB712C">
            <w:pPr>
              <w:pStyle w:val="TableNText"/>
              <w:spacing w:before="60" w:after="60" w:line="240" w:lineRule="auto"/>
            </w:pPr>
            <w:r w:rsidRPr="004A357C">
              <w:t>$2,</w:t>
            </w:r>
            <w:r w:rsidR="00AD7A96" w:rsidRPr="004A357C">
              <w:t>400</w:t>
            </w:r>
          </w:p>
        </w:tc>
        <w:tc>
          <w:tcPr>
            <w:tcW w:w="977" w:type="dxa"/>
          </w:tcPr>
          <w:p w14:paraId="60F3D8E0" w14:textId="24A781EF" w:rsidR="00D91B7A" w:rsidRPr="004A357C" w:rsidRDefault="00AD7A96" w:rsidP="00FB712C">
            <w:pPr>
              <w:pStyle w:val="TableNText"/>
              <w:spacing w:before="60" w:after="60" w:line="240" w:lineRule="auto"/>
            </w:pPr>
            <w:r w:rsidRPr="004A357C">
              <w:t>$360</w:t>
            </w:r>
          </w:p>
        </w:tc>
        <w:tc>
          <w:tcPr>
            <w:tcW w:w="978" w:type="dxa"/>
          </w:tcPr>
          <w:p w14:paraId="05D3F6B3" w14:textId="612B4BF8" w:rsidR="00D91B7A" w:rsidRPr="004A357C" w:rsidRDefault="00AD7A96" w:rsidP="00FB712C">
            <w:pPr>
              <w:pStyle w:val="TableNText"/>
              <w:spacing w:before="60" w:after="60" w:line="240" w:lineRule="auto"/>
            </w:pPr>
            <w:r w:rsidRPr="004A357C">
              <w:t>15</w:t>
            </w:r>
            <w:r w:rsidR="00D91B7A" w:rsidRPr="004A357C">
              <w:t>%</w:t>
            </w:r>
          </w:p>
        </w:tc>
        <w:tc>
          <w:tcPr>
            <w:tcW w:w="978" w:type="dxa"/>
          </w:tcPr>
          <w:p w14:paraId="2FABE507" w14:textId="21D0FDFA" w:rsidR="00D91B7A" w:rsidRPr="004A357C" w:rsidRDefault="00D91B7A" w:rsidP="00FB712C">
            <w:pPr>
              <w:pStyle w:val="TableNText"/>
              <w:spacing w:before="60" w:after="60" w:line="240" w:lineRule="auto"/>
            </w:pPr>
            <w:r w:rsidRPr="004A357C">
              <w:t>$2,</w:t>
            </w:r>
            <w:r w:rsidR="00AD7A96" w:rsidRPr="004A357C">
              <w:t>300</w:t>
            </w:r>
          </w:p>
        </w:tc>
        <w:tc>
          <w:tcPr>
            <w:tcW w:w="974" w:type="dxa"/>
          </w:tcPr>
          <w:p w14:paraId="707E19A1" w14:textId="0D163220" w:rsidR="00D91B7A" w:rsidRPr="004A357C" w:rsidRDefault="00D91B7A" w:rsidP="00FB712C">
            <w:pPr>
              <w:pStyle w:val="TableNText"/>
              <w:spacing w:before="60" w:after="60" w:line="240" w:lineRule="auto"/>
            </w:pPr>
            <w:r w:rsidRPr="004A357C">
              <w:t>$</w:t>
            </w:r>
            <w:r w:rsidR="00AD7A96" w:rsidRPr="004A357C">
              <w:t>280</w:t>
            </w:r>
          </w:p>
        </w:tc>
        <w:tc>
          <w:tcPr>
            <w:tcW w:w="978" w:type="dxa"/>
          </w:tcPr>
          <w:p w14:paraId="30AA1865" w14:textId="006F1E31" w:rsidR="00D91B7A" w:rsidRPr="004A357C" w:rsidRDefault="00AD7A96" w:rsidP="00FB712C">
            <w:pPr>
              <w:pStyle w:val="TableNText"/>
              <w:spacing w:before="60" w:after="60" w:line="240" w:lineRule="auto"/>
            </w:pPr>
            <w:r w:rsidRPr="004A357C">
              <w:t>12</w:t>
            </w:r>
            <w:r w:rsidR="00D91B7A" w:rsidRPr="004A357C">
              <w:t>%</w:t>
            </w:r>
          </w:p>
        </w:tc>
        <w:tc>
          <w:tcPr>
            <w:tcW w:w="978" w:type="dxa"/>
          </w:tcPr>
          <w:p w14:paraId="0876AB8B" w14:textId="2BB6D5DE"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w:t>
            </w:r>
            <w:r w:rsidR="00AD7A96" w:rsidRPr="004A357C">
              <w:rPr>
                <w:rFonts w:asciiTheme="majorHAnsi" w:hAnsiTheme="majorHAnsi" w:cstheme="majorHAnsi"/>
              </w:rPr>
              <w:t>3</w:t>
            </w:r>
            <w:r w:rsidRPr="004A357C">
              <w:rPr>
                <w:rFonts w:asciiTheme="majorHAnsi" w:hAnsiTheme="majorHAnsi" w:cstheme="majorHAnsi"/>
              </w:rPr>
              <w:t>%</w:t>
            </w:r>
          </w:p>
        </w:tc>
      </w:tr>
      <w:tr w:rsidR="00D91B7A" w:rsidRPr="004A357C" w14:paraId="0B5EB5E2" w14:textId="77777777" w:rsidTr="00AC7F0C">
        <w:trPr>
          <w:cnfStyle w:val="000000100000" w:firstRow="0" w:lastRow="0" w:firstColumn="0" w:lastColumn="0" w:oddVBand="0" w:evenVBand="0" w:oddHBand="1" w:evenHBand="0" w:firstRowFirstColumn="0" w:firstRowLastColumn="0" w:lastRowFirstColumn="0" w:lastRowLastColumn="0"/>
        </w:trPr>
        <w:tc>
          <w:tcPr>
            <w:tcW w:w="2089" w:type="dxa"/>
          </w:tcPr>
          <w:p w14:paraId="46C710C7" w14:textId="13907074"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10 </w:t>
            </w:r>
            <w:r w:rsidR="00886310" w:rsidRPr="004A357C">
              <w:rPr>
                <w:rFonts w:asciiTheme="majorHAnsi" w:hAnsiTheme="majorHAnsi" w:cstheme="majorHAnsi"/>
              </w:rPr>
              <w:t>–</w:t>
            </w:r>
            <w:r w:rsidRPr="004A357C">
              <w:rPr>
                <w:rFonts w:asciiTheme="majorHAnsi" w:hAnsiTheme="majorHAnsi" w:cstheme="majorHAnsi"/>
              </w:rPr>
              <w:t xml:space="preserve"> Vascular</w:t>
            </w:r>
          </w:p>
        </w:tc>
        <w:tc>
          <w:tcPr>
            <w:tcW w:w="978" w:type="dxa"/>
          </w:tcPr>
          <w:p w14:paraId="5DDB69EC" w14:textId="08B037CA" w:rsidR="00D91B7A" w:rsidRPr="004A357C" w:rsidRDefault="00D91B7A" w:rsidP="00FB712C">
            <w:pPr>
              <w:pStyle w:val="TableNText"/>
              <w:spacing w:before="60" w:after="60" w:line="240" w:lineRule="auto"/>
            </w:pPr>
            <w:r w:rsidRPr="004A357C">
              <w:t>$1,300</w:t>
            </w:r>
          </w:p>
        </w:tc>
        <w:tc>
          <w:tcPr>
            <w:tcW w:w="977" w:type="dxa"/>
          </w:tcPr>
          <w:p w14:paraId="457B7573" w14:textId="4E5F32CB" w:rsidR="00D91B7A" w:rsidRPr="004A357C" w:rsidRDefault="00D91B7A" w:rsidP="00FB712C">
            <w:pPr>
              <w:pStyle w:val="TableNText"/>
              <w:spacing w:before="60" w:after="60" w:line="240" w:lineRule="auto"/>
            </w:pPr>
            <w:r w:rsidRPr="004A357C">
              <w:t>$</w:t>
            </w:r>
            <w:r w:rsidR="00AD7A96" w:rsidRPr="004A357C">
              <w:t>460</w:t>
            </w:r>
          </w:p>
        </w:tc>
        <w:tc>
          <w:tcPr>
            <w:tcW w:w="978" w:type="dxa"/>
          </w:tcPr>
          <w:p w14:paraId="2C559A24" w14:textId="03B36B53" w:rsidR="00D91B7A" w:rsidRPr="004A357C" w:rsidRDefault="00AD7A96" w:rsidP="00FB712C">
            <w:pPr>
              <w:pStyle w:val="TableNText"/>
              <w:spacing w:before="60" w:after="60" w:line="240" w:lineRule="auto"/>
            </w:pPr>
            <w:r w:rsidRPr="004A357C">
              <w:t>35</w:t>
            </w:r>
            <w:r w:rsidR="00D91B7A" w:rsidRPr="004A357C">
              <w:t>%</w:t>
            </w:r>
          </w:p>
        </w:tc>
        <w:tc>
          <w:tcPr>
            <w:tcW w:w="978" w:type="dxa"/>
          </w:tcPr>
          <w:p w14:paraId="6B0716FD" w14:textId="61D52678" w:rsidR="00D91B7A" w:rsidRPr="004A357C" w:rsidRDefault="00D91B7A" w:rsidP="00FB712C">
            <w:pPr>
              <w:pStyle w:val="TableNText"/>
              <w:spacing w:before="60" w:after="60" w:line="240" w:lineRule="auto"/>
            </w:pPr>
            <w:r w:rsidRPr="004A357C">
              <w:t>$1,300</w:t>
            </w:r>
          </w:p>
        </w:tc>
        <w:tc>
          <w:tcPr>
            <w:tcW w:w="974" w:type="dxa"/>
          </w:tcPr>
          <w:p w14:paraId="0A09E5CB" w14:textId="11D8D9AB" w:rsidR="00D91B7A" w:rsidRPr="004A357C" w:rsidRDefault="00D91B7A" w:rsidP="00FB712C">
            <w:pPr>
              <w:pStyle w:val="TableNText"/>
              <w:spacing w:before="60" w:after="60" w:line="240" w:lineRule="auto"/>
            </w:pPr>
            <w:r w:rsidRPr="004A357C">
              <w:t>$</w:t>
            </w:r>
            <w:r w:rsidR="00AD7A96" w:rsidRPr="004A357C">
              <w:t>150</w:t>
            </w:r>
          </w:p>
        </w:tc>
        <w:tc>
          <w:tcPr>
            <w:tcW w:w="978" w:type="dxa"/>
          </w:tcPr>
          <w:p w14:paraId="38C15638" w14:textId="2E431FF1" w:rsidR="00D91B7A" w:rsidRPr="004A357C" w:rsidRDefault="00AD7A96" w:rsidP="00FB712C">
            <w:pPr>
              <w:pStyle w:val="TableNText"/>
              <w:spacing w:before="60" w:after="60" w:line="240" w:lineRule="auto"/>
            </w:pPr>
            <w:r w:rsidRPr="004A357C">
              <w:t>12</w:t>
            </w:r>
            <w:r w:rsidR="00D91B7A" w:rsidRPr="004A357C">
              <w:t>%</w:t>
            </w:r>
          </w:p>
        </w:tc>
        <w:tc>
          <w:tcPr>
            <w:tcW w:w="978" w:type="dxa"/>
          </w:tcPr>
          <w:p w14:paraId="6C156208" w14:textId="3E4ECC3B"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w:t>
            </w:r>
            <w:r w:rsidR="00AD7A96" w:rsidRPr="004A357C">
              <w:rPr>
                <w:rFonts w:asciiTheme="majorHAnsi" w:hAnsiTheme="majorHAnsi" w:cstheme="majorHAnsi"/>
              </w:rPr>
              <w:t>24</w:t>
            </w:r>
            <w:r w:rsidRPr="004A357C">
              <w:rPr>
                <w:rFonts w:asciiTheme="majorHAnsi" w:hAnsiTheme="majorHAnsi" w:cstheme="majorHAnsi"/>
              </w:rPr>
              <w:t>%</w:t>
            </w:r>
          </w:p>
        </w:tc>
      </w:tr>
      <w:tr w:rsidR="00D91B7A" w:rsidRPr="004A357C" w14:paraId="1FDCF461" w14:textId="77777777" w:rsidTr="00AC7F0C">
        <w:trPr>
          <w:cnfStyle w:val="000000010000" w:firstRow="0" w:lastRow="0" w:firstColumn="0" w:lastColumn="0" w:oddVBand="0" w:evenVBand="0" w:oddHBand="0" w:evenHBand="1" w:firstRowFirstColumn="0" w:firstRowLastColumn="0" w:lastRowFirstColumn="0" w:lastRowLastColumn="0"/>
        </w:trPr>
        <w:tc>
          <w:tcPr>
            <w:tcW w:w="2089" w:type="dxa"/>
          </w:tcPr>
          <w:p w14:paraId="4B746502" w14:textId="2736DC79"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11 </w:t>
            </w:r>
            <w:r w:rsidR="00886310" w:rsidRPr="004A357C">
              <w:rPr>
                <w:rFonts w:asciiTheme="majorHAnsi" w:hAnsiTheme="majorHAnsi" w:cstheme="majorHAnsi"/>
              </w:rPr>
              <w:t>–</w:t>
            </w:r>
            <w:r w:rsidRPr="004A357C">
              <w:rPr>
                <w:rFonts w:asciiTheme="majorHAnsi" w:hAnsiTheme="majorHAnsi" w:cstheme="majorHAnsi"/>
              </w:rPr>
              <w:t xml:space="preserve"> Hip</w:t>
            </w:r>
          </w:p>
        </w:tc>
        <w:tc>
          <w:tcPr>
            <w:tcW w:w="978" w:type="dxa"/>
          </w:tcPr>
          <w:p w14:paraId="4B53E99F" w14:textId="75265A34" w:rsidR="00D91B7A" w:rsidRPr="004A357C" w:rsidRDefault="00D91B7A" w:rsidP="00FB712C">
            <w:pPr>
              <w:pStyle w:val="TableNText"/>
              <w:spacing w:before="60" w:after="60" w:line="240" w:lineRule="auto"/>
            </w:pPr>
            <w:r w:rsidRPr="004A357C">
              <w:t>$1,</w:t>
            </w:r>
            <w:r w:rsidR="00AD7A96" w:rsidRPr="004A357C">
              <w:t>600</w:t>
            </w:r>
          </w:p>
        </w:tc>
        <w:tc>
          <w:tcPr>
            <w:tcW w:w="977" w:type="dxa"/>
          </w:tcPr>
          <w:p w14:paraId="6D36682D" w14:textId="797CD165" w:rsidR="00D91B7A" w:rsidRPr="004A357C" w:rsidRDefault="00D91B7A" w:rsidP="00FB712C">
            <w:pPr>
              <w:pStyle w:val="TableNText"/>
              <w:spacing w:before="60" w:after="60" w:line="240" w:lineRule="auto"/>
            </w:pPr>
            <w:r w:rsidRPr="004A357C">
              <w:t>$</w:t>
            </w:r>
            <w:r w:rsidR="00AD7A96" w:rsidRPr="004A357C">
              <w:t>270</w:t>
            </w:r>
          </w:p>
        </w:tc>
        <w:tc>
          <w:tcPr>
            <w:tcW w:w="978" w:type="dxa"/>
          </w:tcPr>
          <w:p w14:paraId="5B478A5F" w14:textId="1698DA5B" w:rsidR="00D91B7A" w:rsidRPr="004A357C" w:rsidRDefault="00AD7A96" w:rsidP="00FB712C">
            <w:pPr>
              <w:pStyle w:val="TableNText"/>
              <w:spacing w:before="60" w:after="60" w:line="240" w:lineRule="auto"/>
            </w:pPr>
            <w:r w:rsidRPr="004A357C">
              <w:t>17</w:t>
            </w:r>
            <w:r w:rsidR="00D91B7A" w:rsidRPr="004A357C">
              <w:t>%</w:t>
            </w:r>
          </w:p>
        </w:tc>
        <w:tc>
          <w:tcPr>
            <w:tcW w:w="978" w:type="dxa"/>
          </w:tcPr>
          <w:p w14:paraId="62943A72" w14:textId="1C823DE1" w:rsidR="00D91B7A" w:rsidRPr="004A357C" w:rsidRDefault="00D91B7A" w:rsidP="00FB712C">
            <w:pPr>
              <w:pStyle w:val="TableNText"/>
              <w:spacing w:before="60" w:after="60" w:line="240" w:lineRule="auto"/>
            </w:pPr>
            <w:r w:rsidRPr="004A357C">
              <w:t>$1,600</w:t>
            </w:r>
          </w:p>
        </w:tc>
        <w:tc>
          <w:tcPr>
            <w:tcW w:w="974" w:type="dxa"/>
          </w:tcPr>
          <w:p w14:paraId="6B9322BE" w14:textId="6DB12189" w:rsidR="00D91B7A" w:rsidRPr="004A357C" w:rsidRDefault="00D91B7A" w:rsidP="00FB712C">
            <w:pPr>
              <w:pStyle w:val="TableNText"/>
              <w:spacing w:before="60" w:after="60" w:line="240" w:lineRule="auto"/>
            </w:pPr>
            <w:r w:rsidRPr="004A357C">
              <w:t>$</w:t>
            </w:r>
            <w:r w:rsidR="00AD7A96" w:rsidRPr="004A357C">
              <w:t>400</w:t>
            </w:r>
          </w:p>
        </w:tc>
        <w:tc>
          <w:tcPr>
            <w:tcW w:w="978" w:type="dxa"/>
          </w:tcPr>
          <w:p w14:paraId="06A8D27B" w14:textId="7389C568" w:rsidR="00D91B7A" w:rsidRPr="004A357C" w:rsidRDefault="00AD7A96" w:rsidP="00FB712C">
            <w:pPr>
              <w:pStyle w:val="TableNText"/>
              <w:spacing w:before="60" w:after="60" w:line="240" w:lineRule="auto"/>
            </w:pPr>
            <w:r w:rsidRPr="004A357C">
              <w:t>25</w:t>
            </w:r>
            <w:r w:rsidR="00D91B7A" w:rsidRPr="004A357C">
              <w:t>%</w:t>
            </w:r>
          </w:p>
        </w:tc>
        <w:tc>
          <w:tcPr>
            <w:tcW w:w="978" w:type="dxa"/>
          </w:tcPr>
          <w:p w14:paraId="159F6B1D" w14:textId="1AD988AC" w:rsidR="00D91B7A" w:rsidRPr="004A357C" w:rsidRDefault="00AD7A96"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8</w:t>
            </w:r>
            <w:r w:rsidR="00D91B7A" w:rsidRPr="004A357C">
              <w:rPr>
                <w:rFonts w:asciiTheme="majorHAnsi" w:hAnsiTheme="majorHAnsi" w:cstheme="majorHAnsi"/>
              </w:rPr>
              <w:t>%</w:t>
            </w:r>
          </w:p>
        </w:tc>
      </w:tr>
      <w:tr w:rsidR="00D91B7A" w:rsidRPr="004A357C" w14:paraId="6698C44D" w14:textId="77777777" w:rsidTr="00AC7F0C">
        <w:trPr>
          <w:cnfStyle w:val="000000100000" w:firstRow="0" w:lastRow="0" w:firstColumn="0" w:lastColumn="0" w:oddVBand="0" w:evenVBand="0" w:oddHBand="1" w:evenHBand="0" w:firstRowFirstColumn="0" w:firstRowLastColumn="0" w:lastRowFirstColumn="0" w:lastRowLastColumn="0"/>
        </w:trPr>
        <w:tc>
          <w:tcPr>
            <w:tcW w:w="2089" w:type="dxa"/>
          </w:tcPr>
          <w:p w14:paraId="7A97F398" w14:textId="7EB4C89F"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12 </w:t>
            </w:r>
            <w:r w:rsidR="00886310" w:rsidRPr="004A357C">
              <w:rPr>
                <w:rFonts w:asciiTheme="majorHAnsi" w:hAnsiTheme="majorHAnsi" w:cstheme="majorHAnsi"/>
              </w:rPr>
              <w:t>–</w:t>
            </w:r>
            <w:r w:rsidRPr="004A357C">
              <w:rPr>
                <w:rFonts w:asciiTheme="majorHAnsi" w:hAnsiTheme="majorHAnsi" w:cstheme="majorHAnsi"/>
              </w:rPr>
              <w:t xml:space="preserve"> Knee</w:t>
            </w:r>
          </w:p>
        </w:tc>
        <w:tc>
          <w:tcPr>
            <w:tcW w:w="978" w:type="dxa"/>
          </w:tcPr>
          <w:p w14:paraId="3268FD90" w14:textId="58ADD9FD" w:rsidR="00D91B7A" w:rsidRPr="004A357C" w:rsidRDefault="00D91B7A" w:rsidP="00FB712C">
            <w:pPr>
              <w:pStyle w:val="TableNText"/>
              <w:spacing w:before="60" w:after="60" w:line="240" w:lineRule="auto"/>
            </w:pPr>
            <w:r w:rsidRPr="004A357C">
              <w:t>$1,</w:t>
            </w:r>
            <w:r w:rsidR="00AD7A96" w:rsidRPr="004A357C">
              <w:t>700</w:t>
            </w:r>
          </w:p>
        </w:tc>
        <w:tc>
          <w:tcPr>
            <w:tcW w:w="977" w:type="dxa"/>
          </w:tcPr>
          <w:p w14:paraId="00D45429" w14:textId="68A513E0" w:rsidR="00D91B7A" w:rsidRPr="004A357C" w:rsidRDefault="00D91B7A" w:rsidP="00FB712C">
            <w:pPr>
              <w:pStyle w:val="TableNText"/>
              <w:spacing w:before="60" w:after="60" w:line="240" w:lineRule="auto"/>
            </w:pPr>
            <w:r w:rsidRPr="004A357C">
              <w:t>$</w:t>
            </w:r>
            <w:r w:rsidR="00AD7A96" w:rsidRPr="004A357C">
              <w:t>540</w:t>
            </w:r>
          </w:p>
        </w:tc>
        <w:tc>
          <w:tcPr>
            <w:tcW w:w="978" w:type="dxa"/>
          </w:tcPr>
          <w:p w14:paraId="6CAD4A03" w14:textId="1514F28B" w:rsidR="00D91B7A" w:rsidRPr="004A357C" w:rsidRDefault="00AD7A96" w:rsidP="00FB712C">
            <w:pPr>
              <w:pStyle w:val="TableNText"/>
              <w:spacing w:before="60" w:after="60" w:line="240" w:lineRule="auto"/>
            </w:pPr>
            <w:r w:rsidRPr="004A357C">
              <w:t>32</w:t>
            </w:r>
            <w:r w:rsidR="00D91B7A" w:rsidRPr="004A357C">
              <w:t>%</w:t>
            </w:r>
          </w:p>
        </w:tc>
        <w:tc>
          <w:tcPr>
            <w:tcW w:w="978" w:type="dxa"/>
          </w:tcPr>
          <w:p w14:paraId="4EFD39DE" w14:textId="02FC09D5" w:rsidR="00D91B7A" w:rsidRPr="004A357C" w:rsidRDefault="00D91B7A" w:rsidP="00FB712C">
            <w:pPr>
              <w:pStyle w:val="TableNText"/>
              <w:spacing w:before="60" w:after="60" w:line="240" w:lineRule="auto"/>
            </w:pPr>
            <w:r w:rsidRPr="004A357C">
              <w:t>$1,</w:t>
            </w:r>
            <w:r w:rsidR="00AD7A96" w:rsidRPr="004A357C">
              <w:t>600</w:t>
            </w:r>
          </w:p>
        </w:tc>
        <w:tc>
          <w:tcPr>
            <w:tcW w:w="974" w:type="dxa"/>
          </w:tcPr>
          <w:p w14:paraId="63A1EADD" w14:textId="38FAD5C8" w:rsidR="00D91B7A" w:rsidRPr="004A357C" w:rsidRDefault="00D91B7A" w:rsidP="00FB712C">
            <w:pPr>
              <w:pStyle w:val="TableNText"/>
              <w:spacing w:before="60" w:after="60" w:line="240" w:lineRule="auto"/>
            </w:pPr>
            <w:r w:rsidRPr="004A357C">
              <w:t>$</w:t>
            </w:r>
            <w:r w:rsidR="00AD7A96" w:rsidRPr="004A357C">
              <w:t>780</w:t>
            </w:r>
          </w:p>
        </w:tc>
        <w:tc>
          <w:tcPr>
            <w:tcW w:w="978" w:type="dxa"/>
          </w:tcPr>
          <w:p w14:paraId="55BC0BBB" w14:textId="28FE83FD" w:rsidR="00D91B7A" w:rsidRPr="004A357C" w:rsidRDefault="00AD7A96" w:rsidP="00FB712C">
            <w:pPr>
              <w:pStyle w:val="TableNText"/>
              <w:spacing w:before="60" w:after="60" w:line="240" w:lineRule="auto"/>
            </w:pPr>
            <w:r w:rsidRPr="004A357C">
              <w:t>49</w:t>
            </w:r>
            <w:r w:rsidR="00D91B7A" w:rsidRPr="004A357C">
              <w:t>%</w:t>
            </w:r>
          </w:p>
        </w:tc>
        <w:tc>
          <w:tcPr>
            <w:tcW w:w="978" w:type="dxa"/>
          </w:tcPr>
          <w:p w14:paraId="2A1AF0E8" w14:textId="54893DED" w:rsidR="00D91B7A" w:rsidRPr="004A357C" w:rsidRDefault="00AD7A96"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17</w:t>
            </w:r>
            <w:r w:rsidR="00D91B7A" w:rsidRPr="004A357C">
              <w:rPr>
                <w:rFonts w:asciiTheme="majorHAnsi" w:hAnsiTheme="majorHAnsi" w:cstheme="majorHAnsi"/>
              </w:rPr>
              <w:t>%</w:t>
            </w:r>
          </w:p>
        </w:tc>
      </w:tr>
      <w:tr w:rsidR="00D91B7A" w:rsidRPr="004A357C" w14:paraId="5DC59350" w14:textId="77777777" w:rsidTr="00AC7F0C">
        <w:trPr>
          <w:cnfStyle w:val="000000010000" w:firstRow="0" w:lastRow="0" w:firstColumn="0" w:lastColumn="0" w:oddVBand="0" w:evenVBand="0" w:oddHBand="0" w:evenHBand="1" w:firstRowFirstColumn="0" w:firstRowLastColumn="0" w:lastRowFirstColumn="0" w:lastRowLastColumn="0"/>
        </w:trPr>
        <w:tc>
          <w:tcPr>
            <w:tcW w:w="2089" w:type="dxa"/>
          </w:tcPr>
          <w:p w14:paraId="0DAFBDE1" w14:textId="78818494"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 xml:space="preserve">13 </w:t>
            </w:r>
            <w:r w:rsidR="00886310" w:rsidRPr="004A357C">
              <w:rPr>
                <w:rFonts w:asciiTheme="majorHAnsi" w:hAnsiTheme="majorHAnsi" w:cstheme="majorHAnsi"/>
              </w:rPr>
              <w:t>–</w:t>
            </w:r>
            <w:r w:rsidRPr="004A357C">
              <w:rPr>
                <w:rFonts w:asciiTheme="majorHAnsi" w:hAnsiTheme="majorHAnsi" w:cstheme="majorHAnsi"/>
              </w:rPr>
              <w:t xml:space="preserve"> Spinal</w:t>
            </w:r>
          </w:p>
        </w:tc>
        <w:tc>
          <w:tcPr>
            <w:tcW w:w="978" w:type="dxa"/>
          </w:tcPr>
          <w:p w14:paraId="2A14168A" w14:textId="61CFCF06" w:rsidR="00D91B7A" w:rsidRPr="004A357C" w:rsidRDefault="00D91B7A" w:rsidP="00FB712C">
            <w:pPr>
              <w:pStyle w:val="TableNText"/>
              <w:spacing w:before="60" w:after="60" w:line="240" w:lineRule="auto"/>
            </w:pPr>
            <w:r w:rsidRPr="004A357C">
              <w:t>$</w:t>
            </w:r>
            <w:r w:rsidR="00AD7A96" w:rsidRPr="004A357C">
              <w:t>840</w:t>
            </w:r>
          </w:p>
        </w:tc>
        <w:tc>
          <w:tcPr>
            <w:tcW w:w="977" w:type="dxa"/>
          </w:tcPr>
          <w:p w14:paraId="5FB16FA4" w14:textId="27B8DCBE" w:rsidR="00D91B7A" w:rsidRPr="004A357C" w:rsidRDefault="00D91B7A" w:rsidP="00FB712C">
            <w:pPr>
              <w:pStyle w:val="TableNText"/>
              <w:spacing w:before="60" w:after="60" w:line="240" w:lineRule="auto"/>
            </w:pPr>
            <w:r w:rsidRPr="004A357C">
              <w:t>$</w:t>
            </w:r>
            <w:r w:rsidR="00AD7A96" w:rsidRPr="004A357C">
              <w:t>240</w:t>
            </w:r>
          </w:p>
        </w:tc>
        <w:tc>
          <w:tcPr>
            <w:tcW w:w="978" w:type="dxa"/>
          </w:tcPr>
          <w:p w14:paraId="3514D9AB" w14:textId="663EA060" w:rsidR="00D91B7A" w:rsidRPr="004A357C" w:rsidRDefault="00AD7A96" w:rsidP="00FB712C">
            <w:pPr>
              <w:pStyle w:val="TableNText"/>
              <w:spacing w:before="60" w:after="60" w:line="240" w:lineRule="auto"/>
            </w:pPr>
            <w:r w:rsidRPr="004A357C">
              <w:t>29</w:t>
            </w:r>
            <w:r w:rsidR="00D91B7A" w:rsidRPr="004A357C">
              <w:t>%</w:t>
            </w:r>
          </w:p>
        </w:tc>
        <w:tc>
          <w:tcPr>
            <w:tcW w:w="978" w:type="dxa"/>
          </w:tcPr>
          <w:p w14:paraId="7BEF4EF5" w14:textId="638E1B26" w:rsidR="00D91B7A" w:rsidRPr="004A357C" w:rsidRDefault="00D91B7A" w:rsidP="00FB712C">
            <w:pPr>
              <w:pStyle w:val="TableNText"/>
              <w:spacing w:before="60" w:after="60" w:line="240" w:lineRule="auto"/>
            </w:pPr>
            <w:r w:rsidRPr="004A357C">
              <w:t>$</w:t>
            </w:r>
            <w:r w:rsidR="00AD7A96" w:rsidRPr="004A357C">
              <w:t>840</w:t>
            </w:r>
          </w:p>
        </w:tc>
        <w:tc>
          <w:tcPr>
            <w:tcW w:w="974" w:type="dxa"/>
          </w:tcPr>
          <w:p w14:paraId="26B5050A" w14:textId="6E0E5AB1" w:rsidR="00D91B7A" w:rsidRPr="004A357C" w:rsidRDefault="00D91B7A" w:rsidP="00FB712C">
            <w:pPr>
              <w:pStyle w:val="TableNText"/>
              <w:spacing w:before="60" w:after="60" w:line="240" w:lineRule="auto"/>
            </w:pPr>
            <w:r w:rsidRPr="004A357C">
              <w:t>$</w:t>
            </w:r>
            <w:r w:rsidR="00AD7A96" w:rsidRPr="004A357C">
              <w:t>100</w:t>
            </w:r>
          </w:p>
        </w:tc>
        <w:tc>
          <w:tcPr>
            <w:tcW w:w="978" w:type="dxa"/>
          </w:tcPr>
          <w:p w14:paraId="098F2A2D" w14:textId="7DFF7FA4" w:rsidR="00D91B7A" w:rsidRPr="004A357C" w:rsidRDefault="00AD7A96" w:rsidP="00FB712C">
            <w:pPr>
              <w:pStyle w:val="TableNText"/>
              <w:spacing w:before="60" w:after="60" w:line="240" w:lineRule="auto"/>
            </w:pPr>
            <w:r w:rsidRPr="004A357C">
              <w:t>12</w:t>
            </w:r>
            <w:r w:rsidR="00D91B7A" w:rsidRPr="004A357C">
              <w:t>%</w:t>
            </w:r>
          </w:p>
        </w:tc>
        <w:tc>
          <w:tcPr>
            <w:tcW w:w="978" w:type="dxa"/>
          </w:tcPr>
          <w:p w14:paraId="5451B625" w14:textId="5B2C0689" w:rsidR="00D91B7A" w:rsidRPr="004A357C" w:rsidRDefault="00D91B7A" w:rsidP="00FB712C">
            <w:pPr>
              <w:pStyle w:val="TableNText"/>
              <w:spacing w:before="60" w:after="60" w:line="240" w:lineRule="auto"/>
              <w:rPr>
                <w:rFonts w:asciiTheme="majorHAnsi" w:hAnsiTheme="majorHAnsi" w:cstheme="majorHAnsi"/>
              </w:rPr>
            </w:pPr>
            <w:r w:rsidRPr="004A357C">
              <w:rPr>
                <w:rFonts w:asciiTheme="majorHAnsi" w:hAnsiTheme="majorHAnsi" w:cstheme="majorHAnsi"/>
              </w:rPr>
              <w:t>-</w:t>
            </w:r>
            <w:r w:rsidR="00AD7A96" w:rsidRPr="004A357C">
              <w:rPr>
                <w:rFonts w:asciiTheme="majorHAnsi" w:hAnsiTheme="majorHAnsi" w:cstheme="majorHAnsi"/>
              </w:rPr>
              <w:t>17</w:t>
            </w:r>
            <w:r w:rsidRPr="004A357C">
              <w:rPr>
                <w:rFonts w:asciiTheme="majorHAnsi" w:hAnsiTheme="majorHAnsi" w:cstheme="majorHAnsi"/>
              </w:rPr>
              <w:t>%</w:t>
            </w:r>
          </w:p>
        </w:tc>
      </w:tr>
    </w:tbl>
    <w:p w14:paraId="7AECC9B1" w14:textId="77777777" w:rsidR="0024585F" w:rsidRPr="004A357C" w:rsidRDefault="0024585F" w:rsidP="0024585F">
      <w:pPr>
        <w:rPr>
          <w:lang w:eastAsia="en-AU"/>
        </w:rPr>
      </w:pPr>
    </w:p>
    <w:p w14:paraId="2FC30F57" w14:textId="3882327C" w:rsidR="003F5E17" w:rsidRPr="004A357C" w:rsidRDefault="003F5E17" w:rsidP="003F5E17">
      <w:pPr>
        <w:pStyle w:val="xAppendixLevel2"/>
      </w:pPr>
      <w:bookmarkStart w:id="132" w:name="_Toc209176987"/>
      <w:r w:rsidRPr="004A357C">
        <w:lastRenderedPageBreak/>
        <w:t>Indicator 6: Change in PHI premium increases</w:t>
      </w:r>
      <w:bookmarkEnd w:id="132"/>
    </w:p>
    <w:p w14:paraId="35C25477" w14:textId="2DD4D9E5" w:rsidR="003F5E17" w:rsidRPr="004A357C" w:rsidRDefault="003F5E17" w:rsidP="003F5E17">
      <w:pPr>
        <w:pStyle w:val="Heading4"/>
      </w:pPr>
      <w:r w:rsidRPr="004A357C">
        <w:rPr>
          <w:color w:val="F25E21" w:themeColor="accent2"/>
        </w:rPr>
        <w:t xml:space="preserve">Measure 6.1: </w:t>
      </w:r>
      <w:r w:rsidR="000B4404" w:rsidRPr="004A357C">
        <w:t>PHI premium price changes over time</w:t>
      </w:r>
    </w:p>
    <w:p w14:paraId="78144893" w14:textId="60219824" w:rsidR="00AB7A80" w:rsidRPr="004A357C" w:rsidRDefault="00AB7A80" w:rsidP="00B50EE7">
      <w:pPr>
        <w:pStyle w:val="Caption"/>
      </w:pPr>
      <w:r w:rsidRPr="004A357C">
        <w:t xml:space="preserve">Figure </w:t>
      </w:r>
      <w:r w:rsidR="002604D0">
        <w:fldChar w:fldCharType="begin"/>
      </w:r>
      <w:r w:rsidR="002604D0">
        <w:instrText xml:space="preserve"> SEQ Figure \* ARABIC </w:instrText>
      </w:r>
      <w:r w:rsidR="002604D0">
        <w:fldChar w:fldCharType="separate"/>
      </w:r>
      <w:r w:rsidR="00D30634">
        <w:rPr>
          <w:noProof/>
        </w:rPr>
        <w:t>34</w:t>
      </w:r>
      <w:r w:rsidR="002604D0">
        <w:fldChar w:fldCharType="end"/>
      </w:r>
      <w:r w:rsidRPr="004A357C">
        <w:t xml:space="preserve"> | Average year-on-year premium revenue changes for HT PHI per policy and person (as % of prior year)</w:t>
      </w:r>
      <w:r w:rsidRPr="004A357C">
        <w:rPr>
          <w:rStyle w:val="FootnoteReference"/>
        </w:rPr>
        <w:footnoteReference w:id="143"/>
      </w:r>
    </w:p>
    <w:p w14:paraId="3D31397F" w14:textId="77777777" w:rsidR="00AB7A80" w:rsidRPr="004A357C" w:rsidRDefault="00AB7A80" w:rsidP="00AB7A80">
      <w:r w:rsidRPr="00AC7E3F">
        <w:rPr>
          <w:noProof/>
        </w:rPr>
        <w:drawing>
          <wp:inline distT="0" distB="0" distL="0" distR="0" wp14:anchorId="24778DFD" wp14:editId="5A8B5DD6">
            <wp:extent cx="5650411" cy="2915216"/>
            <wp:effectExtent l="0" t="0" r="7620" b="0"/>
            <wp:docPr id="518193962" name="Picture 1" descr="Chart showing growth in premium revenue changes per policy and person from FY16 to FY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93962" name="Picture 1" descr="Chart showing growth in premium revenue changes per policy and person from FY16 to FY24."/>
                    <pic:cNvPicPr/>
                  </pic:nvPicPr>
                  <pic:blipFill>
                    <a:blip r:embed="rId59"/>
                    <a:stretch>
                      <a:fillRect/>
                    </a:stretch>
                  </pic:blipFill>
                  <pic:spPr>
                    <a:xfrm>
                      <a:off x="0" y="0"/>
                      <a:ext cx="5652671" cy="2916382"/>
                    </a:xfrm>
                    <a:prstGeom prst="rect">
                      <a:avLst/>
                    </a:prstGeom>
                  </pic:spPr>
                </pic:pic>
              </a:graphicData>
            </a:graphic>
          </wp:inline>
        </w:drawing>
      </w:r>
    </w:p>
    <w:p w14:paraId="394E0077" w14:textId="292A1967" w:rsidR="003F5E17" w:rsidRPr="004A357C" w:rsidRDefault="003F5E17" w:rsidP="003F5E17">
      <w:pPr>
        <w:pStyle w:val="xAppendixLevel2"/>
      </w:pPr>
      <w:bookmarkStart w:id="133" w:name="_Ref202192358"/>
      <w:bookmarkStart w:id="134" w:name="_Toc209176988"/>
      <w:r w:rsidRPr="004A357C">
        <w:lastRenderedPageBreak/>
        <w:t xml:space="preserve">Indicator 7: </w:t>
      </w:r>
      <w:r w:rsidR="00E11AEC" w:rsidRPr="004A357C">
        <w:t>Change in PHI coverage and for whom</w:t>
      </w:r>
      <w:bookmarkEnd w:id="133"/>
      <w:bookmarkEnd w:id="134"/>
    </w:p>
    <w:p w14:paraId="682E90F6" w14:textId="1A94DEA2" w:rsidR="00956FD5" w:rsidRPr="004A357C" w:rsidRDefault="00956FD5" w:rsidP="00956FD5">
      <w:pPr>
        <w:pStyle w:val="Heading4"/>
      </w:pPr>
      <w:r w:rsidRPr="004A357C">
        <w:rPr>
          <w:color w:val="F25E21" w:themeColor="accent2"/>
        </w:rPr>
        <w:t xml:space="preserve">Measure 7.2: </w:t>
      </w:r>
      <w:r w:rsidRPr="004A357C">
        <w:t>Utilisation of PL items by privately insured patients</w:t>
      </w:r>
    </w:p>
    <w:p w14:paraId="06243241" w14:textId="31A5562C" w:rsidR="00F84584" w:rsidRPr="004A357C" w:rsidRDefault="00F84584" w:rsidP="00B50EE7">
      <w:pPr>
        <w:pStyle w:val="Caption"/>
      </w:pPr>
      <w:bookmarkStart w:id="135" w:name="_Ref202188951"/>
      <w:r w:rsidRPr="004A357C">
        <w:t xml:space="preserve">Figure </w:t>
      </w:r>
      <w:r w:rsidR="002604D0">
        <w:fldChar w:fldCharType="begin"/>
      </w:r>
      <w:r w:rsidR="002604D0">
        <w:instrText xml:space="preserve"> SEQ Figure \* ARABIC </w:instrText>
      </w:r>
      <w:r w:rsidR="002604D0">
        <w:fldChar w:fldCharType="separate"/>
      </w:r>
      <w:r w:rsidR="00D30634">
        <w:rPr>
          <w:noProof/>
        </w:rPr>
        <w:t>35</w:t>
      </w:r>
      <w:r w:rsidR="002604D0">
        <w:fldChar w:fldCharType="end"/>
      </w:r>
      <w:bookmarkEnd w:id="135"/>
      <w:r w:rsidRPr="004A357C">
        <w:t xml:space="preserve"> | Average prostheses utilisation per 1000 HT PHI members by age</w:t>
      </w:r>
      <w:r w:rsidRPr="00FB712C">
        <w:rPr>
          <w:rStyle w:val="FootnoteReference"/>
        </w:rPr>
        <w:footnoteReference w:id="144"/>
      </w:r>
      <w:r w:rsidRPr="004A357C">
        <w:rPr>
          <w:vertAlign w:val="superscript"/>
        </w:rPr>
        <w:t>,</w:t>
      </w:r>
      <w:r w:rsidRPr="00FB712C">
        <w:rPr>
          <w:rStyle w:val="FootnoteReference"/>
        </w:rPr>
        <w:footnoteReference w:id="145"/>
      </w:r>
    </w:p>
    <w:p w14:paraId="35A891F3" w14:textId="77777777" w:rsidR="00F84584" w:rsidRPr="004A357C" w:rsidRDefault="00F84584" w:rsidP="00F84584">
      <w:pPr>
        <w:rPr>
          <w:lang w:eastAsia="en-AU"/>
        </w:rPr>
      </w:pPr>
      <w:r w:rsidRPr="00AC7E3F">
        <w:rPr>
          <w:noProof/>
          <w:lang w:eastAsia="en-AU"/>
        </w:rPr>
        <w:drawing>
          <wp:inline distT="0" distB="0" distL="0" distR="0" wp14:anchorId="1EF3E2CF" wp14:editId="5ABB3EE8">
            <wp:extent cx="5640309" cy="2928658"/>
            <wp:effectExtent l="0" t="0" r="0" b="5080"/>
            <wp:docPr id="1220176826" name="Picture 1" descr="Chart showing average prostheses utilisation per 1,000 insured members by ag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76826" name="Picture 1" descr="Chart showing average prostheses utilisation per 1,000 insured members by age cohort."/>
                    <pic:cNvPicPr/>
                  </pic:nvPicPr>
                  <pic:blipFill>
                    <a:blip r:embed="rId60"/>
                    <a:stretch>
                      <a:fillRect/>
                    </a:stretch>
                  </pic:blipFill>
                  <pic:spPr>
                    <a:xfrm>
                      <a:off x="0" y="0"/>
                      <a:ext cx="5644786" cy="2930983"/>
                    </a:xfrm>
                    <a:prstGeom prst="rect">
                      <a:avLst/>
                    </a:prstGeom>
                  </pic:spPr>
                </pic:pic>
              </a:graphicData>
            </a:graphic>
          </wp:inline>
        </w:drawing>
      </w:r>
    </w:p>
    <w:p w14:paraId="6B307D74" w14:textId="28B179F2" w:rsidR="00E14A9B" w:rsidRPr="004A357C" w:rsidRDefault="00E14A9B" w:rsidP="00FB712C">
      <w:pPr>
        <w:pStyle w:val="xAppendixLevel2"/>
        <w:spacing w:before="480"/>
      </w:pPr>
      <w:bookmarkStart w:id="136" w:name="_Toc204695321"/>
      <w:bookmarkStart w:id="137" w:name="_Toc204767306"/>
      <w:bookmarkStart w:id="138" w:name="_Ref202884080"/>
      <w:bookmarkStart w:id="139" w:name="_Toc209176989"/>
      <w:bookmarkEnd w:id="136"/>
      <w:bookmarkEnd w:id="137"/>
      <w:r w:rsidRPr="004A357C">
        <w:t xml:space="preserve">Indicator </w:t>
      </w:r>
      <w:r w:rsidR="00090F9D" w:rsidRPr="004A357C">
        <w:t>9</w:t>
      </w:r>
      <w:r w:rsidRPr="004A357C">
        <w:t>: Implementation of PL regrouping</w:t>
      </w:r>
      <w:bookmarkEnd w:id="138"/>
      <w:bookmarkEnd w:id="139"/>
    </w:p>
    <w:p w14:paraId="1E617AC9" w14:textId="17A0A3CB" w:rsidR="00E14A9B" w:rsidRPr="004A357C" w:rsidRDefault="00E14A9B" w:rsidP="00E14A9B">
      <w:pPr>
        <w:pStyle w:val="Heading4"/>
      </w:pPr>
      <w:r w:rsidRPr="004A357C">
        <w:rPr>
          <w:color w:val="F25E21" w:themeColor="accent2"/>
        </w:rPr>
        <w:t xml:space="preserve">Measure 9.2: </w:t>
      </w:r>
      <w:r w:rsidRPr="004A357C">
        <w:t>Number of PL items and benefit groups</w:t>
      </w:r>
    </w:p>
    <w:p w14:paraId="1CB02E63" w14:textId="1BAE5B87" w:rsidR="00E14A9B" w:rsidRPr="004A357C" w:rsidRDefault="00317D5C" w:rsidP="00E14A9B">
      <w:pPr>
        <w:rPr>
          <w:lang w:eastAsia="en-AU"/>
        </w:rPr>
      </w:pPr>
      <w:r w:rsidRPr="004A357C">
        <w:rPr>
          <w:lang w:eastAsia="en-AU"/>
        </w:rPr>
        <w:fldChar w:fldCharType="begin"/>
      </w:r>
      <w:r w:rsidRPr="004A357C">
        <w:rPr>
          <w:lang w:eastAsia="en-AU"/>
        </w:rPr>
        <w:instrText xml:space="preserve"> REF _Ref199403615 \h </w:instrText>
      </w:r>
      <w:r w:rsidRPr="004A357C">
        <w:rPr>
          <w:lang w:eastAsia="en-AU"/>
        </w:rPr>
      </w:r>
      <w:r w:rsidRPr="004A357C">
        <w:rPr>
          <w:lang w:eastAsia="en-AU"/>
        </w:rPr>
        <w:fldChar w:fldCharType="separate"/>
      </w:r>
      <w:r w:rsidR="00D30634" w:rsidRPr="004A357C">
        <w:t xml:space="preserve">Table </w:t>
      </w:r>
      <w:r w:rsidR="00D30634">
        <w:rPr>
          <w:noProof/>
        </w:rPr>
        <w:t>29</w:t>
      </w:r>
      <w:r w:rsidRPr="004A357C">
        <w:rPr>
          <w:lang w:eastAsia="en-AU"/>
        </w:rPr>
        <w:fldChar w:fldCharType="end"/>
      </w:r>
      <w:r w:rsidRPr="004A357C">
        <w:rPr>
          <w:lang w:eastAsia="en-AU"/>
        </w:rPr>
        <w:t xml:space="preserve"> </w:t>
      </w:r>
      <w:r w:rsidR="00C80BAF" w:rsidRPr="004A357C">
        <w:rPr>
          <w:lang w:eastAsia="en-AU"/>
        </w:rPr>
        <w:t xml:space="preserve">below summarises the number of items per category in the August 2024 PL. The overall number of items declined from the July 2021 </w:t>
      </w:r>
      <w:r w:rsidR="00764455" w:rsidRPr="004A357C">
        <w:rPr>
          <w:lang w:eastAsia="en-AU"/>
        </w:rPr>
        <w:t>and July 2023 PLs</w:t>
      </w:r>
      <w:r w:rsidR="00C80BAF" w:rsidRPr="004A357C">
        <w:rPr>
          <w:lang w:eastAsia="en-AU"/>
        </w:rPr>
        <w:t xml:space="preserve"> (see</w:t>
      </w:r>
      <w:r w:rsidR="00740FEC">
        <w:rPr>
          <w:lang w:eastAsia="en-AU"/>
        </w:rPr>
        <w:t xml:space="preserve"> </w:t>
      </w:r>
      <w:r w:rsidR="00531ED5" w:rsidRPr="004A357C">
        <w:rPr>
          <w:lang w:eastAsia="en-AU"/>
        </w:rPr>
        <w:fldChar w:fldCharType="begin"/>
      </w:r>
      <w:r w:rsidR="00531ED5" w:rsidRPr="004A357C">
        <w:rPr>
          <w:lang w:eastAsia="en-AU"/>
        </w:rPr>
        <w:instrText xml:space="preserve"> REF _Ref199404735 \h  \* MERGEFORMAT </w:instrText>
      </w:r>
      <w:r w:rsidR="00531ED5" w:rsidRPr="004A357C">
        <w:rPr>
          <w:lang w:eastAsia="en-AU"/>
        </w:rPr>
      </w:r>
      <w:r w:rsidR="00531ED5" w:rsidRPr="004A357C">
        <w:rPr>
          <w:lang w:eastAsia="en-AU"/>
        </w:rPr>
        <w:fldChar w:fldCharType="separate"/>
      </w:r>
      <w:r w:rsidR="00D30634" w:rsidRPr="004A357C">
        <w:t xml:space="preserve">Figure </w:t>
      </w:r>
      <w:r w:rsidR="00D30634">
        <w:t>36</w:t>
      </w:r>
      <w:r w:rsidR="00531ED5" w:rsidRPr="004A357C">
        <w:rPr>
          <w:lang w:eastAsia="en-AU"/>
        </w:rPr>
        <w:fldChar w:fldCharType="end"/>
      </w:r>
      <w:r w:rsidR="00C80BAF" w:rsidRPr="004A357C">
        <w:rPr>
          <w:lang w:eastAsia="en-AU"/>
        </w:rPr>
        <w:t>)</w:t>
      </w:r>
      <w:r w:rsidR="00F67435" w:rsidRPr="004A357C">
        <w:rPr>
          <w:lang w:eastAsia="en-AU"/>
        </w:rPr>
        <w:t xml:space="preserve">. </w:t>
      </w:r>
      <w:r w:rsidR="00976E89" w:rsidRPr="004A357C">
        <w:rPr>
          <w:lang w:eastAsia="en-AU"/>
        </w:rPr>
        <w:t xml:space="preserve">Part C was the only part with an increase in the number of items, growing from 116 </w:t>
      </w:r>
      <w:r w:rsidR="00241263" w:rsidRPr="004A357C">
        <w:rPr>
          <w:lang w:eastAsia="en-AU"/>
        </w:rPr>
        <w:t xml:space="preserve">in July 2023 </w:t>
      </w:r>
      <w:r w:rsidR="00976E89" w:rsidRPr="004A357C">
        <w:rPr>
          <w:lang w:eastAsia="en-AU"/>
        </w:rPr>
        <w:t>to 140</w:t>
      </w:r>
      <w:r w:rsidR="00241263" w:rsidRPr="004A357C">
        <w:rPr>
          <w:lang w:eastAsia="en-AU"/>
        </w:rPr>
        <w:t xml:space="preserve"> in August 2024.</w:t>
      </w:r>
    </w:p>
    <w:p w14:paraId="24CA839F" w14:textId="09BBBE87" w:rsidR="00E14A9B" w:rsidRPr="004A357C" w:rsidRDefault="00E14A9B" w:rsidP="00B50EE7">
      <w:pPr>
        <w:pStyle w:val="Caption"/>
      </w:pPr>
      <w:bookmarkStart w:id="140" w:name="_Ref199403615"/>
      <w:r w:rsidRPr="004A357C">
        <w:lastRenderedPageBreak/>
        <w:t xml:space="preserve">Table </w:t>
      </w:r>
      <w:r w:rsidR="002604D0">
        <w:fldChar w:fldCharType="begin"/>
      </w:r>
      <w:r w:rsidR="002604D0">
        <w:instrText xml:space="preserve"> SEQ Table \* ARABIC </w:instrText>
      </w:r>
      <w:r w:rsidR="002604D0">
        <w:fldChar w:fldCharType="separate"/>
      </w:r>
      <w:r w:rsidR="00D30634">
        <w:rPr>
          <w:noProof/>
        </w:rPr>
        <w:t>29</w:t>
      </w:r>
      <w:r w:rsidR="002604D0">
        <w:fldChar w:fldCharType="end"/>
      </w:r>
      <w:bookmarkEnd w:id="140"/>
      <w:r w:rsidRPr="004A357C">
        <w:t xml:space="preserve"> | Number of items per category in the August 2024 PL</w:t>
      </w:r>
      <w:r w:rsidR="00433DE8" w:rsidRPr="004A357C">
        <w:rPr>
          <w:rStyle w:val="FootnoteReference"/>
        </w:rPr>
        <w:footnoteReference w:id="146"/>
      </w:r>
    </w:p>
    <w:tbl>
      <w:tblPr>
        <w:tblStyle w:val="NOUSSideHeader1"/>
        <w:tblW w:w="0" w:type="auto"/>
        <w:tblLook w:val="04A0" w:firstRow="1" w:lastRow="0" w:firstColumn="1" w:lastColumn="0" w:noHBand="0" w:noVBand="1"/>
      </w:tblPr>
      <w:tblGrid>
        <w:gridCol w:w="796"/>
        <w:gridCol w:w="3693"/>
        <w:gridCol w:w="892"/>
        <w:gridCol w:w="879"/>
        <w:gridCol w:w="879"/>
        <w:gridCol w:w="879"/>
        <w:gridCol w:w="912"/>
      </w:tblGrid>
      <w:tr w:rsidR="00DC5B5A" w:rsidRPr="004A357C" w14:paraId="1D922B27" w14:textId="77777777" w:rsidTr="00AC7F0C">
        <w:trPr>
          <w:cnfStyle w:val="100000000000" w:firstRow="1" w:lastRow="0" w:firstColumn="0" w:lastColumn="0" w:oddVBand="0" w:evenVBand="0" w:oddHBand="0" w:evenHBand="0" w:firstRowFirstColumn="0" w:firstRowLastColumn="0" w:lastRowFirstColumn="0" w:lastRowLastColumn="0"/>
          <w:trHeight w:val="162"/>
        </w:trPr>
        <w:tc>
          <w:tcPr>
            <w:tcW w:w="796" w:type="dxa"/>
          </w:tcPr>
          <w:p w14:paraId="2D83799F" w14:textId="77777777" w:rsidR="00F01DF3" w:rsidRPr="004A357C" w:rsidRDefault="00F01DF3" w:rsidP="00FB712C">
            <w:pPr>
              <w:spacing w:before="60" w:after="60"/>
              <w:rPr>
                <w:rFonts w:asciiTheme="majorHAnsi" w:hAnsiTheme="majorHAnsi" w:cstheme="majorHAnsi"/>
                <w:b/>
                <w:sz w:val="18"/>
                <w:szCs w:val="18"/>
              </w:rPr>
            </w:pPr>
          </w:p>
        </w:tc>
        <w:tc>
          <w:tcPr>
            <w:tcW w:w="3693" w:type="dxa"/>
          </w:tcPr>
          <w:p w14:paraId="27DD8C20" w14:textId="77777777" w:rsidR="00F01DF3" w:rsidRPr="004A357C" w:rsidRDefault="00F01DF3" w:rsidP="00FB712C">
            <w:pPr>
              <w:pStyle w:val="TableNheader"/>
              <w:spacing w:before="60" w:after="60" w:line="240" w:lineRule="auto"/>
              <w:rPr>
                <w:b/>
              </w:rPr>
            </w:pPr>
            <w:r w:rsidRPr="004A357C">
              <w:t>Category</w:t>
            </w:r>
          </w:p>
        </w:tc>
        <w:tc>
          <w:tcPr>
            <w:tcW w:w="892" w:type="dxa"/>
          </w:tcPr>
          <w:p w14:paraId="79556669" w14:textId="77777777" w:rsidR="00F01DF3" w:rsidRPr="004A357C" w:rsidRDefault="00F01DF3" w:rsidP="00FB712C">
            <w:pPr>
              <w:pStyle w:val="TableNheader"/>
              <w:spacing w:before="60" w:after="60" w:line="240" w:lineRule="auto"/>
              <w:jc w:val="center"/>
              <w:rPr>
                <w:b/>
              </w:rPr>
            </w:pPr>
            <w:r w:rsidRPr="004A357C">
              <w:t>Part A</w:t>
            </w:r>
          </w:p>
        </w:tc>
        <w:tc>
          <w:tcPr>
            <w:tcW w:w="879" w:type="dxa"/>
          </w:tcPr>
          <w:p w14:paraId="5C46D296" w14:textId="77777777" w:rsidR="00F01DF3" w:rsidRPr="004A357C" w:rsidRDefault="00F01DF3" w:rsidP="00FB712C">
            <w:pPr>
              <w:pStyle w:val="TableNheader"/>
              <w:spacing w:before="60" w:after="60" w:line="240" w:lineRule="auto"/>
              <w:jc w:val="center"/>
              <w:rPr>
                <w:b/>
              </w:rPr>
            </w:pPr>
            <w:r w:rsidRPr="004A357C">
              <w:t>Part B</w:t>
            </w:r>
          </w:p>
        </w:tc>
        <w:tc>
          <w:tcPr>
            <w:tcW w:w="879" w:type="dxa"/>
          </w:tcPr>
          <w:p w14:paraId="2409BBDB" w14:textId="77777777" w:rsidR="00F01DF3" w:rsidRPr="004A357C" w:rsidRDefault="00F01DF3" w:rsidP="00FB712C">
            <w:pPr>
              <w:pStyle w:val="TableNheader"/>
              <w:spacing w:before="60" w:after="60" w:line="240" w:lineRule="auto"/>
              <w:jc w:val="center"/>
            </w:pPr>
            <w:r w:rsidRPr="004A357C">
              <w:t>Part C</w:t>
            </w:r>
          </w:p>
        </w:tc>
        <w:tc>
          <w:tcPr>
            <w:tcW w:w="879" w:type="dxa"/>
          </w:tcPr>
          <w:p w14:paraId="24788199" w14:textId="77777777" w:rsidR="00F01DF3" w:rsidRPr="004A357C" w:rsidRDefault="00F01DF3" w:rsidP="00FB712C">
            <w:pPr>
              <w:pStyle w:val="TableNheader"/>
              <w:spacing w:before="60" w:after="60" w:line="240" w:lineRule="auto"/>
              <w:jc w:val="center"/>
              <w:rPr>
                <w:b/>
              </w:rPr>
            </w:pPr>
            <w:r w:rsidRPr="004A357C">
              <w:t>Part D</w:t>
            </w:r>
          </w:p>
        </w:tc>
        <w:tc>
          <w:tcPr>
            <w:tcW w:w="912" w:type="dxa"/>
          </w:tcPr>
          <w:p w14:paraId="3E109789" w14:textId="77777777" w:rsidR="00F01DF3" w:rsidRPr="004A357C" w:rsidRDefault="00F01DF3" w:rsidP="00FB712C">
            <w:pPr>
              <w:pStyle w:val="TableNheader"/>
              <w:spacing w:before="60" w:after="60" w:line="240" w:lineRule="auto"/>
              <w:jc w:val="center"/>
              <w:rPr>
                <w:b/>
              </w:rPr>
            </w:pPr>
            <w:r w:rsidRPr="004A357C">
              <w:t>Total</w:t>
            </w:r>
          </w:p>
        </w:tc>
      </w:tr>
      <w:tr w:rsidR="00A30A22" w:rsidRPr="004A357C" w14:paraId="3A6DFC0C" w14:textId="77777777" w:rsidTr="00AC7F0C">
        <w:trPr>
          <w:cnfStyle w:val="000000100000" w:firstRow="0" w:lastRow="0" w:firstColumn="0" w:lastColumn="0" w:oddVBand="0" w:evenVBand="0" w:oddHBand="1" w:evenHBand="0" w:firstRowFirstColumn="0" w:firstRowLastColumn="0" w:lastRowFirstColumn="0" w:lastRowLastColumn="0"/>
        </w:trPr>
        <w:tc>
          <w:tcPr>
            <w:tcW w:w="796" w:type="dxa"/>
            <w:vMerge w:val="restart"/>
            <w:textDirection w:val="btLr"/>
          </w:tcPr>
          <w:p w14:paraId="0B8E3C7B" w14:textId="77777777" w:rsidR="00A30A22" w:rsidRPr="004A357C" w:rsidRDefault="00A30A22" w:rsidP="00FB712C">
            <w:pPr>
              <w:pStyle w:val="TableNheader"/>
              <w:spacing w:before="60" w:after="60" w:line="240" w:lineRule="auto"/>
              <w:jc w:val="center"/>
            </w:pPr>
            <w:r w:rsidRPr="004A357C">
              <w:t>Parts A, C and D</w:t>
            </w:r>
          </w:p>
        </w:tc>
        <w:tc>
          <w:tcPr>
            <w:tcW w:w="3693" w:type="dxa"/>
          </w:tcPr>
          <w:p w14:paraId="6AB2EED5" w14:textId="043DC880"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01 </w:t>
            </w:r>
            <w:r w:rsidR="00886310" w:rsidRPr="004A357C">
              <w:rPr>
                <w:rFonts w:asciiTheme="majorHAnsi" w:hAnsiTheme="majorHAnsi" w:cstheme="majorHAnsi"/>
              </w:rPr>
              <w:t>–</w:t>
            </w:r>
            <w:r w:rsidRPr="004A357C">
              <w:rPr>
                <w:rFonts w:ascii="Segoe UI Semibold" w:hAnsi="Segoe UI Semibold" w:cs="Segoe UI Semibold"/>
              </w:rPr>
              <w:t xml:space="preserve"> Ophthalmic</w:t>
            </w:r>
          </w:p>
        </w:tc>
        <w:tc>
          <w:tcPr>
            <w:tcW w:w="892" w:type="dxa"/>
          </w:tcPr>
          <w:p w14:paraId="6D814B66" w14:textId="35BB3FE4" w:rsidR="00A30A22" w:rsidRPr="004A357C" w:rsidRDefault="00A30A22" w:rsidP="00FB712C">
            <w:pPr>
              <w:pStyle w:val="TableNText"/>
              <w:spacing w:before="60" w:after="60" w:line="240" w:lineRule="auto"/>
              <w:jc w:val="center"/>
            </w:pPr>
            <w:r w:rsidRPr="004A357C">
              <w:t>361</w:t>
            </w:r>
          </w:p>
        </w:tc>
        <w:tc>
          <w:tcPr>
            <w:tcW w:w="879" w:type="dxa"/>
          </w:tcPr>
          <w:p w14:paraId="14368916" w14:textId="619FDC38" w:rsidR="00A30A22" w:rsidRPr="004A357C" w:rsidRDefault="00A30A22" w:rsidP="00FB712C">
            <w:pPr>
              <w:pStyle w:val="TableNText"/>
              <w:spacing w:before="60" w:after="60" w:line="240" w:lineRule="auto"/>
              <w:jc w:val="center"/>
            </w:pPr>
            <w:r w:rsidRPr="004A357C">
              <w:t>-</w:t>
            </w:r>
          </w:p>
        </w:tc>
        <w:tc>
          <w:tcPr>
            <w:tcW w:w="879" w:type="dxa"/>
          </w:tcPr>
          <w:p w14:paraId="0B35BC61" w14:textId="69791889" w:rsidR="00A30A22" w:rsidRPr="004A357C" w:rsidRDefault="00A30A22" w:rsidP="00FB712C">
            <w:pPr>
              <w:pStyle w:val="TableNText"/>
              <w:spacing w:before="60" w:after="60" w:line="240" w:lineRule="auto"/>
              <w:jc w:val="center"/>
            </w:pPr>
            <w:r w:rsidRPr="004A357C">
              <w:t>-</w:t>
            </w:r>
          </w:p>
        </w:tc>
        <w:tc>
          <w:tcPr>
            <w:tcW w:w="879" w:type="dxa"/>
          </w:tcPr>
          <w:p w14:paraId="27888F3C" w14:textId="0E3ED041" w:rsidR="00A30A22" w:rsidRPr="004A357C" w:rsidRDefault="00A30A22" w:rsidP="00FB712C">
            <w:pPr>
              <w:pStyle w:val="TableNText"/>
              <w:spacing w:before="60" w:after="60" w:line="240" w:lineRule="auto"/>
              <w:jc w:val="center"/>
            </w:pPr>
            <w:r w:rsidRPr="004A357C">
              <w:t>-</w:t>
            </w:r>
          </w:p>
        </w:tc>
        <w:tc>
          <w:tcPr>
            <w:tcW w:w="912" w:type="dxa"/>
          </w:tcPr>
          <w:p w14:paraId="3CEBBAE7" w14:textId="072C1208" w:rsidR="00A30A22" w:rsidRPr="004A357C" w:rsidRDefault="00A30A22" w:rsidP="00FB712C">
            <w:pPr>
              <w:pStyle w:val="TableNText"/>
              <w:spacing w:before="60" w:after="60" w:line="240" w:lineRule="auto"/>
              <w:jc w:val="center"/>
              <w:rPr>
                <w:rFonts w:ascii="Segoe UI Semibold" w:hAnsi="Segoe UI Semibold" w:cs="Segoe UI Semibold"/>
              </w:rPr>
            </w:pPr>
            <w:r w:rsidRPr="004A357C">
              <w:t>361</w:t>
            </w:r>
          </w:p>
        </w:tc>
      </w:tr>
      <w:tr w:rsidR="00A30A22" w:rsidRPr="004A357C" w14:paraId="7D845280" w14:textId="77777777" w:rsidTr="00AC7F0C">
        <w:trPr>
          <w:cnfStyle w:val="000000010000" w:firstRow="0" w:lastRow="0" w:firstColumn="0" w:lastColumn="0" w:oddVBand="0" w:evenVBand="0" w:oddHBand="0" w:evenHBand="1" w:firstRowFirstColumn="0" w:firstRowLastColumn="0" w:lastRowFirstColumn="0" w:lastRowLastColumn="0"/>
        </w:trPr>
        <w:tc>
          <w:tcPr>
            <w:tcW w:w="796" w:type="dxa"/>
            <w:vMerge/>
          </w:tcPr>
          <w:p w14:paraId="286B20D1" w14:textId="77777777" w:rsidR="00A30A22" w:rsidRPr="004A357C" w:rsidRDefault="00A30A22" w:rsidP="00FB712C">
            <w:pPr>
              <w:pStyle w:val="TableNheader"/>
              <w:spacing w:before="60" w:after="60" w:line="240" w:lineRule="auto"/>
              <w:jc w:val="center"/>
            </w:pPr>
          </w:p>
        </w:tc>
        <w:tc>
          <w:tcPr>
            <w:tcW w:w="3693" w:type="dxa"/>
          </w:tcPr>
          <w:p w14:paraId="30D6BE34" w14:textId="51419BF5"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02 </w:t>
            </w:r>
            <w:r w:rsidR="00886310" w:rsidRPr="004A357C">
              <w:rPr>
                <w:rFonts w:asciiTheme="majorHAnsi" w:hAnsiTheme="majorHAnsi" w:cstheme="majorHAnsi"/>
              </w:rPr>
              <w:t>–</w:t>
            </w:r>
            <w:r w:rsidRPr="004A357C">
              <w:rPr>
                <w:rFonts w:ascii="Segoe UI Semibold" w:hAnsi="Segoe UI Semibold" w:cs="Segoe UI Semibold"/>
              </w:rPr>
              <w:t xml:space="preserve"> Ear, Nose &amp; Throat</w:t>
            </w:r>
          </w:p>
        </w:tc>
        <w:tc>
          <w:tcPr>
            <w:tcW w:w="892" w:type="dxa"/>
          </w:tcPr>
          <w:p w14:paraId="394BA749" w14:textId="15789093" w:rsidR="00A30A22" w:rsidRPr="004A357C" w:rsidRDefault="00A30A22" w:rsidP="00FB712C">
            <w:pPr>
              <w:pStyle w:val="TableNText"/>
              <w:spacing w:before="60" w:after="60" w:line="240" w:lineRule="auto"/>
              <w:jc w:val="center"/>
            </w:pPr>
            <w:r w:rsidRPr="004A357C">
              <w:t>155</w:t>
            </w:r>
          </w:p>
        </w:tc>
        <w:tc>
          <w:tcPr>
            <w:tcW w:w="879" w:type="dxa"/>
          </w:tcPr>
          <w:p w14:paraId="265D5F8E" w14:textId="6C4A2C71" w:rsidR="00A30A22" w:rsidRPr="004A357C" w:rsidRDefault="00A30A22" w:rsidP="00FB712C">
            <w:pPr>
              <w:pStyle w:val="TableNText"/>
              <w:spacing w:before="60" w:after="60" w:line="240" w:lineRule="auto"/>
              <w:jc w:val="center"/>
            </w:pPr>
            <w:r w:rsidRPr="004A357C">
              <w:t>-</w:t>
            </w:r>
          </w:p>
        </w:tc>
        <w:tc>
          <w:tcPr>
            <w:tcW w:w="879" w:type="dxa"/>
          </w:tcPr>
          <w:p w14:paraId="6727A1BA" w14:textId="0248B874" w:rsidR="00A30A22" w:rsidRPr="004A357C" w:rsidRDefault="00A30A22" w:rsidP="00FB712C">
            <w:pPr>
              <w:pStyle w:val="TableNText"/>
              <w:spacing w:before="60" w:after="60" w:line="240" w:lineRule="auto"/>
              <w:jc w:val="center"/>
            </w:pPr>
            <w:r w:rsidRPr="004A357C">
              <w:t>-</w:t>
            </w:r>
          </w:p>
        </w:tc>
        <w:tc>
          <w:tcPr>
            <w:tcW w:w="879" w:type="dxa"/>
          </w:tcPr>
          <w:p w14:paraId="76743FEC" w14:textId="2C8B75D2" w:rsidR="00A30A22" w:rsidRPr="004A357C" w:rsidRDefault="00A30A22" w:rsidP="00FB712C">
            <w:pPr>
              <w:pStyle w:val="TableNText"/>
              <w:spacing w:before="60" w:after="60" w:line="240" w:lineRule="auto"/>
              <w:jc w:val="center"/>
            </w:pPr>
            <w:r w:rsidRPr="004A357C">
              <w:t>-</w:t>
            </w:r>
          </w:p>
        </w:tc>
        <w:tc>
          <w:tcPr>
            <w:tcW w:w="912" w:type="dxa"/>
          </w:tcPr>
          <w:p w14:paraId="64C53B64" w14:textId="4429B959" w:rsidR="00A30A22" w:rsidRPr="004A357C" w:rsidRDefault="00A30A22" w:rsidP="00FB712C">
            <w:pPr>
              <w:pStyle w:val="TableNText"/>
              <w:spacing w:before="60" w:after="60" w:line="240" w:lineRule="auto"/>
              <w:jc w:val="center"/>
              <w:rPr>
                <w:rFonts w:ascii="Segoe UI Semibold" w:hAnsi="Segoe UI Semibold" w:cs="Segoe UI Semibold"/>
              </w:rPr>
            </w:pPr>
            <w:r w:rsidRPr="004A357C">
              <w:t>155</w:t>
            </w:r>
          </w:p>
        </w:tc>
      </w:tr>
      <w:tr w:rsidR="00A30A22" w:rsidRPr="004A357C" w14:paraId="2D6DA4AF" w14:textId="77777777" w:rsidTr="00AC7F0C">
        <w:trPr>
          <w:cnfStyle w:val="000000100000" w:firstRow="0" w:lastRow="0" w:firstColumn="0" w:lastColumn="0" w:oddVBand="0" w:evenVBand="0" w:oddHBand="1" w:evenHBand="0" w:firstRowFirstColumn="0" w:firstRowLastColumn="0" w:lastRowFirstColumn="0" w:lastRowLastColumn="0"/>
        </w:trPr>
        <w:tc>
          <w:tcPr>
            <w:tcW w:w="796" w:type="dxa"/>
            <w:vMerge/>
          </w:tcPr>
          <w:p w14:paraId="585DFD46" w14:textId="77777777" w:rsidR="00A30A22" w:rsidRPr="004A357C" w:rsidRDefault="00A30A22" w:rsidP="00FB712C">
            <w:pPr>
              <w:pStyle w:val="TableNheader"/>
              <w:spacing w:before="60" w:after="60" w:line="240" w:lineRule="auto"/>
              <w:jc w:val="center"/>
            </w:pPr>
          </w:p>
        </w:tc>
        <w:tc>
          <w:tcPr>
            <w:tcW w:w="3693" w:type="dxa"/>
          </w:tcPr>
          <w:p w14:paraId="28CA3B2D" w14:textId="5D08EE74"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03 </w:t>
            </w:r>
            <w:r w:rsidR="00886310" w:rsidRPr="004A357C">
              <w:rPr>
                <w:rFonts w:asciiTheme="majorHAnsi" w:hAnsiTheme="majorHAnsi" w:cstheme="majorHAnsi"/>
              </w:rPr>
              <w:t>–</w:t>
            </w:r>
            <w:r w:rsidRPr="004A357C">
              <w:rPr>
                <w:rFonts w:ascii="Segoe UI Semibold" w:hAnsi="Segoe UI Semibold" w:cs="Segoe UI Semibold"/>
              </w:rPr>
              <w:t xml:space="preserve"> General Miscellaneous</w:t>
            </w:r>
          </w:p>
        </w:tc>
        <w:tc>
          <w:tcPr>
            <w:tcW w:w="892" w:type="dxa"/>
          </w:tcPr>
          <w:p w14:paraId="714CF188" w14:textId="2EBAE9EB" w:rsidR="00A30A22" w:rsidRPr="004A357C" w:rsidRDefault="00A30A22" w:rsidP="00FB712C">
            <w:pPr>
              <w:pStyle w:val="TableNText"/>
              <w:spacing w:before="60" w:after="60" w:line="240" w:lineRule="auto"/>
              <w:jc w:val="center"/>
            </w:pPr>
            <w:r w:rsidRPr="004A357C">
              <w:t>327</w:t>
            </w:r>
          </w:p>
        </w:tc>
        <w:tc>
          <w:tcPr>
            <w:tcW w:w="879" w:type="dxa"/>
          </w:tcPr>
          <w:p w14:paraId="2FDAD37C" w14:textId="21E89D89" w:rsidR="00A30A22" w:rsidRPr="004A357C" w:rsidRDefault="00A30A22" w:rsidP="00FB712C">
            <w:pPr>
              <w:pStyle w:val="TableNText"/>
              <w:spacing w:before="60" w:after="60" w:line="240" w:lineRule="auto"/>
              <w:jc w:val="center"/>
            </w:pPr>
            <w:r w:rsidRPr="004A357C">
              <w:t>-</w:t>
            </w:r>
          </w:p>
        </w:tc>
        <w:tc>
          <w:tcPr>
            <w:tcW w:w="879" w:type="dxa"/>
          </w:tcPr>
          <w:p w14:paraId="78F0173B" w14:textId="662317C7" w:rsidR="00A30A22" w:rsidRPr="004A357C" w:rsidRDefault="00A30A22" w:rsidP="00FB712C">
            <w:pPr>
              <w:pStyle w:val="TableNText"/>
              <w:spacing w:before="60" w:after="60" w:line="240" w:lineRule="auto"/>
              <w:jc w:val="center"/>
            </w:pPr>
            <w:r w:rsidRPr="004A357C">
              <w:t>11</w:t>
            </w:r>
          </w:p>
        </w:tc>
        <w:tc>
          <w:tcPr>
            <w:tcW w:w="879" w:type="dxa"/>
          </w:tcPr>
          <w:p w14:paraId="2DB834CF" w14:textId="140F5918" w:rsidR="00A30A22" w:rsidRPr="004A357C" w:rsidRDefault="00A30A22" w:rsidP="00FB712C">
            <w:pPr>
              <w:pStyle w:val="TableNText"/>
              <w:spacing w:before="60" w:after="60" w:line="240" w:lineRule="auto"/>
              <w:jc w:val="center"/>
            </w:pPr>
            <w:r w:rsidRPr="004A357C">
              <w:t>397</w:t>
            </w:r>
          </w:p>
        </w:tc>
        <w:tc>
          <w:tcPr>
            <w:tcW w:w="912" w:type="dxa"/>
          </w:tcPr>
          <w:p w14:paraId="0ECEC524" w14:textId="55D35ACD" w:rsidR="00A30A22" w:rsidRPr="004A357C" w:rsidRDefault="00A30A22" w:rsidP="00FB712C">
            <w:pPr>
              <w:pStyle w:val="TableNText"/>
              <w:spacing w:before="60" w:after="60" w:line="240" w:lineRule="auto"/>
              <w:jc w:val="center"/>
              <w:rPr>
                <w:rFonts w:ascii="Segoe UI Semibold" w:hAnsi="Segoe UI Semibold" w:cs="Segoe UI Semibold"/>
              </w:rPr>
            </w:pPr>
            <w:r w:rsidRPr="004A357C">
              <w:t>735</w:t>
            </w:r>
          </w:p>
        </w:tc>
      </w:tr>
      <w:tr w:rsidR="00A30A22" w:rsidRPr="004A357C" w14:paraId="70B8E82A" w14:textId="77777777" w:rsidTr="00AC7F0C">
        <w:trPr>
          <w:cnfStyle w:val="000000010000" w:firstRow="0" w:lastRow="0" w:firstColumn="0" w:lastColumn="0" w:oddVBand="0" w:evenVBand="0" w:oddHBand="0" w:evenHBand="1" w:firstRowFirstColumn="0" w:firstRowLastColumn="0" w:lastRowFirstColumn="0" w:lastRowLastColumn="0"/>
        </w:trPr>
        <w:tc>
          <w:tcPr>
            <w:tcW w:w="796" w:type="dxa"/>
            <w:vMerge/>
          </w:tcPr>
          <w:p w14:paraId="6253A6AA" w14:textId="77777777" w:rsidR="00A30A22" w:rsidRPr="004A357C" w:rsidRDefault="00A30A22" w:rsidP="00FB712C">
            <w:pPr>
              <w:pStyle w:val="TableNheader"/>
              <w:spacing w:before="60" w:after="60" w:line="240" w:lineRule="auto"/>
              <w:jc w:val="center"/>
            </w:pPr>
          </w:p>
        </w:tc>
        <w:tc>
          <w:tcPr>
            <w:tcW w:w="3693" w:type="dxa"/>
          </w:tcPr>
          <w:p w14:paraId="3E2DA079" w14:textId="3AB0B9EC"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04 </w:t>
            </w:r>
            <w:r w:rsidR="00886310" w:rsidRPr="004A357C">
              <w:rPr>
                <w:rFonts w:asciiTheme="majorHAnsi" w:hAnsiTheme="majorHAnsi" w:cstheme="majorHAnsi"/>
              </w:rPr>
              <w:t>–</w:t>
            </w:r>
            <w:r w:rsidRPr="004A357C">
              <w:rPr>
                <w:rFonts w:ascii="Segoe UI Semibold" w:hAnsi="Segoe UI Semibold" w:cs="Segoe UI Semibold"/>
              </w:rPr>
              <w:t xml:space="preserve"> Neurosurgical</w:t>
            </w:r>
          </w:p>
        </w:tc>
        <w:tc>
          <w:tcPr>
            <w:tcW w:w="892" w:type="dxa"/>
          </w:tcPr>
          <w:p w14:paraId="77721E31" w14:textId="07609BAF" w:rsidR="00A30A22" w:rsidRPr="004A357C" w:rsidRDefault="00A30A22" w:rsidP="00FB712C">
            <w:pPr>
              <w:pStyle w:val="TableNText"/>
              <w:spacing w:before="60" w:after="60" w:line="240" w:lineRule="auto"/>
              <w:jc w:val="center"/>
            </w:pPr>
            <w:r w:rsidRPr="004A357C">
              <w:t>437</w:t>
            </w:r>
          </w:p>
        </w:tc>
        <w:tc>
          <w:tcPr>
            <w:tcW w:w="879" w:type="dxa"/>
          </w:tcPr>
          <w:p w14:paraId="6FFD2EA4" w14:textId="7F0EAE65" w:rsidR="00A30A22" w:rsidRPr="004A357C" w:rsidRDefault="00A30A22" w:rsidP="00FB712C">
            <w:pPr>
              <w:pStyle w:val="TableNText"/>
              <w:spacing w:before="60" w:after="60" w:line="240" w:lineRule="auto"/>
              <w:jc w:val="center"/>
            </w:pPr>
            <w:r w:rsidRPr="004A357C">
              <w:t>-</w:t>
            </w:r>
          </w:p>
        </w:tc>
        <w:tc>
          <w:tcPr>
            <w:tcW w:w="879" w:type="dxa"/>
          </w:tcPr>
          <w:p w14:paraId="5EF338B2" w14:textId="0BEBE0E4" w:rsidR="00A30A22" w:rsidRPr="004A357C" w:rsidRDefault="00A30A22" w:rsidP="00FB712C">
            <w:pPr>
              <w:pStyle w:val="TableNText"/>
              <w:spacing w:before="60" w:after="60" w:line="240" w:lineRule="auto"/>
              <w:jc w:val="center"/>
            </w:pPr>
            <w:r w:rsidRPr="004A357C">
              <w:t>-</w:t>
            </w:r>
          </w:p>
        </w:tc>
        <w:tc>
          <w:tcPr>
            <w:tcW w:w="879" w:type="dxa"/>
          </w:tcPr>
          <w:p w14:paraId="33D2ECE4" w14:textId="114CC083" w:rsidR="00A30A22" w:rsidRPr="004A357C" w:rsidRDefault="00A30A22" w:rsidP="00FB712C">
            <w:pPr>
              <w:pStyle w:val="TableNText"/>
              <w:spacing w:before="60" w:after="60" w:line="240" w:lineRule="auto"/>
              <w:jc w:val="center"/>
            </w:pPr>
            <w:r w:rsidRPr="004A357C">
              <w:t>4</w:t>
            </w:r>
          </w:p>
        </w:tc>
        <w:tc>
          <w:tcPr>
            <w:tcW w:w="912" w:type="dxa"/>
          </w:tcPr>
          <w:p w14:paraId="3DD6B3B4" w14:textId="400A8EE2" w:rsidR="00A30A22" w:rsidRPr="004A357C" w:rsidRDefault="00A30A22" w:rsidP="00FB712C">
            <w:pPr>
              <w:pStyle w:val="TableNText"/>
              <w:spacing w:before="60" w:after="60" w:line="240" w:lineRule="auto"/>
              <w:jc w:val="center"/>
              <w:rPr>
                <w:rFonts w:ascii="Segoe UI Semibold" w:hAnsi="Segoe UI Semibold" w:cs="Segoe UI Semibold"/>
              </w:rPr>
            </w:pPr>
            <w:r w:rsidRPr="004A357C">
              <w:t>441</w:t>
            </w:r>
          </w:p>
        </w:tc>
      </w:tr>
      <w:tr w:rsidR="00A30A22" w:rsidRPr="004A357C" w14:paraId="7E2919C9" w14:textId="77777777" w:rsidTr="00AC7F0C">
        <w:trPr>
          <w:cnfStyle w:val="000000100000" w:firstRow="0" w:lastRow="0" w:firstColumn="0" w:lastColumn="0" w:oddVBand="0" w:evenVBand="0" w:oddHBand="1" w:evenHBand="0" w:firstRowFirstColumn="0" w:firstRowLastColumn="0" w:lastRowFirstColumn="0" w:lastRowLastColumn="0"/>
        </w:trPr>
        <w:tc>
          <w:tcPr>
            <w:tcW w:w="796" w:type="dxa"/>
            <w:vMerge/>
          </w:tcPr>
          <w:p w14:paraId="00AF830E" w14:textId="77777777" w:rsidR="00A30A22" w:rsidRPr="004A357C" w:rsidRDefault="00A30A22" w:rsidP="00FB712C">
            <w:pPr>
              <w:pStyle w:val="TableNheader"/>
              <w:spacing w:before="60" w:after="60" w:line="240" w:lineRule="auto"/>
              <w:jc w:val="center"/>
            </w:pPr>
          </w:p>
        </w:tc>
        <w:tc>
          <w:tcPr>
            <w:tcW w:w="3693" w:type="dxa"/>
          </w:tcPr>
          <w:p w14:paraId="684363DC" w14:textId="28D96E26"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05 </w:t>
            </w:r>
            <w:r w:rsidR="00886310" w:rsidRPr="004A357C">
              <w:rPr>
                <w:rFonts w:asciiTheme="majorHAnsi" w:hAnsiTheme="majorHAnsi" w:cstheme="majorHAnsi"/>
              </w:rPr>
              <w:t>–</w:t>
            </w:r>
            <w:r w:rsidRPr="004A357C">
              <w:rPr>
                <w:rFonts w:ascii="Segoe UI Semibold" w:hAnsi="Segoe UI Semibold" w:cs="Segoe UI Semibold"/>
              </w:rPr>
              <w:t xml:space="preserve"> Urogenital</w:t>
            </w:r>
          </w:p>
        </w:tc>
        <w:tc>
          <w:tcPr>
            <w:tcW w:w="892" w:type="dxa"/>
          </w:tcPr>
          <w:p w14:paraId="7C5ADC77" w14:textId="713913C9" w:rsidR="00A30A22" w:rsidRPr="004A357C" w:rsidRDefault="00A30A22" w:rsidP="00FB712C">
            <w:pPr>
              <w:pStyle w:val="TableNText"/>
              <w:spacing w:before="60" w:after="60" w:line="240" w:lineRule="auto"/>
              <w:jc w:val="center"/>
            </w:pPr>
            <w:r w:rsidRPr="004A357C">
              <w:t>182</w:t>
            </w:r>
          </w:p>
        </w:tc>
        <w:tc>
          <w:tcPr>
            <w:tcW w:w="879" w:type="dxa"/>
          </w:tcPr>
          <w:p w14:paraId="44C8BBF7" w14:textId="1647896C" w:rsidR="00A30A22" w:rsidRPr="004A357C" w:rsidRDefault="00A30A22" w:rsidP="00FB712C">
            <w:pPr>
              <w:pStyle w:val="TableNText"/>
              <w:spacing w:before="60" w:after="60" w:line="240" w:lineRule="auto"/>
              <w:jc w:val="center"/>
            </w:pPr>
            <w:r w:rsidRPr="004A357C">
              <w:t>-</w:t>
            </w:r>
          </w:p>
        </w:tc>
        <w:tc>
          <w:tcPr>
            <w:tcW w:w="879" w:type="dxa"/>
          </w:tcPr>
          <w:p w14:paraId="63DFBA96" w14:textId="454ACE3A" w:rsidR="00A30A22" w:rsidRPr="004A357C" w:rsidRDefault="00A30A22" w:rsidP="00FB712C">
            <w:pPr>
              <w:pStyle w:val="TableNText"/>
              <w:spacing w:before="60" w:after="60" w:line="240" w:lineRule="auto"/>
              <w:jc w:val="center"/>
            </w:pPr>
            <w:r w:rsidRPr="004A357C">
              <w:t>1</w:t>
            </w:r>
          </w:p>
        </w:tc>
        <w:tc>
          <w:tcPr>
            <w:tcW w:w="879" w:type="dxa"/>
          </w:tcPr>
          <w:p w14:paraId="1905EDC0" w14:textId="77C98264" w:rsidR="00A30A22" w:rsidRPr="004A357C" w:rsidRDefault="00A30A22" w:rsidP="00FB712C">
            <w:pPr>
              <w:pStyle w:val="TableNText"/>
              <w:spacing w:before="60" w:after="60" w:line="240" w:lineRule="auto"/>
              <w:jc w:val="center"/>
            </w:pPr>
            <w:r w:rsidRPr="004A357C">
              <w:t>-</w:t>
            </w:r>
          </w:p>
        </w:tc>
        <w:tc>
          <w:tcPr>
            <w:tcW w:w="912" w:type="dxa"/>
          </w:tcPr>
          <w:p w14:paraId="137EAFC0" w14:textId="6C1B6EC5" w:rsidR="00A30A22" w:rsidRPr="004A357C" w:rsidRDefault="00A30A22" w:rsidP="00FB712C">
            <w:pPr>
              <w:pStyle w:val="TableNText"/>
              <w:spacing w:before="60" w:after="60" w:line="240" w:lineRule="auto"/>
              <w:jc w:val="center"/>
              <w:rPr>
                <w:rFonts w:ascii="Segoe UI Semibold" w:hAnsi="Segoe UI Semibold" w:cs="Segoe UI Semibold"/>
              </w:rPr>
            </w:pPr>
            <w:r w:rsidRPr="004A357C">
              <w:t>183</w:t>
            </w:r>
          </w:p>
        </w:tc>
      </w:tr>
      <w:tr w:rsidR="00A30A22" w:rsidRPr="004A357C" w14:paraId="73A79D66" w14:textId="77777777" w:rsidTr="00AC7F0C">
        <w:trPr>
          <w:cnfStyle w:val="000000010000" w:firstRow="0" w:lastRow="0" w:firstColumn="0" w:lastColumn="0" w:oddVBand="0" w:evenVBand="0" w:oddHBand="0" w:evenHBand="1" w:firstRowFirstColumn="0" w:firstRowLastColumn="0" w:lastRowFirstColumn="0" w:lastRowLastColumn="0"/>
        </w:trPr>
        <w:tc>
          <w:tcPr>
            <w:tcW w:w="796" w:type="dxa"/>
            <w:vMerge/>
          </w:tcPr>
          <w:p w14:paraId="09CF2756" w14:textId="77777777" w:rsidR="00A30A22" w:rsidRPr="004A357C" w:rsidRDefault="00A30A22" w:rsidP="00FB712C">
            <w:pPr>
              <w:pStyle w:val="TableNheader"/>
              <w:spacing w:before="60" w:after="60" w:line="240" w:lineRule="auto"/>
              <w:jc w:val="center"/>
            </w:pPr>
          </w:p>
        </w:tc>
        <w:tc>
          <w:tcPr>
            <w:tcW w:w="3693" w:type="dxa"/>
          </w:tcPr>
          <w:p w14:paraId="6B24D6B2" w14:textId="3863725C"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06 </w:t>
            </w:r>
            <w:r w:rsidR="00886310" w:rsidRPr="004A357C">
              <w:rPr>
                <w:rFonts w:asciiTheme="majorHAnsi" w:hAnsiTheme="majorHAnsi" w:cstheme="majorHAnsi"/>
              </w:rPr>
              <w:t>–</w:t>
            </w:r>
            <w:r w:rsidRPr="004A357C">
              <w:rPr>
                <w:rFonts w:ascii="Segoe UI Semibold" w:hAnsi="Segoe UI Semibold" w:cs="Segoe UI Semibold"/>
              </w:rPr>
              <w:t xml:space="preserve"> Specialist Orthopaedic</w:t>
            </w:r>
          </w:p>
        </w:tc>
        <w:tc>
          <w:tcPr>
            <w:tcW w:w="892" w:type="dxa"/>
          </w:tcPr>
          <w:p w14:paraId="7F4D5D4D" w14:textId="30F28298" w:rsidR="00A30A22" w:rsidRPr="004A357C" w:rsidRDefault="00A30A22" w:rsidP="00FB712C">
            <w:pPr>
              <w:pStyle w:val="TableNText"/>
              <w:spacing w:before="60" w:after="60" w:line="240" w:lineRule="auto"/>
              <w:jc w:val="center"/>
            </w:pPr>
            <w:r w:rsidRPr="004A357C">
              <w:t>3</w:t>
            </w:r>
            <w:r w:rsidR="009A2BC4" w:rsidRPr="004A357C">
              <w:t>,</w:t>
            </w:r>
            <w:r w:rsidRPr="004A357C">
              <w:t>464</w:t>
            </w:r>
          </w:p>
        </w:tc>
        <w:tc>
          <w:tcPr>
            <w:tcW w:w="879" w:type="dxa"/>
          </w:tcPr>
          <w:p w14:paraId="56014FE1" w14:textId="6FDEAA98" w:rsidR="00A30A22" w:rsidRPr="004A357C" w:rsidRDefault="00A30A22" w:rsidP="00FB712C">
            <w:pPr>
              <w:pStyle w:val="TableNText"/>
              <w:spacing w:before="60" w:after="60" w:line="240" w:lineRule="auto"/>
              <w:jc w:val="center"/>
            </w:pPr>
            <w:r w:rsidRPr="004A357C">
              <w:t>-</w:t>
            </w:r>
          </w:p>
        </w:tc>
        <w:tc>
          <w:tcPr>
            <w:tcW w:w="879" w:type="dxa"/>
          </w:tcPr>
          <w:p w14:paraId="0B623CCA" w14:textId="56BC5D64" w:rsidR="00A30A22" w:rsidRPr="004A357C" w:rsidRDefault="00A30A22" w:rsidP="00FB712C">
            <w:pPr>
              <w:pStyle w:val="TableNText"/>
              <w:spacing w:before="60" w:after="60" w:line="240" w:lineRule="auto"/>
              <w:jc w:val="center"/>
            </w:pPr>
            <w:r w:rsidRPr="004A357C">
              <w:t>-</w:t>
            </w:r>
          </w:p>
        </w:tc>
        <w:tc>
          <w:tcPr>
            <w:tcW w:w="879" w:type="dxa"/>
          </w:tcPr>
          <w:p w14:paraId="52C2C0E3" w14:textId="24651C14" w:rsidR="00A30A22" w:rsidRPr="004A357C" w:rsidRDefault="00A30A22" w:rsidP="00FB712C">
            <w:pPr>
              <w:pStyle w:val="TableNText"/>
              <w:spacing w:before="60" w:after="60" w:line="240" w:lineRule="auto"/>
              <w:jc w:val="center"/>
            </w:pPr>
            <w:r w:rsidRPr="004A357C">
              <w:t>-</w:t>
            </w:r>
          </w:p>
        </w:tc>
        <w:tc>
          <w:tcPr>
            <w:tcW w:w="912" w:type="dxa"/>
          </w:tcPr>
          <w:p w14:paraId="146EA473" w14:textId="3707C9A7" w:rsidR="00A30A22" w:rsidRPr="004A357C" w:rsidRDefault="00A30A22" w:rsidP="00FB712C">
            <w:pPr>
              <w:pStyle w:val="TableNText"/>
              <w:spacing w:before="60" w:after="60" w:line="240" w:lineRule="auto"/>
              <w:jc w:val="center"/>
              <w:rPr>
                <w:rFonts w:ascii="Segoe UI Semibold" w:hAnsi="Segoe UI Semibold" w:cs="Segoe UI Semibold"/>
              </w:rPr>
            </w:pPr>
            <w:r w:rsidRPr="004A357C">
              <w:t>3</w:t>
            </w:r>
            <w:r w:rsidR="009A2BC4" w:rsidRPr="004A357C">
              <w:t>,</w:t>
            </w:r>
            <w:r w:rsidRPr="004A357C">
              <w:t>464</w:t>
            </w:r>
          </w:p>
        </w:tc>
      </w:tr>
      <w:tr w:rsidR="00A30A22" w:rsidRPr="004A357C" w14:paraId="2C17B6C0" w14:textId="77777777" w:rsidTr="00AC7F0C">
        <w:trPr>
          <w:cnfStyle w:val="000000100000" w:firstRow="0" w:lastRow="0" w:firstColumn="0" w:lastColumn="0" w:oddVBand="0" w:evenVBand="0" w:oddHBand="1" w:evenHBand="0" w:firstRowFirstColumn="0" w:firstRowLastColumn="0" w:lastRowFirstColumn="0" w:lastRowLastColumn="0"/>
        </w:trPr>
        <w:tc>
          <w:tcPr>
            <w:tcW w:w="796" w:type="dxa"/>
            <w:vMerge/>
          </w:tcPr>
          <w:p w14:paraId="004E5928" w14:textId="77777777" w:rsidR="00A30A22" w:rsidRPr="004A357C" w:rsidRDefault="00A30A22" w:rsidP="00FB712C">
            <w:pPr>
              <w:pStyle w:val="TableNheader"/>
              <w:spacing w:before="60" w:after="60" w:line="240" w:lineRule="auto"/>
              <w:jc w:val="center"/>
            </w:pPr>
          </w:p>
        </w:tc>
        <w:tc>
          <w:tcPr>
            <w:tcW w:w="3693" w:type="dxa"/>
          </w:tcPr>
          <w:p w14:paraId="58BEF3D3" w14:textId="5A2702FF"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07 </w:t>
            </w:r>
            <w:r w:rsidR="00886310" w:rsidRPr="004A357C">
              <w:rPr>
                <w:rFonts w:asciiTheme="majorHAnsi" w:hAnsiTheme="majorHAnsi" w:cstheme="majorHAnsi"/>
              </w:rPr>
              <w:t>–</w:t>
            </w:r>
            <w:r w:rsidRPr="004A357C">
              <w:rPr>
                <w:rFonts w:ascii="Segoe UI Semibold" w:hAnsi="Segoe UI Semibold" w:cs="Segoe UI Semibold"/>
              </w:rPr>
              <w:t xml:space="preserve"> Plastic and Reconstructive</w:t>
            </w:r>
          </w:p>
        </w:tc>
        <w:tc>
          <w:tcPr>
            <w:tcW w:w="892" w:type="dxa"/>
          </w:tcPr>
          <w:p w14:paraId="309CCA82" w14:textId="1026896D" w:rsidR="00A30A22" w:rsidRPr="004A357C" w:rsidRDefault="00A30A22" w:rsidP="00FB712C">
            <w:pPr>
              <w:pStyle w:val="TableNText"/>
              <w:spacing w:before="60" w:after="60" w:line="240" w:lineRule="auto"/>
              <w:jc w:val="center"/>
            </w:pPr>
            <w:r w:rsidRPr="004A357C">
              <w:t>695</w:t>
            </w:r>
          </w:p>
        </w:tc>
        <w:tc>
          <w:tcPr>
            <w:tcW w:w="879" w:type="dxa"/>
          </w:tcPr>
          <w:p w14:paraId="0A11B1D3" w14:textId="1C94DDDC" w:rsidR="00A30A22" w:rsidRPr="004A357C" w:rsidRDefault="00A30A22" w:rsidP="00FB712C">
            <w:pPr>
              <w:pStyle w:val="TableNText"/>
              <w:spacing w:before="60" w:after="60" w:line="240" w:lineRule="auto"/>
              <w:jc w:val="center"/>
            </w:pPr>
            <w:r w:rsidRPr="004A357C">
              <w:t>-</w:t>
            </w:r>
          </w:p>
        </w:tc>
        <w:tc>
          <w:tcPr>
            <w:tcW w:w="879" w:type="dxa"/>
          </w:tcPr>
          <w:p w14:paraId="63DFA1E6" w14:textId="0155AE3C" w:rsidR="00A30A22" w:rsidRPr="004A357C" w:rsidRDefault="00A30A22" w:rsidP="00FB712C">
            <w:pPr>
              <w:pStyle w:val="TableNText"/>
              <w:spacing w:before="60" w:after="60" w:line="240" w:lineRule="auto"/>
              <w:jc w:val="center"/>
            </w:pPr>
            <w:r w:rsidRPr="004A357C">
              <w:t>-</w:t>
            </w:r>
          </w:p>
        </w:tc>
        <w:tc>
          <w:tcPr>
            <w:tcW w:w="879" w:type="dxa"/>
          </w:tcPr>
          <w:p w14:paraId="1552E1E1" w14:textId="48482DA1" w:rsidR="00A30A22" w:rsidRPr="004A357C" w:rsidRDefault="00A30A22" w:rsidP="00FB712C">
            <w:pPr>
              <w:pStyle w:val="TableNText"/>
              <w:spacing w:before="60" w:after="60" w:line="240" w:lineRule="auto"/>
              <w:jc w:val="center"/>
            </w:pPr>
            <w:r w:rsidRPr="004A357C">
              <w:t>-</w:t>
            </w:r>
          </w:p>
        </w:tc>
        <w:tc>
          <w:tcPr>
            <w:tcW w:w="912" w:type="dxa"/>
          </w:tcPr>
          <w:p w14:paraId="27B028BE" w14:textId="1473ED91" w:rsidR="00A30A22" w:rsidRPr="004A357C" w:rsidRDefault="00A30A22" w:rsidP="00FB712C">
            <w:pPr>
              <w:pStyle w:val="TableNText"/>
              <w:spacing w:before="60" w:after="60" w:line="240" w:lineRule="auto"/>
              <w:jc w:val="center"/>
              <w:rPr>
                <w:rFonts w:ascii="Segoe UI Semibold" w:hAnsi="Segoe UI Semibold" w:cs="Segoe UI Semibold"/>
              </w:rPr>
            </w:pPr>
            <w:r w:rsidRPr="004A357C">
              <w:t>695</w:t>
            </w:r>
          </w:p>
        </w:tc>
      </w:tr>
      <w:tr w:rsidR="00A30A22" w:rsidRPr="004A357C" w14:paraId="44A23702" w14:textId="77777777" w:rsidTr="00AC7F0C">
        <w:trPr>
          <w:cnfStyle w:val="000000010000" w:firstRow="0" w:lastRow="0" w:firstColumn="0" w:lastColumn="0" w:oddVBand="0" w:evenVBand="0" w:oddHBand="0" w:evenHBand="1" w:firstRowFirstColumn="0" w:firstRowLastColumn="0" w:lastRowFirstColumn="0" w:lastRowLastColumn="0"/>
        </w:trPr>
        <w:tc>
          <w:tcPr>
            <w:tcW w:w="796" w:type="dxa"/>
            <w:vMerge/>
          </w:tcPr>
          <w:p w14:paraId="24CAA04B" w14:textId="77777777" w:rsidR="00A30A22" w:rsidRPr="004A357C" w:rsidRDefault="00A30A22" w:rsidP="00FB712C">
            <w:pPr>
              <w:pStyle w:val="TableNheader"/>
              <w:spacing w:before="60" w:after="60" w:line="240" w:lineRule="auto"/>
              <w:jc w:val="center"/>
            </w:pPr>
          </w:p>
        </w:tc>
        <w:tc>
          <w:tcPr>
            <w:tcW w:w="3693" w:type="dxa"/>
          </w:tcPr>
          <w:p w14:paraId="0C742E19" w14:textId="25AAC6BB"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08 </w:t>
            </w:r>
            <w:r w:rsidR="00886310" w:rsidRPr="004A357C">
              <w:rPr>
                <w:rFonts w:asciiTheme="majorHAnsi" w:hAnsiTheme="majorHAnsi" w:cstheme="majorHAnsi"/>
              </w:rPr>
              <w:t>–</w:t>
            </w:r>
            <w:r w:rsidRPr="004A357C">
              <w:rPr>
                <w:rFonts w:ascii="Segoe UI Semibold" w:hAnsi="Segoe UI Semibold" w:cs="Segoe UI Semibold"/>
              </w:rPr>
              <w:t xml:space="preserve"> Cardiac</w:t>
            </w:r>
          </w:p>
        </w:tc>
        <w:tc>
          <w:tcPr>
            <w:tcW w:w="892" w:type="dxa"/>
          </w:tcPr>
          <w:p w14:paraId="6019282E" w14:textId="0B3CF0F7" w:rsidR="00A30A22" w:rsidRPr="004A357C" w:rsidRDefault="00A30A22" w:rsidP="00FB712C">
            <w:pPr>
              <w:pStyle w:val="TableNText"/>
              <w:spacing w:before="60" w:after="60" w:line="240" w:lineRule="auto"/>
              <w:jc w:val="center"/>
            </w:pPr>
            <w:r w:rsidRPr="004A357C">
              <w:t>334</w:t>
            </w:r>
          </w:p>
        </w:tc>
        <w:tc>
          <w:tcPr>
            <w:tcW w:w="879" w:type="dxa"/>
          </w:tcPr>
          <w:p w14:paraId="40276845" w14:textId="3BFDBD72" w:rsidR="00A30A22" w:rsidRPr="004A357C" w:rsidRDefault="00A30A22" w:rsidP="00FB712C">
            <w:pPr>
              <w:pStyle w:val="TableNText"/>
              <w:spacing w:before="60" w:after="60" w:line="240" w:lineRule="auto"/>
              <w:jc w:val="center"/>
            </w:pPr>
            <w:r w:rsidRPr="004A357C">
              <w:t>-</w:t>
            </w:r>
          </w:p>
        </w:tc>
        <w:tc>
          <w:tcPr>
            <w:tcW w:w="879" w:type="dxa"/>
          </w:tcPr>
          <w:p w14:paraId="42D7E6B3" w14:textId="57808F4D" w:rsidR="00A30A22" w:rsidRPr="004A357C" w:rsidRDefault="00A30A22" w:rsidP="00FB712C">
            <w:pPr>
              <w:pStyle w:val="TableNText"/>
              <w:spacing w:before="60" w:after="60" w:line="240" w:lineRule="auto"/>
              <w:jc w:val="center"/>
            </w:pPr>
            <w:r w:rsidRPr="004A357C">
              <w:t>106</w:t>
            </w:r>
          </w:p>
        </w:tc>
        <w:tc>
          <w:tcPr>
            <w:tcW w:w="879" w:type="dxa"/>
          </w:tcPr>
          <w:p w14:paraId="6FBA2D60" w14:textId="63F7904C" w:rsidR="00A30A22" w:rsidRPr="004A357C" w:rsidRDefault="00A30A22" w:rsidP="00FB712C">
            <w:pPr>
              <w:pStyle w:val="TableNText"/>
              <w:spacing w:before="60" w:after="60" w:line="240" w:lineRule="auto"/>
              <w:jc w:val="center"/>
            </w:pPr>
            <w:r w:rsidRPr="004A357C">
              <w:t>-</w:t>
            </w:r>
          </w:p>
        </w:tc>
        <w:tc>
          <w:tcPr>
            <w:tcW w:w="912" w:type="dxa"/>
          </w:tcPr>
          <w:p w14:paraId="546BBF99" w14:textId="408D30B9" w:rsidR="00A30A22" w:rsidRPr="004A357C" w:rsidRDefault="00A30A22" w:rsidP="00FB712C">
            <w:pPr>
              <w:pStyle w:val="TableNText"/>
              <w:spacing w:before="60" w:after="60" w:line="240" w:lineRule="auto"/>
              <w:jc w:val="center"/>
              <w:rPr>
                <w:rFonts w:ascii="Segoe UI Semibold" w:hAnsi="Segoe UI Semibold" w:cs="Segoe UI Semibold"/>
              </w:rPr>
            </w:pPr>
            <w:r w:rsidRPr="004A357C">
              <w:t>440</w:t>
            </w:r>
          </w:p>
        </w:tc>
      </w:tr>
      <w:tr w:rsidR="00A30A22" w:rsidRPr="004A357C" w14:paraId="3C556062" w14:textId="77777777" w:rsidTr="00AC7F0C">
        <w:trPr>
          <w:cnfStyle w:val="000000100000" w:firstRow="0" w:lastRow="0" w:firstColumn="0" w:lastColumn="0" w:oddVBand="0" w:evenVBand="0" w:oddHBand="1" w:evenHBand="0" w:firstRowFirstColumn="0" w:firstRowLastColumn="0" w:lastRowFirstColumn="0" w:lastRowLastColumn="0"/>
        </w:trPr>
        <w:tc>
          <w:tcPr>
            <w:tcW w:w="796" w:type="dxa"/>
            <w:vMerge/>
          </w:tcPr>
          <w:p w14:paraId="1E252D2F" w14:textId="77777777" w:rsidR="00A30A22" w:rsidRPr="004A357C" w:rsidRDefault="00A30A22" w:rsidP="00FB712C">
            <w:pPr>
              <w:pStyle w:val="TableNheader"/>
              <w:spacing w:before="60" w:after="60" w:line="240" w:lineRule="auto"/>
              <w:jc w:val="center"/>
            </w:pPr>
          </w:p>
        </w:tc>
        <w:tc>
          <w:tcPr>
            <w:tcW w:w="3693" w:type="dxa"/>
          </w:tcPr>
          <w:p w14:paraId="1343154E" w14:textId="2396C276"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09 </w:t>
            </w:r>
            <w:r w:rsidR="00886310" w:rsidRPr="004A357C">
              <w:rPr>
                <w:rFonts w:asciiTheme="majorHAnsi" w:hAnsiTheme="majorHAnsi" w:cstheme="majorHAnsi"/>
              </w:rPr>
              <w:t>–</w:t>
            </w:r>
            <w:r w:rsidRPr="004A357C">
              <w:rPr>
                <w:rFonts w:ascii="Segoe UI Semibold" w:hAnsi="Segoe UI Semibold" w:cs="Segoe UI Semibold"/>
              </w:rPr>
              <w:t xml:space="preserve"> Cardiothoracic</w:t>
            </w:r>
          </w:p>
        </w:tc>
        <w:tc>
          <w:tcPr>
            <w:tcW w:w="892" w:type="dxa"/>
          </w:tcPr>
          <w:p w14:paraId="0F9511C7" w14:textId="399278E9" w:rsidR="00A30A22" w:rsidRPr="004A357C" w:rsidRDefault="00A30A22" w:rsidP="00FB712C">
            <w:pPr>
              <w:pStyle w:val="TableNText"/>
              <w:spacing w:before="60" w:after="60" w:line="240" w:lineRule="auto"/>
              <w:jc w:val="center"/>
            </w:pPr>
            <w:r w:rsidRPr="004A357C">
              <w:t>96</w:t>
            </w:r>
          </w:p>
        </w:tc>
        <w:tc>
          <w:tcPr>
            <w:tcW w:w="879" w:type="dxa"/>
          </w:tcPr>
          <w:p w14:paraId="64D7BADC" w14:textId="726044C0" w:rsidR="00A30A22" w:rsidRPr="004A357C" w:rsidRDefault="00A30A22" w:rsidP="00FB712C">
            <w:pPr>
              <w:pStyle w:val="TableNText"/>
              <w:spacing w:before="60" w:after="60" w:line="240" w:lineRule="auto"/>
              <w:jc w:val="center"/>
            </w:pPr>
            <w:r w:rsidRPr="004A357C">
              <w:t>-</w:t>
            </w:r>
          </w:p>
        </w:tc>
        <w:tc>
          <w:tcPr>
            <w:tcW w:w="879" w:type="dxa"/>
          </w:tcPr>
          <w:p w14:paraId="43287345" w14:textId="44DEBFFF" w:rsidR="00A30A22" w:rsidRPr="004A357C" w:rsidRDefault="00A30A22" w:rsidP="00FB712C">
            <w:pPr>
              <w:pStyle w:val="TableNText"/>
              <w:spacing w:before="60" w:after="60" w:line="240" w:lineRule="auto"/>
              <w:jc w:val="center"/>
            </w:pPr>
            <w:r w:rsidRPr="004A357C">
              <w:t>18</w:t>
            </w:r>
          </w:p>
        </w:tc>
        <w:tc>
          <w:tcPr>
            <w:tcW w:w="879" w:type="dxa"/>
          </w:tcPr>
          <w:p w14:paraId="01DB06BF" w14:textId="17632776" w:rsidR="00A30A22" w:rsidRPr="004A357C" w:rsidRDefault="00A30A22" w:rsidP="00FB712C">
            <w:pPr>
              <w:pStyle w:val="TableNText"/>
              <w:spacing w:before="60" w:after="60" w:line="240" w:lineRule="auto"/>
              <w:jc w:val="center"/>
            </w:pPr>
            <w:r w:rsidRPr="004A357C">
              <w:t>-</w:t>
            </w:r>
          </w:p>
        </w:tc>
        <w:tc>
          <w:tcPr>
            <w:tcW w:w="912" w:type="dxa"/>
          </w:tcPr>
          <w:p w14:paraId="4A9E7759" w14:textId="236522D9" w:rsidR="00A30A22" w:rsidRPr="004A357C" w:rsidRDefault="00A30A22" w:rsidP="00FB712C">
            <w:pPr>
              <w:pStyle w:val="TableNText"/>
              <w:spacing w:before="60" w:after="60" w:line="240" w:lineRule="auto"/>
              <w:jc w:val="center"/>
              <w:rPr>
                <w:rFonts w:ascii="Segoe UI Semibold" w:hAnsi="Segoe UI Semibold" w:cs="Segoe UI Semibold"/>
              </w:rPr>
            </w:pPr>
            <w:r w:rsidRPr="004A357C">
              <w:t>114</w:t>
            </w:r>
          </w:p>
        </w:tc>
      </w:tr>
      <w:tr w:rsidR="00A30A22" w:rsidRPr="004A357C" w14:paraId="5807679A" w14:textId="77777777" w:rsidTr="00AC7F0C">
        <w:trPr>
          <w:cnfStyle w:val="000000010000" w:firstRow="0" w:lastRow="0" w:firstColumn="0" w:lastColumn="0" w:oddVBand="0" w:evenVBand="0" w:oddHBand="0" w:evenHBand="1" w:firstRowFirstColumn="0" w:firstRowLastColumn="0" w:lastRowFirstColumn="0" w:lastRowLastColumn="0"/>
        </w:trPr>
        <w:tc>
          <w:tcPr>
            <w:tcW w:w="796" w:type="dxa"/>
            <w:vMerge/>
          </w:tcPr>
          <w:p w14:paraId="325F7249" w14:textId="77777777" w:rsidR="00A30A22" w:rsidRPr="004A357C" w:rsidRDefault="00A30A22" w:rsidP="00FB712C">
            <w:pPr>
              <w:pStyle w:val="TableNheader"/>
              <w:spacing w:before="60" w:after="60" w:line="240" w:lineRule="auto"/>
              <w:jc w:val="center"/>
            </w:pPr>
          </w:p>
        </w:tc>
        <w:tc>
          <w:tcPr>
            <w:tcW w:w="3693" w:type="dxa"/>
          </w:tcPr>
          <w:p w14:paraId="12B01677" w14:textId="69AEEA21"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10 </w:t>
            </w:r>
            <w:r w:rsidR="00886310" w:rsidRPr="004A357C">
              <w:rPr>
                <w:rFonts w:asciiTheme="majorHAnsi" w:hAnsiTheme="majorHAnsi" w:cstheme="majorHAnsi"/>
              </w:rPr>
              <w:t>–</w:t>
            </w:r>
            <w:r w:rsidRPr="004A357C">
              <w:rPr>
                <w:rFonts w:ascii="Segoe UI Semibold" w:hAnsi="Segoe UI Semibold" w:cs="Segoe UI Semibold"/>
              </w:rPr>
              <w:t xml:space="preserve"> Vascular</w:t>
            </w:r>
          </w:p>
        </w:tc>
        <w:tc>
          <w:tcPr>
            <w:tcW w:w="892" w:type="dxa"/>
          </w:tcPr>
          <w:p w14:paraId="085A92B3" w14:textId="049F63A2" w:rsidR="00A30A22" w:rsidRPr="004A357C" w:rsidRDefault="00A30A22" w:rsidP="00FB712C">
            <w:pPr>
              <w:pStyle w:val="TableNText"/>
              <w:spacing w:before="60" w:after="60" w:line="240" w:lineRule="auto"/>
              <w:jc w:val="center"/>
            </w:pPr>
            <w:r w:rsidRPr="004A357C">
              <w:t>314</w:t>
            </w:r>
          </w:p>
        </w:tc>
        <w:tc>
          <w:tcPr>
            <w:tcW w:w="879" w:type="dxa"/>
          </w:tcPr>
          <w:p w14:paraId="15BA8ABD" w14:textId="1D648643" w:rsidR="00A30A22" w:rsidRPr="004A357C" w:rsidRDefault="00A30A22" w:rsidP="00FB712C">
            <w:pPr>
              <w:pStyle w:val="TableNText"/>
              <w:spacing w:before="60" w:after="60" w:line="240" w:lineRule="auto"/>
              <w:jc w:val="center"/>
            </w:pPr>
            <w:r w:rsidRPr="004A357C">
              <w:t>-</w:t>
            </w:r>
          </w:p>
        </w:tc>
        <w:tc>
          <w:tcPr>
            <w:tcW w:w="879" w:type="dxa"/>
          </w:tcPr>
          <w:p w14:paraId="3069207F" w14:textId="1854F738" w:rsidR="00A30A22" w:rsidRPr="004A357C" w:rsidRDefault="00A30A22" w:rsidP="00FB712C">
            <w:pPr>
              <w:pStyle w:val="TableNText"/>
              <w:spacing w:before="60" w:after="60" w:line="240" w:lineRule="auto"/>
              <w:jc w:val="center"/>
            </w:pPr>
            <w:r w:rsidRPr="004A357C">
              <w:t>4</w:t>
            </w:r>
          </w:p>
        </w:tc>
        <w:tc>
          <w:tcPr>
            <w:tcW w:w="879" w:type="dxa"/>
          </w:tcPr>
          <w:p w14:paraId="4C106594" w14:textId="34643087" w:rsidR="00A30A22" w:rsidRPr="004A357C" w:rsidRDefault="00A30A22" w:rsidP="00FB712C">
            <w:pPr>
              <w:pStyle w:val="TableNText"/>
              <w:spacing w:before="60" w:after="60" w:line="240" w:lineRule="auto"/>
              <w:jc w:val="center"/>
            </w:pPr>
            <w:r w:rsidRPr="004A357C">
              <w:t>62</w:t>
            </w:r>
          </w:p>
        </w:tc>
        <w:tc>
          <w:tcPr>
            <w:tcW w:w="912" w:type="dxa"/>
          </w:tcPr>
          <w:p w14:paraId="2C15B682" w14:textId="46B54142" w:rsidR="00A30A22" w:rsidRPr="004A357C" w:rsidRDefault="00A30A22" w:rsidP="00FB712C">
            <w:pPr>
              <w:pStyle w:val="TableNText"/>
              <w:spacing w:before="60" w:after="60" w:line="240" w:lineRule="auto"/>
              <w:jc w:val="center"/>
              <w:rPr>
                <w:rFonts w:ascii="Segoe UI Semibold" w:hAnsi="Segoe UI Semibold" w:cs="Segoe UI Semibold"/>
              </w:rPr>
            </w:pPr>
            <w:r w:rsidRPr="004A357C">
              <w:t>380</w:t>
            </w:r>
          </w:p>
        </w:tc>
      </w:tr>
      <w:tr w:rsidR="00A30A22" w:rsidRPr="004A357C" w14:paraId="1434230D" w14:textId="77777777" w:rsidTr="00AC7F0C">
        <w:trPr>
          <w:cnfStyle w:val="000000100000" w:firstRow="0" w:lastRow="0" w:firstColumn="0" w:lastColumn="0" w:oddVBand="0" w:evenVBand="0" w:oddHBand="1" w:evenHBand="0" w:firstRowFirstColumn="0" w:firstRowLastColumn="0" w:lastRowFirstColumn="0" w:lastRowLastColumn="0"/>
        </w:trPr>
        <w:tc>
          <w:tcPr>
            <w:tcW w:w="796" w:type="dxa"/>
            <w:vMerge/>
          </w:tcPr>
          <w:p w14:paraId="2F1E58A3" w14:textId="77777777" w:rsidR="00A30A22" w:rsidRPr="004A357C" w:rsidRDefault="00A30A22" w:rsidP="00FB712C">
            <w:pPr>
              <w:pStyle w:val="TableNheader"/>
              <w:spacing w:before="60" w:after="60" w:line="240" w:lineRule="auto"/>
              <w:jc w:val="center"/>
            </w:pPr>
          </w:p>
        </w:tc>
        <w:tc>
          <w:tcPr>
            <w:tcW w:w="3693" w:type="dxa"/>
          </w:tcPr>
          <w:p w14:paraId="3A3B28F3" w14:textId="7658D5D7"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11 </w:t>
            </w:r>
            <w:r w:rsidR="00886310" w:rsidRPr="004A357C">
              <w:rPr>
                <w:rFonts w:asciiTheme="majorHAnsi" w:hAnsiTheme="majorHAnsi" w:cstheme="majorHAnsi"/>
              </w:rPr>
              <w:t>–</w:t>
            </w:r>
            <w:r w:rsidRPr="004A357C">
              <w:rPr>
                <w:rFonts w:ascii="Segoe UI Semibold" w:hAnsi="Segoe UI Semibold" w:cs="Segoe UI Semibold"/>
              </w:rPr>
              <w:t xml:space="preserve"> Hip</w:t>
            </w:r>
          </w:p>
        </w:tc>
        <w:tc>
          <w:tcPr>
            <w:tcW w:w="892" w:type="dxa"/>
          </w:tcPr>
          <w:p w14:paraId="0A9ED3EA" w14:textId="298D0CCA" w:rsidR="00A30A22" w:rsidRPr="004A357C" w:rsidRDefault="00A30A22" w:rsidP="00FB712C">
            <w:pPr>
              <w:pStyle w:val="TableNText"/>
              <w:spacing w:before="60" w:after="60" w:line="240" w:lineRule="auto"/>
              <w:jc w:val="center"/>
            </w:pPr>
            <w:r w:rsidRPr="004A357C">
              <w:t>688</w:t>
            </w:r>
          </w:p>
        </w:tc>
        <w:tc>
          <w:tcPr>
            <w:tcW w:w="879" w:type="dxa"/>
          </w:tcPr>
          <w:p w14:paraId="0A345F20" w14:textId="12145800" w:rsidR="00A30A22" w:rsidRPr="004A357C" w:rsidRDefault="00A30A22" w:rsidP="00FB712C">
            <w:pPr>
              <w:pStyle w:val="TableNText"/>
              <w:spacing w:before="60" w:after="60" w:line="240" w:lineRule="auto"/>
              <w:jc w:val="center"/>
            </w:pPr>
            <w:r w:rsidRPr="004A357C">
              <w:t>-</w:t>
            </w:r>
          </w:p>
        </w:tc>
        <w:tc>
          <w:tcPr>
            <w:tcW w:w="879" w:type="dxa"/>
          </w:tcPr>
          <w:p w14:paraId="1631FB0F" w14:textId="308715C3" w:rsidR="00A30A22" w:rsidRPr="004A357C" w:rsidRDefault="00A30A22" w:rsidP="00FB712C">
            <w:pPr>
              <w:pStyle w:val="TableNText"/>
              <w:spacing w:before="60" w:after="60" w:line="240" w:lineRule="auto"/>
              <w:jc w:val="center"/>
            </w:pPr>
            <w:r w:rsidRPr="004A357C">
              <w:t>-</w:t>
            </w:r>
          </w:p>
        </w:tc>
        <w:tc>
          <w:tcPr>
            <w:tcW w:w="879" w:type="dxa"/>
          </w:tcPr>
          <w:p w14:paraId="16793D47" w14:textId="33A9BA0E" w:rsidR="00A30A22" w:rsidRPr="004A357C" w:rsidRDefault="00A30A22" w:rsidP="00FB712C">
            <w:pPr>
              <w:pStyle w:val="TableNText"/>
              <w:spacing w:before="60" w:after="60" w:line="240" w:lineRule="auto"/>
              <w:jc w:val="center"/>
            </w:pPr>
            <w:r w:rsidRPr="004A357C">
              <w:t>-</w:t>
            </w:r>
          </w:p>
        </w:tc>
        <w:tc>
          <w:tcPr>
            <w:tcW w:w="912" w:type="dxa"/>
          </w:tcPr>
          <w:p w14:paraId="44308391" w14:textId="4850D59C" w:rsidR="00A30A22" w:rsidRPr="004A357C" w:rsidRDefault="00A30A22" w:rsidP="00FB712C">
            <w:pPr>
              <w:pStyle w:val="TableNText"/>
              <w:spacing w:before="60" w:after="60" w:line="240" w:lineRule="auto"/>
              <w:jc w:val="center"/>
              <w:rPr>
                <w:rFonts w:ascii="Segoe UI Semibold" w:hAnsi="Segoe UI Semibold" w:cs="Segoe UI Semibold"/>
              </w:rPr>
            </w:pPr>
            <w:r w:rsidRPr="004A357C">
              <w:t>688</w:t>
            </w:r>
          </w:p>
        </w:tc>
      </w:tr>
      <w:tr w:rsidR="00A30A22" w:rsidRPr="004A357C" w14:paraId="0374135D" w14:textId="77777777" w:rsidTr="00AC7F0C">
        <w:trPr>
          <w:cnfStyle w:val="000000010000" w:firstRow="0" w:lastRow="0" w:firstColumn="0" w:lastColumn="0" w:oddVBand="0" w:evenVBand="0" w:oddHBand="0" w:evenHBand="1" w:firstRowFirstColumn="0" w:firstRowLastColumn="0" w:lastRowFirstColumn="0" w:lastRowLastColumn="0"/>
        </w:trPr>
        <w:tc>
          <w:tcPr>
            <w:tcW w:w="796" w:type="dxa"/>
            <w:vMerge/>
          </w:tcPr>
          <w:p w14:paraId="2F31673D" w14:textId="77777777" w:rsidR="00A30A22" w:rsidRPr="004A357C" w:rsidRDefault="00A30A22" w:rsidP="00FB712C">
            <w:pPr>
              <w:pStyle w:val="TableNheader"/>
              <w:spacing w:before="60" w:after="60" w:line="240" w:lineRule="auto"/>
              <w:jc w:val="center"/>
            </w:pPr>
          </w:p>
        </w:tc>
        <w:tc>
          <w:tcPr>
            <w:tcW w:w="3693" w:type="dxa"/>
          </w:tcPr>
          <w:p w14:paraId="15526DDF" w14:textId="4910A1D9"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12 </w:t>
            </w:r>
            <w:r w:rsidR="00886310" w:rsidRPr="004A357C">
              <w:rPr>
                <w:rFonts w:asciiTheme="majorHAnsi" w:hAnsiTheme="majorHAnsi" w:cstheme="majorHAnsi"/>
              </w:rPr>
              <w:t>–</w:t>
            </w:r>
            <w:r w:rsidRPr="004A357C">
              <w:rPr>
                <w:rFonts w:ascii="Segoe UI Semibold" w:hAnsi="Segoe UI Semibold" w:cs="Segoe UI Semibold"/>
              </w:rPr>
              <w:t xml:space="preserve"> Knee</w:t>
            </w:r>
          </w:p>
        </w:tc>
        <w:tc>
          <w:tcPr>
            <w:tcW w:w="892" w:type="dxa"/>
          </w:tcPr>
          <w:p w14:paraId="164DCE45" w14:textId="39F0C77E" w:rsidR="00A30A22" w:rsidRPr="004A357C" w:rsidRDefault="00A30A22" w:rsidP="00FB712C">
            <w:pPr>
              <w:pStyle w:val="TableNText"/>
              <w:spacing w:before="60" w:after="60" w:line="240" w:lineRule="auto"/>
              <w:jc w:val="center"/>
            </w:pPr>
            <w:r w:rsidRPr="004A357C">
              <w:t>724</w:t>
            </w:r>
          </w:p>
        </w:tc>
        <w:tc>
          <w:tcPr>
            <w:tcW w:w="879" w:type="dxa"/>
          </w:tcPr>
          <w:p w14:paraId="41EEE0C4" w14:textId="63F77721" w:rsidR="00A30A22" w:rsidRPr="004A357C" w:rsidRDefault="00A30A22" w:rsidP="00FB712C">
            <w:pPr>
              <w:pStyle w:val="TableNText"/>
              <w:spacing w:before="60" w:after="60" w:line="240" w:lineRule="auto"/>
              <w:jc w:val="center"/>
            </w:pPr>
            <w:r w:rsidRPr="004A357C">
              <w:t>-</w:t>
            </w:r>
          </w:p>
        </w:tc>
        <w:tc>
          <w:tcPr>
            <w:tcW w:w="879" w:type="dxa"/>
          </w:tcPr>
          <w:p w14:paraId="0431A5C9" w14:textId="118D3AEB" w:rsidR="00A30A22" w:rsidRPr="004A357C" w:rsidRDefault="00A30A22" w:rsidP="00FB712C">
            <w:pPr>
              <w:pStyle w:val="TableNText"/>
              <w:spacing w:before="60" w:after="60" w:line="240" w:lineRule="auto"/>
              <w:jc w:val="center"/>
            </w:pPr>
            <w:r w:rsidRPr="004A357C">
              <w:t>-</w:t>
            </w:r>
          </w:p>
        </w:tc>
        <w:tc>
          <w:tcPr>
            <w:tcW w:w="879" w:type="dxa"/>
          </w:tcPr>
          <w:p w14:paraId="7FB1B6AE" w14:textId="6BB22F3B" w:rsidR="00A30A22" w:rsidRPr="004A357C" w:rsidRDefault="00A30A22" w:rsidP="00FB712C">
            <w:pPr>
              <w:pStyle w:val="TableNText"/>
              <w:spacing w:before="60" w:after="60" w:line="240" w:lineRule="auto"/>
              <w:jc w:val="center"/>
            </w:pPr>
            <w:r w:rsidRPr="004A357C">
              <w:t>-</w:t>
            </w:r>
          </w:p>
        </w:tc>
        <w:tc>
          <w:tcPr>
            <w:tcW w:w="912" w:type="dxa"/>
          </w:tcPr>
          <w:p w14:paraId="5FBA26EC" w14:textId="5C8141FF" w:rsidR="00A30A22" w:rsidRPr="004A357C" w:rsidRDefault="00A30A22" w:rsidP="00FB712C">
            <w:pPr>
              <w:pStyle w:val="TableNText"/>
              <w:spacing w:before="60" w:after="60" w:line="240" w:lineRule="auto"/>
              <w:jc w:val="center"/>
              <w:rPr>
                <w:rFonts w:ascii="Segoe UI Semibold" w:hAnsi="Segoe UI Semibold" w:cs="Segoe UI Semibold"/>
              </w:rPr>
            </w:pPr>
            <w:r w:rsidRPr="004A357C">
              <w:t>724</w:t>
            </w:r>
          </w:p>
        </w:tc>
      </w:tr>
      <w:tr w:rsidR="00A30A22" w:rsidRPr="004A357C" w14:paraId="3E9678AD" w14:textId="77777777" w:rsidTr="00AC7F0C">
        <w:trPr>
          <w:cnfStyle w:val="000000100000" w:firstRow="0" w:lastRow="0" w:firstColumn="0" w:lastColumn="0" w:oddVBand="0" w:evenVBand="0" w:oddHBand="1" w:evenHBand="0" w:firstRowFirstColumn="0" w:firstRowLastColumn="0" w:lastRowFirstColumn="0" w:lastRowLastColumn="0"/>
        </w:trPr>
        <w:tc>
          <w:tcPr>
            <w:tcW w:w="796" w:type="dxa"/>
            <w:vMerge/>
          </w:tcPr>
          <w:p w14:paraId="17179248" w14:textId="77777777" w:rsidR="00A30A22" w:rsidRPr="004A357C" w:rsidRDefault="00A30A22" w:rsidP="00FB712C">
            <w:pPr>
              <w:pStyle w:val="TableNheader"/>
              <w:spacing w:before="60" w:after="60" w:line="240" w:lineRule="auto"/>
              <w:jc w:val="center"/>
            </w:pPr>
          </w:p>
        </w:tc>
        <w:tc>
          <w:tcPr>
            <w:tcW w:w="3693" w:type="dxa"/>
          </w:tcPr>
          <w:p w14:paraId="7E53902C" w14:textId="1E1DEEB5"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13 </w:t>
            </w:r>
            <w:r w:rsidR="00886310" w:rsidRPr="004A357C">
              <w:rPr>
                <w:rFonts w:asciiTheme="majorHAnsi" w:hAnsiTheme="majorHAnsi" w:cstheme="majorHAnsi"/>
              </w:rPr>
              <w:t>–</w:t>
            </w:r>
            <w:r w:rsidRPr="004A357C">
              <w:rPr>
                <w:rFonts w:ascii="Segoe UI Semibold" w:hAnsi="Segoe UI Semibold" w:cs="Segoe UI Semibold"/>
              </w:rPr>
              <w:t xml:space="preserve"> Spinal</w:t>
            </w:r>
          </w:p>
        </w:tc>
        <w:tc>
          <w:tcPr>
            <w:tcW w:w="892" w:type="dxa"/>
          </w:tcPr>
          <w:p w14:paraId="66CED4C7" w14:textId="5D6605ED" w:rsidR="00A30A22" w:rsidRPr="004A357C" w:rsidRDefault="00A30A22" w:rsidP="00FB712C">
            <w:pPr>
              <w:pStyle w:val="TableNText"/>
              <w:spacing w:before="60" w:after="60" w:line="240" w:lineRule="auto"/>
              <w:jc w:val="center"/>
            </w:pPr>
            <w:r w:rsidRPr="004A357C">
              <w:t>1</w:t>
            </w:r>
            <w:r w:rsidR="009A2BC4" w:rsidRPr="004A357C">
              <w:t>,</w:t>
            </w:r>
            <w:r w:rsidRPr="004A357C">
              <w:t>899</w:t>
            </w:r>
          </w:p>
        </w:tc>
        <w:tc>
          <w:tcPr>
            <w:tcW w:w="879" w:type="dxa"/>
          </w:tcPr>
          <w:p w14:paraId="27C5CC9B" w14:textId="67BFA206" w:rsidR="00A30A22" w:rsidRPr="004A357C" w:rsidRDefault="00A30A22" w:rsidP="00FB712C">
            <w:pPr>
              <w:pStyle w:val="TableNText"/>
              <w:spacing w:before="60" w:after="60" w:line="240" w:lineRule="auto"/>
              <w:jc w:val="center"/>
            </w:pPr>
            <w:r w:rsidRPr="004A357C">
              <w:t>-</w:t>
            </w:r>
          </w:p>
        </w:tc>
        <w:tc>
          <w:tcPr>
            <w:tcW w:w="879" w:type="dxa"/>
          </w:tcPr>
          <w:p w14:paraId="6A4728E1" w14:textId="4915128C" w:rsidR="00A30A22" w:rsidRPr="004A357C" w:rsidRDefault="00A30A22" w:rsidP="00FB712C">
            <w:pPr>
              <w:pStyle w:val="TableNText"/>
              <w:spacing w:before="60" w:after="60" w:line="240" w:lineRule="auto"/>
              <w:jc w:val="center"/>
            </w:pPr>
            <w:r w:rsidRPr="004A357C">
              <w:t>-</w:t>
            </w:r>
          </w:p>
        </w:tc>
        <w:tc>
          <w:tcPr>
            <w:tcW w:w="879" w:type="dxa"/>
          </w:tcPr>
          <w:p w14:paraId="46F82005" w14:textId="59433042" w:rsidR="00A30A22" w:rsidRPr="004A357C" w:rsidRDefault="00A30A22" w:rsidP="00FB712C">
            <w:pPr>
              <w:pStyle w:val="TableNText"/>
              <w:spacing w:before="60" w:after="60" w:line="240" w:lineRule="auto"/>
              <w:jc w:val="center"/>
            </w:pPr>
            <w:r w:rsidRPr="004A357C">
              <w:t>-</w:t>
            </w:r>
          </w:p>
        </w:tc>
        <w:tc>
          <w:tcPr>
            <w:tcW w:w="912" w:type="dxa"/>
          </w:tcPr>
          <w:p w14:paraId="37F14951" w14:textId="31093DF7" w:rsidR="00A30A22" w:rsidRPr="004A357C" w:rsidRDefault="00A30A22" w:rsidP="00FB712C">
            <w:pPr>
              <w:pStyle w:val="TableNText"/>
              <w:spacing w:before="60" w:after="60" w:line="240" w:lineRule="auto"/>
              <w:jc w:val="center"/>
              <w:rPr>
                <w:rFonts w:ascii="Segoe UI Semibold" w:hAnsi="Segoe UI Semibold" w:cs="Segoe UI Semibold"/>
              </w:rPr>
            </w:pPr>
            <w:r w:rsidRPr="004A357C">
              <w:t>1</w:t>
            </w:r>
            <w:r w:rsidR="009A2BC4" w:rsidRPr="004A357C">
              <w:t>,</w:t>
            </w:r>
            <w:r w:rsidRPr="004A357C">
              <w:t>899</w:t>
            </w:r>
          </w:p>
        </w:tc>
      </w:tr>
      <w:tr w:rsidR="00A30A22" w:rsidRPr="004A357C" w14:paraId="1FD00AF1" w14:textId="77777777" w:rsidTr="00AC7F0C">
        <w:trPr>
          <w:cnfStyle w:val="000000010000" w:firstRow="0" w:lastRow="0" w:firstColumn="0" w:lastColumn="0" w:oddVBand="0" w:evenVBand="0" w:oddHBand="0" w:evenHBand="1" w:firstRowFirstColumn="0" w:firstRowLastColumn="0" w:lastRowFirstColumn="0" w:lastRowLastColumn="0"/>
        </w:trPr>
        <w:tc>
          <w:tcPr>
            <w:tcW w:w="796" w:type="dxa"/>
            <w:vMerge w:val="restart"/>
            <w:textDirection w:val="btLr"/>
          </w:tcPr>
          <w:p w14:paraId="2DA04CEE" w14:textId="77777777" w:rsidR="00A30A22" w:rsidRPr="004A357C" w:rsidRDefault="00A30A22" w:rsidP="00FB712C">
            <w:pPr>
              <w:pStyle w:val="TableNheader"/>
              <w:spacing w:before="60" w:after="60" w:line="240" w:lineRule="auto"/>
              <w:jc w:val="center"/>
            </w:pPr>
            <w:r w:rsidRPr="004A357C">
              <w:t>Part B</w:t>
            </w:r>
          </w:p>
        </w:tc>
        <w:tc>
          <w:tcPr>
            <w:tcW w:w="3693" w:type="dxa"/>
          </w:tcPr>
          <w:p w14:paraId="79B41642" w14:textId="7D5B464E"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01 </w:t>
            </w:r>
            <w:r w:rsidR="00886310" w:rsidRPr="004A357C">
              <w:rPr>
                <w:rFonts w:asciiTheme="majorHAnsi" w:hAnsiTheme="majorHAnsi" w:cstheme="majorHAnsi"/>
              </w:rPr>
              <w:t>–</w:t>
            </w:r>
            <w:r w:rsidRPr="004A357C">
              <w:rPr>
                <w:rFonts w:ascii="Segoe UI Semibold" w:hAnsi="Segoe UI Semibold" w:cs="Segoe UI Semibold"/>
              </w:rPr>
              <w:t xml:space="preserve"> Cardio-thoracic</w:t>
            </w:r>
          </w:p>
        </w:tc>
        <w:tc>
          <w:tcPr>
            <w:tcW w:w="892" w:type="dxa"/>
          </w:tcPr>
          <w:p w14:paraId="0CC6CCFA" w14:textId="4B0CE335" w:rsidR="00A30A22" w:rsidRPr="004A357C" w:rsidRDefault="00A30A22" w:rsidP="00FB712C">
            <w:pPr>
              <w:pStyle w:val="TableNText"/>
              <w:spacing w:before="60" w:after="60" w:line="240" w:lineRule="auto"/>
              <w:jc w:val="center"/>
            </w:pPr>
            <w:r w:rsidRPr="004A357C">
              <w:t>-</w:t>
            </w:r>
          </w:p>
        </w:tc>
        <w:tc>
          <w:tcPr>
            <w:tcW w:w="879" w:type="dxa"/>
          </w:tcPr>
          <w:p w14:paraId="41B254FB" w14:textId="54BD6CAB" w:rsidR="00A30A22" w:rsidRPr="004A357C" w:rsidRDefault="00A30A22" w:rsidP="00FB712C">
            <w:pPr>
              <w:pStyle w:val="TableNText"/>
              <w:spacing w:before="60" w:after="60" w:line="240" w:lineRule="auto"/>
              <w:jc w:val="center"/>
            </w:pPr>
            <w:r w:rsidRPr="004A357C">
              <w:t>11</w:t>
            </w:r>
          </w:p>
        </w:tc>
        <w:tc>
          <w:tcPr>
            <w:tcW w:w="879" w:type="dxa"/>
          </w:tcPr>
          <w:p w14:paraId="717309EE" w14:textId="22CE3918" w:rsidR="00A30A22" w:rsidRPr="004A357C" w:rsidRDefault="00A30A22" w:rsidP="00FB712C">
            <w:pPr>
              <w:pStyle w:val="TableNText"/>
              <w:spacing w:before="60" w:after="60" w:line="240" w:lineRule="auto"/>
              <w:jc w:val="center"/>
            </w:pPr>
            <w:r w:rsidRPr="004A357C">
              <w:t>-</w:t>
            </w:r>
          </w:p>
        </w:tc>
        <w:tc>
          <w:tcPr>
            <w:tcW w:w="879" w:type="dxa"/>
          </w:tcPr>
          <w:p w14:paraId="6550ED1D" w14:textId="79332236" w:rsidR="00A30A22" w:rsidRPr="004A357C" w:rsidRDefault="00A30A22" w:rsidP="00FB712C">
            <w:pPr>
              <w:pStyle w:val="TableNText"/>
              <w:spacing w:before="60" w:after="60" w:line="240" w:lineRule="auto"/>
              <w:jc w:val="center"/>
            </w:pPr>
            <w:r w:rsidRPr="004A357C">
              <w:t>-</w:t>
            </w:r>
          </w:p>
        </w:tc>
        <w:tc>
          <w:tcPr>
            <w:tcW w:w="912" w:type="dxa"/>
          </w:tcPr>
          <w:p w14:paraId="6CA562E6" w14:textId="5979C2BA" w:rsidR="00A30A22" w:rsidRPr="004A357C" w:rsidRDefault="00A30A22" w:rsidP="00FB712C">
            <w:pPr>
              <w:pStyle w:val="TableNText"/>
              <w:spacing w:before="60" w:after="60" w:line="240" w:lineRule="auto"/>
              <w:jc w:val="center"/>
              <w:rPr>
                <w:rFonts w:ascii="Segoe UI Semibold" w:hAnsi="Segoe UI Semibold" w:cs="Segoe UI Semibold"/>
              </w:rPr>
            </w:pPr>
            <w:r w:rsidRPr="004A357C">
              <w:t>11</w:t>
            </w:r>
          </w:p>
        </w:tc>
      </w:tr>
      <w:tr w:rsidR="00A30A22" w:rsidRPr="004A357C" w14:paraId="004DEFD5" w14:textId="77777777" w:rsidTr="00AC7F0C">
        <w:trPr>
          <w:cnfStyle w:val="000000100000" w:firstRow="0" w:lastRow="0" w:firstColumn="0" w:lastColumn="0" w:oddVBand="0" w:evenVBand="0" w:oddHBand="1" w:evenHBand="0" w:firstRowFirstColumn="0" w:firstRowLastColumn="0" w:lastRowFirstColumn="0" w:lastRowLastColumn="0"/>
        </w:trPr>
        <w:tc>
          <w:tcPr>
            <w:tcW w:w="796" w:type="dxa"/>
            <w:vMerge/>
          </w:tcPr>
          <w:p w14:paraId="0B407CEC" w14:textId="77777777" w:rsidR="00A30A22" w:rsidRPr="004A357C" w:rsidRDefault="00A30A22" w:rsidP="00FB712C">
            <w:pPr>
              <w:spacing w:before="60" w:after="60"/>
              <w:rPr>
                <w:sz w:val="18"/>
                <w:szCs w:val="18"/>
              </w:rPr>
            </w:pPr>
          </w:p>
        </w:tc>
        <w:tc>
          <w:tcPr>
            <w:tcW w:w="3693" w:type="dxa"/>
          </w:tcPr>
          <w:p w14:paraId="44051425" w14:textId="31A51326"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02 </w:t>
            </w:r>
            <w:r w:rsidR="00886310" w:rsidRPr="004A357C">
              <w:rPr>
                <w:rFonts w:asciiTheme="majorHAnsi" w:hAnsiTheme="majorHAnsi" w:cstheme="majorHAnsi"/>
              </w:rPr>
              <w:t>–</w:t>
            </w:r>
            <w:r w:rsidRPr="004A357C">
              <w:rPr>
                <w:rFonts w:ascii="Segoe UI Semibold" w:hAnsi="Segoe UI Semibold" w:cs="Segoe UI Semibold"/>
              </w:rPr>
              <w:t xml:space="preserve"> Ophthalmic</w:t>
            </w:r>
          </w:p>
        </w:tc>
        <w:tc>
          <w:tcPr>
            <w:tcW w:w="892" w:type="dxa"/>
          </w:tcPr>
          <w:p w14:paraId="11E2A1F1" w14:textId="6B95023F" w:rsidR="00A30A22" w:rsidRPr="004A357C" w:rsidRDefault="00A30A22" w:rsidP="00FB712C">
            <w:pPr>
              <w:pStyle w:val="TableNText"/>
              <w:spacing w:before="60" w:after="60" w:line="240" w:lineRule="auto"/>
              <w:jc w:val="center"/>
            </w:pPr>
            <w:r w:rsidRPr="004A357C">
              <w:t>-</w:t>
            </w:r>
          </w:p>
        </w:tc>
        <w:tc>
          <w:tcPr>
            <w:tcW w:w="879" w:type="dxa"/>
          </w:tcPr>
          <w:p w14:paraId="3E6B4D81" w14:textId="3F61C3EF" w:rsidR="00A30A22" w:rsidRPr="004A357C" w:rsidRDefault="00A30A22" w:rsidP="00FB712C">
            <w:pPr>
              <w:pStyle w:val="TableNText"/>
              <w:spacing w:before="60" w:after="60" w:line="240" w:lineRule="auto"/>
              <w:jc w:val="center"/>
            </w:pPr>
            <w:r w:rsidRPr="004A357C">
              <w:t>20</w:t>
            </w:r>
          </w:p>
        </w:tc>
        <w:tc>
          <w:tcPr>
            <w:tcW w:w="879" w:type="dxa"/>
          </w:tcPr>
          <w:p w14:paraId="3589151F" w14:textId="214AD9A2" w:rsidR="00A30A22" w:rsidRPr="004A357C" w:rsidRDefault="00A30A22" w:rsidP="00FB712C">
            <w:pPr>
              <w:pStyle w:val="TableNText"/>
              <w:spacing w:before="60" w:after="60" w:line="240" w:lineRule="auto"/>
              <w:jc w:val="center"/>
            </w:pPr>
            <w:r w:rsidRPr="004A357C">
              <w:t>-</w:t>
            </w:r>
          </w:p>
        </w:tc>
        <w:tc>
          <w:tcPr>
            <w:tcW w:w="879" w:type="dxa"/>
          </w:tcPr>
          <w:p w14:paraId="66FC1622" w14:textId="4332E8F4" w:rsidR="00A30A22" w:rsidRPr="004A357C" w:rsidRDefault="00A30A22" w:rsidP="00FB712C">
            <w:pPr>
              <w:pStyle w:val="TableNText"/>
              <w:spacing w:before="60" w:after="60" w:line="240" w:lineRule="auto"/>
              <w:jc w:val="center"/>
            </w:pPr>
            <w:r w:rsidRPr="004A357C">
              <w:t>-</w:t>
            </w:r>
          </w:p>
        </w:tc>
        <w:tc>
          <w:tcPr>
            <w:tcW w:w="912" w:type="dxa"/>
          </w:tcPr>
          <w:p w14:paraId="6FEA0851" w14:textId="412614D5" w:rsidR="00A30A22" w:rsidRPr="004A357C" w:rsidRDefault="00A30A22" w:rsidP="00FB712C">
            <w:pPr>
              <w:pStyle w:val="TableNText"/>
              <w:spacing w:before="60" w:after="60" w:line="240" w:lineRule="auto"/>
              <w:jc w:val="center"/>
              <w:rPr>
                <w:rFonts w:ascii="Segoe UI Semibold" w:hAnsi="Segoe UI Semibold" w:cs="Segoe UI Semibold"/>
              </w:rPr>
            </w:pPr>
            <w:r w:rsidRPr="004A357C">
              <w:t>20</w:t>
            </w:r>
          </w:p>
        </w:tc>
      </w:tr>
      <w:tr w:rsidR="00A30A22" w:rsidRPr="004A357C" w14:paraId="00FA13B9" w14:textId="77777777" w:rsidTr="00AC7F0C">
        <w:trPr>
          <w:cnfStyle w:val="000000010000" w:firstRow="0" w:lastRow="0" w:firstColumn="0" w:lastColumn="0" w:oddVBand="0" w:evenVBand="0" w:oddHBand="0" w:evenHBand="1" w:firstRowFirstColumn="0" w:firstRowLastColumn="0" w:lastRowFirstColumn="0" w:lastRowLastColumn="0"/>
        </w:trPr>
        <w:tc>
          <w:tcPr>
            <w:tcW w:w="796" w:type="dxa"/>
            <w:vMerge/>
          </w:tcPr>
          <w:p w14:paraId="48F68124" w14:textId="77777777" w:rsidR="00A30A22" w:rsidRPr="004A357C" w:rsidRDefault="00A30A22" w:rsidP="00FB712C">
            <w:pPr>
              <w:spacing w:before="60" w:after="60"/>
              <w:rPr>
                <w:sz w:val="18"/>
                <w:szCs w:val="18"/>
              </w:rPr>
            </w:pPr>
          </w:p>
        </w:tc>
        <w:tc>
          <w:tcPr>
            <w:tcW w:w="3693" w:type="dxa"/>
          </w:tcPr>
          <w:p w14:paraId="33C515DA" w14:textId="24DC798A"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03 </w:t>
            </w:r>
            <w:r w:rsidR="00886310" w:rsidRPr="004A357C">
              <w:rPr>
                <w:rFonts w:asciiTheme="majorHAnsi" w:hAnsiTheme="majorHAnsi" w:cstheme="majorHAnsi"/>
              </w:rPr>
              <w:t>–</w:t>
            </w:r>
            <w:r w:rsidRPr="004A357C">
              <w:rPr>
                <w:rFonts w:ascii="Segoe UI Semibold" w:hAnsi="Segoe UI Semibold" w:cs="Segoe UI Semibold"/>
              </w:rPr>
              <w:t xml:space="preserve"> Orthopaedic</w:t>
            </w:r>
          </w:p>
        </w:tc>
        <w:tc>
          <w:tcPr>
            <w:tcW w:w="892" w:type="dxa"/>
          </w:tcPr>
          <w:p w14:paraId="2AE410E8" w14:textId="4D776F94" w:rsidR="00A30A22" w:rsidRPr="004A357C" w:rsidRDefault="00A30A22" w:rsidP="00FB712C">
            <w:pPr>
              <w:pStyle w:val="TableNText"/>
              <w:spacing w:before="60" w:after="60" w:line="240" w:lineRule="auto"/>
              <w:jc w:val="center"/>
            </w:pPr>
            <w:r w:rsidRPr="004A357C">
              <w:t>-</w:t>
            </w:r>
          </w:p>
        </w:tc>
        <w:tc>
          <w:tcPr>
            <w:tcW w:w="879" w:type="dxa"/>
          </w:tcPr>
          <w:p w14:paraId="0A695D6A" w14:textId="7B083952" w:rsidR="00A30A22" w:rsidRPr="004A357C" w:rsidRDefault="00A30A22" w:rsidP="00FB712C">
            <w:pPr>
              <w:pStyle w:val="TableNText"/>
              <w:spacing w:before="60" w:after="60" w:line="240" w:lineRule="auto"/>
              <w:jc w:val="center"/>
            </w:pPr>
            <w:r w:rsidRPr="004A357C">
              <w:t>615</w:t>
            </w:r>
          </w:p>
        </w:tc>
        <w:tc>
          <w:tcPr>
            <w:tcW w:w="879" w:type="dxa"/>
          </w:tcPr>
          <w:p w14:paraId="073169C7" w14:textId="677A1FBE" w:rsidR="00A30A22" w:rsidRPr="004A357C" w:rsidRDefault="00A30A22" w:rsidP="00FB712C">
            <w:pPr>
              <w:pStyle w:val="TableNText"/>
              <w:spacing w:before="60" w:after="60" w:line="240" w:lineRule="auto"/>
              <w:jc w:val="center"/>
            </w:pPr>
            <w:r w:rsidRPr="004A357C">
              <w:t>-</w:t>
            </w:r>
          </w:p>
        </w:tc>
        <w:tc>
          <w:tcPr>
            <w:tcW w:w="879" w:type="dxa"/>
          </w:tcPr>
          <w:p w14:paraId="0DB3A899" w14:textId="25D41D6E" w:rsidR="00A30A22" w:rsidRPr="004A357C" w:rsidRDefault="00A30A22" w:rsidP="00FB712C">
            <w:pPr>
              <w:pStyle w:val="TableNText"/>
              <w:spacing w:before="60" w:after="60" w:line="240" w:lineRule="auto"/>
              <w:jc w:val="center"/>
            </w:pPr>
            <w:r w:rsidRPr="004A357C">
              <w:t>-</w:t>
            </w:r>
          </w:p>
        </w:tc>
        <w:tc>
          <w:tcPr>
            <w:tcW w:w="912" w:type="dxa"/>
          </w:tcPr>
          <w:p w14:paraId="4057BCFD" w14:textId="3E0F1F89" w:rsidR="00A30A22" w:rsidRPr="004A357C" w:rsidRDefault="00A30A22" w:rsidP="00FB712C">
            <w:pPr>
              <w:pStyle w:val="TableNText"/>
              <w:spacing w:before="60" w:after="60" w:line="240" w:lineRule="auto"/>
              <w:jc w:val="center"/>
              <w:rPr>
                <w:rFonts w:ascii="Segoe UI Semibold" w:hAnsi="Segoe UI Semibold" w:cs="Segoe UI Semibold"/>
              </w:rPr>
            </w:pPr>
            <w:r w:rsidRPr="004A357C">
              <w:t>615</w:t>
            </w:r>
          </w:p>
        </w:tc>
      </w:tr>
      <w:tr w:rsidR="00A30A22" w:rsidRPr="004A357C" w14:paraId="7542155D" w14:textId="77777777" w:rsidTr="00AC7F0C">
        <w:trPr>
          <w:cnfStyle w:val="000000100000" w:firstRow="0" w:lastRow="0" w:firstColumn="0" w:lastColumn="0" w:oddVBand="0" w:evenVBand="0" w:oddHBand="1" w:evenHBand="0" w:firstRowFirstColumn="0" w:firstRowLastColumn="0" w:lastRowFirstColumn="0" w:lastRowLastColumn="0"/>
        </w:trPr>
        <w:tc>
          <w:tcPr>
            <w:tcW w:w="796" w:type="dxa"/>
            <w:vMerge/>
          </w:tcPr>
          <w:p w14:paraId="14D36392" w14:textId="77777777" w:rsidR="00A30A22" w:rsidRPr="004A357C" w:rsidRDefault="00A30A22" w:rsidP="00FB712C">
            <w:pPr>
              <w:spacing w:before="60" w:after="60"/>
              <w:rPr>
                <w:sz w:val="18"/>
                <w:szCs w:val="18"/>
              </w:rPr>
            </w:pPr>
          </w:p>
        </w:tc>
        <w:tc>
          <w:tcPr>
            <w:tcW w:w="3693" w:type="dxa"/>
          </w:tcPr>
          <w:p w14:paraId="0C9F96D5" w14:textId="392F69B7" w:rsidR="00A30A22" w:rsidRPr="004A357C" w:rsidRDefault="00A30A22"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 xml:space="preserve">04 </w:t>
            </w:r>
            <w:r w:rsidR="00886310" w:rsidRPr="004A357C">
              <w:rPr>
                <w:rFonts w:asciiTheme="majorHAnsi" w:hAnsiTheme="majorHAnsi" w:cstheme="majorHAnsi"/>
              </w:rPr>
              <w:t>–</w:t>
            </w:r>
            <w:r w:rsidRPr="004A357C">
              <w:rPr>
                <w:rFonts w:ascii="Segoe UI Semibold" w:hAnsi="Segoe UI Semibold" w:cs="Segoe UI Semibold"/>
              </w:rPr>
              <w:t xml:space="preserve"> Dermatologic</w:t>
            </w:r>
          </w:p>
        </w:tc>
        <w:tc>
          <w:tcPr>
            <w:tcW w:w="892" w:type="dxa"/>
          </w:tcPr>
          <w:p w14:paraId="616A3099" w14:textId="6E1C7579" w:rsidR="00A30A22" w:rsidRPr="004A357C" w:rsidRDefault="00A30A22" w:rsidP="00FB712C">
            <w:pPr>
              <w:pStyle w:val="TableNText"/>
              <w:spacing w:before="60" w:after="60" w:line="240" w:lineRule="auto"/>
              <w:jc w:val="center"/>
            </w:pPr>
            <w:r w:rsidRPr="004A357C">
              <w:t>-</w:t>
            </w:r>
          </w:p>
        </w:tc>
        <w:tc>
          <w:tcPr>
            <w:tcW w:w="879" w:type="dxa"/>
          </w:tcPr>
          <w:p w14:paraId="41D73D27" w14:textId="539AAAEC" w:rsidR="00A30A22" w:rsidRPr="004A357C" w:rsidRDefault="00A30A22" w:rsidP="00FB712C">
            <w:pPr>
              <w:pStyle w:val="TableNText"/>
              <w:spacing w:before="60" w:after="60" w:line="240" w:lineRule="auto"/>
              <w:jc w:val="center"/>
            </w:pPr>
            <w:r w:rsidRPr="004A357C">
              <w:t>18</w:t>
            </w:r>
          </w:p>
        </w:tc>
        <w:tc>
          <w:tcPr>
            <w:tcW w:w="879" w:type="dxa"/>
          </w:tcPr>
          <w:p w14:paraId="7951E1F9" w14:textId="4FE7555F" w:rsidR="00A30A22" w:rsidRPr="004A357C" w:rsidRDefault="00A30A22" w:rsidP="00FB712C">
            <w:pPr>
              <w:pStyle w:val="TableNText"/>
              <w:spacing w:before="60" w:after="60" w:line="240" w:lineRule="auto"/>
              <w:jc w:val="center"/>
            </w:pPr>
            <w:r w:rsidRPr="004A357C">
              <w:t>-</w:t>
            </w:r>
          </w:p>
        </w:tc>
        <w:tc>
          <w:tcPr>
            <w:tcW w:w="879" w:type="dxa"/>
          </w:tcPr>
          <w:p w14:paraId="5557015F" w14:textId="6D4FAA11" w:rsidR="00A30A22" w:rsidRPr="004A357C" w:rsidRDefault="00A30A22" w:rsidP="00FB712C">
            <w:pPr>
              <w:pStyle w:val="TableNText"/>
              <w:spacing w:before="60" w:after="60" w:line="240" w:lineRule="auto"/>
              <w:jc w:val="center"/>
            </w:pPr>
            <w:r w:rsidRPr="004A357C">
              <w:t>-</w:t>
            </w:r>
          </w:p>
        </w:tc>
        <w:tc>
          <w:tcPr>
            <w:tcW w:w="912" w:type="dxa"/>
          </w:tcPr>
          <w:p w14:paraId="05DC735B" w14:textId="388C3181" w:rsidR="00A30A22" w:rsidRPr="004A357C" w:rsidRDefault="00A30A22" w:rsidP="00FB712C">
            <w:pPr>
              <w:pStyle w:val="TableNText"/>
              <w:spacing w:before="60" w:after="60" w:line="240" w:lineRule="auto"/>
              <w:jc w:val="center"/>
              <w:rPr>
                <w:rFonts w:ascii="Segoe UI Semibold" w:hAnsi="Segoe UI Semibold" w:cs="Segoe UI Semibold"/>
              </w:rPr>
            </w:pPr>
            <w:r w:rsidRPr="004A357C">
              <w:t>18</w:t>
            </w:r>
          </w:p>
        </w:tc>
      </w:tr>
      <w:tr w:rsidR="00AC7F0C" w:rsidRPr="004A357C" w14:paraId="4046CDB7" w14:textId="77777777" w:rsidTr="00AC7F0C">
        <w:trPr>
          <w:cnfStyle w:val="000000010000" w:firstRow="0" w:lastRow="0" w:firstColumn="0" w:lastColumn="0" w:oddVBand="0" w:evenVBand="0" w:oddHBand="0" w:evenHBand="1" w:firstRowFirstColumn="0" w:firstRowLastColumn="0" w:lastRowFirstColumn="0" w:lastRowLastColumn="0"/>
        </w:trPr>
        <w:tc>
          <w:tcPr>
            <w:tcW w:w="796" w:type="dxa"/>
          </w:tcPr>
          <w:p w14:paraId="777C559B" w14:textId="77777777" w:rsidR="00AC7F0C" w:rsidRPr="004A357C" w:rsidRDefault="00AC7F0C" w:rsidP="00FB712C">
            <w:pPr>
              <w:spacing w:before="60" w:after="60"/>
              <w:rPr>
                <w:sz w:val="18"/>
                <w:szCs w:val="18"/>
              </w:rPr>
            </w:pPr>
          </w:p>
        </w:tc>
        <w:tc>
          <w:tcPr>
            <w:tcW w:w="3693" w:type="dxa"/>
          </w:tcPr>
          <w:p w14:paraId="77ED1FA1" w14:textId="52917CAD" w:rsidR="00AC7F0C" w:rsidRPr="004A357C" w:rsidRDefault="00AC7F0C" w:rsidP="00FB712C">
            <w:pPr>
              <w:pStyle w:val="TableNText"/>
              <w:spacing w:before="60" w:after="60" w:line="240" w:lineRule="auto"/>
              <w:rPr>
                <w:rFonts w:ascii="Segoe UI Semibold" w:hAnsi="Segoe UI Semibold" w:cs="Segoe UI Semibold"/>
              </w:rPr>
            </w:pPr>
            <w:r w:rsidRPr="004A357C">
              <w:rPr>
                <w:rFonts w:ascii="Segoe UI Semibold" w:hAnsi="Segoe UI Semibold" w:cs="Segoe UI Semibold"/>
              </w:rPr>
              <w:t>Total</w:t>
            </w:r>
          </w:p>
        </w:tc>
        <w:tc>
          <w:tcPr>
            <w:tcW w:w="892" w:type="dxa"/>
          </w:tcPr>
          <w:p w14:paraId="5EE35B4C" w14:textId="401391B1" w:rsidR="00AC7F0C" w:rsidRPr="004A357C" w:rsidRDefault="00AC7F0C"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9</w:t>
            </w:r>
            <w:r w:rsidR="009A2BC4" w:rsidRPr="004A357C">
              <w:rPr>
                <w:rFonts w:asciiTheme="majorHAnsi" w:hAnsiTheme="majorHAnsi" w:cstheme="majorHAnsi"/>
              </w:rPr>
              <w:t>,</w:t>
            </w:r>
            <w:r w:rsidR="009B29F9" w:rsidRPr="004A357C">
              <w:rPr>
                <w:rFonts w:asciiTheme="majorHAnsi" w:hAnsiTheme="majorHAnsi" w:cstheme="majorHAnsi"/>
              </w:rPr>
              <w:t>676</w:t>
            </w:r>
          </w:p>
        </w:tc>
        <w:tc>
          <w:tcPr>
            <w:tcW w:w="879" w:type="dxa"/>
          </w:tcPr>
          <w:p w14:paraId="53325D88" w14:textId="2CE56CA3" w:rsidR="00AC7F0C" w:rsidRPr="004A357C" w:rsidRDefault="009B29F9"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664</w:t>
            </w:r>
          </w:p>
        </w:tc>
        <w:tc>
          <w:tcPr>
            <w:tcW w:w="879" w:type="dxa"/>
          </w:tcPr>
          <w:p w14:paraId="4E3B0BF6" w14:textId="430FA3C5" w:rsidR="00AC7F0C" w:rsidRPr="004A357C" w:rsidRDefault="009B29F9"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140</w:t>
            </w:r>
          </w:p>
        </w:tc>
        <w:tc>
          <w:tcPr>
            <w:tcW w:w="879" w:type="dxa"/>
          </w:tcPr>
          <w:p w14:paraId="4A46C93D" w14:textId="387DBCE2" w:rsidR="00AC7F0C" w:rsidRPr="004A357C" w:rsidRDefault="009B29F9"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463</w:t>
            </w:r>
          </w:p>
        </w:tc>
        <w:tc>
          <w:tcPr>
            <w:tcW w:w="912" w:type="dxa"/>
          </w:tcPr>
          <w:p w14:paraId="18A30014" w14:textId="7B511303" w:rsidR="00AC7F0C" w:rsidRPr="004A357C" w:rsidRDefault="009B29F9" w:rsidP="00FB712C">
            <w:pPr>
              <w:pStyle w:val="TableNText"/>
              <w:spacing w:before="60" w:after="60" w:line="240" w:lineRule="auto"/>
              <w:jc w:val="center"/>
              <w:rPr>
                <w:rFonts w:asciiTheme="majorHAnsi" w:hAnsiTheme="majorHAnsi" w:cstheme="majorHAnsi"/>
              </w:rPr>
            </w:pPr>
            <w:r w:rsidRPr="004A357C">
              <w:rPr>
                <w:rFonts w:asciiTheme="majorHAnsi" w:hAnsiTheme="majorHAnsi" w:cstheme="majorHAnsi"/>
              </w:rPr>
              <w:t>10</w:t>
            </w:r>
            <w:r w:rsidR="009A2BC4" w:rsidRPr="004A357C">
              <w:rPr>
                <w:rFonts w:asciiTheme="majorHAnsi" w:hAnsiTheme="majorHAnsi" w:cstheme="majorHAnsi"/>
              </w:rPr>
              <w:t>,</w:t>
            </w:r>
            <w:r w:rsidRPr="004A357C">
              <w:rPr>
                <w:rFonts w:asciiTheme="majorHAnsi" w:hAnsiTheme="majorHAnsi" w:cstheme="majorHAnsi"/>
              </w:rPr>
              <w:t>943</w:t>
            </w:r>
          </w:p>
        </w:tc>
      </w:tr>
    </w:tbl>
    <w:p w14:paraId="4E8CEAD6" w14:textId="2CB45F9E" w:rsidR="00E14A9B" w:rsidRPr="004A357C" w:rsidRDefault="00112DD5" w:rsidP="00B50EE7">
      <w:pPr>
        <w:pStyle w:val="Caption"/>
      </w:pPr>
      <w:bookmarkStart w:id="141" w:name="_Ref199404735"/>
      <w:bookmarkStart w:id="142" w:name="_Ref199404732"/>
      <w:r w:rsidRPr="004A357C">
        <w:lastRenderedPageBreak/>
        <w:t xml:space="preserve">Figure </w:t>
      </w:r>
      <w:r w:rsidR="002604D0">
        <w:fldChar w:fldCharType="begin"/>
      </w:r>
      <w:r w:rsidR="002604D0">
        <w:instrText xml:space="preserve"> SEQ Figure \* ARABIC </w:instrText>
      </w:r>
      <w:r w:rsidR="002604D0">
        <w:fldChar w:fldCharType="separate"/>
      </w:r>
      <w:r w:rsidR="00D30634">
        <w:rPr>
          <w:noProof/>
        </w:rPr>
        <w:t>36</w:t>
      </w:r>
      <w:r w:rsidR="002604D0">
        <w:fldChar w:fldCharType="end"/>
      </w:r>
      <w:bookmarkEnd w:id="141"/>
      <w:r w:rsidRPr="004A357C">
        <w:t xml:space="preserve"> | Number of PL items (Parts A, C and D)</w:t>
      </w:r>
      <w:r w:rsidR="00845296" w:rsidRPr="004A357C">
        <w:rPr>
          <w:rStyle w:val="FootnoteReference"/>
        </w:rPr>
        <w:footnoteReference w:id="147"/>
      </w:r>
      <w:bookmarkEnd w:id="142"/>
    </w:p>
    <w:p w14:paraId="233DC626" w14:textId="700E7AA2" w:rsidR="00112DD5" w:rsidRPr="004A357C" w:rsidRDefault="00261869" w:rsidP="00112DD5">
      <w:pPr>
        <w:rPr>
          <w:lang w:eastAsia="en-AU"/>
        </w:rPr>
      </w:pPr>
      <w:r w:rsidRPr="00AC7E3F">
        <w:rPr>
          <w:noProof/>
          <w:lang w:eastAsia="en-AU"/>
        </w:rPr>
        <w:drawing>
          <wp:inline distT="0" distB="0" distL="0" distR="0" wp14:anchorId="76838785" wp14:editId="08281BC9">
            <wp:extent cx="5670550" cy="2811780"/>
            <wp:effectExtent l="0" t="0" r="6350" b="7620"/>
            <wp:docPr id="546827471" name="Picture 1" descr="Chart showing total number of PL items (Parts A, C, D) declining from 2021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27471" name="Picture 1" descr="Chart showing total number of PL items (Parts A, C, D) declining from 2021 to 2024."/>
                    <pic:cNvPicPr/>
                  </pic:nvPicPr>
                  <pic:blipFill>
                    <a:blip r:embed="rId61"/>
                    <a:stretch>
                      <a:fillRect/>
                    </a:stretch>
                  </pic:blipFill>
                  <pic:spPr>
                    <a:xfrm>
                      <a:off x="0" y="0"/>
                      <a:ext cx="5670550" cy="2811780"/>
                    </a:xfrm>
                    <a:prstGeom prst="rect">
                      <a:avLst/>
                    </a:prstGeom>
                  </pic:spPr>
                </pic:pic>
              </a:graphicData>
            </a:graphic>
          </wp:inline>
        </w:drawing>
      </w:r>
    </w:p>
    <w:p w14:paraId="1597428A" w14:textId="28677A0D" w:rsidR="003B26A6" w:rsidRPr="004A357C" w:rsidRDefault="003B26A6" w:rsidP="00FB712C">
      <w:pPr>
        <w:spacing w:before="240"/>
        <w:rPr>
          <w:lang w:eastAsia="en-AU"/>
        </w:rPr>
      </w:pPr>
      <w:r w:rsidRPr="004A357C">
        <w:rPr>
          <w:lang w:eastAsia="en-AU"/>
        </w:rPr>
        <w:fldChar w:fldCharType="begin"/>
      </w:r>
      <w:r w:rsidRPr="004A357C">
        <w:rPr>
          <w:lang w:eastAsia="en-AU"/>
        </w:rPr>
        <w:instrText xml:space="preserve"> REF _Ref199404735 \h </w:instrText>
      </w:r>
      <w:r w:rsidRPr="004A357C">
        <w:rPr>
          <w:lang w:eastAsia="en-AU"/>
        </w:rPr>
      </w:r>
      <w:r w:rsidRPr="004A357C">
        <w:rPr>
          <w:lang w:eastAsia="en-AU"/>
        </w:rPr>
        <w:fldChar w:fldCharType="separate"/>
      </w:r>
      <w:r w:rsidR="00D30634" w:rsidRPr="004A357C">
        <w:t xml:space="preserve">Figure </w:t>
      </w:r>
      <w:r w:rsidR="00D30634">
        <w:rPr>
          <w:noProof/>
        </w:rPr>
        <w:t>36</w:t>
      </w:r>
      <w:r w:rsidRPr="004A357C">
        <w:rPr>
          <w:lang w:eastAsia="en-AU"/>
        </w:rPr>
        <w:fldChar w:fldCharType="end"/>
      </w:r>
      <w:r w:rsidRPr="004A357C">
        <w:rPr>
          <w:lang w:eastAsia="en-AU"/>
        </w:rPr>
        <w:t xml:space="preserve"> </w:t>
      </w:r>
      <w:r w:rsidR="00104637" w:rsidRPr="004A357C">
        <w:rPr>
          <w:lang w:eastAsia="en-AU"/>
        </w:rPr>
        <w:t>shows that the number of PL items in Parts A, C and D declined by 5.71% from the July 2021 PL to the August 2024 PL. This reflects a reversal of the trend in the 10 years preceding the July 2021 baseline, where the number of items increased by 1.09% per annum.</w:t>
      </w:r>
    </w:p>
    <w:p w14:paraId="0E40E85D" w14:textId="37311E17" w:rsidR="00E14A9B" w:rsidRPr="004A357C" w:rsidRDefault="00261869" w:rsidP="00B50EE7">
      <w:pPr>
        <w:pStyle w:val="Caption"/>
      </w:pPr>
      <w:bookmarkStart w:id="143" w:name="_Ref199404801"/>
      <w:r w:rsidRPr="004A357C">
        <w:t xml:space="preserve">Figure </w:t>
      </w:r>
      <w:r w:rsidR="002604D0">
        <w:fldChar w:fldCharType="begin"/>
      </w:r>
      <w:r w:rsidR="002604D0">
        <w:instrText xml:space="preserve"> SEQ Figure \* ARABIC </w:instrText>
      </w:r>
      <w:r w:rsidR="002604D0">
        <w:fldChar w:fldCharType="separate"/>
      </w:r>
      <w:r w:rsidR="00D30634">
        <w:rPr>
          <w:noProof/>
        </w:rPr>
        <w:t>37</w:t>
      </w:r>
      <w:r w:rsidR="002604D0">
        <w:fldChar w:fldCharType="end"/>
      </w:r>
      <w:bookmarkEnd w:id="143"/>
      <w:r w:rsidRPr="004A357C">
        <w:t xml:space="preserve"> | Number of benefit groups (Parts A, C and D)</w:t>
      </w:r>
      <w:r w:rsidR="0032303C" w:rsidRPr="004A357C">
        <w:rPr>
          <w:rStyle w:val="FootnoteReference"/>
        </w:rPr>
        <w:footnoteReference w:id="148"/>
      </w:r>
    </w:p>
    <w:p w14:paraId="31B6BC6F" w14:textId="56ADFDFE" w:rsidR="00261869" w:rsidRPr="004A357C" w:rsidRDefault="00B408E1" w:rsidP="00261869">
      <w:pPr>
        <w:rPr>
          <w:lang w:eastAsia="en-AU"/>
        </w:rPr>
      </w:pPr>
      <w:r w:rsidRPr="00AC7E3F">
        <w:rPr>
          <w:noProof/>
          <w:lang w:eastAsia="en-AU"/>
        </w:rPr>
        <w:drawing>
          <wp:inline distT="0" distB="0" distL="0" distR="0" wp14:anchorId="6BF5E518" wp14:editId="6A32D48B">
            <wp:extent cx="5670550" cy="2828290"/>
            <wp:effectExtent l="0" t="0" r="6350" b="0"/>
            <wp:docPr id="330678375" name="Picture 1" descr="Chart showing number of PL benefit groups (Parts A, C, D) declining 2021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8375" name="Picture 1" descr="Chart showing number of PL benefit groups (Parts A, C, D) declining 2021 to 2024."/>
                    <pic:cNvPicPr/>
                  </pic:nvPicPr>
                  <pic:blipFill>
                    <a:blip r:embed="rId62"/>
                    <a:stretch>
                      <a:fillRect/>
                    </a:stretch>
                  </pic:blipFill>
                  <pic:spPr>
                    <a:xfrm>
                      <a:off x="0" y="0"/>
                      <a:ext cx="5670550" cy="2828290"/>
                    </a:xfrm>
                    <a:prstGeom prst="rect">
                      <a:avLst/>
                    </a:prstGeom>
                  </pic:spPr>
                </pic:pic>
              </a:graphicData>
            </a:graphic>
          </wp:inline>
        </w:drawing>
      </w:r>
    </w:p>
    <w:p w14:paraId="5CE8A554" w14:textId="07FBA975" w:rsidR="003B26A6" w:rsidRPr="004A357C" w:rsidRDefault="00104637" w:rsidP="00FB712C">
      <w:pPr>
        <w:spacing w:before="240"/>
        <w:rPr>
          <w:lang w:eastAsia="en-AU"/>
        </w:rPr>
      </w:pPr>
      <w:r w:rsidRPr="004A357C">
        <w:rPr>
          <w:lang w:eastAsia="en-AU"/>
        </w:rPr>
        <w:t xml:space="preserve">Likewise, </w:t>
      </w:r>
      <w:r w:rsidR="003B26A6" w:rsidRPr="004A357C">
        <w:rPr>
          <w:lang w:eastAsia="en-AU"/>
        </w:rPr>
        <w:fldChar w:fldCharType="begin"/>
      </w:r>
      <w:r w:rsidR="003B26A6" w:rsidRPr="004A357C">
        <w:rPr>
          <w:lang w:eastAsia="en-AU"/>
        </w:rPr>
        <w:instrText xml:space="preserve"> REF _Ref199404801 \h </w:instrText>
      </w:r>
      <w:r w:rsidR="003B26A6" w:rsidRPr="004A357C">
        <w:rPr>
          <w:lang w:eastAsia="en-AU"/>
        </w:rPr>
      </w:r>
      <w:r w:rsidR="003B26A6" w:rsidRPr="004A357C">
        <w:rPr>
          <w:lang w:eastAsia="en-AU"/>
        </w:rPr>
        <w:fldChar w:fldCharType="separate"/>
      </w:r>
      <w:r w:rsidR="00D30634" w:rsidRPr="004A357C">
        <w:t xml:space="preserve">Figure </w:t>
      </w:r>
      <w:r w:rsidR="00D30634">
        <w:rPr>
          <w:noProof/>
        </w:rPr>
        <w:t>37</w:t>
      </w:r>
      <w:r w:rsidR="003B26A6" w:rsidRPr="004A357C">
        <w:rPr>
          <w:lang w:eastAsia="en-AU"/>
        </w:rPr>
        <w:fldChar w:fldCharType="end"/>
      </w:r>
      <w:r w:rsidR="000B496F" w:rsidRPr="004A357C">
        <w:t xml:space="preserve"> </w:t>
      </w:r>
      <w:r w:rsidR="000B496F" w:rsidRPr="004A357C">
        <w:rPr>
          <w:lang w:eastAsia="en-AU"/>
        </w:rPr>
        <w:t>shows that the number of benefit groups declined by 3.64% from the July 2021 PL to the August 2024 PL.</w:t>
      </w:r>
    </w:p>
    <w:p w14:paraId="1462D22E" w14:textId="710DCE5D" w:rsidR="002625ED" w:rsidRPr="004A357C" w:rsidRDefault="00B408E1" w:rsidP="00B50EE7">
      <w:pPr>
        <w:pStyle w:val="Caption"/>
      </w:pPr>
      <w:bookmarkStart w:id="144" w:name="_Ref199404802"/>
      <w:r w:rsidRPr="004A357C">
        <w:lastRenderedPageBreak/>
        <w:t xml:space="preserve">Figure </w:t>
      </w:r>
      <w:r w:rsidR="002604D0">
        <w:fldChar w:fldCharType="begin"/>
      </w:r>
      <w:r w:rsidR="002604D0">
        <w:instrText xml:space="preserve"> SEQ Figure \* ARABIC </w:instrText>
      </w:r>
      <w:r w:rsidR="002604D0">
        <w:fldChar w:fldCharType="separate"/>
      </w:r>
      <w:r w:rsidR="00D30634">
        <w:rPr>
          <w:noProof/>
        </w:rPr>
        <w:t>38</w:t>
      </w:r>
      <w:r w:rsidR="002604D0">
        <w:fldChar w:fldCharType="end"/>
      </w:r>
      <w:bookmarkEnd w:id="144"/>
      <w:r w:rsidRPr="004A357C">
        <w:t xml:space="preserve"> | Average items per benefit group (Parts A, C and D)</w:t>
      </w:r>
      <w:r w:rsidR="003B26A6" w:rsidRPr="004A357C">
        <w:rPr>
          <w:rStyle w:val="FootnoteReference"/>
        </w:rPr>
        <w:footnoteReference w:id="149"/>
      </w:r>
    </w:p>
    <w:p w14:paraId="1D6273AF" w14:textId="130680DC" w:rsidR="00B408E1" w:rsidRPr="004A357C" w:rsidRDefault="00845296" w:rsidP="00B408E1">
      <w:r w:rsidRPr="00AC7E3F">
        <w:rPr>
          <w:noProof/>
        </w:rPr>
        <w:drawing>
          <wp:inline distT="0" distB="0" distL="0" distR="0" wp14:anchorId="7B8A3A15" wp14:editId="44E7B4E9">
            <wp:extent cx="5670550" cy="2808605"/>
            <wp:effectExtent l="0" t="0" r="6350" b="0"/>
            <wp:docPr id="1120273134" name="Picture 1" descr="Chart showing average items per PL benefit group remaining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73134" name="Picture 1" descr="Chart showing average items per PL benefit group remaining stable."/>
                    <pic:cNvPicPr/>
                  </pic:nvPicPr>
                  <pic:blipFill>
                    <a:blip r:embed="rId63"/>
                    <a:stretch>
                      <a:fillRect/>
                    </a:stretch>
                  </pic:blipFill>
                  <pic:spPr>
                    <a:xfrm>
                      <a:off x="0" y="0"/>
                      <a:ext cx="5670550" cy="2808605"/>
                    </a:xfrm>
                    <a:prstGeom prst="rect">
                      <a:avLst/>
                    </a:prstGeom>
                  </pic:spPr>
                </pic:pic>
              </a:graphicData>
            </a:graphic>
          </wp:inline>
        </w:drawing>
      </w:r>
    </w:p>
    <w:p w14:paraId="548549C3" w14:textId="535E5E7C" w:rsidR="002625ED" w:rsidRPr="004A357C" w:rsidRDefault="000B496F" w:rsidP="00FB712C">
      <w:pPr>
        <w:spacing w:before="240"/>
      </w:pPr>
      <w:r w:rsidRPr="004A357C">
        <w:fldChar w:fldCharType="begin"/>
      </w:r>
      <w:r w:rsidRPr="004A357C">
        <w:instrText xml:space="preserve"> REF _Ref199404802 \h </w:instrText>
      </w:r>
      <w:r w:rsidRPr="004A357C">
        <w:fldChar w:fldCharType="separate"/>
      </w:r>
      <w:r w:rsidR="00D30634" w:rsidRPr="004A357C">
        <w:t xml:space="preserve">Figure </w:t>
      </w:r>
      <w:r w:rsidR="00D30634">
        <w:rPr>
          <w:noProof/>
        </w:rPr>
        <w:t>38</w:t>
      </w:r>
      <w:r w:rsidRPr="004A357C">
        <w:fldChar w:fldCharType="end"/>
      </w:r>
      <w:r w:rsidRPr="004A357C">
        <w:t xml:space="preserve"> shows that the average items per benefit group has held relatively steady </w:t>
      </w:r>
      <w:r w:rsidR="00E5200A" w:rsidRPr="004A357C">
        <w:t>over</w:t>
      </w:r>
      <w:r w:rsidRPr="004A357C">
        <w:t xml:space="preserve"> the reform period. This reflects both the number of items and the number of benefit groups decreasing.</w:t>
      </w:r>
    </w:p>
    <w:p w14:paraId="5859A294" w14:textId="088B3155" w:rsidR="00082529" w:rsidRPr="00486C8F" w:rsidRDefault="00082529" w:rsidP="00A362ED">
      <w:pPr>
        <w:pStyle w:val="Bullet"/>
        <w:numPr>
          <w:ilvl w:val="0"/>
          <w:numId w:val="0"/>
        </w:numPr>
      </w:pPr>
    </w:p>
    <w:sectPr w:rsidR="00082529" w:rsidRPr="00486C8F" w:rsidSect="00A31063">
      <w:pgSz w:w="11907" w:h="16839" w:code="9"/>
      <w:pgMar w:top="1247"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E7F3E" w14:textId="77777777" w:rsidR="00DF7D1C" w:rsidRPr="004A357C" w:rsidRDefault="00DF7D1C" w:rsidP="00302076">
      <w:pPr>
        <w:spacing w:after="0"/>
      </w:pPr>
      <w:r w:rsidRPr="004A357C">
        <w:separator/>
      </w:r>
    </w:p>
  </w:endnote>
  <w:endnote w:type="continuationSeparator" w:id="0">
    <w:p w14:paraId="0DBBFF79" w14:textId="77777777" w:rsidR="00DF7D1C" w:rsidRPr="004A357C" w:rsidRDefault="00DF7D1C" w:rsidP="00302076">
      <w:pPr>
        <w:spacing w:after="0"/>
      </w:pPr>
      <w:r w:rsidRPr="004A357C">
        <w:continuationSeparator/>
      </w:r>
    </w:p>
  </w:endnote>
  <w:endnote w:type="continuationNotice" w:id="1">
    <w:p w14:paraId="5C883A9C" w14:textId="77777777" w:rsidR="00DF7D1C" w:rsidRPr="004A357C" w:rsidRDefault="00DF7D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irmala UI Semilight">
    <w:panose1 w:val="020B04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600002F7" w:usb1="02000001" w:usb2="00000000" w:usb3="00000000" w:csb0="0000019F" w:csb1="00000000"/>
  </w:font>
  <w:font w:name="@MingLiU_HKSCS">
    <w:charset w:val="88"/>
    <w:family w:val="roman"/>
    <w:pitch w:val="variable"/>
    <w:sig w:usb0="A00002FF" w:usb1="28CFFCFA" w:usb2="00000016" w:usb3="00000000" w:csb0="00100001" w:csb1="00000000"/>
  </w:font>
  <w:font w:name="Segoe MDL2 Assets">
    <w:panose1 w:val="050A0102010101010101"/>
    <w:charset w:val="00"/>
    <w:family w:val="roman"/>
    <w:pitch w:val="variable"/>
    <w:sig w:usb0="00000003" w:usb1="10000000" w:usb2="00000000" w:usb3="00000000" w:csb0="00000001" w:csb1="00000000"/>
  </w:font>
  <w:font w:name="@MS PGothic">
    <w:charset w:val="80"/>
    <w:family w:val="swiss"/>
    <w:pitch w:val="variable"/>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9A275" w14:textId="0F3D06A1" w:rsidR="00865A27" w:rsidRPr="00602824" w:rsidRDefault="00865A27" w:rsidP="00FD4AB1">
    <w:pPr>
      <w:pStyle w:val="Footer"/>
      <w:rPr>
        <w:rFonts w:ascii="Segoe UI Semibold" w:hAnsi="Segoe UI Semibold" w:cs="Segoe UI"/>
        <w:b/>
      </w:rPr>
    </w:pPr>
    <w:r w:rsidRPr="00602824">
      <w:rPr>
        <w:color w:val="808080" w:themeColor="background1" w:themeShade="80"/>
        <w:szCs w:val="15"/>
        <w:lang w:eastAsia="en-AU"/>
      </w:rPr>
      <w:t xml:space="preserve">Nous Group | </w:t>
    </w:r>
    <w:sdt>
      <w:sdtPr>
        <w:rPr>
          <w:color w:val="808080" w:themeColor="background1" w:themeShade="80"/>
          <w:szCs w:val="15"/>
          <w:lang w:eastAsia="en-AU"/>
        </w:rPr>
        <w:alias w:val="Title"/>
        <w:id w:val="-1274856872"/>
        <w:dataBinding w:prefixMappings="xmlns:ns0='http://purl.org/dc/elements/1.1/' xmlns:ns1='http://schemas.openxmlformats.org/package/2006/metadata/core-properties' " w:xpath="/ns1:coreProperties[1]/ns0:title[1]" w:storeItemID="{6C3C8BC8-F283-45AE-878A-BAB7291924A1}"/>
        <w:text/>
      </w:sdtPr>
      <w:sdtEndPr/>
      <w:sdtContent>
        <w:r w:rsidR="00570F6E" w:rsidRPr="00602824">
          <w:rPr>
            <w:color w:val="808080" w:themeColor="background1" w:themeShade="80"/>
            <w:szCs w:val="15"/>
            <w:lang w:eastAsia="en-AU"/>
          </w:rPr>
          <w:t>Interim Evaluation #2 of the Prescribed List Reforms</w:t>
        </w:r>
      </w:sdtContent>
    </w:sdt>
    <w:r w:rsidRPr="00602824">
      <w:rPr>
        <w:color w:val="808080" w:themeColor="background1" w:themeShade="80"/>
        <w:szCs w:val="15"/>
        <w:lang w:eastAsia="en-AU"/>
      </w:rPr>
      <w:t xml:space="preserve"> | </w:t>
    </w:r>
    <w:sdt>
      <w:sdtPr>
        <w:rPr>
          <w:color w:val="808080" w:themeColor="background1" w:themeShade="80"/>
          <w:szCs w:val="15"/>
          <w:lang w:eastAsia="en-AU"/>
        </w:rPr>
        <w:alias w:val="Publish Date"/>
        <w:id w:val="-1714653380"/>
        <w:dataBinding w:prefixMappings="xmlns:ns0='http://schemas.microsoft.com/office/2006/coverPageProps' " w:xpath="/ns0:CoverPageProperties[1]/ns0:PublishDate[1]" w:storeItemID="{55AF091B-3C7A-41E3-B477-F2FDAA23CFDA}"/>
        <w:date w:fullDate="2025-09-19T00:00:00Z">
          <w:dateFormat w:val="d MMMM yyyy"/>
          <w:lid w:val="en-AU"/>
          <w:storeMappedDataAs w:val="dateTime"/>
          <w:calendar w:val="gregorian"/>
        </w:date>
      </w:sdtPr>
      <w:sdtEndPr/>
      <w:sdtContent>
        <w:r w:rsidR="00FD418B">
          <w:rPr>
            <w:color w:val="808080" w:themeColor="background1" w:themeShade="80"/>
            <w:szCs w:val="15"/>
            <w:lang w:eastAsia="en-AU"/>
          </w:rPr>
          <w:t>19 September 2025</w:t>
        </w:r>
      </w:sdtContent>
    </w:sdt>
    <w:r w:rsidRPr="00602824">
      <w:rPr>
        <w:rFonts w:ascii="Segoe UI Semibold" w:hAnsi="Segoe UI Semibold" w:cs="Segoe UI"/>
        <w:color w:val="A5A5A5"/>
      </w:rPr>
      <w:ptab w:relativeTo="margin" w:alignment="right" w:leader="none"/>
    </w:r>
    <w:r w:rsidRPr="00602824">
      <w:rPr>
        <w:rFonts w:cs="Segoe UI"/>
        <w:color w:val="A5A5A5"/>
      </w:rPr>
      <w:t xml:space="preserve">| </w:t>
    </w:r>
    <w:r w:rsidRPr="00602824">
      <w:rPr>
        <w:rFonts w:cs="Segoe UI"/>
        <w:color w:val="A5A5A5"/>
        <w:sz w:val="16"/>
        <w:szCs w:val="16"/>
      </w:rPr>
      <w:fldChar w:fldCharType="begin"/>
    </w:r>
    <w:r w:rsidRPr="00602824">
      <w:rPr>
        <w:rFonts w:cs="Segoe UI"/>
        <w:color w:val="A5A5A5"/>
        <w:sz w:val="16"/>
        <w:szCs w:val="16"/>
      </w:rPr>
      <w:instrText xml:space="preserve"> PAGE  \* roman  \* MERGEFORMAT </w:instrText>
    </w:r>
    <w:r w:rsidRPr="00602824">
      <w:rPr>
        <w:rFonts w:cs="Segoe UI"/>
        <w:color w:val="A5A5A5"/>
        <w:sz w:val="16"/>
        <w:szCs w:val="16"/>
      </w:rPr>
      <w:fldChar w:fldCharType="separate"/>
    </w:r>
    <w:r w:rsidR="00836AA0" w:rsidRPr="00FB712C">
      <w:rPr>
        <w:rFonts w:cs="Segoe UI"/>
        <w:color w:val="A5A5A5"/>
        <w:sz w:val="16"/>
        <w:szCs w:val="16"/>
      </w:rPr>
      <w:t>ii</w:t>
    </w:r>
    <w:r w:rsidRPr="00602824">
      <w:rPr>
        <w:rFonts w:cs="Segoe UI"/>
        <w:color w:val="A5A5A5"/>
        <w:sz w:val="16"/>
        <w:szCs w:val="16"/>
      </w:rPr>
      <w:fldChar w:fldCharType="end"/>
    </w:r>
    <w:r w:rsidRPr="00602824">
      <w:rPr>
        <w:rFonts w:cs="Segoe UI"/>
        <w:color w:val="A5A5A5"/>
        <w:sz w:val="16"/>
        <w:szCs w:val="16"/>
      </w:rPr>
      <w:t xml:space="preserve"> </w:t>
    </w:r>
    <w:r w:rsidRPr="00602824">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0C04" w14:textId="15CEA807" w:rsidR="009A5C5D" w:rsidRPr="00602824" w:rsidRDefault="00294C7F">
    <w:pPr>
      <w:pStyle w:val="Footer"/>
      <w:rPr>
        <w:rFonts w:cs="Segoe UI"/>
        <w:b/>
      </w:rPr>
    </w:pPr>
    <w:r w:rsidRPr="00602824">
      <w:rPr>
        <w:rFonts w:cs="Segoe UI"/>
        <w:color w:val="808080" w:themeColor="background1" w:themeShade="80"/>
        <w:szCs w:val="15"/>
        <w:lang w:eastAsia="en-AU"/>
      </w:rPr>
      <w:t xml:space="preserve">Nous Group | </w:t>
    </w:r>
    <w:sdt>
      <w:sdtPr>
        <w:rPr>
          <w:rFonts w:cs="Segoe UI"/>
          <w:color w:val="808080" w:themeColor="background1" w:themeShade="80"/>
          <w:szCs w:val="15"/>
          <w:lang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EndPr/>
      <w:sdtContent>
        <w:r w:rsidR="00570F6E" w:rsidRPr="00602824">
          <w:rPr>
            <w:rFonts w:cs="Segoe UI"/>
            <w:color w:val="808080" w:themeColor="background1" w:themeShade="80"/>
            <w:szCs w:val="15"/>
            <w:lang w:eastAsia="en-AU"/>
          </w:rPr>
          <w:t>Interim Evaluation #2 of the Prescribed List Reforms</w:t>
        </w:r>
      </w:sdtContent>
    </w:sdt>
    <w:r w:rsidRPr="00602824">
      <w:rPr>
        <w:rFonts w:cs="Segoe UI"/>
        <w:color w:val="808080" w:themeColor="background1" w:themeShade="80"/>
        <w:szCs w:val="15"/>
        <w:lang w:eastAsia="en-AU"/>
      </w:rPr>
      <w:t xml:space="preserve"> | </w:t>
    </w:r>
    <w:r w:rsidR="00FD418B">
      <w:rPr>
        <w:rFonts w:cs="Segoe UI"/>
        <w:color w:val="808080" w:themeColor="background1" w:themeShade="80"/>
        <w:szCs w:val="15"/>
        <w:lang w:eastAsia="en-AU"/>
      </w:rPr>
      <w:t>19</w:t>
    </w:r>
    <w:r w:rsidR="00572096" w:rsidRPr="00602824">
      <w:rPr>
        <w:rFonts w:cs="Segoe UI"/>
        <w:color w:val="808080" w:themeColor="background1" w:themeShade="80"/>
        <w:szCs w:val="15"/>
        <w:lang w:eastAsia="en-AU"/>
      </w:rPr>
      <w:t xml:space="preserve"> </w:t>
    </w:r>
    <w:r w:rsidR="00FD418B">
      <w:rPr>
        <w:rFonts w:cs="Segoe UI"/>
        <w:color w:val="808080" w:themeColor="background1" w:themeShade="80"/>
        <w:szCs w:val="15"/>
        <w:lang w:eastAsia="en-AU"/>
      </w:rPr>
      <w:t>September</w:t>
    </w:r>
    <w:r w:rsidR="00572096" w:rsidRPr="00602824">
      <w:rPr>
        <w:rFonts w:cs="Segoe UI"/>
        <w:color w:val="808080" w:themeColor="background1" w:themeShade="80"/>
        <w:szCs w:val="15"/>
        <w:lang w:eastAsia="en-AU"/>
      </w:rPr>
      <w:t xml:space="preserve"> 2025</w:t>
    </w:r>
    <w:r w:rsidR="003B464C" w:rsidRPr="00602824">
      <w:rPr>
        <w:rFonts w:cs="Segoe UI"/>
        <w:color w:val="A5A5A5"/>
      </w:rPr>
      <w:ptab w:relativeTo="margin" w:alignment="right" w:leader="none"/>
    </w:r>
    <w:r w:rsidR="004A7360" w:rsidRPr="00602824">
      <w:rPr>
        <w:rFonts w:cs="Segoe UI"/>
        <w:color w:val="A5A5A5"/>
      </w:rPr>
      <w:t>|</w:t>
    </w:r>
    <w:r w:rsidR="004A7360" w:rsidRPr="00602824">
      <w:rPr>
        <w:rFonts w:cs="Segoe UI"/>
        <w:color w:val="A5A5A5"/>
      </w:rPr>
      <w:fldChar w:fldCharType="begin"/>
    </w:r>
    <w:r w:rsidR="004A7360" w:rsidRPr="00602824">
      <w:rPr>
        <w:rFonts w:cs="Segoe UI"/>
        <w:color w:val="A5A5A5"/>
      </w:rPr>
      <w:instrText xml:space="preserve"> PAGE   \* MERGEFORMAT </w:instrText>
    </w:r>
    <w:r w:rsidR="004A7360" w:rsidRPr="00602824">
      <w:rPr>
        <w:rFonts w:cs="Segoe UI"/>
        <w:color w:val="A5A5A5"/>
      </w:rPr>
      <w:fldChar w:fldCharType="separate"/>
    </w:r>
    <w:r w:rsidR="004A7360" w:rsidRPr="00602824">
      <w:rPr>
        <w:rFonts w:cs="Segoe UI"/>
        <w:color w:val="A5A5A5"/>
      </w:rPr>
      <w:t>1</w:t>
    </w:r>
    <w:r w:rsidR="004A7360" w:rsidRPr="00602824">
      <w:rPr>
        <w:rFonts w:cs="Segoe UI"/>
        <w:color w:val="A5A5A5"/>
      </w:rPr>
      <w:fldChar w:fldCharType="end"/>
    </w:r>
    <w:r w:rsidR="003B464C" w:rsidRPr="00602824">
      <w:rPr>
        <w:rFonts w:cs="Segoe UI"/>
        <w:color w:val="A5A5A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4ED22" w14:textId="77777777" w:rsidR="00DF7D1C" w:rsidRPr="004A357C" w:rsidRDefault="00DF7D1C" w:rsidP="00302076">
      <w:pPr>
        <w:spacing w:after="0"/>
      </w:pPr>
      <w:r w:rsidRPr="004A357C">
        <w:separator/>
      </w:r>
    </w:p>
  </w:footnote>
  <w:footnote w:type="continuationSeparator" w:id="0">
    <w:p w14:paraId="5F8563BF" w14:textId="77777777" w:rsidR="00DF7D1C" w:rsidRPr="004A357C" w:rsidRDefault="00DF7D1C" w:rsidP="00302076">
      <w:pPr>
        <w:spacing w:after="0"/>
      </w:pPr>
      <w:r w:rsidRPr="004A357C">
        <w:continuationSeparator/>
      </w:r>
    </w:p>
  </w:footnote>
  <w:footnote w:type="continuationNotice" w:id="1">
    <w:p w14:paraId="7810B130" w14:textId="77777777" w:rsidR="00DF7D1C" w:rsidRPr="004A357C" w:rsidRDefault="00DF7D1C">
      <w:pPr>
        <w:spacing w:after="0"/>
      </w:pPr>
    </w:p>
  </w:footnote>
  <w:footnote w:id="2">
    <w:p w14:paraId="5371FF27" w14:textId="24BE8B4C" w:rsidR="00AD18A0" w:rsidRPr="004A357C" w:rsidRDefault="00AD18A0">
      <w:pPr>
        <w:pStyle w:val="FootnoteText"/>
      </w:pPr>
      <w:r w:rsidRPr="004A357C">
        <w:rPr>
          <w:rStyle w:val="FootnoteReference"/>
        </w:rPr>
        <w:footnoteRef/>
      </w:r>
      <w:r w:rsidRPr="004A357C">
        <w:t xml:space="preserve"> </w:t>
      </w:r>
      <w:r w:rsidR="00A421CF" w:rsidRPr="00A421CF">
        <w:t>Independent Health and Aged Care Pricing Authority, Analysis on prescribed list benefit reductions for general use items (GUIs) and projected savings, 20 January 2025</w:t>
      </w:r>
      <w:r w:rsidRPr="004A357C">
        <w:t>.</w:t>
      </w:r>
    </w:p>
  </w:footnote>
  <w:footnote w:id="3">
    <w:p w14:paraId="3FF663FF" w14:textId="77777777" w:rsidR="00B80BC5" w:rsidRPr="004A357C" w:rsidRDefault="00B80BC5" w:rsidP="00B80BC5">
      <w:pPr>
        <w:pStyle w:val="FootnoteText"/>
      </w:pPr>
      <w:r w:rsidRPr="004A357C">
        <w:rPr>
          <w:rStyle w:val="FootnoteReference"/>
        </w:rPr>
        <w:footnoteRef/>
      </w:r>
      <w:r w:rsidRPr="004A357C">
        <w:t xml:space="preserve"> Department of Health, Disability and Ageing, Baseline evaluation of the Prostheses List reforms – Final report, 2024, https://www.health.gov.au/resources/publications/baseline-evaluation-of-the-prostheses-list-reforms-final-report?language=en.</w:t>
      </w:r>
    </w:p>
  </w:footnote>
  <w:footnote w:id="4">
    <w:p w14:paraId="6A671496" w14:textId="77777777" w:rsidR="00B80BC5" w:rsidRPr="004A357C" w:rsidRDefault="00B80BC5" w:rsidP="00B80BC5">
      <w:pPr>
        <w:pStyle w:val="FootnoteText"/>
      </w:pPr>
      <w:r w:rsidRPr="004A357C">
        <w:rPr>
          <w:rStyle w:val="FootnoteReference"/>
        </w:rPr>
        <w:footnoteRef/>
      </w:r>
      <w:r w:rsidRPr="004A357C">
        <w:t xml:space="preserve"> Department of Health, Disability and Ageing, Interim Evaluation #1 of the Prescribed List Reforms, 2024, https://www.health.gov.au/resources/publications/interim-evaluation-1-of-the-prescribed-list-reforms?language=en.</w:t>
      </w:r>
    </w:p>
  </w:footnote>
  <w:footnote w:id="5">
    <w:p w14:paraId="6A8AA6C5" w14:textId="174ADD02" w:rsidR="001F5EF8" w:rsidRPr="004A357C" w:rsidRDefault="001F5EF8">
      <w:pPr>
        <w:pStyle w:val="FootnoteText"/>
      </w:pPr>
      <w:r w:rsidRPr="004A357C">
        <w:rPr>
          <w:rStyle w:val="FootnoteReference"/>
        </w:rPr>
        <w:footnoteRef/>
      </w:r>
      <w:r w:rsidRPr="004A357C">
        <w:t xml:space="preserve"> Department of Health, Disability and Ageing, PHI 49/24 Cardiac implantable electronic devices and the cost of technical support services, 12 July 2024. https://www.health.gov.au/news/phi-circulars/phi-4924-cardiac-implantable-electronic-devices-and-the-cost-of-technical-support-services</w:t>
      </w:r>
    </w:p>
  </w:footnote>
  <w:footnote w:id="6">
    <w:p w14:paraId="795BE218" w14:textId="4D689C8E" w:rsidR="00D34F40" w:rsidRPr="004A357C" w:rsidRDefault="00D34F40">
      <w:pPr>
        <w:pStyle w:val="FootnoteText"/>
      </w:pPr>
      <w:r w:rsidRPr="004A357C">
        <w:rPr>
          <w:rStyle w:val="FootnoteReference"/>
        </w:rPr>
        <w:footnoteRef/>
      </w:r>
      <w:r w:rsidRPr="004A357C">
        <w:t xml:space="preserve"> Department of Health, Disability and Ageing, </w:t>
      </w:r>
      <w:r w:rsidR="00EE561A" w:rsidRPr="004A357C">
        <w:t xml:space="preserve">PHI 09/25 Release of stakeholder feedback summary – CIED and the cost of TSS stage 1, 20 </w:t>
      </w:r>
      <w:r w:rsidR="009E419D" w:rsidRPr="004A357C">
        <w:t>January</w:t>
      </w:r>
      <w:r w:rsidR="00EE561A" w:rsidRPr="004A357C">
        <w:t xml:space="preserve"> 2025. </w:t>
      </w:r>
      <w:r w:rsidRPr="004A357C">
        <w:t>https://www.health.gov.au/news/phi-circulars/phi-0925-release-of-stakeholder-feedback-summary-cied-and-the-cost-of-tss-stage-1?language=en</w:t>
      </w:r>
    </w:p>
  </w:footnote>
  <w:footnote w:id="7">
    <w:p w14:paraId="3853A349" w14:textId="0A67900C" w:rsidR="006744A5" w:rsidRPr="004A357C" w:rsidRDefault="006744A5">
      <w:pPr>
        <w:pStyle w:val="FootnoteText"/>
      </w:pPr>
      <w:r w:rsidRPr="004A357C">
        <w:rPr>
          <w:rStyle w:val="FootnoteReference"/>
        </w:rPr>
        <w:footnoteRef/>
      </w:r>
      <w:r w:rsidRPr="004A357C">
        <w:t xml:space="preserve"> Department of Health, Disability and Ageing, PHI 72/24 Removal of medicines and accessories to medicines from the Prescribed List, 11 October 2024. https://www.health.gov.au/news/phi-circulars/phi-7224-removal-of-medicines-and-accessories-to-medicines-from-the-prescribed-list?language=en</w:t>
      </w:r>
    </w:p>
  </w:footnote>
  <w:footnote w:id="8">
    <w:p w14:paraId="7768AA49" w14:textId="4C136EAF" w:rsidR="00571785" w:rsidRPr="004A357C" w:rsidRDefault="00571785">
      <w:pPr>
        <w:pStyle w:val="FootnoteText"/>
      </w:pPr>
      <w:r w:rsidRPr="004A357C">
        <w:rPr>
          <w:rStyle w:val="FootnoteReference"/>
        </w:rPr>
        <w:footnoteRef/>
      </w:r>
      <w:r w:rsidRPr="004A357C">
        <w:t xml:space="preserve"> Department of Health, Disability and Ageing, PHI 96/24 Prescribed List post-listing review framework, 12 December 2024. https://www.health.gov.au/news/phi-circulars/phi-9624-prescribed-list-post-listing-review-framework?language=en</w:t>
      </w:r>
    </w:p>
  </w:footnote>
  <w:footnote w:id="9">
    <w:p w14:paraId="7848EE85" w14:textId="3D38F862" w:rsidR="0034758C" w:rsidRPr="004A357C" w:rsidRDefault="0034758C">
      <w:pPr>
        <w:pStyle w:val="FootnoteText"/>
      </w:pPr>
      <w:r w:rsidRPr="004A357C">
        <w:rPr>
          <w:rStyle w:val="FootnoteReference"/>
        </w:rPr>
        <w:footnoteRef/>
      </w:r>
      <w:r w:rsidRPr="004A357C">
        <w:t xml:space="preserve"> Department of Health, Disability and Ageing, PHI 05/25 – Outcome of Consultation Papers 8a and 8b, 9 January 2025. https://www.health.gov.au/news/phi-circulars/phi-0525-outcome-of-consultation-papers-8a-and-8b?language=en.</w:t>
      </w:r>
    </w:p>
  </w:footnote>
  <w:footnote w:id="10">
    <w:p w14:paraId="44D0375C" w14:textId="1BE0E3F6" w:rsidR="00C210D6" w:rsidRPr="004A357C" w:rsidRDefault="00C210D6">
      <w:pPr>
        <w:pStyle w:val="FootnoteText"/>
      </w:pPr>
      <w:r w:rsidRPr="004A357C">
        <w:rPr>
          <w:rStyle w:val="FootnoteReference"/>
        </w:rPr>
        <w:footnoteRef/>
      </w:r>
      <w:r w:rsidRPr="004A357C">
        <w:t xml:space="preserve"> Department of Health, Disability and Ageing, PHI 12/25 – Updates to the 2024-25 Prescribed List CRIS and cost recovery levy, 10 February 2025. https://www.health.gov.au/news/phi-circulars/phi-1225-updates-to-the-2024-25-prescribed-list-cris-and-cost-recovery-levy?language=en</w:t>
      </w:r>
    </w:p>
  </w:footnote>
  <w:footnote w:id="11">
    <w:p w14:paraId="1BE0A093" w14:textId="5DBB4274" w:rsidR="00A253EE" w:rsidRPr="004A357C" w:rsidRDefault="00A253EE">
      <w:pPr>
        <w:pStyle w:val="FootnoteText"/>
      </w:pPr>
      <w:r w:rsidRPr="004A357C">
        <w:rPr>
          <w:rStyle w:val="FootnoteReference"/>
        </w:rPr>
        <w:footnoteRef/>
      </w:r>
      <w:r w:rsidRPr="004A357C">
        <w:t xml:space="preserve"> Department of Health, Disability and Ageing</w:t>
      </w:r>
      <w:r w:rsidR="00361793" w:rsidRPr="004A357C">
        <w:t>, PHI 41/25 Regrouping of Part A of the Prescribed List, 12 May 2025.</w:t>
      </w:r>
      <w:r w:rsidRPr="004A357C">
        <w:t xml:space="preserve"> https://www.health.gov.au/news/phi-circulars/phi-4125-regrouping-of-part-a-of-the-prescribed-list?language=en</w:t>
      </w:r>
    </w:p>
  </w:footnote>
  <w:footnote w:id="12">
    <w:p w14:paraId="497E93E5" w14:textId="2901D460" w:rsidR="00CA10C0" w:rsidRPr="004A357C" w:rsidRDefault="00CA10C0">
      <w:pPr>
        <w:pStyle w:val="FootnoteText"/>
      </w:pPr>
      <w:r w:rsidRPr="004A357C">
        <w:rPr>
          <w:rStyle w:val="FootnoteReference"/>
        </w:rPr>
        <w:footnoteRef/>
      </w:r>
      <w:r w:rsidRPr="004A357C">
        <w:t xml:space="preserve"> </w:t>
      </w:r>
      <w:r w:rsidR="00467CC7" w:rsidRPr="004A357C">
        <w:t>Independent H</w:t>
      </w:r>
      <w:r w:rsidR="00BF3B5B" w:rsidRPr="004A357C">
        <w:t>ealth and Aged Care Pricing Authority</w:t>
      </w:r>
      <w:r w:rsidR="00467CC7" w:rsidRPr="004A357C">
        <w:t>, Benchmark Price for Prostheses in Australian Public Hospitals 2020-21, 2022</w:t>
      </w:r>
      <w:r w:rsidR="00BF3B5B" w:rsidRPr="004A357C">
        <w:t>.</w:t>
      </w:r>
    </w:p>
  </w:footnote>
  <w:footnote w:id="13">
    <w:p w14:paraId="5E6A655C" w14:textId="06D61705" w:rsidR="00753611" w:rsidRPr="004A357C" w:rsidRDefault="00753611">
      <w:pPr>
        <w:pStyle w:val="FootnoteText"/>
      </w:pPr>
      <w:r w:rsidRPr="004A357C">
        <w:rPr>
          <w:rStyle w:val="FootnoteReference"/>
        </w:rPr>
        <w:footnoteRef/>
      </w:r>
      <w:r w:rsidRPr="004A357C">
        <w:t xml:space="preserve"> The Honourable Greg Hunt MP &amp; the Medical Technology Association of Australia Limited, Memorandum of Understanding for the policy parameters of the Prostheses List Reforms, 2022.</w:t>
      </w:r>
    </w:p>
  </w:footnote>
  <w:footnote w:id="14">
    <w:p w14:paraId="43957EE4" w14:textId="2CAD8DB6" w:rsidR="00940EB8" w:rsidRPr="004A357C" w:rsidRDefault="00940EB8" w:rsidP="00940EB8">
      <w:pPr>
        <w:pStyle w:val="FootnoteText"/>
      </w:pPr>
      <w:r w:rsidRPr="004A357C">
        <w:rPr>
          <w:rStyle w:val="FootnoteReference"/>
        </w:rPr>
        <w:footnoteRef/>
      </w:r>
      <w:r w:rsidRPr="004A357C">
        <w:t xml:space="preserve"> Department of Health</w:t>
      </w:r>
      <w:r w:rsidR="00337A25" w:rsidRPr="004A357C">
        <w:t>, Disability</w:t>
      </w:r>
      <w:r w:rsidRPr="004A357C">
        <w:t xml:space="preserve"> and </w:t>
      </w:r>
      <w:r w:rsidR="00337A25" w:rsidRPr="004A357C">
        <w:t>Ageing</w:t>
      </w:r>
      <w:r w:rsidRPr="004A357C">
        <w:t>, Interim Evaluation #1 of the Prescribed List Reforms, 2024, https://www.health.gov.au/resources/publications/interim-evaluation-1-of-the-prescribed-list-reforms?language=en.</w:t>
      </w:r>
    </w:p>
  </w:footnote>
  <w:footnote w:id="15">
    <w:p w14:paraId="39D9E9F3" w14:textId="41BB7DFB" w:rsidR="0096111B" w:rsidRPr="004A357C" w:rsidRDefault="0096111B">
      <w:pPr>
        <w:pStyle w:val="FootnoteText"/>
      </w:pPr>
      <w:r w:rsidRPr="004A357C">
        <w:rPr>
          <w:rStyle w:val="FootnoteReference"/>
        </w:rPr>
        <w:footnoteRef/>
      </w:r>
      <w:r w:rsidRPr="004A357C">
        <w:t xml:space="preserve"> Based on data provided by the Department on </w:t>
      </w:r>
      <w:r w:rsidR="00E50AC7">
        <w:t>31 July</w:t>
      </w:r>
      <w:r w:rsidR="008A12AC" w:rsidRPr="004A357C">
        <w:t xml:space="preserve"> 2025 that excluded Part C and CIED items,</w:t>
      </w:r>
      <w:r w:rsidR="00806AA0" w:rsidRPr="004A357C">
        <w:t xml:space="preserve"> comparing the benefits of the August 2024 PL to the </w:t>
      </w:r>
      <w:r w:rsidR="00A47EC1" w:rsidRPr="004A357C">
        <w:t>benefits prior to the reforms. The evaluation supplemented this data with analysis of Part C and CIED items to calculate</w:t>
      </w:r>
      <w:r w:rsidR="00992E85" w:rsidRPr="004A357C">
        <w:t xml:space="preserve"> the total.</w:t>
      </w:r>
    </w:p>
  </w:footnote>
  <w:footnote w:id="16">
    <w:p w14:paraId="1E5B4EBF" w14:textId="6981D570" w:rsidR="00252206" w:rsidRPr="004A357C" w:rsidRDefault="00252206">
      <w:pPr>
        <w:pStyle w:val="FootnoteText"/>
      </w:pPr>
      <w:r w:rsidRPr="004A357C">
        <w:rPr>
          <w:rStyle w:val="FootnoteReference"/>
        </w:rPr>
        <w:footnoteRef/>
      </w:r>
      <w:r w:rsidRPr="004A357C">
        <w:t xml:space="preserve"> While Nous is unable to verify whether every item with a benefit above 7% of its public benchmark was reduced (or above 0% for GUIs), the 51.</w:t>
      </w:r>
      <w:r w:rsidR="004F13EA">
        <w:t>1</w:t>
      </w:r>
      <w:r w:rsidRPr="004A357C">
        <w:t>% figure aligns with other aggregate data provided to us by the Department of the prevalence of gaps between PL benefits and public benchmarks.</w:t>
      </w:r>
    </w:p>
  </w:footnote>
  <w:footnote w:id="17">
    <w:p w14:paraId="19825856" w14:textId="6A217A64" w:rsidR="00D124F8" w:rsidRPr="004A357C" w:rsidRDefault="00D124F8">
      <w:pPr>
        <w:pStyle w:val="FootnoteText"/>
      </w:pPr>
      <w:r w:rsidRPr="004A357C">
        <w:rPr>
          <w:rStyle w:val="FootnoteReference"/>
        </w:rPr>
        <w:footnoteRef/>
      </w:r>
      <w:r w:rsidRPr="004A357C">
        <w:t xml:space="preserve"> Data supplied by the Department, </w:t>
      </w:r>
      <w:r w:rsidR="00E50AC7">
        <w:t xml:space="preserve">31 July </w:t>
      </w:r>
      <w:r w:rsidR="001675A1" w:rsidRPr="004A357C">
        <w:t>2025.</w:t>
      </w:r>
    </w:p>
  </w:footnote>
  <w:footnote w:id="18">
    <w:p w14:paraId="2AB17D56" w14:textId="17D2E9E5" w:rsidR="00925D20" w:rsidRPr="004A357C" w:rsidRDefault="00925D20" w:rsidP="00925D20">
      <w:pPr>
        <w:pStyle w:val="FootnoteText"/>
      </w:pPr>
      <w:r w:rsidRPr="004A357C">
        <w:rPr>
          <w:rStyle w:val="FootnoteReference"/>
        </w:rPr>
        <w:footnoteRef/>
      </w:r>
      <w:r w:rsidRPr="004A357C">
        <w:t xml:space="preserve"> Data supplied by the Department, </w:t>
      </w:r>
      <w:r w:rsidR="00AA0F68">
        <w:t>31</w:t>
      </w:r>
      <w:r w:rsidRPr="004A357C">
        <w:t xml:space="preserve"> </w:t>
      </w:r>
      <w:r w:rsidR="00AA0F68">
        <w:t>July</w:t>
      </w:r>
      <w:r w:rsidRPr="004A357C">
        <w:t xml:space="preserve"> 2025.</w:t>
      </w:r>
    </w:p>
  </w:footnote>
  <w:footnote w:id="19">
    <w:p w14:paraId="5617F0CD" w14:textId="77777777" w:rsidR="002B7047" w:rsidRPr="004A357C" w:rsidRDefault="002B7047" w:rsidP="002B7047">
      <w:pPr>
        <w:pStyle w:val="FootnoteText"/>
      </w:pPr>
      <w:r w:rsidRPr="004A357C">
        <w:rPr>
          <w:rStyle w:val="FootnoteReference"/>
        </w:rPr>
        <w:footnoteRef/>
      </w:r>
      <w:r w:rsidRPr="004A357C">
        <w:t xml:space="preserve"> The Department omitted CIEDs from data and analysis shared with the evaluation.</w:t>
      </w:r>
    </w:p>
  </w:footnote>
  <w:footnote w:id="20">
    <w:p w14:paraId="52E6BAA0" w14:textId="66131F47" w:rsidR="0099679F" w:rsidRPr="004A357C" w:rsidRDefault="0099679F">
      <w:pPr>
        <w:pStyle w:val="FootnoteText"/>
      </w:pPr>
      <w:r w:rsidRPr="004A357C">
        <w:rPr>
          <w:rStyle w:val="FootnoteReference"/>
        </w:rPr>
        <w:footnoteRef/>
      </w:r>
      <w:r w:rsidRPr="004A357C">
        <w:t xml:space="preserve"> Analysis of the gap between Weighted Average Prices and August 2024 PL benefits, supplied by the Department on </w:t>
      </w:r>
      <w:r w:rsidR="00AA0F68">
        <w:t>31</w:t>
      </w:r>
      <w:r w:rsidRPr="004A357C">
        <w:t xml:space="preserve"> </w:t>
      </w:r>
      <w:r w:rsidR="00AA0F68">
        <w:t>July</w:t>
      </w:r>
      <w:r w:rsidRPr="004A357C">
        <w:t xml:space="preserve"> 2025.</w:t>
      </w:r>
    </w:p>
  </w:footnote>
  <w:footnote w:id="21">
    <w:p w14:paraId="762220AF" w14:textId="05C8D9A9" w:rsidR="00925D20" w:rsidRPr="004A357C" w:rsidRDefault="00925D20" w:rsidP="00925D20">
      <w:pPr>
        <w:pStyle w:val="FootnoteText"/>
      </w:pPr>
      <w:r w:rsidRPr="004A357C">
        <w:rPr>
          <w:rStyle w:val="FootnoteReference"/>
        </w:rPr>
        <w:footnoteRef/>
      </w:r>
      <w:r w:rsidRPr="004A357C">
        <w:t xml:space="preserve"> </w:t>
      </w:r>
      <w:r w:rsidR="0099679F" w:rsidRPr="004A357C">
        <w:t>Ibid</w:t>
      </w:r>
      <w:r w:rsidRPr="004A357C">
        <w:t>.</w:t>
      </w:r>
    </w:p>
  </w:footnote>
  <w:footnote w:id="22">
    <w:p w14:paraId="64BE4D07" w14:textId="0B0557B0" w:rsidR="00530037" w:rsidRPr="004A357C" w:rsidRDefault="00530037">
      <w:pPr>
        <w:pStyle w:val="FootnoteText"/>
      </w:pPr>
      <w:r w:rsidRPr="004A357C">
        <w:rPr>
          <w:rStyle w:val="FootnoteReference"/>
        </w:rPr>
        <w:footnoteRef/>
      </w:r>
      <w:r w:rsidRPr="004A357C">
        <w:t xml:space="preserve"> Department of Health, Disability and Ageing, Prescribed List</w:t>
      </w:r>
      <w:r w:rsidR="00586822" w:rsidRPr="004A357C">
        <w:t xml:space="preserve"> of Medical Devices and Human Tissue Products, </w:t>
      </w:r>
      <w:r w:rsidRPr="004A357C">
        <w:t>August 2016, August 2017, August 2018, August 2019, July 2020, July 2021, July 2022, July 2023 and August 2024 editions</w:t>
      </w:r>
      <w:r w:rsidR="00586822" w:rsidRPr="004A357C">
        <w:t xml:space="preserve"> (Part A)</w:t>
      </w:r>
      <w:r w:rsidRPr="004A357C">
        <w:t xml:space="preserve">; Pharmac, Hospital Medical Devices Schedule, July 2016, July 2017, July 2018, July 2019, July 2020, July 2021, July 2022, July 2023 and July 2024 editions; </w:t>
      </w:r>
      <w:proofErr w:type="spellStart"/>
      <w:r w:rsidRPr="004A357C">
        <w:t>l'Assurance</w:t>
      </w:r>
      <w:proofErr w:type="spellEnd"/>
      <w:r w:rsidRPr="004A357C">
        <w:t xml:space="preserve"> </w:t>
      </w:r>
      <w:proofErr w:type="spellStart"/>
      <w:r w:rsidRPr="004A357C">
        <w:t>Maladie</w:t>
      </w:r>
      <w:proofErr w:type="spellEnd"/>
      <w:r w:rsidRPr="004A357C">
        <w:t xml:space="preserve">, </w:t>
      </w:r>
      <w:proofErr w:type="spellStart"/>
      <w:r w:rsidRPr="004A357C">
        <w:t>Liste</w:t>
      </w:r>
      <w:proofErr w:type="spellEnd"/>
      <w:r w:rsidRPr="004A357C">
        <w:t xml:space="preserve"> des Produits et Prestations, http://www.codage.ext.cnamts.fr/codif/tips/index.php?p_site=AMELI.</w:t>
      </w:r>
    </w:p>
  </w:footnote>
  <w:footnote w:id="23">
    <w:p w14:paraId="2F432761" w14:textId="33625D0C" w:rsidR="002B0388" w:rsidRPr="004A357C" w:rsidRDefault="002B0388">
      <w:pPr>
        <w:pStyle w:val="FootnoteText"/>
      </w:pPr>
      <w:r w:rsidRPr="004A357C">
        <w:rPr>
          <w:rStyle w:val="FootnoteReference"/>
        </w:rPr>
        <w:footnoteRef/>
      </w:r>
      <w:r w:rsidRPr="004A357C">
        <w:t xml:space="preserve"> Ibid.</w:t>
      </w:r>
    </w:p>
  </w:footnote>
  <w:footnote w:id="24">
    <w:p w14:paraId="59896D4E" w14:textId="60CB2E16" w:rsidR="00B53A19" w:rsidRPr="004A357C" w:rsidRDefault="00B53A19">
      <w:pPr>
        <w:pStyle w:val="FootnoteText"/>
      </w:pPr>
      <w:r w:rsidRPr="004A357C">
        <w:rPr>
          <w:rStyle w:val="FootnoteReference"/>
        </w:rPr>
        <w:footnoteRef/>
      </w:r>
      <w:r w:rsidRPr="004A357C">
        <w:t xml:space="preserve"> I</w:t>
      </w:r>
      <w:r w:rsidR="004E4C9C" w:rsidRPr="004A357C">
        <w:t xml:space="preserve">ndeed, </w:t>
      </w:r>
      <w:r w:rsidR="00B62138" w:rsidRPr="004A357C">
        <w:t xml:space="preserve">the same </w:t>
      </w:r>
      <w:r w:rsidR="002C2AF2" w:rsidRPr="004A357C">
        <w:t xml:space="preserve">set of </w:t>
      </w:r>
      <w:r w:rsidR="00386E92" w:rsidRPr="004A357C">
        <w:t xml:space="preserve">IHACPA </w:t>
      </w:r>
      <w:r w:rsidR="00B62138" w:rsidRPr="004A357C">
        <w:t xml:space="preserve">benchmarks </w:t>
      </w:r>
      <w:r w:rsidR="00E406A3" w:rsidRPr="004A357C">
        <w:t xml:space="preserve">the Department </w:t>
      </w:r>
      <w:r w:rsidR="00B62138" w:rsidRPr="004A357C">
        <w:t xml:space="preserve">used to calculate the benefit reductions </w:t>
      </w:r>
      <w:r w:rsidR="00620FD3" w:rsidRPr="004A357C">
        <w:t xml:space="preserve">were </w:t>
      </w:r>
      <w:r w:rsidR="00C63E98" w:rsidRPr="004A357C">
        <w:t xml:space="preserve">then </w:t>
      </w:r>
      <w:r w:rsidR="00620FD3" w:rsidRPr="004A357C">
        <w:t>used to</w:t>
      </w:r>
      <w:r w:rsidR="00B62138" w:rsidRPr="004A357C">
        <w:t xml:space="preserve"> evaluat</w:t>
      </w:r>
      <w:r w:rsidR="002C2AF2" w:rsidRPr="004A357C">
        <w:t>e their success</w:t>
      </w:r>
      <w:r w:rsidR="00E406A3" w:rsidRPr="004A357C">
        <w:t>, with</w:t>
      </w:r>
      <w:r w:rsidR="00757450" w:rsidRPr="004A357C">
        <w:t xml:space="preserve"> </w:t>
      </w:r>
      <w:r w:rsidR="00DA61E5" w:rsidRPr="004A357C">
        <w:t xml:space="preserve">only </w:t>
      </w:r>
      <w:r w:rsidR="00AE6239" w:rsidRPr="004A357C">
        <w:t xml:space="preserve">a summary </w:t>
      </w:r>
      <w:r w:rsidR="00382FF0" w:rsidRPr="004A357C">
        <w:t>of the gap</w:t>
      </w:r>
      <w:r w:rsidR="00DD6C0D" w:rsidRPr="004A357C">
        <w:t xml:space="preserve"> supplied to the </w:t>
      </w:r>
      <w:r w:rsidR="00757450" w:rsidRPr="004A357C">
        <w:t>evaluation</w:t>
      </w:r>
      <w:r w:rsidR="00E406A3" w:rsidRPr="004A357C">
        <w:t xml:space="preserve"> for use </w:t>
      </w:r>
      <w:r w:rsidR="00600E9F" w:rsidRPr="004A357C">
        <w:t>in reporting</w:t>
      </w:r>
      <w:r w:rsidR="00C63E98" w:rsidRPr="004A357C">
        <w:t>.</w:t>
      </w:r>
    </w:p>
  </w:footnote>
  <w:footnote w:id="25">
    <w:p w14:paraId="3DEB9A62" w14:textId="34D065EE" w:rsidR="00312BC8" w:rsidRPr="004A357C" w:rsidRDefault="00312BC8">
      <w:pPr>
        <w:pStyle w:val="FootnoteText"/>
      </w:pPr>
      <w:r w:rsidRPr="004A357C">
        <w:rPr>
          <w:rStyle w:val="FootnoteReference"/>
        </w:rPr>
        <w:footnoteRef/>
      </w:r>
      <w:r w:rsidRPr="004A357C">
        <w:t xml:space="preserve"> Department of Health, Disability and Ageing, </w:t>
      </w:r>
      <w:r w:rsidR="0008715E" w:rsidRPr="004A357C">
        <w:t>Baseline evaluation of the Prostheses List reforms – Final report</w:t>
      </w:r>
      <w:r w:rsidRPr="004A357C">
        <w:t xml:space="preserve">, 2024, </w:t>
      </w:r>
      <w:r w:rsidR="0008715E" w:rsidRPr="004A357C">
        <w:t>https://www.health.gov.au/resources/publications/baseline-evaluation-of-the-prostheses-list-reforms-final-report?language=en</w:t>
      </w:r>
      <w:r w:rsidRPr="004A357C">
        <w:t>.</w:t>
      </w:r>
    </w:p>
  </w:footnote>
  <w:footnote w:id="26">
    <w:p w14:paraId="1C61D9D3" w14:textId="60B4A167" w:rsidR="00620FEA" w:rsidRPr="004A357C" w:rsidRDefault="00620FEA">
      <w:pPr>
        <w:pStyle w:val="FootnoteText"/>
      </w:pPr>
      <w:r w:rsidRPr="004A357C">
        <w:rPr>
          <w:rStyle w:val="FootnoteReference"/>
        </w:rPr>
        <w:footnoteRef/>
      </w:r>
      <w:r w:rsidRPr="004A357C">
        <w:t xml:space="preserve"> The feedback </w:t>
      </w:r>
      <w:r w:rsidR="005E175F" w:rsidRPr="004A357C">
        <w:t xml:space="preserve">received from stakeholders has been summarised </w:t>
      </w:r>
      <w:r w:rsidR="00862910" w:rsidRPr="004A357C">
        <w:t>in the table below for the purpose of clarity and brevity</w:t>
      </w:r>
      <w:r w:rsidR="00652DE6" w:rsidRPr="004A357C">
        <w:t>.</w:t>
      </w:r>
      <w:r w:rsidR="00925F32" w:rsidRPr="004A357C">
        <w:t xml:space="preserve"> Whil</w:t>
      </w:r>
      <w:r w:rsidR="0034682E">
        <w:t>e</w:t>
      </w:r>
      <w:r w:rsidR="00925F32" w:rsidRPr="004A357C">
        <w:t xml:space="preserve"> efforts have been made to capture the essential content and key themes, these summaries may not fully reflect the nuances and particulars of the original feedback.</w:t>
      </w:r>
    </w:p>
  </w:footnote>
  <w:footnote w:id="27">
    <w:p w14:paraId="0004F435" w14:textId="69F358B1" w:rsidR="005E12B0" w:rsidRPr="004A357C" w:rsidRDefault="005E12B0">
      <w:pPr>
        <w:pStyle w:val="FootnoteText"/>
      </w:pPr>
      <w:r w:rsidRPr="004A357C">
        <w:rPr>
          <w:rStyle w:val="FootnoteReference"/>
        </w:rPr>
        <w:footnoteRef/>
      </w:r>
      <w:r w:rsidRPr="004A357C">
        <w:t xml:space="preserve"> Stakeholder engagements, 2025.</w:t>
      </w:r>
    </w:p>
  </w:footnote>
  <w:footnote w:id="28">
    <w:p w14:paraId="6D31B29C" w14:textId="77777777" w:rsidR="006D4393" w:rsidRPr="004A357C" w:rsidRDefault="006D4393" w:rsidP="006D4393">
      <w:pPr>
        <w:pStyle w:val="FootnoteText"/>
      </w:pPr>
      <w:r w:rsidRPr="004A357C">
        <w:rPr>
          <w:rStyle w:val="FootnoteReference"/>
        </w:rPr>
        <w:footnoteRef/>
      </w:r>
      <w:r w:rsidRPr="004A357C">
        <w:t xml:space="preserve"> The Honourable Greg Hunt MP &amp; the Medical Technology Association of Australia Limited, Memorandum of Understanding for the policy parameters of the Prostheses List Reforms, 2022.</w:t>
      </w:r>
    </w:p>
  </w:footnote>
  <w:footnote w:id="29">
    <w:p w14:paraId="5982945E" w14:textId="04E7282A" w:rsidR="00EA36A4" w:rsidRPr="004A357C" w:rsidRDefault="00EA36A4" w:rsidP="00EA36A4">
      <w:pPr>
        <w:pStyle w:val="FootnoteText"/>
      </w:pPr>
      <w:r w:rsidRPr="004A357C">
        <w:rPr>
          <w:rStyle w:val="FootnoteReference"/>
        </w:rPr>
        <w:footnoteRef/>
      </w:r>
      <w:r w:rsidRPr="004A357C">
        <w:t xml:space="preserve"> Department of Health</w:t>
      </w:r>
      <w:r w:rsidR="00337A25" w:rsidRPr="004A357C">
        <w:t>, Disability</w:t>
      </w:r>
      <w:r w:rsidRPr="004A357C">
        <w:t xml:space="preserve"> and </w:t>
      </w:r>
      <w:r w:rsidR="00337A25" w:rsidRPr="004A357C">
        <w:t>Ageing</w:t>
      </w:r>
      <w:r w:rsidRPr="004A357C">
        <w:t>, PHI Circular 27/24 Benefit reductions to Cardiac Implantable Electronic Devices, 2024.</w:t>
      </w:r>
    </w:p>
  </w:footnote>
  <w:footnote w:id="30">
    <w:p w14:paraId="6FABA2CF" w14:textId="5488BB1D" w:rsidR="00024F3F" w:rsidRPr="004A357C" w:rsidRDefault="00024F3F">
      <w:pPr>
        <w:pStyle w:val="FootnoteText"/>
      </w:pPr>
      <w:r w:rsidRPr="004A357C">
        <w:rPr>
          <w:rStyle w:val="FootnoteReference"/>
        </w:rPr>
        <w:footnoteRef/>
      </w:r>
      <w:r w:rsidRPr="004A357C">
        <w:t xml:space="preserve"> Stakeholder engagements, 2025.</w:t>
      </w:r>
    </w:p>
  </w:footnote>
  <w:footnote w:id="31">
    <w:p w14:paraId="01BCB7E8" w14:textId="6A516762" w:rsidR="00A1761D" w:rsidRPr="004A357C" w:rsidRDefault="00A1761D">
      <w:pPr>
        <w:pStyle w:val="FootnoteText"/>
      </w:pPr>
      <w:r w:rsidRPr="004A357C">
        <w:rPr>
          <w:rStyle w:val="FootnoteReference"/>
        </w:rPr>
        <w:footnoteRef/>
      </w:r>
      <w:r w:rsidRPr="004A357C">
        <w:t xml:space="preserve"> </w:t>
      </w:r>
      <w:r w:rsidR="0034682E" w:rsidRPr="004A357C">
        <w:t>The feedback received from stakeholders has been summarised in the table below for the purpose of clarity and brevity. Whil</w:t>
      </w:r>
      <w:r w:rsidR="0034682E">
        <w:t>e</w:t>
      </w:r>
      <w:r w:rsidR="0034682E" w:rsidRPr="004A357C">
        <w:t xml:space="preserve"> efforts have been made to capture the essential content and key themes, these summaries may not fully reflect the nuances and particulars of the original feedback.</w:t>
      </w:r>
    </w:p>
  </w:footnote>
  <w:footnote w:id="32">
    <w:p w14:paraId="0AB6E490" w14:textId="17D66DA9" w:rsidR="008F4F42" w:rsidRPr="004A357C" w:rsidRDefault="008F4F42">
      <w:pPr>
        <w:pStyle w:val="FootnoteText"/>
      </w:pPr>
      <w:r w:rsidRPr="004A357C">
        <w:rPr>
          <w:rStyle w:val="FootnoteReference"/>
        </w:rPr>
        <w:footnoteRef/>
      </w:r>
      <w:r w:rsidR="00F9500E" w:rsidRPr="004A357C">
        <w:t xml:space="preserve"> </w:t>
      </w:r>
      <w:r w:rsidRPr="004A357C">
        <w:t>Department of Health, Disability and Ageing, Hospital Casemix Protocol Dataset, 2025.</w:t>
      </w:r>
    </w:p>
  </w:footnote>
  <w:footnote w:id="33">
    <w:p w14:paraId="7754BBA0" w14:textId="77777777" w:rsidR="00FF4B47" w:rsidRPr="004A357C" w:rsidRDefault="00FF4B47">
      <w:pPr>
        <w:pStyle w:val="FootnoteText"/>
      </w:pPr>
      <w:r w:rsidRPr="004A357C">
        <w:rPr>
          <w:rStyle w:val="FootnoteReference"/>
        </w:rPr>
        <w:footnoteRef/>
      </w:r>
      <w:r w:rsidRPr="004A357C">
        <w:t xml:space="preserve"> </w:t>
      </w:r>
      <w:r w:rsidR="00E94B50" w:rsidRPr="004A357C">
        <w:t xml:space="preserve">Note that the incidence of gap payments cannot always be equated with out-of-pocket charges. In some instances, third parties, such as the Department of Veterans' Affairs, workers' compensation insurers, or motor vehicle insurance providers, cover the gap for consumers (therefore, not representing an ‘out-of-pocket’ cost). Conversely, there are out-of-pocket charges related to PL-listed items that are not included in these gap payments. As the HCP1 data set is from PHI reporting, it does not capture instances where consumers are charged out-of-pocket for PL-listed items </w:t>
      </w:r>
      <w:proofErr w:type="gramStart"/>
      <w:r w:rsidR="00E94B50" w:rsidRPr="004A357C">
        <w:t>as a result of</w:t>
      </w:r>
      <w:proofErr w:type="gramEnd"/>
      <w:r w:rsidR="00E94B50" w:rsidRPr="004A357C">
        <w:t xml:space="preserve"> a surgery or procedure not being uncovered under their policy.</w:t>
      </w:r>
    </w:p>
  </w:footnote>
  <w:footnote w:id="34">
    <w:p w14:paraId="2250E108" w14:textId="49A83F6E" w:rsidR="00073ACD" w:rsidRPr="004A357C" w:rsidRDefault="00073ACD" w:rsidP="00073ACD">
      <w:pPr>
        <w:pStyle w:val="FootnoteText"/>
      </w:pPr>
      <w:r w:rsidRPr="004A357C">
        <w:rPr>
          <w:rStyle w:val="FootnoteReference"/>
        </w:rPr>
        <w:footnoteRef/>
      </w:r>
      <w:r w:rsidRPr="004A357C">
        <w:t xml:space="preserve"> Department of Health, Disability and Ageing, Hospital Casemix Protocol Dataset, 2025.</w:t>
      </w:r>
      <w:r w:rsidR="00CD5CE4" w:rsidRPr="004A357C">
        <w:t xml:space="preserve"> </w:t>
      </w:r>
      <w:r w:rsidR="00823D2E" w:rsidRPr="004A357C">
        <w:t xml:space="preserve">Note </w:t>
      </w:r>
      <w:r w:rsidR="006B3C95" w:rsidRPr="004A357C">
        <w:t>that 3</w:t>
      </w:r>
      <w:r w:rsidR="00E06C75">
        <w:t>3</w:t>
      </w:r>
      <w:r w:rsidR="006B3C95" w:rsidRPr="004A357C">
        <w:t>%</w:t>
      </w:r>
      <w:r w:rsidR="00823D2E" w:rsidRPr="004A357C">
        <w:t xml:space="preserve"> is the </w:t>
      </w:r>
      <w:r w:rsidR="00273A7B" w:rsidRPr="004A357C">
        <w:t>FY2</w:t>
      </w:r>
      <w:r w:rsidR="00DE71F9" w:rsidRPr="004A357C">
        <w:t>4</w:t>
      </w:r>
      <w:r w:rsidR="00273A7B" w:rsidRPr="004A357C">
        <w:t xml:space="preserve"> </w:t>
      </w:r>
      <w:r w:rsidR="00B50847">
        <w:t xml:space="preserve">weighted </w:t>
      </w:r>
      <w:r w:rsidR="00823D2E" w:rsidRPr="004A357C">
        <w:t xml:space="preserve">monthly average </w:t>
      </w:r>
      <w:r w:rsidR="00273A7B" w:rsidRPr="004A357C">
        <w:t xml:space="preserve">gap payment </w:t>
      </w:r>
      <w:r w:rsidR="00286572" w:rsidRPr="004A357C">
        <w:t>(</w:t>
      </w:r>
      <w:proofErr w:type="gramStart"/>
      <w:r w:rsidR="00286572" w:rsidRPr="004A357C">
        <w:t>were</w:t>
      </w:r>
      <w:proofErr w:type="gramEnd"/>
      <w:r w:rsidR="00286572" w:rsidRPr="004A357C">
        <w:t xml:space="preserve"> a gap was paid) relative to the FY2</w:t>
      </w:r>
      <w:r w:rsidR="00DE71F9" w:rsidRPr="004A357C">
        <w:t>4</w:t>
      </w:r>
      <w:r w:rsidR="00B50847">
        <w:t xml:space="preserve"> weighted</w:t>
      </w:r>
      <w:r w:rsidR="00286572" w:rsidRPr="004A357C">
        <w:t xml:space="preserve"> monthly average benefit.</w:t>
      </w:r>
    </w:p>
  </w:footnote>
  <w:footnote w:id="35">
    <w:p w14:paraId="108E1CD0" w14:textId="7F2347A6" w:rsidR="005B23A7" w:rsidRPr="004A357C" w:rsidRDefault="005B23A7" w:rsidP="005B23A7">
      <w:pPr>
        <w:pStyle w:val="FootnoteText"/>
      </w:pPr>
      <w:r w:rsidRPr="004A357C">
        <w:rPr>
          <w:rStyle w:val="FootnoteReference"/>
        </w:rPr>
        <w:footnoteRef/>
      </w:r>
      <w:r w:rsidRPr="004A357C">
        <w:t xml:space="preserve"> </w:t>
      </w:r>
      <w:r w:rsidR="00A32061" w:rsidRPr="004A357C">
        <w:t xml:space="preserve">Department of Health, Disability and Ageing, </w:t>
      </w:r>
      <w:r w:rsidR="006D5ABA" w:rsidRPr="004A357C">
        <w:t>PHI 05/25 – Outcome of Consultation Papers 8a and 8b, 9 January 2025. https://www.health.gov.au/news/phi-circulars/phi-0525-outcome-of-consultation-papers-8a-and-8b?language=en.</w:t>
      </w:r>
      <w:r w:rsidRPr="004A357C">
        <w:t xml:space="preserve"> </w:t>
      </w:r>
    </w:p>
  </w:footnote>
  <w:footnote w:id="36">
    <w:p w14:paraId="13AA557E" w14:textId="72DB3507" w:rsidR="000719F1" w:rsidRPr="004A357C" w:rsidRDefault="000719F1">
      <w:pPr>
        <w:pStyle w:val="FootnoteText"/>
      </w:pPr>
      <w:r w:rsidRPr="004A357C">
        <w:rPr>
          <w:rStyle w:val="FootnoteReference"/>
        </w:rPr>
        <w:footnoteRef/>
      </w:r>
      <w:r w:rsidRPr="004A357C">
        <w:t xml:space="preserve"> Stakeholder submission, 2025.</w:t>
      </w:r>
    </w:p>
  </w:footnote>
  <w:footnote w:id="37">
    <w:p w14:paraId="38072AEF" w14:textId="77777777" w:rsidR="00D6226A" w:rsidRPr="004A357C" w:rsidRDefault="00D6226A">
      <w:pPr>
        <w:pStyle w:val="FootnoteText"/>
      </w:pPr>
      <w:r w:rsidRPr="004A357C">
        <w:rPr>
          <w:rStyle w:val="FootnoteReference"/>
        </w:rPr>
        <w:footnoteRef/>
      </w:r>
      <w:r w:rsidRPr="004A357C">
        <w:t xml:space="preserve"> Stakeholder submission, 2025.</w:t>
      </w:r>
    </w:p>
  </w:footnote>
  <w:footnote w:id="38">
    <w:p w14:paraId="0606DCEF" w14:textId="77777777" w:rsidR="00BC0A2B" w:rsidRPr="004A357C" w:rsidRDefault="00BC0A2B" w:rsidP="00BC0A2B">
      <w:pPr>
        <w:pStyle w:val="FootnoteText"/>
      </w:pPr>
      <w:r w:rsidRPr="004A357C">
        <w:rPr>
          <w:rStyle w:val="FootnoteReference"/>
        </w:rPr>
        <w:footnoteRef/>
      </w:r>
      <w:r w:rsidRPr="004A357C">
        <w:t xml:space="preserve"> Stakeholder submission, 2025.</w:t>
      </w:r>
    </w:p>
  </w:footnote>
  <w:footnote w:id="39">
    <w:p w14:paraId="4F7754D8" w14:textId="5B0B3C01" w:rsidR="00A1761D" w:rsidRPr="004A357C" w:rsidRDefault="00A1761D">
      <w:pPr>
        <w:pStyle w:val="FootnoteText"/>
      </w:pPr>
      <w:r w:rsidRPr="004A357C">
        <w:rPr>
          <w:rStyle w:val="FootnoteReference"/>
        </w:rPr>
        <w:footnoteRef/>
      </w:r>
      <w:r w:rsidRPr="004A357C">
        <w:t xml:space="preserve"> </w:t>
      </w:r>
      <w:r w:rsidR="0034682E" w:rsidRPr="004A357C">
        <w:t>The feedback received from stakeholders has been summarised in the table below for the purpose of clarity and brevity. Whil</w:t>
      </w:r>
      <w:r w:rsidR="0034682E">
        <w:t>e</w:t>
      </w:r>
      <w:r w:rsidR="0034682E" w:rsidRPr="004A357C">
        <w:t xml:space="preserve"> efforts have been made to capture the essential content and key themes, these summaries may not fully reflect the nuances and particulars of the original feedback.</w:t>
      </w:r>
    </w:p>
  </w:footnote>
  <w:footnote w:id="40">
    <w:p w14:paraId="19237AD8" w14:textId="68E654EC" w:rsidR="000A260E" w:rsidRPr="004A357C" w:rsidRDefault="000A260E" w:rsidP="000A260E">
      <w:pPr>
        <w:pStyle w:val="FootnoteText"/>
      </w:pPr>
      <w:r w:rsidRPr="004A357C">
        <w:rPr>
          <w:rStyle w:val="FootnoteReference"/>
        </w:rPr>
        <w:footnoteRef/>
      </w:r>
      <w:r w:rsidRPr="004A357C">
        <w:t xml:space="preserve"> Department of Health</w:t>
      </w:r>
      <w:r w:rsidR="003512CD" w:rsidRPr="004A357C">
        <w:t>, Disability</w:t>
      </w:r>
      <w:r w:rsidRPr="004A357C">
        <w:t xml:space="preserve"> and </w:t>
      </w:r>
      <w:r w:rsidR="003512CD" w:rsidRPr="004A357C">
        <w:t>Ageing</w:t>
      </w:r>
      <w:r w:rsidRPr="004A357C">
        <w:t>, The Prescribed List of Medical Devices and Human Tissue Products Guide (Draft), 2023.</w:t>
      </w:r>
    </w:p>
  </w:footnote>
  <w:footnote w:id="41">
    <w:p w14:paraId="10535287" w14:textId="57E60AB8" w:rsidR="008B1449" w:rsidRPr="004A357C" w:rsidRDefault="008B1449">
      <w:pPr>
        <w:pStyle w:val="FootnoteText"/>
      </w:pPr>
      <w:r w:rsidRPr="004A357C">
        <w:rPr>
          <w:rStyle w:val="FootnoteReference"/>
        </w:rPr>
        <w:footnoteRef/>
      </w:r>
      <w:r w:rsidRPr="004A357C">
        <w:t xml:space="preserve"> Department of Health, Disability and Ageing, Prostheses List Part A (Prostheses), Part C (Other), and Part D (General Use Items), August 2024 edition.</w:t>
      </w:r>
    </w:p>
  </w:footnote>
  <w:footnote w:id="42">
    <w:p w14:paraId="141D2033" w14:textId="6D61F744" w:rsidR="00AF75E5" w:rsidRPr="004A357C" w:rsidRDefault="00AF75E5">
      <w:pPr>
        <w:pStyle w:val="FootnoteText"/>
      </w:pPr>
      <w:r w:rsidRPr="004A357C">
        <w:rPr>
          <w:rStyle w:val="FootnoteReference"/>
        </w:rPr>
        <w:footnoteRef/>
      </w:r>
      <w:r w:rsidRPr="004A357C">
        <w:t xml:space="preserve"> Stakeholder submission, 2025.</w:t>
      </w:r>
    </w:p>
  </w:footnote>
  <w:footnote w:id="43">
    <w:p w14:paraId="1491A743" w14:textId="17B79CA6" w:rsidR="00513E95" w:rsidRPr="004A357C" w:rsidRDefault="00513E95">
      <w:pPr>
        <w:pStyle w:val="FootnoteText"/>
      </w:pPr>
      <w:r w:rsidRPr="004A357C">
        <w:rPr>
          <w:rStyle w:val="FootnoteReference"/>
        </w:rPr>
        <w:footnoteRef/>
      </w:r>
      <w:r w:rsidRPr="004A357C">
        <w:t xml:space="preserve"> Stakeholder consultation, 2025.</w:t>
      </w:r>
    </w:p>
  </w:footnote>
  <w:footnote w:id="44">
    <w:p w14:paraId="6A9F56B3" w14:textId="7E0828CD" w:rsidR="00313AB5" w:rsidRPr="004A357C" w:rsidRDefault="00313AB5" w:rsidP="00313AB5">
      <w:pPr>
        <w:pStyle w:val="FootnoteText"/>
      </w:pPr>
      <w:r w:rsidRPr="004A357C">
        <w:rPr>
          <w:rStyle w:val="FootnoteReference"/>
        </w:rPr>
        <w:footnoteRef/>
      </w:r>
      <w:r w:rsidRPr="004A357C">
        <w:t xml:space="preserve"> </w:t>
      </w:r>
      <w:r w:rsidR="008F4F42" w:rsidRPr="004A357C">
        <w:t>Department of Health, Disability and Ageing, Hospital Casemix Protocol Dataset, 2025.</w:t>
      </w:r>
    </w:p>
  </w:footnote>
  <w:footnote w:id="45">
    <w:p w14:paraId="3E85B302" w14:textId="7CCCD499" w:rsidR="000D07EF" w:rsidRPr="004A357C" w:rsidRDefault="000D07EF">
      <w:pPr>
        <w:pStyle w:val="FootnoteText"/>
      </w:pPr>
      <w:r w:rsidRPr="004A357C">
        <w:rPr>
          <w:rStyle w:val="FootnoteReference"/>
        </w:rPr>
        <w:footnoteRef/>
      </w:r>
      <w:r w:rsidRPr="004A357C">
        <w:t xml:space="preserve"> Stakeholder consultations, 2025.</w:t>
      </w:r>
    </w:p>
  </w:footnote>
  <w:footnote w:id="46">
    <w:p w14:paraId="782B41E1" w14:textId="0FD6F8A9" w:rsidR="00533349" w:rsidRPr="004A357C" w:rsidRDefault="00533349">
      <w:pPr>
        <w:pStyle w:val="FootnoteText"/>
      </w:pPr>
      <w:r w:rsidRPr="004A357C">
        <w:rPr>
          <w:rStyle w:val="FootnoteReference"/>
        </w:rPr>
        <w:footnoteRef/>
      </w:r>
      <w:r w:rsidRPr="004A357C">
        <w:t xml:space="preserve"> </w:t>
      </w:r>
      <w:r w:rsidR="0034682E" w:rsidRPr="004A357C">
        <w:t>The feedback received from stakeholders has been summarised in the table below for the purpose of clarity and brevity. Whil</w:t>
      </w:r>
      <w:r w:rsidR="0034682E">
        <w:t>e</w:t>
      </w:r>
      <w:r w:rsidR="0034682E" w:rsidRPr="004A357C">
        <w:t xml:space="preserve"> efforts have been made to capture the essential content and key themes, these summaries may not fully reflect the nuances and particulars of the original feedback.</w:t>
      </w:r>
    </w:p>
  </w:footnote>
  <w:footnote w:id="47">
    <w:p w14:paraId="51C88643" w14:textId="1DFFBD36" w:rsidR="000658AC" w:rsidRPr="004A357C" w:rsidRDefault="000658AC" w:rsidP="000658AC">
      <w:pPr>
        <w:pStyle w:val="FootnoteText"/>
      </w:pPr>
      <w:r w:rsidRPr="004A357C">
        <w:rPr>
          <w:rStyle w:val="FootnoteReference"/>
        </w:rPr>
        <w:footnoteRef/>
      </w:r>
      <w:r w:rsidRPr="004A357C">
        <w:t xml:space="preserve"> </w:t>
      </w:r>
      <w:r w:rsidR="00981C65" w:rsidRPr="00981C65">
        <w:t>Independent Health and Aged Care Pricing Authority, Analysis on prescribed list benefit reductions for general use items (GUIs) and projected savings, 20 January 2025.</w:t>
      </w:r>
    </w:p>
  </w:footnote>
  <w:footnote w:id="48">
    <w:p w14:paraId="76D9C0C0" w14:textId="7228F374" w:rsidR="007C5064" w:rsidRPr="004A357C" w:rsidRDefault="007C5064" w:rsidP="007C5064">
      <w:pPr>
        <w:pStyle w:val="FootnoteText"/>
      </w:pPr>
      <w:r w:rsidRPr="004A357C">
        <w:rPr>
          <w:rStyle w:val="FootnoteReference"/>
        </w:rPr>
        <w:footnoteRef/>
      </w:r>
      <w:r w:rsidRPr="004A357C">
        <w:t xml:space="preserve"> </w:t>
      </w:r>
      <w:r w:rsidR="004F6EE1">
        <w:t>I</w:t>
      </w:r>
      <w:r w:rsidR="004F6EE1" w:rsidRPr="004A357C">
        <w:t>ndependent Health and Aged Care Pricing Authority, Updated estimates of projected benefits and savings associated with Prescribed List reforms, 13 December 2023</w:t>
      </w:r>
      <w:r w:rsidRPr="004A357C">
        <w:t>. Note that these estimates are limited to insurer savings and do not reflect any offsetting costs that may have emerged elsewhere in the health system.</w:t>
      </w:r>
    </w:p>
  </w:footnote>
  <w:footnote w:id="49">
    <w:p w14:paraId="4BAC582F" w14:textId="77777777" w:rsidR="003C233D" w:rsidRPr="004A357C" w:rsidRDefault="003C233D">
      <w:pPr>
        <w:pStyle w:val="FootnoteText"/>
      </w:pPr>
      <w:r w:rsidRPr="004A357C">
        <w:rPr>
          <w:rStyle w:val="FootnoteReference"/>
        </w:rPr>
        <w:footnoteRef/>
      </w:r>
      <w:r w:rsidRPr="004A357C">
        <w:t xml:space="preserve"> </w:t>
      </w:r>
      <w:r w:rsidR="00CA19C6" w:rsidRPr="004A357C">
        <w:t>The Honourable Greg Hunt MP &amp; the Medical Technology Association of Australia Limited, Memorandum of Understanding for the policy parameters of the Prostheses List Reforms, 2022.</w:t>
      </w:r>
    </w:p>
  </w:footnote>
  <w:footnote w:id="50">
    <w:p w14:paraId="586E5677" w14:textId="287FE732" w:rsidR="008D1D21" w:rsidRPr="004A357C" w:rsidRDefault="008D1D21" w:rsidP="008D1D21">
      <w:pPr>
        <w:pStyle w:val="FootnoteText"/>
      </w:pPr>
      <w:r w:rsidRPr="004A357C">
        <w:rPr>
          <w:rStyle w:val="FootnoteReference"/>
        </w:rPr>
        <w:footnoteRef/>
      </w:r>
      <w:r w:rsidRPr="004A357C">
        <w:t xml:space="preserve"> Department of Health</w:t>
      </w:r>
      <w:r w:rsidR="003512CD" w:rsidRPr="004A357C">
        <w:t>, Disability</w:t>
      </w:r>
      <w:r w:rsidRPr="004A357C">
        <w:t xml:space="preserve"> and </w:t>
      </w:r>
      <w:r w:rsidR="003512CD" w:rsidRPr="004A357C">
        <w:t>Ageing</w:t>
      </w:r>
      <w:r w:rsidRPr="004A357C">
        <w:t>, Interim Evaluation #1 of the Prescribed List Reforms, 2024, https://www.health.gov.au/resources/publications/interim-evaluation-1-of-the-prescribed-list-reforms?language=en.</w:t>
      </w:r>
    </w:p>
  </w:footnote>
  <w:footnote w:id="51">
    <w:p w14:paraId="57F9FE85" w14:textId="77777777" w:rsidR="003733AE" w:rsidRPr="004A357C" w:rsidRDefault="003733AE" w:rsidP="003733AE">
      <w:pPr>
        <w:pStyle w:val="FootnoteText"/>
      </w:pPr>
      <w:r w:rsidRPr="004A357C">
        <w:rPr>
          <w:rStyle w:val="FootnoteReference"/>
        </w:rPr>
        <w:footnoteRef/>
      </w:r>
      <w:r w:rsidRPr="004A357C">
        <w:t xml:space="preserve"> Independent Health and Aged Care Pricing Authority, Updated estimates of projected benefits and savings associated with Prescribed List reforms, 13 December 2023.</w:t>
      </w:r>
    </w:p>
  </w:footnote>
  <w:footnote w:id="52">
    <w:p w14:paraId="69DD01AD" w14:textId="0103AC45" w:rsidR="0054049B" w:rsidRPr="004A357C" w:rsidRDefault="0054049B" w:rsidP="0054049B">
      <w:pPr>
        <w:pStyle w:val="FootnoteText"/>
      </w:pPr>
      <w:r w:rsidRPr="004A357C">
        <w:rPr>
          <w:rStyle w:val="FootnoteReference"/>
        </w:rPr>
        <w:footnoteRef/>
      </w:r>
      <w:r w:rsidRPr="004A357C">
        <w:t xml:space="preserve"> Department of Health</w:t>
      </w:r>
      <w:r w:rsidR="003512CD" w:rsidRPr="004A357C">
        <w:t>, Disability</w:t>
      </w:r>
      <w:r w:rsidRPr="004A357C">
        <w:t xml:space="preserve"> and </w:t>
      </w:r>
      <w:r w:rsidR="003512CD" w:rsidRPr="004A357C">
        <w:t>Ageing</w:t>
      </w:r>
      <w:r w:rsidRPr="004A357C">
        <w:t>, Interim Evaluation #1 of the Prescribed List Reforms, 2024, https://www.health.gov.au/resources/publications/interim-evaluation-1-of-the-prescribed-list-reforms?language=en.</w:t>
      </w:r>
    </w:p>
  </w:footnote>
  <w:footnote w:id="53">
    <w:p w14:paraId="5BB63383" w14:textId="56B9C978" w:rsidR="00816B6F" w:rsidRPr="004A357C" w:rsidRDefault="00816B6F">
      <w:pPr>
        <w:pStyle w:val="FootnoteText"/>
      </w:pPr>
      <w:r w:rsidRPr="004A357C">
        <w:rPr>
          <w:rStyle w:val="FootnoteReference"/>
        </w:rPr>
        <w:footnoteRef/>
      </w:r>
      <w:r w:rsidRPr="004A357C">
        <w:t xml:space="preserve"> Australia Prudential Regulation Authority, Annual private health insurance performance statistics database - 2023-24, December 2024.</w:t>
      </w:r>
    </w:p>
  </w:footnote>
  <w:footnote w:id="54">
    <w:p w14:paraId="250CAFB0" w14:textId="0E296FBC" w:rsidR="00FA6F24" w:rsidRPr="004A357C" w:rsidRDefault="00FA6F24" w:rsidP="00FA6F24">
      <w:pPr>
        <w:pStyle w:val="FootnoteText"/>
      </w:pPr>
      <w:r w:rsidRPr="004A357C">
        <w:rPr>
          <w:rStyle w:val="FootnoteReference"/>
        </w:rPr>
        <w:footnoteRef/>
      </w:r>
      <w:r w:rsidRPr="004A357C">
        <w:t xml:space="preserve"> Australia Prudential Regulation Authority, Annual private health insurance </w:t>
      </w:r>
      <w:r w:rsidR="00A13BD1" w:rsidRPr="004A357C">
        <w:t>membership and benefit</w:t>
      </w:r>
      <w:r w:rsidRPr="004A357C">
        <w:t xml:space="preserve"> statistics, December 2024; Independent Health and Aged Care Pricing Authority, Updated estimates of projected benefits and savings associated with Prescribed List reforms, November 2023.</w:t>
      </w:r>
    </w:p>
  </w:footnote>
  <w:footnote w:id="55">
    <w:p w14:paraId="08DEE38A" w14:textId="3C4E07C6" w:rsidR="00FA6F24" w:rsidRPr="004A357C" w:rsidRDefault="00FA6F24" w:rsidP="00FA6F24">
      <w:pPr>
        <w:pStyle w:val="FootnoteText"/>
      </w:pPr>
      <w:r w:rsidRPr="004A357C">
        <w:rPr>
          <w:rStyle w:val="FootnoteReference"/>
        </w:rPr>
        <w:footnoteRef/>
      </w:r>
      <w:r w:rsidRPr="004A357C">
        <w:t xml:space="preserve"> </w:t>
      </w:r>
      <w:r w:rsidR="00697901" w:rsidRPr="004A357C">
        <w:t xml:space="preserve">Benefit reduction savings are based on IHACPA’s </w:t>
      </w:r>
      <w:r w:rsidR="00C05D38" w:rsidRPr="004A357C">
        <w:rPr>
          <w:i/>
          <w:iCs/>
        </w:rPr>
        <w:t>Updated estimates of</w:t>
      </w:r>
      <w:r w:rsidR="00697901" w:rsidRPr="004A357C">
        <w:rPr>
          <w:i/>
        </w:rPr>
        <w:t xml:space="preserve"> projected </w:t>
      </w:r>
      <w:r w:rsidR="00C05D38" w:rsidRPr="004A357C">
        <w:rPr>
          <w:i/>
          <w:iCs/>
        </w:rPr>
        <w:t xml:space="preserve">benefits and </w:t>
      </w:r>
      <w:r w:rsidR="00697901" w:rsidRPr="004A357C">
        <w:rPr>
          <w:i/>
        </w:rPr>
        <w:t xml:space="preserve">savings </w:t>
      </w:r>
      <w:r w:rsidR="00C05D38" w:rsidRPr="004A357C">
        <w:rPr>
          <w:i/>
          <w:iCs/>
        </w:rPr>
        <w:t xml:space="preserve">associated with Prescribed List reforms </w:t>
      </w:r>
      <w:r w:rsidR="00C05D38" w:rsidRPr="004A357C">
        <w:t>(</w:t>
      </w:r>
      <w:r w:rsidR="00697901" w:rsidRPr="004A357C">
        <w:t xml:space="preserve">Table </w:t>
      </w:r>
      <w:r w:rsidR="00010853">
        <w:t>3</w:t>
      </w:r>
      <w:r w:rsidR="00697901" w:rsidRPr="004A357C">
        <w:t xml:space="preserve"> – </w:t>
      </w:r>
      <w:r w:rsidR="00010853">
        <w:t>5</w:t>
      </w:r>
      <w:r w:rsidR="00697901" w:rsidRPr="004A357C">
        <w:t>% annual growth in utilisation</w:t>
      </w:r>
      <w:r w:rsidR="00C05D38" w:rsidRPr="004A357C">
        <w:t>)</w:t>
      </w:r>
      <w:r w:rsidR="00697901" w:rsidRPr="004A357C">
        <w:t xml:space="preserve">. A </w:t>
      </w:r>
      <w:r w:rsidR="00010853">
        <w:t>5</w:t>
      </w:r>
      <w:r w:rsidR="00697901" w:rsidRPr="004A357C">
        <w:t>% annual growth rate is also applied to benefit outlays in both the base and counterfactual scenarios.</w:t>
      </w:r>
    </w:p>
  </w:footnote>
  <w:footnote w:id="56">
    <w:p w14:paraId="00949B9B" w14:textId="77777777" w:rsidR="00B01D77" w:rsidRPr="004A357C" w:rsidRDefault="00B01D77" w:rsidP="00B01D77">
      <w:pPr>
        <w:pStyle w:val="FootnoteText"/>
      </w:pPr>
      <w:r w:rsidRPr="004A357C">
        <w:rPr>
          <w:rStyle w:val="FootnoteReference"/>
        </w:rPr>
        <w:footnoteRef/>
      </w:r>
      <w:r w:rsidRPr="004A357C">
        <w:t xml:space="preserve"> Australia Prudential Regulation Authority, Annual private health insurance membership and benefit statistics, December 2024; Australian Prudential Regulation Authority, Quarterly Private Health Insurance Medical Device </w:t>
      </w:r>
      <w:proofErr w:type="gramStart"/>
      <w:r w:rsidRPr="004A357C">
        <w:t>Or</w:t>
      </w:r>
      <w:proofErr w:type="gramEnd"/>
      <w:r w:rsidRPr="004A357C">
        <w:t xml:space="preserve"> Human Tissue Products, March 2025.</w:t>
      </w:r>
    </w:p>
  </w:footnote>
  <w:footnote w:id="57">
    <w:p w14:paraId="33000599" w14:textId="77777777" w:rsidR="009D1C51" w:rsidRPr="004A357C" w:rsidRDefault="009D1C51" w:rsidP="009D1C51">
      <w:pPr>
        <w:pStyle w:val="FootnoteText"/>
      </w:pPr>
      <w:r w:rsidRPr="004A357C">
        <w:rPr>
          <w:rStyle w:val="FootnoteReference"/>
        </w:rPr>
        <w:footnoteRef/>
      </w:r>
      <w:r w:rsidRPr="004A357C">
        <w:t xml:space="preserve"> Australia Prudential Regulation Authority, Annual private health insurance membership and benefit statistics, December 2024.</w:t>
      </w:r>
    </w:p>
  </w:footnote>
  <w:footnote w:id="58">
    <w:p w14:paraId="1F35BD3A" w14:textId="5992A0B3" w:rsidR="00745776" w:rsidRPr="004A357C" w:rsidRDefault="00745776">
      <w:pPr>
        <w:pStyle w:val="FootnoteText"/>
      </w:pPr>
      <w:r w:rsidRPr="004A357C">
        <w:rPr>
          <w:rStyle w:val="FootnoteReference"/>
        </w:rPr>
        <w:footnoteRef/>
      </w:r>
      <w:r w:rsidRPr="004A357C">
        <w:t xml:space="preserve"> Australia Prudential Regulation Authority, Annual private health insurance membership and benefit statistics, December 2024.</w:t>
      </w:r>
    </w:p>
  </w:footnote>
  <w:footnote w:id="59">
    <w:p w14:paraId="51C29A18" w14:textId="6D7E01F4" w:rsidR="008C5BC6" w:rsidRPr="004A357C" w:rsidRDefault="008C5BC6">
      <w:pPr>
        <w:pStyle w:val="FootnoteText"/>
      </w:pPr>
      <w:r w:rsidRPr="004A357C">
        <w:rPr>
          <w:rStyle w:val="FootnoteReference"/>
        </w:rPr>
        <w:footnoteRef/>
      </w:r>
      <w:r w:rsidRPr="004A357C">
        <w:t xml:space="preserve"> Australia Prudential Regulation Authority, Annual private health insurance membership and benefit statistics, December 2024.</w:t>
      </w:r>
    </w:p>
  </w:footnote>
  <w:footnote w:id="60">
    <w:p w14:paraId="7D8ACB83" w14:textId="77777777" w:rsidR="0008230D" w:rsidRPr="004A357C" w:rsidRDefault="0008230D" w:rsidP="0008230D">
      <w:pPr>
        <w:pStyle w:val="FootnoteText"/>
      </w:pPr>
      <w:r w:rsidRPr="004A357C">
        <w:rPr>
          <w:rStyle w:val="FootnoteReference"/>
        </w:rPr>
        <w:footnoteRef/>
      </w:r>
      <w:r w:rsidRPr="004A357C">
        <w:t xml:space="preserve"> Australia Prudential Regulation Authority, Annual private health insurance membership and benefit statistics, December 2024.</w:t>
      </w:r>
    </w:p>
  </w:footnote>
  <w:footnote w:id="61">
    <w:p w14:paraId="752F1490" w14:textId="413F703F" w:rsidR="00AA2430" w:rsidRPr="004A357C" w:rsidRDefault="00AA2430">
      <w:pPr>
        <w:pStyle w:val="FootnoteText"/>
      </w:pPr>
      <w:r w:rsidRPr="004A357C">
        <w:rPr>
          <w:rStyle w:val="FootnoteReference"/>
        </w:rPr>
        <w:footnoteRef/>
      </w:r>
      <w:r w:rsidRPr="004A357C">
        <w:t xml:space="preserve"> Stakeholder consultation, 2025.</w:t>
      </w:r>
    </w:p>
  </w:footnote>
  <w:footnote w:id="62">
    <w:p w14:paraId="2661FAD4" w14:textId="04F1E328" w:rsidR="0054628B" w:rsidRPr="004A357C" w:rsidRDefault="0054628B">
      <w:pPr>
        <w:pStyle w:val="FootnoteText"/>
      </w:pPr>
      <w:r w:rsidRPr="004A357C">
        <w:rPr>
          <w:rStyle w:val="FootnoteReference"/>
        </w:rPr>
        <w:footnoteRef/>
      </w:r>
      <w:r w:rsidRPr="004A357C">
        <w:t xml:space="preserve"> </w:t>
      </w:r>
      <w:r w:rsidR="00396F1A" w:rsidRPr="00FB712C">
        <w:t>Department of Health</w:t>
      </w:r>
      <w:r w:rsidR="003512CD" w:rsidRPr="00FB712C">
        <w:t>, Disability</w:t>
      </w:r>
      <w:r w:rsidR="00396F1A" w:rsidRPr="00FB712C">
        <w:t xml:space="preserve"> and </w:t>
      </w:r>
      <w:r w:rsidR="003512CD" w:rsidRPr="00FB712C">
        <w:t>Ageing</w:t>
      </w:r>
      <w:r w:rsidR="00396F1A" w:rsidRPr="00FB712C">
        <w:t>, List of historical premium price changes by insurer for 2024, 2024.</w:t>
      </w:r>
    </w:p>
  </w:footnote>
  <w:footnote w:id="63">
    <w:p w14:paraId="4FAF0EE9" w14:textId="0A209C9E" w:rsidR="00C253A3" w:rsidRPr="004A357C" w:rsidRDefault="00C253A3">
      <w:pPr>
        <w:pStyle w:val="FootnoteText"/>
      </w:pPr>
      <w:r w:rsidRPr="004A357C">
        <w:rPr>
          <w:rStyle w:val="FootnoteReference"/>
        </w:rPr>
        <w:footnoteRef/>
      </w:r>
      <w:r w:rsidRPr="004A357C">
        <w:t xml:space="preserve"> Stakeholder submissions, 2025.</w:t>
      </w:r>
    </w:p>
  </w:footnote>
  <w:footnote w:id="64">
    <w:p w14:paraId="78902C0F" w14:textId="77777777" w:rsidR="00A7738A" w:rsidRDefault="00A7738A" w:rsidP="00A7738A">
      <w:pPr>
        <w:pStyle w:val="FootnoteText"/>
      </w:pPr>
      <w:r>
        <w:rPr>
          <w:rStyle w:val="FootnoteReference"/>
        </w:rPr>
        <w:footnoteRef/>
      </w:r>
      <w:r>
        <w:t xml:space="preserve"> </w:t>
      </w:r>
      <w:r w:rsidRPr="00C55578">
        <w:t>Australia Prudential Regulation Authority, Annual private health insurance membership and benefit statistics, December 2024 (prostheses benefits data); Australia Prudential Regulation Authority, Annual private health insurance performance statistics database - 2023-24, December 2024 (FY24 data); Australian Prudential Regulation Authority, Operations of Private Health Insurers Annual Report, 2022-23 (FY23 data).</w:t>
      </w:r>
    </w:p>
  </w:footnote>
  <w:footnote w:id="65">
    <w:p w14:paraId="64BAFB6F" w14:textId="3641258C" w:rsidR="001C1891" w:rsidRPr="004A357C" w:rsidRDefault="001C1891">
      <w:pPr>
        <w:pStyle w:val="FootnoteText"/>
      </w:pPr>
      <w:r w:rsidRPr="004A357C">
        <w:rPr>
          <w:rStyle w:val="FootnoteReference"/>
        </w:rPr>
        <w:footnoteRef/>
      </w:r>
      <w:r w:rsidRPr="004A357C">
        <w:t xml:space="preserve"> Stakeholder submission, 2025.</w:t>
      </w:r>
    </w:p>
  </w:footnote>
  <w:footnote w:id="66">
    <w:p w14:paraId="6CE94D52" w14:textId="77777777" w:rsidR="001655DB" w:rsidRPr="004A357C" w:rsidRDefault="001655DB" w:rsidP="001655DB">
      <w:pPr>
        <w:pStyle w:val="FootnoteText"/>
      </w:pPr>
      <w:r w:rsidRPr="004A357C">
        <w:rPr>
          <w:rStyle w:val="FootnoteReference"/>
        </w:rPr>
        <w:footnoteRef/>
      </w:r>
      <w:r w:rsidRPr="004A357C">
        <w:t xml:space="preserve"> Australia Prudential Regulation Authority, Annual private health insurance membership and benefit statistics, December 2024.</w:t>
      </w:r>
    </w:p>
  </w:footnote>
  <w:footnote w:id="67">
    <w:p w14:paraId="5B3B9515" w14:textId="6C023AF1" w:rsidR="00C75680" w:rsidRPr="004A357C" w:rsidRDefault="00C75680">
      <w:pPr>
        <w:pStyle w:val="FootnoteText"/>
      </w:pPr>
      <w:r w:rsidRPr="004A357C">
        <w:rPr>
          <w:rStyle w:val="FootnoteReference"/>
        </w:rPr>
        <w:footnoteRef/>
      </w:r>
      <w:r w:rsidRPr="004A357C">
        <w:t xml:space="preserve"> </w:t>
      </w:r>
      <w:r w:rsidR="0034682E" w:rsidRPr="004A357C">
        <w:t>The feedback received from stakeholders has been summarised in the table below for the purpose of clarity and brevity. Whil</w:t>
      </w:r>
      <w:r w:rsidR="0034682E">
        <w:t>e</w:t>
      </w:r>
      <w:r w:rsidR="0034682E" w:rsidRPr="004A357C">
        <w:t xml:space="preserve"> efforts have been made to capture the essential content and key themes, these summaries may not fully reflect the nuances and particulars of the original feedback.</w:t>
      </w:r>
    </w:p>
  </w:footnote>
  <w:footnote w:id="68">
    <w:p w14:paraId="799309A3" w14:textId="2F75EA10" w:rsidR="00014E11" w:rsidRPr="004A357C" w:rsidRDefault="00014E11">
      <w:pPr>
        <w:pStyle w:val="FootnoteText"/>
      </w:pPr>
      <w:r w:rsidRPr="004A357C">
        <w:rPr>
          <w:rStyle w:val="FootnoteReference"/>
        </w:rPr>
        <w:footnoteRef/>
      </w:r>
      <w:r w:rsidRPr="004A357C">
        <w:t xml:space="preserve"> </w:t>
      </w:r>
      <w:r w:rsidR="0068356B" w:rsidRPr="004A357C">
        <w:t>Department of Health, Disability and Ageing, PHI 77/24 – Private Health Insurance (Medical Devices and Human Tissue Products) Rules (No. 2) 2024</w:t>
      </w:r>
      <w:r w:rsidR="00B01FBC" w:rsidRPr="004A357C">
        <w:t>, 24 October 2024.</w:t>
      </w:r>
      <w:r w:rsidRPr="004A357C">
        <w:t xml:space="preserve"> https://www.health.gov.au/news/phi-circulars/phi-circular-7724-private-health-insurance-medical-devices-and-human-tissue-products-rules-no-2-2024</w:t>
      </w:r>
    </w:p>
  </w:footnote>
  <w:footnote w:id="69">
    <w:p w14:paraId="77AF3474" w14:textId="1FED76A7" w:rsidR="00014E11" w:rsidRPr="004A357C" w:rsidRDefault="00014E11">
      <w:pPr>
        <w:pStyle w:val="FootnoteText"/>
      </w:pPr>
      <w:r w:rsidRPr="004A357C">
        <w:rPr>
          <w:rStyle w:val="FootnoteReference"/>
        </w:rPr>
        <w:footnoteRef/>
      </w:r>
      <w:r w:rsidRPr="004A357C">
        <w:t xml:space="preserve"> </w:t>
      </w:r>
      <w:r w:rsidR="005D5C03" w:rsidRPr="004A357C">
        <w:t xml:space="preserve">Parliament of Australia, Private Health Insurance (Medical Devices and Human Tissue Products) Rules (No. 1) </w:t>
      </w:r>
      <w:r w:rsidRPr="004A357C">
        <w:t xml:space="preserve">2024 </w:t>
      </w:r>
      <w:r w:rsidR="005D5C03" w:rsidRPr="004A357C">
        <w:t xml:space="preserve">[replacement explanatory statement], 4 October 2024. </w:t>
      </w:r>
      <w:r w:rsidRPr="004A357C">
        <w:t>https://www.aph.gov.au/Parliamentary_Business/Tabled_Documents/7627</w:t>
      </w:r>
    </w:p>
  </w:footnote>
  <w:footnote w:id="70">
    <w:p w14:paraId="397A9667" w14:textId="77FB69AB" w:rsidR="00014E11" w:rsidRPr="004A357C" w:rsidRDefault="00014E11">
      <w:pPr>
        <w:pStyle w:val="FootnoteText"/>
      </w:pPr>
      <w:r w:rsidRPr="004A357C">
        <w:rPr>
          <w:rStyle w:val="FootnoteReference"/>
        </w:rPr>
        <w:footnoteRef/>
      </w:r>
      <w:r w:rsidRPr="004A357C">
        <w:t xml:space="preserve"> </w:t>
      </w:r>
      <w:r w:rsidR="00B01FBC" w:rsidRPr="004A357C">
        <w:t xml:space="preserve">Department of Health, Disability and Ageing, PHI </w:t>
      </w:r>
      <w:r w:rsidR="00DD78C3" w:rsidRPr="004A357C">
        <w:t>30</w:t>
      </w:r>
      <w:r w:rsidR="00B01FBC" w:rsidRPr="004A357C">
        <w:t xml:space="preserve">/24 – </w:t>
      </w:r>
      <w:r w:rsidR="004745FB" w:rsidRPr="004A357C">
        <w:t>General use items on the Prescribed List</w:t>
      </w:r>
      <w:r w:rsidR="00B01FBC" w:rsidRPr="004A357C">
        <w:t xml:space="preserve">, </w:t>
      </w:r>
      <w:r w:rsidR="00DD78C3" w:rsidRPr="004A357C">
        <w:t>1 May</w:t>
      </w:r>
      <w:r w:rsidR="00B01FBC" w:rsidRPr="004A357C">
        <w:t xml:space="preserve"> 2024.</w:t>
      </w:r>
      <w:r w:rsidRPr="004A357C">
        <w:t xml:space="preserve"> </w:t>
      </w:r>
      <w:r w:rsidR="00813055" w:rsidRPr="004A357C">
        <w:t>https://www.health.gov.au/news/phi-circulars/phi-3024-general-use-items-on-the-prescribed-list</w:t>
      </w:r>
    </w:p>
  </w:footnote>
  <w:footnote w:id="71">
    <w:p w14:paraId="12CCBBC4" w14:textId="671EEA04" w:rsidR="00814FCB" w:rsidRPr="004A357C" w:rsidRDefault="00814FCB" w:rsidP="00814FCB">
      <w:pPr>
        <w:pStyle w:val="FootnoteText"/>
      </w:pPr>
      <w:r w:rsidRPr="004A357C">
        <w:rPr>
          <w:rStyle w:val="FootnoteReference"/>
        </w:rPr>
        <w:footnoteRef/>
      </w:r>
      <w:r w:rsidRPr="004A357C">
        <w:t xml:space="preserve"> Therapeutic Goods Administration, Guidance on boundary and combination products, 20</w:t>
      </w:r>
      <w:r w:rsidR="008E03E5" w:rsidRPr="004A357C">
        <w:t>2</w:t>
      </w:r>
      <w:r w:rsidRPr="004A357C">
        <w:t xml:space="preserve">3. </w:t>
      </w:r>
    </w:p>
  </w:footnote>
  <w:footnote w:id="72">
    <w:p w14:paraId="05CE59FA" w14:textId="200010CB" w:rsidR="003564ED" w:rsidRPr="004A357C" w:rsidRDefault="003564ED">
      <w:pPr>
        <w:pStyle w:val="FootnoteText"/>
      </w:pPr>
      <w:r w:rsidRPr="004A357C">
        <w:rPr>
          <w:rStyle w:val="FootnoteReference"/>
        </w:rPr>
        <w:footnoteRef/>
      </w:r>
      <w:r w:rsidRPr="004A357C">
        <w:t xml:space="preserve"> Department of Health, Disability and Ageing, PHI 41/25 – Regrouping of Part A of the Prescribed List, 12 May 2025. https://www.health.gov.au/news/phi-circulars/phi-4125-regrouping-of-part-a-of-the-prescribed-list</w:t>
      </w:r>
    </w:p>
  </w:footnote>
  <w:footnote w:id="73">
    <w:p w14:paraId="1E1CD20A" w14:textId="2A95E8EB" w:rsidR="00FE78BA" w:rsidRPr="004A357C" w:rsidRDefault="00FE78BA" w:rsidP="00FE78BA">
      <w:pPr>
        <w:pStyle w:val="FootnoteText"/>
      </w:pPr>
      <w:r w:rsidRPr="004A357C">
        <w:rPr>
          <w:rStyle w:val="FootnoteReference"/>
        </w:rPr>
        <w:footnoteRef/>
      </w:r>
      <w:r w:rsidRPr="004A357C">
        <w:t xml:space="preserve"> Department of Health</w:t>
      </w:r>
      <w:r w:rsidR="00F54F06" w:rsidRPr="004A357C">
        <w:t xml:space="preserve">, </w:t>
      </w:r>
      <w:r w:rsidR="00347155" w:rsidRPr="004A357C">
        <w:t>Disability</w:t>
      </w:r>
      <w:r w:rsidRPr="004A357C">
        <w:t xml:space="preserve"> and </w:t>
      </w:r>
      <w:r w:rsidR="00347155" w:rsidRPr="004A357C">
        <w:t>Ageing</w:t>
      </w:r>
      <w:r w:rsidRPr="004A357C">
        <w:t xml:space="preserve">, Prostheses List Compliance Strategy, 2022. </w:t>
      </w:r>
      <w:r w:rsidR="00F54F06" w:rsidRPr="004A357C">
        <w:t>https://consultations.health.gov.au/technology-assessment-access-division/prostheses-list-compliance-and-assurance-strategy.</w:t>
      </w:r>
    </w:p>
  </w:footnote>
  <w:footnote w:id="74">
    <w:p w14:paraId="52B28E1E" w14:textId="77777777" w:rsidR="00FE78BA" w:rsidRPr="004A357C" w:rsidRDefault="00FE78BA" w:rsidP="00FE78BA">
      <w:pPr>
        <w:pStyle w:val="FootnoteText"/>
      </w:pPr>
      <w:r w:rsidRPr="004A357C">
        <w:rPr>
          <w:rStyle w:val="FootnoteReference"/>
        </w:rPr>
        <w:footnoteRef/>
      </w:r>
      <w:r w:rsidRPr="004A357C">
        <w:t xml:space="preserve"> House of Representatives, Explanatory Memorandum, Private Health Insurance Legislation Amendment (Medical Device </w:t>
      </w:r>
      <w:proofErr w:type="gramStart"/>
      <w:r w:rsidRPr="004A357C">
        <w:t>And</w:t>
      </w:r>
      <w:proofErr w:type="gramEnd"/>
      <w:r w:rsidRPr="004A357C">
        <w:t xml:space="preserve"> Human Tissue Product List </w:t>
      </w:r>
      <w:proofErr w:type="gramStart"/>
      <w:r w:rsidRPr="004A357C">
        <w:t>And</w:t>
      </w:r>
      <w:proofErr w:type="gramEnd"/>
      <w:r w:rsidRPr="004A357C">
        <w:t xml:space="preserve"> Cost Recovery) Bill 2022, 2022.</w:t>
      </w:r>
    </w:p>
  </w:footnote>
  <w:footnote w:id="75">
    <w:p w14:paraId="2702EF7D" w14:textId="411AE33F" w:rsidR="00FE78BA" w:rsidRPr="004A357C" w:rsidRDefault="00FE78BA" w:rsidP="00FE78BA">
      <w:pPr>
        <w:pStyle w:val="FootnoteText"/>
        <w:rPr>
          <w:b/>
          <w:bCs/>
        </w:rPr>
      </w:pPr>
      <w:r w:rsidRPr="004A357C">
        <w:rPr>
          <w:rStyle w:val="FootnoteReference"/>
        </w:rPr>
        <w:footnoteRef/>
      </w:r>
      <w:r w:rsidRPr="004A357C">
        <w:t xml:space="preserve"> Response to stakeholder information request for evaluation, 2024.</w:t>
      </w:r>
    </w:p>
  </w:footnote>
  <w:footnote w:id="76">
    <w:p w14:paraId="48EE3CC3" w14:textId="75DF5F91" w:rsidR="0067217F" w:rsidRPr="004A357C" w:rsidRDefault="0067217F" w:rsidP="0067217F">
      <w:pPr>
        <w:pStyle w:val="FootnoteText"/>
      </w:pPr>
      <w:r w:rsidRPr="004A357C">
        <w:rPr>
          <w:rStyle w:val="FootnoteReference"/>
        </w:rPr>
        <w:footnoteRef/>
      </w:r>
      <w:r w:rsidRPr="004A357C">
        <w:t xml:space="preserve"> </w:t>
      </w:r>
      <w:r w:rsidR="00402892" w:rsidRPr="004A357C">
        <w:t xml:space="preserve">Department of Health, Disability and Ageing, PHI 41/25 – Regrouping of Part A of the Prescribed List, 12 May 2025, https://www.health.gov.au/news/phi-circulars/phi-4125-regrouping-of-part-a-of-the-prescribed-list. </w:t>
      </w:r>
      <w:r w:rsidRPr="004A357C">
        <w:t xml:space="preserve"> </w:t>
      </w:r>
    </w:p>
  </w:footnote>
  <w:footnote w:id="77">
    <w:p w14:paraId="0C7292D8" w14:textId="551913EA" w:rsidR="003528E1" w:rsidRPr="004A357C" w:rsidRDefault="003528E1">
      <w:pPr>
        <w:pStyle w:val="FootnoteText"/>
      </w:pPr>
      <w:r w:rsidRPr="004A357C">
        <w:rPr>
          <w:rStyle w:val="FootnoteReference"/>
        </w:rPr>
        <w:footnoteRef/>
      </w:r>
      <w:r w:rsidRPr="004A357C">
        <w:t xml:space="preserve"> Department of Health, Disability and Ageing, PHI </w:t>
      </w:r>
      <w:r w:rsidR="00F0167B" w:rsidRPr="004A357C">
        <w:t>5</w:t>
      </w:r>
      <w:r w:rsidRPr="004A357C">
        <w:t>1/2</w:t>
      </w:r>
      <w:r w:rsidR="00F0167B" w:rsidRPr="004A357C">
        <w:t>3</w:t>
      </w:r>
      <w:r w:rsidRPr="004A357C">
        <w:t xml:space="preserve"> – Regrouping of Part A of the Prescribed List, </w:t>
      </w:r>
      <w:r w:rsidR="00F0167B" w:rsidRPr="004A357C">
        <w:t>26 July 2023</w:t>
      </w:r>
      <w:r w:rsidRPr="004A357C">
        <w:t xml:space="preserve">, </w:t>
      </w:r>
      <w:r w:rsidR="00F0167B" w:rsidRPr="004A357C">
        <w:t>https://www.health.gov.au/news/phi-circulars/phi-5123-regrouping-of-part-a-of-the-prescribed-list</w:t>
      </w:r>
    </w:p>
  </w:footnote>
  <w:footnote w:id="78">
    <w:p w14:paraId="1EAAEB24" w14:textId="6C2A5297" w:rsidR="00BB262C" w:rsidRPr="004A357C" w:rsidRDefault="00BB262C">
      <w:pPr>
        <w:pStyle w:val="FootnoteText"/>
      </w:pPr>
      <w:r w:rsidRPr="004A357C">
        <w:rPr>
          <w:rStyle w:val="FootnoteReference"/>
        </w:rPr>
        <w:footnoteRef/>
      </w:r>
      <w:r w:rsidRPr="004A357C">
        <w:t xml:space="preserve"> The Honourable Greg Hunt MP &amp; the Medical Technology Association of Australia Limited, Memorandum of Understanding for the policy parameters of the Prostheses List Reforms, 2022.</w:t>
      </w:r>
    </w:p>
  </w:footnote>
  <w:footnote w:id="79">
    <w:p w14:paraId="19180FC2" w14:textId="193539E3" w:rsidR="00993853" w:rsidRPr="004A357C" w:rsidRDefault="00993853">
      <w:pPr>
        <w:pStyle w:val="FootnoteText"/>
      </w:pPr>
      <w:r w:rsidRPr="004A357C">
        <w:rPr>
          <w:rStyle w:val="FootnoteReference"/>
        </w:rPr>
        <w:footnoteRef/>
      </w:r>
      <w:r w:rsidRPr="004A357C">
        <w:t xml:space="preserve"> </w:t>
      </w:r>
      <w:r w:rsidR="007119EE" w:rsidRPr="004A357C">
        <w:t>Ibid</w:t>
      </w:r>
      <w:r w:rsidRPr="004A357C">
        <w:t>.</w:t>
      </w:r>
    </w:p>
  </w:footnote>
  <w:footnote w:id="80">
    <w:p w14:paraId="44E4AA0E" w14:textId="77777777" w:rsidR="004279FE" w:rsidRPr="004A357C" w:rsidRDefault="004279FE" w:rsidP="004279FE">
      <w:pPr>
        <w:pStyle w:val="FootnoteText"/>
      </w:pPr>
      <w:r w:rsidRPr="004A357C">
        <w:rPr>
          <w:rStyle w:val="FootnoteReference"/>
        </w:rPr>
        <w:footnoteRef/>
      </w:r>
      <w:r w:rsidRPr="004A357C">
        <w:t xml:space="preserve"> Department of Health, Disability and Ageing, PHI 41/25 – Regrouping of Part A of the Prescribed List, 12 May 2025. https://www.health.gov.au/news/phi-circulars/phi-4125-regrouping-of-part-a-of-the-prescribed-list</w:t>
      </w:r>
    </w:p>
  </w:footnote>
  <w:footnote w:id="81">
    <w:p w14:paraId="7C2FE0E3" w14:textId="1F861928" w:rsidR="00B3093B" w:rsidRPr="004A357C" w:rsidRDefault="00B3093B">
      <w:pPr>
        <w:pStyle w:val="FootnoteText"/>
      </w:pPr>
      <w:r w:rsidRPr="004A357C">
        <w:rPr>
          <w:rStyle w:val="FootnoteReference"/>
        </w:rPr>
        <w:footnoteRef/>
      </w:r>
      <w:r w:rsidRPr="004A357C">
        <w:t xml:space="preserve"> </w:t>
      </w:r>
      <w:r w:rsidR="0034682E" w:rsidRPr="004A357C">
        <w:t>The feedback received from stakeholders has been summarised in the table below for the purpose of clarity and brevity. Whil</w:t>
      </w:r>
      <w:r w:rsidR="0034682E">
        <w:t>e</w:t>
      </w:r>
      <w:r w:rsidR="0034682E" w:rsidRPr="004A357C">
        <w:t xml:space="preserve"> efforts have been made to capture the essential content and key themes, these summaries may not fully reflect the nuances and particulars of the original feedback.</w:t>
      </w:r>
    </w:p>
  </w:footnote>
  <w:footnote w:id="82">
    <w:p w14:paraId="6EC955AB" w14:textId="28CDC8ED" w:rsidR="003564ED" w:rsidRPr="004A357C" w:rsidRDefault="003564ED">
      <w:pPr>
        <w:pStyle w:val="FootnoteText"/>
      </w:pPr>
      <w:r w:rsidRPr="004A357C">
        <w:rPr>
          <w:rStyle w:val="FootnoteReference"/>
        </w:rPr>
        <w:footnoteRef/>
      </w:r>
      <w:r w:rsidRPr="004A357C">
        <w:t xml:space="preserve"> The Hon Mark Butler MP, Ensuring lower surgery costs and continued access to healthcare through general use items, 1 May 2024. https://www.health.gov.au/ministers/the-hon-mark-butler-mp/media/ensuring-lower-surgery-costs-and-continued-access-to-healthcare-through-general-use-items</w:t>
      </w:r>
    </w:p>
  </w:footnote>
  <w:footnote w:id="83">
    <w:p w14:paraId="3416232C" w14:textId="19585344" w:rsidR="003564ED" w:rsidRPr="004A357C" w:rsidRDefault="003564ED">
      <w:pPr>
        <w:pStyle w:val="FootnoteText"/>
      </w:pPr>
      <w:r w:rsidRPr="004A357C">
        <w:rPr>
          <w:rStyle w:val="FootnoteReference"/>
        </w:rPr>
        <w:footnoteRef/>
      </w:r>
      <w:r w:rsidRPr="004A357C">
        <w:t xml:space="preserve"> Department of Health, Disability and Ageing, PHI 71/24 – Removal of medicines and accessories to medicines from the Prescribed List, 11 October 2024. https://www.health.gov.au/news/phi-circulars/phi-7224-removal-of-medicines-and-accessories-to-medicines-from-the-prescribed-list</w:t>
      </w:r>
    </w:p>
  </w:footnote>
  <w:footnote w:id="84">
    <w:p w14:paraId="74A04776" w14:textId="57C5E437" w:rsidR="00C90997" w:rsidRPr="004A357C" w:rsidRDefault="00C90997" w:rsidP="00C90997">
      <w:pPr>
        <w:pStyle w:val="FootnoteText"/>
      </w:pPr>
      <w:r w:rsidRPr="004A357C">
        <w:rPr>
          <w:rStyle w:val="FootnoteReference"/>
        </w:rPr>
        <w:footnoteRef/>
      </w:r>
      <w:r w:rsidRPr="004A357C">
        <w:t xml:space="preserve"> Department of Health, </w:t>
      </w:r>
      <w:r w:rsidR="00F23170" w:rsidRPr="004A357C">
        <w:t>Disability and Ageing</w:t>
      </w:r>
      <w:r w:rsidRPr="004A357C">
        <w:t xml:space="preserve">, Historical background of the 2021-2025 Prostheses List reform, </w:t>
      </w:r>
      <w:r w:rsidR="00F23170" w:rsidRPr="004A357C">
        <w:t xml:space="preserve">18 March </w:t>
      </w:r>
      <w:r w:rsidRPr="004A357C">
        <w:t xml:space="preserve">2022. </w:t>
      </w:r>
      <w:r w:rsidR="00F23170" w:rsidRPr="004A357C">
        <w:t>https://www.health.gov.au/resources/publications/historical-background-of-the-prostheses-list-reform-2021-2025?language=en.</w:t>
      </w:r>
    </w:p>
  </w:footnote>
  <w:footnote w:id="85">
    <w:p w14:paraId="43E26324" w14:textId="77777777" w:rsidR="00C90997" w:rsidRPr="004A357C" w:rsidRDefault="00C90997" w:rsidP="00C90997">
      <w:pPr>
        <w:pStyle w:val="FootnoteText"/>
      </w:pPr>
      <w:r w:rsidRPr="004A357C">
        <w:rPr>
          <w:rStyle w:val="FootnoteReference"/>
        </w:rPr>
        <w:footnoteRef/>
      </w:r>
      <w:r w:rsidRPr="004A357C">
        <w:t xml:space="preserve"> IHACPA, Consultation Paper on Bundling Arrangements for the General Use Items on the Prostheses List, 2022. </w:t>
      </w:r>
    </w:p>
  </w:footnote>
  <w:footnote w:id="86">
    <w:p w14:paraId="77C2A057" w14:textId="456FF631" w:rsidR="00DC6A53" w:rsidRPr="004A357C" w:rsidRDefault="00DC6A53">
      <w:pPr>
        <w:pStyle w:val="FootnoteText"/>
      </w:pPr>
      <w:r w:rsidRPr="004A357C">
        <w:rPr>
          <w:rStyle w:val="FootnoteReference"/>
        </w:rPr>
        <w:footnoteRef/>
      </w:r>
      <w:r w:rsidRPr="004A357C">
        <w:t xml:space="preserve"> Department of Health, Disability and Ageing, Hospital Casemix Protocol Dataset, 2025.</w:t>
      </w:r>
    </w:p>
  </w:footnote>
  <w:footnote w:id="87">
    <w:p w14:paraId="3854974B" w14:textId="14DA0A05" w:rsidR="00DC6A53" w:rsidRPr="004A357C" w:rsidRDefault="00DC6A53">
      <w:pPr>
        <w:pStyle w:val="FootnoteText"/>
      </w:pPr>
      <w:r w:rsidRPr="004A357C">
        <w:rPr>
          <w:rStyle w:val="FootnoteReference"/>
        </w:rPr>
        <w:footnoteRef/>
      </w:r>
      <w:r w:rsidRPr="004A357C">
        <w:t xml:space="preserve"> GUI population is based on item codes listed in Part D on the August 2024 PL. Benefits used in calculations are from the PL update at the start of the period (e.g. July 2020 update for FY21). </w:t>
      </w:r>
      <w:r w:rsidR="000548B1">
        <w:t xml:space="preserve">Items without all four years of benefit levels were removed from the analysis. </w:t>
      </w:r>
      <w:r w:rsidR="00E356F0" w:rsidRPr="004A357C">
        <w:t xml:space="preserve">Value is calculated as utilisation * PL benefit; weighted average benefit </w:t>
      </w:r>
      <w:r w:rsidR="0068708F" w:rsidRPr="004A357C">
        <w:t>is calculated as total value / total utilisation.</w:t>
      </w:r>
    </w:p>
  </w:footnote>
  <w:footnote w:id="88">
    <w:p w14:paraId="6E28A7D8" w14:textId="77777777" w:rsidR="005016E7" w:rsidRPr="004A357C" w:rsidRDefault="005016E7" w:rsidP="005016E7">
      <w:pPr>
        <w:pStyle w:val="FootnoteText"/>
      </w:pPr>
      <w:r w:rsidRPr="004A357C">
        <w:rPr>
          <w:rStyle w:val="FootnoteReference"/>
        </w:rPr>
        <w:footnoteRef/>
      </w:r>
      <w:r w:rsidRPr="004A357C">
        <w:t xml:space="preserve"> Response to stakeholder information request for the evaluation, 2024.</w:t>
      </w:r>
    </w:p>
  </w:footnote>
  <w:footnote w:id="89">
    <w:p w14:paraId="09E71AAF" w14:textId="732F7ABA" w:rsidR="003E7D14" w:rsidRPr="004A357C" w:rsidRDefault="003E7D14">
      <w:pPr>
        <w:pStyle w:val="FootnoteText"/>
      </w:pPr>
      <w:r w:rsidRPr="004A357C">
        <w:rPr>
          <w:rStyle w:val="FootnoteReference"/>
        </w:rPr>
        <w:footnoteRef/>
      </w:r>
      <w:r w:rsidRPr="004A357C">
        <w:t xml:space="preserve"> </w:t>
      </w:r>
      <w:r w:rsidR="0034682E" w:rsidRPr="004A357C">
        <w:t>The feedback received from stakeholders has been summarised in the table below for the purpose of clarity and brevity. Whil</w:t>
      </w:r>
      <w:r w:rsidR="0034682E">
        <w:t>e</w:t>
      </w:r>
      <w:r w:rsidR="0034682E" w:rsidRPr="004A357C">
        <w:t xml:space="preserve"> efforts have been made to capture the essential content and key themes, these summaries may not fully reflect the nuances and particulars of the original feedback.</w:t>
      </w:r>
    </w:p>
  </w:footnote>
  <w:footnote w:id="90">
    <w:p w14:paraId="4CEBD5F2" w14:textId="445B8756" w:rsidR="0003052B" w:rsidRPr="004A357C" w:rsidRDefault="0003052B" w:rsidP="0003052B">
      <w:pPr>
        <w:pStyle w:val="FootnoteText"/>
      </w:pPr>
      <w:r w:rsidRPr="004A357C">
        <w:rPr>
          <w:rStyle w:val="FootnoteReference"/>
        </w:rPr>
        <w:footnoteRef/>
      </w:r>
      <w:r w:rsidRPr="004A357C">
        <w:t xml:space="preserve"> Department of Health</w:t>
      </w:r>
      <w:r w:rsidR="00282598" w:rsidRPr="004A357C">
        <w:t>, Disability</w:t>
      </w:r>
      <w:r w:rsidRPr="004A357C">
        <w:t xml:space="preserve"> and Aged Care, Prostheses List Reforms - Consultation Paper 3 - A modernised fit-for-purpose listing process, </w:t>
      </w:r>
      <w:r w:rsidR="001633FB" w:rsidRPr="004A357C">
        <w:t xml:space="preserve">14 January </w:t>
      </w:r>
      <w:r w:rsidRPr="004A357C">
        <w:t>2022.</w:t>
      </w:r>
    </w:p>
  </w:footnote>
  <w:footnote w:id="91">
    <w:p w14:paraId="1C0BA1B6" w14:textId="154A900F" w:rsidR="00574305" w:rsidRPr="004A357C" w:rsidRDefault="00574305">
      <w:pPr>
        <w:pStyle w:val="FootnoteText"/>
      </w:pPr>
      <w:r w:rsidRPr="004A357C">
        <w:rPr>
          <w:rStyle w:val="FootnoteReference"/>
        </w:rPr>
        <w:footnoteRef/>
      </w:r>
      <w:r w:rsidRPr="004A357C">
        <w:t xml:space="preserve"> Department of Health, Disability and Ageing, Prescribed List of Medical Devices and Human Tissue Products Guide – Draft, 21 December 2023. https://www.health.gov.au/resources/publications/prescribed-list-of-medical-devices-and-human-tissue-products-guide-draft?language=en.</w:t>
      </w:r>
    </w:p>
  </w:footnote>
  <w:footnote w:id="92">
    <w:p w14:paraId="0D1FEF2C" w14:textId="37A3CC40" w:rsidR="001B743B" w:rsidRPr="004A357C" w:rsidRDefault="001B743B">
      <w:pPr>
        <w:pStyle w:val="FootnoteText"/>
      </w:pPr>
      <w:r w:rsidRPr="004A357C">
        <w:rPr>
          <w:rStyle w:val="FootnoteReference"/>
        </w:rPr>
        <w:footnoteRef/>
      </w:r>
      <w:r w:rsidRPr="004A357C">
        <w:t xml:space="preserve"> Department of Health, Disability and Ageing, Prescribed List Application Training, </w:t>
      </w:r>
      <w:r w:rsidR="001A3119" w:rsidRPr="004A357C">
        <w:t>27 November 2023. https://www.health.gov.au/resources/publications/prescribed-list-application-training?language=en.</w:t>
      </w:r>
    </w:p>
  </w:footnote>
  <w:footnote w:id="93">
    <w:p w14:paraId="312BDCA1" w14:textId="0FCBA40F" w:rsidR="00365171" w:rsidRPr="004A357C" w:rsidRDefault="00365171">
      <w:pPr>
        <w:pStyle w:val="FootnoteText"/>
      </w:pPr>
      <w:r w:rsidRPr="004A357C">
        <w:rPr>
          <w:rStyle w:val="FootnoteReference"/>
        </w:rPr>
        <w:footnoteRef/>
      </w:r>
      <w:r w:rsidRPr="004A357C">
        <w:t xml:space="preserve"> Ibid.</w:t>
      </w:r>
    </w:p>
  </w:footnote>
  <w:footnote w:id="94">
    <w:p w14:paraId="77661AE1" w14:textId="50A769A8" w:rsidR="005C15A9" w:rsidRPr="004A357C" w:rsidRDefault="005C15A9">
      <w:pPr>
        <w:pStyle w:val="FootnoteText"/>
      </w:pPr>
      <w:r w:rsidRPr="004A357C">
        <w:rPr>
          <w:rStyle w:val="FootnoteReference"/>
        </w:rPr>
        <w:footnoteRef/>
      </w:r>
      <w:r w:rsidRPr="004A357C">
        <w:t xml:space="preserve"> HPP applications data. Applications to delist, transfer or compress not included.</w:t>
      </w:r>
    </w:p>
  </w:footnote>
  <w:footnote w:id="95">
    <w:p w14:paraId="396CD470" w14:textId="1BCE6EC4" w:rsidR="005C15A9" w:rsidRPr="004A357C" w:rsidRDefault="005C15A9">
      <w:pPr>
        <w:pStyle w:val="FootnoteText"/>
      </w:pPr>
      <w:r w:rsidRPr="004A357C">
        <w:rPr>
          <w:rStyle w:val="FootnoteReference"/>
        </w:rPr>
        <w:footnoteRef/>
      </w:r>
      <w:r w:rsidRPr="004A357C">
        <w:t xml:space="preserve"> Ibid.</w:t>
      </w:r>
    </w:p>
  </w:footnote>
  <w:footnote w:id="96">
    <w:p w14:paraId="4BAF7E34" w14:textId="76858722" w:rsidR="008D2F11" w:rsidRPr="004A357C" w:rsidRDefault="008D2F11">
      <w:pPr>
        <w:pStyle w:val="FootnoteText"/>
      </w:pPr>
      <w:r w:rsidRPr="004A357C">
        <w:rPr>
          <w:rStyle w:val="FootnoteReference"/>
        </w:rPr>
        <w:footnoteRef/>
      </w:r>
      <w:r w:rsidRPr="004A357C">
        <w:t xml:space="preserve"> Department of Health and Ageing, Review of health technology assessment in Australia, 2009.</w:t>
      </w:r>
    </w:p>
  </w:footnote>
  <w:footnote w:id="97">
    <w:p w14:paraId="0838CA8C" w14:textId="5D3C0960" w:rsidR="003E7D14" w:rsidRPr="004A357C" w:rsidRDefault="003E7D14">
      <w:pPr>
        <w:pStyle w:val="FootnoteText"/>
      </w:pPr>
      <w:r w:rsidRPr="004A357C">
        <w:rPr>
          <w:rStyle w:val="FootnoteReference"/>
        </w:rPr>
        <w:footnoteRef/>
      </w:r>
      <w:r w:rsidRPr="004A357C">
        <w:t xml:space="preserve"> </w:t>
      </w:r>
      <w:r w:rsidR="0034682E" w:rsidRPr="004A357C">
        <w:t>The feedback received from stakeholders has been summarised in the table below for the purpose of clarity and brevity. Whil</w:t>
      </w:r>
      <w:r w:rsidR="0034682E">
        <w:t>e</w:t>
      </w:r>
      <w:r w:rsidR="0034682E" w:rsidRPr="004A357C">
        <w:t xml:space="preserve"> efforts have been made to capture the essential content and key themes, these summaries may not fully reflect the nuances and particulars of the original feedback.</w:t>
      </w:r>
    </w:p>
  </w:footnote>
  <w:footnote w:id="98">
    <w:p w14:paraId="71FB1F6F" w14:textId="5887168F" w:rsidR="003E7D14" w:rsidRPr="004A357C" w:rsidRDefault="003E7D14">
      <w:pPr>
        <w:pStyle w:val="FootnoteText"/>
      </w:pPr>
      <w:r w:rsidRPr="004A357C">
        <w:rPr>
          <w:rStyle w:val="FootnoteReference"/>
        </w:rPr>
        <w:footnoteRef/>
      </w:r>
      <w:r w:rsidRPr="004A357C">
        <w:t xml:space="preserve"> </w:t>
      </w:r>
      <w:r w:rsidR="0034682E" w:rsidRPr="004A357C">
        <w:t>The feedback received from stakeholders has been summarised in the table below for the purpose of clarity and brevity. Whil</w:t>
      </w:r>
      <w:r w:rsidR="0034682E">
        <w:t>e</w:t>
      </w:r>
      <w:r w:rsidR="0034682E" w:rsidRPr="004A357C">
        <w:t xml:space="preserve"> efforts have been made to capture the essential content and key themes, these summaries may not fully reflect the nuances and particulars of the original feedback.</w:t>
      </w:r>
    </w:p>
  </w:footnote>
  <w:footnote w:id="99">
    <w:p w14:paraId="7F2151AA" w14:textId="18BC2276" w:rsidR="000C655E" w:rsidRPr="004A357C" w:rsidRDefault="000C655E">
      <w:pPr>
        <w:pStyle w:val="FootnoteText"/>
      </w:pPr>
      <w:r w:rsidRPr="004A357C">
        <w:rPr>
          <w:rStyle w:val="FootnoteReference"/>
        </w:rPr>
        <w:footnoteRef/>
      </w:r>
      <w:r w:rsidRPr="004A357C">
        <w:t xml:space="preserve"> </w:t>
      </w:r>
      <w:r w:rsidR="008D583C" w:rsidRPr="004A357C">
        <w:t>Department of Health, Disability and Ageing, Prescribed List post-listing review framework, 12 December 2024.</w:t>
      </w:r>
      <w:r w:rsidRPr="004A357C">
        <w:t xml:space="preserve"> https://www.health.gov.au/resources/publications/prescribed-list-post-listing-review-framework?language=en</w:t>
      </w:r>
      <w:r w:rsidR="008D583C" w:rsidRPr="004A357C">
        <w:t>.</w:t>
      </w:r>
    </w:p>
  </w:footnote>
  <w:footnote w:id="100">
    <w:p w14:paraId="50985B95" w14:textId="23C9A841" w:rsidR="008773AE" w:rsidRPr="004A357C" w:rsidRDefault="008773AE">
      <w:pPr>
        <w:pStyle w:val="FootnoteText"/>
      </w:pPr>
      <w:r w:rsidRPr="004A357C">
        <w:rPr>
          <w:rStyle w:val="FootnoteReference"/>
        </w:rPr>
        <w:footnoteRef/>
      </w:r>
      <w:r w:rsidRPr="004A357C">
        <w:t xml:space="preserve"> </w:t>
      </w:r>
      <w:r w:rsidR="002B51B5" w:rsidRPr="004A357C">
        <w:t>Department of Health, Disability and Ageing, PHI 12/24 – Updates to the 2024-35 Prescribed List CRIS and cost recovery levy, 10 February 2025. https://www.health.gov.au/news/phi-circulars/phi-1225-updates-to-the-2024-25-prescribed-list-cris-and-cost-recovery-levy.</w:t>
      </w:r>
    </w:p>
  </w:footnote>
  <w:footnote w:id="101">
    <w:p w14:paraId="64791A4A" w14:textId="3149D999" w:rsidR="00704942" w:rsidRPr="004A357C" w:rsidRDefault="00704942">
      <w:pPr>
        <w:pStyle w:val="FootnoteText"/>
      </w:pPr>
      <w:r w:rsidRPr="004A357C">
        <w:rPr>
          <w:rStyle w:val="FootnoteReference"/>
        </w:rPr>
        <w:footnoteRef/>
      </w:r>
      <w:r w:rsidRPr="004A357C">
        <w:t xml:space="preserve"> Department of Health, Disability and Ageing, Cost Recovery Implementation Statement Administration of the Prescribed List of Medical Devices and Human Tissue Products </w:t>
      </w:r>
      <w:r w:rsidR="00551859" w:rsidRPr="004A357C">
        <w:t>1 July 2025 to 30 June 2026 Version 1.1, 2025. https://www.health.gov.au/sites/default/files/2025-07/cost-recovery-implementation-statement-administration-of-the-prescribed-list-of-medical-devices-and-human-tissue-products.pdf</w:t>
      </w:r>
    </w:p>
  </w:footnote>
  <w:footnote w:id="102">
    <w:p w14:paraId="567C3335" w14:textId="68E63B66" w:rsidR="000464D0" w:rsidRPr="004A357C" w:rsidRDefault="000464D0" w:rsidP="000464D0">
      <w:pPr>
        <w:pStyle w:val="FootnoteText"/>
      </w:pPr>
      <w:r w:rsidRPr="004A357C">
        <w:rPr>
          <w:rStyle w:val="FootnoteReference"/>
        </w:rPr>
        <w:footnoteRef/>
      </w:r>
      <w:r w:rsidRPr="004A357C">
        <w:t xml:space="preserve"> </w:t>
      </w:r>
      <w:r w:rsidR="00185D56" w:rsidRPr="004A357C">
        <w:t>Department of Health, Disability and Ageing, Metal-backed patellae – Prescribed List post-listing review, 5 July 2024. https://www.health.gov.au/our-work/metal-backed-patellae-prescribed-list-post-listing-review.</w:t>
      </w:r>
    </w:p>
  </w:footnote>
  <w:footnote w:id="103">
    <w:p w14:paraId="75C54B6C" w14:textId="0F4602B0" w:rsidR="000464D0" w:rsidRPr="004A357C" w:rsidRDefault="000464D0" w:rsidP="000464D0">
      <w:pPr>
        <w:pStyle w:val="FootnoteText"/>
      </w:pPr>
      <w:r w:rsidRPr="004A357C">
        <w:rPr>
          <w:rStyle w:val="FootnoteReference"/>
        </w:rPr>
        <w:footnoteRef/>
      </w:r>
      <w:r w:rsidRPr="004A357C">
        <w:t xml:space="preserve"> </w:t>
      </w:r>
      <w:r w:rsidR="001D0C2B" w:rsidRPr="004A357C">
        <w:t>Department of Health, Disability and Ageing, Surgical guides and biomodels – Prescribed List post-listing review, 23 June 2025.</w:t>
      </w:r>
      <w:r w:rsidRPr="004A357C">
        <w:t xml:space="preserve"> https://www.health.gov.au/our-work/surgical-guides-and-biomodels-prescribed-list-post-listing-review</w:t>
      </w:r>
    </w:p>
  </w:footnote>
  <w:footnote w:id="104">
    <w:p w14:paraId="2CEB5FE7" w14:textId="1F7C1057" w:rsidR="000464D0" w:rsidRPr="004A357C" w:rsidRDefault="000464D0" w:rsidP="000464D0">
      <w:pPr>
        <w:pStyle w:val="FootnoteText"/>
      </w:pPr>
      <w:r w:rsidRPr="004A357C">
        <w:rPr>
          <w:rStyle w:val="FootnoteReference"/>
        </w:rPr>
        <w:footnoteRef/>
      </w:r>
      <w:r w:rsidRPr="004A357C">
        <w:t xml:space="preserve"> Department of Health</w:t>
      </w:r>
      <w:r w:rsidR="00961931" w:rsidRPr="004A357C">
        <w:t>, Disability</w:t>
      </w:r>
      <w:r w:rsidRPr="004A357C">
        <w:t xml:space="preserve"> and </w:t>
      </w:r>
      <w:r w:rsidR="00961931" w:rsidRPr="004A357C">
        <w:t>Ageing</w:t>
      </w:r>
      <w:r w:rsidRPr="004A357C">
        <w:t>, PHI 74/23</w:t>
      </w:r>
      <w:r w:rsidR="00961931" w:rsidRPr="004A357C">
        <w:t xml:space="preserve"> –</w:t>
      </w:r>
      <w:r w:rsidRPr="004A357C">
        <w:t xml:space="preserve"> Prescribed List – Private Health Insurance (Medical Devices and Human Tissue Products) Amendment Rules (No. 2) 2023, </w:t>
      </w:r>
      <w:r w:rsidR="00961931" w:rsidRPr="004A357C">
        <w:t xml:space="preserve">13 November </w:t>
      </w:r>
      <w:r w:rsidRPr="004A357C">
        <w:t xml:space="preserve">2023. </w:t>
      </w:r>
      <w:r w:rsidR="006C0468" w:rsidRPr="004A357C">
        <w:t>https://www.health.gov.au/news/phi-circulars/phi-7423-prescribed-list-private-health-insurance-medical-devices-and-human-tissue-products-amendment-rules-no-2-2023</w:t>
      </w:r>
    </w:p>
  </w:footnote>
  <w:footnote w:id="105">
    <w:p w14:paraId="5CCAE986" w14:textId="03D9001A" w:rsidR="000464D0" w:rsidRPr="004A357C" w:rsidRDefault="000464D0" w:rsidP="000464D0">
      <w:pPr>
        <w:pStyle w:val="FootnoteText"/>
      </w:pPr>
      <w:r w:rsidRPr="004A357C">
        <w:rPr>
          <w:rStyle w:val="FootnoteReference"/>
        </w:rPr>
        <w:footnoteRef/>
      </w:r>
      <w:r w:rsidRPr="004A357C">
        <w:t xml:space="preserve"> </w:t>
      </w:r>
      <w:r w:rsidR="006C0468" w:rsidRPr="004A357C">
        <w:t>Department of Health, Disability and Ageing, Spinal cord stimulators – Prescribed List post-listing review, 14 March 2025</w:t>
      </w:r>
      <w:r w:rsidR="00244897" w:rsidRPr="004A357C">
        <w:t>, https://www.health.gov.au/our-work/spinal-cord-stimulators-prescribed-list-post-listing-review.</w:t>
      </w:r>
    </w:p>
  </w:footnote>
  <w:footnote w:id="106">
    <w:p w14:paraId="6F6D93E4" w14:textId="37A8BB8E" w:rsidR="000464D0" w:rsidRPr="004A357C" w:rsidRDefault="000464D0" w:rsidP="000464D0">
      <w:pPr>
        <w:pStyle w:val="FootnoteText"/>
      </w:pPr>
      <w:r w:rsidRPr="004A357C">
        <w:rPr>
          <w:rStyle w:val="FootnoteReference"/>
        </w:rPr>
        <w:footnoteRef/>
      </w:r>
      <w:r w:rsidRPr="004A357C">
        <w:t xml:space="preserve"> </w:t>
      </w:r>
      <w:r w:rsidR="00213A34" w:rsidRPr="004A357C">
        <w:t>Department of Health, Disability and Ageing, Urogynaecological mesh devices (mid-urethral slings) – Prescribed List post-listing review, 5 July 2024. https://www.health.gov.au/our-work/urogynaecological-mesh-devices-mid-urethral-slings-prescribed-list-post-listing-review.</w:t>
      </w:r>
      <w:r w:rsidRPr="004A357C">
        <w:t xml:space="preserve"> </w:t>
      </w:r>
    </w:p>
  </w:footnote>
  <w:footnote w:id="107">
    <w:p w14:paraId="174830E5" w14:textId="33B6DC9F" w:rsidR="00F64072" w:rsidRPr="004A357C" w:rsidRDefault="00F64072">
      <w:pPr>
        <w:pStyle w:val="FootnoteText"/>
      </w:pPr>
      <w:r w:rsidRPr="004A357C">
        <w:rPr>
          <w:rStyle w:val="FootnoteReference"/>
        </w:rPr>
        <w:footnoteRef/>
      </w:r>
      <w:r w:rsidRPr="004A357C">
        <w:t xml:space="preserve"> Department of Health, Disability and Ageing, Prescribed List post-listing review framework, 12 December 2024. https://www.health.gov.au/resources/publications/prescribed-list-post-listing-review-framework?language=en.</w:t>
      </w:r>
    </w:p>
  </w:footnote>
  <w:footnote w:id="108">
    <w:p w14:paraId="7B0FC885" w14:textId="68152B59" w:rsidR="003E7D14" w:rsidRPr="004A357C" w:rsidRDefault="003E7D14">
      <w:pPr>
        <w:pStyle w:val="FootnoteText"/>
      </w:pPr>
      <w:r w:rsidRPr="004A357C">
        <w:rPr>
          <w:rStyle w:val="FootnoteReference"/>
        </w:rPr>
        <w:footnoteRef/>
      </w:r>
      <w:r w:rsidRPr="004A357C">
        <w:t xml:space="preserve"> </w:t>
      </w:r>
      <w:r w:rsidR="0034682E" w:rsidRPr="004A357C">
        <w:t>The feedback received from stakeholders has been summarised in the table below for the purpose of clarity and brevity. Whil</w:t>
      </w:r>
      <w:r w:rsidR="0034682E">
        <w:t>e</w:t>
      </w:r>
      <w:r w:rsidR="0034682E" w:rsidRPr="004A357C">
        <w:t xml:space="preserve"> efforts have been made to capture the essential content and key themes, these summaries may not fully reflect the nuances and particulars of the original feedback.</w:t>
      </w:r>
    </w:p>
  </w:footnote>
  <w:footnote w:id="109">
    <w:p w14:paraId="00002A4B" w14:textId="650420AE" w:rsidR="00CD47C8" w:rsidRPr="004A357C" w:rsidRDefault="00CD47C8">
      <w:pPr>
        <w:pStyle w:val="FootnoteText"/>
      </w:pPr>
      <w:r w:rsidRPr="004A357C">
        <w:rPr>
          <w:rStyle w:val="FootnoteReference"/>
        </w:rPr>
        <w:footnoteRef/>
      </w:r>
      <w:r w:rsidRPr="004A357C">
        <w:t xml:space="preserve"> </w:t>
      </w:r>
      <w:r w:rsidR="00177AC4" w:rsidRPr="004A357C">
        <w:t>Department of Health, Disability and Ageing, PHI 05/25 – Outcome of Consultation Papers 8a and 8b, 9 January 2025.</w:t>
      </w:r>
      <w:r w:rsidRPr="004A357C">
        <w:t xml:space="preserve"> https://www.health.gov.au/news/phi-circulars/phi-0525-outcome-of-consultation-papers-8a-and-8b</w:t>
      </w:r>
      <w:r w:rsidR="00177AC4" w:rsidRPr="004A357C">
        <w:t>.</w:t>
      </w:r>
    </w:p>
  </w:footnote>
  <w:footnote w:id="110">
    <w:p w14:paraId="24231C70" w14:textId="4457468F" w:rsidR="00907C77" w:rsidRPr="004A357C" w:rsidRDefault="00907C77" w:rsidP="00907C77">
      <w:pPr>
        <w:pStyle w:val="FootnoteText"/>
      </w:pPr>
      <w:r w:rsidRPr="004A357C">
        <w:rPr>
          <w:rStyle w:val="FootnoteReference"/>
        </w:rPr>
        <w:footnoteRef/>
      </w:r>
      <w:r w:rsidRPr="004A357C">
        <w:t xml:space="preserve"> Department of Health</w:t>
      </w:r>
      <w:r w:rsidR="007818BD" w:rsidRPr="004A357C">
        <w:t>, Disability</w:t>
      </w:r>
      <w:r w:rsidRPr="004A357C">
        <w:t xml:space="preserve"> and </w:t>
      </w:r>
      <w:r w:rsidR="007818BD" w:rsidRPr="004A357C">
        <w:t xml:space="preserve">Ageing, </w:t>
      </w:r>
      <w:r w:rsidR="00AB41D7" w:rsidRPr="004A357C">
        <w:t>Prescribed</w:t>
      </w:r>
      <w:r w:rsidRPr="004A357C">
        <w:t xml:space="preserve"> List Compliance Strategy</w:t>
      </w:r>
      <w:r w:rsidR="00AB41D7" w:rsidRPr="004A357C">
        <w:t xml:space="preserve"> – Safeguarding the Prescribed List, 18 May</w:t>
      </w:r>
      <w:r w:rsidRPr="004A357C">
        <w:t xml:space="preserve"> 2023. </w:t>
      </w:r>
      <w:r w:rsidR="006A2A99" w:rsidRPr="004A357C">
        <w:t>https://www.health.gov.au/resources/publications/prescribed-list-compliance-strategy-safeguarding-the-prescribed-list</w:t>
      </w:r>
    </w:p>
  </w:footnote>
  <w:footnote w:id="111">
    <w:p w14:paraId="3F53AF77" w14:textId="77777777" w:rsidR="007D4707" w:rsidRPr="004A357C" w:rsidRDefault="007D4707">
      <w:pPr>
        <w:pStyle w:val="FootnoteText"/>
      </w:pPr>
      <w:r w:rsidRPr="004A357C">
        <w:rPr>
          <w:rStyle w:val="FootnoteReference"/>
        </w:rPr>
        <w:footnoteRef/>
      </w:r>
      <w:r w:rsidRPr="004A357C">
        <w:t xml:space="preserve"> </w:t>
      </w:r>
      <w:r w:rsidR="007F1B89" w:rsidRPr="004A357C">
        <w:t>Department</w:t>
      </w:r>
      <w:r w:rsidR="00897AD6" w:rsidRPr="004A357C">
        <w:t xml:space="preserve"> of </w:t>
      </w:r>
      <w:r w:rsidR="007F1B89" w:rsidRPr="004A357C">
        <w:t>Health</w:t>
      </w:r>
      <w:r w:rsidR="00897AD6" w:rsidRPr="004A357C">
        <w:t xml:space="preserve">, Disability and Ageing, Prostheses List Compliance Strategy, </w:t>
      </w:r>
      <w:r w:rsidR="007F1B89" w:rsidRPr="004A357C">
        <w:t xml:space="preserve">2022. </w:t>
      </w:r>
    </w:p>
  </w:footnote>
  <w:footnote w:id="112">
    <w:p w14:paraId="2D957ED0" w14:textId="77777777" w:rsidR="000B1883" w:rsidRDefault="000B1883" w:rsidP="000B1883">
      <w:pPr>
        <w:pStyle w:val="FootnoteText"/>
      </w:pPr>
      <w:r>
        <w:rPr>
          <w:rStyle w:val="FootnoteReference"/>
        </w:rPr>
        <w:footnoteRef/>
      </w:r>
      <w:r>
        <w:t xml:space="preserve"> Department of Health, Disability and Ageing,</w:t>
      </w:r>
      <w:r w:rsidRPr="00CA23A4">
        <w:t xml:space="preserve"> Prescribed List Compliance Strategy – Safeguarding the Prescribed List</w:t>
      </w:r>
      <w:r>
        <w:t xml:space="preserve">, </w:t>
      </w:r>
      <w:r w:rsidRPr="00CA23A4">
        <w:t>https://www.health.gov.au/resources/publications/prescribed-list-compliance-strategy-safeguarding-the-prescribed-list</w:t>
      </w:r>
      <w:r>
        <w:t>, accessed 19 September 2025.</w:t>
      </w:r>
    </w:p>
  </w:footnote>
  <w:footnote w:id="113">
    <w:p w14:paraId="53650D96" w14:textId="0362BF09" w:rsidR="00FE37F7" w:rsidRPr="004A357C" w:rsidRDefault="00FE37F7">
      <w:pPr>
        <w:pStyle w:val="FootnoteText"/>
      </w:pPr>
      <w:r w:rsidRPr="004A357C">
        <w:rPr>
          <w:rStyle w:val="FootnoteReference"/>
        </w:rPr>
        <w:footnoteRef/>
      </w:r>
      <w:r w:rsidRPr="004A357C">
        <w:t xml:space="preserve"> Department of Health, Disability and Ageing, PHI 05/25 – Outcome of Consultation Papers 8a and 8b, 9 January 2025. https://www.health.gov.au/news/phi-circulars/phi-0525-outcome-of-consultation-papers-8a-and-8b.</w:t>
      </w:r>
    </w:p>
  </w:footnote>
  <w:footnote w:id="114">
    <w:p w14:paraId="5424543B" w14:textId="4495597E" w:rsidR="00AC129C" w:rsidRPr="004A357C" w:rsidRDefault="00AC129C">
      <w:pPr>
        <w:pStyle w:val="FootnoteText"/>
      </w:pPr>
      <w:r w:rsidRPr="004A357C">
        <w:rPr>
          <w:rStyle w:val="FootnoteReference"/>
        </w:rPr>
        <w:footnoteRef/>
      </w:r>
      <w:r w:rsidRPr="004A357C">
        <w:t xml:space="preserve"> Stakeholder input to the evaluation, 2025.</w:t>
      </w:r>
    </w:p>
  </w:footnote>
  <w:footnote w:id="115">
    <w:p w14:paraId="7877499F" w14:textId="2929938D" w:rsidR="008F2B96" w:rsidRPr="004A357C" w:rsidRDefault="008F2B96">
      <w:pPr>
        <w:pStyle w:val="FootnoteText"/>
      </w:pPr>
      <w:r w:rsidRPr="004A357C">
        <w:rPr>
          <w:rStyle w:val="FootnoteReference"/>
        </w:rPr>
        <w:footnoteRef/>
      </w:r>
      <w:r w:rsidRPr="004A357C">
        <w:t xml:space="preserve"> Stakeholder input to the evaluation, 2025.</w:t>
      </w:r>
    </w:p>
  </w:footnote>
  <w:footnote w:id="116">
    <w:p w14:paraId="204A1D11" w14:textId="4373D18F" w:rsidR="003E7D14" w:rsidRPr="004A357C" w:rsidRDefault="003E7D14">
      <w:pPr>
        <w:pStyle w:val="FootnoteText"/>
      </w:pPr>
      <w:r w:rsidRPr="004A357C">
        <w:rPr>
          <w:rStyle w:val="FootnoteReference"/>
        </w:rPr>
        <w:footnoteRef/>
      </w:r>
      <w:r w:rsidRPr="004A357C">
        <w:t xml:space="preserve"> </w:t>
      </w:r>
      <w:r w:rsidR="00260488" w:rsidRPr="004A357C">
        <w:t>The feedback received from stakeholders has been summarised in the table below for the purpose of clarity and brevity. Whil</w:t>
      </w:r>
      <w:r w:rsidR="00260488">
        <w:t>e</w:t>
      </w:r>
      <w:r w:rsidR="00260488" w:rsidRPr="004A357C">
        <w:t xml:space="preserve"> efforts have been made to capture the essential content and key themes, these summaries may not fully reflect the nuances and particulars of the original feedback.</w:t>
      </w:r>
    </w:p>
  </w:footnote>
  <w:footnote w:id="117">
    <w:p w14:paraId="5AAC792D" w14:textId="59C2AF2F" w:rsidR="00AB5010" w:rsidRPr="004A357C" w:rsidRDefault="00AB5010">
      <w:pPr>
        <w:pStyle w:val="FootnoteText"/>
      </w:pPr>
      <w:r w:rsidRPr="004A357C">
        <w:rPr>
          <w:rStyle w:val="FootnoteReference"/>
        </w:rPr>
        <w:footnoteRef/>
      </w:r>
      <w:r w:rsidRPr="004A357C">
        <w:t xml:space="preserve"> There is no cost recovery fees and charges for Part B applications (human tissue products) and billing codes listed under Part B are exempt from the levy.</w:t>
      </w:r>
    </w:p>
  </w:footnote>
  <w:footnote w:id="118">
    <w:p w14:paraId="537D71E6" w14:textId="4AF9C9DB" w:rsidR="00AB5010" w:rsidRPr="004A357C" w:rsidRDefault="00AB5010">
      <w:pPr>
        <w:pStyle w:val="FootnoteText"/>
      </w:pPr>
      <w:r w:rsidRPr="004A357C">
        <w:rPr>
          <w:rStyle w:val="FootnoteReference"/>
        </w:rPr>
        <w:footnoteRef/>
      </w:r>
      <w:r w:rsidRPr="004A357C">
        <w:t xml:space="preserve"> </w:t>
      </w:r>
      <w:r w:rsidR="007B7368" w:rsidRPr="004A357C">
        <w:t>Department of Health, Disability and Ageing, Cost recovery fees and charges for the Prescribed List, 3 July 2025.</w:t>
      </w:r>
      <w:r w:rsidRPr="004A357C">
        <w:t xml:space="preserve"> https://www.health.gov.au/our-work/the-prescribed-list/cost-recovery</w:t>
      </w:r>
      <w:r w:rsidR="007B7368" w:rsidRPr="004A357C">
        <w:t>.</w:t>
      </w:r>
    </w:p>
  </w:footnote>
  <w:footnote w:id="119">
    <w:p w14:paraId="36628D6D" w14:textId="77777777" w:rsidR="00D8493A" w:rsidRPr="004A357C" w:rsidRDefault="00D8493A" w:rsidP="00D8493A">
      <w:pPr>
        <w:pStyle w:val="FootnoteText"/>
      </w:pPr>
      <w:r w:rsidRPr="004A357C">
        <w:rPr>
          <w:rStyle w:val="FootnoteReference"/>
        </w:rPr>
        <w:footnoteRef/>
      </w:r>
      <w:r w:rsidRPr="004A357C">
        <w:t xml:space="preserve"> Ibid.</w:t>
      </w:r>
    </w:p>
  </w:footnote>
  <w:footnote w:id="120">
    <w:p w14:paraId="5755F500" w14:textId="57656A8E" w:rsidR="00393032" w:rsidRPr="00393032" w:rsidRDefault="00393032">
      <w:pPr>
        <w:pStyle w:val="FootnoteText"/>
        <w:rPr>
          <w:lang w:val="en-US"/>
        </w:rPr>
      </w:pPr>
      <w:r>
        <w:rPr>
          <w:rStyle w:val="FootnoteReference"/>
        </w:rPr>
        <w:footnoteRef/>
      </w:r>
      <w:r>
        <w:t xml:space="preserve"> </w:t>
      </w:r>
      <w:r w:rsidR="005434FA">
        <w:t xml:space="preserve">Federal Register of Legislation. </w:t>
      </w:r>
      <w:r w:rsidR="005434FA">
        <w:rPr>
          <w:lang w:val="en-US"/>
        </w:rPr>
        <w:t xml:space="preserve">Private Health Insurance (Medical Devices and Human Tissue Products Levy) Rules 2025. </w:t>
      </w:r>
      <w:r w:rsidR="008F5FB4" w:rsidRPr="008F5FB4">
        <w:rPr>
          <w:lang w:val="en-US"/>
        </w:rPr>
        <w:t>https://www.legislation.gov.au/F2025L00284/asmade/text</w:t>
      </w:r>
    </w:p>
  </w:footnote>
  <w:footnote w:id="121">
    <w:p w14:paraId="420BECBF" w14:textId="0F4F9636" w:rsidR="003E5524" w:rsidRPr="004A357C" w:rsidRDefault="003E5524">
      <w:pPr>
        <w:pStyle w:val="FootnoteText"/>
      </w:pPr>
      <w:r w:rsidRPr="004A357C">
        <w:rPr>
          <w:rStyle w:val="FootnoteReference"/>
        </w:rPr>
        <w:footnoteRef/>
      </w:r>
      <w:r w:rsidRPr="004A357C">
        <w:t xml:space="preserve"> Department of Health, Disability and Ageing, PHI 12/24 – Updates to the 2024-35 Prescribed List CRIS and cost recovery levy, 10 February 2025. https://www.health.gov.au/news/phi-circulars/phi-1225-updates-to-the-2024-25-prescribed-list-cris-and-cost-recovery-levy.</w:t>
      </w:r>
    </w:p>
  </w:footnote>
  <w:footnote w:id="122">
    <w:p w14:paraId="5A2D15DD" w14:textId="4359359E" w:rsidR="007F6618" w:rsidRPr="004A357C" w:rsidRDefault="007F6618">
      <w:pPr>
        <w:pStyle w:val="FootnoteText"/>
      </w:pPr>
      <w:r w:rsidRPr="004A357C">
        <w:rPr>
          <w:rStyle w:val="FootnoteReference"/>
        </w:rPr>
        <w:footnoteRef/>
      </w:r>
      <w:r w:rsidRPr="004A357C">
        <w:t xml:space="preserve"> </w:t>
      </w:r>
      <w:r w:rsidR="003E5524" w:rsidRPr="004A357C">
        <w:t>Ibid.</w:t>
      </w:r>
    </w:p>
  </w:footnote>
  <w:footnote w:id="123">
    <w:p w14:paraId="526FA47A" w14:textId="77777777" w:rsidR="008535A8" w:rsidRPr="004A357C" w:rsidRDefault="008535A8" w:rsidP="008535A8">
      <w:pPr>
        <w:pStyle w:val="FootnoteText"/>
      </w:pPr>
      <w:r w:rsidRPr="004A357C">
        <w:rPr>
          <w:rStyle w:val="FootnoteReference"/>
        </w:rPr>
        <w:footnoteRef/>
      </w:r>
      <w:r w:rsidRPr="004A357C">
        <w:t xml:space="preserve"> Department of Health, Disability and Ageing, Regulation Impact Statement (RIS): Improving the Private Health Insurance Prostheses List, 2021.</w:t>
      </w:r>
    </w:p>
  </w:footnote>
  <w:footnote w:id="124">
    <w:p w14:paraId="2005C4FF" w14:textId="77777777" w:rsidR="008535A8" w:rsidRPr="004A357C" w:rsidRDefault="008535A8" w:rsidP="008535A8">
      <w:pPr>
        <w:pStyle w:val="FootnoteText"/>
      </w:pPr>
      <w:r w:rsidRPr="004A357C">
        <w:rPr>
          <w:rStyle w:val="FootnoteReference"/>
        </w:rPr>
        <w:footnoteRef/>
      </w:r>
      <w:r w:rsidRPr="004A357C">
        <w:t xml:space="preserve"> Department of Health, Disability and Ageing, Cost Recovery Implementation Statement: Administration of the Prescribed List of Medical Devices and Human Tissue Products 1 July 2025 to 30 June 2026, Version 1.1. </w:t>
      </w:r>
    </w:p>
  </w:footnote>
  <w:footnote w:id="125">
    <w:p w14:paraId="18633AF6" w14:textId="77777777" w:rsidR="008535A8" w:rsidRPr="004A357C" w:rsidRDefault="008535A8" w:rsidP="008535A8">
      <w:pPr>
        <w:pStyle w:val="FootnoteText"/>
      </w:pPr>
      <w:r w:rsidRPr="004A357C">
        <w:rPr>
          <w:rStyle w:val="FootnoteReference"/>
        </w:rPr>
        <w:footnoteRef/>
      </w:r>
      <w:r w:rsidRPr="004A357C">
        <w:t xml:space="preserve"> Ibid.</w:t>
      </w:r>
    </w:p>
  </w:footnote>
  <w:footnote w:id="126">
    <w:p w14:paraId="31D9BE6B" w14:textId="77777777" w:rsidR="008535A8" w:rsidRPr="004A357C" w:rsidRDefault="008535A8" w:rsidP="008535A8">
      <w:pPr>
        <w:pStyle w:val="FootnoteText"/>
      </w:pPr>
      <w:r w:rsidRPr="004A357C">
        <w:rPr>
          <w:rStyle w:val="FootnoteReference"/>
        </w:rPr>
        <w:footnoteRef/>
      </w:r>
      <w:r w:rsidRPr="004A357C">
        <w:t xml:space="preserve"> Ibid. </w:t>
      </w:r>
    </w:p>
  </w:footnote>
  <w:footnote w:id="127">
    <w:p w14:paraId="6F5FF3B1" w14:textId="6196BDE7" w:rsidR="00897771" w:rsidRPr="004A357C" w:rsidRDefault="00897771">
      <w:pPr>
        <w:pStyle w:val="FootnoteText"/>
      </w:pPr>
      <w:r w:rsidRPr="004A357C">
        <w:rPr>
          <w:rStyle w:val="FootnoteReference"/>
        </w:rPr>
        <w:footnoteRef/>
      </w:r>
      <w:r w:rsidRPr="004A357C">
        <w:t xml:space="preserve"> </w:t>
      </w:r>
      <w:r w:rsidR="00561024" w:rsidRPr="004A357C">
        <w:t>Confirmed in consultation as an interim arrangement that is ongoing as of June 2025.</w:t>
      </w:r>
    </w:p>
  </w:footnote>
  <w:footnote w:id="128">
    <w:p w14:paraId="2D5D9E03" w14:textId="62E3FA56" w:rsidR="003E7D14" w:rsidRPr="004A357C" w:rsidRDefault="003E7D14">
      <w:pPr>
        <w:pStyle w:val="FootnoteText"/>
      </w:pPr>
      <w:r w:rsidRPr="004A357C">
        <w:rPr>
          <w:rStyle w:val="FootnoteReference"/>
        </w:rPr>
        <w:footnoteRef/>
      </w:r>
      <w:r w:rsidRPr="004A357C">
        <w:t xml:space="preserve"> </w:t>
      </w:r>
      <w:r w:rsidR="0034682E" w:rsidRPr="004A357C">
        <w:t>The feedback received from stakeholders has been summarised in the table below for the purpose of clarity and brevity. Whil</w:t>
      </w:r>
      <w:r w:rsidR="0034682E">
        <w:t>e</w:t>
      </w:r>
      <w:r w:rsidR="0034682E" w:rsidRPr="004A357C">
        <w:t xml:space="preserve"> efforts have been made to capture the essential content and key themes, these summaries may not fully reflect the nuances and particulars of the original feedback.</w:t>
      </w:r>
    </w:p>
  </w:footnote>
  <w:footnote w:id="129">
    <w:p w14:paraId="5BB95D31" w14:textId="36C39E91" w:rsidR="003D325A" w:rsidRPr="004A357C" w:rsidRDefault="003D325A">
      <w:pPr>
        <w:pStyle w:val="FootnoteText"/>
      </w:pPr>
      <w:r w:rsidRPr="004A357C">
        <w:rPr>
          <w:rStyle w:val="FootnoteReference"/>
        </w:rPr>
        <w:footnoteRef/>
      </w:r>
      <w:r w:rsidRPr="004A357C">
        <w:t xml:space="preserve"> </w:t>
      </w:r>
      <w:r w:rsidR="009B300B" w:rsidRPr="004A357C">
        <w:t xml:space="preserve">Data supplied by the Department, </w:t>
      </w:r>
      <w:r w:rsidR="008545A3">
        <w:t xml:space="preserve">31 July </w:t>
      </w:r>
      <w:r w:rsidR="009B300B" w:rsidRPr="004A357C">
        <w:t>2025.</w:t>
      </w:r>
      <w:r w:rsidR="00C8576F" w:rsidRPr="004A357C">
        <w:t xml:space="preserve"> </w:t>
      </w:r>
      <w:r w:rsidR="006128AD" w:rsidRPr="004A357C">
        <w:t>For indicators 1 and 2, the evaluation has used ‘benefit groups’ to refer to all items within a category, sub-category, group and sub-group that share the same benefit, within $2 (e.g., two items in A.01.01.01.01 with a benefit of $100 are considered as being in one benefit group, even if they have different suffix values). This is to align with IHACPA’s methodology for calculating the Weighted Average Prices and benefit reductions.</w:t>
      </w:r>
    </w:p>
  </w:footnote>
  <w:footnote w:id="130">
    <w:p w14:paraId="16170803" w14:textId="7FE6FE65" w:rsidR="00A14CFD" w:rsidRPr="004A357C" w:rsidRDefault="00A14CFD">
      <w:pPr>
        <w:pStyle w:val="FootnoteText"/>
      </w:pPr>
      <w:r w:rsidRPr="004A357C">
        <w:rPr>
          <w:rStyle w:val="FootnoteReference"/>
        </w:rPr>
        <w:footnoteRef/>
      </w:r>
      <w:r w:rsidRPr="004A357C">
        <w:t xml:space="preserve"> Evaluation team conversations with the Department, 2024.</w:t>
      </w:r>
      <w:r w:rsidR="00CE31BE" w:rsidRPr="004A357C">
        <w:t xml:space="preserve"> Additional factors included historical billing code changes, corrections to an error on the August 2022 PL update (~$1.6 million adjustment), and corrections to fix some date-related errors. The parameters </w:t>
      </w:r>
      <w:r w:rsidR="009F6DCA" w:rsidRPr="004A357C">
        <w:t>and advice given to IHACPA has not been shared with the evaluation.</w:t>
      </w:r>
    </w:p>
  </w:footnote>
  <w:footnote w:id="131">
    <w:p w14:paraId="3DC1DBC6" w14:textId="0C6110E9" w:rsidR="00C90CED" w:rsidRPr="004A357C" w:rsidRDefault="00C90CED" w:rsidP="00C90CED">
      <w:pPr>
        <w:pStyle w:val="FootnoteText"/>
      </w:pPr>
      <w:r w:rsidRPr="004A357C">
        <w:rPr>
          <w:rStyle w:val="FootnoteReference"/>
        </w:rPr>
        <w:footnoteRef/>
      </w:r>
      <w:r w:rsidRPr="004A357C">
        <w:t xml:space="preserve"> Department of Health</w:t>
      </w:r>
      <w:r w:rsidR="003512CD" w:rsidRPr="004A357C">
        <w:t>, Disability</w:t>
      </w:r>
      <w:r w:rsidRPr="004A357C">
        <w:t xml:space="preserve"> and </w:t>
      </w:r>
      <w:r w:rsidR="003512CD" w:rsidRPr="004A357C">
        <w:t>Ageing</w:t>
      </w:r>
      <w:r w:rsidRPr="004A357C">
        <w:t>, Interim Evaluation #1 of the Prescribed List Reforms, 2024, https://www.health.gov.au/resources/publications/interim-evaluation-1-of-the-prescribed-list-reforms?language=en.</w:t>
      </w:r>
    </w:p>
  </w:footnote>
  <w:footnote w:id="132">
    <w:p w14:paraId="79716A8C" w14:textId="341C255E" w:rsidR="009A1FC8" w:rsidRPr="004A357C" w:rsidRDefault="009A1FC8">
      <w:pPr>
        <w:pStyle w:val="FootnoteText"/>
      </w:pPr>
      <w:r w:rsidRPr="004A357C">
        <w:rPr>
          <w:rStyle w:val="FootnoteReference"/>
        </w:rPr>
        <w:footnoteRef/>
      </w:r>
      <w:r w:rsidRPr="004A357C">
        <w:t xml:space="preserve"> Independent Health and Aged Care Pricing Authority, Updated estimates of projected benefits and savings associated with Prescribed List reforms, 13 December 2023.</w:t>
      </w:r>
    </w:p>
  </w:footnote>
  <w:footnote w:id="133">
    <w:p w14:paraId="26876CE9" w14:textId="0ECC71DF" w:rsidR="00F065B8" w:rsidRDefault="00F065B8">
      <w:pPr>
        <w:pStyle w:val="FootnoteText"/>
      </w:pPr>
      <w:r>
        <w:rPr>
          <w:rStyle w:val="FootnoteReference"/>
        </w:rPr>
        <w:footnoteRef/>
      </w:r>
      <w:r>
        <w:t xml:space="preserve"> </w:t>
      </w:r>
      <w:r w:rsidR="0011535E" w:rsidRPr="0011535E">
        <w:t>Independent Health and Aged Care Pricing Authority, Analysis on prescribed list benefit reductions for general use items (GUIs) and projected savings, 20 January 2025.</w:t>
      </w:r>
    </w:p>
  </w:footnote>
  <w:footnote w:id="134">
    <w:p w14:paraId="1BA9FCC6" w14:textId="351D6F86" w:rsidR="00D27A39" w:rsidRPr="004A357C" w:rsidRDefault="00D27A39">
      <w:pPr>
        <w:pStyle w:val="FootnoteText"/>
      </w:pPr>
      <w:r w:rsidRPr="004A357C">
        <w:rPr>
          <w:rStyle w:val="FootnoteReference"/>
        </w:rPr>
        <w:footnoteRef/>
      </w:r>
      <w:r w:rsidRPr="004A357C">
        <w:t xml:space="preserve"> Data supplied by the Department, </w:t>
      </w:r>
      <w:r w:rsidR="00156B70">
        <w:t>31</w:t>
      </w:r>
      <w:r w:rsidRPr="004A357C">
        <w:t xml:space="preserve"> </w:t>
      </w:r>
      <w:r w:rsidR="00156B70">
        <w:t>July</w:t>
      </w:r>
      <w:r w:rsidRPr="004A357C">
        <w:t xml:space="preserve"> 2025. Comparison made to baseline figures.</w:t>
      </w:r>
    </w:p>
  </w:footnote>
  <w:footnote w:id="135">
    <w:p w14:paraId="7E2A30CF" w14:textId="43759F2D" w:rsidR="0038467C" w:rsidRPr="004A357C" w:rsidRDefault="0038467C">
      <w:pPr>
        <w:pStyle w:val="FootnoteText"/>
      </w:pPr>
      <w:r w:rsidRPr="004A357C">
        <w:rPr>
          <w:rStyle w:val="FootnoteReference"/>
        </w:rPr>
        <w:footnoteRef/>
      </w:r>
      <w:r w:rsidRPr="004A357C">
        <w:t xml:space="preserve"> </w:t>
      </w:r>
      <w:proofErr w:type="spellStart"/>
      <w:r w:rsidR="00FC1995" w:rsidRPr="004A357C">
        <w:t>l'Assurance</w:t>
      </w:r>
      <w:proofErr w:type="spellEnd"/>
      <w:r w:rsidR="00FC1995" w:rsidRPr="004A357C">
        <w:t xml:space="preserve"> </w:t>
      </w:r>
      <w:proofErr w:type="spellStart"/>
      <w:r w:rsidR="00FC1995" w:rsidRPr="004A357C">
        <w:t>Maladie</w:t>
      </w:r>
      <w:proofErr w:type="spellEnd"/>
      <w:r w:rsidR="00FC1995" w:rsidRPr="004A357C">
        <w:t xml:space="preserve">, </w:t>
      </w:r>
      <w:proofErr w:type="spellStart"/>
      <w:r w:rsidR="00FC1995" w:rsidRPr="004A357C">
        <w:t>Liste</w:t>
      </w:r>
      <w:proofErr w:type="spellEnd"/>
      <w:r w:rsidR="00FC1995" w:rsidRPr="004A357C">
        <w:t xml:space="preserve"> des Produits et Prestations, http://www.codage.ext.cnamts.fr/codif/tips/index.php?p_site=AMELI. The Liste des Produits et Prestations (LPP) is a list of medical device and human tissue products that guides reimbursement for the French national health insurance system. It has a comparable scope to the PL and it prices products at a higher level of grouping than the PL.</w:t>
      </w:r>
    </w:p>
  </w:footnote>
  <w:footnote w:id="136">
    <w:p w14:paraId="0B7C6B7E" w14:textId="44AE4104" w:rsidR="00263E20" w:rsidRPr="004A357C" w:rsidRDefault="00263E20">
      <w:pPr>
        <w:pStyle w:val="FootnoteText"/>
      </w:pPr>
      <w:r w:rsidRPr="004A357C">
        <w:rPr>
          <w:rStyle w:val="FootnoteReference"/>
        </w:rPr>
        <w:footnoteRef/>
      </w:r>
      <w:r w:rsidRPr="004A357C">
        <w:t xml:space="preserve"> Pharmac, Hospital Medical Devices Schedule, </w:t>
      </w:r>
      <w:r w:rsidR="006553F7" w:rsidRPr="004A357C">
        <w:t>multiple</w:t>
      </w:r>
      <w:r w:rsidRPr="004A357C">
        <w:t xml:space="preserve"> editions. The Pharmac Hospital Medical Devices Schedule (Pharmac) is a list of contracted medical devices products for New Zealand public hospitals. It has a narrower scope than the PL </w:t>
      </w:r>
      <w:r w:rsidR="006553F7" w:rsidRPr="004A357C">
        <w:t xml:space="preserve">at baseline, </w:t>
      </w:r>
      <w:r w:rsidRPr="004A357C">
        <w:t>and it prices products on an individual basis, not in concert with equivalent products within a group like the PL and LPP.</w:t>
      </w:r>
    </w:p>
  </w:footnote>
  <w:footnote w:id="137">
    <w:p w14:paraId="3EEE1A6B" w14:textId="5BB265A2" w:rsidR="000E7B10" w:rsidRPr="004A357C" w:rsidRDefault="000E7B10">
      <w:pPr>
        <w:pStyle w:val="FootnoteText"/>
      </w:pPr>
      <w:r w:rsidRPr="004A357C">
        <w:rPr>
          <w:rStyle w:val="FootnoteReference"/>
        </w:rPr>
        <w:footnoteRef/>
      </w:r>
      <w:r w:rsidRPr="004A357C">
        <w:t xml:space="preserve"> Department of Health</w:t>
      </w:r>
      <w:r w:rsidR="003512CD" w:rsidRPr="004A357C">
        <w:t>, Disability</w:t>
      </w:r>
      <w:r w:rsidRPr="004A357C">
        <w:t xml:space="preserve"> and </w:t>
      </w:r>
      <w:r w:rsidR="003512CD" w:rsidRPr="004A357C">
        <w:t>Ageing</w:t>
      </w:r>
      <w:r w:rsidRPr="004A357C">
        <w:t>, Interim Evaluation #1 of the Prescribed List Reforms</w:t>
      </w:r>
      <w:r w:rsidR="00695453" w:rsidRPr="004A357C">
        <w:t>, 2024, https://www.health.gov.au/resources/publications/interim-evaluation-1-of-the-prescribed-list-reforms?language=en</w:t>
      </w:r>
      <w:r w:rsidR="00C6581E" w:rsidRPr="004A357C">
        <w:t>.</w:t>
      </w:r>
    </w:p>
  </w:footnote>
  <w:footnote w:id="138">
    <w:p w14:paraId="1DEEBF09" w14:textId="0BEEDA7C" w:rsidR="0089102A" w:rsidRPr="004A357C" w:rsidRDefault="0089102A">
      <w:pPr>
        <w:pStyle w:val="FootnoteText"/>
      </w:pPr>
      <w:r w:rsidRPr="004A357C">
        <w:rPr>
          <w:rStyle w:val="FootnoteReference"/>
        </w:rPr>
        <w:footnoteRef/>
      </w:r>
      <w:r w:rsidRPr="004A357C">
        <w:t xml:space="preserve"> </w:t>
      </w:r>
      <w:r w:rsidR="001A1510" w:rsidRPr="004A357C">
        <w:t>Department of Health</w:t>
      </w:r>
      <w:r w:rsidR="003512CD" w:rsidRPr="004A357C">
        <w:t>, Disability</w:t>
      </w:r>
      <w:r w:rsidR="001A1510" w:rsidRPr="004A357C">
        <w:t xml:space="preserve"> and </w:t>
      </w:r>
      <w:r w:rsidR="003512CD" w:rsidRPr="004A357C">
        <w:t>Ageing</w:t>
      </w:r>
      <w:r w:rsidR="001A1510" w:rsidRPr="004A357C">
        <w:t>, Prostheses List Part A (Prostheses), August 2016, August 2017, August 2018, August 2019, July 2020, July 2021, July 2022, July 2023 an</w:t>
      </w:r>
      <w:r w:rsidR="00951005" w:rsidRPr="004A357C">
        <w:t xml:space="preserve">d August </w:t>
      </w:r>
      <w:r w:rsidR="001A1510" w:rsidRPr="004A357C">
        <w:t xml:space="preserve">2024 editions; Pharmac, Hospital Medical Devices Schedule, July 2016, July 2017, July 2018, July 2019, July 2020, July 2021, July 2022, July 2023 and July 2024 editions; </w:t>
      </w:r>
      <w:proofErr w:type="spellStart"/>
      <w:r w:rsidR="001A1510" w:rsidRPr="004A357C">
        <w:t>l'Assurance</w:t>
      </w:r>
      <w:proofErr w:type="spellEnd"/>
      <w:r w:rsidR="001A1510" w:rsidRPr="004A357C">
        <w:t xml:space="preserve"> </w:t>
      </w:r>
      <w:proofErr w:type="spellStart"/>
      <w:r w:rsidR="001A1510" w:rsidRPr="004A357C">
        <w:t>Maladie</w:t>
      </w:r>
      <w:proofErr w:type="spellEnd"/>
      <w:r w:rsidR="001A1510" w:rsidRPr="004A357C">
        <w:t xml:space="preserve">, </w:t>
      </w:r>
      <w:proofErr w:type="spellStart"/>
      <w:r w:rsidR="001A1510" w:rsidRPr="004A357C">
        <w:t>Liste</w:t>
      </w:r>
      <w:proofErr w:type="spellEnd"/>
      <w:r w:rsidR="001A1510" w:rsidRPr="004A357C">
        <w:t xml:space="preserve"> des Produits et Prestations, http://www.codage.ext.cnamts.fr/codif/tips/index.php?p_site=AMELI.</w:t>
      </w:r>
    </w:p>
  </w:footnote>
  <w:footnote w:id="139">
    <w:p w14:paraId="009E6E77" w14:textId="0F7EC550" w:rsidR="004B39E4" w:rsidRPr="004A357C" w:rsidRDefault="004B39E4">
      <w:pPr>
        <w:pStyle w:val="FootnoteText"/>
      </w:pPr>
      <w:r w:rsidRPr="004A357C">
        <w:rPr>
          <w:rStyle w:val="FootnoteReference"/>
        </w:rPr>
        <w:footnoteRef/>
      </w:r>
      <w:r w:rsidRPr="004A357C">
        <w:t xml:space="preserve"> Ibid.</w:t>
      </w:r>
    </w:p>
  </w:footnote>
  <w:footnote w:id="140">
    <w:p w14:paraId="5D1E7B2E" w14:textId="2EB7DB30" w:rsidR="004B39E4" w:rsidRPr="004A357C" w:rsidRDefault="004B39E4">
      <w:pPr>
        <w:pStyle w:val="FootnoteText"/>
      </w:pPr>
      <w:r w:rsidRPr="004A357C">
        <w:rPr>
          <w:rStyle w:val="FootnoteReference"/>
        </w:rPr>
        <w:footnoteRef/>
      </w:r>
      <w:r w:rsidRPr="004A357C">
        <w:t xml:space="preserve"> Ibid.</w:t>
      </w:r>
    </w:p>
  </w:footnote>
  <w:footnote w:id="141">
    <w:p w14:paraId="657A8E4A" w14:textId="3D49784D" w:rsidR="007E4C69" w:rsidRPr="004A357C" w:rsidRDefault="007E4C69">
      <w:pPr>
        <w:pStyle w:val="FootnoteText"/>
      </w:pPr>
      <w:r w:rsidRPr="004A357C">
        <w:rPr>
          <w:rStyle w:val="FootnoteReference"/>
        </w:rPr>
        <w:footnoteRef/>
      </w:r>
      <w:r w:rsidRPr="004A357C">
        <w:t xml:space="preserve"> Department of Health</w:t>
      </w:r>
      <w:r w:rsidR="00EE1430" w:rsidRPr="004A357C">
        <w:t>, Disability</w:t>
      </w:r>
      <w:r w:rsidRPr="004A357C">
        <w:t xml:space="preserve"> and </w:t>
      </w:r>
      <w:r w:rsidR="00EE1430" w:rsidRPr="004A357C">
        <w:t>Ageing</w:t>
      </w:r>
      <w:r w:rsidRPr="004A357C">
        <w:t>, Hospital Casemix Protocol Dataset, 2025.</w:t>
      </w:r>
    </w:p>
  </w:footnote>
  <w:footnote w:id="142">
    <w:p w14:paraId="064990A3" w14:textId="5FC4B949" w:rsidR="00AD7A96" w:rsidRPr="004A357C" w:rsidRDefault="00AD7A96" w:rsidP="00AD7A96">
      <w:pPr>
        <w:pStyle w:val="FootnoteText"/>
      </w:pPr>
      <w:r w:rsidRPr="004A357C">
        <w:rPr>
          <w:rStyle w:val="FootnoteReference"/>
        </w:rPr>
        <w:footnoteRef/>
      </w:r>
      <w:r w:rsidRPr="004A357C">
        <w:t xml:space="preserve"> Department of Health</w:t>
      </w:r>
      <w:r w:rsidR="00EE1430" w:rsidRPr="004A357C">
        <w:t>, Disability</w:t>
      </w:r>
      <w:r w:rsidRPr="004A357C">
        <w:t xml:space="preserve"> and </w:t>
      </w:r>
      <w:r w:rsidR="00EE1430" w:rsidRPr="004A357C">
        <w:t>Ageing</w:t>
      </w:r>
      <w:r w:rsidRPr="004A357C">
        <w:t>, Hospital Casemix Protocol Dataset, 2025.</w:t>
      </w:r>
    </w:p>
  </w:footnote>
  <w:footnote w:id="143">
    <w:p w14:paraId="17B50649" w14:textId="77777777" w:rsidR="00AB7A80" w:rsidRPr="004A357C" w:rsidRDefault="00AB7A80" w:rsidP="00AB7A80">
      <w:pPr>
        <w:pStyle w:val="FootnoteText"/>
      </w:pPr>
      <w:r w:rsidRPr="004A357C">
        <w:rPr>
          <w:rStyle w:val="FootnoteReference"/>
        </w:rPr>
        <w:footnoteRef/>
      </w:r>
      <w:r w:rsidRPr="004A357C">
        <w:t xml:space="preserve"> Australia Prudential Regulation Authority, Annual private health insurance membership and benefit statistics, December 2024; Australia Prudential Regulation Authority, Annual private health insurance performance statistics database - 2023-24, December 2024 </w:t>
      </w:r>
      <w:r w:rsidRPr="004A357C">
        <w:rPr>
          <w:i/>
          <w:iCs/>
        </w:rPr>
        <w:t>(for FY24 HT premium revenue)</w:t>
      </w:r>
      <w:r w:rsidRPr="004A357C">
        <w:t xml:space="preserve">; Australian Prudential Regulation Authority, Operations of Private Health Insurers Annual Report; 2014-15 to 2022-23 editions </w:t>
      </w:r>
      <w:r w:rsidRPr="004A357C">
        <w:rPr>
          <w:i/>
          <w:iCs/>
        </w:rPr>
        <w:t>(for FY15-23 HT premium revenue)</w:t>
      </w:r>
      <w:r w:rsidRPr="004A357C">
        <w:t>.</w:t>
      </w:r>
    </w:p>
  </w:footnote>
  <w:footnote w:id="144">
    <w:p w14:paraId="7139024F" w14:textId="77777777" w:rsidR="00F84584" w:rsidRPr="004A357C" w:rsidRDefault="00F84584" w:rsidP="00F84584">
      <w:pPr>
        <w:pStyle w:val="FootnoteText"/>
      </w:pPr>
      <w:r w:rsidRPr="004A357C">
        <w:rPr>
          <w:rStyle w:val="FootnoteReference"/>
        </w:rPr>
        <w:footnoteRef/>
      </w:r>
      <w:r w:rsidRPr="004A357C">
        <w:t xml:space="preserve"> Australia Prudential Regulation Authority, Annual private health insurance membership and benefit statistics, December 2024; Australian Prudential Regulation Authority, Quarterly Private Health Insurance Medical Device </w:t>
      </w:r>
      <w:proofErr w:type="gramStart"/>
      <w:r w:rsidRPr="004A357C">
        <w:t>Or</w:t>
      </w:r>
      <w:proofErr w:type="gramEnd"/>
      <w:r w:rsidRPr="004A357C">
        <w:t xml:space="preserve"> Human Tissue Products, March 2025.</w:t>
      </w:r>
    </w:p>
  </w:footnote>
  <w:footnote w:id="145">
    <w:p w14:paraId="331A8A75" w14:textId="77777777" w:rsidR="00F84584" w:rsidRPr="004A357C" w:rsidRDefault="00F84584" w:rsidP="00F84584">
      <w:pPr>
        <w:pStyle w:val="FootnoteText"/>
      </w:pPr>
      <w:r w:rsidRPr="004A357C">
        <w:rPr>
          <w:rStyle w:val="FootnoteReference"/>
        </w:rPr>
        <w:footnoteRef/>
      </w:r>
      <w:r w:rsidRPr="004A357C">
        <w:t xml:space="preserve"> Utilisation is calculated by dividing HT prostheses benefits for each category by the average prostheses benefit across all categories for the relevant financial year, as APRA does not publish prostheses utilisation by age. HT population coverage for each age bracket is then divided by the utilisation figure to obtain the average.</w:t>
      </w:r>
    </w:p>
  </w:footnote>
  <w:footnote w:id="146">
    <w:p w14:paraId="6FCBBB99" w14:textId="7541BD01" w:rsidR="00433DE8" w:rsidRPr="004A357C" w:rsidRDefault="00433DE8">
      <w:pPr>
        <w:pStyle w:val="FootnoteText"/>
      </w:pPr>
      <w:r w:rsidRPr="004A357C">
        <w:rPr>
          <w:rStyle w:val="FootnoteReference"/>
        </w:rPr>
        <w:footnoteRef/>
      </w:r>
      <w:r w:rsidRPr="004A357C">
        <w:t xml:space="preserve"> </w:t>
      </w:r>
      <w:r w:rsidR="00317D5C" w:rsidRPr="004A357C">
        <w:t>Department of Health</w:t>
      </w:r>
      <w:r w:rsidR="003512CD" w:rsidRPr="004A357C">
        <w:t>, Disability</w:t>
      </w:r>
      <w:r w:rsidR="00317D5C" w:rsidRPr="004A357C">
        <w:t xml:space="preserve"> and </w:t>
      </w:r>
      <w:r w:rsidR="003512CD" w:rsidRPr="004A357C">
        <w:t>Ageing</w:t>
      </w:r>
      <w:r w:rsidR="00317D5C" w:rsidRPr="004A357C">
        <w:t>, Prostheses List Part A (Prostheses), Part B (Human Tissue), Part C (Other), and Part D (General Use Items), August 2024 edition.</w:t>
      </w:r>
    </w:p>
  </w:footnote>
  <w:footnote w:id="147">
    <w:p w14:paraId="033F33A3" w14:textId="7DDF08FD" w:rsidR="00845296" w:rsidRPr="004A357C" w:rsidRDefault="00845296">
      <w:pPr>
        <w:pStyle w:val="FootnoteText"/>
      </w:pPr>
      <w:r w:rsidRPr="004A357C">
        <w:rPr>
          <w:rStyle w:val="FootnoteReference"/>
        </w:rPr>
        <w:footnoteRef/>
      </w:r>
      <w:r w:rsidRPr="004A357C">
        <w:t xml:space="preserve"> Department of Health</w:t>
      </w:r>
      <w:r w:rsidR="003512CD" w:rsidRPr="004A357C">
        <w:t>, Disability</w:t>
      </w:r>
      <w:r w:rsidRPr="004A357C">
        <w:t xml:space="preserve"> and </w:t>
      </w:r>
      <w:r w:rsidR="003512CD" w:rsidRPr="004A357C">
        <w:t>Ageing</w:t>
      </w:r>
      <w:r w:rsidRPr="004A357C">
        <w:t>, Prostheses List Part A (Prostheses), Part C (Other), and Part D (General Use Items), August 2024 edition.</w:t>
      </w:r>
    </w:p>
  </w:footnote>
  <w:footnote w:id="148">
    <w:p w14:paraId="0E243EEE" w14:textId="2D61DB92" w:rsidR="0032303C" w:rsidRPr="004A357C" w:rsidRDefault="0032303C">
      <w:pPr>
        <w:pStyle w:val="FootnoteText"/>
      </w:pPr>
      <w:r w:rsidRPr="004A357C">
        <w:rPr>
          <w:rStyle w:val="FootnoteReference"/>
        </w:rPr>
        <w:footnoteRef/>
      </w:r>
      <w:r w:rsidRPr="004A357C">
        <w:t xml:space="preserve"> </w:t>
      </w:r>
      <w:r w:rsidR="00531ED5" w:rsidRPr="004A357C">
        <w:t>Ibid</w:t>
      </w:r>
      <w:r w:rsidRPr="004A357C">
        <w:t>.</w:t>
      </w:r>
      <w:r w:rsidR="00531ED5" w:rsidRPr="004A357C">
        <w:t xml:space="preserve"> The evaluation has used ‘benefit groups’ here to refer to all items within a category, sub-category, group and sub-group that share the same benefit.</w:t>
      </w:r>
    </w:p>
  </w:footnote>
  <w:footnote w:id="149">
    <w:p w14:paraId="1FC028EE" w14:textId="68B7CA32" w:rsidR="003B26A6" w:rsidRDefault="003B26A6">
      <w:pPr>
        <w:pStyle w:val="FootnoteText"/>
      </w:pPr>
      <w:r w:rsidRPr="004A357C">
        <w:rPr>
          <w:rStyle w:val="FootnoteReference"/>
        </w:rPr>
        <w:footnoteRef/>
      </w:r>
      <w:r w:rsidRPr="004A357C">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ECA4" w14:textId="77777777" w:rsidR="00865A27" w:rsidRPr="00602824" w:rsidRDefault="00FD1812">
    <w:r w:rsidRPr="00AC7E3F">
      <w:rPr>
        <w:noProof/>
        <w:sz w:val="20"/>
        <w:szCs w:val="20"/>
        <w:lang w:eastAsia="en-AU"/>
      </w:rPr>
      <w:drawing>
        <wp:anchor distT="0" distB="0" distL="114300" distR="114300" simplePos="0" relativeHeight="251658240" behindDoc="0" locked="0" layoutInCell="1" allowOverlap="1" wp14:anchorId="68CDFE86" wp14:editId="769CDBCC">
          <wp:simplePos x="0" y="0"/>
          <wp:positionH relativeFrom="page">
            <wp:posOffset>0</wp:posOffset>
          </wp:positionH>
          <wp:positionV relativeFrom="page">
            <wp:posOffset>0</wp:posOffset>
          </wp:positionV>
          <wp:extent cx="10753344" cy="114297"/>
          <wp:effectExtent l="0" t="0" r="0" b="63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2366558" cy="1314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C41"/>
    <w:multiLevelType w:val="multilevel"/>
    <w:tmpl w:val="4278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A31A2"/>
    <w:multiLevelType w:val="multilevel"/>
    <w:tmpl w:val="D876E1E6"/>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625D8B"/>
    <w:multiLevelType w:val="hybridMultilevel"/>
    <w:tmpl w:val="F4482672"/>
    <w:lvl w:ilvl="0" w:tplc="608E9972">
      <w:start w:val="1"/>
      <w:numFmt w:val="decimal"/>
      <w:pStyle w:val="Listnumbered"/>
      <w:lvlText w:val="%1."/>
      <w:lvlJc w:val="left"/>
      <w:pPr>
        <w:ind w:left="454" w:hanging="397"/>
      </w:pPr>
      <w:rPr>
        <w:rFonts w:hint="default"/>
      </w:rPr>
    </w:lvl>
    <w:lvl w:ilvl="1" w:tplc="0C090019">
      <w:start w:val="1"/>
      <w:numFmt w:val="lowerLetter"/>
      <w:lvlText w:val="%2."/>
      <w:lvlJc w:val="left"/>
      <w:pPr>
        <w:ind w:left="851" w:hanging="397"/>
      </w:pPr>
      <w:rPr>
        <w:rFonts w:hint="default"/>
      </w:rPr>
    </w:lvl>
    <w:lvl w:ilvl="2" w:tplc="0C09001B">
      <w:start w:val="1"/>
      <w:numFmt w:val="lowerRoman"/>
      <w:lvlText w:val="%3."/>
      <w:lvlJc w:val="right"/>
      <w:pPr>
        <w:ind w:left="1304" w:hanging="340"/>
      </w:pPr>
      <w:rPr>
        <w:rFonts w:hint="default"/>
      </w:rPr>
    </w:lvl>
    <w:lvl w:ilvl="3" w:tplc="0C09000F">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4" w15:restartNumberingAfterBreak="0">
    <w:nsid w:val="33B25EAB"/>
    <w:multiLevelType w:val="hybridMultilevel"/>
    <w:tmpl w:val="0E726FC8"/>
    <w:lvl w:ilvl="0" w:tplc="E160DFA0">
      <w:start w:val="1"/>
      <w:numFmt w:val="bullet"/>
      <w:lvlText w:val=""/>
      <w:lvlJc w:val="left"/>
      <w:pPr>
        <w:ind w:left="720" w:hanging="360"/>
      </w:pPr>
      <w:rPr>
        <w:rFonts w:ascii="Symbol" w:hAnsi="Symbol"/>
      </w:rPr>
    </w:lvl>
    <w:lvl w:ilvl="1" w:tplc="B476A0C2">
      <w:start w:val="1"/>
      <w:numFmt w:val="bullet"/>
      <w:lvlText w:val=""/>
      <w:lvlJc w:val="left"/>
      <w:pPr>
        <w:ind w:left="720" w:hanging="360"/>
      </w:pPr>
      <w:rPr>
        <w:rFonts w:ascii="Symbol" w:hAnsi="Symbol"/>
      </w:rPr>
    </w:lvl>
    <w:lvl w:ilvl="2" w:tplc="D9A0901C">
      <w:start w:val="1"/>
      <w:numFmt w:val="bullet"/>
      <w:lvlText w:val=""/>
      <w:lvlJc w:val="left"/>
      <w:pPr>
        <w:ind w:left="720" w:hanging="360"/>
      </w:pPr>
      <w:rPr>
        <w:rFonts w:ascii="Symbol" w:hAnsi="Symbol"/>
      </w:rPr>
    </w:lvl>
    <w:lvl w:ilvl="3" w:tplc="EED64D10">
      <w:start w:val="1"/>
      <w:numFmt w:val="bullet"/>
      <w:lvlText w:val=""/>
      <w:lvlJc w:val="left"/>
      <w:pPr>
        <w:ind w:left="720" w:hanging="360"/>
      </w:pPr>
      <w:rPr>
        <w:rFonts w:ascii="Symbol" w:hAnsi="Symbol"/>
      </w:rPr>
    </w:lvl>
    <w:lvl w:ilvl="4" w:tplc="E4AC4382">
      <w:start w:val="1"/>
      <w:numFmt w:val="bullet"/>
      <w:lvlText w:val=""/>
      <w:lvlJc w:val="left"/>
      <w:pPr>
        <w:ind w:left="720" w:hanging="360"/>
      </w:pPr>
      <w:rPr>
        <w:rFonts w:ascii="Symbol" w:hAnsi="Symbol"/>
      </w:rPr>
    </w:lvl>
    <w:lvl w:ilvl="5" w:tplc="48E03428">
      <w:start w:val="1"/>
      <w:numFmt w:val="bullet"/>
      <w:lvlText w:val=""/>
      <w:lvlJc w:val="left"/>
      <w:pPr>
        <w:ind w:left="720" w:hanging="360"/>
      </w:pPr>
      <w:rPr>
        <w:rFonts w:ascii="Symbol" w:hAnsi="Symbol"/>
      </w:rPr>
    </w:lvl>
    <w:lvl w:ilvl="6" w:tplc="5D420714">
      <w:start w:val="1"/>
      <w:numFmt w:val="bullet"/>
      <w:lvlText w:val=""/>
      <w:lvlJc w:val="left"/>
      <w:pPr>
        <w:ind w:left="720" w:hanging="360"/>
      </w:pPr>
      <w:rPr>
        <w:rFonts w:ascii="Symbol" w:hAnsi="Symbol"/>
      </w:rPr>
    </w:lvl>
    <w:lvl w:ilvl="7" w:tplc="DFD442AC">
      <w:start w:val="1"/>
      <w:numFmt w:val="bullet"/>
      <w:lvlText w:val=""/>
      <w:lvlJc w:val="left"/>
      <w:pPr>
        <w:ind w:left="720" w:hanging="360"/>
      </w:pPr>
      <w:rPr>
        <w:rFonts w:ascii="Symbol" w:hAnsi="Symbol"/>
      </w:rPr>
    </w:lvl>
    <w:lvl w:ilvl="8" w:tplc="425880B2">
      <w:start w:val="1"/>
      <w:numFmt w:val="bullet"/>
      <w:lvlText w:val=""/>
      <w:lvlJc w:val="left"/>
      <w:pPr>
        <w:ind w:left="720" w:hanging="360"/>
      </w:pPr>
      <w:rPr>
        <w:rFonts w:ascii="Symbol" w:hAnsi="Symbol"/>
      </w:rPr>
    </w:lvl>
  </w:abstractNum>
  <w:abstractNum w:abstractNumId="5"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D1413D"/>
    <w:multiLevelType w:val="multilevel"/>
    <w:tmpl w:val="D88C2EA4"/>
    <w:lvl w:ilvl="0">
      <w:start w:val="1"/>
      <w:numFmt w:val="bullet"/>
      <w:pStyle w:val="TableNBullet"/>
      <w:lvlText w:val=""/>
      <w:lvlJc w:val="left"/>
      <w:pPr>
        <w:ind w:left="227" w:hanging="227"/>
      </w:pPr>
      <w:rPr>
        <w:rFonts w:ascii="Symbol" w:hAnsi="Symbol" w:hint="default"/>
        <w:color w:val="auto"/>
        <w:position w:val="0"/>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3DC90EA3"/>
    <w:multiLevelType w:val="hybridMultilevel"/>
    <w:tmpl w:val="E16207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397D92"/>
    <w:multiLevelType w:val="hybridMultilevel"/>
    <w:tmpl w:val="FCB684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9E7808"/>
    <w:multiLevelType w:val="hybridMultilevel"/>
    <w:tmpl w:val="43023070"/>
    <w:lvl w:ilvl="0" w:tplc="AF643A74">
      <w:start w:val="1"/>
      <w:numFmt w:val="bullet"/>
      <w:lvlText w:val=""/>
      <w:lvlJc w:val="left"/>
      <w:pPr>
        <w:ind w:left="720" w:hanging="360"/>
      </w:pPr>
      <w:rPr>
        <w:rFonts w:ascii="Symbol" w:hAnsi="Symbol"/>
      </w:rPr>
    </w:lvl>
    <w:lvl w:ilvl="1" w:tplc="FEA0EBA6">
      <w:start w:val="1"/>
      <w:numFmt w:val="bullet"/>
      <w:lvlText w:val=""/>
      <w:lvlJc w:val="left"/>
      <w:pPr>
        <w:ind w:left="720" w:hanging="360"/>
      </w:pPr>
      <w:rPr>
        <w:rFonts w:ascii="Symbol" w:hAnsi="Symbol"/>
      </w:rPr>
    </w:lvl>
    <w:lvl w:ilvl="2" w:tplc="F1C0F0E6">
      <w:start w:val="1"/>
      <w:numFmt w:val="bullet"/>
      <w:lvlText w:val=""/>
      <w:lvlJc w:val="left"/>
      <w:pPr>
        <w:ind w:left="720" w:hanging="360"/>
      </w:pPr>
      <w:rPr>
        <w:rFonts w:ascii="Symbol" w:hAnsi="Symbol"/>
      </w:rPr>
    </w:lvl>
    <w:lvl w:ilvl="3" w:tplc="30987C08">
      <w:start w:val="1"/>
      <w:numFmt w:val="bullet"/>
      <w:lvlText w:val=""/>
      <w:lvlJc w:val="left"/>
      <w:pPr>
        <w:ind w:left="720" w:hanging="360"/>
      </w:pPr>
      <w:rPr>
        <w:rFonts w:ascii="Symbol" w:hAnsi="Symbol"/>
      </w:rPr>
    </w:lvl>
    <w:lvl w:ilvl="4" w:tplc="B76E9248">
      <w:start w:val="1"/>
      <w:numFmt w:val="bullet"/>
      <w:lvlText w:val=""/>
      <w:lvlJc w:val="left"/>
      <w:pPr>
        <w:ind w:left="720" w:hanging="360"/>
      </w:pPr>
      <w:rPr>
        <w:rFonts w:ascii="Symbol" w:hAnsi="Symbol"/>
      </w:rPr>
    </w:lvl>
    <w:lvl w:ilvl="5" w:tplc="478674DA">
      <w:start w:val="1"/>
      <w:numFmt w:val="bullet"/>
      <w:lvlText w:val=""/>
      <w:lvlJc w:val="left"/>
      <w:pPr>
        <w:ind w:left="720" w:hanging="360"/>
      </w:pPr>
      <w:rPr>
        <w:rFonts w:ascii="Symbol" w:hAnsi="Symbol"/>
      </w:rPr>
    </w:lvl>
    <w:lvl w:ilvl="6" w:tplc="46083866">
      <w:start w:val="1"/>
      <w:numFmt w:val="bullet"/>
      <w:lvlText w:val=""/>
      <w:lvlJc w:val="left"/>
      <w:pPr>
        <w:ind w:left="720" w:hanging="360"/>
      </w:pPr>
      <w:rPr>
        <w:rFonts w:ascii="Symbol" w:hAnsi="Symbol"/>
      </w:rPr>
    </w:lvl>
    <w:lvl w:ilvl="7" w:tplc="33327776">
      <w:start w:val="1"/>
      <w:numFmt w:val="bullet"/>
      <w:lvlText w:val=""/>
      <w:lvlJc w:val="left"/>
      <w:pPr>
        <w:ind w:left="720" w:hanging="360"/>
      </w:pPr>
      <w:rPr>
        <w:rFonts w:ascii="Symbol" w:hAnsi="Symbol"/>
      </w:rPr>
    </w:lvl>
    <w:lvl w:ilvl="8" w:tplc="8DE4C7A8">
      <w:start w:val="1"/>
      <w:numFmt w:val="bullet"/>
      <w:lvlText w:val=""/>
      <w:lvlJc w:val="left"/>
      <w:pPr>
        <w:ind w:left="720" w:hanging="360"/>
      </w:pPr>
      <w:rPr>
        <w:rFonts w:ascii="Symbol" w:hAnsi="Symbol"/>
      </w:rPr>
    </w:lvl>
  </w:abstractNum>
  <w:abstractNum w:abstractNumId="12" w15:restartNumberingAfterBreak="0">
    <w:nsid w:val="57FD5A7B"/>
    <w:multiLevelType w:val="hybridMultilevel"/>
    <w:tmpl w:val="DE5ACEC0"/>
    <w:lvl w:ilvl="0" w:tplc="114E255E">
      <w:start w:val="1"/>
      <w:numFmt w:val="bullet"/>
      <w:lvlText w:val=""/>
      <w:lvlJc w:val="left"/>
      <w:pPr>
        <w:ind w:left="1020" w:hanging="360"/>
      </w:pPr>
      <w:rPr>
        <w:rFonts w:ascii="Symbol" w:hAnsi="Symbol"/>
      </w:rPr>
    </w:lvl>
    <w:lvl w:ilvl="1" w:tplc="F110BBAA">
      <w:start w:val="1"/>
      <w:numFmt w:val="bullet"/>
      <w:lvlText w:val=""/>
      <w:lvlJc w:val="left"/>
      <w:pPr>
        <w:ind w:left="1020" w:hanging="360"/>
      </w:pPr>
      <w:rPr>
        <w:rFonts w:ascii="Symbol" w:hAnsi="Symbol"/>
      </w:rPr>
    </w:lvl>
    <w:lvl w:ilvl="2" w:tplc="FF90F114">
      <w:start w:val="1"/>
      <w:numFmt w:val="bullet"/>
      <w:lvlText w:val=""/>
      <w:lvlJc w:val="left"/>
      <w:pPr>
        <w:ind w:left="1020" w:hanging="360"/>
      </w:pPr>
      <w:rPr>
        <w:rFonts w:ascii="Symbol" w:hAnsi="Symbol"/>
      </w:rPr>
    </w:lvl>
    <w:lvl w:ilvl="3" w:tplc="4AFE4C1E">
      <w:start w:val="1"/>
      <w:numFmt w:val="bullet"/>
      <w:lvlText w:val=""/>
      <w:lvlJc w:val="left"/>
      <w:pPr>
        <w:ind w:left="1020" w:hanging="360"/>
      </w:pPr>
      <w:rPr>
        <w:rFonts w:ascii="Symbol" w:hAnsi="Symbol"/>
      </w:rPr>
    </w:lvl>
    <w:lvl w:ilvl="4" w:tplc="7F426E74">
      <w:start w:val="1"/>
      <w:numFmt w:val="bullet"/>
      <w:lvlText w:val=""/>
      <w:lvlJc w:val="left"/>
      <w:pPr>
        <w:ind w:left="1020" w:hanging="360"/>
      </w:pPr>
      <w:rPr>
        <w:rFonts w:ascii="Symbol" w:hAnsi="Symbol"/>
      </w:rPr>
    </w:lvl>
    <w:lvl w:ilvl="5" w:tplc="DBA04BBE">
      <w:start w:val="1"/>
      <w:numFmt w:val="bullet"/>
      <w:lvlText w:val=""/>
      <w:lvlJc w:val="left"/>
      <w:pPr>
        <w:ind w:left="1020" w:hanging="360"/>
      </w:pPr>
      <w:rPr>
        <w:rFonts w:ascii="Symbol" w:hAnsi="Symbol"/>
      </w:rPr>
    </w:lvl>
    <w:lvl w:ilvl="6" w:tplc="0876E198">
      <w:start w:val="1"/>
      <w:numFmt w:val="bullet"/>
      <w:lvlText w:val=""/>
      <w:lvlJc w:val="left"/>
      <w:pPr>
        <w:ind w:left="1020" w:hanging="360"/>
      </w:pPr>
      <w:rPr>
        <w:rFonts w:ascii="Symbol" w:hAnsi="Symbol"/>
      </w:rPr>
    </w:lvl>
    <w:lvl w:ilvl="7" w:tplc="1F7A0174">
      <w:start w:val="1"/>
      <w:numFmt w:val="bullet"/>
      <w:lvlText w:val=""/>
      <w:lvlJc w:val="left"/>
      <w:pPr>
        <w:ind w:left="1020" w:hanging="360"/>
      </w:pPr>
      <w:rPr>
        <w:rFonts w:ascii="Symbol" w:hAnsi="Symbol"/>
      </w:rPr>
    </w:lvl>
    <w:lvl w:ilvl="8" w:tplc="074C5A56">
      <w:start w:val="1"/>
      <w:numFmt w:val="bullet"/>
      <w:lvlText w:val=""/>
      <w:lvlJc w:val="left"/>
      <w:pPr>
        <w:ind w:left="1020" w:hanging="360"/>
      </w:pPr>
      <w:rPr>
        <w:rFonts w:ascii="Symbol" w:hAnsi="Symbol"/>
      </w:rPr>
    </w:lvl>
  </w:abstractNum>
  <w:abstractNum w:abstractNumId="13" w15:restartNumberingAfterBreak="0">
    <w:nsid w:val="64DE6A79"/>
    <w:multiLevelType w:val="hybridMultilevel"/>
    <w:tmpl w:val="DBB082F6"/>
    <w:lvl w:ilvl="0" w:tplc="78E699AA">
      <w:start w:val="1"/>
      <w:numFmt w:val="bullet"/>
      <w:lvlText w:val=""/>
      <w:lvlJc w:val="left"/>
      <w:pPr>
        <w:ind w:left="720" w:hanging="360"/>
      </w:pPr>
      <w:rPr>
        <w:rFonts w:ascii="Symbol" w:hAnsi="Symbol"/>
      </w:rPr>
    </w:lvl>
    <w:lvl w:ilvl="1" w:tplc="B16898DE">
      <w:start w:val="1"/>
      <w:numFmt w:val="bullet"/>
      <w:lvlText w:val=""/>
      <w:lvlJc w:val="left"/>
      <w:pPr>
        <w:ind w:left="720" w:hanging="360"/>
      </w:pPr>
      <w:rPr>
        <w:rFonts w:ascii="Symbol" w:hAnsi="Symbol"/>
      </w:rPr>
    </w:lvl>
    <w:lvl w:ilvl="2" w:tplc="FFD41116">
      <w:start w:val="1"/>
      <w:numFmt w:val="bullet"/>
      <w:lvlText w:val=""/>
      <w:lvlJc w:val="left"/>
      <w:pPr>
        <w:ind w:left="720" w:hanging="360"/>
      </w:pPr>
      <w:rPr>
        <w:rFonts w:ascii="Symbol" w:hAnsi="Symbol"/>
      </w:rPr>
    </w:lvl>
    <w:lvl w:ilvl="3" w:tplc="CA768A24">
      <w:start w:val="1"/>
      <w:numFmt w:val="bullet"/>
      <w:lvlText w:val=""/>
      <w:lvlJc w:val="left"/>
      <w:pPr>
        <w:ind w:left="720" w:hanging="360"/>
      </w:pPr>
      <w:rPr>
        <w:rFonts w:ascii="Symbol" w:hAnsi="Symbol"/>
      </w:rPr>
    </w:lvl>
    <w:lvl w:ilvl="4" w:tplc="2BA859F6">
      <w:start w:val="1"/>
      <w:numFmt w:val="bullet"/>
      <w:lvlText w:val=""/>
      <w:lvlJc w:val="left"/>
      <w:pPr>
        <w:ind w:left="720" w:hanging="360"/>
      </w:pPr>
      <w:rPr>
        <w:rFonts w:ascii="Symbol" w:hAnsi="Symbol"/>
      </w:rPr>
    </w:lvl>
    <w:lvl w:ilvl="5" w:tplc="9586ABD4">
      <w:start w:val="1"/>
      <w:numFmt w:val="bullet"/>
      <w:lvlText w:val=""/>
      <w:lvlJc w:val="left"/>
      <w:pPr>
        <w:ind w:left="720" w:hanging="360"/>
      </w:pPr>
      <w:rPr>
        <w:rFonts w:ascii="Symbol" w:hAnsi="Symbol"/>
      </w:rPr>
    </w:lvl>
    <w:lvl w:ilvl="6" w:tplc="82382F76">
      <w:start w:val="1"/>
      <w:numFmt w:val="bullet"/>
      <w:lvlText w:val=""/>
      <w:lvlJc w:val="left"/>
      <w:pPr>
        <w:ind w:left="720" w:hanging="360"/>
      </w:pPr>
      <w:rPr>
        <w:rFonts w:ascii="Symbol" w:hAnsi="Symbol"/>
      </w:rPr>
    </w:lvl>
    <w:lvl w:ilvl="7" w:tplc="18CA527C">
      <w:start w:val="1"/>
      <w:numFmt w:val="bullet"/>
      <w:lvlText w:val=""/>
      <w:lvlJc w:val="left"/>
      <w:pPr>
        <w:ind w:left="720" w:hanging="360"/>
      </w:pPr>
      <w:rPr>
        <w:rFonts w:ascii="Symbol" w:hAnsi="Symbol"/>
      </w:rPr>
    </w:lvl>
    <w:lvl w:ilvl="8" w:tplc="BC34A222">
      <w:start w:val="1"/>
      <w:numFmt w:val="bullet"/>
      <w:lvlText w:val=""/>
      <w:lvlJc w:val="left"/>
      <w:pPr>
        <w:ind w:left="720" w:hanging="360"/>
      </w:pPr>
      <w:rPr>
        <w:rFonts w:ascii="Symbol" w:hAnsi="Symbol"/>
      </w:rPr>
    </w:lvl>
  </w:abstractNum>
  <w:abstractNum w:abstractNumId="14" w15:restartNumberingAfterBreak="0">
    <w:nsid w:val="6CC93323"/>
    <w:multiLevelType w:val="hybridMultilevel"/>
    <w:tmpl w:val="06240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A16EBA"/>
    <w:multiLevelType w:val="multilevel"/>
    <w:tmpl w:val="553693A4"/>
    <w:lvl w:ilvl="0">
      <w:start w:val="1"/>
      <w:numFmt w:val="upperLetter"/>
      <w:pStyle w:val="xAppendixLevel1"/>
      <w:lvlText w:val="Appendix %1"/>
      <w:lvlJc w:val="left"/>
      <w:pPr>
        <w:ind w:left="2410" w:hanging="2268"/>
      </w:pPr>
      <w:rPr>
        <w:specVanish w: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16" w15:restartNumberingAfterBreak="0">
    <w:nsid w:val="736255A2"/>
    <w:multiLevelType w:val="multilevel"/>
    <w:tmpl w:val="FC12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7218E"/>
    <w:multiLevelType w:val="hybridMultilevel"/>
    <w:tmpl w:val="FE8E525E"/>
    <w:lvl w:ilvl="0" w:tplc="3D506FDA">
      <w:start w:val="1"/>
      <w:numFmt w:val="bullet"/>
      <w:pStyle w:val="Bullet"/>
      <w:lvlText w:val=""/>
      <w:lvlJc w:val="left"/>
      <w:pPr>
        <w:ind w:left="3884"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1E76AB"/>
    <w:multiLevelType w:val="multilevel"/>
    <w:tmpl w:val="BB82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F222F0"/>
    <w:multiLevelType w:val="hybridMultilevel"/>
    <w:tmpl w:val="20F83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9557B6"/>
    <w:multiLevelType w:val="hybridMultilevel"/>
    <w:tmpl w:val="6764D8B8"/>
    <w:lvl w:ilvl="0" w:tplc="C7A0D1E2">
      <w:start w:val="1"/>
      <w:numFmt w:val="bullet"/>
      <w:lvlText w:val=""/>
      <w:lvlJc w:val="left"/>
      <w:pPr>
        <w:ind w:left="1060" w:hanging="360"/>
      </w:pPr>
      <w:rPr>
        <w:rFonts w:ascii="Symbol" w:hAnsi="Symbol"/>
      </w:rPr>
    </w:lvl>
    <w:lvl w:ilvl="1" w:tplc="72C69DF4">
      <w:start w:val="1"/>
      <w:numFmt w:val="bullet"/>
      <w:lvlText w:val=""/>
      <w:lvlJc w:val="left"/>
      <w:pPr>
        <w:ind w:left="1060" w:hanging="360"/>
      </w:pPr>
      <w:rPr>
        <w:rFonts w:ascii="Symbol" w:hAnsi="Symbol"/>
      </w:rPr>
    </w:lvl>
    <w:lvl w:ilvl="2" w:tplc="37622CFE">
      <w:start w:val="1"/>
      <w:numFmt w:val="bullet"/>
      <w:lvlText w:val=""/>
      <w:lvlJc w:val="left"/>
      <w:pPr>
        <w:ind w:left="1060" w:hanging="360"/>
      </w:pPr>
      <w:rPr>
        <w:rFonts w:ascii="Symbol" w:hAnsi="Symbol"/>
      </w:rPr>
    </w:lvl>
    <w:lvl w:ilvl="3" w:tplc="8C9E0096">
      <w:start w:val="1"/>
      <w:numFmt w:val="bullet"/>
      <w:lvlText w:val=""/>
      <w:lvlJc w:val="left"/>
      <w:pPr>
        <w:ind w:left="1060" w:hanging="360"/>
      </w:pPr>
      <w:rPr>
        <w:rFonts w:ascii="Symbol" w:hAnsi="Symbol"/>
      </w:rPr>
    </w:lvl>
    <w:lvl w:ilvl="4" w:tplc="F4E0F64E">
      <w:start w:val="1"/>
      <w:numFmt w:val="bullet"/>
      <w:lvlText w:val=""/>
      <w:lvlJc w:val="left"/>
      <w:pPr>
        <w:ind w:left="1060" w:hanging="360"/>
      </w:pPr>
      <w:rPr>
        <w:rFonts w:ascii="Symbol" w:hAnsi="Symbol"/>
      </w:rPr>
    </w:lvl>
    <w:lvl w:ilvl="5" w:tplc="D766F46A">
      <w:start w:val="1"/>
      <w:numFmt w:val="bullet"/>
      <w:lvlText w:val=""/>
      <w:lvlJc w:val="left"/>
      <w:pPr>
        <w:ind w:left="1060" w:hanging="360"/>
      </w:pPr>
      <w:rPr>
        <w:rFonts w:ascii="Symbol" w:hAnsi="Symbol"/>
      </w:rPr>
    </w:lvl>
    <w:lvl w:ilvl="6" w:tplc="13AAE21A">
      <w:start w:val="1"/>
      <w:numFmt w:val="bullet"/>
      <w:lvlText w:val=""/>
      <w:lvlJc w:val="left"/>
      <w:pPr>
        <w:ind w:left="1060" w:hanging="360"/>
      </w:pPr>
      <w:rPr>
        <w:rFonts w:ascii="Symbol" w:hAnsi="Symbol"/>
      </w:rPr>
    </w:lvl>
    <w:lvl w:ilvl="7" w:tplc="A14EA6C8">
      <w:start w:val="1"/>
      <w:numFmt w:val="bullet"/>
      <w:lvlText w:val=""/>
      <w:lvlJc w:val="left"/>
      <w:pPr>
        <w:ind w:left="1060" w:hanging="360"/>
      </w:pPr>
      <w:rPr>
        <w:rFonts w:ascii="Symbol" w:hAnsi="Symbol"/>
      </w:rPr>
    </w:lvl>
    <w:lvl w:ilvl="8" w:tplc="BB9E4EB6">
      <w:start w:val="1"/>
      <w:numFmt w:val="bullet"/>
      <w:lvlText w:val=""/>
      <w:lvlJc w:val="left"/>
      <w:pPr>
        <w:ind w:left="1060" w:hanging="360"/>
      </w:pPr>
      <w:rPr>
        <w:rFonts w:ascii="Symbol" w:hAnsi="Symbol"/>
      </w:rPr>
    </w:lvl>
  </w:abstractNum>
  <w:num w:numId="1" w16cid:durableId="7415232">
    <w:abstractNumId w:val="15"/>
  </w:num>
  <w:num w:numId="2" w16cid:durableId="1577670265">
    <w:abstractNumId w:val="15"/>
  </w:num>
  <w:num w:numId="3" w16cid:durableId="1149589232">
    <w:abstractNumId w:val="17"/>
  </w:num>
  <w:num w:numId="4" w16cid:durableId="826366527">
    <w:abstractNumId w:val="3"/>
  </w:num>
  <w:num w:numId="5" w16cid:durableId="2049336720">
    <w:abstractNumId w:val="6"/>
  </w:num>
  <w:num w:numId="6" w16cid:durableId="1431777580">
    <w:abstractNumId w:val="5"/>
  </w:num>
  <w:num w:numId="7" w16cid:durableId="293558453">
    <w:abstractNumId w:val="1"/>
  </w:num>
  <w:num w:numId="8" w16cid:durableId="1641884330">
    <w:abstractNumId w:val="3"/>
    <w:lvlOverride w:ilvl="0">
      <w:startOverride w:val="1"/>
    </w:lvlOverride>
  </w:num>
  <w:num w:numId="9" w16cid:durableId="1007444748">
    <w:abstractNumId w:val="8"/>
  </w:num>
  <w:num w:numId="10" w16cid:durableId="1021393297">
    <w:abstractNumId w:val="9"/>
  </w:num>
  <w:num w:numId="11" w16cid:durableId="1409185222">
    <w:abstractNumId w:val="4"/>
  </w:num>
  <w:num w:numId="12" w16cid:durableId="1111898615">
    <w:abstractNumId w:val="14"/>
  </w:num>
  <w:num w:numId="13" w16cid:durableId="410541758">
    <w:abstractNumId w:val="11"/>
  </w:num>
  <w:num w:numId="14" w16cid:durableId="205945788">
    <w:abstractNumId w:val="12"/>
  </w:num>
  <w:num w:numId="15" w16cid:durableId="787889485">
    <w:abstractNumId w:val="13"/>
  </w:num>
  <w:num w:numId="16" w16cid:durableId="1630893787">
    <w:abstractNumId w:val="7"/>
  </w:num>
  <w:num w:numId="17" w16cid:durableId="1847093601">
    <w:abstractNumId w:val="10"/>
  </w:num>
  <w:num w:numId="18" w16cid:durableId="1970165654">
    <w:abstractNumId w:val="2"/>
  </w:num>
  <w:num w:numId="19" w16cid:durableId="802968020">
    <w:abstractNumId w:val="19"/>
  </w:num>
  <w:num w:numId="20" w16cid:durableId="2140101650">
    <w:abstractNumId w:val="20"/>
  </w:num>
  <w:num w:numId="21" w16cid:durableId="634456098">
    <w:abstractNumId w:val="0"/>
  </w:num>
  <w:num w:numId="22" w16cid:durableId="1441410948">
    <w:abstractNumId w:val="16"/>
  </w:num>
  <w:num w:numId="23" w16cid:durableId="978463857">
    <w:abstractNumId w:val="18"/>
  </w:num>
  <w:num w:numId="24" w16cid:durableId="167780321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2A3"/>
    <w:rsid w:val="000002BE"/>
    <w:rsid w:val="000005F2"/>
    <w:rsid w:val="00000876"/>
    <w:rsid w:val="0000095D"/>
    <w:rsid w:val="00000F32"/>
    <w:rsid w:val="00000F86"/>
    <w:rsid w:val="00001103"/>
    <w:rsid w:val="000011D4"/>
    <w:rsid w:val="0000161B"/>
    <w:rsid w:val="00001729"/>
    <w:rsid w:val="0000181E"/>
    <w:rsid w:val="00001B0B"/>
    <w:rsid w:val="00001CCD"/>
    <w:rsid w:val="00001FC8"/>
    <w:rsid w:val="000020E4"/>
    <w:rsid w:val="000023C3"/>
    <w:rsid w:val="0000241F"/>
    <w:rsid w:val="0000245A"/>
    <w:rsid w:val="000028E2"/>
    <w:rsid w:val="000028E8"/>
    <w:rsid w:val="000028F8"/>
    <w:rsid w:val="00002AF9"/>
    <w:rsid w:val="00002BC7"/>
    <w:rsid w:val="00002C92"/>
    <w:rsid w:val="00002CA2"/>
    <w:rsid w:val="00002F6D"/>
    <w:rsid w:val="00003242"/>
    <w:rsid w:val="00003265"/>
    <w:rsid w:val="00003A98"/>
    <w:rsid w:val="00003B62"/>
    <w:rsid w:val="00003C2F"/>
    <w:rsid w:val="00004048"/>
    <w:rsid w:val="00004148"/>
    <w:rsid w:val="0000426C"/>
    <w:rsid w:val="00004563"/>
    <w:rsid w:val="00005102"/>
    <w:rsid w:val="00005104"/>
    <w:rsid w:val="000056D0"/>
    <w:rsid w:val="000057EC"/>
    <w:rsid w:val="00006275"/>
    <w:rsid w:val="0000683B"/>
    <w:rsid w:val="000069E5"/>
    <w:rsid w:val="00006FF8"/>
    <w:rsid w:val="0000707C"/>
    <w:rsid w:val="000073F3"/>
    <w:rsid w:val="00007408"/>
    <w:rsid w:val="00007446"/>
    <w:rsid w:val="00007456"/>
    <w:rsid w:val="000074B3"/>
    <w:rsid w:val="00007611"/>
    <w:rsid w:val="000079C1"/>
    <w:rsid w:val="00007A3E"/>
    <w:rsid w:val="00010181"/>
    <w:rsid w:val="000102F0"/>
    <w:rsid w:val="00010487"/>
    <w:rsid w:val="000105BE"/>
    <w:rsid w:val="00010853"/>
    <w:rsid w:val="00010A88"/>
    <w:rsid w:val="00010C82"/>
    <w:rsid w:val="00010D10"/>
    <w:rsid w:val="000111AB"/>
    <w:rsid w:val="00011253"/>
    <w:rsid w:val="000112EA"/>
    <w:rsid w:val="000112F1"/>
    <w:rsid w:val="000117AB"/>
    <w:rsid w:val="00011898"/>
    <w:rsid w:val="00011B05"/>
    <w:rsid w:val="00011C87"/>
    <w:rsid w:val="00011D43"/>
    <w:rsid w:val="00011DA4"/>
    <w:rsid w:val="00011F6C"/>
    <w:rsid w:val="00011F82"/>
    <w:rsid w:val="00012074"/>
    <w:rsid w:val="000121AD"/>
    <w:rsid w:val="000124A4"/>
    <w:rsid w:val="0001262A"/>
    <w:rsid w:val="000127A9"/>
    <w:rsid w:val="00012A1E"/>
    <w:rsid w:val="00012DD2"/>
    <w:rsid w:val="00012ECF"/>
    <w:rsid w:val="00013271"/>
    <w:rsid w:val="00013498"/>
    <w:rsid w:val="00013627"/>
    <w:rsid w:val="000137DD"/>
    <w:rsid w:val="000137FA"/>
    <w:rsid w:val="00013B6F"/>
    <w:rsid w:val="00013C53"/>
    <w:rsid w:val="00013D7E"/>
    <w:rsid w:val="00013EEE"/>
    <w:rsid w:val="00014219"/>
    <w:rsid w:val="0001431A"/>
    <w:rsid w:val="000149EE"/>
    <w:rsid w:val="00014B2F"/>
    <w:rsid w:val="00014C03"/>
    <w:rsid w:val="00014E11"/>
    <w:rsid w:val="00014FDD"/>
    <w:rsid w:val="00015199"/>
    <w:rsid w:val="000151A8"/>
    <w:rsid w:val="00015205"/>
    <w:rsid w:val="00015243"/>
    <w:rsid w:val="0001543A"/>
    <w:rsid w:val="000159FF"/>
    <w:rsid w:val="00015BFD"/>
    <w:rsid w:val="00015CA8"/>
    <w:rsid w:val="00015D9F"/>
    <w:rsid w:val="0001670B"/>
    <w:rsid w:val="00016A67"/>
    <w:rsid w:val="00016A6C"/>
    <w:rsid w:val="00016B01"/>
    <w:rsid w:val="00016F0A"/>
    <w:rsid w:val="00016F7A"/>
    <w:rsid w:val="00016FE3"/>
    <w:rsid w:val="00017217"/>
    <w:rsid w:val="00017567"/>
    <w:rsid w:val="000175E4"/>
    <w:rsid w:val="00017738"/>
    <w:rsid w:val="00017E84"/>
    <w:rsid w:val="0002003B"/>
    <w:rsid w:val="00020CBF"/>
    <w:rsid w:val="00020E6B"/>
    <w:rsid w:val="00020F56"/>
    <w:rsid w:val="00020F99"/>
    <w:rsid w:val="00021078"/>
    <w:rsid w:val="00021265"/>
    <w:rsid w:val="00021359"/>
    <w:rsid w:val="000218C8"/>
    <w:rsid w:val="000219CD"/>
    <w:rsid w:val="00021C58"/>
    <w:rsid w:val="00021EDF"/>
    <w:rsid w:val="00022452"/>
    <w:rsid w:val="000226D5"/>
    <w:rsid w:val="00022A92"/>
    <w:rsid w:val="00022E9D"/>
    <w:rsid w:val="00022EBB"/>
    <w:rsid w:val="00022F4A"/>
    <w:rsid w:val="00022FD7"/>
    <w:rsid w:val="000233E6"/>
    <w:rsid w:val="00023660"/>
    <w:rsid w:val="0002377E"/>
    <w:rsid w:val="000237A8"/>
    <w:rsid w:val="00023A23"/>
    <w:rsid w:val="00023B1A"/>
    <w:rsid w:val="00024091"/>
    <w:rsid w:val="0002475C"/>
    <w:rsid w:val="00024817"/>
    <w:rsid w:val="00024830"/>
    <w:rsid w:val="000249AF"/>
    <w:rsid w:val="00024A79"/>
    <w:rsid w:val="00024EC7"/>
    <w:rsid w:val="00024F3F"/>
    <w:rsid w:val="00024F5B"/>
    <w:rsid w:val="00025174"/>
    <w:rsid w:val="000251D9"/>
    <w:rsid w:val="000253D0"/>
    <w:rsid w:val="00025614"/>
    <w:rsid w:val="00025913"/>
    <w:rsid w:val="0002592F"/>
    <w:rsid w:val="00025ED4"/>
    <w:rsid w:val="00025F70"/>
    <w:rsid w:val="0002608F"/>
    <w:rsid w:val="00026096"/>
    <w:rsid w:val="000260DB"/>
    <w:rsid w:val="0002649A"/>
    <w:rsid w:val="000265A9"/>
    <w:rsid w:val="000266F9"/>
    <w:rsid w:val="00026779"/>
    <w:rsid w:val="00026D2D"/>
    <w:rsid w:val="0002729E"/>
    <w:rsid w:val="00027759"/>
    <w:rsid w:val="00027A24"/>
    <w:rsid w:val="00027F8B"/>
    <w:rsid w:val="0003002F"/>
    <w:rsid w:val="0003041A"/>
    <w:rsid w:val="0003052B"/>
    <w:rsid w:val="00030CC4"/>
    <w:rsid w:val="00030D4B"/>
    <w:rsid w:val="0003165D"/>
    <w:rsid w:val="00031775"/>
    <w:rsid w:val="00031DAD"/>
    <w:rsid w:val="00031DF9"/>
    <w:rsid w:val="00031F33"/>
    <w:rsid w:val="0003205A"/>
    <w:rsid w:val="00032139"/>
    <w:rsid w:val="00032215"/>
    <w:rsid w:val="0003237D"/>
    <w:rsid w:val="0003238C"/>
    <w:rsid w:val="000323A8"/>
    <w:rsid w:val="00032691"/>
    <w:rsid w:val="0003277F"/>
    <w:rsid w:val="000329AC"/>
    <w:rsid w:val="00032B3C"/>
    <w:rsid w:val="00032C7B"/>
    <w:rsid w:val="00032DDF"/>
    <w:rsid w:val="00032F52"/>
    <w:rsid w:val="00033725"/>
    <w:rsid w:val="00033A99"/>
    <w:rsid w:val="00033B6A"/>
    <w:rsid w:val="00033B75"/>
    <w:rsid w:val="00033B8D"/>
    <w:rsid w:val="00033BAA"/>
    <w:rsid w:val="00033F76"/>
    <w:rsid w:val="00034094"/>
    <w:rsid w:val="000344E5"/>
    <w:rsid w:val="0003478B"/>
    <w:rsid w:val="000348E2"/>
    <w:rsid w:val="0003577B"/>
    <w:rsid w:val="00035CB6"/>
    <w:rsid w:val="00035D7F"/>
    <w:rsid w:val="00036411"/>
    <w:rsid w:val="00036501"/>
    <w:rsid w:val="00036773"/>
    <w:rsid w:val="000369A6"/>
    <w:rsid w:val="00036A58"/>
    <w:rsid w:val="00036A7D"/>
    <w:rsid w:val="00036C3D"/>
    <w:rsid w:val="00036CD8"/>
    <w:rsid w:val="00036E3D"/>
    <w:rsid w:val="000371AF"/>
    <w:rsid w:val="0003728A"/>
    <w:rsid w:val="00037589"/>
    <w:rsid w:val="000377F0"/>
    <w:rsid w:val="000379CD"/>
    <w:rsid w:val="00037C03"/>
    <w:rsid w:val="00037CC9"/>
    <w:rsid w:val="00037EF2"/>
    <w:rsid w:val="0004033A"/>
    <w:rsid w:val="00040516"/>
    <w:rsid w:val="000406C4"/>
    <w:rsid w:val="000409D2"/>
    <w:rsid w:val="00040D51"/>
    <w:rsid w:val="00040D6C"/>
    <w:rsid w:val="00041071"/>
    <w:rsid w:val="000410D4"/>
    <w:rsid w:val="00041458"/>
    <w:rsid w:val="00041483"/>
    <w:rsid w:val="000418DB"/>
    <w:rsid w:val="00041957"/>
    <w:rsid w:val="00041B8A"/>
    <w:rsid w:val="00041EA5"/>
    <w:rsid w:val="00041F96"/>
    <w:rsid w:val="00042062"/>
    <w:rsid w:val="0004210E"/>
    <w:rsid w:val="00042300"/>
    <w:rsid w:val="00042406"/>
    <w:rsid w:val="000424CD"/>
    <w:rsid w:val="00042963"/>
    <w:rsid w:val="00042A95"/>
    <w:rsid w:val="00042B82"/>
    <w:rsid w:val="00042C69"/>
    <w:rsid w:val="00043178"/>
    <w:rsid w:val="00043BA6"/>
    <w:rsid w:val="0004417E"/>
    <w:rsid w:val="00044B3D"/>
    <w:rsid w:val="00044BD0"/>
    <w:rsid w:val="00044C03"/>
    <w:rsid w:val="00044CD4"/>
    <w:rsid w:val="00044D69"/>
    <w:rsid w:val="00044E91"/>
    <w:rsid w:val="00044F51"/>
    <w:rsid w:val="0004502E"/>
    <w:rsid w:val="00045401"/>
    <w:rsid w:val="000457CC"/>
    <w:rsid w:val="00045E6C"/>
    <w:rsid w:val="00045EA2"/>
    <w:rsid w:val="0004617A"/>
    <w:rsid w:val="000461A0"/>
    <w:rsid w:val="000461AC"/>
    <w:rsid w:val="00046313"/>
    <w:rsid w:val="000464D0"/>
    <w:rsid w:val="000464F5"/>
    <w:rsid w:val="00046505"/>
    <w:rsid w:val="00046530"/>
    <w:rsid w:val="00046557"/>
    <w:rsid w:val="000466C6"/>
    <w:rsid w:val="00046C86"/>
    <w:rsid w:val="00046D82"/>
    <w:rsid w:val="00046E6F"/>
    <w:rsid w:val="00046E8D"/>
    <w:rsid w:val="000470CA"/>
    <w:rsid w:val="0004745C"/>
    <w:rsid w:val="00047A48"/>
    <w:rsid w:val="00047AB0"/>
    <w:rsid w:val="00047AF1"/>
    <w:rsid w:val="00047B26"/>
    <w:rsid w:val="00047D62"/>
    <w:rsid w:val="000502E9"/>
    <w:rsid w:val="00050573"/>
    <w:rsid w:val="000506F5"/>
    <w:rsid w:val="000508C1"/>
    <w:rsid w:val="00050B41"/>
    <w:rsid w:val="00050D67"/>
    <w:rsid w:val="00050FE8"/>
    <w:rsid w:val="0005106D"/>
    <w:rsid w:val="00051124"/>
    <w:rsid w:val="00051207"/>
    <w:rsid w:val="00051747"/>
    <w:rsid w:val="00051825"/>
    <w:rsid w:val="0005183F"/>
    <w:rsid w:val="00051E58"/>
    <w:rsid w:val="00051EFA"/>
    <w:rsid w:val="00051F9F"/>
    <w:rsid w:val="00052274"/>
    <w:rsid w:val="00052448"/>
    <w:rsid w:val="00052BC4"/>
    <w:rsid w:val="00053558"/>
    <w:rsid w:val="00053775"/>
    <w:rsid w:val="000539EE"/>
    <w:rsid w:val="00053A83"/>
    <w:rsid w:val="00053BEA"/>
    <w:rsid w:val="00053D39"/>
    <w:rsid w:val="00053FC7"/>
    <w:rsid w:val="000543ED"/>
    <w:rsid w:val="0005457A"/>
    <w:rsid w:val="00054633"/>
    <w:rsid w:val="000548B1"/>
    <w:rsid w:val="00054C4A"/>
    <w:rsid w:val="00054F1B"/>
    <w:rsid w:val="000551F5"/>
    <w:rsid w:val="00055386"/>
    <w:rsid w:val="000553BA"/>
    <w:rsid w:val="000554EC"/>
    <w:rsid w:val="00055561"/>
    <w:rsid w:val="000559B2"/>
    <w:rsid w:val="00055AFD"/>
    <w:rsid w:val="00055D1F"/>
    <w:rsid w:val="00055D84"/>
    <w:rsid w:val="000566F0"/>
    <w:rsid w:val="000568B4"/>
    <w:rsid w:val="000568EF"/>
    <w:rsid w:val="00056E7B"/>
    <w:rsid w:val="00057489"/>
    <w:rsid w:val="00057629"/>
    <w:rsid w:val="00057737"/>
    <w:rsid w:val="000578AE"/>
    <w:rsid w:val="0005794F"/>
    <w:rsid w:val="00057B40"/>
    <w:rsid w:val="00057F00"/>
    <w:rsid w:val="00057FCF"/>
    <w:rsid w:val="00057FD5"/>
    <w:rsid w:val="00060128"/>
    <w:rsid w:val="0006026A"/>
    <w:rsid w:val="0006042E"/>
    <w:rsid w:val="00060522"/>
    <w:rsid w:val="000605F7"/>
    <w:rsid w:val="0006064A"/>
    <w:rsid w:val="000606C9"/>
    <w:rsid w:val="0006070E"/>
    <w:rsid w:val="00060918"/>
    <w:rsid w:val="000609E8"/>
    <w:rsid w:val="00060C2B"/>
    <w:rsid w:val="00060CAD"/>
    <w:rsid w:val="00060CD0"/>
    <w:rsid w:val="00061344"/>
    <w:rsid w:val="0006164C"/>
    <w:rsid w:val="0006184E"/>
    <w:rsid w:val="000618DE"/>
    <w:rsid w:val="00061D32"/>
    <w:rsid w:val="00061E8B"/>
    <w:rsid w:val="00061FD2"/>
    <w:rsid w:val="00062373"/>
    <w:rsid w:val="000623DD"/>
    <w:rsid w:val="00062552"/>
    <w:rsid w:val="000625C2"/>
    <w:rsid w:val="00063067"/>
    <w:rsid w:val="0006345B"/>
    <w:rsid w:val="0006348B"/>
    <w:rsid w:val="0006358C"/>
    <w:rsid w:val="000638A2"/>
    <w:rsid w:val="00063A45"/>
    <w:rsid w:val="00063CD9"/>
    <w:rsid w:val="00063EAF"/>
    <w:rsid w:val="00064601"/>
    <w:rsid w:val="000647C6"/>
    <w:rsid w:val="000647E5"/>
    <w:rsid w:val="00064C6B"/>
    <w:rsid w:val="00064CC1"/>
    <w:rsid w:val="00064ECB"/>
    <w:rsid w:val="00064FF9"/>
    <w:rsid w:val="0006514C"/>
    <w:rsid w:val="00065183"/>
    <w:rsid w:val="000655A9"/>
    <w:rsid w:val="00065804"/>
    <w:rsid w:val="000658AC"/>
    <w:rsid w:val="00065B83"/>
    <w:rsid w:val="00065C01"/>
    <w:rsid w:val="00065D9F"/>
    <w:rsid w:val="0006602B"/>
    <w:rsid w:val="00066079"/>
    <w:rsid w:val="000661BB"/>
    <w:rsid w:val="000662E1"/>
    <w:rsid w:val="00066322"/>
    <w:rsid w:val="00066426"/>
    <w:rsid w:val="000665B4"/>
    <w:rsid w:val="00066601"/>
    <w:rsid w:val="00066935"/>
    <w:rsid w:val="00066F56"/>
    <w:rsid w:val="000673BA"/>
    <w:rsid w:val="000678C7"/>
    <w:rsid w:val="000678F0"/>
    <w:rsid w:val="00067B5E"/>
    <w:rsid w:val="00067B77"/>
    <w:rsid w:val="00067D91"/>
    <w:rsid w:val="00070044"/>
    <w:rsid w:val="00070121"/>
    <w:rsid w:val="00070928"/>
    <w:rsid w:val="00070C1D"/>
    <w:rsid w:val="00070C5F"/>
    <w:rsid w:val="00070CA2"/>
    <w:rsid w:val="00070FFD"/>
    <w:rsid w:val="00071834"/>
    <w:rsid w:val="00071896"/>
    <w:rsid w:val="000719F1"/>
    <w:rsid w:val="00071A02"/>
    <w:rsid w:val="00071A21"/>
    <w:rsid w:val="00071DFF"/>
    <w:rsid w:val="00072082"/>
    <w:rsid w:val="00072497"/>
    <w:rsid w:val="000724DB"/>
    <w:rsid w:val="000725E2"/>
    <w:rsid w:val="000727D0"/>
    <w:rsid w:val="000728F6"/>
    <w:rsid w:val="00072965"/>
    <w:rsid w:val="00072ADB"/>
    <w:rsid w:val="00072ADF"/>
    <w:rsid w:val="00072DC2"/>
    <w:rsid w:val="00073203"/>
    <w:rsid w:val="00073A28"/>
    <w:rsid w:val="00073ACD"/>
    <w:rsid w:val="00073B36"/>
    <w:rsid w:val="00073C20"/>
    <w:rsid w:val="00073CAA"/>
    <w:rsid w:val="00073D49"/>
    <w:rsid w:val="00073D62"/>
    <w:rsid w:val="00073E00"/>
    <w:rsid w:val="000745F7"/>
    <w:rsid w:val="000745FF"/>
    <w:rsid w:val="00074726"/>
    <w:rsid w:val="00074D11"/>
    <w:rsid w:val="00074F0D"/>
    <w:rsid w:val="0007510A"/>
    <w:rsid w:val="0007598A"/>
    <w:rsid w:val="00076196"/>
    <w:rsid w:val="000762E6"/>
    <w:rsid w:val="0007634F"/>
    <w:rsid w:val="000768FE"/>
    <w:rsid w:val="00076B1C"/>
    <w:rsid w:val="00076C89"/>
    <w:rsid w:val="00076DAE"/>
    <w:rsid w:val="000770AD"/>
    <w:rsid w:val="00077A00"/>
    <w:rsid w:val="00077BAB"/>
    <w:rsid w:val="00077BCA"/>
    <w:rsid w:val="00077E46"/>
    <w:rsid w:val="00077EF7"/>
    <w:rsid w:val="000802F0"/>
    <w:rsid w:val="0008043B"/>
    <w:rsid w:val="0008064D"/>
    <w:rsid w:val="0008070A"/>
    <w:rsid w:val="00080781"/>
    <w:rsid w:val="00080B64"/>
    <w:rsid w:val="00080FE2"/>
    <w:rsid w:val="0008110A"/>
    <w:rsid w:val="000811EA"/>
    <w:rsid w:val="00081221"/>
    <w:rsid w:val="0008131C"/>
    <w:rsid w:val="00081372"/>
    <w:rsid w:val="000814F4"/>
    <w:rsid w:val="00081C4A"/>
    <w:rsid w:val="00081CD9"/>
    <w:rsid w:val="00081D09"/>
    <w:rsid w:val="00081E8E"/>
    <w:rsid w:val="0008230D"/>
    <w:rsid w:val="00082529"/>
    <w:rsid w:val="00082615"/>
    <w:rsid w:val="00082649"/>
    <w:rsid w:val="000826D3"/>
    <w:rsid w:val="00082BCC"/>
    <w:rsid w:val="00082BFC"/>
    <w:rsid w:val="00082C5E"/>
    <w:rsid w:val="00082CF8"/>
    <w:rsid w:val="00082EBC"/>
    <w:rsid w:val="0008310D"/>
    <w:rsid w:val="00083244"/>
    <w:rsid w:val="000837EE"/>
    <w:rsid w:val="000838FC"/>
    <w:rsid w:val="0008394E"/>
    <w:rsid w:val="00083D0C"/>
    <w:rsid w:val="00083F7A"/>
    <w:rsid w:val="00083FC0"/>
    <w:rsid w:val="00084284"/>
    <w:rsid w:val="000843D8"/>
    <w:rsid w:val="000844E0"/>
    <w:rsid w:val="00084885"/>
    <w:rsid w:val="00084D55"/>
    <w:rsid w:val="00084F48"/>
    <w:rsid w:val="000854A8"/>
    <w:rsid w:val="00085798"/>
    <w:rsid w:val="00085A03"/>
    <w:rsid w:val="00085A84"/>
    <w:rsid w:val="00085AF2"/>
    <w:rsid w:val="00085D16"/>
    <w:rsid w:val="000865BD"/>
    <w:rsid w:val="00086723"/>
    <w:rsid w:val="00086A22"/>
    <w:rsid w:val="00086F4E"/>
    <w:rsid w:val="00086FC2"/>
    <w:rsid w:val="0008715E"/>
    <w:rsid w:val="000871A0"/>
    <w:rsid w:val="00087439"/>
    <w:rsid w:val="000876CF"/>
    <w:rsid w:val="00087D3E"/>
    <w:rsid w:val="00087F7B"/>
    <w:rsid w:val="00087FE1"/>
    <w:rsid w:val="000901AF"/>
    <w:rsid w:val="00090216"/>
    <w:rsid w:val="00090256"/>
    <w:rsid w:val="00090316"/>
    <w:rsid w:val="00090413"/>
    <w:rsid w:val="00090638"/>
    <w:rsid w:val="000906BA"/>
    <w:rsid w:val="000909C0"/>
    <w:rsid w:val="00090F9D"/>
    <w:rsid w:val="00091018"/>
    <w:rsid w:val="000910DA"/>
    <w:rsid w:val="00091104"/>
    <w:rsid w:val="0009120C"/>
    <w:rsid w:val="000913ED"/>
    <w:rsid w:val="00091458"/>
    <w:rsid w:val="000914D5"/>
    <w:rsid w:val="000916EB"/>
    <w:rsid w:val="00091730"/>
    <w:rsid w:val="000919F9"/>
    <w:rsid w:val="00091CCF"/>
    <w:rsid w:val="00092126"/>
    <w:rsid w:val="000924EB"/>
    <w:rsid w:val="00092665"/>
    <w:rsid w:val="00092883"/>
    <w:rsid w:val="00092A3E"/>
    <w:rsid w:val="00092B7C"/>
    <w:rsid w:val="00092CCB"/>
    <w:rsid w:val="00093436"/>
    <w:rsid w:val="0009355A"/>
    <w:rsid w:val="000936F5"/>
    <w:rsid w:val="00093892"/>
    <w:rsid w:val="0009396D"/>
    <w:rsid w:val="0009457B"/>
    <w:rsid w:val="00094803"/>
    <w:rsid w:val="000948BC"/>
    <w:rsid w:val="00094981"/>
    <w:rsid w:val="00094996"/>
    <w:rsid w:val="00094BA2"/>
    <w:rsid w:val="00094E76"/>
    <w:rsid w:val="0009504C"/>
    <w:rsid w:val="00095410"/>
    <w:rsid w:val="00095473"/>
    <w:rsid w:val="00095626"/>
    <w:rsid w:val="000956F8"/>
    <w:rsid w:val="0009574C"/>
    <w:rsid w:val="00095ED6"/>
    <w:rsid w:val="00095F07"/>
    <w:rsid w:val="00095F87"/>
    <w:rsid w:val="000963E9"/>
    <w:rsid w:val="0009652E"/>
    <w:rsid w:val="0009665B"/>
    <w:rsid w:val="00096A05"/>
    <w:rsid w:val="00096D34"/>
    <w:rsid w:val="00096DCF"/>
    <w:rsid w:val="00097027"/>
    <w:rsid w:val="000970F6"/>
    <w:rsid w:val="00097485"/>
    <w:rsid w:val="00097552"/>
    <w:rsid w:val="00097739"/>
    <w:rsid w:val="000A0414"/>
    <w:rsid w:val="000A05B2"/>
    <w:rsid w:val="000A08FD"/>
    <w:rsid w:val="000A0B06"/>
    <w:rsid w:val="000A0CD3"/>
    <w:rsid w:val="000A0D7F"/>
    <w:rsid w:val="000A0F43"/>
    <w:rsid w:val="000A12B8"/>
    <w:rsid w:val="000A1CD3"/>
    <w:rsid w:val="000A1E36"/>
    <w:rsid w:val="000A222D"/>
    <w:rsid w:val="000A260E"/>
    <w:rsid w:val="000A26EF"/>
    <w:rsid w:val="000A2706"/>
    <w:rsid w:val="000A2757"/>
    <w:rsid w:val="000A2B6D"/>
    <w:rsid w:val="000A2CED"/>
    <w:rsid w:val="000A2E73"/>
    <w:rsid w:val="000A3895"/>
    <w:rsid w:val="000A3907"/>
    <w:rsid w:val="000A39BD"/>
    <w:rsid w:val="000A3E26"/>
    <w:rsid w:val="000A3E7D"/>
    <w:rsid w:val="000A3E90"/>
    <w:rsid w:val="000A3F5B"/>
    <w:rsid w:val="000A4097"/>
    <w:rsid w:val="000A422F"/>
    <w:rsid w:val="000A4406"/>
    <w:rsid w:val="000A477D"/>
    <w:rsid w:val="000A48F9"/>
    <w:rsid w:val="000A49E4"/>
    <w:rsid w:val="000A4C28"/>
    <w:rsid w:val="000A4C47"/>
    <w:rsid w:val="000A52B0"/>
    <w:rsid w:val="000A5927"/>
    <w:rsid w:val="000A59A7"/>
    <w:rsid w:val="000A5B56"/>
    <w:rsid w:val="000A5BD6"/>
    <w:rsid w:val="000A60C9"/>
    <w:rsid w:val="000A7110"/>
    <w:rsid w:val="000A7490"/>
    <w:rsid w:val="000A763D"/>
    <w:rsid w:val="000A7735"/>
    <w:rsid w:val="000A777F"/>
    <w:rsid w:val="000A79AE"/>
    <w:rsid w:val="000A7AAF"/>
    <w:rsid w:val="000A7AE1"/>
    <w:rsid w:val="000A7BCE"/>
    <w:rsid w:val="000A7C26"/>
    <w:rsid w:val="000A7DA7"/>
    <w:rsid w:val="000A7DD7"/>
    <w:rsid w:val="000A7FD1"/>
    <w:rsid w:val="000B0375"/>
    <w:rsid w:val="000B09E5"/>
    <w:rsid w:val="000B0BA4"/>
    <w:rsid w:val="000B0E41"/>
    <w:rsid w:val="000B0EC1"/>
    <w:rsid w:val="000B11C5"/>
    <w:rsid w:val="000B1208"/>
    <w:rsid w:val="000B150A"/>
    <w:rsid w:val="000B154F"/>
    <w:rsid w:val="000B165F"/>
    <w:rsid w:val="000B1875"/>
    <w:rsid w:val="000B1883"/>
    <w:rsid w:val="000B1919"/>
    <w:rsid w:val="000B19D4"/>
    <w:rsid w:val="000B1C20"/>
    <w:rsid w:val="000B1D58"/>
    <w:rsid w:val="000B1E9F"/>
    <w:rsid w:val="000B1F62"/>
    <w:rsid w:val="000B2049"/>
    <w:rsid w:val="000B205B"/>
    <w:rsid w:val="000B25D8"/>
    <w:rsid w:val="000B2685"/>
    <w:rsid w:val="000B2782"/>
    <w:rsid w:val="000B2948"/>
    <w:rsid w:val="000B2955"/>
    <w:rsid w:val="000B29C3"/>
    <w:rsid w:val="000B2A9F"/>
    <w:rsid w:val="000B2C16"/>
    <w:rsid w:val="000B2D28"/>
    <w:rsid w:val="000B2F71"/>
    <w:rsid w:val="000B3164"/>
    <w:rsid w:val="000B3180"/>
    <w:rsid w:val="000B351C"/>
    <w:rsid w:val="000B3520"/>
    <w:rsid w:val="000B3702"/>
    <w:rsid w:val="000B3C72"/>
    <w:rsid w:val="000B3F91"/>
    <w:rsid w:val="000B3FB1"/>
    <w:rsid w:val="000B40A4"/>
    <w:rsid w:val="000B411B"/>
    <w:rsid w:val="000B4294"/>
    <w:rsid w:val="000B4404"/>
    <w:rsid w:val="000B46AC"/>
    <w:rsid w:val="000B496F"/>
    <w:rsid w:val="000B4D0B"/>
    <w:rsid w:val="000B5014"/>
    <w:rsid w:val="000B51BB"/>
    <w:rsid w:val="000B53FB"/>
    <w:rsid w:val="000B5606"/>
    <w:rsid w:val="000B58C7"/>
    <w:rsid w:val="000B5CCB"/>
    <w:rsid w:val="000B5DF2"/>
    <w:rsid w:val="000B5E03"/>
    <w:rsid w:val="000B5EA6"/>
    <w:rsid w:val="000B6123"/>
    <w:rsid w:val="000B6C7F"/>
    <w:rsid w:val="000B6F2B"/>
    <w:rsid w:val="000B718C"/>
    <w:rsid w:val="000B7722"/>
    <w:rsid w:val="000B7E8D"/>
    <w:rsid w:val="000C0008"/>
    <w:rsid w:val="000C0505"/>
    <w:rsid w:val="000C07EB"/>
    <w:rsid w:val="000C0AA3"/>
    <w:rsid w:val="000C0B3F"/>
    <w:rsid w:val="000C0BAC"/>
    <w:rsid w:val="000C0EA6"/>
    <w:rsid w:val="000C10DA"/>
    <w:rsid w:val="000C145D"/>
    <w:rsid w:val="000C1C2A"/>
    <w:rsid w:val="000C1C9F"/>
    <w:rsid w:val="000C1CB4"/>
    <w:rsid w:val="000C1DD8"/>
    <w:rsid w:val="000C1E5C"/>
    <w:rsid w:val="000C1FA9"/>
    <w:rsid w:val="000C205C"/>
    <w:rsid w:val="000C2239"/>
    <w:rsid w:val="000C226B"/>
    <w:rsid w:val="000C2840"/>
    <w:rsid w:val="000C2D5B"/>
    <w:rsid w:val="000C3337"/>
    <w:rsid w:val="000C3423"/>
    <w:rsid w:val="000C366D"/>
    <w:rsid w:val="000C3757"/>
    <w:rsid w:val="000C37A4"/>
    <w:rsid w:val="000C3ABA"/>
    <w:rsid w:val="000C3CD2"/>
    <w:rsid w:val="000C3D99"/>
    <w:rsid w:val="000C408A"/>
    <w:rsid w:val="000C4376"/>
    <w:rsid w:val="000C4668"/>
    <w:rsid w:val="000C46D2"/>
    <w:rsid w:val="000C4727"/>
    <w:rsid w:val="000C490D"/>
    <w:rsid w:val="000C4932"/>
    <w:rsid w:val="000C4AF5"/>
    <w:rsid w:val="000C4E90"/>
    <w:rsid w:val="000C521B"/>
    <w:rsid w:val="000C5550"/>
    <w:rsid w:val="000C5AC3"/>
    <w:rsid w:val="000C5AE9"/>
    <w:rsid w:val="000C626D"/>
    <w:rsid w:val="000C655E"/>
    <w:rsid w:val="000C65B6"/>
    <w:rsid w:val="000C6995"/>
    <w:rsid w:val="000C6BCA"/>
    <w:rsid w:val="000C6CD1"/>
    <w:rsid w:val="000C6FF4"/>
    <w:rsid w:val="000C7588"/>
    <w:rsid w:val="000C761E"/>
    <w:rsid w:val="000C7CFC"/>
    <w:rsid w:val="000C7FAF"/>
    <w:rsid w:val="000D00FE"/>
    <w:rsid w:val="000D024B"/>
    <w:rsid w:val="000D041C"/>
    <w:rsid w:val="000D048A"/>
    <w:rsid w:val="000D0726"/>
    <w:rsid w:val="000D07EF"/>
    <w:rsid w:val="000D0ACA"/>
    <w:rsid w:val="000D0AEB"/>
    <w:rsid w:val="000D0AEC"/>
    <w:rsid w:val="000D0B2C"/>
    <w:rsid w:val="000D1028"/>
    <w:rsid w:val="000D1510"/>
    <w:rsid w:val="000D1660"/>
    <w:rsid w:val="000D1912"/>
    <w:rsid w:val="000D19FE"/>
    <w:rsid w:val="000D1A1A"/>
    <w:rsid w:val="000D1B08"/>
    <w:rsid w:val="000D1C04"/>
    <w:rsid w:val="000D1CFF"/>
    <w:rsid w:val="000D228F"/>
    <w:rsid w:val="000D23D7"/>
    <w:rsid w:val="000D26ED"/>
    <w:rsid w:val="000D2A8F"/>
    <w:rsid w:val="000D2C38"/>
    <w:rsid w:val="000D2D8D"/>
    <w:rsid w:val="000D2F57"/>
    <w:rsid w:val="000D2F65"/>
    <w:rsid w:val="000D2FAA"/>
    <w:rsid w:val="000D3191"/>
    <w:rsid w:val="000D32EE"/>
    <w:rsid w:val="000D343A"/>
    <w:rsid w:val="000D3603"/>
    <w:rsid w:val="000D3727"/>
    <w:rsid w:val="000D391C"/>
    <w:rsid w:val="000D3AC7"/>
    <w:rsid w:val="000D3B1E"/>
    <w:rsid w:val="000D3CE5"/>
    <w:rsid w:val="000D3EEE"/>
    <w:rsid w:val="000D3F04"/>
    <w:rsid w:val="000D40CA"/>
    <w:rsid w:val="000D419D"/>
    <w:rsid w:val="000D4683"/>
    <w:rsid w:val="000D4696"/>
    <w:rsid w:val="000D499C"/>
    <w:rsid w:val="000D4A55"/>
    <w:rsid w:val="000D4B93"/>
    <w:rsid w:val="000D4C32"/>
    <w:rsid w:val="000D4E21"/>
    <w:rsid w:val="000D502B"/>
    <w:rsid w:val="000D5294"/>
    <w:rsid w:val="000D53CF"/>
    <w:rsid w:val="000D58BF"/>
    <w:rsid w:val="000D59B5"/>
    <w:rsid w:val="000D5C13"/>
    <w:rsid w:val="000D5CE3"/>
    <w:rsid w:val="000D5FA5"/>
    <w:rsid w:val="000D6056"/>
    <w:rsid w:val="000D69DB"/>
    <w:rsid w:val="000D6D8F"/>
    <w:rsid w:val="000D6EAB"/>
    <w:rsid w:val="000D701D"/>
    <w:rsid w:val="000D7285"/>
    <w:rsid w:val="000D7780"/>
    <w:rsid w:val="000D77A6"/>
    <w:rsid w:val="000E04B2"/>
    <w:rsid w:val="000E1270"/>
    <w:rsid w:val="000E1444"/>
    <w:rsid w:val="000E1461"/>
    <w:rsid w:val="000E1600"/>
    <w:rsid w:val="000E167D"/>
    <w:rsid w:val="000E19F3"/>
    <w:rsid w:val="000E2C46"/>
    <w:rsid w:val="000E2EA0"/>
    <w:rsid w:val="000E32C5"/>
    <w:rsid w:val="000E334A"/>
    <w:rsid w:val="000E34F8"/>
    <w:rsid w:val="000E3617"/>
    <w:rsid w:val="000E3A15"/>
    <w:rsid w:val="000E3A8A"/>
    <w:rsid w:val="000E3A96"/>
    <w:rsid w:val="000E3AA4"/>
    <w:rsid w:val="000E3CEC"/>
    <w:rsid w:val="000E3D22"/>
    <w:rsid w:val="000E3E41"/>
    <w:rsid w:val="000E480E"/>
    <w:rsid w:val="000E4A6D"/>
    <w:rsid w:val="000E4CD7"/>
    <w:rsid w:val="000E51F1"/>
    <w:rsid w:val="000E54E4"/>
    <w:rsid w:val="000E5586"/>
    <w:rsid w:val="000E55DB"/>
    <w:rsid w:val="000E562B"/>
    <w:rsid w:val="000E579E"/>
    <w:rsid w:val="000E5C4F"/>
    <w:rsid w:val="000E5C67"/>
    <w:rsid w:val="000E5D67"/>
    <w:rsid w:val="000E6080"/>
    <w:rsid w:val="000E6174"/>
    <w:rsid w:val="000E61F3"/>
    <w:rsid w:val="000E6439"/>
    <w:rsid w:val="000E6840"/>
    <w:rsid w:val="000E6B27"/>
    <w:rsid w:val="000E6B7F"/>
    <w:rsid w:val="000E6E2F"/>
    <w:rsid w:val="000E6E3D"/>
    <w:rsid w:val="000E6E81"/>
    <w:rsid w:val="000E7347"/>
    <w:rsid w:val="000E759C"/>
    <w:rsid w:val="000E799C"/>
    <w:rsid w:val="000E7B10"/>
    <w:rsid w:val="000E7B7C"/>
    <w:rsid w:val="000E7C09"/>
    <w:rsid w:val="000E7C84"/>
    <w:rsid w:val="000E7CB7"/>
    <w:rsid w:val="000E7E00"/>
    <w:rsid w:val="000F002D"/>
    <w:rsid w:val="000F00B4"/>
    <w:rsid w:val="000F00D1"/>
    <w:rsid w:val="000F0338"/>
    <w:rsid w:val="000F0374"/>
    <w:rsid w:val="000F059B"/>
    <w:rsid w:val="000F068C"/>
    <w:rsid w:val="000F08FD"/>
    <w:rsid w:val="000F0950"/>
    <w:rsid w:val="000F0A46"/>
    <w:rsid w:val="000F0E90"/>
    <w:rsid w:val="000F113B"/>
    <w:rsid w:val="000F115A"/>
    <w:rsid w:val="000F1298"/>
    <w:rsid w:val="000F12EA"/>
    <w:rsid w:val="000F133E"/>
    <w:rsid w:val="000F1590"/>
    <w:rsid w:val="000F1826"/>
    <w:rsid w:val="000F1B4C"/>
    <w:rsid w:val="000F1CE7"/>
    <w:rsid w:val="000F1D4A"/>
    <w:rsid w:val="000F1F12"/>
    <w:rsid w:val="000F204B"/>
    <w:rsid w:val="000F23F2"/>
    <w:rsid w:val="000F24C5"/>
    <w:rsid w:val="000F2619"/>
    <w:rsid w:val="000F2764"/>
    <w:rsid w:val="000F2EF7"/>
    <w:rsid w:val="000F31A8"/>
    <w:rsid w:val="000F31CB"/>
    <w:rsid w:val="000F3A71"/>
    <w:rsid w:val="000F3B37"/>
    <w:rsid w:val="000F3DF5"/>
    <w:rsid w:val="000F4156"/>
    <w:rsid w:val="000F43A9"/>
    <w:rsid w:val="000F45C7"/>
    <w:rsid w:val="000F464D"/>
    <w:rsid w:val="000F4823"/>
    <w:rsid w:val="000F48B9"/>
    <w:rsid w:val="000F4A06"/>
    <w:rsid w:val="000F4A48"/>
    <w:rsid w:val="000F4DC1"/>
    <w:rsid w:val="000F5000"/>
    <w:rsid w:val="000F52FA"/>
    <w:rsid w:val="000F530A"/>
    <w:rsid w:val="000F5821"/>
    <w:rsid w:val="000F5CDA"/>
    <w:rsid w:val="000F5E23"/>
    <w:rsid w:val="000F60F9"/>
    <w:rsid w:val="000F6839"/>
    <w:rsid w:val="000F68C2"/>
    <w:rsid w:val="000F6959"/>
    <w:rsid w:val="000F6BD0"/>
    <w:rsid w:val="000F6D3A"/>
    <w:rsid w:val="000F7496"/>
    <w:rsid w:val="000F7D45"/>
    <w:rsid w:val="000F7E5A"/>
    <w:rsid w:val="000F7F30"/>
    <w:rsid w:val="001000BF"/>
    <w:rsid w:val="001001E2"/>
    <w:rsid w:val="001003D2"/>
    <w:rsid w:val="0010072E"/>
    <w:rsid w:val="00100BCE"/>
    <w:rsid w:val="00100C74"/>
    <w:rsid w:val="00100CD6"/>
    <w:rsid w:val="00100CFD"/>
    <w:rsid w:val="00100D7B"/>
    <w:rsid w:val="00100F6D"/>
    <w:rsid w:val="001019FE"/>
    <w:rsid w:val="00101B35"/>
    <w:rsid w:val="0010202B"/>
    <w:rsid w:val="001023ED"/>
    <w:rsid w:val="00102513"/>
    <w:rsid w:val="00102591"/>
    <w:rsid w:val="001026EF"/>
    <w:rsid w:val="00102AA5"/>
    <w:rsid w:val="00103020"/>
    <w:rsid w:val="001030DE"/>
    <w:rsid w:val="0010320D"/>
    <w:rsid w:val="00103B42"/>
    <w:rsid w:val="00103B8F"/>
    <w:rsid w:val="00103D62"/>
    <w:rsid w:val="00103E0F"/>
    <w:rsid w:val="00104103"/>
    <w:rsid w:val="00104364"/>
    <w:rsid w:val="0010436B"/>
    <w:rsid w:val="0010441A"/>
    <w:rsid w:val="001044BC"/>
    <w:rsid w:val="00104589"/>
    <w:rsid w:val="0010462B"/>
    <w:rsid w:val="00104637"/>
    <w:rsid w:val="0010469F"/>
    <w:rsid w:val="00104A25"/>
    <w:rsid w:val="0010513B"/>
    <w:rsid w:val="001051DF"/>
    <w:rsid w:val="001051E0"/>
    <w:rsid w:val="001052C4"/>
    <w:rsid w:val="001057E2"/>
    <w:rsid w:val="0010598F"/>
    <w:rsid w:val="00105A2A"/>
    <w:rsid w:val="00105AD4"/>
    <w:rsid w:val="00105D7D"/>
    <w:rsid w:val="00106012"/>
    <w:rsid w:val="001063B3"/>
    <w:rsid w:val="0010665C"/>
    <w:rsid w:val="00106A02"/>
    <w:rsid w:val="00106F67"/>
    <w:rsid w:val="001070A2"/>
    <w:rsid w:val="00107921"/>
    <w:rsid w:val="0010796C"/>
    <w:rsid w:val="00107C04"/>
    <w:rsid w:val="00107E3F"/>
    <w:rsid w:val="00107ED6"/>
    <w:rsid w:val="0011023F"/>
    <w:rsid w:val="0011050F"/>
    <w:rsid w:val="00110856"/>
    <w:rsid w:val="0011088A"/>
    <w:rsid w:val="00110936"/>
    <w:rsid w:val="001109A0"/>
    <w:rsid w:val="00110E06"/>
    <w:rsid w:val="00110F98"/>
    <w:rsid w:val="001110A8"/>
    <w:rsid w:val="0011116E"/>
    <w:rsid w:val="00111774"/>
    <w:rsid w:val="0011199A"/>
    <w:rsid w:val="00111AA3"/>
    <w:rsid w:val="00111AC4"/>
    <w:rsid w:val="00111B52"/>
    <w:rsid w:val="00111DA1"/>
    <w:rsid w:val="00111E24"/>
    <w:rsid w:val="00111E87"/>
    <w:rsid w:val="00111ED3"/>
    <w:rsid w:val="001120F5"/>
    <w:rsid w:val="001121CB"/>
    <w:rsid w:val="0011242E"/>
    <w:rsid w:val="00112695"/>
    <w:rsid w:val="001126C7"/>
    <w:rsid w:val="00112979"/>
    <w:rsid w:val="00112993"/>
    <w:rsid w:val="00112BF0"/>
    <w:rsid w:val="00112D66"/>
    <w:rsid w:val="00112DD2"/>
    <w:rsid w:val="00112DD5"/>
    <w:rsid w:val="00112DF1"/>
    <w:rsid w:val="00112F06"/>
    <w:rsid w:val="00113004"/>
    <w:rsid w:val="0011307F"/>
    <w:rsid w:val="001133BF"/>
    <w:rsid w:val="0011345B"/>
    <w:rsid w:val="001135AC"/>
    <w:rsid w:val="00113780"/>
    <w:rsid w:val="00113AA8"/>
    <w:rsid w:val="001140AC"/>
    <w:rsid w:val="001145F9"/>
    <w:rsid w:val="00114751"/>
    <w:rsid w:val="00114772"/>
    <w:rsid w:val="001148CA"/>
    <w:rsid w:val="00114D3D"/>
    <w:rsid w:val="00114F02"/>
    <w:rsid w:val="00114F2D"/>
    <w:rsid w:val="00114F8C"/>
    <w:rsid w:val="0011515C"/>
    <w:rsid w:val="0011535E"/>
    <w:rsid w:val="00115416"/>
    <w:rsid w:val="00115764"/>
    <w:rsid w:val="00115B58"/>
    <w:rsid w:val="00115CB4"/>
    <w:rsid w:val="0011624B"/>
    <w:rsid w:val="0011626E"/>
    <w:rsid w:val="00116615"/>
    <w:rsid w:val="001167CC"/>
    <w:rsid w:val="00116DD8"/>
    <w:rsid w:val="00116E17"/>
    <w:rsid w:val="001170F1"/>
    <w:rsid w:val="001171D0"/>
    <w:rsid w:val="00117340"/>
    <w:rsid w:val="00117412"/>
    <w:rsid w:val="001178B8"/>
    <w:rsid w:val="00117A53"/>
    <w:rsid w:val="00117D14"/>
    <w:rsid w:val="00117FDF"/>
    <w:rsid w:val="00120133"/>
    <w:rsid w:val="001206D4"/>
    <w:rsid w:val="00120906"/>
    <w:rsid w:val="00120ABA"/>
    <w:rsid w:val="00120D51"/>
    <w:rsid w:val="00121325"/>
    <w:rsid w:val="001213FD"/>
    <w:rsid w:val="0012162F"/>
    <w:rsid w:val="001216BC"/>
    <w:rsid w:val="001219A5"/>
    <w:rsid w:val="00121A18"/>
    <w:rsid w:val="00121A98"/>
    <w:rsid w:val="00121B17"/>
    <w:rsid w:val="00121E1B"/>
    <w:rsid w:val="00121E39"/>
    <w:rsid w:val="00121E67"/>
    <w:rsid w:val="0012221E"/>
    <w:rsid w:val="0012237C"/>
    <w:rsid w:val="00122719"/>
    <w:rsid w:val="00122BDD"/>
    <w:rsid w:val="0012356A"/>
    <w:rsid w:val="00123C9C"/>
    <w:rsid w:val="001240D0"/>
    <w:rsid w:val="00124169"/>
    <w:rsid w:val="0012427E"/>
    <w:rsid w:val="001243F5"/>
    <w:rsid w:val="0012440D"/>
    <w:rsid w:val="001244F2"/>
    <w:rsid w:val="00124747"/>
    <w:rsid w:val="0012477A"/>
    <w:rsid w:val="001248F6"/>
    <w:rsid w:val="00124917"/>
    <w:rsid w:val="00124A60"/>
    <w:rsid w:val="00124A80"/>
    <w:rsid w:val="00124CDE"/>
    <w:rsid w:val="0012500E"/>
    <w:rsid w:val="00125513"/>
    <w:rsid w:val="001256D5"/>
    <w:rsid w:val="00125A63"/>
    <w:rsid w:val="00125A7B"/>
    <w:rsid w:val="00125AB1"/>
    <w:rsid w:val="00125C4D"/>
    <w:rsid w:val="00125CDA"/>
    <w:rsid w:val="00125CF4"/>
    <w:rsid w:val="00125DC9"/>
    <w:rsid w:val="001262DA"/>
    <w:rsid w:val="00126CBE"/>
    <w:rsid w:val="00126D4C"/>
    <w:rsid w:val="00126F79"/>
    <w:rsid w:val="00127261"/>
    <w:rsid w:val="001272E9"/>
    <w:rsid w:val="0012746C"/>
    <w:rsid w:val="00127A68"/>
    <w:rsid w:val="00127DFE"/>
    <w:rsid w:val="001301CA"/>
    <w:rsid w:val="0013036F"/>
    <w:rsid w:val="001305C9"/>
    <w:rsid w:val="00130881"/>
    <w:rsid w:val="00130896"/>
    <w:rsid w:val="00130B3F"/>
    <w:rsid w:val="00130E67"/>
    <w:rsid w:val="00130FFF"/>
    <w:rsid w:val="001314F0"/>
    <w:rsid w:val="0013198E"/>
    <w:rsid w:val="00131DD4"/>
    <w:rsid w:val="00131E74"/>
    <w:rsid w:val="00131E75"/>
    <w:rsid w:val="00131E9A"/>
    <w:rsid w:val="001322CA"/>
    <w:rsid w:val="001323EE"/>
    <w:rsid w:val="001323F8"/>
    <w:rsid w:val="00132437"/>
    <w:rsid w:val="001324C1"/>
    <w:rsid w:val="00132A2B"/>
    <w:rsid w:val="00132BBF"/>
    <w:rsid w:val="00132D31"/>
    <w:rsid w:val="001332BA"/>
    <w:rsid w:val="0013348E"/>
    <w:rsid w:val="001335AE"/>
    <w:rsid w:val="00133645"/>
    <w:rsid w:val="00133C48"/>
    <w:rsid w:val="00133FCB"/>
    <w:rsid w:val="0013448A"/>
    <w:rsid w:val="00134762"/>
    <w:rsid w:val="001348D7"/>
    <w:rsid w:val="00134B59"/>
    <w:rsid w:val="00134E1E"/>
    <w:rsid w:val="0013510B"/>
    <w:rsid w:val="0013544A"/>
    <w:rsid w:val="001355AB"/>
    <w:rsid w:val="001355DE"/>
    <w:rsid w:val="00135604"/>
    <w:rsid w:val="0013580B"/>
    <w:rsid w:val="00135933"/>
    <w:rsid w:val="00135AD6"/>
    <w:rsid w:val="00135B5E"/>
    <w:rsid w:val="00135C4A"/>
    <w:rsid w:val="00136170"/>
    <w:rsid w:val="001364B6"/>
    <w:rsid w:val="001366EE"/>
    <w:rsid w:val="0013683D"/>
    <w:rsid w:val="00136D0D"/>
    <w:rsid w:val="00136D23"/>
    <w:rsid w:val="00136E1B"/>
    <w:rsid w:val="00136FC1"/>
    <w:rsid w:val="0013705F"/>
    <w:rsid w:val="001374CA"/>
    <w:rsid w:val="001375EA"/>
    <w:rsid w:val="00137697"/>
    <w:rsid w:val="0013778D"/>
    <w:rsid w:val="00140046"/>
    <w:rsid w:val="00140301"/>
    <w:rsid w:val="00140880"/>
    <w:rsid w:val="00140E07"/>
    <w:rsid w:val="0014105D"/>
    <w:rsid w:val="001411CE"/>
    <w:rsid w:val="001411CF"/>
    <w:rsid w:val="0014158E"/>
    <w:rsid w:val="001416D3"/>
    <w:rsid w:val="00141ABD"/>
    <w:rsid w:val="00141B8C"/>
    <w:rsid w:val="00141C0A"/>
    <w:rsid w:val="00141F05"/>
    <w:rsid w:val="00141F36"/>
    <w:rsid w:val="00142136"/>
    <w:rsid w:val="001422F5"/>
    <w:rsid w:val="001424F6"/>
    <w:rsid w:val="001425E1"/>
    <w:rsid w:val="001428C8"/>
    <w:rsid w:val="00142AC9"/>
    <w:rsid w:val="00142BB2"/>
    <w:rsid w:val="00142FC8"/>
    <w:rsid w:val="00142FF5"/>
    <w:rsid w:val="001430D5"/>
    <w:rsid w:val="00143371"/>
    <w:rsid w:val="00143900"/>
    <w:rsid w:val="00143FEF"/>
    <w:rsid w:val="0014429A"/>
    <w:rsid w:val="001442EC"/>
    <w:rsid w:val="0014478B"/>
    <w:rsid w:val="00144C50"/>
    <w:rsid w:val="00144C7B"/>
    <w:rsid w:val="00144CBF"/>
    <w:rsid w:val="00144DB2"/>
    <w:rsid w:val="0014515B"/>
    <w:rsid w:val="00145265"/>
    <w:rsid w:val="00145363"/>
    <w:rsid w:val="001454BE"/>
    <w:rsid w:val="001459B6"/>
    <w:rsid w:val="00146409"/>
    <w:rsid w:val="00146942"/>
    <w:rsid w:val="00146B0E"/>
    <w:rsid w:val="001470BC"/>
    <w:rsid w:val="00147A67"/>
    <w:rsid w:val="00147B34"/>
    <w:rsid w:val="00147D59"/>
    <w:rsid w:val="00147D89"/>
    <w:rsid w:val="001500D9"/>
    <w:rsid w:val="001501C3"/>
    <w:rsid w:val="00150584"/>
    <w:rsid w:val="00150656"/>
    <w:rsid w:val="0015073A"/>
    <w:rsid w:val="001508B3"/>
    <w:rsid w:val="001509DF"/>
    <w:rsid w:val="00150A73"/>
    <w:rsid w:val="001516C4"/>
    <w:rsid w:val="001518CE"/>
    <w:rsid w:val="00151965"/>
    <w:rsid w:val="00151972"/>
    <w:rsid w:val="00151F1B"/>
    <w:rsid w:val="00152033"/>
    <w:rsid w:val="0015243B"/>
    <w:rsid w:val="0015275E"/>
    <w:rsid w:val="001528B5"/>
    <w:rsid w:val="00152A6F"/>
    <w:rsid w:val="00152CE5"/>
    <w:rsid w:val="00152DD3"/>
    <w:rsid w:val="00153098"/>
    <w:rsid w:val="0015336E"/>
    <w:rsid w:val="001535EC"/>
    <w:rsid w:val="00153BF2"/>
    <w:rsid w:val="00153C71"/>
    <w:rsid w:val="00153DC5"/>
    <w:rsid w:val="00153E49"/>
    <w:rsid w:val="00153EBD"/>
    <w:rsid w:val="00154053"/>
    <w:rsid w:val="0015422F"/>
    <w:rsid w:val="001542B8"/>
    <w:rsid w:val="0015447A"/>
    <w:rsid w:val="0015491F"/>
    <w:rsid w:val="00154CA8"/>
    <w:rsid w:val="00154E58"/>
    <w:rsid w:val="001551A0"/>
    <w:rsid w:val="001552FC"/>
    <w:rsid w:val="001554D0"/>
    <w:rsid w:val="0015583E"/>
    <w:rsid w:val="00155996"/>
    <w:rsid w:val="00155C65"/>
    <w:rsid w:val="00155D1B"/>
    <w:rsid w:val="00155DD2"/>
    <w:rsid w:val="00155DF7"/>
    <w:rsid w:val="0015611C"/>
    <w:rsid w:val="0015635F"/>
    <w:rsid w:val="0015641D"/>
    <w:rsid w:val="0015642D"/>
    <w:rsid w:val="001564E1"/>
    <w:rsid w:val="001566B2"/>
    <w:rsid w:val="001568DE"/>
    <w:rsid w:val="00156B70"/>
    <w:rsid w:val="00157380"/>
    <w:rsid w:val="00157514"/>
    <w:rsid w:val="0015753C"/>
    <w:rsid w:val="00157841"/>
    <w:rsid w:val="00157971"/>
    <w:rsid w:val="00157CA0"/>
    <w:rsid w:val="00157CD9"/>
    <w:rsid w:val="00157CEC"/>
    <w:rsid w:val="00157F7A"/>
    <w:rsid w:val="001605B4"/>
    <w:rsid w:val="001607EB"/>
    <w:rsid w:val="001608EF"/>
    <w:rsid w:val="00161307"/>
    <w:rsid w:val="0016136E"/>
    <w:rsid w:val="001613C9"/>
    <w:rsid w:val="00161809"/>
    <w:rsid w:val="001618F2"/>
    <w:rsid w:val="00161A2D"/>
    <w:rsid w:val="00161A98"/>
    <w:rsid w:val="00161AEC"/>
    <w:rsid w:val="00162026"/>
    <w:rsid w:val="0016220E"/>
    <w:rsid w:val="001623D8"/>
    <w:rsid w:val="00162A7E"/>
    <w:rsid w:val="00162B28"/>
    <w:rsid w:val="00162BCD"/>
    <w:rsid w:val="001630E0"/>
    <w:rsid w:val="001631A0"/>
    <w:rsid w:val="001633FB"/>
    <w:rsid w:val="00163705"/>
    <w:rsid w:val="001637AD"/>
    <w:rsid w:val="001637BB"/>
    <w:rsid w:val="00163B53"/>
    <w:rsid w:val="00163B8A"/>
    <w:rsid w:val="00163CBD"/>
    <w:rsid w:val="00163D22"/>
    <w:rsid w:val="00163D58"/>
    <w:rsid w:val="00163E65"/>
    <w:rsid w:val="00163FA7"/>
    <w:rsid w:val="001640CB"/>
    <w:rsid w:val="001640DA"/>
    <w:rsid w:val="001641FF"/>
    <w:rsid w:val="00164AA5"/>
    <w:rsid w:val="00164D8F"/>
    <w:rsid w:val="0016523A"/>
    <w:rsid w:val="0016531A"/>
    <w:rsid w:val="001655DB"/>
    <w:rsid w:val="001657CD"/>
    <w:rsid w:val="00165B91"/>
    <w:rsid w:val="00165FAD"/>
    <w:rsid w:val="00166044"/>
    <w:rsid w:val="001660B5"/>
    <w:rsid w:val="00166345"/>
    <w:rsid w:val="001665BE"/>
    <w:rsid w:val="0016688B"/>
    <w:rsid w:val="00166B04"/>
    <w:rsid w:val="00166DAA"/>
    <w:rsid w:val="00166F5E"/>
    <w:rsid w:val="0016725E"/>
    <w:rsid w:val="00167261"/>
    <w:rsid w:val="001674E5"/>
    <w:rsid w:val="001675A1"/>
    <w:rsid w:val="00167BD2"/>
    <w:rsid w:val="00167DB8"/>
    <w:rsid w:val="00167E82"/>
    <w:rsid w:val="00167F6B"/>
    <w:rsid w:val="00167F6E"/>
    <w:rsid w:val="00170523"/>
    <w:rsid w:val="001705A4"/>
    <w:rsid w:val="001706CA"/>
    <w:rsid w:val="00170753"/>
    <w:rsid w:val="001708AA"/>
    <w:rsid w:val="001708DE"/>
    <w:rsid w:val="00170B4F"/>
    <w:rsid w:val="00170C8F"/>
    <w:rsid w:val="00170F53"/>
    <w:rsid w:val="0017136D"/>
    <w:rsid w:val="001713D0"/>
    <w:rsid w:val="001716C6"/>
    <w:rsid w:val="00171CA3"/>
    <w:rsid w:val="00171D17"/>
    <w:rsid w:val="00171DF3"/>
    <w:rsid w:val="00171E85"/>
    <w:rsid w:val="0017203A"/>
    <w:rsid w:val="001721F5"/>
    <w:rsid w:val="0017229D"/>
    <w:rsid w:val="0017268C"/>
    <w:rsid w:val="001727DD"/>
    <w:rsid w:val="00172A6D"/>
    <w:rsid w:val="00172ADC"/>
    <w:rsid w:val="00172D86"/>
    <w:rsid w:val="00172DF4"/>
    <w:rsid w:val="00172E40"/>
    <w:rsid w:val="00172FB8"/>
    <w:rsid w:val="00172FBC"/>
    <w:rsid w:val="00173355"/>
    <w:rsid w:val="0017343B"/>
    <w:rsid w:val="0017390C"/>
    <w:rsid w:val="00173A41"/>
    <w:rsid w:val="00173A7C"/>
    <w:rsid w:val="00173C2C"/>
    <w:rsid w:val="001746B1"/>
    <w:rsid w:val="001746F6"/>
    <w:rsid w:val="0017484B"/>
    <w:rsid w:val="0017496E"/>
    <w:rsid w:val="001749D2"/>
    <w:rsid w:val="00175030"/>
    <w:rsid w:val="00175041"/>
    <w:rsid w:val="001752B4"/>
    <w:rsid w:val="00175494"/>
    <w:rsid w:val="00175597"/>
    <w:rsid w:val="00175D0B"/>
    <w:rsid w:val="00175ECF"/>
    <w:rsid w:val="001761AD"/>
    <w:rsid w:val="00176276"/>
    <w:rsid w:val="00176501"/>
    <w:rsid w:val="0017660C"/>
    <w:rsid w:val="00176642"/>
    <w:rsid w:val="00176C1E"/>
    <w:rsid w:val="00176E30"/>
    <w:rsid w:val="0017714E"/>
    <w:rsid w:val="00177AAB"/>
    <w:rsid w:val="00177AC4"/>
    <w:rsid w:val="0018004A"/>
    <w:rsid w:val="00180395"/>
    <w:rsid w:val="001806CE"/>
    <w:rsid w:val="001808F6"/>
    <w:rsid w:val="00180939"/>
    <w:rsid w:val="00180B16"/>
    <w:rsid w:val="00181407"/>
    <w:rsid w:val="00181511"/>
    <w:rsid w:val="00181683"/>
    <w:rsid w:val="001816CA"/>
    <w:rsid w:val="0018178D"/>
    <w:rsid w:val="00181796"/>
    <w:rsid w:val="001817CF"/>
    <w:rsid w:val="0018186B"/>
    <w:rsid w:val="00181954"/>
    <w:rsid w:val="00181BB2"/>
    <w:rsid w:val="00181BC6"/>
    <w:rsid w:val="00181BE6"/>
    <w:rsid w:val="00181DB6"/>
    <w:rsid w:val="00181E1B"/>
    <w:rsid w:val="001820EB"/>
    <w:rsid w:val="001821E6"/>
    <w:rsid w:val="0018251A"/>
    <w:rsid w:val="00182840"/>
    <w:rsid w:val="00182915"/>
    <w:rsid w:val="00182A42"/>
    <w:rsid w:val="00182C86"/>
    <w:rsid w:val="00182F25"/>
    <w:rsid w:val="0018313B"/>
    <w:rsid w:val="00183409"/>
    <w:rsid w:val="00183596"/>
    <w:rsid w:val="001836DD"/>
    <w:rsid w:val="00183C0A"/>
    <w:rsid w:val="00183CF9"/>
    <w:rsid w:val="001841C3"/>
    <w:rsid w:val="00184B38"/>
    <w:rsid w:val="00184CBC"/>
    <w:rsid w:val="00184E46"/>
    <w:rsid w:val="00184E95"/>
    <w:rsid w:val="00184F69"/>
    <w:rsid w:val="001851CF"/>
    <w:rsid w:val="001852BC"/>
    <w:rsid w:val="00185548"/>
    <w:rsid w:val="0018557E"/>
    <w:rsid w:val="00185582"/>
    <w:rsid w:val="00185A97"/>
    <w:rsid w:val="00185AD6"/>
    <w:rsid w:val="00185B0C"/>
    <w:rsid w:val="00185D09"/>
    <w:rsid w:val="00185D56"/>
    <w:rsid w:val="00185E43"/>
    <w:rsid w:val="001863EE"/>
    <w:rsid w:val="00186A8F"/>
    <w:rsid w:val="00186B66"/>
    <w:rsid w:val="00186BDE"/>
    <w:rsid w:val="00186BF5"/>
    <w:rsid w:val="00186CAA"/>
    <w:rsid w:val="00186FA3"/>
    <w:rsid w:val="00187959"/>
    <w:rsid w:val="0018799C"/>
    <w:rsid w:val="001903EC"/>
    <w:rsid w:val="00190846"/>
    <w:rsid w:val="00190892"/>
    <w:rsid w:val="00190B7C"/>
    <w:rsid w:val="0019145E"/>
    <w:rsid w:val="00191564"/>
    <w:rsid w:val="001915D8"/>
    <w:rsid w:val="00191789"/>
    <w:rsid w:val="0019180F"/>
    <w:rsid w:val="00191EFC"/>
    <w:rsid w:val="0019205E"/>
    <w:rsid w:val="00192378"/>
    <w:rsid w:val="001923C0"/>
    <w:rsid w:val="001927AE"/>
    <w:rsid w:val="001927FD"/>
    <w:rsid w:val="00192877"/>
    <w:rsid w:val="00192891"/>
    <w:rsid w:val="00192A11"/>
    <w:rsid w:val="00192E2C"/>
    <w:rsid w:val="00193172"/>
    <w:rsid w:val="00193304"/>
    <w:rsid w:val="00193346"/>
    <w:rsid w:val="00193966"/>
    <w:rsid w:val="001939FB"/>
    <w:rsid w:val="00193D22"/>
    <w:rsid w:val="0019401C"/>
    <w:rsid w:val="00194821"/>
    <w:rsid w:val="001950B6"/>
    <w:rsid w:val="0019549A"/>
    <w:rsid w:val="00195533"/>
    <w:rsid w:val="001958ED"/>
    <w:rsid w:val="0019590A"/>
    <w:rsid w:val="0019590E"/>
    <w:rsid w:val="001959E0"/>
    <w:rsid w:val="00195BCA"/>
    <w:rsid w:val="00195E52"/>
    <w:rsid w:val="001962C4"/>
    <w:rsid w:val="0019631C"/>
    <w:rsid w:val="0019633F"/>
    <w:rsid w:val="00196897"/>
    <w:rsid w:val="00196B9C"/>
    <w:rsid w:val="00196D0C"/>
    <w:rsid w:val="00196E9A"/>
    <w:rsid w:val="0019709A"/>
    <w:rsid w:val="00197135"/>
    <w:rsid w:val="00197186"/>
    <w:rsid w:val="0019718B"/>
    <w:rsid w:val="00197360"/>
    <w:rsid w:val="001977C2"/>
    <w:rsid w:val="0019793F"/>
    <w:rsid w:val="00197953"/>
    <w:rsid w:val="00197E4E"/>
    <w:rsid w:val="001A0002"/>
    <w:rsid w:val="001A04D9"/>
    <w:rsid w:val="001A05A3"/>
    <w:rsid w:val="001A064E"/>
    <w:rsid w:val="001A0CE5"/>
    <w:rsid w:val="001A0DD7"/>
    <w:rsid w:val="001A0EAB"/>
    <w:rsid w:val="001A11DD"/>
    <w:rsid w:val="001A11F2"/>
    <w:rsid w:val="001A1510"/>
    <w:rsid w:val="001A1654"/>
    <w:rsid w:val="001A177C"/>
    <w:rsid w:val="001A1858"/>
    <w:rsid w:val="001A1A9C"/>
    <w:rsid w:val="001A1AD7"/>
    <w:rsid w:val="001A1E32"/>
    <w:rsid w:val="001A21DA"/>
    <w:rsid w:val="001A2267"/>
    <w:rsid w:val="001A249D"/>
    <w:rsid w:val="001A265F"/>
    <w:rsid w:val="001A276B"/>
    <w:rsid w:val="001A27B0"/>
    <w:rsid w:val="001A2890"/>
    <w:rsid w:val="001A2D8E"/>
    <w:rsid w:val="001A2F73"/>
    <w:rsid w:val="001A3119"/>
    <w:rsid w:val="001A3160"/>
    <w:rsid w:val="001A3998"/>
    <w:rsid w:val="001A39B2"/>
    <w:rsid w:val="001A3E0C"/>
    <w:rsid w:val="001A4251"/>
    <w:rsid w:val="001A4870"/>
    <w:rsid w:val="001A4C59"/>
    <w:rsid w:val="001A4C99"/>
    <w:rsid w:val="001A4E7E"/>
    <w:rsid w:val="001A50E5"/>
    <w:rsid w:val="001A570A"/>
    <w:rsid w:val="001A588A"/>
    <w:rsid w:val="001A5928"/>
    <w:rsid w:val="001A5946"/>
    <w:rsid w:val="001A5B43"/>
    <w:rsid w:val="001A5E29"/>
    <w:rsid w:val="001A5E72"/>
    <w:rsid w:val="001A5F54"/>
    <w:rsid w:val="001A609B"/>
    <w:rsid w:val="001A61D2"/>
    <w:rsid w:val="001A6445"/>
    <w:rsid w:val="001A69E1"/>
    <w:rsid w:val="001A6BA7"/>
    <w:rsid w:val="001A6C00"/>
    <w:rsid w:val="001A6D3D"/>
    <w:rsid w:val="001A704B"/>
    <w:rsid w:val="001A7364"/>
    <w:rsid w:val="001A7CD1"/>
    <w:rsid w:val="001A7D46"/>
    <w:rsid w:val="001A7D7C"/>
    <w:rsid w:val="001A7F1D"/>
    <w:rsid w:val="001B044B"/>
    <w:rsid w:val="001B05EB"/>
    <w:rsid w:val="001B0D5D"/>
    <w:rsid w:val="001B0DA4"/>
    <w:rsid w:val="001B111B"/>
    <w:rsid w:val="001B15DE"/>
    <w:rsid w:val="001B17F5"/>
    <w:rsid w:val="001B1834"/>
    <w:rsid w:val="001B18C7"/>
    <w:rsid w:val="001B18E7"/>
    <w:rsid w:val="001B19E6"/>
    <w:rsid w:val="001B1B61"/>
    <w:rsid w:val="001B1F2A"/>
    <w:rsid w:val="001B2072"/>
    <w:rsid w:val="001B22B5"/>
    <w:rsid w:val="001B23C3"/>
    <w:rsid w:val="001B2434"/>
    <w:rsid w:val="001B2470"/>
    <w:rsid w:val="001B24BF"/>
    <w:rsid w:val="001B2650"/>
    <w:rsid w:val="001B2A0B"/>
    <w:rsid w:val="001B2AB0"/>
    <w:rsid w:val="001B2E24"/>
    <w:rsid w:val="001B2E50"/>
    <w:rsid w:val="001B2EB7"/>
    <w:rsid w:val="001B2FD7"/>
    <w:rsid w:val="001B2FEA"/>
    <w:rsid w:val="001B303C"/>
    <w:rsid w:val="001B3043"/>
    <w:rsid w:val="001B367E"/>
    <w:rsid w:val="001B3684"/>
    <w:rsid w:val="001B36D8"/>
    <w:rsid w:val="001B378D"/>
    <w:rsid w:val="001B3AC9"/>
    <w:rsid w:val="001B3D5F"/>
    <w:rsid w:val="001B3E67"/>
    <w:rsid w:val="001B3EC6"/>
    <w:rsid w:val="001B4228"/>
    <w:rsid w:val="001B425C"/>
    <w:rsid w:val="001B4754"/>
    <w:rsid w:val="001B477E"/>
    <w:rsid w:val="001B483B"/>
    <w:rsid w:val="001B488D"/>
    <w:rsid w:val="001B489E"/>
    <w:rsid w:val="001B4B75"/>
    <w:rsid w:val="001B4D26"/>
    <w:rsid w:val="001B4F1C"/>
    <w:rsid w:val="001B4F90"/>
    <w:rsid w:val="001B51EA"/>
    <w:rsid w:val="001B534E"/>
    <w:rsid w:val="001B5707"/>
    <w:rsid w:val="001B587A"/>
    <w:rsid w:val="001B5C2D"/>
    <w:rsid w:val="001B5E00"/>
    <w:rsid w:val="001B5F0D"/>
    <w:rsid w:val="001B5FB7"/>
    <w:rsid w:val="001B5FBC"/>
    <w:rsid w:val="001B6730"/>
    <w:rsid w:val="001B7200"/>
    <w:rsid w:val="001B73B3"/>
    <w:rsid w:val="001B743B"/>
    <w:rsid w:val="001B751A"/>
    <w:rsid w:val="001B75EF"/>
    <w:rsid w:val="001B7E19"/>
    <w:rsid w:val="001B7F99"/>
    <w:rsid w:val="001C0108"/>
    <w:rsid w:val="001C0322"/>
    <w:rsid w:val="001C0421"/>
    <w:rsid w:val="001C0437"/>
    <w:rsid w:val="001C0824"/>
    <w:rsid w:val="001C09AF"/>
    <w:rsid w:val="001C119B"/>
    <w:rsid w:val="001C1627"/>
    <w:rsid w:val="001C164B"/>
    <w:rsid w:val="001C17BE"/>
    <w:rsid w:val="001C1891"/>
    <w:rsid w:val="001C1B10"/>
    <w:rsid w:val="001C1D2D"/>
    <w:rsid w:val="001C20CD"/>
    <w:rsid w:val="001C2379"/>
    <w:rsid w:val="001C2409"/>
    <w:rsid w:val="001C2635"/>
    <w:rsid w:val="001C266D"/>
    <w:rsid w:val="001C2921"/>
    <w:rsid w:val="001C293E"/>
    <w:rsid w:val="001C296B"/>
    <w:rsid w:val="001C2CD5"/>
    <w:rsid w:val="001C3B33"/>
    <w:rsid w:val="001C3C83"/>
    <w:rsid w:val="001C3E37"/>
    <w:rsid w:val="001C3F70"/>
    <w:rsid w:val="001C460D"/>
    <w:rsid w:val="001C48A3"/>
    <w:rsid w:val="001C5069"/>
    <w:rsid w:val="001C51B2"/>
    <w:rsid w:val="001C52C8"/>
    <w:rsid w:val="001C5434"/>
    <w:rsid w:val="001C5531"/>
    <w:rsid w:val="001C576B"/>
    <w:rsid w:val="001C5BBD"/>
    <w:rsid w:val="001C5C87"/>
    <w:rsid w:val="001C6257"/>
    <w:rsid w:val="001C6272"/>
    <w:rsid w:val="001C6363"/>
    <w:rsid w:val="001C63F1"/>
    <w:rsid w:val="001C64E3"/>
    <w:rsid w:val="001C6AB9"/>
    <w:rsid w:val="001C6BC8"/>
    <w:rsid w:val="001C70EB"/>
    <w:rsid w:val="001C7247"/>
    <w:rsid w:val="001C7271"/>
    <w:rsid w:val="001C736C"/>
    <w:rsid w:val="001C76F9"/>
    <w:rsid w:val="001C77A6"/>
    <w:rsid w:val="001C77EE"/>
    <w:rsid w:val="001C7867"/>
    <w:rsid w:val="001C7AE4"/>
    <w:rsid w:val="001C7CEE"/>
    <w:rsid w:val="001D0311"/>
    <w:rsid w:val="001D04BD"/>
    <w:rsid w:val="001D051C"/>
    <w:rsid w:val="001D056F"/>
    <w:rsid w:val="001D080D"/>
    <w:rsid w:val="001D082A"/>
    <w:rsid w:val="001D0920"/>
    <w:rsid w:val="001D0C2B"/>
    <w:rsid w:val="001D14BB"/>
    <w:rsid w:val="001D1579"/>
    <w:rsid w:val="001D15C5"/>
    <w:rsid w:val="001D1895"/>
    <w:rsid w:val="001D1961"/>
    <w:rsid w:val="001D1A5A"/>
    <w:rsid w:val="001D1C2B"/>
    <w:rsid w:val="001D1F8C"/>
    <w:rsid w:val="001D2015"/>
    <w:rsid w:val="001D21ED"/>
    <w:rsid w:val="001D22E8"/>
    <w:rsid w:val="001D25EA"/>
    <w:rsid w:val="001D276A"/>
    <w:rsid w:val="001D278F"/>
    <w:rsid w:val="001D27C6"/>
    <w:rsid w:val="001D2806"/>
    <w:rsid w:val="001D2831"/>
    <w:rsid w:val="001D2AF5"/>
    <w:rsid w:val="001D2E2F"/>
    <w:rsid w:val="001D3593"/>
    <w:rsid w:val="001D3AC3"/>
    <w:rsid w:val="001D3BD7"/>
    <w:rsid w:val="001D3E81"/>
    <w:rsid w:val="001D3EF2"/>
    <w:rsid w:val="001D4114"/>
    <w:rsid w:val="001D4223"/>
    <w:rsid w:val="001D42F8"/>
    <w:rsid w:val="001D4650"/>
    <w:rsid w:val="001D465E"/>
    <w:rsid w:val="001D4886"/>
    <w:rsid w:val="001D48D2"/>
    <w:rsid w:val="001D49DC"/>
    <w:rsid w:val="001D4C9C"/>
    <w:rsid w:val="001D4DCB"/>
    <w:rsid w:val="001D54ED"/>
    <w:rsid w:val="001D55AA"/>
    <w:rsid w:val="001D5BA0"/>
    <w:rsid w:val="001D62A2"/>
    <w:rsid w:val="001D6364"/>
    <w:rsid w:val="001D63F9"/>
    <w:rsid w:val="001D658E"/>
    <w:rsid w:val="001D66A1"/>
    <w:rsid w:val="001D69C8"/>
    <w:rsid w:val="001D6FAD"/>
    <w:rsid w:val="001D70DC"/>
    <w:rsid w:val="001D7179"/>
    <w:rsid w:val="001D725E"/>
    <w:rsid w:val="001D729D"/>
    <w:rsid w:val="001D73C2"/>
    <w:rsid w:val="001D7693"/>
    <w:rsid w:val="001D7849"/>
    <w:rsid w:val="001D7BBF"/>
    <w:rsid w:val="001D7D63"/>
    <w:rsid w:val="001D7EE3"/>
    <w:rsid w:val="001E0485"/>
    <w:rsid w:val="001E04CA"/>
    <w:rsid w:val="001E0514"/>
    <w:rsid w:val="001E0AB7"/>
    <w:rsid w:val="001E0AE5"/>
    <w:rsid w:val="001E0E43"/>
    <w:rsid w:val="001E149E"/>
    <w:rsid w:val="001E15DC"/>
    <w:rsid w:val="001E1B79"/>
    <w:rsid w:val="001E1D57"/>
    <w:rsid w:val="001E1EE0"/>
    <w:rsid w:val="001E1EF4"/>
    <w:rsid w:val="001E2185"/>
    <w:rsid w:val="001E2459"/>
    <w:rsid w:val="001E2508"/>
    <w:rsid w:val="001E2AE7"/>
    <w:rsid w:val="001E2C96"/>
    <w:rsid w:val="001E2DCF"/>
    <w:rsid w:val="001E2FFF"/>
    <w:rsid w:val="001E3107"/>
    <w:rsid w:val="001E3476"/>
    <w:rsid w:val="001E34DB"/>
    <w:rsid w:val="001E38E6"/>
    <w:rsid w:val="001E3989"/>
    <w:rsid w:val="001E3CEA"/>
    <w:rsid w:val="001E3F20"/>
    <w:rsid w:val="001E3F9E"/>
    <w:rsid w:val="001E4176"/>
    <w:rsid w:val="001E421F"/>
    <w:rsid w:val="001E44DE"/>
    <w:rsid w:val="001E466E"/>
    <w:rsid w:val="001E4F8E"/>
    <w:rsid w:val="001E538F"/>
    <w:rsid w:val="001E5923"/>
    <w:rsid w:val="001E5ADC"/>
    <w:rsid w:val="001E5CDF"/>
    <w:rsid w:val="001E6049"/>
    <w:rsid w:val="001E6118"/>
    <w:rsid w:val="001E626D"/>
    <w:rsid w:val="001E6382"/>
    <w:rsid w:val="001E63A6"/>
    <w:rsid w:val="001E6454"/>
    <w:rsid w:val="001E6626"/>
    <w:rsid w:val="001E666D"/>
    <w:rsid w:val="001E666F"/>
    <w:rsid w:val="001E6B97"/>
    <w:rsid w:val="001E6DF8"/>
    <w:rsid w:val="001E6E61"/>
    <w:rsid w:val="001E6E65"/>
    <w:rsid w:val="001E70AF"/>
    <w:rsid w:val="001E7145"/>
    <w:rsid w:val="001E71F0"/>
    <w:rsid w:val="001E724F"/>
    <w:rsid w:val="001E72B6"/>
    <w:rsid w:val="001E798A"/>
    <w:rsid w:val="001E7CD0"/>
    <w:rsid w:val="001E7E0B"/>
    <w:rsid w:val="001E7FDA"/>
    <w:rsid w:val="001F04A3"/>
    <w:rsid w:val="001F0774"/>
    <w:rsid w:val="001F0AC6"/>
    <w:rsid w:val="001F0CCE"/>
    <w:rsid w:val="001F1026"/>
    <w:rsid w:val="001F1243"/>
    <w:rsid w:val="001F1532"/>
    <w:rsid w:val="001F1615"/>
    <w:rsid w:val="001F1862"/>
    <w:rsid w:val="001F1A67"/>
    <w:rsid w:val="001F25B1"/>
    <w:rsid w:val="001F25E7"/>
    <w:rsid w:val="001F2949"/>
    <w:rsid w:val="001F2C02"/>
    <w:rsid w:val="001F2E64"/>
    <w:rsid w:val="001F2F5F"/>
    <w:rsid w:val="001F2FB9"/>
    <w:rsid w:val="001F3003"/>
    <w:rsid w:val="001F3023"/>
    <w:rsid w:val="001F304C"/>
    <w:rsid w:val="001F347B"/>
    <w:rsid w:val="001F3721"/>
    <w:rsid w:val="001F37C8"/>
    <w:rsid w:val="001F3A08"/>
    <w:rsid w:val="001F3A70"/>
    <w:rsid w:val="001F3C0E"/>
    <w:rsid w:val="001F403B"/>
    <w:rsid w:val="001F43D6"/>
    <w:rsid w:val="001F4494"/>
    <w:rsid w:val="001F4499"/>
    <w:rsid w:val="001F4563"/>
    <w:rsid w:val="001F47EF"/>
    <w:rsid w:val="001F4933"/>
    <w:rsid w:val="001F49D7"/>
    <w:rsid w:val="001F501F"/>
    <w:rsid w:val="001F58F8"/>
    <w:rsid w:val="001F5C88"/>
    <w:rsid w:val="001F5DE8"/>
    <w:rsid w:val="001F5EF8"/>
    <w:rsid w:val="001F5FA1"/>
    <w:rsid w:val="001F5FAF"/>
    <w:rsid w:val="001F665C"/>
    <w:rsid w:val="001F672C"/>
    <w:rsid w:val="001F677F"/>
    <w:rsid w:val="001F697E"/>
    <w:rsid w:val="001F6B65"/>
    <w:rsid w:val="001F6BF3"/>
    <w:rsid w:val="001F6C10"/>
    <w:rsid w:val="001F704D"/>
    <w:rsid w:val="001F7092"/>
    <w:rsid w:val="001F7291"/>
    <w:rsid w:val="001F73EF"/>
    <w:rsid w:val="001F774D"/>
    <w:rsid w:val="001F7891"/>
    <w:rsid w:val="001F790B"/>
    <w:rsid w:val="001F792A"/>
    <w:rsid w:val="001F7971"/>
    <w:rsid w:val="001F7B32"/>
    <w:rsid w:val="001F7C1D"/>
    <w:rsid w:val="001F7C48"/>
    <w:rsid w:val="001F7CDA"/>
    <w:rsid w:val="0020000D"/>
    <w:rsid w:val="0020038B"/>
    <w:rsid w:val="0020055E"/>
    <w:rsid w:val="00200881"/>
    <w:rsid w:val="00200BC6"/>
    <w:rsid w:val="00200F15"/>
    <w:rsid w:val="00200F59"/>
    <w:rsid w:val="00200FDC"/>
    <w:rsid w:val="0020108D"/>
    <w:rsid w:val="0020112E"/>
    <w:rsid w:val="0020130B"/>
    <w:rsid w:val="0020130E"/>
    <w:rsid w:val="00201507"/>
    <w:rsid w:val="00201955"/>
    <w:rsid w:val="0020196D"/>
    <w:rsid w:val="00201A25"/>
    <w:rsid w:val="00201E29"/>
    <w:rsid w:val="00201F41"/>
    <w:rsid w:val="00202255"/>
    <w:rsid w:val="002025C0"/>
    <w:rsid w:val="0020269E"/>
    <w:rsid w:val="002028A9"/>
    <w:rsid w:val="002029B6"/>
    <w:rsid w:val="00202B17"/>
    <w:rsid w:val="00202D82"/>
    <w:rsid w:val="002030B4"/>
    <w:rsid w:val="00203312"/>
    <w:rsid w:val="00203851"/>
    <w:rsid w:val="00203889"/>
    <w:rsid w:val="00203903"/>
    <w:rsid w:val="00204354"/>
    <w:rsid w:val="002049F9"/>
    <w:rsid w:val="00204E73"/>
    <w:rsid w:val="00204F57"/>
    <w:rsid w:val="002051DF"/>
    <w:rsid w:val="00205408"/>
    <w:rsid w:val="00205643"/>
    <w:rsid w:val="00205C66"/>
    <w:rsid w:val="00205FAD"/>
    <w:rsid w:val="002060C8"/>
    <w:rsid w:val="00206255"/>
    <w:rsid w:val="002068CA"/>
    <w:rsid w:val="00206C65"/>
    <w:rsid w:val="00206D99"/>
    <w:rsid w:val="00206EF9"/>
    <w:rsid w:val="0020708E"/>
    <w:rsid w:val="002071A6"/>
    <w:rsid w:val="0020732B"/>
    <w:rsid w:val="002074BB"/>
    <w:rsid w:val="00207749"/>
    <w:rsid w:val="00207B3A"/>
    <w:rsid w:val="00207C8E"/>
    <w:rsid w:val="00207FB6"/>
    <w:rsid w:val="0021018C"/>
    <w:rsid w:val="002101D4"/>
    <w:rsid w:val="00210289"/>
    <w:rsid w:val="00210EA8"/>
    <w:rsid w:val="00210F5F"/>
    <w:rsid w:val="00211152"/>
    <w:rsid w:val="002114AC"/>
    <w:rsid w:val="002115D5"/>
    <w:rsid w:val="002117FD"/>
    <w:rsid w:val="002119A1"/>
    <w:rsid w:val="00211E8F"/>
    <w:rsid w:val="002120C1"/>
    <w:rsid w:val="002126BA"/>
    <w:rsid w:val="00212B59"/>
    <w:rsid w:val="00212D59"/>
    <w:rsid w:val="002130E5"/>
    <w:rsid w:val="002132A7"/>
    <w:rsid w:val="00213367"/>
    <w:rsid w:val="00213401"/>
    <w:rsid w:val="00213469"/>
    <w:rsid w:val="0021362B"/>
    <w:rsid w:val="00213661"/>
    <w:rsid w:val="00213A34"/>
    <w:rsid w:val="00213D5B"/>
    <w:rsid w:val="0021430A"/>
    <w:rsid w:val="00214545"/>
    <w:rsid w:val="0021454F"/>
    <w:rsid w:val="00214639"/>
    <w:rsid w:val="00214A4E"/>
    <w:rsid w:val="00214B12"/>
    <w:rsid w:val="00214C96"/>
    <w:rsid w:val="00214E42"/>
    <w:rsid w:val="00215001"/>
    <w:rsid w:val="002155A2"/>
    <w:rsid w:val="002156D9"/>
    <w:rsid w:val="00215753"/>
    <w:rsid w:val="0021595B"/>
    <w:rsid w:val="002159B0"/>
    <w:rsid w:val="00215A4F"/>
    <w:rsid w:val="00215B74"/>
    <w:rsid w:val="0021607C"/>
    <w:rsid w:val="002165C5"/>
    <w:rsid w:val="002169EC"/>
    <w:rsid w:val="00216AD7"/>
    <w:rsid w:val="00216FC1"/>
    <w:rsid w:val="0021700C"/>
    <w:rsid w:val="0021738D"/>
    <w:rsid w:val="0021786A"/>
    <w:rsid w:val="00217922"/>
    <w:rsid w:val="00217982"/>
    <w:rsid w:val="00217C03"/>
    <w:rsid w:val="00217C77"/>
    <w:rsid w:val="0022028D"/>
    <w:rsid w:val="002202E6"/>
    <w:rsid w:val="002205B4"/>
    <w:rsid w:val="0022084F"/>
    <w:rsid w:val="00221144"/>
    <w:rsid w:val="0022195D"/>
    <w:rsid w:val="00221CD2"/>
    <w:rsid w:val="00221D0F"/>
    <w:rsid w:val="00222044"/>
    <w:rsid w:val="002220D6"/>
    <w:rsid w:val="002226A7"/>
    <w:rsid w:val="00222BEF"/>
    <w:rsid w:val="00222F04"/>
    <w:rsid w:val="00222FF3"/>
    <w:rsid w:val="002230B9"/>
    <w:rsid w:val="0022355F"/>
    <w:rsid w:val="002237AF"/>
    <w:rsid w:val="00223AA7"/>
    <w:rsid w:val="002242DF"/>
    <w:rsid w:val="0022456F"/>
    <w:rsid w:val="00224594"/>
    <w:rsid w:val="00224913"/>
    <w:rsid w:val="00224C41"/>
    <w:rsid w:val="00224D38"/>
    <w:rsid w:val="00224E30"/>
    <w:rsid w:val="00225002"/>
    <w:rsid w:val="00225055"/>
    <w:rsid w:val="0022513E"/>
    <w:rsid w:val="002254FA"/>
    <w:rsid w:val="0022552E"/>
    <w:rsid w:val="002255C5"/>
    <w:rsid w:val="00225CDE"/>
    <w:rsid w:val="002262ED"/>
    <w:rsid w:val="002263B6"/>
    <w:rsid w:val="00226692"/>
    <w:rsid w:val="0022677B"/>
    <w:rsid w:val="00226810"/>
    <w:rsid w:val="00226845"/>
    <w:rsid w:val="00227033"/>
    <w:rsid w:val="0022718B"/>
    <w:rsid w:val="0022745F"/>
    <w:rsid w:val="002275B5"/>
    <w:rsid w:val="002275E3"/>
    <w:rsid w:val="0022772F"/>
    <w:rsid w:val="00227AEC"/>
    <w:rsid w:val="00227C77"/>
    <w:rsid w:val="00227CA7"/>
    <w:rsid w:val="00227CEF"/>
    <w:rsid w:val="00227DEA"/>
    <w:rsid w:val="00227F44"/>
    <w:rsid w:val="00230108"/>
    <w:rsid w:val="002301E9"/>
    <w:rsid w:val="00230288"/>
    <w:rsid w:val="002302CD"/>
    <w:rsid w:val="00230997"/>
    <w:rsid w:val="00230C40"/>
    <w:rsid w:val="00230CCF"/>
    <w:rsid w:val="00230F6A"/>
    <w:rsid w:val="00231935"/>
    <w:rsid w:val="00231A55"/>
    <w:rsid w:val="00231B48"/>
    <w:rsid w:val="00231BC1"/>
    <w:rsid w:val="00231D80"/>
    <w:rsid w:val="00231DFA"/>
    <w:rsid w:val="00231F1A"/>
    <w:rsid w:val="0023206E"/>
    <w:rsid w:val="00232241"/>
    <w:rsid w:val="00232430"/>
    <w:rsid w:val="00232539"/>
    <w:rsid w:val="002329DC"/>
    <w:rsid w:val="00232ABE"/>
    <w:rsid w:val="00232AF4"/>
    <w:rsid w:val="00232C33"/>
    <w:rsid w:val="00232E53"/>
    <w:rsid w:val="00232EA4"/>
    <w:rsid w:val="00232F8E"/>
    <w:rsid w:val="002330A8"/>
    <w:rsid w:val="00233B11"/>
    <w:rsid w:val="00233E4D"/>
    <w:rsid w:val="0023436C"/>
    <w:rsid w:val="002344BA"/>
    <w:rsid w:val="00234514"/>
    <w:rsid w:val="00234816"/>
    <w:rsid w:val="00234BCA"/>
    <w:rsid w:val="00234FD2"/>
    <w:rsid w:val="00234FFF"/>
    <w:rsid w:val="0023506D"/>
    <w:rsid w:val="002356CC"/>
    <w:rsid w:val="002356CF"/>
    <w:rsid w:val="00235EA1"/>
    <w:rsid w:val="00235EA6"/>
    <w:rsid w:val="00236464"/>
    <w:rsid w:val="002364A6"/>
    <w:rsid w:val="002366AF"/>
    <w:rsid w:val="00236C91"/>
    <w:rsid w:val="0023715F"/>
    <w:rsid w:val="00237440"/>
    <w:rsid w:val="0023773E"/>
    <w:rsid w:val="00237874"/>
    <w:rsid w:val="00237885"/>
    <w:rsid w:val="00237A7D"/>
    <w:rsid w:val="00237CFD"/>
    <w:rsid w:val="00237E04"/>
    <w:rsid w:val="00237E07"/>
    <w:rsid w:val="002400A1"/>
    <w:rsid w:val="00240106"/>
    <w:rsid w:val="0024021D"/>
    <w:rsid w:val="002402EC"/>
    <w:rsid w:val="00240656"/>
    <w:rsid w:val="00240AD8"/>
    <w:rsid w:val="00240D88"/>
    <w:rsid w:val="00240FCD"/>
    <w:rsid w:val="00241263"/>
    <w:rsid w:val="002416BD"/>
    <w:rsid w:val="00241925"/>
    <w:rsid w:val="00241B77"/>
    <w:rsid w:val="00241C2A"/>
    <w:rsid w:val="00241CFB"/>
    <w:rsid w:val="00241E8B"/>
    <w:rsid w:val="00241EE7"/>
    <w:rsid w:val="0024221C"/>
    <w:rsid w:val="00242584"/>
    <w:rsid w:val="00242A82"/>
    <w:rsid w:val="00242C2D"/>
    <w:rsid w:val="00242E43"/>
    <w:rsid w:val="00243D0D"/>
    <w:rsid w:val="00243E35"/>
    <w:rsid w:val="00244116"/>
    <w:rsid w:val="002441F8"/>
    <w:rsid w:val="002442E8"/>
    <w:rsid w:val="00244316"/>
    <w:rsid w:val="0024444C"/>
    <w:rsid w:val="002444C7"/>
    <w:rsid w:val="00244897"/>
    <w:rsid w:val="00244A96"/>
    <w:rsid w:val="00244E7A"/>
    <w:rsid w:val="0024513A"/>
    <w:rsid w:val="00245232"/>
    <w:rsid w:val="002453E8"/>
    <w:rsid w:val="00245432"/>
    <w:rsid w:val="002454B6"/>
    <w:rsid w:val="002454B7"/>
    <w:rsid w:val="002454CB"/>
    <w:rsid w:val="002455FA"/>
    <w:rsid w:val="002457EB"/>
    <w:rsid w:val="0024582E"/>
    <w:rsid w:val="0024585F"/>
    <w:rsid w:val="002459BD"/>
    <w:rsid w:val="00245A92"/>
    <w:rsid w:val="00245C02"/>
    <w:rsid w:val="00245C68"/>
    <w:rsid w:val="00245C79"/>
    <w:rsid w:val="00245E66"/>
    <w:rsid w:val="002460D6"/>
    <w:rsid w:val="002460F6"/>
    <w:rsid w:val="002465EE"/>
    <w:rsid w:val="00246753"/>
    <w:rsid w:val="00246A75"/>
    <w:rsid w:val="00246C2F"/>
    <w:rsid w:val="00247181"/>
    <w:rsid w:val="002475D3"/>
    <w:rsid w:val="00247679"/>
    <w:rsid w:val="00247D72"/>
    <w:rsid w:val="002503C0"/>
    <w:rsid w:val="002504B3"/>
    <w:rsid w:val="002506E1"/>
    <w:rsid w:val="00250852"/>
    <w:rsid w:val="00250BBE"/>
    <w:rsid w:val="00251123"/>
    <w:rsid w:val="0025132E"/>
    <w:rsid w:val="0025151B"/>
    <w:rsid w:val="0025182C"/>
    <w:rsid w:val="00251A7F"/>
    <w:rsid w:val="00251F78"/>
    <w:rsid w:val="00251FD8"/>
    <w:rsid w:val="00252206"/>
    <w:rsid w:val="00252350"/>
    <w:rsid w:val="00252A65"/>
    <w:rsid w:val="00252BA9"/>
    <w:rsid w:val="002531F0"/>
    <w:rsid w:val="00253467"/>
    <w:rsid w:val="00253658"/>
    <w:rsid w:val="0025375A"/>
    <w:rsid w:val="0025388C"/>
    <w:rsid w:val="00253A5A"/>
    <w:rsid w:val="00253C24"/>
    <w:rsid w:val="00253D4F"/>
    <w:rsid w:val="00254236"/>
    <w:rsid w:val="0025440E"/>
    <w:rsid w:val="00254476"/>
    <w:rsid w:val="002546E0"/>
    <w:rsid w:val="00254C3C"/>
    <w:rsid w:val="00255067"/>
    <w:rsid w:val="0025535D"/>
    <w:rsid w:val="002554FA"/>
    <w:rsid w:val="002557ED"/>
    <w:rsid w:val="00255BCC"/>
    <w:rsid w:val="00255E58"/>
    <w:rsid w:val="00256002"/>
    <w:rsid w:val="002561D0"/>
    <w:rsid w:val="0025661E"/>
    <w:rsid w:val="002566CB"/>
    <w:rsid w:val="002567D2"/>
    <w:rsid w:val="002568D1"/>
    <w:rsid w:val="00256DA0"/>
    <w:rsid w:val="00256E11"/>
    <w:rsid w:val="00256E60"/>
    <w:rsid w:val="002572F7"/>
    <w:rsid w:val="002574E0"/>
    <w:rsid w:val="00257532"/>
    <w:rsid w:val="002579B9"/>
    <w:rsid w:val="00257B9D"/>
    <w:rsid w:val="00257C09"/>
    <w:rsid w:val="00257C12"/>
    <w:rsid w:val="00257CD6"/>
    <w:rsid w:val="00257F24"/>
    <w:rsid w:val="0026011F"/>
    <w:rsid w:val="00260488"/>
    <w:rsid w:val="002604D0"/>
    <w:rsid w:val="002605D5"/>
    <w:rsid w:val="00260778"/>
    <w:rsid w:val="00260789"/>
    <w:rsid w:val="00260802"/>
    <w:rsid w:val="00260B23"/>
    <w:rsid w:val="00260BBD"/>
    <w:rsid w:val="00260C77"/>
    <w:rsid w:val="00260D46"/>
    <w:rsid w:val="00260E74"/>
    <w:rsid w:val="002613D0"/>
    <w:rsid w:val="00261556"/>
    <w:rsid w:val="00261818"/>
    <w:rsid w:val="00261869"/>
    <w:rsid w:val="00261894"/>
    <w:rsid w:val="00261F33"/>
    <w:rsid w:val="0026201E"/>
    <w:rsid w:val="002620C0"/>
    <w:rsid w:val="0026243E"/>
    <w:rsid w:val="0026251E"/>
    <w:rsid w:val="002625ED"/>
    <w:rsid w:val="00262904"/>
    <w:rsid w:val="00262AB2"/>
    <w:rsid w:val="00262D29"/>
    <w:rsid w:val="00263136"/>
    <w:rsid w:val="0026324F"/>
    <w:rsid w:val="00263389"/>
    <w:rsid w:val="002634AC"/>
    <w:rsid w:val="002637C0"/>
    <w:rsid w:val="00263877"/>
    <w:rsid w:val="00263BAF"/>
    <w:rsid w:val="00263CC8"/>
    <w:rsid w:val="00263D73"/>
    <w:rsid w:val="00263E20"/>
    <w:rsid w:val="00264130"/>
    <w:rsid w:val="0026420D"/>
    <w:rsid w:val="00264374"/>
    <w:rsid w:val="00264556"/>
    <w:rsid w:val="002645C2"/>
    <w:rsid w:val="00264794"/>
    <w:rsid w:val="002648AD"/>
    <w:rsid w:val="00264979"/>
    <w:rsid w:val="00264E55"/>
    <w:rsid w:val="0026523A"/>
    <w:rsid w:val="0026549F"/>
    <w:rsid w:val="002659AD"/>
    <w:rsid w:val="00265BE2"/>
    <w:rsid w:val="00265CB0"/>
    <w:rsid w:val="00265CC7"/>
    <w:rsid w:val="00266030"/>
    <w:rsid w:val="0026636F"/>
    <w:rsid w:val="002665E5"/>
    <w:rsid w:val="0026660A"/>
    <w:rsid w:val="0026666F"/>
    <w:rsid w:val="00266D59"/>
    <w:rsid w:val="00266F2A"/>
    <w:rsid w:val="0026770A"/>
    <w:rsid w:val="0026774F"/>
    <w:rsid w:val="0026777F"/>
    <w:rsid w:val="002677AC"/>
    <w:rsid w:val="00267E1F"/>
    <w:rsid w:val="00267FEF"/>
    <w:rsid w:val="00267FFA"/>
    <w:rsid w:val="00270262"/>
    <w:rsid w:val="002704B2"/>
    <w:rsid w:val="00270706"/>
    <w:rsid w:val="00270CF0"/>
    <w:rsid w:val="002710C5"/>
    <w:rsid w:val="002712B6"/>
    <w:rsid w:val="00271558"/>
    <w:rsid w:val="0027187B"/>
    <w:rsid w:val="00271949"/>
    <w:rsid w:val="00271DF1"/>
    <w:rsid w:val="00271EAE"/>
    <w:rsid w:val="00272614"/>
    <w:rsid w:val="00272679"/>
    <w:rsid w:val="00272BA6"/>
    <w:rsid w:val="00272C38"/>
    <w:rsid w:val="00272DC7"/>
    <w:rsid w:val="00272EC6"/>
    <w:rsid w:val="002730DF"/>
    <w:rsid w:val="002731A7"/>
    <w:rsid w:val="002732E7"/>
    <w:rsid w:val="002738C0"/>
    <w:rsid w:val="00273A7B"/>
    <w:rsid w:val="00273A8D"/>
    <w:rsid w:val="00273F57"/>
    <w:rsid w:val="002744E9"/>
    <w:rsid w:val="00275409"/>
    <w:rsid w:val="0027544F"/>
    <w:rsid w:val="00275629"/>
    <w:rsid w:val="00275A8C"/>
    <w:rsid w:val="00275C2C"/>
    <w:rsid w:val="00275EE1"/>
    <w:rsid w:val="002760F0"/>
    <w:rsid w:val="0027621F"/>
    <w:rsid w:val="0027622B"/>
    <w:rsid w:val="0027629F"/>
    <w:rsid w:val="002762CE"/>
    <w:rsid w:val="0027652D"/>
    <w:rsid w:val="00276651"/>
    <w:rsid w:val="0027668A"/>
    <w:rsid w:val="002767BE"/>
    <w:rsid w:val="0027696F"/>
    <w:rsid w:val="00276F88"/>
    <w:rsid w:val="00277146"/>
    <w:rsid w:val="0027753A"/>
    <w:rsid w:val="00277545"/>
    <w:rsid w:val="002775A4"/>
    <w:rsid w:val="002777F8"/>
    <w:rsid w:val="00277834"/>
    <w:rsid w:val="002778FA"/>
    <w:rsid w:val="00277C5A"/>
    <w:rsid w:val="002800E4"/>
    <w:rsid w:val="0028027F"/>
    <w:rsid w:val="002803D9"/>
    <w:rsid w:val="002804B1"/>
    <w:rsid w:val="00280898"/>
    <w:rsid w:val="00280A26"/>
    <w:rsid w:val="0028104B"/>
    <w:rsid w:val="00281609"/>
    <w:rsid w:val="00281641"/>
    <w:rsid w:val="00281E9D"/>
    <w:rsid w:val="002823B1"/>
    <w:rsid w:val="002823EA"/>
    <w:rsid w:val="00282598"/>
    <w:rsid w:val="002826E5"/>
    <w:rsid w:val="00282A70"/>
    <w:rsid w:val="00282ADB"/>
    <w:rsid w:val="00282BFA"/>
    <w:rsid w:val="0028339D"/>
    <w:rsid w:val="0028354A"/>
    <w:rsid w:val="00283850"/>
    <w:rsid w:val="00283893"/>
    <w:rsid w:val="002839A1"/>
    <w:rsid w:val="002839A4"/>
    <w:rsid w:val="002839B0"/>
    <w:rsid w:val="00283CC7"/>
    <w:rsid w:val="00283EFE"/>
    <w:rsid w:val="00283F26"/>
    <w:rsid w:val="00284041"/>
    <w:rsid w:val="002841E3"/>
    <w:rsid w:val="002842D1"/>
    <w:rsid w:val="0028431D"/>
    <w:rsid w:val="00284670"/>
    <w:rsid w:val="0028477E"/>
    <w:rsid w:val="00284CF4"/>
    <w:rsid w:val="00284E2F"/>
    <w:rsid w:val="002855E3"/>
    <w:rsid w:val="00285796"/>
    <w:rsid w:val="002858EF"/>
    <w:rsid w:val="00285A18"/>
    <w:rsid w:val="00285AAE"/>
    <w:rsid w:val="00285B18"/>
    <w:rsid w:val="00285B53"/>
    <w:rsid w:val="002861EA"/>
    <w:rsid w:val="00286285"/>
    <w:rsid w:val="002863C2"/>
    <w:rsid w:val="00286572"/>
    <w:rsid w:val="002868FD"/>
    <w:rsid w:val="00286C90"/>
    <w:rsid w:val="0028715C"/>
    <w:rsid w:val="002872B0"/>
    <w:rsid w:val="00287323"/>
    <w:rsid w:val="00287B3C"/>
    <w:rsid w:val="00287BBD"/>
    <w:rsid w:val="00287EC9"/>
    <w:rsid w:val="00287F7E"/>
    <w:rsid w:val="002904D4"/>
    <w:rsid w:val="00290503"/>
    <w:rsid w:val="00290656"/>
    <w:rsid w:val="002909D0"/>
    <w:rsid w:val="00290A51"/>
    <w:rsid w:val="00290CF1"/>
    <w:rsid w:val="00290D07"/>
    <w:rsid w:val="00290F2B"/>
    <w:rsid w:val="002917CF"/>
    <w:rsid w:val="00291A31"/>
    <w:rsid w:val="00291CF7"/>
    <w:rsid w:val="00291DE5"/>
    <w:rsid w:val="00291FCF"/>
    <w:rsid w:val="00292123"/>
    <w:rsid w:val="00292697"/>
    <w:rsid w:val="002926AC"/>
    <w:rsid w:val="002928C7"/>
    <w:rsid w:val="002929AD"/>
    <w:rsid w:val="00292AD5"/>
    <w:rsid w:val="00292E3C"/>
    <w:rsid w:val="00292E70"/>
    <w:rsid w:val="00292EA6"/>
    <w:rsid w:val="00292FB5"/>
    <w:rsid w:val="002930D6"/>
    <w:rsid w:val="002930D9"/>
    <w:rsid w:val="0029320C"/>
    <w:rsid w:val="00293496"/>
    <w:rsid w:val="00293506"/>
    <w:rsid w:val="00293A81"/>
    <w:rsid w:val="00293C65"/>
    <w:rsid w:val="00293CAA"/>
    <w:rsid w:val="00293DFC"/>
    <w:rsid w:val="00293F12"/>
    <w:rsid w:val="002940D9"/>
    <w:rsid w:val="00294194"/>
    <w:rsid w:val="00294472"/>
    <w:rsid w:val="002944CA"/>
    <w:rsid w:val="00294545"/>
    <w:rsid w:val="00294652"/>
    <w:rsid w:val="00294C7F"/>
    <w:rsid w:val="00294C80"/>
    <w:rsid w:val="00294DB1"/>
    <w:rsid w:val="00294FF5"/>
    <w:rsid w:val="00295012"/>
    <w:rsid w:val="002951BC"/>
    <w:rsid w:val="002951FC"/>
    <w:rsid w:val="00295528"/>
    <w:rsid w:val="0029564F"/>
    <w:rsid w:val="00295734"/>
    <w:rsid w:val="002957B6"/>
    <w:rsid w:val="00295C66"/>
    <w:rsid w:val="00295EAA"/>
    <w:rsid w:val="00295ED2"/>
    <w:rsid w:val="00295F7B"/>
    <w:rsid w:val="00296224"/>
    <w:rsid w:val="00296444"/>
    <w:rsid w:val="002965FE"/>
    <w:rsid w:val="00296A0C"/>
    <w:rsid w:val="00296BBF"/>
    <w:rsid w:val="00296F1B"/>
    <w:rsid w:val="00296FD2"/>
    <w:rsid w:val="00297421"/>
    <w:rsid w:val="002974DB"/>
    <w:rsid w:val="00297811"/>
    <w:rsid w:val="00297845"/>
    <w:rsid w:val="00297858"/>
    <w:rsid w:val="00297C15"/>
    <w:rsid w:val="00297C51"/>
    <w:rsid w:val="002A052E"/>
    <w:rsid w:val="002A0575"/>
    <w:rsid w:val="002A05ED"/>
    <w:rsid w:val="002A0725"/>
    <w:rsid w:val="002A090E"/>
    <w:rsid w:val="002A091D"/>
    <w:rsid w:val="002A0CCC"/>
    <w:rsid w:val="002A113A"/>
    <w:rsid w:val="002A1180"/>
    <w:rsid w:val="002A12C7"/>
    <w:rsid w:val="002A1367"/>
    <w:rsid w:val="002A154F"/>
    <w:rsid w:val="002A168D"/>
    <w:rsid w:val="002A1C93"/>
    <w:rsid w:val="002A1D4A"/>
    <w:rsid w:val="002A1DD8"/>
    <w:rsid w:val="002A1F5C"/>
    <w:rsid w:val="002A2032"/>
    <w:rsid w:val="002A20E3"/>
    <w:rsid w:val="002A2406"/>
    <w:rsid w:val="002A254D"/>
    <w:rsid w:val="002A25A9"/>
    <w:rsid w:val="002A2779"/>
    <w:rsid w:val="002A2C05"/>
    <w:rsid w:val="002A2D65"/>
    <w:rsid w:val="002A2E5C"/>
    <w:rsid w:val="002A315F"/>
    <w:rsid w:val="002A31E7"/>
    <w:rsid w:val="002A3640"/>
    <w:rsid w:val="002A36AD"/>
    <w:rsid w:val="002A37FC"/>
    <w:rsid w:val="002A3AAB"/>
    <w:rsid w:val="002A3B24"/>
    <w:rsid w:val="002A4137"/>
    <w:rsid w:val="002A42F8"/>
    <w:rsid w:val="002A4308"/>
    <w:rsid w:val="002A43EB"/>
    <w:rsid w:val="002A4623"/>
    <w:rsid w:val="002A49D9"/>
    <w:rsid w:val="002A4AA7"/>
    <w:rsid w:val="002A4BD1"/>
    <w:rsid w:val="002A4C8B"/>
    <w:rsid w:val="002A4EF4"/>
    <w:rsid w:val="002A4FA5"/>
    <w:rsid w:val="002A53E7"/>
    <w:rsid w:val="002A58FA"/>
    <w:rsid w:val="002A5C2A"/>
    <w:rsid w:val="002A63D8"/>
    <w:rsid w:val="002A6426"/>
    <w:rsid w:val="002A661E"/>
    <w:rsid w:val="002A6C14"/>
    <w:rsid w:val="002A6F3A"/>
    <w:rsid w:val="002A73E4"/>
    <w:rsid w:val="002A73E5"/>
    <w:rsid w:val="002A73F0"/>
    <w:rsid w:val="002A7514"/>
    <w:rsid w:val="002A7552"/>
    <w:rsid w:val="002A781C"/>
    <w:rsid w:val="002A7838"/>
    <w:rsid w:val="002A7FE0"/>
    <w:rsid w:val="002B0099"/>
    <w:rsid w:val="002B0294"/>
    <w:rsid w:val="002B0388"/>
    <w:rsid w:val="002B0431"/>
    <w:rsid w:val="002B0524"/>
    <w:rsid w:val="002B0905"/>
    <w:rsid w:val="002B0A23"/>
    <w:rsid w:val="002B0B6B"/>
    <w:rsid w:val="002B0DAD"/>
    <w:rsid w:val="002B0DF1"/>
    <w:rsid w:val="002B1007"/>
    <w:rsid w:val="002B1042"/>
    <w:rsid w:val="002B1559"/>
    <w:rsid w:val="002B19A4"/>
    <w:rsid w:val="002B1B19"/>
    <w:rsid w:val="002B1D18"/>
    <w:rsid w:val="002B1EC4"/>
    <w:rsid w:val="002B21DF"/>
    <w:rsid w:val="002B2289"/>
    <w:rsid w:val="002B25F1"/>
    <w:rsid w:val="002B2658"/>
    <w:rsid w:val="002B2824"/>
    <w:rsid w:val="002B28AD"/>
    <w:rsid w:val="002B28B8"/>
    <w:rsid w:val="002B29A5"/>
    <w:rsid w:val="002B309A"/>
    <w:rsid w:val="002B309F"/>
    <w:rsid w:val="002B3465"/>
    <w:rsid w:val="002B34AE"/>
    <w:rsid w:val="002B39FD"/>
    <w:rsid w:val="002B3D4C"/>
    <w:rsid w:val="002B3EE4"/>
    <w:rsid w:val="002B3FA5"/>
    <w:rsid w:val="002B41A2"/>
    <w:rsid w:val="002B429A"/>
    <w:rsid w:val="002B4D67"/>
    <w:rsid w:val="002B4FD0"/>
    <w:rsid w:val="002B51B5"/>
    <w:rsid w:val="002B5472"/>
    <w:rsid w:val="002B5533"/>
    <w:rsid w:val="002B5822"/>
    <w:rsid w:val="002B5B02"/>
    <w:rsid w:val="002B6095"/>
    <w:rsid w:val="002B60E7"/>
    <w:rsid w:val="002B61BB"/>
    <w:rsid w:val="002B632F"/>
    <w:rsid w:val="002B6362"/>
    <w:rsid w:val="002B6840"/>
    <w:rsid w:val="002B6DB1"/>
    <w:rsid w:val="002B6E56"/>
    <w:rsid w:val="002B6F85"/>
    <w:rsid w:val="002B7047"/>
    <w:rsid w:val="002B711E"/>
    <w:rsid w:val="002B73C2"/>
    <w:rsid w:val="002B73EE"/>
    <w:rsid w:val="002B770D"/>
    <w:rsid w:val="002C00E6"/>
    <w:rsid w:val="002C02E5"/>
    <w:rsid w:val="002C0669"/>
    <w:rsid w:val="002C0A2C"/>
    <w:rsid w:val="002C0ADD"/>
    <w:rsid w:val="002C0EA8"/>
    <w:rsid w:val="002C108F"/>
    <w:rsid w:val="002C1386"/>
    <w:rsid w:val="002C16C0"/>
    <w:rsid w:val="002C172E"/>
    <w:rsid w:val="002C196F"/>
    <w:rsid w:val="002C1B8D"/>
    <w:rsid w:val="002C1BA3"/>
    <w:rsid w:val="002C1C61"/>
    <w:rsid w:val="002C1D08"/>
    <w:rsid w:val="002C1E17"/>
    <w:rsid w:val="002C1EF6"/>
    <w:rsid w:val="002C27B9"/>
    <w:rsid w:val="002C2AF2"/>
    <w:rsid w:val="002C2BFF"/>
    <w:rsid w:val="002C2C8B"/>
    <w:rsid w:val="002C2D12"/>
    <w:rsid w:val="002C31AB"/>
    <w:rsid w:val="002C32D5"/>
    <w:rsid w:val="002C36A5"/>
    <w:rsid w:val="002C3900"/>
    <w:rsid w:val="002C39EF"/>
    <w:rsid w:val="002C3AA9"/>
    <w:rsid w:val="002C3CA8"/>
    <w:rsid w:val="002C3D92"/>
    <w:rsid w:val="002C3E79"/>
    <w:rsid w:val="002C4020"/>
    <w:rsid w:val="002C46D6"/>
    <w:rsid w:val="002C475D"/>
    <w:rsid w:val="002C4873"/>
    <w:rsid w:val="002C4892"/>
    <w:rsid w:val="002C4969"/>
    <w:rsid w:val="002C4BF3"/>
    <w:rsid w:val="002C4D9B"/>
    <w:rsid w:val="002C4DEA"/>
    <w:rsid w:val="002C4F95"/>
    <w:rsid w:val="002C52FB"/>
    <w:rsid w:val="002C53E7"/>
    <w:rsid w:val="002C5612"/>
    <w:rsid w:val="002C58C0"/>
    <w:rsid w:val="002C5958"/>
    <w:rsid w:val="002C5ADA"/>
    <w:rsid w:val="002C5BF7"/>
    <w:rsid w:val="002C5C13"/>
    <w:rsid w:val="002C5C9E"/>
    <w:rsid w:val="002C6036"/>
    <w:rsid w:val="002C6258"/>
    <w:rsid w:val="002C63E4"/>
    <w:rsid w:val="002C6429"/>
    <w:rsid w:val="002C64BC"/>
    <w:rsid w:val="002C6A69"/>
    <w:rsid w:val="002C7322"/>
    <w:rsid w:val="002C7373"/>
    <w:rsid w:val="002C766F"/>
    <w:rsid w:val="002C7C53"/>
    <w:rsid w:val="002C7DEB"/>
    <w:rsid w:val="002D0203"/>
    <w:rsid w:val="002D0542"/>
    <w:rsid w:val="002D0861"/>
    <w:rsid w:val="002D098E"/>
    <w:rsid w:val="002D0BE2"/>
    <w:rsid w:val="002D0D48"/>
    <w:rsid w:val="002D0FA8"/>
    <w:rsid w:val="002D158B"/>
    <w:rsid w:val="002D164D"/>
    <w:rsid w:val="002D1819"/>
    <w:rsid w:val="002D193A"/>
    <w:rsid w:val="002D1EB6"/>
    <w:rsid w:val="002D255B"/>
    <w:rsid w:val="002D292B"/>
    <w:rsid w:val="002D2D0F"/>
    <w:rsid w:val="002D2D5C"/>
    <w:rsid w:val="002D3553"/>
    <w:rsid w:val="002D362D"/>
    <w:rsid w:val="002D3957"/>
    <w:rsid w:val="002D3A40"/>
    <w:rsid w:val="002D3FB2"/>
    <w:rsid w:val="002D417C"/>
    <w:rsid w:val="002D4522"/>
    <w:rsid w:val="002D452D"/>
    <w:rsid w:val="002D45C9"/>
    <w:rsid w:val="002D46BE"/>
    <w:rsid w:val="002D47D6"/>
    <w:rsid w:val="002D4A5D"/>
    <w:rsid w:val="002D538C"/>
    <w:rsid w:val="002D5656"/>
    <w:rsid w:val="002D5DB8"/>
    <w:rsid w:val="002D60C7"/>
    <w:rsid w:val="002D6282"/>
    <w:rsid w:val="002D6559"/>
    <w:rsid w:val="002D6BFA"/>
    <w:rsid w:val="002D713A"/>
    <w:rsid w:val="002D72C2"/>
    <w:rsid w:val="002D734E"/>
    <w:rsid w:val="002D7603"/>
    <w:rsid w:val="002D7620"/>
    <w:rsid w:val="002D767B"/>
    <w:rsid w:val="002D7BDF"/>
    <w:rsid w:val="002D7F6D"/>
    <w:rsid w:val="002E0098"/>
    <w:rsid w:val="002E02F4"/>
    <w:rsid w:val="002E0555"/>
    <w:rsid w:val="002E0789"/>
    <w:rsid w:val="002E0FB6"/>
    <w:rsid w:val="002E1038"/>
    <w:rsid w:val="002E11A3"/>
    <w:rsid w:val="002E11E7"/>
    <w:rsid w:val="002E11F3"/>
    <w:rsid w:val="002E1314"/>
    <w:rsid w:val="002E13C2"/>
    <w:rsid w:val="002E145C"/>
    <w:rsid w:val="002E15ED"/>
    <w:rsid w:val="002E18AD"/>
    <w:rsid w:val="002E1A35"/>
    <w:rsid w:val="002E1DCF"/>
    <w:rsid w:val="002E1F24"/>
    <w:rsid w:val="002E2566"/>
    <w:rsid w:val="002E27AA"/>
    <w:rsid w:val="002E2A60"/>
    <w:rsid w:val="002E2C47"/>
    <w:rsid w:val="002E2F20"/>
    <w:rsid w:val="002E322E"/>
    <w:rsid w:val="002E3443"/>
    <w:rsid w:val="002E35AB"/>
    <w:rsid w:val="002E36CB"/>
    <w:rsid w:val="002E3828"/>
    <w:rsid w:val="002E3B91"/>
    <w:rsid w:val="002E3C85"/>
    <w:rsid w:val="002E3D08"/>
    <w:rsid w:val="002E401C"/>
    <w:rsid w:val="002E40AF"/>
    <w:rsid w:val="002E41C7"/>
    <w:rsid w:val="002E42FA"/>
    <w:rsid w:val="002E460E"/>
    <w:rsid w:val="002E47BB"/>
    <w:rsid w:val="002E48B3"/>
    <w:rsid w:val="002E4C21"/>
    <w:rsid w:val="002E4CD5"/>
    <w:rsid w:val="002E5322"/>
    <w:rsid w:val="002E5429"/>
    <w:rsid w:val="002E552C"/>
    <w:rsid w:val="002E578A"/>
    <w:rsid w:val="002E59E3"/>
    <w:rsid w:val="002E59FB"/>
    <w:rsid w:val="002E5DD6"/>
    <w:rsid w:val="002E6133"/>
    <w:rsid w:val="002E6448"/>
    <w:rsid w:val="002E6706"/>
    <w:rsid w:val="002E6803"/>
    <w:rsid w:val="002E6816"/>
    <w:rsid w:val="002E703F"/>
    <w:rsid w:val="002E7086"/>
    <w:rsid w:val="002E7855"/>
    <w:rsid w:val="002E78D9"/>
    <w:rsid w:val="002E7BDF"/>
    <w:rsid w:val="002E7CC9"/>
    <w:rsid w:val="002E7DF2"/>
    <w:rsid w:val="002F032A"/>
    <w:rsid w:val="002F047F"/>
    <w:rsid w:val="002F0637"/>
    <w:rsid w:val="002F074B"/>
    <w:rsid w:val="002F0800"/>
    <w:rsid w:val="002F08A5"/>
    <w:rsid w:val="002F0AA8"/>
    <w:rsid w:val="002F1190"/>
    <w:rsid w:val="002F11A0"/>
    <w:rsid w:val="002F1506"/>
    <w:rsid w:val="002F1720"/>
    <w:rsid w:val="002F189D"/>
    <w:rsid w:val="002F1FB3"/>
    <w:rsid w:val="002F1FF9"/>
    <w:rsid w:val="002F2090"/>
    <w:rsid w:val="002F20CB"/>
    <w:rsid w:val="002F2155"/>
    <w:rsid w:val="002F2334"/>
    <w:rsid w:val="002F25FF"/>
    <w:rsid w:val="002F2855"/>
    <w:rsid w:val="002F2A25"/>
    <w:rsid w:val="002F31C7"/>
    <w:rsid w:val="002F31DA"/>
    <w:rsid w:val="002F381D"/>
    <w:rsid w:val="002F38D1"/>
    <w:rsid w:val="002F3A09"/>
    <w:rsid w:val="002F3B25"/>
    <w:rsid w:val="002F3B72"/>
    <w:rsid w:val="002F3BE0"/>
    <w:rsid w:val="002F3E9F"/>
    <w:rsid w:val="002F3F48"/>
    <w:rsid w:val="002F4533"/>
    <w:rsid w:val="002F4808"/>
    <w:rsid w:val="002F4AC0"/>
    <w:rsid w:val="002F4FF3"/>
    <w:rsid w:val="002F5541"/>
    <w:rsid w:val="002F5BCC"/>
    <w:rsid w:val="002F5E12"/>
    <w:rsid w:val="002F6238"/>
    <w:rsid w:val="002F6537"/>
    <w:rsid w:val="002F65B6"/>
    <w:rsid w:val="002F679B"/>
    <w:rsid w:val="002F6918"/>
    <w:rsid w:val="002F6CF5"/>
    <w:rsid w:val="002F7036"/>
    <w:rsid w:val="002F732D"/>
    <w:rsid w:val="002F748C"/>
    <w:rsid w:val="002F7598"/>
    <w:rsid w:val="002F765C"/>
    <w:rsid w:val="002F7FB7"/>
    <w:rsid w:val="0030030F"/>
    <w:rsid w:val="00300566"/>
    <w:rsid w:val="003006DF"/>
    <w:rsid w:val="00300CAF"/>
    <w:rsid w:val="00300CD8"/>
    <w:rsid w:val="00300FE1"/>
    <w:rsid w:val="003013BB"/>
    <w:rsid w:val="0030166F"/>
    <w:rsid w:val="00301897"/>
    <w:rsid w:val="00301946"/>
    <w:rsid w:val="00301A50"/>
    <w:rsid w:val="00301AED"/>
    <w:rsid w:val="00301B7E"/>
    <w:rsid w:val="00301F36"/>
    <w:rsid w:val="0030200B"/>
    <w:rsid w:val="00302076"/>
    <w:rsid w:val="0030213B"/>
    <w:rsid w:val="00302F81"/>
    <w:rsid w:val="00302FE4"/>
    <w:rsid w:val="00303189"/>
    <w:rsid w:val="00303197"/>
    <w:rsid w:val="00303351"/>
    <w:rsid w:val="00303590"/>
    <w:rsid w:val="00303996"/>
    <w:rsid w:val="0030424A"/>
    <w:rsid w:val="00304616"/>
    <w:rsid w:val="003046D2"/>
    <w:rsid w:val="00304996"/>
    <w:rsid w:val="00304C25"/>
    <w:rsid w:val="00304FC2"/>
    <w:rsid w:val="00305577"/>
    <w:rsid w:val="00305715"/>
    <w:rsid w:val="00305B1B"/>
    <w:rsid w:val="00305B1F"/>
    <w:rsid w:val="00306187"/>
    <w:rsid w:val="003061CE"/>
    <w:rsid w:val="0030642D"/>
    <w:rsid w:val="003067DB"/>
    <w:rsid w:val="00306FB1"/>
    <w:rsid w:val="00307014"/>
    <w:rsid w:val="0030737B"/>
    <w:rsid w:val="003079AC"/>
    <w:rsid w:val="00307B2A"/>
    <w:rsid w:val="00307D77"/>
    <w:rsid w:val="00310068"/>
    <w:rsid w:val="00310099"/>
    <w:rsid w:val="0031010D"/>
    <w:rsid w:val="00310481"/>
    <w:rsid w:val="0031064A"/>
    <w:rsid w:val="003106CA"/>
    <w:rsid w:val="00310912"/>
    <w:rsid w:val="00310C32"/>
    <w:rsid w:val="00310DFC"/>
    <w:rsid w:val="00310E5D"/>
    <w:rsid w:val="00311345"/>
    <w:rsid w:val="003116D8"/>
    <w:rsid w:val="0031187A"/>
    <w:rsid w:val="00311C07"/>
    <w:rsid w:val="0031205A"/>
    <w:rsid w:val="003120D7"/>
    <w:rsid w:val="00312126"/>
    <w:rsid w:val="003124C7"/>
    <w:rsid w:val="00312672"/>
    <w:rsid w:val="003126A8"/>
    <w:rsid w:val="003128EF"/>
    <w:rsid w:val="00312BC8"/>
    <w:rsid w:val="00312D72"/>
    <w:rsid w:val="003130C9"/>
    <w:rsid w:val="003133FF"/>
    <w:rsid w:val="00313AB5"/>
    <w:rsid w:val="00313B8B"/>
    <w:rsid w:val="00313BFC"/>
    <w:rsid w:val="00313C32"/>
    <w:rsid w:val="00313D03"/>
    <w:rsid w:val="00313FCF"/>
    <w:rsid w:val="003146E0"/>
    <w:rsid w:val="00314A43"/>
    <w:rsid w:val="00314DD0"/>
    <w:rsid w:val="00315002"/>
    <w:rsid w:val="00315047"/>
    <w:rsid w:val="00315714"/>
    <w:rsid w:val="00315886"/>
    <w:rsid w:val="00315BFB"/>
    <w:rsid w:val="00315E8E"/>
    <w:rsid w:val="00315FA6"/>
    <w:rsid w:val="00316006"/>
    <w:rsid w:val="003160AC"/>
    <w:rsid w:val="0031619C"/>
    <w:rsid w:val="0031620F"/>
    <w:rsid w:val="0031630D"/>
    <w:rsid w:val="003164F8"/>
    <w:rsid w:val="0031671D"/>
    <w:rsid w:val="00316B1A"/>
    <w:rsid w:val="00316D7C"/>
    <w:rsid w:val="00316EA9"/>
    <w:rsid w:val="0031701A"/>
    <w:rsid w:val="003171DC"/>
    <w:rsid w:val="0031766B"/>
    <w:rsid w:val="0031779F"/>
    <w:rsid w:val="00317A70"/>
    <w:rsid w:val="00317AB3"/>
    <w:rsid w:val="00317CFF"/>
    <w:rsid w:val="00317D5C"/>
    <w:rsid w:val="00317D7A"/>
    <w:rsid w:val="00317EBE"/>
    <w:rsid w:val="0032041D"/>
    <w:rsid w:val="0032077B"/>
    <w:rsid w:val="003207F7"/>
    <w:rsid w:val="0032099F"/>
    <w:rsid w:val="00320EC3"/>
    <w:rsid w:val="00321124"/>
    <w:rsid w:val="003213EA"/>
    <w:rsid w:val="0032148F"/>
    <w:rsid w:val="00321673"/>
    <w:rsid w:val="003216BC"/>
    <w:rsid w:val="003217D6"/>
    <w:rsid w:val="003218B9"/>
    <w:rsid w:val="00321935"/>
    <w:rsid w:val="00321B4D"/>
    <w:rsid w:val="00321B94"/>
    <w:rsid w:val="00321BA3"/>
    <w:rsid w:val="00321D13"/>
    <w:rsid w:val="00321F2C"/>
    <w:rsid w:val="003221AB"/>
    <w:rsid w:val="0032227A"/>
    <w:rsid w:val="00322386"/>
    <w:rsid w:val="00322418"/>
    <w:rsid w:val="00322449"/>
    <w:rsid w:val="003226D9"/>
    <w:rsid w:val="00322FC3"/>
    <w:rsid w:val="00322FF2"/>
    <w:rsid w:val="0032303C"/>
    <w:rsid w:val="00323874"/>
    <w:rsid w:val="00323A9A"/>
    <w:rsid w:val="00323BAE"/>
    <w:rsid w:val="00323DC9"/>
    <w:rsid w:val="00323E5E"/>
    <w:rsid w:val="003240DF"/>
    <w:rsid w:val="00324242"/>
    <w:rsid w:val="00324464"/>
    <w:rsid w:val="00324515"/>
    <w:rsid w:val="00324707"/>
    <w:rsid w:val="00324B6D"/>
    <w:rsid w:val="00324EAA"/>
    <w:rsid w:val="00325094"/>
    <w:rsid w:val="00325112"/>
    <w:rsid w:val="0032516A"/>
    <w:rsid w:val="0032581F"/>
    <w:rsid w:val="00325A22"/>
    <w:rsid w:val="00326019"/>
    <w:rsid w:val="003260E0"/>
    <w:rsid w:val="003263F1"/>
    <w:rsid w:val="0032643D"/>
    <w:rsid w:val="0032664D"/>
    <w:rsid w:val="003267D6"/>
    <w:rsid w:val="003269DA"/>
    <w:rsid w:val="00326A06"/>
    <w:rsid w:val="00326A9E"/>
    <w:rsid w:val="00326F80"/>
    <w:rsid w:val="00327D8B"/>
    <w:rsid w:val="00327EFD"/>
    <w:rsid w:val="003304D1"/>
    <w:rsid w:val="003306B1"/>
    <w:rsid w:val="00330CE3"/>
    <w:rsid w:val="00330DC2"/>
    <w:rsid w:val="00330F68"/>
    <w:rsid w:val="0033141C"/>
    <w:rsid w:val="0033185D"/>
    <w:rsid w:val="00331953"/>
    <w:rsid w:val="003319FB"/>
    <w:rsid w:val="00331C3E"/>
    <w:rsid w:val="00331F9E"/>
    <w:rsid w:val="003321ED"/>
    <w:rsid w:val="003321F3"/>
    <w:rsid w:val="003323E6"/>
    <w:rsid w:val="003326A1"/>
    <w:rsid w:val="00332918"/>
    <w:rsid w:val="00332967"/>
    <w:rsid w:val="00332A50"/>
    <w:rsid w:val="00332CBC"/>
    <w:rsid w:val="00332FB4"/>
    <w:rsid w:val="0033319C"/>
    <w:rsid w:val="0033320A"/>
    <w:rsid w:val="00333302"/>
    <w:rsid w:val="00333488"/>
    <w:rsid w:val="0033359A"/>
    <w:rsid w:val="00333A3C"/>
    <w:rsid w:val="00333CB3"/>
    <w:rsid w:val="00333EF1"/>
    <w:rsid w:val="0033400E"/>
    <w:rsid w:val="00334049"/>
    <w:rsid w:val="003340EE"/>
    <w:rsid w:val="0033456D"/>
    <w:rsid w:val="00334599"/>
    <w:rsid w:val="003345BE"/>
    <w:rsid w:val="003347F3"/>
    <w:rsid w:val="003349C5"/>
    <w:rsid w:val="003349D6"/>
    <w:rsid w:val="003349EA"/>
    <w:rsid w:val="00334A29"/>
    <w:rsid w:val="00334D32"/>
    <w:rsid w:val="00334FA6"/>
    <w:rsid w:val="00334FAB"/>
    <w:rsid w:val="00334FD3"/>
    <w:rsid w:val="00335172"/>
    <w:rsid w:val="0033521C"/>
    <w:rsid w:val="00335282"/>
    <w:rsid w:val="0033557C"/>
    <w:rsid w:val="003356B1"/>
    <w:rsid w:val="0033587D"/>
    <w:rsid w:val="003359A1"/>
    <w:rsid w:val="00335AE8"/>
    <w:rsid w:val="00335C23"/>
    <w:rsid w:val="00336098"/>
    <w:rsid w:val="00336251"/>
    <w:rsid w:val="003366AA"/>
    <w:rsid w:val="0033673F"/>
    <w:rsid w:val="003368C8"/>
    <w:rsid w:val="00336E33"/>
    <w:rsid w:val="00336EC6"/>
    <w:rsid w:val="00336EC7"/>
    <w:rsid w:val="003371C9"/>
    <w:rsid w:val="003371F1"/>
    <w:rsid w:val="00337338"/>
    <w:rsid w:val="003373E3"/>
    <w:rsid w:val="003375D9"/>
    <w:rsid w:val="0033762F"/>
    <w:rsid w:val="003376F1"/>
    <w:rsid w:val="003377E4"/>
    <w:rsid w:val="00337A25"/>
    <w:rsid w:val="00337B30"/>
    <w:rsid w:val="00337B74"/>
    <w:rsid w:val="00337FB3"/>
    <w:rsid w:val="0034013B"/>
    <w:rsid w:val="003401B3"/>
    <w:rsid w:val="003402DF"/>
    <w:rsid w:val="003403EA"/>
    <w:rsid w:val="0034041F"/>
    <w:rsid w:val="00340458"/>
    <w:rsid w:val="00340579"/>
    <w:rsid w:val="0034062F"/>
    <w:rsid w:val="00340B83"/>
    <w:rsid w:val="00340DEF"/>
    <w:rsid w:val="0034102F"/>
    <w:rsid w:val="003416E4"/>
    <w:rsid w:val="00341D03"/>
    <w:rsid w:val="00341DD0"/>
    <w:rsid w:val="00342078"/>
    <w:rsid w:val="003429CA"/>
    <w:rsid w:val="00342ABD"/>
    <w:rsid w:val="00342B8A"/>
    <w:rsid w:val="00342DAB"/>
    <w:rsid w:val="00342E1B"/>
    <w:rsid w:val="00342F8E"/>
    <w:rsid w:val="00342FD8"/>
    <w:rsid w:val="003434B8"/>
    <w:rsid w:val="0034354E"/>
    <w:rsid w:val="00343B5E"/>
    <w:rsid w:val="00343BAB"/>
    <w:rsid w:val="00344407"/>
    <w:rsid w:val="0034466C"/>
    <w:rsid w:val="00344821"/>
    <w:rsid w:val="00344932"/>
    <w:rsid w:val="00344976"/>
    <w:rsid w:val="00344ABC"/>
    <w:rsid w:val="00344BEB"/>
    <w:rsid w:val="00345439"/>
    <w:rsid w:val="0034547D"/>
    <w:rsid w:val="0034552A"/>
    <w:rsid w:val="00345674"/>
    <w:rsid w:val="00345B0F"/>
    <w:rsid w:val="00345C35"/>
    <w:rsid w:val="00345DC1"/>
    <w:rsid w:val="00345E5A"/>
    <w:rsid w:val="0034644B"/>
    <w:rsid w:val="003465A0"/>
    <w:rsid w:val="003465DB"/>
    <w:rsid w:val="00346685"/>
    <w:rsid w:val="0034682E"/>
    <w:rsid w:val="00346B90"/>
    <w:rsid w:val="00346BBB"/>
    <w:rsid w:val="0034706E"/>
    <w:rsid w:val="00347155"/>
    <w:rsid w:val="003472E9"/>
    <w:rsid w:val="003473C0"/>
    <w:rsid w:val="0034758C"/>
    <w:rsid w:val="00347671"/>
    <w:rsid w:val="00347954"/>
    <w:rsid w:val="00347B6C"/>
    <w:rsid w:val="00347CD1"/>
    <w:rsid w:val="00350075"/>
    <w:rsid w:val="0035008F"/>
    <w:rsid w:val="00350D9E"/>
    <w:rsid w:val="003512CD"/>
    <w:rsid w:val="00351702"/>
    <w:rsid w:val="0035193D"/>
    <w:rsid w:val="00351A33"/>
    <w:rsid w:val="00351D63"/>
    <w:rsid w:val="00351EA7"/>
    <w:rsid w:val="0035243D"/>
    <w:rsid w:val="003526C9"/>
    <w:rsid w:val="003528E1"/>
    <w:rsid w:val="00352BB9"/>
    <w:rsid w:val="00353045"/>
    <w:rsid w:val="00353305"/>
    <w:rsid w:val="00353479"/>
    <w:rsid w:val="00353693"/>
    <w:rsid w:val="0035369F"/>
    <w:rsid w:val="003536F9"/>
    <w:rsid w:val="00353734"/>
    <w:rsid w:val="0035413F"/>
    <w:rsid w:val="003541B8"/>
    <w:rsid w:val="00354608"/>
    <w:rsid w:val="00354939"/>
    <w:rsid w:val="0035494E"/>
    <w:rsid w:val="00354DCF"/>
    <w:rsid w:val="00354F61"/>
    <w:rsid w:val="003553A6"/>
    <w:rsid w:val="00355DE3"/>
    <w:rsid w:val="00356198"/>
    <w:rsid w:val="003562BE"/>
    <w:rsid w:val="003563DE"/>
    <w:rsid w:val="003564ED"/>
    <w:rsid w:val="003567D7"/>
    <w:rsid w:val="003568DA"/>
    <w:rsid w:val="00356AE3"/>
    <w:rsid w:val="00356EB4"/>
    <w:rsid w:val="00357369"/>
    <w:rsid w:val="00357660"/>
    <w:rsid w:val="003577CB"/>
    <w:rsid w:val="00357CBF"/>
    <w:rsid w:val="00357DA3"/>
    <w:rsid w:val="0036019B"/>
    <w:rsid w:val="00360285"/>
    <w:rsid w:val="003603CC"/>
    <w:rsid w:val="003607AF"/>
    <w:rsid w:val="0036085E"/>
    <w:rsid w:val="003609EF"/>
    <w:rsid w:val="00360E3A"/>
    <w:rsid w:val="00360F60"/>
    <w:rsid w:val="003611F2"/>
    <w:rsid w:val="00361793"/>
    <w:rsid w:val="003618AB"/>
    <w:rsid w:val="003619EE"/>
    <w:rsid w:val="00361DED"/>
    <w:rsid w:val="00362269"/>
    <w:rsid w:val="0036249D"/>
    <w:rsid w:val="00362539"/>
    <w:rsid w:val="00362601"/>
    <w:rsid w:val="00362627"/>
    <w:rsid w:val="0036274B"/>
    <w:rsid w:val="00362E3E"/>
    <w:rsid w:val="00362F04"/>
    <w:rsid w:val="003630A7"/>
    <w:rsid w:val="00363182"/>
    <w:rsid w:val="00363405"/>
    <w:rsid w:val="00363B0B"/>
    <w:rsid w:val="00363D0B"/>
    <w:rsid w:val="00363D96"/>
    <w:rsid w:val="00363DA4"/>
    <w:rsid w:val="00364487"/>
    <w:rsid w:val="00364498"/>
    <w:rsid w:val="003644CE"/>
    <w:rsid w:val="003645F0"/>
    <w:rsid w:val="00364648"/>
    <w:rsid w:val="00364693"/>
    <w:rsid w:val="003649C0"/>
    <w:rsid w:val="00364B35"/>
    <w:rsid w:val="00364E7D"/>
    <w:rsid w:val="0036504C"/>
    <w:rsid w:val="00365171"/>
    <w:rsid w:val="003651F7"/>
    <w:rsid w:val="00365278"/>
    <w:rsid w:val="00365283"/>
    <w:rsid w:val="0036528E"/>
    <w:rsid w:val="00365464"/>
    <w:rsid w:val="003654DE"/>
    <w:rsid w:val="00365520"/>
    <w:rsid w:val="003655EA"/>
    <w:rsid w:val="003656C2"/>
    <w:rsid w:val="003657E5"/>
    <w:rsid w:val="00365808"/>
    <w:rsid w:val="003658E3"/>
    <w:rsid w:val="00365C37"/>
    <w:rsid w:val="00365D43"/>
    <w:rsid w:val="0036604E"/>
    <w:rsid w:val="003660C0"/>
    <w:rsid w:val="0036631B"/>
    <w:rsid w:val="00366364"/>
    <w:rsid w:val="00366387"/>
    <w:rsid w:val="003663E7"/>
    <w:rsid w:val="00366743"/>
    <w:rsid w:val="003667D4"/>
    <w:rsid w:val="00366C7F"/>
    <w:rsid w:val="00367011"/>
    <w:rsid w:val="003671F9"/>
    <w:rsid w:val="00367244"/>
    <w:rsid w:val="00367500"/>
    <w:rsid w:val="0036777C"/>
    <w:rsid w:val="00367996"/>
    <w:rsid w:val="00367C14"/>
    <w:rsid w:val="00367D39"/>
    <w:rsid w:val="00367DAC"/>
    <w:rsid w:val="00370011"/>
    <w:rsid w:val="003702B1"/>
    <w:rsid w:val="003705F4"/>
    <w:rsid w:val="003706A2"/>
    <w:rsid w:val="003707A3"/>
    <w:rsid w:val="00370AB8"/>
    <w:rsid w:val="00370CB3"/>
    <w:rsid w:val="00371228"/>
    <w:rsid w:val="003712E7"/>
    <w:rsid w:val="00371C43"/>
    <w:rsid w:val="00371EFA"/>
    <w:rsid w:val="00371F10"/>
    <w:rsid w:val="0037208E"/>
    <w:rsid w:val="003720A7"/>
    <w:rsid w:val="003720FF"/>
    <w:rsid w:val="0037217D"/>
    <w:rsid w:val="003722B8"/>
    <w:rsid w:val="0037243E"/>
    <w:rsid w:val="003726BA"/>
    <w:rsid w:val="00372883"/>
    <w:rsid w:val="0037293E"/>
    <w:rsid w:val="00372AA0"/>
    <w:rsid w:val="00372AA8"/>
    <w:rsid w:val="00372ACD"/>
    <w:rsid w:val="00372BFE"/>
    <w:rsid w:val="00372CA7"/>
    <w:rsid w:val="00372F8C"/>
    <w:rsid w:val="00372F91"/>
    <w:rsid w:val="003733AE"/>
    <w:rsid w:val="0037360B"/>
    <w:rsid w:val="003736E1"/>
    <w:rsid w:val="00373764"/>
    <w:rsid w:val="00373BA2"/>
    <w:rsid w:val="00373BCF"/>
    <w:rsid w:val="0037401D"/>
    <w:rsid w:val="0037413E"/>
    <w:rsid w:val="0037461E"/>
    <w:rsid w:val="003746F2"/>
    <w:rsid w:val="00374904"/>
    <w:rsid w:val="00374B02"/>
    <w:rsid w:val="00374EF3"/>
    <w:rsid w:val="00374EFA"/>
    <w:rsid w:val="003755C3"/>
    <w:rsid w:val="003755F0"/>
    <w:rsid w:val="00375836"/>
    <w:rsid w:val="00375A54"/>
    <w:rsid w:val="00375CC4"/>
    <w:rsid w:val="00375CED"/>
    <w:rsid w:val="00375CF2"/>
    <w:rsid w:val="00375E06"/>
    <w:rsid w:val="00375F5C"/>
    <w:rsid w:val="00375F7C"/>
    <w:rsid w:val="00375FD3"/>
    <w:rsid w:val="00376590"/>
    <w:rsid w:val="003765AE"/>
    <w:rsid w:val="00376872"/>
    <w:rsid w:val="00377136"/>
    <w:rsid w:val="00377162"/>
    <w:rsid w:val="0037735A"/>
    <w:rsid w:val="00377617"/>
    <w:rsid w:val="00377AD8"/>
    <w:rsid w:val="00377C82"/>
    <w:rsid w:val="00380310"/>
    <w:rsid w:val="003803A3"/>
    <w:rsid w:val="003806D0"/>
    <w:rsid w:val="00380808"/>
    <w:rsid w:val="00380A1A"/>
    <w:rsid w:val="00380C55"/>
    <w:rsid w:val="00380EC6"/>
    <w:rsid w:val="0038117D"/>
    <w:rsid w:val="00381424"/>
    <w:rsid w:val="00381478"/>
    <w:rsid w:val="00381640"/>
    <w:rsid w:val="003817C4"/>
    <w:rsid w:val="00381803"/>
    <w:rsid w:val="00381923"/>
    <w:rsid w:val="00381A1F"/>
    <w:rsid w:val="00381D3A"/>
    <w:rsid w:val="00381E5F"/>
    <w:rsid w:val="00381FE5"/>
    <w:rsid w:val="003822B0"/>
    <w:rsid w:val="0038236C"/>
    <w:rsid w:val="0038245C"/>
    <w:rsid w:val="003824BD"/>
    <w:rsid w:val="003825DE"/>
    <w:rsid w:val="003826F9"/>
    <w:rsid w:val="0038288A"/>
    <w:rsid w:val="003828BE"/>
    <w:rsid w:val="00382FF0"/>
    <w:rsid w:val="00383166"/>
    <w:rsid w:val="003834F7"/>
    <w:rsid w:val="003836AE"/>
    <w:rsid w:val="003837C0"/>
    <w:rsid w:val="00383824"/>
    <w:rsid w:val="003839E4"/>
    <w:rsid w:val="00383A19"/>
    <w:rsid w:val="00383EDC"/>
    <w:rsid w:val="00384123"/>
    <w:rsid w:val="00384663"/>
    <w:rsid w:val="0038467C"/>
    <w:rsid w:val="00384C82"/>
    <w:rsid w:val="003851BA"/>
    <w:rsid w:val="0038523B"/>
    <w:rsid w:val="00385335"/>
    <w:rsid w:val="003855B3"/>
    <w:rsid w:val="003859C6"/>
    <w:rsid w:val="00385BA1"/>
    <w:rsid w:val="00385EC7"/>
    <w:rsid w:val="00385F3A"/>
    <w:rsid w:val="00386368"/>
    <w:rsid w:val="003863A5"/>
    <w:rsid w:val="0038665F"/>
    <w:rsid w:val="0038682D"/>
    <w:rsid w:val="00386E92"/>
    <w:rsid w:val="00387232"/>
    <w:rsid w:val="0038778E"/>
    <w:rsid w:val="00387852"/>
    <w:rsid w:val="00387B26"/>
    <w:rsid w:val="003903B2"/>
    <w:rsid w:val="003903E9"/>
    <w:rsid w:val="003903F2"/>
    <w:rsid w:val="003904E7"/>
    <w:rsid w:val="0039061F"/>
    <w:rsid w:val="00390633"/>
    <w:rsid w:val="00390AE8"/>
    <w:rsid w:val="00390B94"/>
    <w:rsid w:val="00390FCA"/>
    <w:rsid w:val="00391042"/>
    <w:rsid w:val="00391188"/>
    <w:rsid w:val="003915DE"/>
    <w:rsid w:val="0039169B"/>
    <w:rsid w:val="003916D3"/>
    <w:rsid w:val="00391819"/>
    <w:rsid w:val="003918E2"/>
    <w:rsid w:val="00391D65"/>
    <w:rsid w:val="00391D88"/>
    <w:rsid w:val="00392157"/>
    <w:rsid w:val="003921A5"/>
    <w:rsid w:val="00392284"/>
    <w:rsid w:val="0039237B"/>
    <w:rsid w:val="00392975"/>
    <w:rsid w:val="00392E31"/>
    <w:rsid w:val="00393032"/>
    <w:rsid w:val="0039307C"/>
    <w:rsid w:val="003937D0"/>
    <w:rsid w:val="00393950"/>
    <w:rsid w:val="00393ABD"/>
    <w:rsid w:val="00393B75"/>
    <w:rsid w:val="00393B7D"/>
    <w:rsid w:val="00393C21"/>
    <w:rsid w:val="00393C36"/>
    <w:rsid w:val="00393D31"/>
    <w:rsid w:val="00393EE0"/>
    <w:rsid w:val="0039403B"/>
    <w:rsid w:val="003946C9"/>
    <w:rsid w:val="003948E2"/>
    <w:rsid w:val="00394A01"/>
    <w:rsid w:val="00394B83"/>
    <w:rsid w:val="00395412"/>
    <w:rsid w:val="00395597"/>
    <w:rsid w:val="003955B7"/>
    <w:rsid w:val="003955DC"/>
    <w:rsid w:val="0039563E"/>
    <w:rsid w:val="00395781"/>
    <w:rsid w:val="00395957"/>
    <w:rsid w:val="003959DA"/>
    <w:rsid w:val="00395D7A"/>
    <w:rsid w:val="00395E05"/>
    <w:rsid w:val="00395FC4"/>
    <w:rsid w:val="00395FCF"/>
    <w:rsid w:val="0039604D"/>
    <w:rsid w:val="003962F6"/>
    <w:rsid w:val="00396687"/>
    <w:rsid w:val="003966A1"/>
    <w:rsid w:val="00396B08"/>
    <w:rsid w:val="00396CA7"/>
    <w:rsid w:val="00396F1A"/>
    <w:rsid w:val="0039736D"/>
    <w:rsid w:val="00397465"/>
    <w:rsid w:val="00397AD8"/>
    <w:rsid w:val="00397CB7"/>
    <w:rsid w:val="00397E98"/>
    <w:rsid w:val="00397FAD"/>
    <w:rsid w:val="003A002E"/>
    <w:rsid w:val="003A01C8"/>
    <w:rsid w:val="003A0549"/>
    <w:rsid w:val="003A0A35"/>
    <w:rsid w:val="003A0C9C"/>
    <w:rsid w:val="003A0D57"/>
    <w:rsid w:val="003A0F9E"/>
    <w:rsid w:val="003A0FCB"/>
    <w:rsid w:val="003A1101"/>
    <w:rsid w:val="003A1251"/>
    <w:rsid w:val="003A14F9"/>
    <w:rsid w:val="003A17F2"/>
    <w:rsid w:val="003A185A"/>
    <w:rsid w:val="003A18E4"/>
    <w:rsid w:val="003A1DED"/>
    <w:rsid w:val="003A1E39"/>
    <w:rsid w:val="003A22A1"/>
    <w:rsid w:val="003A243F"/>
    <w:rsid w:val="003A27F6"/>
    <w:rsid w:val="003A28CA"/>
    <w:rsid w:val="003A2902"/>
    <w:rsid w:val="003A2B17"/>
    <w:rsid w:val="003A2EA6"/>
    <w:rsid w:val="003A2F08"/>
    <w:rsid w:val="003A2F36"/>
    <w:rsid w:val="003A2F3D"/>
    <w:rsid w:val="003A30C2"/>
    <w:rsid w:val="003A32CB"/>
    <w:rsid w:val="003A3536"/>
    <w:rsid w:val="003A353B"/>
    <w:rsid w:val="003A3591"/>
    <w:rsid w:val="003A35FB"/>
    <w:rsid w:val="003A362B"/>
    <w:rsid w:val="003A364D"/>
    <w:rsid w:val="003A39D3"/>
    <w:rsid w:val="003A3D2B"/>
    <w:rsid w:val="003A42A5"/>
    <w:rsid w:val="003A46EB"/>
    <w:rsid w:val="003A4757"/>
    <w:rsid w:val="003A481C"/>
    <w:rsid w:val="003A4B7F"/>
    <w:rsid w:val="003A5212"/>
    <w:rsid w:val="003A589C"/>
    <w:rsid w:val="003A58B1"/>
    <w:rsid w:val="003A591D"/>
    <w:rsid w:val="003A5A34"/>
    <w:rsid w:val="003A5ABA"/>
    <w:rsid w:val="003A5DA5"/>
    <w:rsid w:val="003A5E1C"/>
    <w:rsid w:val="003A627E"/>
    <w:rsid w:val="003A6886"/>
    <w:rsid w:val="003A69ED"/>
    <w:rsid w:val="003A6A2E"/>
    <w:rsid w:val="003A6C43"/>
    <w:rsid w:val="003A6D26"/>
    <w:rsid w:val="003A6E24"/>
    <w:rsid w:val="003A7266"/>
    <w:rsid w:val="003A74F4"/>
    <w:rsid w:val="003A7C59"/>
    <w:rsid w:val="003A7F21"/>
    <w:rsid w:val="003B025F"/>
    <w:rsid w:val="003B0EDE"/>
    <w:rsid w:val="003B107F"/>
    <w:rsid w:val="003B11FD"/>
    <w:rsid w:val="003B1214"/>
    <w:rsid w:val="003B133C"/>
    <w:rsid w:val="003B1559"/>
    <w:rsid w:val="003B156E"/>
    <w:rsid w:val="003B1605"/>
    <w:rsid w:val="003B169A"/>
    <w:rsid w:val="003B16AE"/>
    <w:rsid w:val="003B18C7"/>
    <w:rsid w:val="003B1DF7"/>
    <w:rsid w:val="003B203A"/>
    <w:rsid w:val="003B2504"/>
    <w:rsid w:val="003B26A6"/>
    <w:rsid w:val="003B26FA"/>
    <w:rsid w:val="003B2B6D"/>
    <w:rsid w:val="003B2F89"/>
    <w:rsid w:val="003B30CF"/>
    <w:rsid w:val="003B317F"/>
    <w:rsid w:val="003B31F7"/>
    <w:rsid w:val="003B3298"/>
    <w:rsid w:val="003B3661"/>
    <w:rsid w:val="003B36AF"/>
    <w:rsid w:val="003B3709"/>
    <w:rsid w:val="003B37CC"/>
    <w:rsid w:val="003B3B8C"/>
    <w:rsid w:val="003B3B97"/>
    <w:rsid w:val="003B3D1B"/>
    <w:rsid w:val="003B4042"/>
    <w:rsid w:val="003B411F"/>
    <w:rsid w:val="003B4313"/>
    <w:rsid w:val="003B43FB"/>
    <w:rsid w:val="003B464C"/>
    <w:rsid w:val="003B47D8"/>
    <w:rsid w:val="003B498A"/>
    <w:rsid w:val="003B4D3A"/>
    <w:rsid w:val="003B4ED8"/>
    <w:rsid w:val="003B4EF6"/>
    <w:rsid w:val="003B50BB"/>
    <w:rsid w:val="003B53BF"/>
    <w:rsid w:val="003B5528"/>
    <w:rsid w:val="003B623C"/>
    <w:rsid w:val="003B628C"/>
    <w:rsid w:val="003B64F4"/>
    <w:rsid w:val="003B64FC"/>
    <w:rsid w:val="003B6674"/>
    <w:rsid w:val="003B67C2"/>
    <w:rsid w:val="003B68F1"/>
    <w:rsid w:val="003B6BE9"/>
    <w:rsid w:val="003B6D0F"/>
    <w:rsid w:val="003B6F63"/>
    <w:rsid w:val="003B6FDD"/>
    <w:rsid w:val="003B75CC"/>
    <w:rsid w:val="003C0250"/>
    <w:rsid w:val="003C0264"/>
    <w:rsid w:val="003C02E9"/>
    <w:rsid w:val="003C044D"/>
    <w:rsid w:val="003C0566"/>
    <w:rsid w:val="003C05B3"/>
    <w:rsid w:val="003C06FE"/>
    <w:rsid w:val="003C07C5"/>
    <w:rsid w:val="003C08B4"/>
    <w:rsid w:val="003C0BE8"/>
    <w:rsid w:val="003C0F8F"/>
    <w:rsid w:val="003C11B5"/>
    <w:rsid w:val="003C1642"/>
    <w:rsid w:val="003C17C8"/>
    <w:rsid w:val="003C1A7C"/>
    <w:rsid w:val="003C1C03"/>
    <w:rsid w:val="003C1C24"/>
    <w:rsid w:val="003C1C3E"/>
    <w:rsid w:val="003C1D04"/>
    <w:rsid w:val="003C1F5F"/>
    <w:rsid w:val="003C21BD"/>
    <w:rsid w:val="003C233D"/>
    <w:rsid w:val="003C23EA"/>
    <w:rsid w:val="003C248C"/>
    <w:rsid w:val="003C26DE"/>
    <w:rsid w:val="003C29A9"/>
    <w:rsid w:val="003C2DDB"/>
    <w:rsid w:val="003C3287"/>
    <w:rsid w:val="003C32C6"/>
    <w:rsid w:val="003C3644"/>
    <w:rsid w:val="003C3BE4"/>
    <w:rsid w:val="003C3DCD"/>
    <w:rsid w:val="003C413A"/>
    <w:rsid w:val="003C4833"/>
    <w:rsid w:val="003C4AAF"/>
    <w:rsid w:val="003C4D15"/>
    <w:rsid w:val="003C4D5A"/>
    <w:rsid w:val="003C4D78"/>
    <w:rsid w:val="003C4DE2"/>
    <w:rsid w:val="003C537F"/>
    <w:rsid w:val="003C5558"/>
    <w:rsid w:val="003C58CE"/>
    <w:rsid w:val="003C5D54"/>
    <w:rsid w:val="003C5E1A"/>
    <w:rsid w:val="003C5E31"/>
    <w:rsid w:val="003C61C4"/>
    <w:rsid w:val="003C61F5"/>
    <w:rsid w:val="003C62B0"/>
    <w:rsid w:val="003C64BF"/>
    <w:rsid w:val="003C655A"/>
    <w:rsid w:val="003C6680"/>
    <w:rsid w:val="003C687D"/>
    <w:rsid w:val="003C6999"/>
    <w:rsid w:val="003C6F47"/>
    <w:rsid w:val="003C7126"/>
    <w:rsid w:val="003C7A7A"/>
    <w:rsid w:val="003C7B56"/>
    <w:rsid w:val="003C7BAA"/>
    <w:rsid w:val="003C7E88"/>
    <w:rsid w:val="003C7F2B"/>
    <w:rsid w:val="003C7F82"/>
    <w:rsid w:val="003D0042"/>
    <w:rsid w:val="003D03CB"/>
    <w:rsid w:val="003D04F4"/>
    <w:rsid w:val="003D0742"/>
    <w:rsid w:val="003D0AC7"/>
    <w:rsid w:val="003D0D4F"/>
    <w:rsid w:val="003D0F9B"/>
    <w:rsid w:val="003D1291"/>
    <w:rsid w:val="003D130A"/>
    <w:rsid w:val="003D14D5"/>
    <w:rsid w:val="003D1C70"/>
    <w:rsid w:val="003D2312"/>
    <w:rsid w:val="003D2656"/>
    <w:rsid w:val="003D2723"/>
    <w:rsid w:val="003D298A"/>
    <w:rsid w:val="003D29EA"/>
    <w:rsid w:val="003D2B50"/>
    <w:rsid w:val="003D2DB4"/>
    <w:rsid w:val="003D2EAA"/>
    <w:rsid w:val="003D325A"/>
    <w:rsid w:val="003D3442"/>
    <w:rsid w:val="003D34E0"/>
    <w:rsid w:val="003D3686"/>
    <w:rsid w:val="003D36B5"/>
    <w:rsid w:val="003D371B"/>
    <w:rsid w:val="003D389C"/>
    <w:rsid w:val="003D3A3D"/>
    <w:rsid w:val="003D3B22"/>
    <w:rsid w:val="003D3C7B"/>
    <w:rsid w:val="003D3E2A"/>
    <w:rsid w:val="003D3F6C"/>
    <w:rsid w:val="003D4197"/>
    <w:rsid w:val="003D4367"/>
    <w:rsid w:val="003D47CC"/>
    <w:rsid w:val="003D4C28"/>
    <w:rsid w:val="003D503B"/>
    <w:rsid w:val="003D503E"/>
    <w:rsid w:val="003D5060"/>
    <w:rsid w:val="003D5520"/>
    <w:rsid w:val="003D561F"/>
    <w:rsid w:val="003D5716"/>
    <w:rsid w:val="003D5BC1"/>
    <w:rsid w:val="003D63E3"/>
    <w:rsid w:val="003D6626"/>
    <w:rsid w:val="003D69A0"/>
    <w:rsid w:val="003D6AE7"/>
    <w:rsid w:val="003D713B"/>
    <w:rsid w:val="003D7311"/>
    <w:rsid w:val="003D73BA"/>
    <w:rsid w:val="003D740E"/>
    <w:rsid w:val="003D75FA"/>
    <w:rsid w:val="003D7AF0"/>
    <w:rsid w:val="003D7B81"/>
    <w:rsid w:val="003D7F2A"/>
    <w:rsid w:val="003E0140"/>
    <w:rsid w:val="003E0273"/>
    <w:rsid w:val="003E0354"/>
    <w:rsid w:val="003E0476"/>
    <w:rsid w:val="003E1525"/>
    <w:rsid w:val="003E15CC"/>
    <w:rsid w:val="003E15FF"/>
    <w:rsid w:val="003E19AD"/>
    <w:rsid w:val="003E1AF8"/>
    <w:rsid w:val="003E1F58"/>
    <w:rsid w:val="003E20F1"/>
    <w:rsid w:val="003E2164"/>
    <w:rsid w:val="003E21C2"/>
    <w:rsid w:val="003E21E5"/>
    <w:rsid w:val="003E2554"/>
    <w:rsid w:val="003E2696"/>
    <w:rsid w:val="003E28B8"/>
    <w:rsid w:val="003E3230"/>
    <w:rsid w:val="003E39C3"/>
    <w:rsid w:val="003E3E74"/>
    <w:rsid w:val="003E3EDD"/>
    <w:rsid w:val="003E41F7"/>
    <w:rsid w:val="003E45E4"/>
    <w:rsid w:val="003E46E6"/>
    <w:rsid w:val="003E4996"/>
    <w:rsid w:val="003E4A9F"/>
    <w:rsid w:val="003E4DC3"/>
    <w:rsid w:val="003E4F02"/>
    <w:rsid w:val="003E4FE6"/>
    <w:rsid w:val="003E513B"/>
    <w:rsid w:val="003E5166"/>
    <w:rsid w:val="003E52C4"/>
    <w:rsid w:val="003E5524"/>
    <w:rsid w:val="003E5824"/>
    <w:rsid w:val="003E58D1"/>
    <w:rsid w:val="003E6BDE"/>
    <w:rsid w:val="003E6EB5"/>
    <w:rsid w:val="003E7305"/>
    <w:rsid w:val="003E7498"/>
    <w:rsid w:val="003E74B4"/>
    <w:rsid w:val="003E7B2E"/>
    <w:rsid w:val="003E7CB6"/>
    <w:rsid w:val="003E7D14"/>
    <w:rsid w:val="003E7D2C"/>
    <w:rsid w:val="003E7E11"/>
    <w:rsid w:val="003F0206"/>
    <w:rsid w:val="003F0229"/>
    <w:rsid w:val="003F02E7"/>
    <w:rsid w:val="003F0772"/>
    <w:rsid w:val="003F0814"/>
    <w:rsid w:val="003F0882"/>
    <w:rsid w:val="003F08C9"/>
    <w:rsid w:val="003F098F"/>
    <w:rsid w:val="003F0F71"/>
    <w:rsid w:val="003F103F"/>
    <w:rsid w:val="003F12B9"/>
    <w:rsid w:val="003F154B"/>
    <w:rsid w:val="003F17B5"/>
    <w:rsid w:val="003F1964"/>
    <w:rsid w:val="003F19DB"/>
    <w:rsid w:val="003F1B4F"/>
    <w:rsid w:val="003F1DC1"/>
    <w:rsid w:val="003F1FA9"/>
    <w:rsid w:val="003F21A0"/>
    <w:rsid w:val="003F2237"/>
    <w:rsid w:val="003F24BA"/>
    <w:rsid w:val="003F2638"/>
    <w:rsid w:val="003F29D3"/>
    <w:rsid w:val="003F2AA4"/>
    <w:rsid w:val="003F332A"/>
    <w:rsid w:val="003F3BDC"/>
    <w:rsid w:val="003F3C0D"/>
    <w:rsid w:val="003F3F85"/>
    <w:rsid w:val="003F421B"/>
    <w:rsid w:val="003F424B"/>
    <w:rsid w:val="003F4897"/>
    <w:rsid w:val="003F49E1"/>
    <w:rsid w:val="003F49FC"/>
    <w:rsid w:val="003F4A3E"/>
    <w:rsid w:val="003F4B4A"/>
    <w:rsid w:val="003F4D37"/>
    <w:rsid w:val="003F4DC4"/>
    <w:rsid w:val="003F4E22"/>
    <w:rsid w:val="003F5587"/>
    <w:rsid w:val="003F5693"/>
    <w:rsid w:val="003F576C"/>
    <w:rsid w:val="003F5968"/>
    <w:rsid w:val="003F5A0C"/>
    <w:rsid w:val="003F5E17"/>
    <w:rsid w:val="003F5E71"/>
    <w:rsid w:val="003F6351"/>
    <w:rsid w:val="003F642C"/>
    <w:rsid w:val="003F6847"/>
    <w:rsid w:val="003F6C29"/>
    <w:rsid w:val="003F6D89"/>
    <w:rsid w:val="003F72B2"/>
    <w:rsid w:val="003F7776"/>
    <w:rsid w:val="003F7BF1"/>
    <w:rsid w:val="003F7C51"/>
    <w:rsid w:val="003F7D1A"/>
    <w:rsid w:val="003F7DC6"/>
    <w:rsid w:val="00400130"/>
    <w:rsid w:val="00400179"/>
    <w:rsid w:val="00400300"/>
    <w:rsid w:val="004004C5"/>
    <w:rsid w:val="004009BD"/>
    <w:rsid w:val="00400A2F"/>
    <w:rsid w:val="00400B25"/>
    <w:rsid w:val="00400C1B"/>
    <w:rsid w:val="004012DD"/>
    <w:rsid w:val="0040137F"/>
    <w:rsid w:val="004016CB"/>
    <w:rsid w:val="004019B6"/>
    <w:rsid w:val="00401EBB"/>
    <w:rsid w:val="00401F6B"/>
    <w:rsid w:val="00402248"/>
    <w:rsid w:val="00402295"/>
    <w:rsid w:val="004023DE"/>
    <w:rsid w:val="004025F5"/>
    <w:rsid w:val="0040265C"/>
    <w:rsid w:val="00402737"/>
    <w:rsid w:val="00402892"/>
    <w:rsid w:val="00402B31"/>
    <w:rsid w:val="00402BB0"/>
    <w:rsid w:val="00402E88"/>
    <w:rsid w:val="00402EC3"/>
    <w:rsid w:val="00402F5F"/>
    <w:rsid w:val="00402FD0"/>
    <w:rsid w:val="0040336C"/>
    <w:rsid w:val="004037F9"/>
    <w:rsid w:val="00403949"/>
    <w:rsid w:val="00403A7F"/>
    <w:rsid w:val="00403A82"/>
    <w:rsid w:val="00403B02"/>
    <w:rsid w:val="00403B59"/>
    <w:rsid w:val="00403BC3"/>
    <w:rsid w:val="00403C15"/>
    <w:rsid w:val="00403EEA"/>
    <w:rsid w:val="004046E6"/>
    <w:rsid w:val="00404A1E"/>
    <w:rsid w:val="00404B0F"/>
    <w:rsid w:val="00404E20"/>
    <w:rsid w:val="00404F58"/>
    <w:rsid w:val="0040507E"/>
    <w:rsid w:val="00405155"/>
    <w:rsid w:val="004051F0"/>
    <w:rsid w:val="00405374"/>
    <w:rsid w:val="00405705"/>
    <w:rsid w:val="0040577E"/>
    <w:rsid w:val="00405C72"/>
    <w:rsid w:val="00405CFC"/>
    <w:rsid w:val="00405DA9"/>
    <w:rsid w:val="00405DAC"/>
    <w:rsid w:val="00405EC8"/>
    <w:rsid w:val="00405FB4"/>
    <w:rsid w:val="004061E8"/>
    <w:rsid w:val="004066CA"/>
    <w:rsid w:val="004066EC"/>
    <w:rsid w:val="004069C0"/>
    <w:rsid w:val="00406A46"/>
    <w:rsid w:val="00406E73"/>
    <w:rsid w:val="00406EE2"/>
    <w:rsid w:val="00407B7B"/>
    <w:rsid w:val="00407D31"/>
    <w:rsid w:val="00407FA3"/>
    <w:rsid w:val="00410072"/>
    <w:rsid w:val="004101CB"/>
    <w:rsid w:val="00410659"/>
    <w:rsid w:val="004111E9"/>
    <w:rsid w:val="0041139D"/>
    <w:rsid w:val="00411489"/>
    <w:rsid w:val="0041158A"/>
    <w:rsid w:val="00411855"/>
    <w:rsid w:val="00411C43"/>
    <w:rsid w:val="0041200A"/>
    <w:rsid w:val="004121BE"/>
    <w:rsid w:val="00412550"/>
    <w:rsid w:val="00412867"/>
    <w:rsid w:val="00412929"/>
    <w:rsid w:val="00412A6C"/>
    <w:rsid w:val="004130B1"/>
    <w:rsid w:val="004131BB"/>
    <w:rsid w:val="00413370"/>
    <w:rsid w:val="004136C9"/>
    <w:rsid w:val="00413846"/>
    <w:rsid w:val="00413C9C"/>
    <w:rsid w:val="004140C9"/>
    <w:rsid w:val="00414215"/>
    <w:rsid w:val="0041455D"/>
    <w:rsid w:val="00414946"/>
    <w:rsid w:val="00414CE5"/>
    <w:rsid w:val="00415271"/>
    <w:rsid w:val="004155A1"/>
    <w:rsid w:val="004158A2"/>
    <w:rsid w:val="00415BE5"/>
    <w:rsid w:val="00415CD5"/>
    <w:rsid w:val="00416578"/>
    <w:rsid w:val="00416801"/>
    <w:rsid w:val="00416892"/>
    <w:rsid w:val="004168C8"/>
    <w:rsid w:val="00416904"/>
    <w:rsid w:val="00416A89"/>
    <w:rsid w:val="00416B88"/>
    <w:rsid w:val="00416D89"/>
    <w:rsid w:val="00417287"/>
    <w:rsid w:val="00417299"/>
    <w:rsid w:val="00417351"/>
    <w:rsid w:val="0041740F"/>
    <w:rsid w:val="00417A58"/>
    <w:rsid w:val="00417AC9"/>
    <w:rsid w:val="0042010A"/>
    <w:rsid w:val="004201AA"/>
    <w:rsid w:val="0042042D"/>
    <w:rsid w:val="00420698"/>
    <w:rsid w:val="0042079E"/>
    <w:rsid w:val="00420D38"/>
    <w:rsid w:val="00420E43"/>
    <w:rsid w:val="00421270"/>
    <w:rsid w:val="004216EE"/>
    <w:rsid w:val="00421970"/>
    <w:rsid w:val="00421A3C"/>
    <w:rsid w:val="00421EA8"/>
    <w:rsid w:val="00421F9F"/>
    <w:rsid w:val="00422208"/>
    <w:rsid w:val="0042280C"/>
    <w:rsid w:val="0042294E"/>
    <w:rsid w:val="00422FFD"/>
    <w:rsid w:val="00423169"/>
    <w:rsid w:val="004233F0"/>
    <w:rsid w:val="0042349D"/>
    <w:rsid w:val="00423718"/>
    <w:rsid w:val="0042384C"/>
    <w:rsid w:val="004238A4"/>
    <w:rsid w:val="00423DE5"/>
    <w:rsid w:val="00423E51"/>
    <w:rsid w:val="00423E5F"/>
    <w:rsid w:val="00423F43"/>
    <w:rsid w:val="00423FCF"/>
    <w:rsid w:val="0042438D"/>
    <w:rsid w:val="00424943"/>
    <w:rsid w:val="00424A2E"/>
    <w:rsid w:val="00424A39"/>
    <w:rsid w:val="0042552D"/>
    <w:rsid w:val="00425631"/>
    <w:rsid w:val="0042589A"/>
    <w:rsid w:val="004258E8"/>
    <w:rsid w:val="00425A2B"/>
    <w:rsid w:val="00425CE0"/>
    <w:rsid w:val="004265DB"/>
    <w:rsid w:val="004267B2"/>
    <w:rsid w:val="00426A1E"/>
    <w:rsid w:val="00426F6C"/>
    <w:rsid w:val="004270BB"/>
    <w:rsid w:val="00427255"/>
    <w:rsid w:val="00427284"/>
    <w:rsid w:val="00427706"/>
    <w:rsid w:val="004279FE"/>
    <w:rsid w:val="00427A18"/>
    <w:rsid w:val="00427BB0"/>
    <w:rsid w:val="00427C76"/>
    <w:rsid w:val="00427E60"/>
    <w:rsid w:val="00430108"/>
    <w:rsid w:val="004304D3"/>
    <w:rsid w:val="004304F5"/>
    <w:rsid w:val="00430B8C"/>
    <w:rsid w:val="00430CA7"/>
    <w:rsid w:val="00430EBD"/>
    <w:rsid w:val="004310AF"/>
    <w:rsid w:val="0043124E"/>
    <w:rsid w:val="00431330"/>
    <w:rsid w:val="004314B3"/>
    <w:rsid w:val="0043164F"/>
    <w:rsid w:val="00431794"/>
    <w:rsid w:val="004319D2"/>
    <w:rsid w:val="00431A5A"/>
    <w:rsid w:val="00431AEE"/>
    <w:rsid w:val="00431D94"/>
    <w:rsid w:val="00431F44"/>
    <w:rsid w:val="00432005"/>
    <w:rsid w:val="00432269"/>
    <w:rsid w:val="00432281"/>
    <w:rsid w:val="00432E4C"/>
    <w:rsid w:val="00432F38"/>
    <w:rsid w:val="00433019"/>
    <w:rsid w:val="004331A2"/>
    <w:rsid w:val="00433346"/>
    <w:rsid w:val="004333DC"/>
    <w:rsid w:val="004333FA"/>
    <w:rsid w:val="00433455"/>
    <w:rsid w:val="00433756"/>
    <w:rsid w:val="00433BA3"/>
    <w:rsid w:val="00433C18"/>
    <w:rsid w:val="00433D70"/>
    <w:rsid w:val="00433D9D"/>
    <w:rsid w:val="00433DE8"/>
    <w:rsid w:val="004341B7"/>
    <w:rsid w:val="0043429F"/>
    <w:rsid w:val="00434579"/>
    <w:rsid w:val="004345F1"/>
    <w:rsid w:val="00434663"/>
    <w:rsid w:val="004346A4"/>
    <w:rsid w:val="004346CD"/>
    <w:rsid w:val="00434861"/>
    <w:rsid w:val="00434BFB"/>
    <w:rsid w:val="00434EBB"/>
    <w:rsid w:val="00434FD8"/>
    <w:rsid w:val="00435029"/>
    <w:rsid w:val="004357A0"/>
    <w:rsid w:val="00435968"/>
    <w:rsid w:val="00435DFF"/>
    <w:rsid w:val="00436073"/>
    <w:rsid w:val="00436176"/>
    <w:rsid w:val="004361AA"/>
    <w:rsid w:val="004361B3"/>
    <w:rsid w:val="00436210"/>
    <w:rsid w:val="004362C2"/>
    <w:rsid w:val="00436358"/>
    <w:rsid w:val="004364BC"/>
    <w:rsid w:val="00436536"/>
    <w:rsid w:val="004368D9"/>
    <w:rsid w:val="00436A20"/>
    <w:rsid w:val="00436C86"/>
    <w:rsid w:val="00436EA9"/>
    <w:rsid w:val="004374C7"/>
    <w:rsid w:val="00437531"/>
    <w:rsid w:val="004375BF"/>
    <w:rsid w:val="00437842"/>
    <w:rsid w:val="0043790F"/>
    <w:rsid w:val="004379A0"/>
    <w:rsid w:val="00437C32"/>
    <w:rsid w:val="00437D6F"/>
    <w:rsid w:val="00437E5D"/>
    <w:rsid w:val="00437EE1"/>
    <w:rsid w:val="00437F48"/>
    <w:rsid w:val="004402DE"/>
    <w:rsid w:val="00440379"/>
    <w:rsid w:val="004406CA"/>
    <w:rsid w:val="0044073E"/>
    <w:rsid w:val="00440902"/>
    <w:rsid w:val="00440C0D"/>
    <w:rsid w:val="00440D67"/>
    <w:rsid w:val="00440D68"/>
    <w:rsid w:val="00441163"/>
    <w:rsid w:val="00441214"/>
    <w:rsid w:val="004412FF"/>
    <w:rsid w:val="00441386"/>
    <w:rsid w:val="004413BD"/>
    <w:rsid w:val="004413D0"/>
    <w:rsid w:val="004413FA"/>
    <w:rsid w:val="0044147D"/>
    <w:rsid w:val="00441708"/>
    <w:rsid w:val="00441A9E"/>
    <w:rsid w:val="00441E69"/>
    <w:rsid w:val="00441F54"/>
    <w:rsid w:val="0044208E"/>
    <w:rsid w:val="004423B7"/>
    <w:rsid w:val="004425DA"/>
    <w:rsid w:val="004429EF"/>
    <w:rsid w:val="00442EBF"/>
    <w:rsid w:val="00442ECF"/>
    <w:rsid w:val="00442F9E"/>
    <w:rsid w:val="00442FCB"/>
    <w:rsid w:val="0044325C"/>
    <w:rsid w:val="004433F1"/>
    <w:rsid w:val="004437E9"/>
    <w:rsid w:val="00443AC7"/>
    <w:rsid w:val="00443EC6"/>
    <w:rsid w:val="004442A0"/>
    <w:rsid w:val="0044439D"/>
    <w:rsid w:val="00444684"/>
    <w:rsid w:val="00444BD9"/>
    <w:rsid w:val="00445377"/>
    <w:rsid w:val="00445ABC"/>
    <w:rsid w:val="00446194"/>
    <w:rsid w:val="004461F2"/>
    <w:rsid w:val="00446278"/>
    <w:rsid w:val="004462C9"/>
    <w:rsid w:val="004464CC"/>
    <w:rsid w:val="00446504"/>
    <w:rsid w:val="0044650F"/>
    <w:rsid w:val="004465AC"/>
    <w:rsid w:val="00446881"/>
    <w:rsid w:val="004469EB"/>
    <w:rsid w:val="00446AF6"/>
    <w:rsid w:val="0044703E"/>
    <w:rsid w:val="004471C5"/>
    <w:rsid w:val="004472AB"/>
    <w:rsid w:val="0044769A"/>
    <w:rsid w:val="00447AB2"/>
    <w:rsid w:val="00447AEB"/>
    <w:rsid w:val="00447BB8"/>
    <w:rsid w:val="00447F2E"/>
    <w:rsid w:val="004501F1"/>
    <w:rsid w:val="004502DA"/>
    <w:rsid w:val="0045050C"/>
    <w:rsid w:val="0045052E"/>
    <w:rsid w:val="0045059D"/>
    <w:rsid w:val="0045085D"/>
    <w:rsid w:val="00450DBF"/>
    <w:rsid w:val="00450FB7"/>
    <w:rsid w:val="004510A5"/>
    <w:rsid w:val="00451147"/>
    <w:rsid w:val="0045141F"/>
    <w:rsid w:val="00451955"/>
    <w:rsid w:val="00451D7A"/>
    <w:rsid w:val="00451DC8"/>
    <w:rsid w:val="00451F35"/>
    <w:rsid w:val="004522EC"/>
    <w:rsid w:val="00452425"/>
    <w:rsid w:val="0045248B"/>
    <w:rsid w:val="00452980"/>
    <w:rsid w:val="00452A9E"/>
    <w:rsid w:val="00452C18"/>
    <w:rsid w:val="00452EC4"/>
    <w:rsid w:val="00453007"/>
    <w:rsid w:val="004531DD"/>
    <w:rsid w:val="0045321B"/>
    <w:rsid w:val="00453284"/>
    <w:rsid w:val="004532F7"/>
    <w:rsid w:val="004536F9"/>
    <w:rsid w:val="00453915"/>
    <w:rsid w:val="00453A1F"/>
    <w:rsid w:val="00453B3A"/>
    <w:rsid w:val="00453D89"/>
    <w:rsid w:val="00453E0C"/>
    <w:rsid w:val="0045429E"/>
    <w:rsid w:val="004545AC"/>
    <w:rsid w:val="004546BF"/>
    <w:rsid w:val="0045485E"/>
    <w:rsid w:val="00454B06"/>
    <w:rsid w:val="00454DA3"/>
    <w:rsid w:val="00455345"/>
    <w:rsid w:val="004553F7"/>
    <w:rsid w:val="004557B0"/>
    <w:rsid w:val="00455B7B"/>
    <w:rsid w:val="00455DB4"/>
    <w:rsid w:val="004562C6"/>
    <w:rsid w:val="004566DE"/>
    <w:rsid w:val="004566E4"/>
    <w:rsid w:val="0045674A"/>
    <w:rsid w:val="00456770"/>
    <w:rsid w:val="004568FB"/>
    <w:rsid w:val="004569AD"/>
    <w:rsid w:val="00456D74"/>
    <w:rsid w:val="004575CD"/>
    <w:rsid w:val="0045763B"/>
    <w:rsid w:val="00457ACC"/>
    <w:rsid w:val="00457B24"/>
    <w:rsid w:val="00457C51"/>
    <w:rsid w:val="00457ECB"/>
    <w:rsid w:val="00460636"/>
    <w:rsid w:val="00460A64"/>
    <w:rsid w:val="00460D17"/>
    <w:rsid w:val="00460F8A"/>
    <w:rsid w:val="0046136F"/>
    <w:rsid w:val="00461393"/>
    <w:rsid w:val="004615F2"/>
    <w:rsid w:val="0046174F"/>
    <w:rsid w:val="004618F6"/>
    <w:rsid w:val="004619B1"/>
    <w:rsid w:val="00461A52"/>
    <w:rsid w:val="00461BEC"/>
    <w:rsid w:val="00461C69"/>
    <w:rsid w:val="00461DD2"/>
    <w:rsid w:val="00461F3B"/>
    <w:rsid w:val="00462022"/>
    <w:rsid w:val="00462513"/>
    <w:rsid w:val="004626D9"/>
    <w:rsid w:val="00462A6E"/>
    <w:rsid w:val="0046305C"/>
    <w:rsid w:val="004630D1"/>
    <w:rsid w:val="0046315F"/>
    <w:rsid w:val="00463C8C"/>
    <w:rsid w:val="00463E44"/>
    <w:rsid w:val="00463EE2"/>
    <w:rsid w:val="00463F69"/>
    <w:rsid w:val="0046436F"/>
    <w:rsid w:val="004643E8"/>
    <w:rsid w:val="0046480E"/>
    <w:rsid w:val="00464DF4"/>
    <w:rsid w:val="00464EEA"/>
    <w:rsid w:val="00465023"/>
    <w:rsid w:val="0046518D"/>
    <w:rsid w:val="0046520C"/>
    <w:rsid w:val="00465267"/>
    <w:rsid w:val="00465272"/>
    <w:rsid w:val="004652E7"/>
    <w:rsid w:val="0046555B"/>
    <w:rsid w:val="004656D6"/>
    <w:rsid w:val="00465941"/>
    <w:rsid w:val="004659A3"/>
    <w:rsid w:val="00465AAF"/>
    <w:rsid w:val="00465D74"/>
    <w:rsid w:val="00465DAA"/>
    <w:rsid w:val="00466150"/>
    <w:rsid w:val="004662AB"/>
    <w:rsid w:val="004662D4"/>
    <w:rsid w:val="004664E6"/>
    <w:rsid w:val="00466748"/>
    <w:rsid w:val="00466877"/>
    <w:rsid w:val="004669E5"/>
    <w:rsid w:val="00466D9B"/>
    <w:rsid w:val="00466F19"/>
    <w:rsid w:val="00466F8C"/>
    <w:rsid w:val="004677C7"/>
    <w:rsid w:val="00467941"/>
    <w:rsid w:val="00467A24"/>
    <w:rsid w:val="00467A9D"/>
    <w:rsid w:val="00467B19"/>
    <w:rsid w:val="00467CC7"/>
    <w:rsid w:val="00467CF2"/>
    <w:rsid w:val="00470177"/>
    <w:rsid w:val="00470206"/>
    <w:rsid w:val="004704D2"/>
    <w:rsid w:val="00470A92"/>
    <w:rsid w:val="00470B03"/>
    <w:rsid w:val="00470D50"/>
    <w:rsid w:val="00471131"/>
    <w:rsid w:val="0047140D"/>
    <w:rsid w:val="0047170B"/>
    <w:rsid w:val="00471783"/>
    <w:rsid w:val="00471941"/>
    <w:rsid w:val="00471A4B"/>
    <w:rsid w:val="00471AB6"/>
    <w:rsid w:val="00471DAC"/>
    <w:rsid w:val="0047209E"/>
    <w:rsid w:val="0047219E"/>
    <w:rsid w:val="00472422"/>
    <w:rsid w:val="0047249E"/>
    <w:rsid w:val="004724E8"/>
    <w:rsid w:val="0047263A"/>
    <w:rsid w:val="004726B4"/>
    <w:rsid w:val="00472CF7"/>
    <w:rsid w:val="00472D09"/>
    <w:rsid w:val="00472D22"/>
    <w:rsid w:val="00472EA9"/>
    <w:rsid w:val="004731A6"/>
    <w:rsid w:val="0047331D"/>
    <w:rsid w:val="004735B0"/>
    <w:rsid w:val="0047391F"/>
    <w:rsid w:val="00473A81"/>
    <w:rsid w:val="00473D6D"/>
    <w:rsid w:val="004740D3"/>
    <w:rsid w:val="004741D7"/>
    <w:rsid w:val="00474351"/>
    <w:rsid w:val="0047435D"/>
    <w:rsid w:val="004745FB"/>
    <w:rsid w:val="00474775"/>
    <w:rsid w:val="0047497B"/>
    <w:rsid w:val="004749C1"/>
    <w:rsid w:val="00474BD0"/>
    <w:rsid w:val="00475073"/>
    <w:rsid w:val="0047550B"/>
    <w:rsid w:val="00475573"/>
    <w:rsid w:val="00475594"/>
    <w:rsid w:val="00475F6B"/>
    <w:rsid w:val="004760DF"/>
    <w:rsid w:val="00476138"/>
    <w:rsid w:val="004762FE"/>
    <w:rsid w:val="00476503"/>
    <w:rsid w:val="004765EF"/>
    <w:rsid w:val="004766E7"/>
    <w:rsid w:val="004768F1"/>
    <w:rsid w:val="00476DA3"/>
    <w:rsid w:val="00476E9B"/>
    <w:rsid w:val="00477018"/>
    <w:rsid w:val="00477292"/>
    <w:rsid w:val="00477331"/>
    <w:rsid w:val="004774D0"/>
    <w:rsid w:val="004774DB"/>
    <w:rsid w:val="0047761C"/>
    <w:rsid w:val="0047765A"/>
    <w:rsid w:val="004776E1"/>
    <w:rsid w:val="004777E2"/>
    <w:rsid w:val="00477873"/>
    <w:rsid w:val="0048007B"/>
    <w:rsid w:val="00480416"/>
    <w:rsid w:val="004809B6"/>
    <w:rsid w:val="00480B3C"/>
    <w:rsid w:val="00480B68"/>
    <w:rsid w:val="00480C41"/>
    <w:rsid w:val="00480C84"/>
    <w:rsid w:val="00480D21"/>
    <w:rsid w:val="00480F5A"/>
    <w:rsid w:val="00481018"/>
    <w:rsid w:val="00481062"/>
    <w:rsid w:val="0048107F"/>
    <w:rsid w:val="0048112F"/>
    <w:rsid w:val="004812DF"/>
    <w:rsid w:val="004815AB"/>
    <w:rsid w:val="0048165E"/>
    <w:rsid w:val="004817D2"/>
    <w:rsid w:val="00481A2B"/>
    <w:rsid w:val="00481A9E"/>
    <w:rsid w:val="00481C4C"/>
    <w:rsid w:val="00481C6F"/>
    <w:rsid w:val="00481E30"/>
    <w:rsid w:val="004823A7"/>
    <w:rsid w:val="00482C31"/>
    <w:rsid w:val="00482E48"/>
    <w:rsid w:val="00483015"/>
    <w:rsid w:val="00483139"/>
    <w:rsid w:val="0048319C"/>
    <w:rsid w:val="00483376"/>
    <w:rsid w:val="00483CEB"/>
    <w:rsid w:val="00483CF6"/>
    <w:rsid w:val="004841BA"/>
    <w:rsid w:val="0048426A"/>
    <w:rsid w:val="00484333"/>
    <w:rsid w:val="00484411"/>
    <w:rsid w:val="004844CA"/>
    <w:rsid w:val="0048466F"/>
    <w:rsid w:val="00484A65"/>
    <w:rsid w:val="00484EA5"/>
    <w:rsid w:val="00484F60"/>
    <w:rsid w:val="004850EC"/>
    <w:rsid w:val="00485269"/>
    <w:rsid w:val="00485C1D"/>
    <w:rsid w:val="00485CBA"/>
    <w:rsid w:val="00485D9C"/>
    <w:rsid w:val="00485F4B"/>
    <w:rsid w:val="0048631E"/>
    <w:rsid w:val="00486369"/>
    <w:rsid w:val="004867C2"/>
    <w:rsid w:val="004867EF"/>
    <w:rsid w:val="004868D0"/>
    <w:rsid w:val="0048690B"/>
    <w:rsid w:val="00486A47"/>
    <w:rsid w:val="00486A4F"/>
    <w:rsid w:val="00486B88"/>
    <w:rsid w:val="00486BF4"/>
    <w:rsid w:val="00486C7C"/>
    <w:rsid w:val="00486C8F"/>
    <w:rsid w:val="00487209"/>
    <w:rsid w:val="0048762A"/>
    <w:rsid w:val="00487C5F"/>
    <w:rsid w:val="00487EF5"/>
    <w:rsid w:val="00490177"/>
    <w:rsid w:val="00490809"/>
    <w:rsid w:val="0049098E"/>
    <w:rsid w:val="00490A7F"/>
    <w:rsid w:val="00490B9C"/>
    <w:rsid w:val="00490C57"/>
    <w:rsid w:val="00491115"/>
    <w:rsid w:val="00491369"/>
    <w:rsid w:val="004915DE"/>
    <w:rsid w:val="00491899"/>
    <w:rsid w:val="004919CC"/>
    <w:rsid w:val="00491A49"/>
    <w:rsid w:val="00491AAE"/>
    <w:rsid w:val="00491CA1"/>
    <w:rsid w:val="00491FE3"/>
    <w:rsid w:val="0049205B"/>
    <w:rsid w:val="0049235D"/>
    <w:rsid w:val="00492B1F"/>
    <w:rsid w:val="00493146"/>
    <w:rsid w:val="004932F6"/>
    <w:rsid w:val="0049370F"/>
    <w:rsid w:val="00493CF4"/>
    <w:rsid w:val="00493D84"/>
    <w:rsid w:val="00493F85"/>
    <w:rsid w:val="004947D7"/>
    <w:rsid w:val="00494A30"/>
    <w:rsid w:val="00494BBB"/>
    <w:rsid w:val="00494C00"/>
    <w:rsid w:val="00495100"/>
    <w:rsid w:val="004955DE"/>
    <w:rsid w:val="004956E5"/>
    <w:rsid w:val="00495DCF"/>
    <w:rsid w:val="00495E45"/>
    <w:rsid w:val="00496030"/>
    <w:rsid w:val="0049627F"/>
    <w:rsid w:val="00496322"/>
    <w:rsid w:val="00496454"/>
    <w:rsid w:val="004964C5"/>
    <w:rsid w:val="00496648"/>
    <w:rsid w:val="0049698E"/>
    <w:rsid w:val="00496AAD"/>
    <w:rsid w:val="00496C93"/>
    <w:rsid w:val="00496CB9"/>
    <w:rsid w:val="0049715F"/>
    <w:rsid w:val="004971A1"/>
    <w:rsid w:val="004974FF"/>
    <w:rsid w:val="0049776B"/>
    <w:rsid w:val="004977FB"/>
    <w:rsid w:val="004978B4"/>
    <w:rsid w:val="00497AE4"/>
    <w:rsid w:val="00497C6C"/>
    <w:rsid w:val="00497CCC"/>
    <w:rsid w:val="00497E7C"/>
    <w:rsid w:val="004A00F9"/>
    <w:rsid w:val="004A0228"/>
    <w:rsid w:val="004A073F"/>
    <w:rsid w:val="004A07D9"/>
    <w:rsid w:val="004A08C5"/>
    <w:rsid w:val="004A0CD2"/>
    <w:rsid w:val="004A0EC1"/>
    <w:rsid w:val="004A1394"/>
    <w:rsid w:val="004A1657"/>
    <w:rsid w:val="004A16B7"/>
    <w:rsid w:val="004A19FC"/>
    <w:rsid w:val="004A1A4F"/>
    <w:rsid w:val="004A1EB9"/>
    <w:rsid w:val="004A20F7"/>
    <w:rsid w:val="004A2939"/>
    <w:rsid w:val="004A2A90"/>
    <w:rsid w:val="004A2C6C"/>
    <w:rsid w:val="004A306E"/>
    <w:rsid w:val="004A357C"/>
    <w:rsid w:val="004A3D61"/>
    <w:rsid w:val="004A41A5"/>
    <w:rsid w:val="004A48D7"/>
    <w:rsid w:val="004A4B9B"/>
    <w:rsid w:val="004A4EB5"/>
    <w:rsid w:val="004A4EE4"/>
    <w:rsid w:val="004A4F67"/>
    <w:rsid w:val="004A5E2E"/>
    <w:rsid w:val="004A6375"/>
    <w:rsid w:val="004A6412"/>
    <w:rsid w:val="004A69F0"/>
    <w:rsid w:val="004A6AAC"/>
    <w:rsid w:val="004A6B94"/>
    <w:rsid w:val="004A6CDA"/>
    <w:rsid w:val="004A6FA5"/>
    <w:rsid w:val="004A7360"/>
    <w:rsid w:val="004A74F6"/>
    <w:rsid w:val="004A77C2"/>
    <w:rsid w:val="004A7845"/>
    <w:rsid w:val="004A7878"/>
    <w:rsid w:val="004A79EE"/>
    <w:rsid w:val="004A7B3B"/>
    <w:rsid w:val="004B0140"/>
    <w:rsid w:val="004B0386"/>
    <w:rsid w:val="004B0427"/>
    <w:rsid w:val="004B09C6"/>
    <w:rsid w:val="004B0A5A"/>
    <w:rsid w:val="004B1018"/>
    <w:rsid w:val="004B11B8"/>
    <w:rsid w:val="004B17D1"/>
    <w:rsid w:val="004B1B62"/>
    <w:rsid w:val="004B1C27"/>
    <w:rsid w:val="004B1C35"/>
    <w:rsid w:val="004B1EE8"/>
    <w:rsid w:val="004B1F28"/>
    <w:rsid w:val="004B2167"/>
    <w:rsid w:val="004B228D"/>
    <w:rsid w:val="004B26FC"/>
    <w:rsid w:val="004B27F2"/>
    <w:rsid w:val="004B28A8"/>
    <w:rsid w:val="004B28AC"/>
    <w:rsid w:val="004B2BB0"/>
    <w:rsid w:val="004B2E54"/>
    <w:rsid w:val="004B2EF6"/>
    <w:rsid w:val="004B307C"/>
    <w:rsid w:val="004B32AA"/>
    <w:rsid w:val="004B3394"/>
    <w:rsid w:val="004B39E4"/>
    <w:rsid w:val="004B3B54"/>
    <w:rsid w:val="004B3CCF"/>
    <w:rsid w:val="004B443A"/>
    <w:rsid w:val="004B4499"/>
    <w:rsid w:val="004B454C"/>
    <w:rsid w:val="004B4C3C"/>
    <w:rsid w:val="004B4C41"/>
    <w:rsid w:val="004B4F3B"/>
    <w:rsid w:val="004B50D1"/>
    <w:rsid w:val="004B5100"/>
    <w:rsid w:val="004B5107"/>
    <w:rsid w:val="004B585C"/>
    <w:rsid w:val="004B5960"/>
    <w:rsid w:val="004B5AF0"/>
    <w:rsid w:val="004B5E31"/>
    <w:rsid w:val="004B5F43"/>
    <w:rsid w:val="004B61CD"/>
    <w:rsid w:val="004B63C0"/>
    <w:rsid w:val="004B643F"/>
    <w:rsid w:val="004B6977"/>
    <w:rsid w:val="004B796F"/>
    <w:rsid w:val="004B7C32"/>
    <w:rsid w:val="004B7EEE"/>
    <w:rsid w:val="004C038A"/>
    <w:rsid w:val="004C063C"/>
    <w:rsid w:val="004C0814"/>
    <w:rsid w:val="004C0A97"/>
    <w:rsid w:val="004C0DC3"/>
    <w:rsid w:val="004C0F47"/>
    <w:rsid w:val="004C11BB"/>
    <w:rsid w:val="004C19DA"/>
    <w:rsid w:val="004C1C99"/>
    <w:rsid w:val="004C1DBF"/>
    <w:rsid w:val="004C1F80"/>
    <w:rsid w:val="004C233A"/>
    <w:rsid w:val="004C2578"/>
    <w:rsid w:val="004C2645"/>
    <w:rsid w:val="004C27F6"/>
    <w:rsid w:val="004C2D48"/>
    <w:rsid w:val="004C2EF7"/>
    <w:rsid w:val="004C2F3E"/>
    <w:rsid w:val="004C3287"/>
    <w:rsid w:val="004C3512"/>
    <w:rsid w:val="004C386C"/>
    <w:rsid w:val="004C3BC5"/>
    <w:rsid w:val="004C40DB"/>
    <w:rsid w:val="004C4627"/>
    <w:rsid w:val="004C47CF"/>
    <w:rsid w:val="004C47D5"/>
    <w:rsid w:val="004C4A61"/>
    <w:rsid w:val="004C4ABA"/>
    <w:rsid w:val="004C4B24"/>
    <w:rsid w:val="004C4F41"/>
    <w:rsid w:val="004C5174"/>
    <w:rsid w:val="004C533A"/>
    <w:rsid w:val="004C574A"/>
    <w:rsid w:val="004C59E6"/>
    <w:rsid w:val="004C5BA1"/>
    <w:rsid w:val="004C5C7E"/>
    <w:rsid w:val="004C6030"/>
    <w:rsid w:val="004C658C"/>
    <w:rsid w:val="004C692D"/>
    <w:rsid w:val="004C6BC2"/>
    <w:rsid w:val="004C6E16"/>
    <w:rsid w:val="004C6ED0"/>
    <w:rsid w:val="004C7342"/>
    <w:rsid w:val="004C7353"/>
    <w:rsid w:val="004C7621"/>
    <w:rsid w:val="004C77DE"/>
    <w:rsid w:val="004C78AB"/>
    <w:rsid w:val="004C7C51"/>
    <w:rsid w:val="004C7D34"/>
    <w:rsid w:val="004D01F2"/>
    <w:rsid w:val="004D06F3"/>
    <w:rsid w:val="004D0860"/>
    <w:rsid w:val="004D0EA2"/>
    <w:rsid w:val="004D14DB"/>
    <w:rsid w:val="004D17D5"/>
    <w:rsid w:val="004D1A37"/>
    <w:rsid w:val="004D1F39"/>
    <w:rsid w:val="004D21D5"/>
    <w:rsid w:val="004D240D"/>
    <w:rsid w:val="004D2429"/>
    <w:rsid w:val="004D24FA"/>
    <w:rsid w:val="004D26CE"/>
    <w:rsid w:val="004D297B"/>
    <w:rsid w:val="004D2A7E"/>
    <w:rsid w:val="004D3012"/>
    <w:rsid w:val="004D38D6"/>
    <w:rsid w:val="004D3F00"/>
    <w:rsid w:val="004D3F80"/>
    <w:rsid w:val="004D3FE4"/>
    <w:rsid w:val="004D3FF6"/>
    <w:rsid w:val="004D3FF7"/>
    <w:rsid w:val="004D4011"/>
    <w:rsid w:val="004D42AC"/>
    <w:rsid w:val="004D42ED"/>
    <w:rsid w:val="004D44B1"/>
    <w:rsid w:val="004D44DB"/>
    <w:rsid w:val="004D4A03"/>
    <w:rsid w:val="004D4BC5"/>
    <w:rsid w:val="004D4E1B"/>
    <w:rsid w:val="004D4F00"/>
    <w:rsid w:val="004D4FB8"/>
    <w:rsid w:val="004D52F7"/>
    <w:rsid w:val="004D5480"/>
    <w:rsid w:val="004D54E7"/>
    <w:rsid w:val="004D58DF"/>
    <w:rsid w:val="004D5DBA"/>
    <w:rsid w:val="004D6149"/>
    <w:rsid w:val="004D63AF"/>
    <w:rsid w:val="004D644C"/>
    <w:rsid w:val="004D65F5"/>
    <w:rsid w:val="004D6765"/>
    <w:rsid w:val="004D697A"/>
    <w:rsid w:val="004D69A2"/>
    <w:rsid w:val="004D7001"/>
    <w:rsid w:val="004D708E"/>
    <w:rsid w:val="004D70EB"/>
    <w:rsid w:val="004D7160"/>
    <w:rsid w:val="004D750A"/>
    <w:rsid w:val="004D768F"/>
    <w:rsid w:val="004D78FB"/>
    <w:rsid w:val="004D7CCB"/>
    <w:rsid w:val="004D7D4F"/>
    <w:rsid w:val="004D7ECF"/>
    <w:rsid w:val="004D7F2C"/>
    <w:rsid w:val="004D7F82"/>
    <w:rsid w:val="004E08AA"/>
    <w:rsid w:val="004E095C"/>
    <w:rsid w:val="004E0C0E"/>
    <w:rsid w:val="004E121B"/>
    <w:rsid w:val="004E139B"/>
    <w:rsid w:val="004E145F"/>
    <w:rsid w:val="004E1738"/>
    <w:rsid w:val="004E1897"/>
    <w:rsid w:val="004E2116"/>
    <w:rsid w:val="004E2143"/>
    <w:rsid w:val="004E2185"/>
    <w:rsid w:val="004E21EE"/>
    <w:rsid w:val="004E2226"/>
    <w:rsid w:val="004E2233"/>
    <w:rsid w:val="004E2248"/>
    <w:rsid w:val="004E27C1"/>
    <w:rsid w:val="004E2A3B"/>
    <w:rsid w:val="004E2B6F"/>
    <w:rsid w:val="004E2CF1"/>
    <w:rsid w:val="004E2EA6"/>
    <w:rsid w:val="004E3709"/>
    <w:rsid w:val="004E41F2"/>
    <w:rsid w:val="004E4227"/>
    <w:rsid w:val="004E43DD"/>
    <w:rsid w:val="004E4849"/>
    <w:rsid w:val="004E4C9C"/>
    <w:rsid w:val="004E4E14"/>
    <w:rsid w:val="004E56C0"/>
    <w:rsid w:val="004E56F1"/>
    <w:rsid w:val="004E5BF2"/>
    <w:rsid w:val="004E5C47"/>
    <w:rsid w:val="004E5FFB"/>
    <w:rsid w:val="004E62CB"/>
    <w:rsid w:val="004E63AE"/>
    <w:rsid w:val="004E66E6"/>
    <w:rsid w:val="004E6731"/>
    <w:rsid w:val="004E6754"/>
    <w:rsid w:val="004E6B9B"/>
    <w:rsid w:val="004E6E0B"/>
    <w:rsid w:val="004E6E21"/>
    <w:rsid w:val="004E703C"/>
    <w:rsid w:val="004E7276"/>
    <w:rsid w:val="004E75CC"/>
    <w:rsid w:val="004E7677"/>
    <w:rsid w:val="004E77BA"/>
    <w:rsid w:val="004E7946"/>
    <w:rsid w:val="004E7E10"/>
    <w:rsid w:val="004E7F44"/>
    <w:rsid w:val="004F00D9"/>
    <w:rsid w:val="004F0222"/>
    <w:rsid w:val="004F0528"/>
    <w:rsid w:val="004F05EF"/>
    <w:rsid w:val="004F07AC"/>
    <w:rsid w:val="004F0CA4"/>
    <w:rsid w:val="004F0D95"/>
    <w:rsid w:val="004F0F83"/>
    <w:rsid w:val="004F1013"/>
    <w:rsid w:val="004F10A7"/>
    <w:rsid w:val="004F1128"/>
    <w:rsid w:val="004F13EA"/>
    <w:rsid w:val="004F1442"/>
    <w:rsid w:val="004F17DC"/>
    <w:rsid w:val="004F1892"/>
    <w:rsid w:val="004F1A48"/>
    <w:rsid w:val="004F1A57"/>
    <w:rsid w:val="004F1B76"/>
    <w:rsid w:val="004F1DF6"/>
    <w:rsid w:val="004F1EEA"/>
    <w:rsid w:val="004F280A"/>
    <w:rsid w:val="004F2850"/>
    <w:rsid w:val="004F2952"/>
    <w:rsid w:val="004F2CB4"/>
    <w:rsid w:val="004F2FA0"/>
    <w:rsid w:val="004F3102"/>
    <w:rsid w:val="004F3627"/>
    <w:rsid w:val="004F3D9C"/>
    <w:rsid w:val="004F3E15"/>
    <w:rsid w:val="004F4104"/>
    <w:rsid w:val="004F44CA"/>
    <w:rsid w:val="004F4996"/>
    <w:rsid w:val="004F4E0A"/>
    <w:rsid w:val="004F5002"/>
    <w:rsid w:val="004F5166"/>
    <w:rsid w:val="004F5442"/>
    <w:rsid w:val="004F554D"/>
    <w:rsid w:val="004F55FB"/>
    <w:rsid w:val="004F56FC"/>
    <w:rsid w:val="004F5731"/>
    <w:rsid w:val="004F583F"/>
    <w:rsid w:val="004F589E"/>
    <w:rsid w:val="004F58FB"/>
    <w:rsid w:val="004F5BF9"/>
    <w:rsid w:val="004F5DB9"/>
    <w:rsid w:val="004F5E35"/>
    <w:rsid w:val="004F5EF5"/>
    <w:rsid w:val="004F6528"/>
    <w:rsid w:val="004F6937"/>
    <w:rsid w:val="004F6D28"/>
    <w:rsid w:val="004F6EB3"/>
    <w:rsid w:val="004F6ECE"/>
    <w:rsid w:val="004F6EE1"/>
    <w:rsid w:val="004F74D1"/>
    <w:rsid w:val="004F75B3"/>
    <w:rsid w:val="004F798B"/>
    <w:rsid w:val="004F7EF0"/>
    <w:rsid w:val="004F7FF2"/>
    <w:rsid w:val="00500048"/>
    <w:rsid w:val="00500134"/>
    <w:rsid w:val="005002F6"/>
    <w:rsid w:val="0050060E"/>
    <w:rsid w:val="00500946"/>
    <w:rsid w:val="00500CDE"/>
    <w:rsid w:val="00500DD6"/>
    <w:rsid w:val="00500EF4"/>
    <w:rsid w:val="00501341"/>
    <w:rsid w:val="005014DE"/>
    <w:rsid w:val="005016E7"/>
    <w:rsid w:val="00501788"/>
    <w:rsid w:val="0050198D"/>
    <w:rsid w:val="005019BD"/>
    <w:rsid w:val="00501D8F"/>
    <w:rsid w:val="00501DD4"/>
    <w:rsid w:val="005020AA"/>
    <w:rsid w:val="00502774"/>
    <w:rsid w:val="00502980"/>
    <w:rsid w:val="00502D5E"/>
    <w:rsid w:val="00502DD4"/>
    <w:rsid w:val="005030E1"/>
    <w:rsid w:val="00503116"/>
    <w:rsid w:val="005032B2"/>
    <w:rsid w:val="0050338B"/>
    <w:rsid w:val="0050369F"/>
    <w:rsid w:val="0050378A"/>
    <w:rsid w:val="00503973"/>
    <w:rsid w:val="00503DB4"/>
    <w:rsid w:val="00503FA4"/>
    <w:rsid w:val="005042A0"/>
    <w:rsid w:val="005044DC"/>
    <w:rsid w:val="00504510"/>
    <w:rsid w:val="0050465E"/>
    <w:rsid w:val="005046A1"/>
    <w:rsid w:val="0050474B"/>
    <w:rsid w:val="005047B8"/>
    <w:rsid w:val="005047D5"/>
    <w:rsid w:val="005049B1"/>
    <w:rsid w:val="00504A53"/>
    <w:rsid w:val="00504C1B"/>
    <w:rsid w:val="0050503D"/>
    <w:rsid w:val="00505360"/>
    <w:rsid w:val="005054B7"/>
    <w:rsid w:val="00505550"/>
    <w:rsid w:val="00505730"/>
    <w:rsid w:val="00505889"/>
    <w:rsid w:val="00505A24"/>
    <w:rsid w:val="00505B6D"/>
    <w:rsid w:val="00505EE5"/>
    <w:rsid w:val="00506196"/>
    <w:rsid w:val="005063B1"/>
    <w:rsid w:val="005067E3"/>
    <w:rsid w:val="00506856"/>
    <w:rsid w:val="00506B25"/>
    <w:rsid w:val="00506C11"/>
    <w:rsid w:val="00506E30"/>
    <w:rsid w:val="00506E72"/>
    <w:rsid w:val="00506FD7"/>
    <w:rsid w:val="005074A4"/>
    <w:rsid w:val="00507629"/>
    <w:rsid w:val="00507977"/>
    <w:rsid w:val="00507A67"/>
    <w:rsid w:val="00507C4A"/>
    <w:rsid w:val="005107DC"/>
    <w:rsid w:val="00510A77"/>
    <w:rsid w:val="00510D2B"/>
    <w:rsid w:val="00510E41"/>
    <w:rsid w:val="0051122C"/>
    <w:rsid w:val="00511619"/>
    <w:rsid w:val="00511758"/>
    <w:rsid w:val="005117F2"/>
    <w:rsid w:val="0051198F"/>
    <w:rsid w:val="00511AEF"/>
    <w:rsid w:val="0051209A"/>
    <w:rsid w:val="005122BC"/>
    <w:rsid w:val="005128CB"/>
    <w:rsid w:val="00512AF7"/>
    <w:rsid w:val="00512E1E"/>
    <w:rsid w:val="00512F4C"/>
    <w:rsid w:val="00512F69"/>
    <w:rsid w:val="005132EE"/>
    <w:rsid w:val="005133A9"/>
    <w:rsid w:val="00513504"/>
    <w:rsid w:val="00513891"/>
    <w:rsid w:val="00513E95"/>
    <w:rsid w:val="00514026"/>
    <w:rsid w:val="00514214"/>
    <w:rsid w:val="00514320"/>
    <w:rsid w:val="00514381"/>
    <w:rsid w:val="00514659"/>
    <w:rsid w:val="005147D8"/>
    <w:rsid w:val="00514D7C"/>
    <w:rsid w:val="00515005"/>
    <w:rsid w:val="0051526B"/>
    <w:rsid w:val="00515287"/>
    <w:rsid w:val="00515468"/>
    <w:rsid w:val="00515775"/>
    <w:rsid w:val="00515BAF"/>
    <w:rsid w:val="00515CFE"/>
    <w:rsid w:val="005162E2"/>
    <w:rsid w:val="00516392"/>
    <w:rsid w:val="005163E3"/>
    <w:rsid w:val="0051654C"/>
    <w:rsid w:val="00516CEF"/>
    <w:rsid w:val="00516F87"/>
    <w:rsid w:val="00516FD6"/>
    <w:rsid w:val="00516FE4"/>
    <w:rsid w:val="005170CB"/>
    <w:rsid w:val="00517380"/>
    <w:rsid w:val="0051739D"/>
    <w:rsid w:val="005173D0"/>
    <w:rsid w:val="00517595"/>
    <w:rsid w:val="00517807"/>
    <w:rsid w:val="00517EDB"/>
    <w:rsid w:val="005200E5"/>
    <w:rsid w:val="005204E6"/>
    <w:rsid w:val="005207A9"/>
    <w:rsid w:val="00520FED"/>
    <w:rsid w:val="005213D3"/>
    <w:rsid w:val="00521489"/>
    <w:rsid w:val="005214AA"/>
    <w:rsid w:val="00521E98"/>
    <w:rsid w:val="0052257C"/>
    <w:rsid w:val="005225A7"/>
    <w:rsid w:val="005228DE"/>
    <w:rsid w:val="005228F5"/>
    <w:rsid w:val="00523400"/>
    <w:rsid w:val="00523444"/>
    <w:rsid w:val="005235C1"/>
    <w:rsid w:val="005236BB"/>
    <w:rsid w:val="00523832"/>
    <w:rsid w:val="00523BB7"/>
    <w:rsid w:val="0052400E"/>
    <w:rsid w:val="005247C6"/>
    <w:rsid w:val="00524A1C"/>
    <w:rsid w:val="00524A95"/>
    <w:rsid w:val="00524F7B"/>
    <w:rsid w:val="0052500A"/>
    <w:rsid w:val="00525043"/>
    <w:rsid w:val="005251C3"/>
    <w:rsid w:val="005252B4"/>
    <w:rsid w:val="00525849"/>
    <w:rsid w:val="00525874"/>
    <w:rsid w:val="00525A73"/>
    <w:rsid w:val="00525B24"/>
    <w:rsid w:val="00525BC9"/>
    <w:rsid w:val="00525E90"/>
    <w:rsid w:val="00526053"/>
    <w:rsid w:val="00526340"/>
    <w:rsid w:val="005263AC"/>
    <w:rsid w:val="0052671D"/>
    <w:rsid w:val="00526935"/>
    <w:rsid w:val="005269AD"/>
    <w:rsid w:val="00526DFC"/>
    <w:rsid w:val="005270CE"/>
    <w:rsid w:val="00527593"/>
    <w:rsid w:val="00527766"/>
    <w:rsid w:val="00527B07"/>
    <w:rsid w:val="00527C19"/>
    <w:rsid w:val="00527CA2"/>
    <w:rsid w:val="00527EAC"/>
    <w:rsid w:val="00527FAC"/>
    <w:rsid w:val="0052AB60"/>
    <w:rsid w:val="00530037"/>
    <w:rsid w:val="005302B1"/>
    <w:rsid w:val="005305CF"/>
    <w:rsid w:val="00530795"/>
    <w:rsid w:val="00531234"/>
    <w:rsid w:val="00531272"/>
    <w:rsid w:val="00531381"/>
    <w:rsid w:val="00531513"/>
    <w:rsid w:val="005315B1"/>
    <w:rsid w:val="005316AD"/>
    <w:rsid w:val="00531796"/>
    <w:rsid w:val="005318C9"/>
    <w:rsid w:val="005318F2"/>
    <w:rsid w:val="00531993"/>
    <w:rsid w:val="00531ACF"/>
    <w:rsid w:val="00531B75"/>
    <w:rsid w:val="00531C08"/>
    <w:rsid w:val="00531C98"/>
    <w:rsid w:val="00531DA9"/>
    <w:rsid w:val="00531DCF"/>
    <w:rsid w:val="00531ED5"/>
    <w:rsid w:val="00532125"/>
    <w:rsid w:val="00532234"/>
    <w:rsid w:val="00532490"/>
    <w:rsid w:val="005325BE"/>
    <w:rsid w:val="0053269D"/>
    <w:rsid w:val="00532AD0"/>
    <w:rsid w:val="00532C83"/>
    <w:rsid w:val="00532C85"/>
    <w:rsid w:val="00532EE8"/>
    <w:rsid w:val="0053309A"/>
    <w:rsid w:val="0053331F"/>
    <w:rsid w:val="00533349"/>
    <w:rsid w:val="0053338E"/>
    <w:rsid w:val="00533444"/>
    <w:rsid w:val="00533E4E"/>
    <w:rsid w:val="00533E9C"/>
    <w:rsid w:val="00533ECE"/>
    <w:rsid w:val="005341C0"/>
    <w:rsid w:val="005342E5"/>
    <w:rsid w:val="00534508"/>
    <w:rsid w:val="005347C3"/>
    <w:rsid w:val="00534808"/>
    <w:rsid w:val="0053586E"/>
    <w:rsid w:val="00535BC7"/>
    <w:rsid w:val="00535CBD"/>
    <w:rsid w:val="00536145"/>
    <w:rsid w:val="005363C0"/>
    <w:rsid w:val="00536699"/>
    <w:rsid w:val="005366F7"/>
    <w:rsid w:val="00536AD6"/>
    <w:rsid w:val="00536DD4"/>
    <w:rsid w:val="00536E5D"/>
    <w:rsid w:val="00537665"/>
    <w:rsid w:val="00537BD7"/>
    <w:rsid w:val="00537E5F"/>
    <w:rsid w:val="00537E98"/>
    <w:rsid w:val="00540241"/>
    <w:rsid w:val="0054029B"/>
    <w:rsid w:val="00540312"/>
    <w:rsid w:val="0054049B"/>
    <w:rsid w:val="00540B2A"/>
    <w:rsid w:val="00540C28"/>
    <w:rsid w:val="00540D90"/>
    <w:rsid w:val="005412F2"/>
    <w:rsid w:val="0054143A"/>
    <w:rsid w:val="0054179F"/>
    <w:rsid w:val="00541BC3"/>
    <w:rsid w:val="00542209"/>
    <w:rsid w:val="00542463"/>
    <w:rsid w:val="005425B3"/>
    <w:rsid w:val="005427C4"/>
    <w:rsid w:val="00542A36"/>
    <w:rsid w:val="00542DE2"/>
    <w:rsid w:val="0054307D"/>
    <w:rsid w:val="0054310B"/>
    <w:rsid w:val="00543350"/>
    <w:rsid w:val="0054338E"/>
    <w:rsid w:val="005434FA"/>
    <w:rsid w:val="005435BC"/>
    <w:rsid w:val="00543703"/>
    <w:rsid w:val="0054371F"/>
    <w:rsid w:val="00543CD3"/>
    <w:rsid w:val="00543CDC"/>
    <w:rsid w:val="00543D26"/>
    <w:rsid w:val="00543FC8"/>
    <w:rsid w:val="0054422F"/>
    <w:rsid w:val="0054423D"/>
    <w:rsid w:val="00544463"/>
    <w:rsid w:val="0054463D"/>
    <w:rsid w:val="0054482D"/>
    <w:rsid w:val="005449F6"/>
    <w:rsid w:val="005454B9"/>
    <w:rsid w:val="005456F4"/>
    <w:rsid w:val="00545794"/>
    <w:rsid w:val="005458BC"/>
    <w:rsid w:val="00545982"/>
    <w:rsid w:val="00546048"/>
    <w:rsid w:val="0054628B"/>
    <w:rsid w:val="005462C2"/>
    <w:rsid w:val="00546395"/>
    <w:rsid w:val="00546460"/>
    <w:rsid w:val="005464C9"/>
    <w:rsid w:val="00546552"/>
    <w:rsid w:val="005465A7"/>
    <w:rsid w:val="005465E4"/>
    <w:rsid w:val="0054693E"/>
    <w:rsid w:val="00546A7C"/>
    <w:rsid w:val="00546E29"/>
    <w:rsid w:val="0054705D"/>
    <w:rsid w:val="0054715D"/>
    <w:rsid w:val="005477B6"/>
    <w:rsid w:val="00547C54"/>
    <w:rsid w:val="00547EB6"/>
    <w:rsid w:val="00547F57"/>
    <w:rsid w:val="0055013B"/>
    <w:rsid w:val="0055024E"/>
    <w:rsid w:val="00550809"/>
    <w:rsid w:val="00550C06"/>
    <w:rsid w:val="00550D6F"/>
    <w:rsid w:val="00550E9A"/>
    <w:rsid w:val="0055122B"/>
    <w:rsid w:val="005512F9"/>
    <w:rsid w:val="00551413"/>
    <w:rsid w:val="00551478"/>
    <w:rsid w:val="00551859"/>
    <w:rsid w:val="0055189B"/>
    <w:rsid w:val="00551AEF"/>
    <w:rsid w:val="00551D83"/>
    <w:rsid w:val="00551DAB"/>
    <w:rsid w:val="00551E6A"/>
    <w:rsid w:val="00551F12"/>
    <w:rsid w:val="00552102"/>
    <w:rsid w:val="005526DE"/>
    <w:rsid w:val="00552722"/>
    <w:rsid w:val="00552B47"/>
    <w:rsid w:val="00552DDC"/>
    <w:rsid w:val="00552F62"/>
    <w:rsid w:val="00553007"/>
    <w:rsid w:val="0055330E"/>
    <w:rsid w:val="00553493"/>
    <w:rsid w:val="0055393B"/>
    <w:rsid w:val="00553A43"/>
    <w:rsid w:val="00553F09"/>
    <w:rsid w:val="00554142"/>
    <w:rsid w:val="00554666"/>
    <w:rsid w:val="00554DF3"/>
    <w:rsid w:val="00554F59"/>
    <w:rsid w:val="00555007"/>
    <w:rsid w:val="00555342"/>
    <w:rsid w:val="005555E5"/>
    <w:rsid w:val="00555617"/>
    <w:rsid w:val="00555791"/>
    <w:rsid w:val="005557BF"/>
    <w:rsid w:val="0055583C"/>
    <w:rsid w:val="00555BCB"/>
    <w:rsid w:val="00555C24"/>
    <w:rsid w:val="005566C5"/>
    <w:rsid w:val="005566EE"/>
    <w:rsid w:val="0055670B"/>
    <w:rsid w:val="00556D15"/>
    <w:rsid w:val="00556F27"/>
    <w:rsid w:val="0055713D"/>
    <w:rsid w:val="0055723B"/>
    <w:rsid w:val="0055733E"/>
    <w:rsid w:val="0055746C"/>
    <w:rsid w:val="00557BEF"/>
    <w:rsid w:val="00557EE6"/>
    <w:rsid w:val="00560266"/>
    <w:rsid w:val="0056042F"/>
    <w:rsid w:val="005605CF"/>
    <w:rsid w:val="00560616"/>
    <w:rsid w:val="005609EA"/>
    <w:rsid w:val="00560AA1"/>
    <w:rsid w:val="00560DFE"/>
    <w:rsid w:val="00560E6B"/>
    <w:rsid w:val="00561024"/>
    <w:rsid w:val="00561393"/>
    <w:rsid w:val="00561472"/>
    <w:rsid w:val="005614F6"/>
    <w:rsid w:val="00561642"/>
    <w:rsid w:val="00561EE3"/>
    <w:rsid w:val="0056209D"/>
    <w:rsid w:val="0056210E"/>
    <w:rsid w:val="00562443"/>
    <w:rsid w:val="00562766"/>
    <w:rsid w:val="00562812"/>
    <w:rsid w:val="00562E08"/>
    <w:rsid w:val="00563168"/>
    <w:rsid w:val="005632F7"/>
    <w:rsid w:val="005633F0"/>
    <w:rsid w:val="0056348A"/>
    <w:rsid w:val="005635B6"/>
    <w:rsid w:val="005635C0"/>
    <w:rsid w:val="00563C65"/>
    <w:rsid w:val="00563DA4"/>
    <w:rsid w:val="00563F4C"/>
    <w:rsid w:val="00563F76"/>
    <w:rsid w:val="00563FD7"/>
    <w:rsid w:val="0056440B"/>
    <w:rsid w:val="00564733"/>
    <w:rsid w:val="00564998"/>
    <w:rsid w:val="00565565"/>
    <w:rsid w:val="005655A0"/>
    <w:rsid w:val="00565952"/>
    <w:rsid w:val="00565DFD"/>
    <w:rsid w:val="00566780"/>
    <w:rsid w:val="005668B9"/>
    <w:rsid w:val="00566C88"/>
    <w:rsid w:val="00566E27"/>
    <w:rsid w:val="005672AE"/>
    <w:rsid w:val="00567642"/>
    <w:rsid w:val="0056764D"/>
    <w:rsid w:val="00567CC3"/>
    <w:rsid w:val="00567D51"/>
    <w:rsid w:val="00567DFC"/>
    <w:rsid w:val="00570289"/>
    <w:rsid w:val="005709D5"/>
    <w:rsid w:val="00570CDE"/>
    <w:rsid w:val="00570F6E"/>
    <w:rsid w:val="0057149E"/>
    <w:rsid w:val="005714CC"/>
    <w:rsid w:val="00571500"/>
    <w:rsid w:val="00571785"/>
    <w:rsid w:val="00571DA8"/>
    <w:rsid w:val="00572096"/>
    <w:rsid w:val="005720AA"/>
    <w:rsid w:val="005723A7"/>
    <w:rsid w:val="00572690"/>
    <w:rsid w:val="0057291C"/>
    <w:rsid w:val="00572DF5"/>
    <w:rsid w:val="00573092"/>
    <w:rsid w:val="005731EF"/>
    <w:rsid w:val="0057367D"/>
    <w:rsid w:val="00573953"/>
    <w:rsid w:val="00573A2F"/>
    <w:rsid w:val="00573C77"/>
    <w:rsid w:val="00573E62"/>
    <w:rsid w:val="00574305"/>
    <w:rsid w:val="005744D4"/>
    <w:rsid w:val="00574608"/>
    <w:rsid w:val="005747C8"/>
    <w:rsid w:val="00574834"/>
    <w:rsid w:val="00574857"/>
    <w:rsid w:val="005748DE"/>
    <w:rsid w:val="0057493A"/>
    <w:rsid w:val="00574B0C"/>
    <w:rsid w:val="0057521C"/>
    <w:rsid w:val="0057526B"/>
    <w:rsid w:val="0057552A"/>
    <w:rsid w:val="005757BB"/>
    <w:rsid w:val="00575983"/>
    <w:rsid w:val="005759AB"/>
    <w:rsid w:val="00575BFA"/>
    <w:rsid w:val="00575C50"/>
    <w:rsid w:val="00575C69"/>
    <w:rsid w:val="00575CEC"/>
    <w:rsid w:val="00575E46"/>
    <w:rsid w:val="00575F15"/>
    <w:rsid w:val="0057604C"/>
    <w:rsid w:val="005762AC"/>
    <w:rsid w:val="00576562"/>
    <w:rsid w:val="005766F7"/>
    <w:rsid w:val="00576711"/>
    <w:rsid w:val="00576A4C"/>
    <w:rsid w:val="00576D6B"/>
    <w:rsid w:val="00576EDE"/>
    <w:rsid w:val="00576EF3"/>
    <w:rsid w:val="00577156"/>
    <w:rsid w:val="00577322"/>
    <w:rsid w:val="00577891"/>
    <w:rsid w:val="00577A15"/>
    <w:rsid w:val="00577A77"/>
    <w:rsid w:val="00577C5B"/>
    <w:rsid w:val="00580126"/>
    <w:rsid w:val="005803C4"/>
    <w:rsid w:val="005805B8"/>
    <w:rsid w:val="00580898"/>
    <w:rsid w:val="00580A1D"/>
    <w:rsid w:val="00580A56"/>
    <w:rsid w:val="00580FCB"/>
    <w:rsid w:val="00581003"/>
    <w:rsid w:val="00581066"/>
    <w:rsid w:val="0058133E"/>
    <w:rsid w:val="00581626"/>
    <w:rsid w:val="005817E8"/>
    <w:rsid w:val="00581AC2"/>
    <w:rsid w:val="005824D1"/>
    <w:rsid w:val="00582B4D"/>
    <w:rsid w:val="00583353"/>
    <w:rsid w:val="005833B9"/>
    <w:rsid w:val="0058353A"/>
    <w:rsid w:val="00583726"/>
    <w:rsid w:val="00583960"/>
    <w:rsid w:val="00583C0B"/>
    <w:rsid w:val="00583D0E"/>
    <w:rsid w:val="00584457"/>
    <w:rsid w:val="00584468"/>
    <w:rsid w:val="005845CC"/>
    <w:rsid w:val="0058490D"/>
    <w:rsid w:val="00584B21"/>
    <w:rsid w:val="00584B5D"/>
    <w:rsid w:val="00584CA2"/>
    <w:rsid w:val="00584D52"/>
    <w:rsid w:val="00584FDE"/>
    <w:rsid w:val="005851A8"/>
    <w:rsid w:val="00585587"/>
    <w:rsid w:val="00585589"/>
    <w:rsid w:val="005855C8"/>
    <w:rsid w:val="005859A7"/>
    <w:rsid w:val="00585C1B"/>
    <w:rsid w:val="00585D6E"/>
    <w:rsid w:val="00585E73"/>
    <w:rsid w:val="0058607B"/>
    <w:rsid w:val="00586138"/>
    <w:rsid w:val="00586336"/>
    <w:rsid w:val="00586822"/>
    <w:rsid w:val="00586909"/>
    <w:rsid w:val="00586BD1"/>
    <w:rsid w:val="00586BE3"/>
    <w:rsid w:val="00586C5A"/>
    <w:rsid w:val="00586FB6"/>
    <w:rsid w:val="00587238"/>
    <w:rsid w:val="005872F1"/>
    <w:rsid w:val="00587502"/>
    <w:rsid w:val="0058756D"/>
    <w:rsid w:val="00587946"/>
    <w:rsid w:val="00587AB5"/>
    <w:rsid w:val="00587F0E"/>
    <w:rsid w:val="0059031C"/>
    <w:rsid w:val="005906C1"/>
    <w:rsid w:val="00590758"/>
    <w:rsid w:val="005907A5"/>
    <w:rsid w:val="0059087B"/>
    <w:rsid w:val="005908C1"/>
    <w:rsid w:val="005908FA"/>
    <w:rsid w:val="00590C0E"/>
    <w:rsid w:val="00590C34"/>
    <w:rsid w:val="0059120F"/>
    <w:rsid w:val="00591574"/>
    <w:rsid w:val="0059172D"/>
    <w:rsid w:val="00591D6C"/>
    <w:rsid w:val="00591D92"/>
    <w:rsid w:val="00591FC1"/>
    <w:rsid w:val="00592409"/>
    <w:rsid w:val="005926E2"/>
    <w:rsid w:val="00592756"/>
    <w:rsid w:val="0059295E"/>
    <w:rsid w:val="00592B84"/>
    <w:rsid w:val="00592B9F"/>
    <w:rsid w:val="00592BE6"/>
    <w:rsid w:val="00592E96"/>
    <w:rsid w:val="00592F62"/>
    <w:rsid w:val="005933F4"/>
    <w:rsid w:val="00593576"/>
    <w:rsid w:val="00593578"/>
    <w:rsid w:val="00593D6D"/>
    <w:rsid w:val="00593E7E"/>
    <w:rsid w:val="005941FB"/>
    <w:rsid w:val="005946F0"/>
    <w:rsid w:val="0059475B"/>
    <w:rsid w:val="00594969"/>
    <w:rsid w:val="00594992"/>
    <w:rsid w:val="00594D3C"/>
    <w:rsid w:val="00594DAC"/>
    <w:rsid w:val="00595075"/>
    <w:rsid w:val="005950FB"/>
    <w:rsid w:val="00595194"/>
    <w:rsid w:val="0059574F"/>
    <w:rsid w:val="0059596A"/>
    <w:rsid w:val="00595ACE"/>
    <w:rsid w:val="005960DD"/>
    <w:rsid w:val="00596234"/>
    <w:rsid w:val="005963EB"/>
    <w:rsid w:val="005966A0"/>
    <w:rsid w:val="00596955"/>
    <w:rsid w:val="005969EE"/>
    <w:rsid w:val="00596A80"/>
    <w:rsid w:val="00596D77"/>
    <w:rsid w:val="0059703C"/>
    <w:rsid w:val="0059712F"/>
    <w:rsid w:val="00597270"/>
    <w:rsid w:val="00597523"/>
    <w:rsid w:val="0059779C"/>
    <w:rsid w:val="005978F8"/>
    <w:rsid w:val="00597C5B"/>
    <w:rsid w:val="00597D5A"/>
    <w:rsid w:val="00597EFE"/>
    <w:rsid w:val="00597FFA"/>
    <w:rsid w:val="005A009C"/>
    <w:rsid w:val="005A033B"/>
    <w:rsid w:val="005A04CB"/>
    <w:rsid w:val="005A07D7"/>
    <w:rsid w:val="005A084C"/>
    <w:rsid w:val="005A099A"/>
    <w:rsid w:val="005A0CDF"/>
    <w:rsid w:val="005A0D9E"/>
    <w:rsid w:val="005A0E08"/>
    <w:rsid w:val="005A0E38"/>
    <w:rsid w:val="005A1101"/>
    <w:rsid w:val="005A1165"/>
    <w:rsid w:val="005A13A4"/>
    <w:rsid w:val="005A13DF"/>
    <w:rsid w:val="005A1AFC"/>
    <w:rsid w:val="005A1FA8"/>
    <w:rsid w:val="005A2225"/>
    <w:rsid w:val="005A2235"/>
    <w:rsid w:val="005A2568"/>
    <w:rsid w:val="005A2742"/>
    <w:rsid w:val="005A28E2"/>
    <w:rsid w:val="005A296A"/>
    <w:rsid w:val="005A2BB5"/>
    <w:rsid w:val="005A30A4"/>
    <w:rsid w:val="005A3299"/>
    <w:rsid w:val="005A3504"/>
    <w:rsid w:val="005A3995"/>
    <w:rsid w:val="005A3A0D"/>
    <w:rsid w:val="005A3A93"/>
    <w:rsid w:val="005A3B87"/>
    <w:rsid w:val="005A3CC8"/>
    <w:rsid w:val="005A3D0A"/>
    <w:rsid w:val="005A41CE"/>
    <w:rsid w:val="005A42AA"/>
    <w:rsid w:val="005A437F"/>
    <w:rsid w:val="005A4852"/>
    <w:rsid w:val="005A49FF"/>
    <w:rsid w:val="005A4DCF"/>
    <w:rsid w:val="005A4F51"/>
    <w:rsid w:val="005A5102"/>
    <w:rsid w:val="005A512A"/>
    <w:rsid w:val="005A52C6"/>
    <w:rsid w:val="005A535A"/>
    <w:rsid w:val="005A5362"/>
    <w:rsid w:val="005A53A9"/>
    <w:rsid w:val="005A53F1"/>
    <w:rsid w:val="005A55E0"/>
    <w:rsid w:val="005A57CE"/>
    <w:rsid w:val="005A5A76"/>
    <w:rsid w:val="005A5DEB"/>
    <w:rsid w:val="005A5DF0"/>
    <w:rsid w:val="005A5E07"/>
    <w:rsid w:val="005A5F03"/>
    <w:rsid w:val="005A5F16"/>
    <w:rsid w:val="005A614A"/>
    <w:rsid w:val="005A62D1"/>
    <w:rsid w:val="005A6F45"/>
    <w:rsid w:val="005A71E4"/>
    <w:rsid w:val="005A7403"/>
    <w:rsid w:val="005A791C"/>
    <w:rsid w:val="005A7B6E"/>
    <w:rsid w:val="005A7D45"/>
    <w:rsid w:val="005A7FE2"/>
    <w:rsid w:val="005B0352"/>
    <w:rsid w:val="005B0976"/>
    <w:rsid w:val="005B09A6"/>
    <w:rsid w:val="005B12E1"/>
    <w:rsid w:val="005B135C"/>
    <w:rsid w:val="005B1561"/>
    <w:rsid w:val="005B15AE"/>
    <w:rsid w:val="005B1778"/>
    <w:rsid w:val="005B18A0"/>
    <w:rsid w:val="005B2242"/>
    <w:rsid w:val="005B22C5"/>
    <w:rsid w:val="005B23A7"/>
    <w:rsid w:val="005B24EA"/>
    <w:rsid w:val="005B26F6"/>
    <w:rsid w:val="005B2B1D"/>
    <w:rsid w:val="005B2C5C"/>
    <w:rsid w:val="005B2E49"/>
    <w:rsid w:val="005B32CD"/>
    <w:rsid w:val="005B33C6"/>
    <w:rsid w:val="005B361D"/>
    <w:rsid w:val="005B36A6"/>
    <w:rsid w:val="005B36DC"/>
    <w:rsid w:val="005B39E1"/>
    <w:rsid w:val="005B3A88"/>
    <w:rsid w:val="005B40CB"/>
    <w:rsid w:val="005B41CA"/>
    <w:rsid w:val="005B42F6"/>
    <w:rsid w:val="005B4464"/>
    <w:rsid w:val="005B46D6"/>
    <w:rsid w:val="005B46FA"/>
    <w:rsid w:val="005B4800"/>
    <w:rsid w:val="005B4CB0"/>
    <w:rsid w:val="005B4DAD"/>
    <w:rsid w:val="005B4E3D"/>
    <w:rsid w:val="005B50BF"/>
    <w:rsid w:val="005B511C"/>
    <w:rsid w:val="005B5317"/>
    <w:rsid w:val="005B5361"/>
    <w:rsid w:val="005B54AA"/>
    <w:rsid w:val="005B5644"/>
    <w:rsid w:val="005B572A"/>
    <w:rsid w:val="005B5A35"/>
    <w:rsid w:val="005B5FCE"/>
    <w:rsid w:val="005B6031"/>
    <w:rsid w:val="005B6465"/>
    <w:rsid w:val="005B649D"/>
    <w:rsid w:val="005B6666"/>
    <w:rsid w:val="005B6816"/>
    <w:rsid w:val="005B68B0"/>
    <w:rsid w:val="005B68E0"/>
    <w:rsid w:val="005B6995"/>
    <w:rsid w:val="005B6DA0"/>
    <w:rsid w:val="005B6E83"/>
    <w:rsid w:val="005B7083"/>
    <w:rsid w:val="005B75E3"/>
    <w:rsid w:val="005B76C7"/>
    <w:rsid w:val="005B7D6E"/>
    <w:rsid w:val="005B7FE8"/>
    <w:rsid w:val="005C02A7"/>
    <w:rsid w:val="005C03EE"/>
    <w:rsid w:val="005C0409"/>
    <w:rsid w:val="005C0425"/>
    <w:rsid w:val="005C05DF"/>
    <w:rsid w:val="005C0635"/>
    <w:rsid w:val="005C07ED"/>
    <w:rsid w:val="005C09DF"/>
    <w:rsid w:val="005C0D51"/>
    <w:rsid w:val="005C0DE4"/>
    <w:rsid w:val="005C114D"/>
    <w:rsid w:val="005C134B"/>
    <w:rsid w:val="005C1490"/>
    <w:rsid w:val="005C15A9"/>
    <w:rsid w:val="005C1794"/>
    <w:rsid w:val="005C17B6"/>
    <w:rsid w:val="005C1B5E"/>
    <w:rsid w:val="005C23A9"/>
    <w:rsid w:val="005C23D2"/>
    <w:rsid w:val="005C24D1"/>
    <w:rsid w:val="005C259E"/>
    <w:rsid w:val="005C2870"/>
    <w:rsid w:val="005C28E8"/>
    <w:rsid w:val="005C2D5F"/>
    <w:rsid w:val="005C30F6"/>
    <w:rsid w:val="005C3747"/>
    <w:rsid w:val="005C3AB4"/>
    <w:rsid w:val="005C3B39"/>
    <w:rsid w:val="005C3E03"/>
    <w:rsid w:val="005C3E55"/>
    <w:rsid w:val="005C4028"/>
    <w:rsid w:val="005C4052"/>
    <w:rsid w:val="005C4156"/>
    <w:rsid w:val="005C4281"/>
    <w:rsid w:val="005C4648"/>
    <w:rsid w:val="005C484D"/>
    <w:rsid w:val="005C4852"/>
    <w:rsid w:val="005C4D64"/>
    <w:rsid w:val="005C4E2D"/>
    <w:rsid w:val="005C4F4F"/>
    <w:rsid w:val="005C504E"/>
    <w:rsid w:val="005C517A"/>
    <w:rsid w:val="005C5192"/>
    <w:rsid w:val="005C51B2"/>
    <w:rsid w:val="005C521F"/>
    <w:rsid w:val="005C54E0"/>
    <w:rsid w:val="005C5521"/>
    <w:rsid w:val="005C5718"/>
    <w:rsid w:val="005C59E3"/>
    <w:rsid w:val="005C5A1A"/>
    <w:rsid w:val="005C5D5A"/>
    <w:rsid w:val="005C5E06"/>
    <w:rsid w:val="005C617C"/>
    <w:rsid w:val="005C61F0"/>
    <w:rsid w:val="005C64A1"/>
    <w:rsid w:val="005C65AC"/>
    <w:rsid w:val="005C6DA0"/>
    <w:rsid w:val="005C6DE3"/>
    <w:rsid w:val="005C7158"/>
    <w:rsid w:val="005C7B2B"/>
    <w:rsid w:val="005C7FF9"/>
    <w:rsid w:val="005D03A5"/>
    <w:rsid w:val="005D083A"/>
    <w:rsid w:val="005D085B"/>
    <w:rsid w:val="005D08B0"/>
    <w:rsid w:val="005D0D2D"/>
    <w:rsid w:val="005D0DCB"/>
    <w:rsid w:val="005D1483"/>
    <w:rsid w:val="005D175C"/>
    <w:rsid w:val="005D1818"/>
    <w:rsid w:val="005D1A74"/>
    <w:rsid w:val="005D1E00"/>
    <w:rsid w:val="005D1F97"/>
    <w:rsid w:val="005D1FE8"/>
    <w:rsid w:val="005D231D"/>
    <w:rsid w:val="005D2544"/>
    <w:rsid w:val="005D2AF2"/>
    <w:rsid w:val="005D2DC5"/>
    <w:rsid w:val="005D2E20"/>
    <w:rsid w:val="005D2F36"/>
    <w:rsid w:val="005D301F"/>
    <w:rsid w:val="005D302D"/>
    <w:rsid w:val="005D38B2"/>
    <w:rsid w:val="005D38BD"/>
    <w:rsid w:val="005D3B85"/>
    <w:rsid w:val="005D3BDC"/>
    <w:rsid w:val="005D42B5"/>
    <w:rsid w:val="005D473D"/>
    <w:rsid w:val="005D48B6"/>
    <w:rsid w:val="005D48D2"/>
    <w:rsid w:val="005D49C1"/>
    <w:rsid w:val="005D50D1"/>
    <w:rsid w:val="005D5101"/>
    <w:rsid w:val="005D5259"/>
    <w:rsid w:val="005D5426"/>
    <w:rsid w:val="005D5661"/>
    <w:rsid w:val="005D5C03"/>
    <w:rsid w:val="005D5C9E"/>
    <w:rsid w:val="005D5D20"/>
    <w:rsid w:val="005D5DA0"/>
    <w:rsid w:val="005D5E02"/>
    <w:rsid w:val="005D5F7D"/>
    <w:rsid w:val="005D60CE"/>
    <w:rsid w:val="005D6310"/>
    <w:rsid w:val="005D63D2"/>
    <w:rsid w:val="005D64BF"/>
    <w:rsid w:val="005D6530"/>
    <w:rsid w:val="005D6E7A"/>
    <w:rsid w:val="005D70AF"/>
    <w:rsid w:val="005D72C5"/>
    <w:rsid w:val="005D7810"/>
    <w:rsid w:val="005D7820"/>
    <w:rsid w:val="005D78A0"/>
    <w:rsid w:val="005D7956"/>
    <w:rsid w:val="005D7D57"/>
    <w:rsid w:val="005D7E36"/>
    <w:rsid w:val="005D7E51"/>
    <w:rsid w:val="005E0064"/>
    <w:rsid w:val="005E058C"/>
    <w:rsid w:val="005E0787"/>
    <w:rsid w:val="005E079F"/>
    <w:rsid w:val="005E082B"/>
    <w:rsid w:val="005E0C23"/>
    <w:rsid w:val="005E0F0A"/>
    <w:rsid w:val="005E0F48"/>
    <w:rsid w:val="005E12B0"/>
    <w:rsid w:val="005E12DA"/>
    <w:rsid w:val="005E175F"/>
    <w:rsid w:val="005E1B3D"/>
    <w:rsid w:val="005E1C31"/>
    <w:rsid w:val="005E1F55"/>
    <w:rsid w:val="005E2704"/>
    <w:rsid w:val="005E2AA2"/>
    <w:rsid w:val="005E33B5"/>
    <w:rsid w:val="005E3590"/>
    <w:rsid w:val="005E3760"/>
    <w:rsid w:val="005E3C44"/>
    <w:rsid w:val="005E4166"/>
    <w:rsid w:val="005E42A1"/>
    <w:rsid w:val="005E42B8"/>
    <w:rsid w:val="005E42F4"/>
    <w:rsid w:val="005E43DD"/>
    <w:rsid w:val="005E45AC"/>
    <w:rsid w:val="005E45F2"/>
    <w:rsid w:val="005E4837"/>
    <w:rsid w:val="005E497E"/>
    <w:rsid w:val="005E4CD5"/>
    <w:rsid w:val="005E50BE"/>
    <w:rsid w:val="005E52D3"/>
    <w:rsid w:val="005E548D"/>
    <w:rsid w:val="005E549F"/>
    <w:rsid w:val="005E6416"/>
    <w:rsid w:val="005E6732"/>
    <w:rsid w:val="005E675C"/>
    <w:rsid w:val="005E68E0"/>
    <w:rsid w:val="005E6BB1"/>
    <w:rsid w:val="005E6D78"/>
    <w:rsid w:val="005E70D1"/>
    <w:rsid w:val="005E737A"/>
    <w:rsid w:val="005E73F6"/>
    <w:rsid w:val="005E7603"/>
    <w:rsid w:val="005E789C"/>
    <w:rsid w:val="005E79E4"/>
    <w:rsid w:val="005E7D21"/>
    <w:rsid w:val="005E7FBA"/>
    <w:rsid w:val="005F0CAE"/>
    <w:rsid w:val="005F0DAF"/>
    <w:rsid w:val="005F0DFC"/>
    <w:rsid w:val="005F0F0A"/>
    <w:rsid w:val="005F1011"/>
    <w:rsid w:val="005F163D"/>
    <w:rsid w:val="005F1811"/>
    <w:rsid w:val="005F2019"/>
    <w:rsid w:val="005F2098"/>
    <w:rsid w:val="005F20F8"/>
    <w:rsid w:val="005F21E6"/>
    <w:rsid w:val="005F21EB"/>
    <w:rsid w:val="005F23D6"/>
    <w:rsid w:val="005F2C2A"/>
    <w:rsid w:val="005F2C8C"/>
    <w:rsid w:val="005F3457"/>
    <w:rsid w:val="005F39E0"/>
    <w:rsid w:val="005F3B99"/>
    <w:rsid w:val="005F3BB8"/>
    <w:rsid w:val="005F421B"/>
    <w:rsid w:val="005F44CA"/>
    <w:rsid w:val="005F460B"/>
    <w:rsid w:val="005F4724"/>
    <w:rsid w:val="005F4AD0"/>
    <w:rsid w:val="005F4D4A"/>
    <w:rsid w:val="005F5008"/>
    <w:rsid w:val="005F507A"/>
    <w:rsid w:val="005F5163"/>
    <w:rsid w:val="005F5337"/>
    <w:rsid w:val="005F5422"/>
    <w:rsid w:val="005F54AB"/>
    <w:rsid w:val="005F55F0"/>
    <w:rsid w:val="005F5611"/>
    <w:rsid w:val="005F563E"/>
    <w:rsid w:val="005F56CA"/>
    <w:rsid w:val="005F5792"/>
    <w:rsid w:val="005F5AA9"/>
    <w:rsid w:val="005F5B45"/>
    <w:rsid w:val="005F600B"/>
    <w:rsid w:val="005F633F"/>
    <w:rsid w:val="005F63B7"/>
    <w:rsid w:val="005F65D3"/>
    <w:rsid w:val="005F689E"/>
    <w:rsid w:val="005F68E0"/>
    <w:rsid w:val="005F6933"/>
    <w:rsid w:val="005F6D57"/>
    <w:rsid w:val="005F7924"/>
    <w:rsid w:val="005F7969"/>
    <w:rsid w:val="005F7A74"/>
    <w:rsid w:val="005F7DBB"/>
    <w:rsid w:val="005F7E99"/>
    <w:rsid w:val="005F7ED0"/>
    <w:rsid w:val="005F7F31"/>
    <w:rsid w:val="006002D1"/>
    <w:rsid w:val="0060047E"/>
    <w:rsid w:val="00600D3F"/>
    <w:rsid w:val="00600E9F"/>
    <w:rsid w:val="006010E5"/>
    <w:rsid w:val="00601304"/>
    <w:rsid w:val="0060154E"/>
    <w:rsid w:val="00601B65"/>
    <w:rsid w:val="00601D24"/>
    <w:rsid w:val="00602517"/>
    <w:rsid w:val="00602742"/>
    <w:rsid w:val="006027F1"/>
    <w:rsid w:val="0060281F"/>
    <w:rsid w:val="00602824"/>
    <w:rsid w:val="00602970"/>
    <w:rsid w:val="00602AA3"/>
    <w:rsid w:val="00602FAF"/>
    <w:rsid w:val="00603044"/>
    <w:rsid w:val="006032E1"/>
    <w:rsid w:val="006038A3"/>
    <w:rsid w:val="00603A04"/>
    <w:rsid w:val="00603BC5"/>
    <w:rsid w:val="00603BE3"/>
    <w:rsid w:val="00603EF5"/>
    <w:rsid w:val="00604137"/>
    <w:rsid w:val="006041A5"/>
    <w:rsid w:val="00604485"/>
    <w:rsid w:val="0060454B"/>
    <w:rsid w:val="0060457F"/>
    <w:rsid w:val="00604686"/>
    <w:rsid w:val="0060468E"/>
    <w:rsid w:val="006049FE"/>
    <w:rsid w:val="006052D2"/>
    <w:rsid w:val="006052FB"/>
    <w:rsid w:val="00605440"/>
    <w:rsid w:val="00605491"/>
    <w:rsid w:val="00605516"/>
    <w:rsid w:val="006055E7"/>
    <w:rsid w:val="00605C5D"/>
    <w:rsid w:val="00606AF8"/>
    <w:rsid w:val="00606D39"/>
    <w:rsid w:val="00606FD9"/>
    <w:rsid w:val="00607066"/>
    <w:rsid w:val="0060711F"/>
    <w:rsid w:val="00607861"/>
    <w:rsid w:val="006078F6"/>
    <w:rsid w:val="0060791F"/>
    <w:rsid w:val="00607AA9"/>
    <w:rsid w:val="00607BF1"/>
    <w:rsid w:val="00607C2D"/>
    <w:rsid w:val="00607E60"/>
    <w:rsid w:val="006100B5"/>
    <w:rsid w:val="00610107"/>
    <w:rsid w:val="0061031A"/>
    <w:rsid w:val="00610328"/>
    <w:rsid w:val="0061068E"/>
    <w:rsid w:val="0061083A"/>
    <w:rsid w:val="00610B1A"/>
    <w:rsid w:val="00610FAE"/>
    <w:rsid w:val="0061115D"/>
    <w:rsid w:val="006111CA"/>
    <w:rsid w:val="00611332"/>
    <w:rsid w:val="00611505"/>
    <w:rsid w:val="00611644"/>
    <w:rsid w:val="00611B73"/>
    <w:rsid w:val="006120D2"/>
    <w:rsid w:val="006120D7"/>
    <w:rsid w:val="00612265"/>
    <w:rsid w:val="00612451"/>
    <w:rsid w:val="006124FE"/>
    <w:rsid w:val="00612657"/>
    <w:rsid w:val="006128AD"/>
    <w:rsid w:val="00612EDB"/>
    <w:rsid w:val="00612FD2"/>
    <w:rsid w:val="0061314C"/>
    <w:rsid w:val="0061320C"/>
    <w:rsid w:val="00613260"/>
    <w:rsid w:val="00613427"/>
    <w:rsid w:val="0061361A"/>
    <w:rsid w:val="00613991"/>
    <w:rsid w:val="00613C3C"/>
    <w:rsid w:val="00613F0C"/>
    <w:rsid w:val="00614016"/>
    <w:rsid w:val="00614073"/>
    <w:rsid w:val="00614474"/>
    <w:rsid w:val="00614584"/>
    <w:rsid w:val="0061460B"/>
    <w:rsid w:val="006148C0"/>
    <w:rsid w:val="0061534D"/>
    <w:rsid w:val="0061546C"/>
    <w:rsid w:val="00615528"/>
    <w:rsid w:val="00615711"/>
    <w:rsid w:val="00615859"/>
    <w:rsid w:val="006159DD"/>
    <w:rsid w:val="00615C0B"/>
    <w:rsid w:val="00615DFC"/>
    <w:rsid w:val="0061607D"/>
    <w:rsid w:val="0061629E"/>
    <w:rsid w:val="006163B9"/>
    <w:rsid w:val="006163CD"/>
    <w:rsid w:val="00616424"/>
    <w:rsid w:val="00616866"/>
    <w:rsid w:val="0061691E"/>
    <w:rsid w:val="00616A79"/>
    <w:rsid w:val="0061710B"/>
    <w:rsid w:val="0061740D"/>
    <w:rsid w:val="00617738"/>
    <w:rsid w:val="00617A89"/>
    <w:rsid w:val="00617AC0"/>
    <w:rsid w:val="00617C8A"/>
    <w:rsid w:val="00617E67"/>
    <w:rsid w:val="00617FBC"/>
    <w:rsid w:val="00620057"/>
    <w:rsid w:val="00620719"/>
    <w:rsid w:val="00620789"/>
    <w:rsid w:val="00620BC4"/>
    <w:rsid w:val="00620FD3"/>
    <w:rsid w:val="00620FEA"/>
    <w:rsid w:val="00620FFA"/>
    <w:rsid w:val="0062109F"/>
    <w:rsid w:val="00621459"/>
    <w:rsid w:val="00621593"/>
    <w:rsid w:val="006215FF"/>
    <w:rsid w:val="00621A25"/>
    <w:rsid w:val="00621C54"/>
    <w:rsid w:val="00621CEB"/>
    <w:rsid w:val="00621D8B"/>
    <w:rsid w:val="00621DDB"/>
    <w:rsid w:val="00621FDD"/>
    <w:rsid w:val="00622146"/>
    <w:rsid w:val="006221E5"/>
    <w:rsid w:val="0062250B"/>
    <w:rsid w:val="00622869"/>
    <w:rsid w:val="006228FA"/>
    <w:rsid w:val="00622948"/>
    <w:rsid w:val="00622D01"/>
    <w:rsid w:val="00622E8F"/>
    <w:rsid w:val="00623170"/>
    <w:rsid w:val="0062321F"/>
    <w:rsid w:val="00623620"/>
    <w:rsid w:val="006237BB"/>
    <w:rsid w:val="00623BEB"/>
    <w:rsid w:val="00623C80"/>
    <w:rsid w:val="0062477C"/>
    <w:rsid w:val="006247BE"/>
    <w:rsid w:val="00624895"/>
    <w:rsid w:val="00624C97"/>
    <w:rsid w:val="00624F06"/>
    <w:rsid w:val="00624F59"/>
    <w:rsid w:val="00625232"/>
    <w:rsid w:val="00625348"/>
    <w:rsid w:val="00625A66"/>
    <w:rsid w:val="00625CA8"/>
    <w:rsid w:val="00625CCB"/>
    <w:rsid w:val="00625DE3"/>
    <w:rsid w:val="006261F3"/>
    <w:rsid w:val="0062644A"/>
    <w:rsid w:val="00626452"/>
    <w:rsid w:val="00626470"/>
    <w:rsid w:val="00626852"/>
    <w:rsid w:val="00626860"/>
    <w:rsid w:val="00626A28"/>
    <w:rsid w:val="00626A49"/>
    <w:rsid w:val="00626A51"/>
    <w:rsid w:val="00626A92"/>
    <w:rsid w:val="00626ABA"/>
    <w:rsid w:val="00626D7C"/>
    <w:rsid w:val="00626F17"/>
    <w:rsid w:val="00626F20"/>
    <w:rsid w:val="006271BF"/>
    <w:rsid w:val="00627273"/>
    <w:rsid w:val="006273C9"/>
    <w:rsid w:val="006273CB"/>
    <w:rsid w:val="006274C0"/>
    <w:rsid w:val="00627599"/>
    <w:rsid w:val="00627619"/>
    <w:rsid w:val="0062777F"/>
    <w:rsid w:val="00627A2E"/>
    <w:rsid w:val="00627B4A"/>
    <w:rsid w:val="00627C90"/>
    <w:rsid w:val="00627DA2"/>
    <w:rsid w:val="00627DAE"/>
    <w:rsid w:val="00627DFB"/>
    <w:rsid w:val="00627EB0"/>
    <w:rsid w:val="00627F69"/>
    <w:rsid w:val="0063022D"/>
    <w:rsid w:val="0063056C"/>
    <w:rsid w:val="0063057E"/>
    <w:rsid w:val="006309D9"/>
    <w:rsid w:val="00630BE1"/>
    <w:rsid w:val="0063147C"/>
    <w:rsid w:val="00631553"/>
    <w:rsid w:val="0063157D"/>
    <w:rsid w:val="006317C1"/>
    <w:rsid w:val="00631B8F"/>
    <w:rsid w:val="00632356"/>
    <w:rsid w:val="0063269B"/>
    <w:rsid w:val="00632A02"/>
    <w:rsid w:val="00632A49"/>
    <w:rsid w:val="00632A69"/>
    <w:rsid w:val="00632B03"/>
    <w:rsid w:val="00632CD8"/>
    <w:rsid w:val="00632D42"/>
    <w:rsid w:val="00632E43"/>
    <w:rsid w:val="00633038"/>
    <w:rsid w:val="006330CE"/>
    <w:rsid w:val="006334CD"/>
    <w:rsid w:val="00633EDB"/>
    <w:rsid w:val="00633F32"/>
    <w:rsid w:val="00634297"/>
    <w:rsid w:val="00634975"/>
    <w:rsid w:val="006349A9"/>
    <w:rsid w:val="00634D91"/>
    <w:rsid w:val="006351F2"/>
    <w:rsid w:val="006354C6"/>
    <w:rsid w:val="00635714"/>
    <w:rsid w:val="006357B6"/>
    <w:rsid w:val="006358CB"/>
    <w:rsid w:val="00635A25"/>
    <w:rsid w:val="00635DF9"/>
    <w:rsid w:val="00635EC0"/>
    <w:rsid w:val="006364C0"/>
    <w:rsid w:val="00636687"/>
    <w:rsid w:val="00636A71"/>
    <w:rsid w:val="00636AD9"/>
    <w:rsid w:val="00636F47"/>
    <w:rsid w:val="0063738D"/>
    <w:rsid w:val="006374F5"/>
    <w:rsid w:val="00637760"/>
    <w:rsid w:val="00637EF6"/>
    <w:rsid w:val="00640055"/>
    <w:rsid w:val="006403C6"/>
    <w:rsid w:val="0064056E"/>
    <w:rsid w:val="00640590"/>
    <w:rsid w:val="00640624"/>
    <w:rsid w:val="0064064A"/>
    <w:rsid w:val="00640731"/>
    <w:rsid w:val="006412EE"/>
    <w:rsid w:val="006412FE"/>
    <w:rsid w:val="00641A81"/>
    <w:rsid w:val="00641EC8"/>
    <w:rsid w:val="006420E9"/>
    <w:rsid w:val="006421CA"/>
    <w:rsid w:val="006424F1"/>
    <w:rsid w:val="0064276E"/>
    <w:rsid w:val="006429DC"/>
    <w:rsid w:val="00642A1C"/>
    <w:rsid w:val="00643408"/>
    <w:rsid w:val="00643690"/>
    <w:rsid w:val="0064397D"/>
    <w:rsid w:val="00643B91"/>
    <w:rsid w:val="00643C13"/>
    <w:rsid w:val="00643CAD"/>
    <w:rsid w:val="00643D07"/>
    <w:rsid w:val="00643DBE"/>
    <w:rsid w:val="00644313"/>
    <w:rsid w:val="006449D6"/>
    <w:rsid w:val="006449F9"/>
    <w:rsid w:val="00644C83"/>
    <w:rsid w:val="00644EB3"/>
    <w:rsid w:val="00645068"/>
    <w:rsid w:val="006453BE"/>
    <w:rsid w:val="00645486"/>
    <w:rsid w:val="0064569A"/>
    <w:rsid w:val="00645928"/>
    <w:rsid w:val="00645A0C"/>
    <w:rsid w:val="00645B63"/>
    <w:rsid w:val="00645FC9"/>
    <w:rsid w:val="006463AE"/>
    <w:rsid w:val="006465FF"/>
    <w:rsid w:val="00646904"/>
    <w:rsid w:val="006469EA"/>
    <w:rsid w:val="00646E23"/>
    <w:rsid w:val="00646FA3"/>
    <w:rsid w:val="006470DF"/>
    <w:rsid w:val="006475B8"/>
    <w:rsid w:val="006478D3"/>
    <w:rsid w:val="00647A7F"/>
    <w:rsid w:val="00647B8F"/>
    <w:rsid w:val="00650404"/>
    <w:rsid w:val="00650413"/>
    <w:rsid w:val="0065082E"/>
    <w:rsid w:val="00650842"/>
    <w:rsid w:val="00650CB0"/>
    <w:rsid w:val="00650D93"/>
    <w:rsid w:val="0065112C"/>
    <w:rsid w:val="0065114B"/>
    <w:rsid w:val="006516F3"/>
    <w:rsid w:val="00651B37"/>
    <w:rsid w:val="00651BD5"/>
    <w:rsid w:val="006520C4"/>
    <w:rsid w:val="006521FE"/>
    <w:rsid w:val="006523D9"/>
    <w:rsid w:val="006524C2"/>
    <w:rsid w:val="00652B40"/>
    <w:rsid w:val="00652D38"/>
    <w:rsid w:val="00652DE6"/>
    <w:rsid w:val="00652EA8"/>
    <w:rsid w:val="006530DE"/>
    <w:rsid w:val="006531B2"/>
    <w:rsid w:val="006532F4"/>
    <w:rsid w:val="00653319"/>
    <w:rsid w:val="00653443"/>
    <w:rsid w:val="00653916"/>
    <w:rsid w:val="00653986"/>
    <w:rsid w:val="0065398F"/>
    <w:rsid w:val="00653B39"/>
    <w:rsid w:val="00653FAD"/>
    <w:rsid w:val="00654339"/>
    <w:rsid w:val="00654433"/>
    <w:rsid w:val="00654981"/>
    <w:rsid w:val="006549B6"/>
    <w:rsid w:val="00654D5D"/>
    <w:rsid w:val="00654E1C"/>
    <w:rsid w:val="006553F7"/>
    <w:rsid w:val="0065542E"/>
    <w:rsid w:val="0065554B"/>
    <w:rsid w:val="00655638"/>
    <w:rsid w:val="006556B5"/>
    <w:rsid w:val="006556D8"/>
    <w:rsid w:val="006557D2"/>
    <w:rsid w:val="00655AC6"/>
    <w:rsid w:val="006563FF"/>
    <w:rsid w:val="0065640B"/>
    <w:rsid w:val="00656763"/>
    <w:rsid w:val="0065697F"/>
    <w:rsid w:val="00656EBD"/>
    <w:rsid w:val="00657074"/>
    <w:rsid w:val="00657114"/>
    <w:rsid w:val="006577BD"/>
    <w:rsid w:val="006578B1"/>
    <w:rsid w:val="00657994"/>
    <w:rsid w:val="00657C58"/>
    <w:rsid w:val="00657F3F"/>
    <w:rsid w:val="006601FD"/>
    <w:rsid w:val="006602FB"/>
    <w:rsid w:val="006603E0"/>
    <w:rsid w:val="006605F0"/>
    <w:rsid w:val="00660776"/>
    <w:rsid w:val="006609B5"/>
    <w:rsid w:val="00660A4B"/>
    <w:rsid w:val="00660B11"/>
    <w:rsid w:val="00660B19"/>
    <w:rsid w:val="00660D0C"/>
    <w:rsid w:val="00661036"/>
    <w:rsid w:val="00661120"/>
    <w:rsid w:val="006611D2"/>
    <w:rsid w:val="00661318"/>
    <w:rsid w:val="00661A64"/>
    <w:rsid w:val="00661ADD"/>
    <w:rsid w:val="00661BCB"/>
    <w:rsid w:val="006625B8"/>
    <w:rsid w:val="006628F8"/>
    <w:rsid w:val="00662A5E"/>
    <w:rsid w:val="00662AE2"/>
    <w:rsid w:val="00662C12"/>
    <w:rsid w:val="00662CDA"/>
    <w:rsid w:val="00662D40"/>
    <w:rsid w:val="00662F00"/>
    <w:rsid w:val="0066341B"/>
    <w:rsid w:val="0066371F"/>
    <w:rsid w:val="006638E7"/>
    <w:rsid w:val="00663929"/>
    <w:rsid w:val="00663D79"/>
    <w:rsid w:val="00663E18"/>
    <w:rsid w:val="006640EF"/>
    <w:rsid w:val="00664340"/>
    <w:rsid w:val="006645BC"/>
    <w:rsid w:val="0066466D"/>
    <w:rsid w:val="006648AA"/>
    <w:rsid w:val="00664A49"/>
    <w:rsid w:val="00664D7F"/>
    <w:rsid w:val="00664EFC"/>
    <w:rsid w:val="00665025"/>
    <w:rsid w:val="0066540C"/>
    <w:rsid w:val="0066542C"/>
    <w:rsid w:val="0066557A"/>
    <w:rsid w:val="00665843"/>
    <w:rsid w:val="00665B35"/>
    <w:rsid w:val="00666014"/>
    <w:rsid w:val="00666025"/>
    <w:rsid w:val="00666070"/>
    <w:rsid w:val="00666270"/>
    <w:rsid w:val="006662B9"/>
    <w:rsid w:val="006662D3"/>
    <w:rsid w:val="00666406"/>
    <w:rsid w:val="006667DF"/>
    <w:rsid w:val="00666A7D"/>
    <w:rsid w:val="00666BA5"/>
    <w:rsid w:val="00666CC7"/>
    <w:rsid w:val="00666E11"/>
    <w:rsid w:val="00666FF7"/>
    <w:rsid w:val="00667082"/>
    <w:rsid w:val="0066711B"/>
    <w:rsid w:val="006673AD"/>
    <w:rsid w:val="00667429"/>
    <w:rsid w:val="006675CB"/>
    <w:rsid w:val="0066781D"/>
    <w:rsid w:val="00667977"/>
    <w:rsid w:val="00667979"/>
    <w:rsid w:val="006679ED"/>
    <w:rsid w:val="00667D1E"/>
    <w:rsid w:val="00667DCD"/>
    <w:rsid w:val="00667EA9"/>
    <w:rsid w:val="00667F9F"/>
    <w:rsid w:val="00670022"/>
    <w:rsid w:val="0067010C"/>
    <w:rsid w:val="006703D7"/>
    <w:rsid w:val="00670871"/>
    <w:rsid w:val="0067097E"/>
    <w:rsid w:val="00670B50"/>
    <w:rsid w:val="00670B92"/>
    <w:rsid w:val="0067136E"/>
    <w:rsid w:val="00671552"/>
    <w:rsid w:val="00671560"/>
    <w:rsid w:val="00671666"/>
    <w:rsid w:val="00671BB0"/>
    <w:rsid w:val="00671C69"/>
    <w:rsid w:val="00671CAB"/>
    <w:rsid w:val="00671CFA"/>
    <w:rsid w:val="00671EA2"/>
    <w:rsid w:val="00671FF3"/>
    <w:rsid w:val="006720C2"/>
    <w:rsid w:val="0067217F"/>
    <w:rsid w:val="006723A3"/>
    <w:rsid w:val="00672738"/>
    <w:rsid w:val="00672B67"/>
    <w:rsid w:val="00672D3C"/>
    <w:rsid w:val="0067308A"/>
    <w:rsid w:val="006731BF"/>
    <w:rsid w:val="006731E7"/>
    <w:rsid w:val="0067377D"/>
    <w:rsid w:val="00673975"/>
    <w:rsid w:val="006740E5"/>
    <w:rsid w:val="006744A5"/>
    <w:rsid w:val="00674665"/>
    <w:rsid w:val="00674B86"/>
    <w:rsid w:val="0067508A"/>
    <w:rsid w:val="0067517A"/>
    <w:rsid w:val="0067519A"/>
    <w:rsid w:val="00675250"/>
    <w:rsid w:val="00675362"/>
    <w:rsid w:val="00675DE9"/>
    <w:rsid w:val="006762AC"/>
    <w:rsid w:val="00676625"/>
    <w:rsid w:val="0067683D"/>
    <w:rsid w:val="006769C0"/>
    <w:rsid w:val="00676AB1"/>
    <w:rsid w:val="006770E8"/>
    <w:rsid w:val="00677802"/>
    <w:rsid w:val="0067783F"/>
    <w:rsid w:val="006778E0"/>
    <w:rsid w:val="006778E3"/>
    <w:rsid w:val="00680010"/>
    <w:rsid w:val="0068012F"/>
    <w:rsid w:val="00680141"/>
    <w:rsid w:val="00680263"/>
    <w:rsid w:val="006802A4"/>
    <w:rsid w:val="006806D5"/>
    <w:rsid w:val="00680AE1"/>
    <w:rsid w:val="00680B11"/>
    <w:rsid w:val="00680DB2"/>
    <w:rsid w:val="00680E08"/>
    <w:rsid w:val="0068146F"/>
    <w:rsid w:val="00681576"/>
    <w:rsid w:val="006815A4"/>
    <w:rsid w:val="00681A6F"/>
    <w:rsid w:val="00681DA2"/>
    <w:rsid w:val="0068223D"/>
    <w:rsid w:val="00682642"/>
    <w:rsid w:val="0068271F"/>
    <w:rsid w:val="0068272C"/>
    <w:rsid w:val="0068276E"/>
    <w:rsid w:val="00682877"/>
    <w:rsid w:val="00682A25"/>
    <w:rsid w:val="006831A7"/>
    <w:rsid w:val="00683338"/>
    <w:rsid w:val="00683418"/>
    <w:rsid w:val="0068356B"/>
    <w:rsid w:val="00683660"/>
    <w:rsid w:val="00683A5E"/>
    <w:rsid w:val="00683B68"/>
    <w:rsid w:val="00684074"/>
    <w:rsid w:val="00684251"/>
    <w:rsid w:val="006852B0"/>
    <w:rsid w:val="00685607"/>
    <w:rsid w:val="006858B8"/>
    <w:rsid w:val="00686265"/>
    <w:rsid w:val="006864AB"/>
    <w:rsid w:val="006864E8"/>
    <w:rsid w:val="00686788"/>
    <w:rsid w:val="00686822"/>
    <w:rsid w:val="00686A79"/>
    <w:rsid w:val="00686B43"/>
    <w:rsid w:val="00686D5C"/>
    <w:rsid w:val="00686DF9"/>
    <w:rsid w:val="00686E23"/>
    <w:rsid w:val="0068708F"/>
    <w:rsid w:val="0068715E"/>
    <w:rsid w:val="006874B2"/>
    <w:rsid w:val="00687975"/>
    <w:rsid w:val="00687BB9"/>
    <w:rsid w:val="0069007D"/>
    <w:rsid w:val="0069022E"/>
    <w:rsid w:val="006906B5"/>
    <w:rsid w:val="0069070B"/>
    <w:rsid w:val="006907A9"/>
    <w:rsid w:val="00690AAA"/>
    <w:rsid w:val="00690EE0"/>
    <w:rsid w:val="00690F40"/>
    <w:rsid w:val="00690F63"/>
    <w:rsid w:val="006916AA"/>
    <w:rsid w:val="006916F4"/>
    <w:rsid w:val="006917BE"/>
    <w:rsid w:val="00691D0A"/>
    <w:rsid w:val="00691D60"/>
    <w:rsid w:val="006920A0"/>
    <w:rsid w:val="00692182"/>
    <w:rsid w:val="00692458"/>
    <w:rsid w:val="00692590"/>
    <w:rsid w:val="0069276E"/>
    <w:rsid w:val="00692883"/>
    <w:rsid w:val="0069293F"/>
    <w:rsid w:val="00692E18"/>
    <w:rsid w:val="00692E51"/>
    <w:rsid w:val="00692FB9"/>
    <w:rsid w:val="006934C4"/>
    <w:rsid w:val="006937F2"/>
    <w:rsid w:val="00693B67"/>
    <w:rsid w:val="00693D05"/>
    <w:rsid w:val="0069412C"/>
    <w:rsid w:val="006943FF"/>
    <w:rsid w:val="00694A46"/>
    <w:rsid w:val="00694F0D"/>
    <w:rsid w:val="00694FAC"/>
    <w:rsid w:val="00694FF5"/>
    <w:rsid w:val="00695188"/>
    <w:rsid w:val="00695453"/>
    <w:rsid w:val="00695539"/>
    <w:rsid w:val="006955C6"/>
    <w:rsid w:val="006955D2"/>
    <w:rsid w:val="006958D6"/>
    <w:rsid w:val="00695C0C"/>
    <w:rsid w:val="00695C61"/>
    <w:rsid w:val="00695CDF"/>
    <w:rsid w:val="00695E40"/>
    <w:rsid w:val="00695F20"/>
    <w:rsid w:val="00695F78"/>
    <w:rsid w:val="006961FD"/>
    <w:rsid w:val="006963A4"/>
    <w:rsid w:val="0069657F"/>
    <w:rsid w:val="00696955"/>
    <w:rsid w:val="00696D6F"/>
    <w:rsid w:val="00696E15"/>
    <w:rsid w:val="00697056"/>
    <w:rsid w:val="00697133"/>
    <w:rsid w:val="006973ED"/>
    <w:rsid w:val="00697491"/>
    <w:rsid w:val="006975A7"/>
    <w:rsid w:val="0069776E"/>
    <w:rsid w:val="00697901"/>
    <w:rsid w:val="00697A54"/>
    <w:rsid w:val="00697B9F"/>
    <w:rsid w:val="00697C60"/>
    <w:rsid w:val="00697DB4"/>
    <w:rsid w:val="006A0017"/>
    <w:rsid w:val="006A0043"/>
    <w:rsid w:val="006A014B"/>
    <w:rsid w:val="006A08F8"/>
    <w:rsid w:val="006A0B53"/>
    <w:rsid w:val="006A0C9E"/>
    <w:rsid w:val="006A0FFB"/>
    <w:rsid w:val="006A112A"/>
    <w:rsid w:val="006A174D"/>
    <w:rsid w:val="006A186E"/>
    <w:rsid w:val="006A18A6"/>
    <w:rsid w:val="006A1BF3"/>
    <w:rsid w:val="006A1C7B"/>
    <w:rsid w:val="006A1E06"/>
    <w:rsid w:val="006A1FB0"/>
    <w:rsid w:val="006A20B3"/>
    <w:rsid w:val="006A2159"/>
    <w:rsid w:val="006A21F9"/>
    <w:rsid w:val="006A22B3"/>
    <w:rsid w:val="006A2303"/>
    <w:rsid w:val="006A29C6"/>
    <w:rsid w:val="006A2A40"/>
    <w:rsid w:val="006A2A99"/>
    <w:rsid w:val="006A2D91"/>
    <w:rsid w:val="006A2E64"/>
    <w:rsid w:val="006A2FAC"/>
    <w:rsid w:val="006A3089"/>
    <w:rsid w:val="006A3795"/>
    <w:rsid w:val="006A39A5"/>
    <w:rsid w:val="006A3AD1"/>
    <w:rsid w:val="006A3BD3"/>
    <w:rsid w:val="006A3BEA"/>
    <w:rsid w:val="006A3CC3"/>
    <w:rsid w:val="006A3D80"/>
    <w:rsid w:val="006A3E53"/>
    <w:rsid w:val="006A4143"/>
    <w:rsid w:val="006A414B"/>
    <w:rsid w:val="006A4321"/>
    <w:rsid w:val="006A446C"/>
    <w:rsid w:val="006A4582"/>
    <w:rsid w:val="006A45D0"/>
    <w:rsid w:val="006A4973"/>
    <w:rsid w:val="006A4B10"/>
    <w:rsid w:val="006A4FB3"/>
    <w:rsid w:val="006A521B"/>
    <w:rsid w:val="006A5351"/>
    <w:rsid w:val="006A57D2"/>
    <w:rsid w:val="006A5B02"/>
    <w:rsid w:val="006A5B2A"/>
    <w:rsid w:val="006A5DCC"/>
    <w:rsid w:val="006A5DD7"/>
    <w:rsid w:val="006A5DF4"/>
    <w:rsid w:val="006A5E38"/>
    <w:rsid w:val="006A5ED7"/>
    <w:rsid w:val="006A6236"/>
    <w:rsid w:val="006A6832"/>
    <w:rsid w:val="006A6887"/>
    <w:rsid w:val="006A6903"/>
    <w:rsid w:val="006A6AA1"/>
    <w:rsid w:val="006A6C5F"/>
    <w:rsid w:val="006A6CCD"/>
    <w:rsid w:val="006A6DEB"/>
    <w:rsid w:val="006A6E2C"/>
    <w:rsid w:val="006A6F47"/>
    <w:rsid w:val="006A742B"/>
    <w:rsid w:val="006A7D64"/>
    <w:rsid w:val="006B00D0"/>
    <w:rsid w:val="006B06FC"/>
    <w:rsid w:val="006B0957"/>
    <w:rsid w:val="006B0AC9"/>
    <w:rsid w:val="006B0B94"/>
    <w:rsid w:val="006B0DF7"/>
    <w:rsid w:val="006B0E7D"/>
    <w:rsid w:val="006B0EA2"/>
    <w:rsid w:val="006B0F7E"/>
    <w:rsid w:val="006B1194"/>
    <w:rsid w:val="006B1315"/>
    <w:rsid w:val="006B13E4"/>
    <w:rsid w:val="006B1914"/>
    <w:rsid w:val="006B1CE7"/>
    <w:rsid w:val="006B1EF1"/>
    <w:rsid w:val="006B22D6"/>
    <w:rsid w:val="006B23E3"/>
    <w:rsid w:val="006B2467"/>
    <w:rsid w:val="006B28FF"/>
    <w:rsid w:val="006B29B6"/>
    <w:rsid w:val="006B2B7A"/>
    <w:rsid w:val="006B301D"/>
    <w:rsid w:val="006B3120"/>
    <w:rsid w:val="006B31DE"/>
    <w:rsid w:val="006B32EF"/>
    <w:rsid w:val="006B334B"/>
    <w:rsid w:val="006B35A5"/>
    <w:rsid w:val="006B3747"/>
    <w:rsid w:val="006B3C53"/>
    <w:rsid w:val="006B3C95"/>
    <w:rsid w:val="006B4483"/>
    <w:rsid w:val="006B454B"/>
    <w:rsid w:val="006B457E"/>
    <w:rsid w:val="006B45D3"/>
    <w:rsid w:val="006B4642"/>
    <w:rsid w:val="006B4657"/>
    <w:rsid w:val="006B4801"/>
    <w:rsid w:val="006B4871"/>
    <w:rsid w:val="006B4933"/>
    <w:rsid w:val="006B4A11"/>
    <w:rsid w:val="006B4B9E"/>
    <w:rsid w:val="006B50A7"/>
    <w:rsid w:val="006B5501"/>
    <w:rsid w:val="006B55C5"/>
    <w:rsid w:val="006B5858"/>
    <w:rsid w:val="006B591D"/>
    <w:rsid w:val="006B5BE3"/>
    <w:rsid w:val="006B5F0A"/>
    <w:rsid w:val="006B5F38"/>
    <w:rsid w:val="006B6602"/>
    <w:rsid w:val="006B6DA4"/>
    <w:rsid w:val="006B6F2A"/>
    <w:rsid w:val="006B7535"/>
    <w:rsid w:val="006B753D"/>
    <w:rsid w:val="006B79A2"/>
    <w:rsid w:val="006B7B4F"/>
    <w:rsid w:val="006B7BBA"/>
    <w:rsid w:val="006B7BE5"/>
    <w:rsid w:val="006B7EFF"/>
    <w:rsid w:val="006C0025"/>
    <w:rsid w:val="006C007A"/>
    <w:rsid w:val="006C0235"/>
    <w:rsid w:val="006C0468"/>
    <w:rsid w:val="006C0AB8"/>
    <w:rsid w:val="006C0BB8"/>
    <w:rsid w:val="006C0C79"/>
    <w:rsid w:val="006C0D51"/>
    <w:rsid w:val="006C0D5C"/>
    <w:rsid w:val="006C0E06"/>
    <w:rsid w:val="006C0FC4"/>
    <w:rsid w:val="006C0FE4"/>
    <w:rsid w:val="006C10DF"/>
    <w:rsid w:val="006C17CD"/>
    <w:rsid w:val="006C1DF5"/>
    <w:rsid w:val="006C1E38"/>
    <w:rsid w:val="006C1E53"/>
    <w:rsid w:val="006C23CE"/>
    <w:rsid w:val="006C27F1"/>
    <w:rsid w:val="006C282D"/>
    <w:rsid w:val="006C28A0"/>
    <w:rsid w:val="006C2944"/>
    <w:rsid w:val="006C2B41"/>
    <w:rsid w:val="006C2DB6"/>
    <w:rsid w:val="006C2E0A"/>
    <w:rsid w:val="006C3058"/>
    <w:rsid w:val="006C3107"/>
    <w:rsid w:val="006C31AA"/>
    <w:rsid w:val="006C31F6"/>
    <w:rsid w:val="006C3A53"/>
    <w:rsid w:val="006C45A5"/>
    <w:rsid w:val="006C45B4"/>
    <w:rsid w:val="006C468E"/>
    <w:rsid w:val="006C471E"/>
    <w:rsid w:val="006C490D"/>
    <w:rsid w:val="006C4993"/>
    <w:rsid w:val="006C49CD"/>
    <w:rsid w:val="006C4C11"/>
    <w:rsid w:val="006C4C49"/>
    <w:rsid w:val="006C4C73"/>
    <w:rsid w:val="006C4DE3"/>
    <w:rsid w:val="006C5503"/>
    <w:rsid w:val="006C57D4"/>
    <w:rsid w:val="006C583A"/>
    <w:rsid w:val="006C597B"/>
    <w:rsid w:val="006C59C8"/>
    <w:rsid w:val="006C6152"/>
    <w:rsid w:val="006C636A"/>
    <w:rsid w:val="006C66DA"/>
    <w:rsid w:val="006C66F1"/>
    <w:rsid w:val="006C688F"/>
    <w:rsid w:val="006C6932"/>
    <w:rsid w:val="006C6987"/>
    <w:rsid w:val="006C6BF3"/>
    <w:rsid w:val="006C6D8D"/>
    <w:rsid w:val="006C73AB"/>
    <w:rsid w:val="006C74B3"/>
    <w:rsid w:val="006C756E"/>
    <w:rsid w:val="006C773B"/>
    <w:rsid w:val="006C79DD"/>
    <w:rsid w:val="006C7A62"/>
    <w:rsid w:val="006C7B9F"/>
    <w:rsid w:val="006D02EC"/>
    <w:rsid w:val="006D0494"/>
    <w:rsid w:val="006D06EE"/>
    <w:rsid w:val="006D07B4"/>
    <w:rsid w:val="006D08D9"/>
    <w:rsid w:val="006D0B44"/>
    <w:rsid w:val="006D0DF8"/>
    <w:rsid w:val="006D1216"/>
    <w:rsid w:val="006D1397"/>
    <w:rsid w:val="006D1768"/>
    <w:rsid w:val="006D1794"/>
    <w:rsid w:val="006D193C"/>
    <w:rsid w:val="006D1CB1"/>
    <w:rsid w:val="006D1FF5"/>
    <w:rsid w:val="006D2260"/>
    <w:rsid w:val="006D2492"/>
    <w:rsid w:val="006D24DD"/>
    <w:rsid w:val="006D2745"/>
    <w:rsid w:val="006D2A3F"/>
    <w:rsid w:val="006D2BBB"/>
    <w:rsid w:val="006D2C02"/>
    <w:rsid w:val="006D2CD6"/>
    <w:rsid w:val="006D2F7E"/>
    <w:rsid w:val="006D32AF"/>
    <w:rsid w:val="006D3409"/>
    <w:rsid w:val="006D378F"/>
    <w:rsid w:val="006D37B1"/>
    <w:rsid w:val="006D3836"/>
    <w:rsid w:val="006D397B"/>
    <w:rsid w:val="006D3D53"/>
    <w:rsid w:val="006D41E4"/>
    <w:rsid w:val="006D42CF"/>
    <w:rsid w:val="006D4393"/>
    <w:rsid w:val="006D44F1"/>
    <w:rsid w:val="006D45EE"/>
    <w:rsid w:val="006D45F4"/>
    <w:rsid w:val="006D46BD"/>
    <w:rsid w:val="006D4878"/>
    <w:rsid w:val="006D49FB"/>
    <w:rsid w:val="006D4D32"/>
    <w:rsid w:val="006D51AE"/>
    <w:rsid w:val="006D52E4"/>
    <w:rsid w:val="006D5681"/>
    <w:rsid w:val="006D5770"/>
    <w:rsid w:val="006D57E9"/>
    <w:rsid w:val="006D5897"/>
    <w:rsid w:val="006D5ABA"/>
    <w:rsid w:val="006D5ACE"/>
    <w:rsid w:val="006D5C03"/>
    <w:rsid w:val="006D5C96"/>
    <w:rsid w:val="006D5E6D"/>
    <w:rsid w:val="006D5F3C"/>
    <w:rsid w:val="006D5F72"/>
    <w:rsid w:val="006D669E"/>
    <w:rsid w:val="006D66DF"/>
    <w:rsid w:val="006D671B"/>
    <w:rsid w:val="006D6CAF"/>
    <w:rsid w:val="006D7071"/>
    <w:rsid w:val="006D71F6"/>
    <w:rsid w:val="006D7502"/>
    <w:rsid w:val="006D78BC"/>
    <w:rsid w:val="006D7A41"/>
    <w:rsid w:val="006D7CA8"/>
    <w:rsid w:val="006E040B"/>
    <w:rsid w:val="006E04B6"/>
    <w:rsid w:val="006E085D"/>
    <w:rsid w:val="006E0997"/>
    <w:rsid w:val="006E09A8"/>
    <w:rsid w:val="006E0B54"/>
    <w:rsid w:val="006E109E"/>
    <w:rsid w:val="006E14B2"/>
    <w:rsid w:val="006E15D4"/>
    <w:rsid w:val="006E1989"/>
    <w:rsid w:val="006E1ACD"/>
    <w:rsid w:val="006E1CF5"/>
    <w:rsid w:val="006E1E93"/>
    <w:rsid w:val="006E1EFD"/>
    <w:rsid w:val="006E1F1E"/>
    <w:rsid w:val="006E2032"/>
    <w:rsid w:val="006E21B2"/>
    <w:rsid w:val="006E25A3"/>
    <w:rsid w:val="006E2D6B"/>
    <w:rsid w:val="006E2DD0"/>
    <w:rsid w:val="006E2EA6"/>
    <w:rsid w:val="006E2F70"/>
    <w:rsid w:val="006E375E"/>
    <w:rsid w:val="006E395D"/>
    <w:rsid w:val="006E3ADB"/>
    <w:rsid w:val="006E3FA7"/>
    <w:rsid w:val="006E4151"/>
    <w:rsid w:val="006E41C8"/>
    <w:rsid w:val="006E492E"/>
    <w:rsid w:val="006E49B4"/>
    <w:rsid w:val="006E4DEC"/>
    <w:rsid w:val="006E52EE"/>
    <w:rsid w:val="006E5367"/>
    <w:rsid w:val="006E574C"/>
    <w:rsid w:val="006E591C"/>
    <w:rsid w:val="006E5B3F"/>
    <w:rsid w:val="006E5B4A"/>
    <w:rsid w:val="006E5BAE"/>
    <w:rsid w:val="006E6304"/>
    <w:rsid w:val="006E66B9"/>
    <w:rsid w:val="006E6A3B"/>
    <w:rsid w:val="006E6F8D"/>
    <w:rsid w:val="006E76E8"/>
    <w:rsid w:val="006E7B54"/>
    <w:rsid w:val="006E7EE5"/>
    <w:rsid w:val="006F02AD"/>
    <w:rsid w:val="006F054B"/>
    <w:rsid w:val="006F0557"/>
    <w:rsid w:val="006F0C76"/>
    <w:rsid w:val="006F125A"/>
    <w:rsid w:val="006F1673"/>
    <w:rsid w:val="006F18CD"/>
    <w:rsid w:val="006F1978"/>
    <w:rsid w:val="006F1A03"/>
    <w:rsid w:val="006F1B11"/>
    <w:rsid w:val="006F1B9F"/>
    <w:rsid w:val="006F1C33"/>
    <w:rsid w:val="006F1ED8"/>
    <w:rsid w:val="006F1FE8"/>
    <w:rsid w:val="006F21FC"/>
    <w:rsid w:val="006F22F9"/>
    <w:rsid w:val="006F24EE"/>
    <w:rsid w:val="006F3218"/>
    <w:rsid w:val="006F32EC"/>
    <w:rsid w:val="006F3637"/>
    <w:rsid w:val="006F385A"/>
    <w:rsid w:val="006F392C"/>
    <w:rsid w:val="006F39EA"/>
    <w:rsid w:val="006F39EE"/>
    <w:rsid w:val="006F3D54"/>
    <w:rsid w:val="006F417D"/>
    <w:rsid w:val="006F41AF"/>
    <w:rsid w:val="006F43FD"/>
    <w:rsid w:val="006F4BE9"/>
    <w:rsid w:val="006F4E00"/>
    <w:rsid w:val="006F4FD0"/>
    <w:rsid w:val="006F5324"/>
    <w:rsid w:val="006F5DC7"/>
    <w:rsid w:val="006F5EC4"/>
    <w:rsid w:val="006F6260"/>
    <w:rsid w:val="006F6500"/>
    <w:rsid w:val="006F6703"/>
    <w:rsid w:val="006F67EF"/>
    <w:rsid w:val="006F6A30"/>
    <w:rsid w:val="006F749E"/>
    <w:rsid w:val="006F76D2"/>
    <w:rsid w:val="006F783F"/>
    <w:rsid w:val="006F7872"/>
    <w:rsid w:val="006F7CD5"/>
    <w:rsid w:val="006F7FD2"/>
    <w:rsid w:val="00700101"/>
    <w:rsid w:val="0070014D"/>
    <w:rsid w:val="007001BD"/>
    <w:rsid w:val="00700680"/>
    <w:rsid w:val="00700935"/>
    <w:rsid w:val="00700C7B"/>
    <w:rsid w:val="00700CAA"/>
    <w:rsid w:val="00700D43"/>
    <w:rsid w:val="007012F0"/>
    <w:rsid w:val="0070130D"/>
    <w:rsid w:val="0070146A"/>
    <w:rsid w:val="007014F8"/>
    <w:rsid w:val="0070173D"/>
    <w:rsid w:val="00701774"/>
    <w:rsid w:val="00701AEF"/>
    <w:rsid w:val="00701BE8"/>
    <w:rsid w:val="00701CF9"/>
    <w:rsid w:val="00701E04"/>
    <w:rsid w:val="007022D3"/>
    <w:rsid w:val="007023CF"/>
    <w:rsid w:val="00702504"/>
    <w:rsid w:val="00702E6E"/>
    <w:rsid w:val="00703840"/>
    <w:rsid w:val="00703868"/>
    <w:rsid w:val="00703D16"/>
    <w:rsid w:val="0070416A"/>
    <w:rsid w:val="007042DE"/>
    <w:rsid w:val="0070444F"/>
    <w:rsid w:val="007044CB"/>
    <w:rsid w:val="00704701"/>
    <w:rsid w:val="00704942"/>
    <w:rsid w:val="00704A4F"/>
    <w:rsid w:val="00704D1C"/>
    <w:rsid w:val="00704F40"/>
    <w:rsid w:val="0070500F"/>
    <w:rsid w:val="00705089"/>
    <w:rsid w:val="007052ED"/>
    <w:rsid w:val="00705806"/>
    <w:rsid w:val="007059C9"/>
    <w:rsid w:val="00705A1A"/>
    <w:rsid w:val="00705A99"/>
    <w:rsid w:val="00705D04"/>
    <w:rsid w:val="00705D55"/>
    <w:rsid w:val="00705D5C"/>
    <w:rsid w:val="00705E41"/>
    <w:rsid w:val="00705EBC"/>
    <w:rsid w:val="00706117"/>
    <w:rsid w:val="00706224"/>
    <w:rsid w:val="0070641D"/>
    <w:rsid w:val="00706489"/>
    <w:rsid w:val="00706808"/>
    <w:rsid w:val="00706C98"/>
    <w:rsid w:val="00706D04"/>
    <w:rsid w:val="00706D1F"/>
    <w:rsid w:val="00706F2E"/>
    <w:rsid w:val="0070726A"/>
    <w:rsid w:val="007072F8"/>
    <w:rsid w:val="00707789"/>
    <w:rsid w:val="007078E6"/>
    <w:rsid w:val="0070791A"/>
    <w:rsid w:val="00707EAE"/>
    <w:rsid w:val="00710662"/>
    <w:rsid w:val="00710C94"/>
    <w:rsid w:val="00710DCB"/>
    <w:rsid w:val="00710F47"/>
    <w:rsid w:val="0071149C"/>
    <w:rsid w:val="00711772"/>
    <w:rsid w:val="00711911"/>
    <w:rsid w:val="007119EE"/>
    <w:rsid w:val="00711A33"/>
    <w:rsid w:val="00711BAB"/>
    <w:rsid w:val="00711F78"/>
    <w:rsid w:val="00712143"/>
    <w:rsid w:val="007125F7"/>
    <w:rsid w:val="00712641"/>
    <w:rsid w:val="00712FAA"/>
    <w:rsid w:val="007130D8"/>
    <w:rsid w:val="007137C7"/>
    <w:rsid w:val="007139E2"/>
    <w:rsid w:val="00713AF9"/>
    <w:rsid w:val="00713B00"/>
    <w:rsid w:val="00713C50"/>
    <w:rsid w:val="00713D18"/>
    <w:rsid w:val="00713FE1"/>
    <w:rsid w:val="007141F3"/>
    <w:rsid w:val="00714967"/>
    <w:rsid w:val="00714A77"/>
    <w:rsid w:val="00714CF7"/>
    <w:rsid w:val="00714D06"/>
    <w:rsid w:val="007152DB"/>
    <w:rsid w:val="0071547A"/>
    <w:rsid w:val="007154F4"/>
    <w:rsid w:val="0071556C"/>
    <w:rsid w:val="00715624"/>
    <w:rsid w:val="0071566C"/>
    <w:rsid w:val="00715692"/>
    <w:rsid w:val="007158A2"/>
    <w:rsid w:val="00715B69"/>
    <w:rsid w:val="00715D33"/>
    <w:rsid w:val="00715E9C"/>
    <w:rsid w:val="00715F2F"/>
    <w:rsid w:val="00716221"/>
    <w:rsid w:val="00716239"/>
    <w:rsid w:val="007162CA"/>
    <w:rsid w:val="007164FA"/>
    <w:rsid w:val="00716683"/>
    <w:rsid w:val="00716BC5"/>
    <w:rsid w:val="00716CE7"/>
    <w:rsid w:val="00716D0B"/>
    <w:rsid w:val="00716D5A"/>
    <w:rsid w:val="00716E0D"/>
    <w:rsid w:val="007173C7"/>
    <w:rsid w:val="007173EF"/>
    <w:rsid w:val="007177C7"/>
    <w:rsid w:val="00717803"/>
    <w:rsid w:val="0071781E"/>
    <w:rsid w:val="00717EBB"/>
    <w:rsid w:val="00720017"/>
    <w:rsid w:val="00720193"/>
    <w:rsid w:val="0072039A"/>
    <w:rsid w:val="007204C2"/>
    <w:rsid w:val="0072074E"/>
    <w:rsid w:val="00720777"/>
    <w:rsid w:val="007207AD"/>
    <w:rsid w:val="00720AD2"/>
    <w:rsid w:val="00720BEA"/>
    <w:rsid w:val="00720DC5"/>
    <w:rsid w:val="00720E3B"/>
    <w:rsid w:val="00720FA2"/>
    <w:rsid w:val="007214E5"/>
    <w:rsid w:val="007216D0"/>
    <w:rsid w:val="007217EA"/>
    <w:rsid w:val="00721833"/>
    <w:rsid w:val="00721929"/>
    <w:rsid w:val="00721BAD"/>
    <w:rsid w:val="00721FE9"/>
    <w:rsid w:val="0072222B"/>
    <w:rsid w:val="00722552"/>
    <w:rsid w:val="00722634"/>
    <w:rsid w:val="00722A95"/>
    <w:rsid w:val="00722BD1"/>
    <w:rsid w:val="00722C88"/>
    <w:rsid w:val="00722E28"/>
    <w:rsid w:val="00722F97"/>
    <w:rsid w:val="00723030"/>
    <w:rsid w:val="007230A6"/>
    <w:rsid w:val="0072334D"/>
    <w:rsid w:val="007234F1"/>
    <w:rsid w:val="007237A7"/>
    <w:rsid w:val="007238EE"/>
    <w:rsid w:val="0072401B"/>
    <w:rsid w:val="0072403F"/>
    <w:rsid w:val="00724111"/>
    <w:rsid w:val="00724140"/>
    <w:rsid w:val="007241E1"/>
    <w:rsid w:val="007244D4"/>
    <w:rsid w:val="007245DB"/>
    <w:rsid w:val="00724813"/>
    <w:rsid w:val="0072485B"/>
    <w:rsid w:val="007248D8"/>
    <w:rsid w:val="00724AB9"/>
    <w:rsid w:val="00724B8A"/>
    <w:rsid w:val="00724BC7"/>
    <w:rsid w:val="00724BFE"/>
    <w:rsid w:val="00724C2C"/>
    <w:rsid w:val="007251C9"/>
    <w:rsid w:val="0072582E"/>
    <w:rsid w:val="007258CB"/>
    <w:rsid w:val="007259C2"/>
    <w:rsid w:val="00725C43"/>
    <w:rsid w:val="00725D71"/>
    <w:rsid w:val="0072627D"/>
    <w:rsid w:val="00726372"/>
    <w:rsid w:val="0072670C"/>
    <w:rsid w:val="00726ABA"/>
    <w:rsid w:val="00726C90"/>
    <w:rsid w:val="00726F8F"/>
    <w:rsid w:val="007272DF"/>
    <w:rsid w:val="0072788A"/>
    <w:rsid w:val="00727BD5"/>
    <w:rsid w:val="00727CFD"/>
    <w:rsid w:val="007301B0"/>
    <w:rsid w:val="0073030E"/>
    <w:rsid w:val="007303D0"/>
    <w:rsid w:val="00730685"/>
    <w:rsid w:val="007306FC"/>
    <w:rsid w:val="007307F8"/>
    <w:rsid w:val="00730FEB"/>
    <w:rsid w:val="007312F1"/>
    <w:rsid w:val="007313B1"/>
    <w:rsid w:val="0073147A"/>
    <w:rsid w:val="00731657"/>
    <w:rsid w:val="0073165F"/>
    <w:rsid w:val="00731711"/>
    <w:rsid w:val="0073171C"/>
    <w:rsid w:val="00731821"/>
    <w:rsid w:val="00731C98"/>
    <w:rsid w:val="00731FC1"/>
    <w:rsid w:val="007328ED"/>
    <w:rsid w:val="00732929"/>
    <w:rsid w:val="00732A01"/>
    <w:rsid w:val="00732B18"/>
    <w:rsid w:val="00732B1C"/>
    <w:rsid w:val="00732D91"/>
    <w:rsid w:val="007330EE"/>
    <w:rsid w:val="0073333D"/>
    <w:rsid w:val="00734199"/>
    <w:rsid w:val="007341E3"/>
    <w:rsid w:val="0073423C"/>
    <w:rsid w:val="007343B5"/>
    <w:rsid w:val="007343E0"/>
    <w:rsid w:val="00734425"/>
    <w:rsid w:val="007344A8"/>
    <w:rsid w:val="00734507"/>
    <w:rsid w:val="007345A0"/>
    <w:rsid w:val="0073489A"/>
    <w:rsid w:val="00734BED"/>
    <w:rsid w:val="00734D00"/>
    <w:rsid w:val="00734D23"/>
    <w:rsid w:val="00734D4E"/>
    <w:rsid w:val="00734D55"/>
    <w:rsid w:val="00734F3A"/>
    <w:rsid w:val="0073520D"/>
    <w:rsid w:val="007353DE"/>
    <w:rsid w:val="007354F7"/>
    <w:rsid w:val="007355DB"/>
    <w:rsid w:val="0073569E"/>
    <w:rsid w:val="007356E5"/>
    <w:rsid w:val="007356F1"/>
    <w:rsid w:val="00735D2C"/>
    <w:rsid w:val="00736123"/>
    <w:rsid w:val="00736279"/>
    <w:rsid w:val="0073651E"/>
    <w:rsid w:val="00736534"/>
    <w:rsid w:val="007365C1"/>
    <w:rsid w:val="007367A3"/>
    <w:rsid w:val="007367AA"/>
    <w:rsid w:val="00736863"/>
    <w:rsid w:val="00736AAF"/>
    <w:rsid w:val="00736B5F"/>
    <w:rsid w:val="00736B6A"/>
    <w:rsid w:val="00736BAD"/>
    <w:rsid w:val="00736C8B"/>
    <w:rsid w:val="00737006"/>
    <w:rsid w:val="007373E1"/>
    <w:rsid w:val="00737BB3"/>
    <w:rsid w:val="00737EA5"/>
    <w:rsid w:val="007400C9"/>
    <w:rsid w:val="0074015D"/>
    <w:rsid w:val="007401D3"/>
    <w:rsid w:val="00740452"/>
    <w:rsid w:val="007404D9"/>
    <w:rsid w:val="00740949"/>
    <w:rsid w:val="00740982"/>
    <w:rsid w:val="00740A63"/>
    <w:rsid w:val="00740B83"/>
    <w:rsid w:val="00740C76"/>
    <w:rsid w:val="00740E62"/>
    <w:rsid w:val="00740FEC"/>
    <w:rsid w:val="00741134"/>
    <w:rsid w:val="00741572"/>
    <w:rsid w:val="00741972"/>
    <w:rsid w:val="00741B26"/>
    <w:rsid w:val="00741E4C"/>
    <w:rsid w:val="0074209D"/>
    <w:rsid w:val="007421A7"/>
    <w:rsid w:val="0074275C"/>
    <w:rsid w:val="0074281A"/>
    <w:rsid w:val="00742956"/>
    <w:rsid w:val="00742E59"/>
    <w:rsid w:val="00743141"/>
    <w:rsid w:val="00743719"/>
    <w:rsid w:val="00743791"/>
    <w:rsid w:val="00743921"/>
    <w:rsid w:val="007439E1"/>
    <w:rsid w:val="00743B09"/>
    <w:rsid w:val="00743B0B"/>
    <w:rsid w:val="00743D18"/>
    <w:rsid w:val="00743FF9"/>
    <w:rsid w:val="00744020"/>
    <w:rsid w:val="0074405B"/>
    <w:rsid w:val="00744074"/>
    <w:rsid w:val="0074431A"/>
    <w:rsid w:val="00744891"/>
    <w:rsid w:val="00744945"/>
    <w:rsid w:val="00744E56"/>
    <w:rsid w:val="0074528F"/>
    <w:rsid w:val="007453D2"/>
    <w:rsid w:val="00745405"/>
    <w:rsid w:val="007454D4"/>
    <w:rsid w:val="0074556B"/>
    <w:rsid w:val="0074567A"/>
    <w:rsid w:val="00745776"/>
    <w:rsid w:val="0074596F"/>
    <w:rsid w:val="00745A07"/>
    <w:rsid w:val="00745B15"/>
    <w:rsid w:val="00745DA7"/>
    <w:rsid w:val="00745F3A"/>
    <w:rsid w:val="007461DA"/>
    <w:rsid w:val="007462C5"/>
    <w:rsid w:val="007464B9"/>
    <w:rsid w:val="007464CF"/>
    <w:rsid w:val="007465A1"/>
    <w:rsid w:val="00746A30"/>
    <w:rsid w:val="00746D17"/>
    <w:rsid w:val="00746F1C"/>
    <w:rsid w:val="00747104"/>
    <w:rsid w:val="007472F5"/>
    <w:rsid w:val="0074751C"/>
    <w:rsid w:val="00747AB9"/>
    <w:rsid w:val="00747D6B"/>
    <w:rsid w:val="007501A2"/>
    <w:rsid w:val="007501DA"/>
    <w:rsid w:val="00750400"/>
    <w:rsid w:val="00750816"/>
    <w:rsid w:val="007509CC"/>
    <w:rsid w:val="00750E32"/>
    <w:rsid w:val="00750E9B"/>
    <w:rsid w:val="00751038"/>
    <w:rsid w:val="0075118C"/>
    <w:rsid w:val="00751425"/>
    <w:rsid w:val="00751618"/>
    <w:rsid w:val="00751804"/>
    <w:rsid w:val="00751BE1"/>
    <w:rsid w:val="00751F3B"/>
    <w:rsid w:val="0075200D"/>
    <w:rsid w:val="00752018"/>
    <w:rsid w:val="0075202F"/>
    <w:rsid w:val="0075226E"/>
    <w:rsid w:val="00752332"/>
    <w:rsid w:val="00752371"/>
    <w:rsid w:val="00752EA7"/>
    <w:rsid w:val="00752FC4"/>
    <w:rsid w:val="00752FCA"/>
    <w:rsid w:val="00753336"/>
    <w:rsid w:val="00753574"/>
    <w:rsid w:val="00753611"/>
    <w:rsid w:val="007537A6"/>
    <w:rsid w:val="007537C5"/>
    <w:rsid w:val="0075381C"/>
    <w:rsid w:val="00753887"/>
    <w:rsid w:val="007538C9"/>
    <w:rsid w:val="00753AF2"/>
    <w:rsid w:val="00753BC5"/>
    <w:rsid w:val="00753F8A"/>
    <w:rsid w:val="00754019"/>
    <w:rsid w:val="00754696"/>
    <w:rsid w:val="00754A3F"/>
    <w:rsid w:val="00754BDD"/>
    <w:rsid w:val="00754D09"/>
    <w:rsid w:val="007551C9"/>
    <w:rsid w:val="007552A9"/>
    <w:rsid w:val="007552CA"/>
    <w:rsid w:val="00756047"/>
    <w:rsid w:val="007561AF"/>
    <w:rsid w:val="007563B2"/>
    <w:rsid w:val="007563F0"/>
    <w:rsid w:val="007565D2"/>
    <w:rsid w:val="00756B41"/>
    <w:rsid w:val="00756B8C"/>
    <w:rsid w:val="00756DFB"/>
    <w:rsid w:val="00756E49"/>
    <w:rsid w:val="00756E98"/>
    <w:rsid w:val="00757002"/>
    <w:rsid w:val="00757450"/>
    <w:rsid w:val="00757481"/>
    <w:rsid w:val="0075765E"/>
    <w:rsid w:val="00757DE5"/>
    <w:rsid w:val="00757EB3"/>
    <w:rsid w:val="00760201"/>
    <w:rsid w:val="00760B42"/>
    <w:rsid w:val="00760DDA"/>
    <w:rsid w:val="00760FE1"/>
    <w:rsid w:val="00761052"/>
    <w:rsid w:val="00761BCC"/>
    <w:rsid w:val="00761FAD"/>
    <w:rsid w:val="00762357"/>
    <w:rsid w:val="007628D5"/>
    <w:rsid w:val="00762D82"/>
    <w:rsid w:val="00762FD2"/>
    <w:rsid w:val="00763330"/>
    <w:rsid w:val="007633EE"/>
    <w:rsid w:val="00763467"/>
    <w:rsid w:val="007636BB"/>
    <w:rsid w:val="00763848"/>
    <w:rsid w:val="0076387F"/>
    <w:rsid w:val="00763D1F"/>
    <w:rsid w:val="00763DDC"/>
    <w:rsid w:val="007643F9"/>
    <w:rsid w:val="00764455"/>
    <w:rsid w:val="007646B2"/>
    <w:rsid w:val="0076479C"/>
    <w:rsid w:val="0076493C"/>
    <w:rsid w:val="00764CA7"/>
    <w:rsid w:val="00764FA0"/>
    <w:rsid w:val="0076501B"/>
    <w:rsid w:val="007650DC"/>
    <w:rsid w:val="007652AA"/>
    <w:rsid w:val="007653EC"/>
    <w:rsid w:val="00765530"/>
    <w:rsid w:val="0076581D"/>
    <w:rsid w:val="00765BA3"/>
    <w:rsid w:val="00765F4A"/>
    <w:rsid w:val="00766006"/>
    <w:rsid w:val="00766073"/>
    <w:rsid w:val="007662E6"/>
    <w:rsid w:val="0076647F"/>
    <w:rsid w:val="00766537"/>
    <w:rsid w:val="007667CB"/>
    <w:rsid w:val="007669C7"/>
    <w:rsid w:val="00766C8B"/>
    <w:rsid w:val="00766D02"/>
    <w:rsid w:val="00766EFA"/>
    <w:rsid w:val="00766FD3"/>
    <w:rsid w:val="0076733C"/>
    <w:rsid w:val="00767798"/>
    <w:rsid w:val="007678F3"/>
    <w:rsid w:val="0076797B"/>
    <w:rsid w:val="00767BC5"/>
    <w:rsid w:val="00767C44"/>
    <w:rsid w:val="00767E25"/>
    <w:rsid w:val="00767EEA"/>
    <w:rsid w:val="00767F1F"/>
    <w:rsid w:val="00770026"/>
    <w:rsid w:val="0077009A"/>
    <w:rsid w:val="007703AC"/>
    <w:rsid w:val="00770592"/>
    <w:rsid w:val="007708AE"/>
    <w:rsid w:val="00770BBC"/>
    <w:rsid w:val="00770D5F"/>
    <w:rsid w:val="00770E07"/>
    <w:rsid w:val="00770EE4"/>
    <w:rsid w:val="00770F66"/>
    <w:rsid w:val="00770FBD"/>
    <w:rsid w:val="007711E2"/>
    <w:rsid w:val="00771324"/>
    <w:rsid w:val="0077135F"/>
    <w:rsid w:val="007716FD"/>
    <w:rsid w:val="007717D7"/>
    <w:rsid w:val="00771CDF"/>
    <w:rsid w:val="00771E72"/>
    <w:rsid w:val="0077229A"/>
    <w:rsid w:val="00772348"/>
    <w:rsid w:val="0077244A"/>
    <w:rsid w:val="00772530"/>
    <w:rsid w:val="007725D3"/>
    <w:rsid w:val="00772BA1"/>
    <w:rsid w:val="00772F2A"/>
    <w:rsid w:val="00772FA9"/>
    <w:rsid w:val="007732F7"/>
    <w:rsid w:val="00773447"/>
    <w:rsid w:val="00773564"/>
    <w:rsid w:val="0077365E"/>
    <w:rsid w:val="00773825"/>
    <w:rsid w:val="00773B8D"/>
    <w:rsid w:val="00773C26"/>
    <w:rsid w:val="00773EFD"/>
    <w:rsid w:val="00773F58"/>
    <w:rsid w:val="007741FF"/>
    <w:rsid w:val="00774799"/>
    <w:rsid w:val="007747E0"/>
    <w:rsid w:val="00774C2B"/>
    <w:rsid w:val="00774C88"/>
    <w:rsid w:val="00775637"/>
    <w:rsid w:val="00775CA3"/>
    <w:rsid w:val="00775D94"/>
    <w:rsid w:val="00775EDA"/>
    <w:rsid w:val="00776132"/>
    <w:rsid w:val="00777561"/>
    <w:rsid w:val="007777A9"/>
    <w:rsid w:val="007779D2"/>
    <w:rsid w:val="00777BBC"/>
    <w:rsid w:val="00777FA9"/>
    <w:rsid w:val="00780088"/>
    <w:rsid w:val="007800FE"/>
    <w:rsid w:val="0078011B"/>
    <w:rsid w:val="00780171"/>
    <w:rsid w:val="007801FC"/>
    <w:rsid w:val="0078036E"/>
    <w:rsid w:val="00780437"/>
    <w:rsid w:val="00780476"/>
    <w:rsid w:val="0078060B"/>
    <w:rsid w:val="007807B7"/>
    <w:rsid w:val="00780B23"/>
    <w:rsid w:val="00780CAE"/>
    <w:rsid w:val="00780FC6"/>
    <w:rsid w:val="007811A2"/>
    <w:rsid w:val="0078120F"/>
    <w:rsid w:val="0078131C"/>
    <w:rsid w:val="00781402"/>
    <w:rsid w:val="007815D7"/>
    <w:rsid w:val="0078175B"/>
    <w:rsid w:val="007818BD"/>
    <w:rsid w:val="00781B28"/>
    <w:rsid w:val="0078265C"/>
    <w:rsid w:val="007829C3"/>
    <w:rsid w:val="00782B18"/>
    <w:rsid w:val="0078315F"/>
    <w:rsid w:val="007831D4"/>
    <w:rsid w:val="00783235"/>
    <w:rsid w:val="007833B3"/>
    <w:rsid w:val="007833CD"/>
    <w:rsid w:val="007833DF"/>
    <w:rsid w:val="0078346F"/>
    <w:rsid w:val="00783625"/>
    <w:rsid w:val="0078374B"/>
    <w:rsid w:val="007838B1"/>
    <w:rsid w:val="00783C60"/>
    <w:rsid w:val="00783EA8"/>
    <w:rsid w:val="0078401E"/>
    <w:rsid w:val="007842C4"/>
    <w:rsid w:val="0078462F"/>
    <w:rsid w:val="0078493A"/>
    <w:rsid w:val="00784A99"/>
    <w:rsid w:val="00784ECB"/>
    <w:rsid w:val="00785219"/>
    <w:rsid w:val="007852B1"/>
    <w:rsid w:val="007852EA"/>
    <w:rsid w:val="007852FC"/>
    <w:rsid w:val="00785531"/>
    <w:rsid w:val="007856D2"/>
    <w:rsid w:val="00785ADF"/>
    <w:rsid w:val="00785B6D"/>
    <w:rsid w:val="00785B95"/>
    <w:rsid w:val="007860C2"/>
    <w:rsid w:val="007860C5"/>
    <w:rsid w:val="007864A0"/>
    <w:rsid w:val="00786820"/>
    <w:rsid w:val="00786B86"/>
    <w:rsid w:val="00786C47"/>
    <w:rsid w:val="00786CA5"/>
    <w:rsid w:val="00787BDE"/>
    <w:rsid w:val="00790270"/>
    <w:rsid w:val="007902BC"/>
    <w:rsid w:val="007904D8"/>
    <w:rsid w:val="00790558"/>
    <w:rsid w:val="00790752"/>
    <w:rsid w:val="007907B9"/>
    <w:rsid w:val="007909AA"/>
    <w:rsid w:val="007909D3"/>
    <w:rsid w:val="0079161C"/>
    <w:rsid w:val="007916BF"/>
    <w:rsid w:val="007918A7"/>
    <w:rsid w:val="00791D91"/>
    <w:rsid w:val="00791EE6"/>
    <w:rsid w:val="0079209E"/>
    <w:rsid w:val="00792658"/>
    <w:rsid w:val="0079266D"/>
    <w:rsid w:val="00792B60"/>
    <w:rsid w:val="00792B98"/>
    <w:rsid w:val="00792EE6"/>
    <w:rsid w:val="0079331C"/>
    <w:rsid w:val="0079366F"/>
    <w:rsid w:val="00793B08"/>
    <w:rsid w:val="00793C6D"/>
    <w:rsid w:val="00793CAE"/>
    <w:rsid w:val="00793CE6"/>
    <w:rsid w:val="00794011"/>
    <w:rsid w:val="00794440"/>
    <w:rsid w:val="007944E6"/>
    <w:rsid w:val="007949B7"/>
    <w:rsid w:val="00794EF9"/>
    <w:rsid w:val="00794F50"/>
    <w:rsid w:val="007950D5"/>
    <w:rsid w:val="007951E6"/>
    <w:rsid w:val="007955CD"/>
    <w:rsid w:val="007957E7"/>
    <w:rsid w:val="00795B9F"/>
    <w:rsid w:val="00795D3E"/>
    <w:rsid w:val="00795DAC"/>
    <w:rsid w:val="00795E84"/>
    <w:rsid w:val="00795EF7"/>
    <w:rsid w:val="00796220"/>
    <w:rsid w:val="00796816"/>
    <w:rsid w:val="00796910"/>
    <w:rsid w:val="00796D48"/>
    <w:rsid w:val="00796D88"/>
    <w:rsid w:val="007971AF"/>
    <w:rsid w:val="007974CA"/>
    <w:rsid w:val="00797970"/>
    <w:rsid w:val="00797ADC"/>
    <w:rsid w:val="00797C94"/>
    <w:rsid w:val="00797F73"/>
    <w:rsid w:val="007A0010"/>
    <w:rsid w:val="007A0368"/>
    <w:rsid w:val="007A036A"/>
    <w:rsid w:val="007A06E8"/>
    <w:rsid w:val="007A0A12"/>
    <w:rsid w:val="007A0ED5"/>
    <w:rsid w:val="007A108A"/>
    <w:rsid w:val="007A1359"/>
    <w:rsid w:val="007A1C43"/>
    <w:rsid w:val="007A1F1E"/>
    <w:rsid w:val="007A2053"/>
    <w:rsid w:val="007A20B8"/>
    <w:rsid w:val="007A21B6"/>
    <w:rsid w:val="007A221A"/>
    <w:rsid w:val="007A248C"/>
    <w:rsid w:val="007A27E7"/>
    <w:rsid w:val="007A2D56"/>
    <w:rsid w:val="007A2D70"/>
    <w:rsid w:val="007A3469"/>
    <w:rsid w:val="007A365F"/>
    <w:rsid w:val="007A3989"/>
    <w:rsid w:val="007A39DE"/>
    <w:rsid w:val="007A3CE1"/>
    <w:rsid w:val="007A3D72"/>
    <w:rsid w:val="007A3D74"/>
    <w:rsid w:val="007A411F"/>
    <w:rsid w:val="007A4307"/>
    <w:rsid w:val="007A4584"/>
    <w:rsid w:val="007A4922"/>
    <w:rsid w:val="007A4E73"/>
    <w:rsid w:val="007A4F36"/>
    <w:rsid w:val="007A5404"/>
    <w:rsid w:val="007A5545"/>
    <w:rsid w:val="007A580C"/>
    <w:rsid w:val="007A5F0A"/>
    <w:rsid w:val="007A5F45"/>
    <w:rsid w:val="007A6142"/>
    <w:rsid w:val="007A68BE"/>
    <w:rsid w:val="007A6D19"/>
    <w:rsid w:val="007A6F60"/>
    <w:rsid w:val="007A72C4"/>
    <w:rsid w:val="007A72F6"/>
    <w:rsid w:val="007A75EC"/>
    <w:rsid w:val="007A77DF"/>
    <w:rsid w:val="007A7F27"/>
    <w:rsid w:val="007A7FE3"/>
    <w:rsid w:val="007B0157"/>
    <w:rsid w:val="007B01EE"/>
    <w:rsid w:val="007B0253"/>
    <w:rsid w:val="007B0681"/>
    <w:rsid w:val="007B0FC9"/>
    <w:rsid w:val="007B1009"/>
    <w:rsid w:val="007B134B"/>
    <w:rsid w:val="007B15F9"/>
    <w:rsid w:val="007B16EF"/>
    <w:rsid w:val="007B16FD"/>
    <w:rsid w:val="007B1D49"/>
    <w:rsid w:val="007B1F6D"/>
    <w:rsid w:val="007B25FE"/>
    <w:rsid w:val="007B2709"/>
    <w:rsid w:val="007B2755"/>
    <w:rsid w:val="007B28CC"/>
    <w:rsid w:val="007B2967"/>
    <w:rsid w:val="007B2994"/>
    <w:rsid w:val="007B2B5B"/>
    <w:rsid w:val="007B3273"/>
    <w:rsid w:val="007B37DA"/>
    <w:rsid w:val="007B3897"/>
    <w:rsid w:val="007B3A92"/>
    <w:rsid w:val="007B3AE8"/>
    <w:rsid w:val="007B3B20"/>
    <w:rsid w:val="007B3BBF"/>
    <w:rsid w:val="007B3C94"/>
    <w:rsid w:val="007B4033"/>
    <w:rsid w:val="007B40BC"/>
    <w:rsid w:val="007B4339"/>
    <w:rsid w:val="007B43A6"/>
    <w:rsid w:val="007B44C2"/>
    <w:rsid w:val="007B479A"/>
    <w:rsid w:val="007B4A50"/>
    <w:rsid w:val="007B4B14"/>
    <w:rsid w:val="007B5709"/>
    <w:rsid w:val="007B5A29"/>
    <w:rsid w:val="007B5C3E"/>
    <w:rsid w:val="007B5C6F"/>
    <w:rsid w:val="007B5EB1"/>
    <w:rsid w:val="007B60DF"/>
    <w:rsid w:val="007B6120"/>
    <w:rsid w:val="007B6237"/>
    <w:rsid w:val="007B6673"/>
    <w:rsid w:val="007B68A8"/>
    <w:rsid w:val="007B6913"/>
    <w:rsid w:val="007B6D06"/>
    <w:rsid w:val="007B7232"/>
    <w:rsid w:val="007B730E"/>
    <w:rsid w:val="007B7368"/>
    <w:rsid w:val="007B7542"/>
    <w:rsid w:val="007B756B"/>
    <w:rsid w:val="007B75DF"/>
    <w:rsid w:val="007B7779"/>
    <w:rsid w:val="007B7BFD"/>
    <w:rsid w:val="007C03EA"/>
    <w:rsid w:val="007C0705"/>
    <w:rsid w:val="007C072B"/>
    <w:rsid w:val="007C0784"/>
    <w:rsid w:val="007C0862"/>
    <w:rsid w:val="007C0888"/>
    <w:rsid w:val="007C089C"/>
    <w:rsid w:val="007C0C52"/>
    <w:rsid w:val="007C10FC"/>
    <w:rsid w:val="007C12C5"/>
    <w:rsid w:val="007C1414"/>
    <w:rsid w:val="007C14EA"/>
    <w:rsid w:val="007C1860"/>
    <w:rsid w:val="007C1880"/>
    <w:rsid w:val="007C1941"/>
    <w:rsid w:val="007C19E6"/>
    <w:rsid w:val="007C200E"/>
    <w:rsid w:val="007C2311"/>
    <w:rsid w:val="007C2A05"/>
    <w:rsid w:val="007C2D9D"/>
    <w:rsid w:val="007C307C"/>
    <w:rsid w:val="007C3688"/>
    <w:rsid w:val="007C37F3"/>
    <w:rsid w:val="007C3803"/>
    <w:rsid w:val="007C3943"/>
    <w:rsid w:val="007C3ACE"/>
    <w:rsid w:val="007C4479"/>
    <w:rsid w:val="007C47FC"/>
    <w:rsid w:val="007C480D"/>
    <w:rsid w:val="007C4DA9"/>
    <w:rsid w:val="007C4FDC"/>
    <w:rsid w:val="007C5064"/>
    <w:rsid w:val="007C52D5"/>
    <w:rsid w:val="007C5361"/>
    <w:rsid w:val="007C5517"/>
    <w:rsid w:val="007C5E00"/>
    <w:rsid w:val="007C5E8C"/>
    <w:rsid w:val="007C619F"/>
    <w:rsid w:val="007C627A"/>
    <w:rsid w:val="007C64B6"/>
    <w:rsid w:val="007C6530"/>
    <w:rsid w:val="007C660A"/>
    <w:rsid w:val="007C6613"/>
    <w:rsid w:val="007C6A14"/>
    <w:rsid w:val="007C6B65"/>
    <w:rsid w:val="007C6F86"/>
    <w:rsid w:val="007C715D"/>
    <w:rsid w:val="007C7324"/>
    <w:rsid w:val="007C7737"/>
    <w:rsid w:val="007C78E9"/>
    <w:rsid w:val="007C791C"/>
    <w:rsid w:val="007C7B93"/>
    <w:rsid w:val="007C7D68"/>
    <w:rsid w:val="007D001C"/>
    <w:rsid w:val="007D0083"/>
    <w:rsid w:val="007D0674"/>
    <w:rsid w:val="007D0AAB"/>
    <w:rsid w:val="007D0CBB"/>
    <w:rsid w:val="007D0FEE"/>
    <w:rsid w:val="007D1057"/>
    <w:rsid w:val="007D131B"/>
    <w:rsid w:val="007D197E"/>
    <w:rsid w:val="007D19F5"/>
    <w:rsid w:val="007D1B8F"/>
    <w:rsid w:val="007D1F94"/>
    <w:rsid w:val="007D2AB5"/>
    <w:rsid w:val="007D2B4D"/>
    <w:rsid w:val="007D2FA7"/>
    <w:rsid w:val="007D350D"/>
    <w:rsid w:val="007D3600"/>
    <w:rsid w:val="007D3D8E"/>
    <w:rsid w:val="007D3EE4"/>
    <w:rsid w:val="007D3EF8"/>
    <w:rsid w:val="007D3F5B"/>
    <w:rsid w:val="007D3F8B"/>
    <w:rsid w:val="007D3FF3"/>
    <w:rsid w:val="007D414F"/>
    <w:rsid w:val="007D41DA"/>
    <w:rsid w:val="007D434F"/>
    <w:rsid w:val="007D468F"/>
    <w:rsid w:val="007D4707"/>
    <w:rsid w:val="007D47A9"/>
    <w:rsid w:val="007D49DA"/>
    <w:rsid w:val="007D4A91"/>
    <w:rsid w:val="007D4DBB"/>
    <w:rsid w:val="007D4EB2"/>
    <w:rsid w:val="007D53E2"/>
    <w:rsid w:val="007D5402"/>
    <w:rsid w:val="007D58E6"/>
    <w:rsid w:val="007D5FD1"/>
    <w:rsid w:val="007D60CB"/>
    <w:rsid w:val="007D60D6"/>
    <w:rsid w:val="007D65AC"/>
    <w:rsid w:val="007D6ADA"/>
    <w:rsid w:val="007D6B68"/>
    <w:rsid w:val="007D6C18"/>
    <w:rsid w:val="007D6C70"/>
    <w:rsid w:val="007D6E41"/>
    <w:rsid w:val="007D70EB"/>
    <w:rsid w:val="007D7559"/>
    <w:rsid w:val="007D75CC"/>
    <w:rsid w:val="007D767D"/>
    <w:rsid w:val="007D78BB"/>
    <w:rsid w:val="007D79BD"/>
    <w:rsid w:val="007D7B65"/>
    <w:rsid w:val="007D7B73"/>
    <w:rsid w:val="007D7FED"/>
    <w:rsid w:val="007E0157"/>
    <w:rsid w:val="007E0258"/>
    <w:rsid w:val="007E0A46"/>
    <w:rsid w:val="007E0AF4"/>
    <w:rsid w:val="007E0D51"/>
    <w:rsid w:val="007E102A"/>
    <w:rsid w:val="007E1271"/>
    <w:rsid w:val="007E1363"/>
    <w:rsid w:val="007E1C40"/>
    <w:rsid w:val="007E1C98"/>
    <w:rsid w:val="007E1DC2"/>
    <w:rsid w:val="007E1E14"/>
    <w:rsid w:val="007E1ED7"/>
    <w:rsid w:val="007E1FE0"/>
    <w:rsid w:val="007E2004"/>
    <w:rsid w:val="007E2507"/>
    <w:rsid w:val="007E257E"/>
    <w:rsid w:val="007E2929"/>
    <w:rsid w:val="007E2DDB"/>
    <w:rsid w:val="007E2F9B"/>
    <w:rsid w:val="007E3960"/>
    <w:rsid w:val="007E3C16"/>
    <w:rsid w:val="007E3D27"/>
    <w:rsid w:val="007E3D47"/>
    <w:rsid w:val="007E3ED3"/>
    <w:rsid w:val="007E3F65"/>
    <w:rsid w:val="007E436A"/>
    <w:rsid w:val="007E48F2"/>
    <w:rsid w:val="007E4C0E"/>
    <w:rsid w:val="007E4C69"/>
    <w:rsid w:val="007E4DB3"/>
    <w:rsid w:val="007E4E19"/>
    <w:rsid w:val="007E5353"/>
    <w:rsid w:val="007E5519"/>
    <w:rsid w:val="007E56A6"/>
    <w:rsid w:val="007E56CA"/>
    <w:rsid w:val="007E5C6F"/>
    <w:rsid w:val="007E5CAA"/>
    <w:rsid w:val="007E5D7C"/>
    <w:rsid w:val="007E5DD4"/>
    <w:rsid w:val="007E64AC"/>
    <w:rsid w:val="007E6566"/>
    <w:rsid w:val="007E67EB"/>
    <w:rsid w:val="007E69E8"/>
    <w:rsid w:val="007E6AC0"/>
    <w:rsid w:val="007E7191"/>
    <w:rsid w:val="007E7227"/>
    <w:rsid w:val="007E75AD"/>
    <w:rsid w:val="007E775E"/>
    <w:rsid w:val="007E78E9"/>
    <w:rsid w:val="007E7C49"/>
    <w:rsid w:val="007F02AA"/>
    <w:rsid w:val="007F03ED"/>
    <w:rsid w:val="007F0517"/>
    <w:rsid w:val="007F0ACF"/>
    <w:rsid w:val="007F0D66"/>
    <w:rsid w:val="007F0E92"/>
    <w:rsid w:val="007F0EB9"/>
    <w:rsid w:val="007F0FC6"/>
    <w:rsid w:val="007F0FC8"/>
    <w:rsid w:val="007F1354"/>
    <w:rsid w:val="007F1622"/>
    <w:rsid w:val="007F1727"/>
    <w:rsid w:val="007F181F"/>
    <w:rsid w:val="007F18C6"/>
    <w:rsid w:val="007F18F6"/>
    <w:rsid w:val="007F1935"/>
    <w:rsid w:val="007F1A73"/>
    <w:rsid w:val="007F1B89"/>
    <w:rsid w:val="007F2027"/>
    <w:rsid w:val="007F210F"/>
    <w:rsid w:val="007F21E4"/>
    <w:rsid w:val="007F24B7"/>
    <w:rsid w:val="007F252D"/>
    <w:rsid w:val="007F25D8"/>
    <w:rsid w:val="007F25EF"/>
    <w:rsid w:val="007F279B"/>
    <w:rsid w:val="007F2D71"/>
    <w:rsid w:val="007F2DC6"/>
    <w:rsid w:val="007F2DF4"/>
    <w:rsid w:val="007F2FF7"/>
    <w:rsid w:val="007F309E"/>
    <w:rsid w:val="007F350D"/>
    <w:rsid w:val="007F36C5"/>
    <w:rsid w:val="007F3726"/>
    <w:rsid w:val="007F471E"/>
    <w:rsid w:val="007F491B"/>
    <w:rsid w:val="007F4943"/>
    <w:rsid w:val="007F4944"/>
    <w:rsid w:val="007F4D87"/>
    <w:rsid w:val="007F5008"/>
    <w:rsid w:val="007F51F8"/>
    <w:rsid w:val="007F5871"/>
    <w:rsid w:val="007F590A"/>
    <w:rsid w:val="007F5B11"/>
    <w:rsid w:val="007F5DED"/>
    <w:rsid w:val="007F602B"/>
    <w:rsid w:val="007F60A3"/>
    <w:rsid w:val="007F62BC"/>
    <w:rsid w:val="007F631E"/>
    <w:rsid w:val="007F65C4"/>
    <w:rsid w:val="007F6618"/>
    <w:rsid w:val="007F6B96"/>
    <w:rsid w:val="007F6D72"/>
    <w:rsid w:val="007F6E57"/>
    <w:rsid w:val="007F6E8A"/>
    <w:rsid w:val="007F6F87"/>
    <w:rsid w:val="007F70AA"/>
    <w:rsid w:val="007F72CB"/>
    <w:rsid w:val="007F7AE9"/>
    <w:rsid w:val="007F7B5B"/>
    <w:rsid w:val="007F7DA7"/>
    <w:rsid w:val="007F7E24"/>
    <w:rsid w:val="007F7F61"/>
    <w:rsid w:val="0080007A"/>
    <w:rsid w:val="00800629"/>
    <w:rsid w:val="00800960"/>
    <w:rsid w:val="00800E93"/>
    <w:rsid w:val="008012E5"/>
    <w:rsid w:val="0080148F"/>
    <w:rsid w:val="008017F6"/>
    <w:rsid w:val="00801B9E"/>
    <w:rsid w:val="00801FAB"/>
    <w:rsid w:val="008020C4"/>
    <w:rsid w:val="008022D7"/>
    <w:rsid w:val="0080231E"/>
    <w:rsid w:val="008029E0"/>
    <w:rsid w:val="00802A4D"/>
    <w:rsid w:val="00802DEE"/>
    <w:rsid w:val="00802F45"/>
    <w:rsid w:val="00803459"/>
    <w:rsid w:val="00803A26"/>
    <w:rsid w:val="00803CBC"/>
    <w:rsid w:val="0080429C"/>
    <w:rsid w:val="00804548"/>
    <w:rsid w:val="008046D1"/>
    <w:rsid w:val="00805290"/>
    <w:rsid w:val="00805319"/>
    <w:rsid w:val="008058E2"/>
    <w:rsid w:val="00805DB1"/>
    <w:rsid w:val="00806018"/>
    <w:rsid w:val="00806033"/>
    <w:rsid w:val="0080629A"/>
    <w:rsid w:val="008062A8"/>
    <w:rsid w:val="008064B7"/>
    <w:rsid w:val="008068A7"/>
    <w:rsid w:val="008068EC"/>
    <w:rsid w:val="00806A99"/>
    <w:rsid w:val="00806AA0"/>
    <w:rsid w:val="00806C03"/>
    <w:rsid w:val="00806D59"/>
    <w:rsid w:val="00806E62"/>
    <w:rsid w:val="00806F61"/>
    <w:rsid w:val="00807685"/>
    <w:rsid w:val="00807B5A"/>
    <w:rsid w:val="00807D9D"/>
    <w:rsid w:val="00807DAA"/>
    <w:rsid w:val="00807FD7"/>
    <w:rsid w:val="0081030A"/>
    <w:rsid w:val="0081042D"/>
    <w:rsid w:val="008104E4"/>
    <w:rsid w:val="008107B0"/>
    <w:rsid w:val="00810945"/>
    <w:rsid w:val="00810CC6"/>
    <w:rsid w:val="00811107"/>
    <w:rsid w:val="00811205"/>
    <w:rsid w:val="00811235"/>
    <w:rsid w:val="0081141A"/>
    <w:rsid w:val="00811D37"/>
    <w:rsid w:val="00811E2E"/>
    <w:rsid w:val="0081221D"/>
    <w:rsid w:val="008122AA"/>
    <w:rsid w:val="0081244B"/>
    <w:rsid w:val="0081254B"/>
    <w:rsid w:val="0081276B"/>
    <w:rsid w:val="008128F2"/>
    <w:rsid w:val="00812A24"/>
    <w:rsid w:val="00813055"/>
    <w:rsid w:val="008132C1"/>
    <w:rsid w:val="008132DD"/>
    <w:rsid w:val="00813388"/>
    <w:rsid w:val="00813619"/>
    <w:rsid w:val="008138C2"/>
    <w:rsid w:val="00813A73"/>
    <w:rsid w:val="00813B5B"/>
    <w:rsid w:val="00813DB2"/>
    <w:rsid w:val="00813ED5"/>
    <w:rsid w:val="00814224"/>
    <w:rsid w:val="0081453C"/>
    <w:rsid w:val="0081491D"/>
    <w:rsid w:val="00814ACF"/>
    <w:rsid w:val="00814FCB"/>
    <w:rsid w:val="0081500A"/>
    <w:rsid w:val="00815094"/>
    <w:rsid w:val="00815237"/>
    <w:rsid w:val="008152FA"/>
    <w:rsid w:val="0081534A"/>
    <w:rsid w:val="008153F9"/>
    <w:rsid w:val="00815481"/>
    <w:rsid w:val="0081576A"/>
    <w:rsid w:val="008159D2"/>
    <w:rsid w:val="00815ACC"/>
    <w:rsid w:val="00815DD3"/>
    <w:rsid w:val="00815E32"/>
    <w:rsid w:val="008160D3"/>
    <w:rsid w:val="008162F4"/>
    <w:rsid w:val="008166DC"/>
    <w:rsid w:val="00816A3D"/>
    <w:rsid w:val="00816AB5"/>
    <w:rsid w:val="00816B6F"/>
    <w:rsid w:val="00816B93"/>
    <w:rsid w:val="00816DAF"/>
    <w:rsid w:val="00817034"/>
    <w:rsid w:val="0081703E"/>
    <w:rsid w:val="008170E2"/>
    <w:rsid w:val="008171A6"/>
    <w:rsid w:val="008172A0"/>
    <w:rsid w:val="008176E0"/>
    <w:rsid w:val="008177C0"/>
    <w:rsid w:val="00817A35"/>
    <w:rsid w:val="00817A3B"/>
    <w:rsid w:val="00817CAA"/>
    <w:rsid w:val="00817DFE"/>
    <w:rsid w:val="00817EC2"/>
    <w:rsid w:val="00817F46"/>
    <w:rsid w:val="008201A0"/>
    <w:rsid w:val="00820205"/>
    <w:rsid w:val="008206B8"/>
    <w:rsid w:val="008208E8"/>
    <w:rsid w:val="00820944"/>
    <w:rsid w:val="00820A73"/>
    <w:rsid w:val="00820E2F"/>
    <w:rsid w:val="00820FB5"/>
    <w:rsid w:val="0082109F"/>
    <w:rsid w:val="0082184A"/>
    <w:rsid w:val="008218B9"/>
    <w:rsid w:val="0082199A"/>
    <w:rsid w:val="00821DE3"/>
    <w:rsid w:val="00821E98"/>
    <w:rsid w:val="00822122"/>
    <w:rsid w:val="0082212C"/>
    <w:rsid w:val="008222EC"/>
    <w:rsid w:val="00822E18"/>
    <w:rsid w:val="00823292"/>
    <w:rsid w:val="0082340A"/>
    <w:rsid w:val="0082352B"/>
    <w:rsid w:val="008235DE"/>
    <w:rsid w:val="008237C9"/>
    <w:rsid w:val="00823A27"/>
    <w:rsid w:val="00823A3A"/>
    <w:rsid w:val="00823B31"/>
    <w:rsid w:val="00823CD8"/>
    <w:rsid w:val="00823CDE"/>
    <w:rsid w:val="00823D2E"/>
    <w:rsid w:val="00823E61"/>
    <w:rsid w:val="00823FB8"/>
    <w:rsid w:val="00824304"/>
    <w:rsid w:val="00824486"/>
    <w:rsid w:val="0082465B"/>
    <w:rsid w:val="00824863"/>
    <w:rsid w:val="00825120"/>
    <w:rsid w:val="00825290"/>
    <w:rsid w:val="008258D7"/>
    <w:rsid w:val="00825DCB"/>
    <w:rsid w:val="00825FE5"/>
    <w:rsid w:val="008265E0"/>
    <w:rsid w:val="0082683D"/>
    <w:rsid w:val="0082688E"/>
    <w:rsid w:val="008268A6"/>
    <w:rsid w:val="00826D04"/>
    <w:rsid w:val="00826FE4"/>
    <w:rsid w:val="0082701D"/>
    <w:rsid w:val="00827148"/>
    <w:rsid w:val="00827152"/>
    <w:rsid w:val="0082734B"/>
    <w:rsid w:val="008273FC"/>
    <w:rsid w:val="00827721"/>
    <w:rsid w:val="0082775B"/>
    <w:rsid w:val="008279EA"/>
    <w:rsid w:val="00827A68"/>
    <w:rsid w:val="00827A81"/>
    <w:rsid w:val="00827DD9"/>
    <w:rsid w:val="00827DFB"/>
    <w:rsid w:val="00827E73"/>
    <w:rsid w:val="00827E74"/>
    <w:rsid w:val="00827F5D"/>
    <w:rsid w:val="008300BE"/>
    <w:rsid w:val="00830108"/>
    <w:rsid w:val="0083052F"/>
    <w:rsid w:val="00830709"/>
    <w:rsid w:val="00830745"/>
    <w:rsid w:val="00830A82"/>
    <w:rsid w:val="00830EF8"/>
    <w:rsid w:val="008312A7"/>
    <w:rsid w:val="008317E9"/>
    <w:rsid w:val="00831BEB"/>
    <w:rsid w:val="00831F44"/>
    <w:rsid w:val="008322E6"/>
    <w:rsid w:val="008326EA"/>
    <w:rsid w:val="0083281C"/>
    <w:rsid w:val="0083298A"/>
    <w:rsid w:val="00832C40"/>
    <w:rsid w:val="00832CF2"/>
    <w:rsid w:val="00832D28"/>
    <w:rsid w:val="00832E91"/>
    <w:rsid w:val="00832EA4"/>
    <w:rsid w:val="008331BC"/>
    <w:rsid w:val="00833555"/>
    <w:rsid w:val="00833627"/>
    <w:rsid w:val="008337A4"/>
    <w:rsid w:val="00833C00"/>
    <w:rsid w:val="00833E22"/>
    <w:rsid w:val="00834146"/>
    <w:rsid w:val="008342DB"/>
    <w:rsid w:val="008343D9"/>
    <w:rsid w:val="008345F3"/>
    <w:rsid w:val="00834A4A"/>
    <w:rsid w:val="00834C33"/>
    <w:rsid w:val="00834DBA"/>
    <w:rsid w:val="00834F4D"/>
    <w:rsid w:val="00834FB5"/>
    <w:rsid w:val="00835045"/>
    <w:rsid w:val="0083537B"/>
    <w:rsid w:val="008355D8"/>
    <w:rsid w:val="008357A9"/>
    <w:rsid w:val="008357F2"/>
    <w:rsid w:val="008358DE"/>
    <w:rsid w:val="0083590C"/>
    <w:rsid w:val="00835C5F"/>
    <w:rsid w:val="00835CCA"/>
    <w:rsid w:val="00835DF9"/>
    <w:rsid w:val="008365B4"/>
    <w:rsid w:val="00836AA0"/>
    <w:rsid w:val="00836B11"/>
    <w:rsid w:val="00836BAD"/>
    <w:rsid w:val="00836D29"/>
    <w:rsid w:val="00836D50"/>
    <w:rsid w:val="00836E23"/>
    <w:rsid w:val="00836F41"/>
    <w:rsid w:val="00837143"/>
    <w:rsid w:val="00837157"/>
    <w:rsid w:val="00837207"/>
    <w:rsid w:val="0083720B"/>
    <w:rsid w:val="008374AD"/>
    <w:rsid w:val="008379FC"/>
    <w:rsid w:val="00837B49"/>
    <w:rsid w:val="00837BDF"/>
    <w:rsid w:val="00840656"/>
    <w:rsid w:val="008407E9"/>
    <w:rsid w:val="00840945"/>
    <w:rsid w:val="00840B78"/>
    <w:rsid w:val="00840E2A"/>
    <w:rsid w:val="00840ECA"/>
    <w:rsid w:val="00841046"/>
    <w:rsid w:val="008410B6"/>
    <w:rsid w:val="008411DD"/>
    <w:rsid w:val="008413FE"/>
    <w:rsid w:val="00841B81"/>
    <w:rsid w:val="00841E15"/>
    <w:rsid w:val="00841FBB"/>
    <w:rsid w:val="0084247F"/>
    <w:rsid w:val="008424C2"/>
    <w:rsid w:val="008426ED"/>
    <w:rsid w:val="00842814"/>
    <w:rsid w:val="0084296C"/>
    <w:rsid w:val="00842A70"/>
    <w:rsid w:val="00842AA1"/>
    <w:rsid w:val="00842EC5"/>
    <w:rsid w:val="00842F08"/>
    <w:rsid w:val="00843620"/>
    <w:rsid w:val="008438FA"/>
    <w:rsid w:val="00843A26"/>
    <w:rsid w:val="00843A50"/>
    <w:rsid w:val="00843B4D"/>
    <w:rsid w:val="00843FC8"/>
    <w:rsid w:val="00843FCF"/>
    <w:rsid w:val="0084489F"/>
    <w:rsid w:val="008449C1"/>
    <w:rsid w:val="00844B90"/>
    <w:rsid w:val="00844C99"/>
    <w:rsid w:val="008451BD"/>
    <w:rsid w:val="00845254"/>
    <w:rsid w:val="00845296"/>
    <w:rsid w:val="00845340"/>
    <w:rsid w:val="008453B0"/>
    <w:rsid w:val="008453E6"/>
    <w:rsid w:val="0084551B"/>
    <w:rsid w:val="0084582B"/>
    <w:rsid w:val="00845958"/>
    <w:rsid w:val="008459C8"/>
    <w:rsid w:val="00845B72"/>
    <w:rsid w:val="00845D17"/>
    <w:rsid w:val="00845D36"/>
    <w:rsid w:val="00845ED6"/>
    <w:rsid w:val="008465BC"/>
    <w:rsid w:val="00846B50"/>
    <w:rsid w:val="00846E51"/>
    <w:rsid w:val="00846F7B"/>
    <w:rsid w:val="00846FFF"/>
    <w:rsid w:val="0084714C"/>
    <w:rsid w:val="00847515"/>
    <w:rsid w:val="00847C7A"/>
    <w:rsid w:val="00847D52"/>
    <w:rsid w:val="0085018A"/>
    <w:rsid w:val="008501A6"/>
    <w:rsid w:val="0085027F"/>
    <w:rsid w:val="008503EC"/>
    <w:rsid w:val="00850D3D"/>
    <w:rsid w:val="008510BE"/>
    <w:rsid w:val="008514B2"/>
    <w:rsid w:val="00851C35"/>
    <w:rsid w:val="00851D9F"/>
    <w:rsid w:val="00851E7A"/>
    <w:rsid w:val="00851F55"/>
    <w:rsid w:val="008520A2"/>
    <w:rsid w:val="00852311"/>
    <w:rsid w:val="00852386"/>
    <w:rsid w:val="008523D6"/>
    <w:rsid w:val="00852416"/>
    <w:rsid w:val="0085243F"/>
    <w:rsid w:val="0085249E"/>
    <w:rsid w:val="00852510"/>
    <w:rsid w:val="008525CF"/>
    <w:rsid w:val="008525D2"/>
    <w:rsid w:val="00852723"/>
    <w:rsid w:val="008528D7"/>
    <w:rsid w:val="00852DB7"/>
    <w:rsid w:val="00852EC9"/>
    <w:rsid w:val="00852F2B"/>
    <w:rsid w:val="00852F6E"/>
    <w:rsid w:val="00853015"/>
    <w:rsid w:val="0085326F"/>
    <w:rsid w:val="0085327F"/>
    <w:rsid w:val="008533C4"/>
    <w:rsid w:val="008535A8"/>
    <w:rsid w:val="00853B7C"/>
    <w:rsid w:val="00853C88"/>
    <w:rsid w:val="00853D76"/>
    <w:rsid w:val="00853F77"/>
    <w:rsid w:val="008540BA"/>
    <w:rsid w:val="008541CC"/>
    <w:rsid w:val="008543F7"/>
    <w:rsid w:val="00854557"/>
    <w:rsid w:val="008545A3"/>
    <w:rsid w:val="00854648"/>
    <w:rsid w:val="00854671"/>
    <w:rsid w:val="00854898"/>
    <w:rsid w:val="0085498B"/>
    <w:rsid w:val="00854A55"/>
    <w:rsid w:val="00854AA9"/>
    <w:rsid w:val="00854BC3"/>
    <w:rsid w:val="00854C6E"/>
    <w:rsid w:val="00854D26"/>
    <w:rsid w:val="00855236"/>
    <w:rsid w:val="00855365"/>
    <w:rsid w:val="00855494"/>
    <w:rsid w:val="008556C2"/>
    <w:rsid w:val="008556E2"/>
    <w:rsid w:val="00855ACB"/>
    <w:rsid w:val="00855FBB"/>
    <w:rsid w:val="00856298"/>
    <w:rsid w:val="008562E7"/>
    <w:rsid w:val="0085635A"/>
    <w:rsid w:val="008565CF"/>
    <w:rsid w:val="00856608"/>
    <w:rsid w:val="00856CF3"/>
    <w:rsid w:val="00856D9F"/>
    <w:rsid w:val="00856FF5"/>
    <w:rsid w:val="0085714D"/>
    <w:rsid w:val="00857163"/>
    <w:rsid w:val="00857363"/>
    <w:rsid w:val="00857803"/>
    <w:rsid w:val="0085790F"/>
    <w:rsid w:val="0085799E"/>
    <w:rsid w:val="00857A14"/>
    <w:rsid w:val="00857BD7"/>
    <w:rsid w:val="00857EB5"/>
    <w:rsid w:val="00860113"/>
    <w:rsid w:val="00860118"/>
    <w:rsid w:val="0086038F"/>
    <w:rsid w:val="00860891"/>
    <w:rsid w:val="00860DF8"/>
    <w:rsid w:val="00860EA3"/>
    <w:rsid w:val="008610DF"/>
    <w:rsid w:val="008611D2"/>
    <w:rsid w:val="00861854"/>
    <w:rsid w:val="00861B6A"/>
    <w:rsid w:val="00861D7C"/>
    <w:rsid w:val="00862176"/>
    <w:rsid w:val="0086247B"/>
    <w:rsid w:val="008624B8"/>
    <w:rsid w:val="008625E5"/>
    <w:rsid w:val="008627B9"/>
    <w:rsid w:val="008628F7"/>
    <w:rsid w:val="00862910"/>
    <w:rsid w:val="00862A56"/>
    <w:rsid w:val="00863060"/>
    <w:rsid w:val="00863375"/>
    <w:rsid w:val="008635D8"/>
    <w:rsid w:val="008637A8"/>
    <w:rsid w:val="008638A8"/>
    <w:rsid w:val="00863B92"/>
    <w:rsid w:val="00863CFF"/>
    <w:rsid w:val="00863D7A"/>
    <w:rsid w:val="00863E69"/>
    <w:rsid w:val="00864089"/>
    <w:rsid w:val="00864294"/>
    <w:rsid w:val="00864520"/>
    <w:rsid w:val="00864612"/>
    <w:rsid w:val="0086499C"/>
    <w:rsid w:val="00864C92"/>
    <w:rsid w:val="00864DB5"/>
    <w:rsid w:val="00865358"/>
    <w:rsid w:val="008657EA"/>
    <w:rsid w:val="008659D0"/>
    <w:rsid w:val="00865A1A"/>
    <w:rsid w:val="00865A27"/>
    <w:rsid w:val="00865D33"/>
    <w:rsid w:val="00865E73"/>
    <w:rsid w:val="00866104"/>
    <w:rsid w:val="00866190"/>
    <w:rsid w:val="008663D9"/>
    <w:rsid w:val="00866548"/>
    <w:rsid w:val="008665B2"/>
    <w:rsid w:val="00866635"/>
    <w:rsid w:val="0086681F"/>
    <w:rsid w:val="00866872"/>
    <w:rsid w:val="00866999"/>
    <w:rsid w:val="00866EF3"/>
    <w:rsid w:val="00867015"/>
    <w:rsid w:val="00867027"/>
    <w:rsid w:val="00867503"/>
    <w:rsid w:val="0086784F"/>
    <w:rsid w:val="00867E6C"/>
    <w:rsid w:val="00867EDB"/>
    <w:rsid w:val="008701B9"/>
    <w:rsid w:val="00870604"/>
    <w:rsid w:val="00870687"/>
    <w:rsid w:val="0087086F"/>
    <w:rsid w:val="00870A9C"/>
    <w:rsid w:val="00870F36"/>
    <w:rsid w:val="00871242"/>
    <w:rsid w:val="008719C7"/>
    <w:rsid w:val="008719EA"/>
    <w:rsid w:val="00871A3E"/>
    <w:rsid w:val="00871D9D"/>
    <w:rsid w:val="00871F5D"/>
    <w:rsid w:val="00871F8F"/>
    <w:rsid w:val="00872175"/>
    <w:rsid w:val="0087299A"/>
    <w:rsid w:val="00872B6F"/>
    <w:rsid w:val="00872C80"/>
    <w:rsid w:val="008731AA"/>
    <w:rsid w:val="00873287"/>
    <w:rsid w:val="008732D5"/>
    <w:rsid w:val="00873355"/>
    <w:rsid w:val="00873786"/>
    <w:rsid w:val="00873949"/>
    <w:rsid w:val="00873BA4"/>
    <w:rsid w:val="008740C6"/>
    <w:rsid w:val="0087461B"/>
    <w:rsid w:val="00874B83"/>
    <w:rsid w:val="00874DAE"/>
    <w:rsid w:val="00874E6D"/>
    <w:rsid w:val="00874ECB"/>
    <w:rsid w:val="008756EF"/>
    <w:rsid w:val="00875885"/>
    <w:rsid w:val="008759C1"/>
    <w:rsid w:val="00875A64"/>
    <w:rsid w:val="00875AAC"/>
    <w:rsid w:val="00875CAD"/>
    <w:rsid w:val="00875E10"/>
    <w:rsid w:val="00875EE9"/>
    <w:rsid w:val="00875F3E"/>
    <w:rsid w:val="00876114"/>
    <w:rsid w:val="008761FC"/>
    <w:rsid w:val="008764A1"/>
    <w:rsid w:val="0087677B"/>
    <w:rsid w:val="008769B2"/>
    <w:rsid w:val="00876A26"/>
    <w:rsid w:val="00876D1A"/>
    <w:rsid w:val="00876F88"/>
    <w:rsid w:val="0087706F"/>
    <w:rsid w:val="008773AD"/>
    <w:rsid w:val="008773AE"/>
    <w:rsid w:val="008774F0"/>
    <w:rsid w:val="00877693"/>
    <w:rsid w:val="008777A9"/>
    <w:rsid w:val="00877BE2"/>
    <w:rsid w:val="00877CEB"/>
    <w:rsid w:val="00880064"/>
    <w:rsid w:val="0088055B"/>
    <w:rsid w:val="00880C55"/>
    <w:rsid w:val="00880CDF"/>
    <w:rsid w:val="00880E63"/>
    <w:rsid w:val="00880F18"/>
    <w:rsid w:val="0088100F"/>
    <w:rsid w:val="00881103"/>
    <w:rsid w:val="0088116B"/>
    <w:rsid w:val="008815C8"/>
    <w:rsid w:val="0088169C"/>
    <w:rsid w:val="008817AB"/>
    <w:rsid w:val="00881B8E"/>
    <w:rsid w:val="00881D14"/>
    <w:rsid w:val="00881EE8"/>
    <w:rsid w:val="0088226E"/>
    <w:rsid w:val="0088228A"/>
    <w:rsid w:val="0088236B"/>
    <w:rsid w:val="008826A3"/>
    <w:rsid w:val="00882876"/>
    <w:rsid w:val="00882AD6"/>
    <w:rsid w:val="00882E67"/>
    <w:rsid w:val="00883328"/>
    <w:rsid w:val="008833F2"/>
    <w:rsid w:val="00883770"/>
    <w:rsid w:val="00883C1D"/>
    <w:rsid w:val="00883C32"/>
    <w:rsid w:val="00883C76"/>
    <w:rsid w:val="008846EC"/>
    <w:rsid w:val="0088495F"/>
    <w:rsid w:val="00884D1A"/>
    <w:rsid w:val="00884D32"/>
    <w:rsid w:val="00884FA9"/>
    <w:rsid w:val="00885086"/>
    <w:rsid w:val="0088535D"/>
    <w:rsid w:val="00885E5B"/>
    <w:rsid w:val="00885E99"/>
    <w:rsid w:val="00886099"/>
    <w:rsid w:val="00886310"/>
    <w:rsid w:val="0088682B"/>
    <w:rsid w:val="00886B7D"/>
    <w:rsid w:val="00886BD3"/>
    <w:rsid w:val="00886ED9"/>
    <w:rsid w:val="00886F9D"/>
    <w:rsid w:val="008870BC"/>
    <w:rsid w:val="00887428"/>
    <w:rsid w:val="00887817"/>
    <w:rsid w:val="00887A05"/>
    <w:rsid w:val="00887AC2"/>
    <w:rsid w:val="00887C29"/>
    <w:rsid w:val="00887FA7"/>
    <w:rsid w:val="00890211"/>
    <w:rsid w:val="00890394"/>
    <w:rsid w:val="0089055F"/>
    <w:rsid w:val="008905C1"/>
    <w:rsid w:val="00890619"/>
    <w:rsid w:val="00890791"/>
    <w:rsid w:val="008907A3"/>
    <w:rsid w:val="0089093E"/>
    <w:rsid w:val="0089102A"/>
    <w:rsid w:val="0089106D"/>
    <w:rsid w:val="008912D0"/>
    <w:rsid w:val="008913FB"/>
    <w:rsid w:val="008913FF"/>
    <w:rsid w:val="00891583"/>
    <w:rsid w:val="0089169A"/>
    <w:rsid w:val="00891886"/>
    <w:rsid w:val="008918BF"/>
    <w:rsid w:val="0089193D"/>
    <w:rsid w:val="00891986"/>
    <w:rsid w:val="008919B0"/>
    <w:rsid w:val="00891A02"/>
    <w:rsid w:val="00891C74"/>
    <w:rsid w:val="00891C95"/>
    <w:rsid w:val="00891CD9"/>
    <w:rsid w:val="0089200D"/>
    <w:rsid w:val="00892250"/>
    <w:rsid w:val="008922CD"/>
    <w:rsid w:val="00892327"/>
    <w:rsid w:val="008923EC"/>
    <w:rsid w:val="0089282A"/>
    <w:rsid w:val="00892B01"/>
    <w:rsid w:val="00892B2F"/>
    <w:rsid w:val="00892CF4"/>
    <w:rsid w:val="00892DA1"/>
    <w:rsid w:val="008930A6"/>
    <w:rsid w:val="00893206"/>
    <w:rsid w:val="0089321E"/>
    <w:rsid w:val="00893280"/>
    <w:rsid w:val="00893486"/>
    <w:rsid w:val="00893488"/>
    <w:rsid w:val="00893541"/>
    <w:rsid w:val="00893699"/>
    <w:rsid w:val="00893848"/>
    <w:rsid w:val="008939D7"/>
    <w:rsid w:val="00893C90"/>
    <w:rsid w:val="00893E17"/>
    <w:rsid w:val="00894148"/>
    <w:rsid w:val="00894218"/>
    <w:rsid w:val="00894312"/>
    <w:rsid w:val="008943E3"/>
    <w:rsid w:val="00894451"/>
    <w:rsid w:val="008944F5"/>
    <w:rsid w:val="00894570"/>
    <w:rsid w:val="00894613"/>
    <w:rsid w:val="00894868"/>
    <w:rsid w:val="00894E30"/>
    <w:rsid w:val="00894EA3"/>
    <w:rsid w:val="0089501F"/>
    <w:rsid w:val="008952D8"/>
    <w:rsid w:val="008954AD"/>
    <w:rsid w:val="0089557A"/>
    <w:rsid w:val="00895B12"/>
    <w:rsid w:val="00895B8C"/>
    <w:rsid w:val="00896280"/>
    <w:rsid w:val="008964CC"/>
    <w:rsid w:val="00896525"/>
    <w:rsid w:val="00896900"/>
    <w:rsid w:val="0089699D"/>
    <w:rsid w:val="00896E79"/>
    <w:rsid w:val="00896E95"/>
    <w:rsid w:val="00897654"/>
    <w:rsid w:val="00897771"/>
    <w:rsid w:val="00897AD6"/>
    <w:rsid w:val="008A03C3"/>
    <w:rsid w:val="008A0922"/>
    <w:rsid w:val="008A094D"/>
    <w:rsid w:val="008A0F16"/>
    <w:rsid w:val="008A1095"/>
    <w:rsid w:val="008A12AC"/>
    <w:rsid w:val="008A13AD"/>
    <w:rsid w:val="008A146C"/>
    <w:rsid w:val="008A1473"/>
    <w:rsid w:val="008A1519"/>
    <w:rsid w:val="008A188F"/>
    <w:rsid w:val="008A193D"/>
    <w:rsid w:val="008A198D"/>
    <w:rsid w:val="008A1A59"/>
    <w:rsid w:val="008A1BFC"/>
    <w:rsid w:val="008A1F03"/>
    <w:rsid w:val="008A2183"/>
    <w:rsid w:val="008A2321"/>
    <w:rsid w:val="008A2379"/>
    <w:rsid w:val="008A275B"/>
    <w:rsid w:val="008A29A5"/>
    <w:rsid w:val="008A2CDE"/>
    <w:rsid w:val="008A2FAA"/>
    <w:rsid w:val="008A3118"/>
    <w:rsid w:val="008A31E2"/>
    <w:rsid w:val="008A3331"/>
    <w:rsid w:val="008A3384"/>
    <w:rsid w:val="008A3402"/>
    <w:rsid w:val="008A4015"/>
    <w:rsid w:val="008A417E"/>
    <w:rsid w:val="008A41D5"/>
    <w:rsid w:val="008A4363"/>
    <w:rsid w:val="008A466F"/>
    <w:rsid w:val="008A4776"/>
    <w:rsid w:val="008A49CE"/>
    <w:rsid w:val="008A502A"/>
    <w:rsid w:val="008A5373"/>
    <w:rsid w:val="008A5491"/>
    <w:rsid w:val="008A6170"/>
    <w:rsid w:val="008A69A3"/>
    <w:rsid w:val="008A69F5"/>
    <w:rsid w:val="008A6C21"/>
    <w:rsid w:val="008A6E0E"/>
    <w:rsid w:val="008A6FA2"/>
    <w:rsid w:val="008A73C1"/>
    <w:rsid w:val="008A77D6"/>
    <w:rsid w:val="008A7894"/>
    <w:rsid w:val="008A7927"/>
    <w:rsid w:val="008A7CB4"/>
    <w:rsid w:val="008A7D18"/>
    <w:rsid w:val="008A7E77"/>
    <w:rsid w:val="008A7E86"/>
    <w:rsid w:val="008B0079"/>
    <w:rsid w:val="008B0270"/>
    <w:rsid w:val="008B02FE"/>
    <w:rsid w:val="008B0414"/>
    <w:rsid w:val="008B0467"/>
    <w:rsid w:val="008B0AF0"/>
    <w:rsid w:val="008B0BBC"/>
    <w:rsid w:val="008B0C9E"/>
    <w:rsid w:val="008B10EC"/>
    <w:rsid w:val="008B1308"/>
    <w:rsid w:val="008B133C"/>
    <w:rsid w:val="008B13C4"/>
    <w:rsid w:val="008B13FA"/>
    <w:rsid w:val="008B1449"/>
    <w:rsid w:val="008B1525"/>
    <w:rsid w:val="008B19BE"/>
    <w:rsid w:val="008B19BF"/>
    <w:rsid w:val="008B1B24"/>
    <w:rsid w:val="008B1B65"/>
    <w:rsid w:val="008B1CEC"/>
    <w:rsid w:val="008B22D6"/>
    <w:rsid w:val="008B2448"/>
    <w:rsid w:val="008B2714"/>
    <w:rsid w:val="008B28DD"/>
    <w:rsid w:val="008B28EF"/>
    <w:rsid w:val="008B2CBB"/>
    <w:rsid w:val="008B2E13"/>
    <w:rsid w:val="008B3033"/>
    <w:rsid w:val="008B30B9"/>
    <w:rsid w:val="008B3829"/>
    <w:rsid w:val="008B3DD6"/>
    <w:rsid w:val="008B3E93"/>
    <w:rsid w:val="008B3FFA"/>
    <w:rsid w:val="008B428F"/>
    <w:rsid w:val="008B42B5"/>
    <w:rsid w:val="008B4352"/>
    <w:rsid w:val="008B43B8"/>
    <w:rsid w:val="008B43C7"/>
    <w:rsid w:val="008B4471"/>
    <w:rsid w:val="008B47DB"/>
    <w:rsid w:val="008B4C09"/>
    <w:rsid w:val="008B4E6D"/>
    <w:rsid w:val="008B4EC8"/>
    <w:rsid w:val="008B4EE7"/>
    <w:rsid w:val="008B500E"/>
    <w:rsid w:val="008B5220"/>
    <w:rsid w:val="008B5228"/>
    <w:rsid w:val="008B562A"/>
    <w:rsid w:val="008B5BAE"/>
    <w:rsid w:val="008B5D61"/>
    <w:rsid w:val="008B5DDD"/>
    <w:rsid w:val="008B5E25"/>
    <w:rsid w:val="008B6130"/>
    <w:rsid w:val="008B61C7"/>
    <w:rsid w:val="008B61F1"/>
    <w:rsid w:val="008B638E"/>
    <w:rsid w:val="008B6408"/>
    <w:rsid w:val="008B665E"/>
    <w:rsid w:val="008B6A36"/>
    <w:rsid w:val="008B6B10"/>
    <w:rsid w:val="008B6BBD"/>
    <w:rsid w:val="008B6C6B"/>
    <w:rsid w:val="008B6C8F"/>
    <w:rsid w:val="008B6FCC"/>
    <w:rsid w:val="008B7498"/>
    <w:rsid w:val="008B7A1E"/>
    <w:rsid w:val="008B7B4D"/>
    <w:rsid w:val="008B7BEB"/>
    <w:rsid w:val="008B7CC6"/>
    <w:rsid w:val="008B7EBB"/>
    <w:rsid w:val="008B7EED"/>
    <w:rsid w:val="008C01FD"/>
    <w:rsid w:val="008C0349"/>
    <w:rsid w:val="008C038D"/>
    <w:rsid w:val="008C03E0"/>
    <w:rsid w:val="008C05E7"/>
    <w:rsid w:val="008C07FC"/>
    <w:rsid w:val="008C09BD"/>
    <w:rsid w:val="008C0A64"/>
    <w:rsid w:val="008C0E92"/>
    <w:rsid w:val="008C0FC6"/>
    <w:rsid w:val="008C101C"/>
    <w:rsid w:val="008C178E"/>
    <w:rsid w:val="008C18AB"/>
    <w:rsid w:val="008C19F4"/>
    <w:rsid w:val="008C1A1F"/>
    <w:rsid w:val="008C1BB2"/>
    <w:rsid w:val="008C1C3B"/>
    <w:rsid w:val="008C1DB2"/>
    <w:rsid w:val="008C1DED"/>
    <w:rsid w:val="008C1E20"/>
    <w:rsid w:val="008C20D1"/>
    <w:rsid w:val="008C2629"/>
    <w:rsid w:val="008C264E"/>
    <w:rsid w:val="008C272E"/>
    <w:rsid w:val="008C27F8"/>
    <w:rsid w:val="008C28F4"/>
    <w:rsid w:val="008C2936"/>
    <w:rsid w:val="008C2BA5"/>
    <w:rsid w:val="008C2BBD"/>
    <w:rsid w:val="008C3057"/>
    <w:rsid w:val="008C3129"/>
    <w:rsid w:val="008C3155"/>
    <w:rsid w:val="008C31AF"/>
    <w:rsid w:val="008C32BE"/>
    <w:rsid w:val="008C33C2"/>
    <w:rsid w:val="008C3671"/>
    <w:rsid w:val="008C3B1F"/>
    <w:rsid w:val="008C42C3"/>
    <w:rsid w:val="008C445B"/>
    <w:rsid w:val="008C45BF"/>
    <w:rsid w:val="008C460F"/>
    <w:rsid w:val="008C4A87"/>
    <w:rsid w:val="008C4C90"/>
    <w:rsid w:val="008C4EE3"/>
    <w:rsid w:val="008C548D"/>
    <w:rsid w:val="008C54A5"/>
    <w:rsid w:val="008C5602"/>
    <w:rsid w:val="008C5702"/>
    <w:rsid w:val="008C5A33"/>
    <w:rsid w:val="008C5B23"/>
    <w:rsid w:val="008C5B5B"/>
    <w:rsid w:val="008C5BC6"/>
    <w:rsid w:val="008C5DCC"/>
    <w:rsid w:val="008C5DDF"/>
    <w:rsid w:val="008C5F1C"/>
    <w:rsid w:val="008C6023"/>
    <w:rsid w:val="008C6307"/>
    <w:rsid w:val="008C6EC9"/>
    <w:rsid w:val="008C71EC"/>
    <w:rsid w:val="008C76E4"/>
    <w:rsid w:val="008C76F6"/>
    <w:rsid w:val="008C7770"/>
    <w:rsid w:val="008C7788"/>
    <w:rsid w:val="008C77C8"/>
    <w:rsid w:val="008C7C63"/>
    <w:rsid w:val="008C7C6D"/>
    <w:rsid w:val="008C7E93"/>
    <w:rsid w:val="008D04D5"/>
    <w:rsid w:val="008D0506"/>
    <w:rsid w:val="008D0773"/>
    <w:rsid w:val="008D0779"/>
    <w:rsid w:val="008D0886"/>
    <w:rsid w:val="008D0B85"/>
    <w:rsid w:val="008D0C4A"/>
    <w:rsid w:val="008D0C69"/>
    <w:rsid w:val="008D0CC2"/>
    <w:rsid w:val="008D0D36"/>
    <w:rsid w:val="008D0D6D"/>
    <w:rsid w:val="008D1272"/>
    <w:rsid w:val="008D13BA"/>
    <w:rsid w:val="008D1A0F"/>
    <w:rsid w:val="008D1CC9"/>
    <w:rsid w:val="008D1D21"/>
    <w:rsid w:val="008D1D8F"/>
    <w:rsid w:val="008D1DAD"/>
    <w:rsid w:val="008D2211"/>
    <w:rsid w:val="008D2364"/>
    <w:rsid w:val="008D2986"/>
    <w:rsid w:val="008D2A75"/>
    <w:rsid w:val="008D2F11"/>
    <w:rsid w:val="008D346D"/>
    <w:rsid w:val="008D3542"/>
    <w:rsid w:val="008D3B4A"/>
    <w:rsid w:val="008D3C83"/>
    <w:rsid w:val="008D3CEF"/>
    <w:rsid w:val="008D3E0C"/>
    <w:rsid w:val="008D3FDC"/>
    <w:rsid w:val="008D41FE"/>
    <w:rsid w:val="008D4223"/>
    <w:rsid w:val="008D4531"/>
    <w:rsid w:val="008D4648"/>
    <w:rsid w:val="008D4681"/>
    <w:rsid w:val="008D4806"/>
    <w:rsid w:val="008D4927"/>
    <w:rsid w:val="008D4F60"/>
    <w:rsid w:val="008D5406"/>
    <w:rsid w:val="008D561D"/>
    <w:rsid w:val="008D5665"/>
    <w:rsid w:val="008D583C"/>
    <w:rsid w:val="008D5DD2"/>
    <w:rsid w:val="008D5DF9"/>
    <w:rsid w:val="008D619D"/>
    <w:rsid w:val="008D63F9"/>
    <w:rsid w:val="008D6613"/>
    <w:rsid w:val="008D6948"/>
    <w:rsid w:val="008D6ABB"/>
    <w:rsid w:val="008D6C77"/>
    <w:rsid w:val="008D6D29"/>
    <w:rsid w:val="008D7268"/>
    <w:rsid w:val="008D7347"/>
    <w:rsid w:val="008D73BB"/>
    <w:rsid w:val="008D75D9"/>
    <w:rsid w:val="008D7A24"/>
    <w:rsid w:val="008D7A3F"/>
    <w:rsid w:val="008D7C1F"/>
    <w:rsid w:val="008D7D9D"/>
    <w:rsid w:val="008D7EBD"/>
    <w:rsid w:val="008D7FAB"/>
    <w:rsid w:val="008E0152"/>
    <w:rsid w:val="008E019C"/>
    <w:rsid w:val="008E035C"/>
    <w:rsid w:val="008E03E5"/>
    <w:rsid w:val="008E0603"/>
    <w:rsid w:val="008E068F"/>
    <w:rsid w:val="008E07E5"/>
    <w:rsid w:val="008E0B0B"/>
    <w:rsid w:val="008E0BAE"/>
    <w:rsid w:val="008E1342"/>
    <w:rsid w:val="008E135B"/>
    <w:rsid w:val="008E1447"/>
    <w:rsid w:val="008E156D"/>
    <w:rsid w:val="008E1C2F"/>
    <w:rsid w:val="008E1EA8"/>
    <w:rsid w:val="008E22CB"/>
    <w:rsid w:val="008E24AC"/>
    <w:rsid w:val="008E2663"/>
    <w:rsid w:val="008E27B5"/>
    <w:rsid w:val="008E280C"/>
    <w:rsid w:val="008E2815"/>
    <w:rsid w:val="008E2F76"/>
    <w:rsid w:val="008E356E"/>
    <w:rsid w:val="008E35FC"/>
    <w:rsid w:val="008E3B94"/>
    <w:rsid w:val="008E3E37"/>
    <w:rsid w:val="008E3E90"/>
    <w:rsid w:val="008E40CB"/>
    <w:rsid w:val="008E41C5"/>
    <w:rsid w:val="008E4879"/>
    <w:rsid w:val="008E4D2B"/>
    <w:rsid w:val="008E4FA3"/>
    <w:rsid w:val="008E535E"/>
    <w:rsid w:val="008E538A"/>
    <w:rsid w:val="008E54E0"/>
    <w:rsid w:val="008E5547"/>
    <w:rsid w:val="008E5656"/>
    <w:rsid w:val="008E5659"/>
    <w:rsid w:val="008E570A"/>
    <w:rsid w:val="008E583C"/>
    <w:rsid w:val="008E5A0E"/>
    <w:rsid w:val="008E5AEC"/>
    <w:rsid w:val="008E5B45"/>
    <w:rsid w:val="008E5F25"/>
    <w:rsid w:val="008E60F6"/>
    <w:rsid w:val="008E6123"/>
    <w:rsid w:val="008E637A"/>
    <w:rsid w:val="008E6C91"/>
    <w:rsid w:val="008E703C"/>
    <w:rsid w:val="008E70ED"/>
    <w:rsid w:val="008E739C"/>
    <w:rsid w:val="008E7853"/>
    <w:rsid w:val="008E7F62"/>
    <w:rsid w:val="008F0CA1"/>
    <w:rsid w:val="008F0D20"/>
    <w:rsid w:val="008F0FA9"/>
    <w:rsid w:val="008F11A4"/>
    <w:rsid w:val="008F1B4F"/>
    <w:rsid w:val="008F2026"/>
    <w:rsid w:val="008F21D8"/>
    <w:rsid w:val="008F220E"/>
    <w:rsid w:val="008F22F7"/>
    <w:rsid w:val="008F23C7"/>
    <w:rsid w:val="008F242A"/>
    <w:rsid w:val="008F2934"/>
    <w:rsid w:val="008F2959"/>
    <w:rsid w:val="008F296F"/>
    <w:rsid w:val="008F2B96"/>
    <w:rsid w:val="008F2E2F"/>
    <w:rsid w:val="008F2F42"/>
    <w:rsid w:val="008F2FC3"/>
    <w:rsid w:val="008F3160"/>
    <w:rsid w:val="008F3368"/>
    <w:rsid w:val="008F3812"/>
    <w:rsid w:val="008F3B01"/>
    <w:rsid w:val="008F4252"/>
    <w:rsid w:val="008F4548"/>
    <w:rsid w:val="008F46DD"/>
    <w:rsid w:val="008F46F0"/>
    <w:rsid w:val="008F4768"/>
    <w:rsid w:val="008F4801"/>
    <w:rsid w:val="008F488C"/>
    <w:rsid w:val="008F4F42"/>
    <w:rsid w:val="008F523F"/>
    <w:rsid w:val="008F547F"/>
    <w:rsid w:val="008F5574"/>
    <w:rsid w:val="008F5727"/>
    <w:rsid w:val="008F5889"/>
    <w:rsid w:val="008F5A0E"/>
    <w:rsid w:val="008F5ABC"/>
    <w:rsid w:val="008F5C23"/>
    <w:rsid w:val="008F5DE9"/>
    <w:rsid w:val="008F5F6D"/>
    <w:rsid w:val="008F5FB4"/>
    <w:rsid w:val="008F651F"/>
    <w:rsid w:val="008F6C38"/>
    <w:rsid w:val="008F6C65"/>
    <w:rsid w:val="008F71D4"/>
    <w:rsid w:val="008F7272"/>
    <w:rsid w:val="008F7355"/>
    <w:rsid w:val="008F7384"/>
    <w:rsid w:val="008F798D"/>
    <w:rsid w:val="008F7992"/>
    <w:rsid w:val="00900011"/>
    <w:rsid w:val="00900A2F"/>
    <w:rsid w:val="00900A47"/>
    <w:rsid w:val="00900AF5"/>
    <w:rsid w:val="00900C45"/>
    <w:rsid w:val="00900D40"/>
    <w:rsid w:val="00900FE6"/>
    <w:rsid w:val="00901016"/>
    <w:rsid w:val="00901276"/>
    <w:rsid w:val="0090136E"/>
    <w:rsid w:val="0090153A"/>
    <w:rsid w:val="00901657"/>
    <w:rsid w:val="009018CD"/>
    <w:rsid w:val="00901A16"/>
    <w:rsid w:val="00902134"/>
    <w:rsid w:val="0090286B"/>
    <w:rsid w:val="00902901"/>
    <w:rsid w:val="009029B5"/>
    <w:rsid w:val="009029FC"/>
    <w:rsid w:val="00902FAB"/>
    <w:rsid w:val="0090319F"/>
    <w:rsid w:val="00903578"/>
    <w:rsid w:val="0090359F"/>
    <w:rsid w:val="009035D2"/>
    <w:rsid w:val="009036ED"/>
    <w:rsid w:val="00903751"/>
    <w:rsid w:val="00903959"/>
    <w:rsid w:val="00903CAD"/>
    <w:rsid w:val="00903D28"/>
    <w:rsid w:val="00903D66"/>
    <w:rsid w:val="00904150"/>
    <w:rsid w:val="00904244"/>
    <w:rsid w:val="009043C0"/>
    <w:rsid w:val="00904791"/>
    <w:rsid w:val="009047BE"/>
    <w:rsid w:val="009047E2"/>
    <w:rsid w:val="00904AC0"/>
    <w:rsid w:val="00904B3D"/>
    <w:rsid w:val="00904B77"/>
    <w:rsid w:val="00904BF5"/>
    <w:rsid w:val="00904D09"/>
    <w:rsid w:val="00904D2D"/>
    <w:rsid w:val="00904DC2"/>
    <w:rsid w:val="00904EA3"/>
    <w:rsid w:val="00905277"/>
    <w:rsid w:val="00905336"/>
    <w:rsid w:val="00905611"/>
    <w:rsid w:val="009058DE"/>
    <w:rsid w:val="00905B41"/>
    <w:rsid w:val="00905E96"/>
    <w:rsid w:val="00906974"/>
    <w:rsid w:val="00906B9B"/>
    <w:rsid w:val="009070EC"/>
    <w:rsid w:val="009074B0"/>
    <w:rsid w:val="0090776A"/>
    <w:rsid w:val="00907C77"/>
    <w:rsid w:val="00907FE6"/>
    <w:rsid w:val="0091004A"/>
    <w:rsid w:val="0091023F"/>
    <w:rsid w:val="00910351"/>
    <w:rsid w:val="00910597"/>
    <w:rsid w:val="00910678"/>
    <w:rsid w:val="009107E6"/>
    <w:rsid w:val="009107F6"/>
    <w:rsid w:val="0091088B"/>
    <w:rsid w:val="00910BFE"/>
    <w:rsid w:val="00911010"/>
    <w:rsid w:val="00911370"/>
    <w:rsid w:val="00911844"/>
    <w:rsid w:val="00911868"/>
    <w:rsid w:val="00911B9F"/>
    <w:rsid w:val="00911C76"/>
    <w:rsid w:val="00912254"/>
    <w:rsid w:val="009122FB"/>
    <w:rsid w:val="00912699"/>
    <w:rsid w:val="009126D7"/>
    <w:rsid w:val="00912AB9"/>
    <w:rsid w:val="00912D6B"/>
    <w:rsid w:val="00912F0A"/>
    <w:rsid w:val="00912F7A"/>
    <w:rsid w:val="0091304F"/>
    <w:rsid w:val="00913070"/>
    <w:rsid w:val="009130CC"/>
    <w:rsid w:val="00913136"/>
    <w:rsid w:val="0091329B"/>
    <w:rsid w:val="0091337D"/>
    <w:rsid w:val="009136D3"/>
    <w:rsid w:val="009138AD"/>
    <w:rsid w:val="00913A35"/>
    <w:rsid w:val="00913C6D"/>
    <w:rsid w:val="00913D4B"/>
    <w:rsid w:val="00913F50"/>
    <w:rsid w:val="009142F0"/>
    <w:rsid w:val="009143C1"/>
    <w:rsid w:val="009145DB"/>
    <w:rsid w:val="009145E6"/>
    <w:rsid w:val="00914842"/>
    <w:rsid w:val="009149A7"/>
    <w:rsid w:val="00914F94"/>
    <w:rsid w:val="0091501C"/>
    <w:rsid w:val="0091543B"/>
    <w:rsid w:val="009156E3"/>
    <w:rsid w:val="00915A1C"/>
    <w:rsid w:val="00915BBF"/>
    <w:rsid w:val="00915D69"/>
    <w:rsid w:val="00915DEF"/>
    <w:rsid w:val="00916036"/>
    <w:rsid w:val="009167C3"/>
    <w:rsid w:val="0091683B"/>
    <w:rsid w:val="00916948"/>
    <w:rsid w:val="00916EE8"/>
    <w:rsid w:val="0091708C"/>
    <w:rsid w:val="00917318"/>
    <w:rsid w:val="00917BFE"/>
    <w:rsid w:val="00917CC9"/>
    <w:rsid w:val="00917D9B"/>
    <w:rsid w:val="0092019C"/>
    <w:rsid w:val="00920260"/>
    <w:rsid w:val="009203E1"/>
    <w:rsid w:val="009203EE"/>
    <w:rsid w:val="009205C6"/>
    <w:rsid w:val="0092060D"/>
    <w:rsid w:val="00920952"/>
    <w:rsid w:val="00920C20"/>
    <w:rsid w:val="00920DB7"/>
    <w:rsid w:val="00920F4B"/>
    <w:rsid w:val="00920FB0"/>
    <w:rsid w:val="0092134B"/>
    <w:rsid w:val="0092138E"/>
    <w:rsid w:val="00921566"/>
    <w:rsid w:val="0092159B"/>
    <w:rsid w:val="009218F2"/>
    <w:rsid w:val="00921996"/>
    <w:rsid w:val="0092293E"/>
    <w:rsid w:val="00922B81"/>
    <w:rsid w:val="00922F09"/>
    <w:rsid w:val="00922F68"/>
    <w:rsid w:val="00923201"/>
    <w:rsid w:val="00923263"/>
    <w:rsid w:val="00923273"/>
    <w:rsid w:val="009232CA"/>
    <w:rsid w:val="00923562"/>
    <w:rsid w:val="0092375B"/>
    <w:rsid w:val="00923953"/>
    <w:rsid w:val="00923A34"/>
    <w:rsid w:val="00923E90"/>
    <w:rsid w:val="0092406D"/>
    <w:rsid w:val="009242FC"/>
    <w:rsid w:val="00924549"/>
    <w:rsid w:val="009245C0"/>
    <w:rsid w:val="00924C91"/>
    <w:rsid w:val="00924E29"/>
    <w:rsid w:val="00924F66"/>
    <w:rsid w:val="00925158"/>
    <w:rsid w:val="00925490"/>
    <w:rsid w:val="00925D20"/>
    <w:rsid w:val="00925F32"/>
    <w:rsid w:val="00926115"/>
    <w:rsid w:val="0092676E"/>
    <w:rsid w:val="00926AE5"/>
    <w:rsid w:val="00926BAA"/>
    <w:rsid w:val="009270A6"/>
    <w:rsid w:val="00927229"/>
    <w:rsid w:val="0092756F"/>
    <w:rsid w:val="0092767B"/>
    <w:rsid w:val="00927CEC"/>
    <w:rsid w:val="00927E03"/>
    <w:rsid w:val="00927F00"/>
    <w:rsid w:val="0093008E"/>
    <w:rsid w:val="009308C6"/>
    <w:rsid w:val="00930A9B"/>
    <w:rsid w:val="00930BD1"/>
    <w:rsid w:val="00930D10"/>
    <w:rsid w:val="00930F17"/>
    <w:rsid w:val="00930FD3"/>
    <w:rsid w:val="009311ED"/>
    <w:rsid w:val="009318D3"/>
    <w:rsid w:val="00931CDF"/>
    <w:rsid w:val="009324DD"/>
    <w:rsid w:val="009325A1"/>
    <w:rsid w:val="009325F2"/>
    <w:rsid w:val="00932932"/>
    <w:rsid w:val="00932A21"/>
    <w:rsid w:val="00932C43"/>
    <w:rsid w:val="00932E76"/>
    <w:rsid w:val="0093310F"/>
    <w:rsid w:val="00933311"/>
    <w:rsid w:val="00933342"/>
    <w:rsid w:val="00933731"/>
    <w:rsid w:val="0093389D"/>
    <w:rsid w:val="00933932"/>
    <w:rsid w:val="00933B68"/>
    <w:rsid w:val="00933C56"/>
    <w:rsid w:val="009340CD"/>
    <w:rsid w:val="00934223"/>
    <w:rsid w:val="00934468"/>
    <w:rsid w:val="009345F8"/>
    <w:rsid w:val="00934C67"/>
    <w:rsid w:val="00934D00"/>
    <w:rsid w:val="00934F8B"/>
    <w:rsid w:val="0093556C"/>
    <w:rsid w:val="00935623"/>
    <w:rsid w:val="009356AE"/>
    <w:rsid w:val="00935899"/>
    <w:rsid w:val="00935B16"/>
    <w:rsid w:val="00935C07"/>
    <w:rsid w:val="00935DF5"/>
    <w:rsid w:val="009364E2"/>
    <w:rsid w:val="009366F0"/>
    <w:rsid w:val="00936966"/>
    <w:rsid w:val="00936E6B"/>
    <w:rsid w:val="00936EBC"/>
    <w:rsid w:val="0093701E"/>
    <w:rsid w:val="009372A3"/>
    <w:rsid w:val="009372E3"/>
    <w:rsid w:val="00937315"/>
    <w:rsid w:val="009374C7"/>
    <w:rsid w:val="00937611"/>
    <w:rsid w:val="00937C99"/>
    <w:rsid w:val="00937ED0"/>
    <w:rsid w:val="00940056"/>
    <w:rsid w:val="0094010F"/>
    <w:rsid w:val="0094012D"/>
    <w:rsid w:val="0094027D"/>
    <w:rsid w:val="0094031D"/>
    <w:rsid w:val="00940357"/>
    <w:rsid w:val="009403CD"/>
    <w:rsid w:val="00940C71"/>
    <w:rsid w:val="00940EB8"/>
    <w:rsid w:val="0094109D"/>
    <w:rsid w:val="009411DA"/>
    <w:rsid w:val="009413B5"/>
    <w:rsid w:val="00941715"/>
    <w:rsid w:val="0094171D"/>
    <w:rsid w:val="00941A38"/>
    <w:rsid w:val="00941AAA"/>
    <w:rsid w:val="00941C50"/>
    <w:rsid w:val="009421C2"/>
    <w:rsid w:val="009424EC"/>
    <w:rsid w:val="00942632"/>
    <w:rsid w:val="00942B82"/>
    <w:rsid w:val="009430C4"/>
    <w:rsid w:val="00943253"/>
    <w:rsid w:val="009432CE"/>
    <w:rsid w:val="009433C8"/>
    <w:rsid w:val="00943651"/>
    <w:rsid w:val="009436FD"/>
    <w:rsid w:val="00943754"/>
    <w:rsid w:val="00943BB7"/>
    <w:rsid w:val="00943BB9"/>
    <w:rsid w:val="00943C32"/>
    <w:rsid w:val="00943C6B"/>
    <w:rsid w:val="00943D63"/>
    <w:rsid w:val="0094414C"/>
    <w:rsid w:val="00944368"/>
    <w:rsid w:val="0094450C"/>
    <w:rsid w:val="00944668"/>
    <w:rsid w:val="00944694"/>
    <w:rsid w:val="00944F6C"/>
    <w:rsid w:val="0094527A"/>
    <w:rsid w:val="00945396"/>
    <w:rsid w:val="009459CD"/>
    <w:rsid w:val="00945A47"/>
    <w:rsid w:val="00945C2B"/>
    <w:rsid w:val="00945E23"/>
    <w:rsid w:val="00945E35"/>
    <w:rsid w:val="0094623D"/>
    <w:rsid w:val="0094629E"/>
    <w:rsid w:val="00946654"/>
    <w:rsid w:val="0094690B"/>
    <w:rsid w:val="00946B53"/>
    <w:rsid w:val="00946E27"/>
    <w:rsid w:val="0094743A"/>
    <w:rsid w:val="009474A8"/>
    <w:rsid w:val="00947861"/>
    <w:rsid w:val="00947B93"/>
    <w:rsid w:val="00950D9A"/>
    <w:rsid w:val="00950E27"/>
    <w:rsid w:val="00950F56"/>
    <w:rsid w:val="00951005"/>
    <w:rsid w:val="009510B2"/>
    <w:rsid w:val="0095148E"/>
    <w:rsid w:val="009515CE"/>
    <w:rsid w:val="009516B1"/>
    <w:rsid w:val="0095174B"/>
    <w:rsid w:val="009518DD"/>
    <w:rsid w:val="009518FE"/>
    <w:rsid w:val="00951A57"/>
    <w:rsid w:val="00951A8A"/>
    <w:rsid w:val="00951B2B"/>
    <w:rsid w:val="00951BF5"/>
    <w:rsid w:val="00951C9A"/>
    <w:rsid w:val="00951F45"/>
    <w:rsid w:val="00951FF8"/>
    <w:rsid w:val="009526ED"/>
    <w:rsid w:val="00952A09"/>
    <w:rsid w:val="00952B67"/>
    <w:rsid w:val="00952CBD"/>
    <w:rsid w:val="009531AD"/>
    <w:rsid w:val="009531DC"/>
    <w:rsid w:val="00953875"/>
    <w:rsid w:val="00953B7B"/>
    <w:rsid w:val="00954178"/>
    <w:rsid w:val="00954386"/>
    <w:rsid w:val="009545C9"/>
    <w:rsid w:val="009549FD"/>
    <w:rsid w:val="00954B3D"/>
    <w:rsid w:val="00954E74"/>
    <w:rsid w:val="00955421"/>
    <w:rsid w:val="0095546F"/>
    <w:rsid w:val="00955A96"/>
    <w:rsid w:val="00955CCA"/>
    <w:rsid w:val="00956218"/>
    <w:rsid w:val="00956359"/>
    <w:rsid w:val="0095637F"/>
    <w:rsid w:val="0095695A"/>
    <w:rsid w:val="00956D90"/>
    <w:rsid w:val="00956FA4"/>
    <w:rsid w:val="00956FD5"/>
    <w:rsid w:val="0095709D"/>
    <w:rsid w:val="00957229"/>
    <w:rsid w:val="0095737B"/>
    <w:rsid w:val="00957DE3"/>
    <w:rsid w:val="00957DFB"/>
    <w:rsid w:val="0096016D"/>
    <w:rsid w:val="00960536"/>
    <w:rsid w:val="00960BD4"/>
    <w:rsid w:val="00960D5E"/>
    <w:rsid w:val="00960D71"/>
    <w:rsid w:val="00960E9D"/>
    <w:rsid w:val="0096111B"/>
    <w:rsid w:val="00961298"/>
    <w:rsid w:val="0096138E"/>
    <w:rsid w:val="0096174D"/>
    <w:rsid w:val="00961931"/>
    <w:rsid w:val="00961968"/>
    <w:rsid w:val="00961970"/>
    <w:rsid w:val="00961A5D"/>
    <w:rsid w:val="00961B29"/>
    <w:rsid w:val="00961D0E"/>
    <w:rsid w:val="00961F88"/>
    <w:rsid w:val="009624B3"/>
    <w:rsid w:val="009624D4"/>
    <w:rsid w:val="00962B63"/>
    <w:rsid w:val="00962E0F"/>
    <w:rsid w:val="0096324F"/>
    <w:rsid w:val="00963425"/>
    <w:rsid w:val="009637B3"/>
    <w:rsid w:val="00963A1E"/>
    <w:rsid w:val="00963BD8"/>
    <w:rsid w:val="00963C25"/>
    <w:rsid w:val="00964142"/>
    <w:rsid w:val="00964202"/>
    <w:rsid w:val="00964634"/>
    <w:rsid w:val="00964B05"/>
    <w:rsid w:val="00964BEB"/>
    <w:rsid w:val="00964F6B"/>
    <w:rsid w:val="00965129"/>
    <w:rsid w:val="009651C5"/>
    <w:rsid w:val="0096520B"/>
    <w:rsid w:val="0096530C"/>
    <w:rsid w:val="009659B6"/>
    <w:rsid w:val="0096604F"/>
    <w:rsid w:val="00966062"/>
    <w:rsid w:val="009660D1"/>
    <w:rsid w:val="009664D2"/>
    <w:rsid w:val="00966502"/>
    <w:rsid w:val="00966727"/>
    <w:rsid w:val="009667CC"/>
    <w:rsid w:val="00966F22"/>
    <w:rsid w:val="009672A2"/>
    <w:rsid w:val="00967615"/>
    <w:rsid w:val="00967B13"/>
    <w:rsid w:val="00967B84"/>
    <w:rsid w:val="00967CF7"/>
    <w:rsid w:val="00967EFC"/>
    <w:rsid w:val="00967F98"/>
    <w:rsid w:val="00967FB6"/>
    <w:rsid w:val="00970014"/>
    <w:rsid w:val="00970554"/>
    <w:rsid w:val="00970666"/>
    <w:rsid w:val="0097081A"/>
    <w:rsid w:val="00970897"/>
    <w:rsid w:val="009708E8"/>
    <w:rsid w:val="009709F7"/>
    <w:rsid w:val="00970A36"/>
    <w:rsid w:val="00970BD5"/>
    <w:rsid w:val="00970C9F"/>
    <w:rsid w:val="00970DAE"/>
    <w:rsid w:val="00970E14"/>
    <w:rsid w:val="00970E5A"/>
    <w:rsid w:val="009712C6"/>
    <w:rsid w:val="009713B7"/>
    <w:rsid w:val="00971609"/>
    <w:rsid w:val="009716A1"/>
    <w:rsid w:val="00971AD5"/>
    <w:rsid w:val="00972089"/>
    <w:rsid w:val="009722BB"/>
    <w:rsid w:val="00972568"/>
    <w:rsid w:val="009726E6"/>
    <w:rsid w:val="009727BA"/>
    <w:rsid w:val="00972B6D"/>
    <w:rsid w:val="00972C69"/>
    <w:rsid w:val="00972D58"/>
    <w:rsid w:val="00972FC0"/>
    <w:rsid w:val="009733AD"/>
    <w:rsid w:val="009733E9"/>
    <w:rsid w:val="009734BA"/>
    <w:rsid w:val="009734CB"/>
    <w:rsid w:val="009735E9"/>
    <w:rsid w:val="00973B11"/>
    <w:rsid w:val="00974101"/>
    <w:rsid w:val="009742E8"/>
    <w:rsid w:val="0097440D"/>
    <w:rsid w:val="009747ED"/>
    <w:rsid w:val="00974993"/>
    <w:rsid w:val="00974995"/>
    <w:rsid w:val="009749AC"/>
    <w:rsid w:val="00974ACD"/>
    <w:rsid w:val="00974B86"/>
    <w:rsid w:val="00974DA0"/>
    <w:rsid w:val="0097537E"/>
    <w:rsid w:val="00975456"/>
    <w:rsid w:val="009756AB"/>
    <w:rsid w:val="00975AC9"/>
    <w:rsid w:val="0097601C"/>
    <w:rsid w:val="0097647E"/>
    <w:rsid w:val="009768FC"/>
    <w:rsid w:val="00976A32"/>
    <w:rsid w:val="00976D20"/>
    <w:rsid w:val="00976E89"/>
    <w:rsid w:val="00976EC1"/>
    <w:rsid w:val="009770CB"/>
    <w:rsid w:val="00977113"/>
    <w:rsid w:val="009773D5"/>
    <w:rsid w:val="00977961"/>
    <w:rsid w:val="00977977"/>
    <w:rsid w:val="00977B09"/>
    <w:rsid w:val="00977CB5"/>
    <w:rsid w:val="009802E3"/>
    <w:rsid w:val="0098061D"/>
    <w:rsid w:val="00980A2C"/>
    <w:rsid w:val="00980AA0"/>
    <w:rsid w:val="00980D50"/>
    <w:rsid w:val="00980D90"/>
    <w:rsid w:val="00980FD3"/>
    <w:rsid w:val="00981166"/>
    <w:rsid w:val="00981284"/>
    <w:rsid w:val="009815D0"/>
    <w:rsid w:val="0098191B"/>
    <w:rsid w:val="00981C65"/>
    <w:rsid w:val="00981DBC"/>
    <w:rsid w:val="00981DD4"/>
    <w:rsid w:val="00981ECA"/>
    <w:rsid w:val="0098216E"/>
    <w:rsid w:val="0098261C"/>
    <w:rsid w:val="009829BC"/>
    <w:rsid w:val="00982A2F"/>
    <w:rsid w:val="00982E82"/>
    <w:rsid w:val="00982EDC"/>
    <w:rsid w:val="00982F06"/>
    <w:rsid w:val="00982F86"/>
    <w:rsid w:val="00982FD6"/>
    <w:rsid w:val="0098301F"/>
    <w:rsid w:val="0098307F"/>
    <w:rsid w:val="009830B4"/>
    <w:rsid w:val="00983156"/>
    <w:rsid w:val="009832D1"/>
    <w:rsid w:val="009834D6"/>
    <w:rsid w:val="009836B5"/>
    <w:rsid w:val="009837A4"/>
    <w:rsid w:val="0098384B"/>
    <w:rsid w:val="00983905"/>
    <w:rsid w:val="00983F2B"/>
    <w:rsid w:val="00983F37"/>
    <w:rsid w:val="009843F9"/>
    <w:rsid w:val="00984432"/>
    <w:rsid w:val="00984D95"/>
    <w:rsid w:val="0098527A"/>
    <w:rsid w:val="0098543B"/>
    <w:rsid w:val="00985446"/>
    <w:rsid w:val="009855FD"/>
    <w:rsid w:val="00985ECA"/>
    <w:rsid w:val="0098617B"/>
    <w:rsid w:val="0098623E"/>
    <w:rsid w:val="0098680F"/>
    <w:rsid w:val="00986A30"/>
    <w:rsid w:val="00986AF5"/>
    <w:rsid w:val="00986B78"/>
    <w:rsid w:val="00987202"/>
    <w:rsid w:val="009872EE"/>
    <w:rsid w:val="0098758D"/>
    <w:rsid w:val="00987761"/>
    <w:rsid w:val="00990080"/>
    <w:rsid w:val="009901DA"/>
    <w:rsid w:val="009904D0"/>
    <w:rsid w:val="009905FB"/>
    <w:rsid w:val="00990683"/>
    <w:rsid w:val="009906CE"/>
    <w:rsid w:val="00990CB6"/>
    <w:rsid w:val="00990CF5"/>
    <w:rsid w:val="00990E18"/>
    <w:rsid w:val="00990EBE"/>
    <w:rsid w:val="00990FB3"/>
    <w:rsid w:val="00991040"/>
    <w:rsid w:val="00991360"/>
    <w:rsid w:val="00991599"/>
    <w:rsid w:val="009919C7"/>
    <w:rsid w:val="00991AE5"/>
    <w:rsid w:val="00991BD3"/>
    <w:rsid w:val="00992807"/>
    <w:rsid w:val="0099292F"/>
    <w:rsid w:val="00992B0D"/>
    <w:rsid w:val="00992E85"/>
    <w:rsid w:val="00993178"/>
    <w:rsid w:val="00993637"/>
    <w:rsid w:val="009937AE"/>
    <w:rsid w:val="00993832"/>
    <w:rsid w:val="00993853"/>
    <w:rsid w:val="00993B2C"/>
    <w:rsid w:val="00993B63"/>
    <w:rsid w:val="00993DF6"/>
    <w:rsid w:val="009940FD"/>
    <w:rsid w:val="0099446B"/>
    <w:rsid w:val="0099459B"/>
    <w:rsid w:val="00994C14"/>
    <w:rsid w:val="00994DBC"/>
    <w:rsid w:val="00994EA9"/>
    <w:rsid w:val="00994F50"/>
    <w:rsid w:val="00994F5B"/>
    <w:rsid w:val="0099516D"/>
    <w:rsid w:val="009954A3"/>
    <w:rsid w:val="009954B8"/>
    <w:rsid w:val="009959DB"/>
    <w:rsid w:val="00995A88"/>
    <w:rsid w:val="00995AC3"/>
    <w:rsid w:val="00995C0F"/>
    <w:rsid w:val="00995C30"/>
    <w:rsid w:val="00995C3F"/>
    <w:rsid w:val="00995D46"/>
    <w:rsid w:val="009962AC"/>
    <w:rsid w:val="009964A1"/>
    <w:rsid w:val="009966E7"/>
    <w:rsid w:val="0099679F"/>
    <w:rsid w:val="00996F7F"/>
    <w:rsid w:val="00997075"/>
    <w:rsid w:val="009974C1"/>
    <w:rsid w:val="0099797E"/>
    <w:rsid w:val="00997987"/>
    <w:rsid w:val="00997B06"/>
    <w:rsid w:val="00997B9C"/>
    <w:rsid w:val="00997CC2"/>
    <w:rsid w:val="009A0019"/>
    <w:rsid w:val="009A01F0"/>
    <w:rsid w:val="009A0385"/>
    <w:rsid w:val="009A04D4"/>
    <w:rsid w:val="009A0525"/>
    <w:rsid w:val="009A06BC"/>
    <w:rsid w:val="009A0A50"/>
    <w:rsid w:val="009A1541"/>
    <w:rsid w:val="009A1800"/>
    <w:rsid w:val="009A18B1"/>
    <w:rsid w:val="009A1ABB"/>
    <w:rsid w:val="009A1C68"/>
    <w:rsid w:val="009A1D7B"/>
    <w:rsid w:val="009A1EA7"/>
    <w:rsid w:val="009A1FC8"/>
    <w:rsid w:val="009A224C"/>
    <w:rsid w:val="009A24B5"/>
    <w:rsid w:val="009A24C4"/>
    <w:rsid w:val="009A2537"/>
    <w:rsid w:val="009A26CA"/>
    <w:rsid w:val="009A28BE"/>
    <w:rsid w:val="009A2A30"/>
    <w:rsid w:val="009A2BC4"/>
    <w:rsid w:val="009A2DBC"/>
    <w:rsid w:val="009A2FC8"/>
    <w:rsid w:val="009A3087"/>
    <w:rsid w:val="009A30B3"/>
    <w:rsid w:val="009A32B7"/>
    <w:rsid w:val="009A32E6"/>
    <w:rsid w:val="009A3427"/>
    <w:rsid w:val="009A3A12"/>
    <w:rsid w:val="009A3B32"/>
    <w:rsid w:val="009A3C9B"/>
    <w:rsid w:val="009A3F6B"/>
    <w:rsid w:val="009A3FDC"/>
    <w:rsid w:val="009A40C6"/>
    <w:rsid w:val="009A4129"/>
    <w:rsid w:val="009A44EB"/>
    <w:rsid w:val="009A4825"/>
    <w:rsid w:val="009A4852"/>
    <w:rsid w:val="009A4BE6"/>
    <w:rsid w:val="009A4CC9"/>
    <w:rsid w:val="009A59C7"/>
    <w:rsid w:val="009A5AF0"/>
    <w:rsid w:val="009A5C5D"/>
    <w:rsid w:val="009A5EDF"/>
    <w:rsid w:val="009A612C"/>
    <w:rsid w:val="009A620F"/>
    <w:rsid w:val="009A64AD"/>
    <w:rsid w:val="009A655E"/>
    <w:rsid w:val="009A688C"/>
    <w:rsid w:val="009A6B2A"/>
    <w:rsid w:val="009A6CD3"/>
    <w:rsid w:val="009A6DBE"/>
    <w:rsid w:val="009A6DC6"/>
    <w:rsid w:val="009A6E3C"/>
    <w:rsid w:val="009A6ED2"/>
    <w:rsid w:val="009A7189"/>
    <w:rsid w:val="009A7606"/>
    <w:rsid w:val="009A7EFF"/>
    <w:rsid w:val="009B00EB"/>
    <w:rsid w:val="009B05E7"/>
    <w:rsid w:val="009B065E"/>
    <w:rsid w:val="009B09D6"/>
    <w:rsid w:val="009B0C96"/>
    <w:rsid w:val="009B10A8"/>
    <w:rsid w:val="009B1538"/>
    <w:rsid w:val="009B15A7"/>
    <w:rsid w:val="009B1796"/>
    <w:rsid w:val="009B1939"/>
    <w:rsid w:val="009B1ED2"/>
    <w:rsid w:val="009B1EF6"/>
    <w:rsid w:val="009B2170"/>
    <w:rsid w:val="009B24D3"/>
    <w:rsid w:val="009B29F9"/>
    <w:rsid w:val="009B2C0C"/>
    <w:rsid w:val="009B300B"/>
    <w:rsid w:val="009B3036"/>
    <w:rsid w:val="009B3458"/>
    <w:rsid w:val="009B357F"/>
    <w:rsid w:val="009B36B2"/>
    <w:rsid w:val="009B3B8E"/>
    <w:rsid w:val="009B3CE2"/>
    <w:rsid w:val="009B3DD7"/>
    <w:rsid w:val="009B3EE8"/>
    <w:rsid w:val="009B3F5D"/>
    <w:rsid w:val="009B4027"/>
    <w:rsid w:val="009B448D"/>
    <w:rsid w:val="009B481F"/>
    <w:rsid w:val="009B487E"/>
    <w:rsid w:val="009B4965"/>
    <w:rsid w:val="009B4CE3"/>
    <w:rsid w:val="009B4D8F"/>
    <w:rsid w:val="009B4E20"/>
    <w:rsid w:val="009B4E59"/>
    <w:rsid w:val="009B4EB3"/>
    <w:rsid w:val="009B5121"/>
    <w:rsid w:val="009B51A0"/>
    <w:rsid w:val="009B5447"/>
    <w:rsid w:val="009B5646"/>
    <w:rsid w:val="009B57E6"/>
    <w:rsid w:val="009B5839"/>
    <w:rsid w:val="009B58F7"/>
    <w:rsid w:val="009B5D04"/>
    <w:rsid w:val="009B5D7E"/>
    <w:rsid w:val="009B6045"/>
    <w:rsid w:val="009B6763"/>
    <w:rsid w:val="009B68B0"/>
    <w:rsid w:val="009B6B6F"/>
    <w:rsid w:val="009B6BD7"/>
    <w:rsid w:val="009B6CAD"/>
    <w:rsid w:val="009B6D44"/>
    <w:rsid w:val="009B6E65"/>
    <w:rsid w:val="009B73D5"/>
    <w:rsid w:val="009B773B"/>
    <w:rsid w:val="009B794B"/>
    <w:rsid w:val="009B7ADD"/>
    <w:rsid w:val="009B7B37"/>
    <w:rsid w:val="009B7CC5"/>
    <w:rsid w:val="009B7E04"/>
    <w:rsid w:val="009B7E7D"/>
    <w:rsid w:val="009B7F71"/>
    <w:rsid w:val="009C0359"/>
    <w:rsid w:val="009C038C"/>
    <w:rsid w:val="009C06EB"/>
    <w:rsid w:val="009C0909"/>
    <w:rsid w:val="009C09DF"/>
    <w:rsid w:val="009C0A7E"/>
    <w:rsid w:val="009C0B0E"/>
    <w:rsid w:val="009C0B73"/>
    <w:rsid w:val="009C14E7"/>
    <w:rsid w:val="009C159D"/>
    <w:rsid w:val="009C161A"/>
    <w:rsid w:val="009C18BB"/>
    <w:rsid w:val="009C1CE8"/>
    <w:rsid w:val="009C1D42"/>
    <w:rsid w:val="009C1FC4"/>
    <w:rsid w:val="009C1FF5"/>
    <w:rsid w:val="009C227E"/>
    <w:rsid w:val="009C26C2"/>
    <w:rsid w:val="009C2928"/>
    <w:rsid w:val="009C31D9"/>
    <w:rsid w:val="009C3418"/>
    <w:rsid w:val="009C38F1"/>
    <w:rsid w:val="009C3B45"/>
    <w:rsid w:val="009C3D43"/>
    <w:rsid w:val="009C4128"/>
    <w:rsid w:val="009C4376"/>
    <w:rsid w:val="009C4679"/>
    <w:rsid w:val="009C467C"/>
    <w:rsid w:val="009C4857"/>
    <w:rsid w:val="009C4A5A"/>
    <w:rsid w:val="009C4A7E"/>
    <w:rsid w:val="009C4B8D"/>
    <w:rsid w:val="009C4BE1"/>
    <w:rsid w:val="009C4E12"/>
    <w:rsid w:val="009C4FE3"/>
    <w:rsid w:val="009C50CA"/>
    <w:rsid w:val="009C5211"/>
    <w:rsid w:val="009C54C3"/>
    <w:rsid w:val="009C5671"/>
    <w:rsid w:val="009C585C"/>
    <w:rsid w:val="009C5B5D"/>
    <w:rsid w:val="009C5B90"/>
    <w:rsid w:val="009C5C57"/>
    <w:rsid w:val="009C5E2D"/>
    <w:rsid w:val="009C6072"/>
    <w:rsid w:val="009C61E5"/>
    <w:rsid w:val="009C6368"/>
    <w:rsid w:val="009C65CA"/>
    <w:rsid w:val="009C65EE"/>
    <w:rsid w:val="009C662C"/>
    <w:rsid w:val="009C67B7"/>
    <w:rsid w:val="009C6D3B"/>
    <w:rsid w:val="009C6D5E"/>
    <w:rsid w:val="009C6F49"/>
    <w:rsid w:val="009C70F9"/>
    <w:rsid w:val="009C72D8"/>
    <w:rsid w:val="009C75B9"/>
    <w:rsid w:val="009C75FC"/>
    <w:rsid w:val="009C7C45"/>
    <w:rsid w:val="009C7D75"/>
    <w:rsid w:val="009C7E32"/>
    <w:rsid w:val="009C7E47"/>
    <w:rsid w:val="009C7F01"/>
    <w:rsid w:val="009D004F"/>
    <w:rsid w:val="009D007A"/>
    <w:rsid w:val="009D0276"/>
    <w:rsid w:val="009D0358"/>
    <w:rsid w:val="009D0402"/>
    <w:rsid w:val="009D0988"/>
    <w:rsid w:val="009D0D18"/>
    <w:rsid w:val="009D0EB7"/>
    <w:rsid w:val="009D10D3"/>
    <w:rsid w:val="009D12C9"/>
    <w:rsid w:val="009D14B6"/>
    <w:rsid w:val="009D18F3"/>
    <w:rsid w:val="009D1C51"/>
    <w:rsid w:val="009D1DA6"/>
    <w:rsid w:val="009D1F96"/>
    <w:rsid w:val="009D22B7"/>
    <w:rsid w:val="009D232E"/>
    <w:rsid w:val="009D25CE"/>
    <w:rsid w:val="009D295A"/>
    <w:rsid w:val="009D2F8E"/>
    <w:rsid w:val="009D30B7"/>
    <w:rsid w:val="009D365D"/>
    <w:rsid w:val="009D36A6"/>
    <w:rsid w:val="009D3921"/>
    <w:rsid w:val="009D3C79"/>
    <w:rsid w:val="009D3E0B"/>
    <w:rsid w:val="009D3EE0"/>
    <w:rsid w:val="009D3FAE"/>
    <w:rsid w:val="009D3FB5"/>
    <w:rsid w:val="009D423D"/>
    <w:rsid w:val="009D4415"/>
    <w:rsid w:val="009D4474"/>
    <w:rsid w:val="009D44A3"/>
    <w:rsid w:val="009D46CB"/>
    <w:rsid w:val="009D49D5"/>
    <w:rsid w:val="009D5275"/>
    <w:rsid w:val="009D5497"/>
    <w:rsid w:val="009D5C53"/>
    <w:rsid w:val="009D6034"/>
    <w:rsid w:val="009D609A"/>
    <w:rsid w:val="009D629C"/>
    <w:rsid w:val="009D6596"/>
    <w:rsid w:val="009D691E"/>
    <w:rsid w:val="009D6DF3"/>
    <w:rsid w:val="009D6EE2"/>
    <w:rsid w:val="009D7108"/>
    <w:rsid w:val="009D7221"/>
    <w:rsid w:val="009D7681"/>
    <w:rsid w:val="009D76CC"/>
    <w:rsid w:val="009D77F1"/>
    <w:rsid w:val="009D78C4"/>
    <w:rsid w:val="009D7930"/>
    <w:rsid w:val="009D794C"/>
    <w:rsid w:val="009D7B64"/>
    <w:rsid w:val="009E017E"/>
    <w:rsid w:val="009E01C3"/>
    <w:rsid w:val="009E0B42"/>
    <w:rsid w:val="009E0C00"/>
    <w:rsid w:val="009E0E2B"/>
    <w:rsid w:val="009E1183"/>
    <w:rsid w:val="009E11C3"/>
    <w:rsid w:val="009E1241"/>
    <w:rsid w:val="009E1246"/>
    <w:rsid w:val="009E12EE"/>
    <w:rsid w:val="009E18FD"/>
    <w:rsid w:val="009E1983"/>
    <w:rsid w:val="009E198F"/>
    <w:rsid w:val="009E1B20"/>
    <w:rsid w:val="009E1C02"/>
    <w:rsid w:val="009E1E22"/>
    <w:rsid w:val="009E1F6D"/>
    <w:rsid w:val="009E2360"/>
    <w:rsid w:val="009E251A"/>
    <w:rsid w:val="009E2A87"/>
    <w:rsid w:val="009E2ACB"/>
    <w:rsid w:val="009E2C43"/>
    <w:rsid w:val="009E2C6E"/>
    <w:rsid w:val="009E2CD4"/>
    <w:rsid w:val="009E2E3A"/>
    <w:rsid w:val="009E2F9F"/>
    <w:rsid w:val="009E32BC"/>
    <w:rsid w:val="009E33AA"/>
    <w:rsid w:val="009E355E"/>
    <w:rsid w:val="009E38F3"/>
    <w:rsid w:val="009E39DE"/>
    <w:rsid w:val="009E3A25"/>
    <w:rsid w:val="009E3DFB"/>
    <w:rsid w:val="009E3F85"/>
    <w:rsid w:val="009E40FD"/>
    <w:rsid w:val="009E419D"/>
    <w:rsid w:val="009E426E"/>
    <w:rsid w:val="009E4428"/>
    <w:rsid w:val="009E4590"/>
    <w:rsid w:val="009E46B6"/>
    <w:rsid w:val="009E4E7D"/>
    <w:rsid w:val="009E4E8E"/>
    <w:rsid w:val="009E4FB5"/>
    <w:rsid w:val="009E5001"/>
    <w:rsid w:val="009E50D7"/>
    <w:rsid w:val="009E50DB"/>
    <w:rsid w:val="009E5107"/>
    <w:rsid w:val="009E553D"/>
    <w:rsid w:val="009E5FA3"/>
    <w:rsid w:val="009E609C"/>
    <w:rsid w:val="009E621C"/>
    <w:rsid w:val="009E6409"/>
    <w:rsid w:val="009E6454"/>
    <w:rsid w:val="009E661A"/>
    <w:rsid w:val="009E6C0D"/>
    <w:rsid w:val="009E6C6E"/>
    <w:rsid w:val="009E6DAA"/>
    <w:rsid w:val="009E713E"/>
    <w:rsid w:val="009E75FC"/>
    <w:rsid w:val="009E7630"/>
    <w:rsid w:val="009E7939"/>
    <w:rsid w:val="009E7AF8"/>
    <w:rsid w:val="009E7BA5"/>
    <w:rsid w:val="009F03F8"/>
    <w:rsid w:val="009F0568"/>
    <w:rsid w:val="009F0E82"/>
    <w:rsid w:val="009F104E"/>
    <w:rsid w:val="009F128E"/>
    <w:rsid w:val="009F1320"/>
    <w:rsid w:val="009F162D"/>
    <w:rsid w:val="009F208D"/>
    <w:rsid w:val="009F2773"/>
    <w:rsid w:val="009F288E"/>
    <w:rsid w:val="009F29E4"/>
    <w:rsid w:val="009F2DFD"/>
    <w:rsid w:val="009F32B0"/>
    <w:rsid w:val="009F34C3"/>
    <w:rsid w:val="009F37B5"/>
    <w:rsid w:val="009F37DA"/>
    <w:rsid w:val="009F3A98"/>
    <w:rsid w:val="009F3E4C"/>
    <w:rsid w:val="009F42D1"/>
    <w:rsid w:val="009F4ADA"/>
    <w:rsid w:val="009F4BE7"/>
    <w:rsid w:val="009F4D43"/>
    <w:rsid w:val="009F4DA7"/>
    <w:rsid w:val="009F4E6D"/>
    <w:rsid w:val="009F5240"/>
    <w:rsid w:val="009F596F"/>
    <w:rsid w:val="009F5A28"/>
    <w:rsid w:val="009F5B3A"/>
    <w:rsid w:val="009F5EB2"/>
    <w:rsid w:val="009F6159"/>
    <w:rsid w:val="009F61AD"/>
    <w:rsid w:val="009F61C5"/>
    <w:rsid w:val="009F629B"/>
    <w:rsid w:val="009F6A22"/>
    <w:rsid w:val="009F6A67"/>
    <w:rsid w:val="009F6C86"/>
    <w:rsid w:val="009F6DC1"/>
    <w:rsid w:val="009F6DCA"/>
    <w:rsid w:val="009F6DDB"/>
    <w:rsid w:val="009F6F99"/>
    <w:rsid w:val="009F7105"/>
    <w:rsid w:val="009F760C"/>
    <w:rsid w:val="009F775B"/>
    <w:rsid w:val="009F7AED"/>
    <w:rsid w:val="00A00539"/>
    <w:rsid w:val="00A00956"/>
    <w:rsid w:val="00A00EAC"/>
    <w:rsid w:val="00A01021"/>
    <w:rsid w:val="00A0118E"/>
    <w:rsid w:val="00A0142B"/>
    <w:rsid w:val="00A014D5"/>
    <w:rsid w:val="00A01E33"/>
    <w:rsid w:val="00A0229F"/>
    <w:rsid w:val="00A02737"/>
    <w:rsid w:val="00A0291D"/>
    <w:rsid w:val="00A029B7"/>
    <w:rsid w:val="00A02A84"/>
    <w:rsid w:val="00A02AD3"/>
    <w:rsid w:val="00A02B87"/>
    <w:rsid w:val="00A02C4B"/>
    <w:rsid w:val="00A02D85"/>
    <w:rsid w:val="00A02DB9"/>
    <w:rsid w:val="00A030B1"/>
    <w:rsid w:val="00A03275"/>
    <w:rsid w:val="00A038B1"/>
    <w:rsid w:val="00A03956"/>
    <w:rsid w:val="00A03B0E"/>
    <w:rsid w:val="00A03C99"/>
    <w:rsid w:val="00A04019"/>
    <w:rsid w:val="00A048BF"/>
    <w:rsid w:val="00A048F5"/>
    <w:rsid w:val="00A04BD6"/>
    <w:rsid w:val="00A04E8E"/>
    <w:rsid w:val="00A0534D"/>
    <w:rsid w:val="00A05450"/>
    <w:rsid w:val="00A0590C"/>
    <w:rsid w:val="00A05B98"/>
    <w:rsid w:val="00A05DD3"/>
    <w:rsid w:val="00A05F9E"/>
    <w:rsid w:val="00A06298"/>
    <w:rsid w:val="00A06965"/>
    <w:rsid w:val="00A06E4E"/>
    <w:rsid w:val="00A071AD"/>
    <w:rsid w:val="00A07402"/>
    <w:rsid w:val="00A076D1"/>
    <w:rsid w:val="00A0788A"/>
    <w:rsid w:val="00A07A2B"/>
    <w:rsid w:val="00A07BA2"/>
    <w:rsid w:val="00A07BDD"/>
    <w:rsid w:val="00A07F4A"/>
    <w:rsid w:val="00A10096"/>
    <w:rsid w:val="00A10290"/>
    <w:rsid w:val="00A10340"/>
    <w:rsid w:val="00A103BD"/>
    <w:rsid w:val="00A10635"/>
    <w:rsid w:val="00A10774"/>
    <w:rsid w:val="00A107CF"/>
    <w:rsid w:val="00A11591"/>
    <w:rsid w:val="00A11785"/>
    <w:rsid w:val="00A11887"/>
    <w:rsid w:val="00A1189B"/>
    <w:rsid w:val="00A119DB"/>
    <w:rsid w:val="00A11A7D"/>
    <w:rsid w:val="00A1208B"/>
    <w:rsid w:val="00A12317"/>
    <w:rsid w:val="00A12536"/>
    <w:rsid w:val="00A12590"/>
    <w:rsid w:val="00A12627"/>
    <w:rsid w:val="00A12A59"/>
    <w:rsid w:val="00A12B85"/>
    <w:rsid w:val="00A12E5D"/>
    <w:rsid w:val="00A12F8B"/>
    <w:rsid w:val="00A12F9A"/>
    <w:rsid w:val="00A12FFF"/>
    <w:rsid w:val="00A13156"/>
    <w:rsid w:val="00A13376"/>
    <w:rsid w:val="00A137AE"/>
    <w:rsid w:val="00A139CB"/>
    <w:rsid w:val="00A13AEF"/>
    <w:rsid w:val="00A13BD1"/>
    <w:rsid w:val="00A13C78"/>
    <w:rsid w:val="00A14077"/>
    <w:rsid w:val="00A144C6"/>
    <w:rsid w:val="00A14726"/>
    <w:rsid w:val="00A14981"/>
    <w:rsid w:val="00A14A15"/>
    <w:rsid w:val="00A14A27"/>
    <w:rsid w:val="00A14CFD"/>
    <w:rsid w:val="00A14FB8"/>
    <w:rsid w:val="00A15662"/>
    <w:rsid w:val="00A15780"/>
    <w:rsid w:val="00A15CEA"/>
    <w:rsid w:val="00A15F86"/>
    <w:rsid w:val="00A162AB"/>
    <w:rsid w:val="00A168B3"/>
    <w:rsid w:val="00A16999"/>
    <w:rsid w:val="00A16FC1"/>
    <w:rsid w:val="00A170E0"/>
    <w:rsid w:val="00A170F0"/>
    <w:rsid w:val="00A17320"/>
    <w:rsid w:val="00A1734D"/>
    <w:rsid w:val="00A174AC"/>
    <w:rsid w:val="00A175B3"/>
    <w:rsid w:val="00A1761D"/>
    <w:rsid w:val="00A17624"/>
    <w:rsid w:val="00A1763A"/>
    <w:rsid w:val="00A178A4"/>
    <w:rsid w:val="00A178BF"/>
    <w:rsid w:val="00A17CCF"/>
    <w:rsid w:val="00A17E3F"/>
    <w:rsid w:val="00A200C8"/>
    <w:rsid w:val="00A20406"/>
    <w:rsid w:val="00A2096F"/>
    <w:rsid w:val="00A20A41"/>
    <w:rsid w:val="00A20CBA"/>
    <w:rsid w:val="00A20CEA"/>
    <w:rsid w:val="00A21291"/>
    <w:rsid w:val="00A212FA"/>
    <w:rsid w:val="00A2137B"/>
    <w:rsid w:val="00A216E3"/>
    <w:rsid w:val="00A219F0"/>
    <w:rsid w:val="00A21A6C"/>
    <w:rsid w:val="00A21BF1"/>
    <w:rsid w:val="00A21C73"/>
    <w:rsid w:val="00A21E10"/>
    <w:rsid w:val="00A220A8"/>
    <w:rsid w:val="00A223A9"/>
    <w:rsid w:val="00A225E3"/>
    <w:rsid w:val="00A227F3"/>
    <w:rsid w:val="00A2282C"/>
    <w:rsid w:val="00A22880"/>
    <w:rsid w:val="00A229F1"/>
    <w:rsid w:val="00A230D3"/>
    <w:rsid w:val="00A233FA"/>
    <w:rsid w:val="00A238EC"/>
    <w:rsid w:val="00A23B99"/>
    <w:rsid w:val="00A23DCE"/>
    <w:rsid w:val="00A23E73"/>
    <w:rsid w:val="00A23F79"/>
    <w:rsid w:val="00A23F7F"/>
    <w:rsid w:val="00A240AF"/>
    <w:rsid w:val="00A24189"/>
    <w:rsid w:val="00A2453F"/>
    <w:rsid w:val="00A2458B"/>
    <w:rsid w:val="00A24AA0"/>
    <w:rsid w:val="00A24CE9"/>
    <w:rsid w:val="00A24E88"/>
    <w:rsid w:val="00A24E89"/>
    <w:rsid w:val="00A24F2A"/>
    <w:rsid w:val="00A24F6D"/>
    <w:rsid w:val="00A24F96"/>
    <w:rsid w:val="00A251A1"/>
    <w:rsid w:val="00A253EE"/>
    <w:rsid w:val="00A25543"/>
    <w:rsid w:val="00A255D6"/>
    <w:rsid w:val="00A25709"/>
    <w:rsid w:val="00A2571D"/>
    <w:rsid w:val="00A2572C"/>
    <w:rsid w:val="00A259CE"/>
    <w:rsid w:val="00A25A52"/>
    <w:rsid w:val="00A25DB5"/>
    <w:rsid w:val="00A26197"/>
    <w:rsid w:val="00A263DA"/>
    <w:rsid w:val="00A2675D"/>
    <w:rsid w:val="00A267E8"/>
    <w:rsid w:val="00A26972"/>
    <w:rsid w:val="00A26B4A"/>
    <w:rsid w:val="00A26F7F"/>
    <w:rsid w:val="00A26FE3"/>
    <w:rsid w:val="00A277E5"/>
    <w:rsid w:val="00A27992"/>
    <w:rsid w:val="00A27BD3"/>
    <w:rsid w:val="00A27E16"/>
    <w:rsid w:val="00A27FEA"/>
    <w:rsid w:val="00A30260"/>
    <w:rsid w:val="00A30442"/>
    <w:rsid w:val="00A307F8"/>
    <w:rsid w:val="00A309FD"/>
    <w:rsid w:val="00A30A22"/>
    <w:rsid w:val="00A30C66"/>
    <w:rsid w:val="00A30D60"/>
    <w:rsid w:val="00A30DE1"/>
    <w:rsid w:val="00A30F11"/>
    <w:rsid w:val="00A30F16"/>
    <w:rsid w:val="00A30F82"/>
    <w:rsid w:val="00A31063"/>
    <w:rsid w:val="00A31493"/>
    <w:rsid w:val="00A31847"/>
    <w:rsid w:val="00A3197E"/>
    <w:rsid w:val="00A31B67"/>
    <w:rsid w:val="00A31C2C"/>
    <w:rsid w:val="00A31E0E"/>
    <w:rsid w:val="00A31E86"/>
    <w:rsid w:val="00A31F76"/>
    <w:rsid w:val="00A31F7B"/>
    <w:rsid w:val="00A32061"/>
    <w:rsid w:val="00A3218C"/>
    <w:rsid w:val="00A32772"/>
    <w:rsid w:val="00A32BE1"/>
    <w:rsid w:val="00A32EE2"/>
    <w:rsid w:val="00A337E4"/>
    <w:rsid w:val="00A33BDF"/>
    <w:rsid w:val="00A33CE7"/>
    <w:rsid w:val="00A33D50"/>
    <w:rsid w:val="00A344CC"/>
    <w:rsid w:val="00A345DB"/>
    <w:rsid w:val="00A34711"/>
    <w:rsid w:val="00A34AC5"/>
    <w:rsid w:val="00A34BCA"/>
    <w:rsid w:val="00A351ED"/>
    <w:rsid w:val="00A354E7"/>
    <w:rsid w:val="00A35937"/>
    <w:rsid w:val="00A35C3D"/>
    <w:rsid w:val="00A361BC"/>
    <w:rsid w:val="00A362ED"/>
    <w:rsid w:val="00A363A7"/>
    <w:rsid w:val="00A36407"/>
    <w:rsid w:val="00A3657F"/>
    <w:rsid w:val="00A36764"/>
    <w:rsid w:val="00A36AA4"/>
    <w:rsid w:val="00A36EB2"/>
    <w:rsid w:val="00A36F32"/>
    <w:rsid w:val="00A3732A"/>
    <w:rsid w:val="00A373AA"/>
    <w:rsid w:val="00A3771D"/>
    <w:rsid w:val="00A37877"/>
    <w:rsid w:val="00A37902"/>
    <w:rsid w:val="00A37D0E"/>
    <w:rsid w:val="00A4007D"/>
    <w:rsid w:val="00A40297"/>
    <w:rsid w:val="00A404CF"/>
    <w:rsid w:val="00A41382"/>
    <w:rsid w:val="00A413A9"/>
    <w:rsid w:val="00A41594"/>
    <w:rsid w:val="00A41B3E"/>
    <w:rsid w:val="00A41CF8"/>
    <w:rsid w:val="00A41E57"/>
    <w:rsid w:val="00A421CF"/>
    <w:rsid w:val="00A4222E"/>
    <w:rsid w:val="00A42343"/>
    <w:rsid w:val="00A423DB"/>
    <w:rsid w:val="00A4251B"/>
    <w:rsid w:val="00A42682"/>
    <w:rsid w:val="00A426EF"/>
    <w:rsid w:val="00A42B28"/>
    <w:rsid w:val="00A43033"/>
    <w:rsid w:val="00A4310C"/>
    <w:rsid w:val="00A43163"/>
    <w:rsid w:val="00A43169"/>
    <w:rsid w:val="00A431EE"/>
    <w:rsid w:val="00A43329"/>
    <w:rsid w:val="00A43A17"/>
    <w:rsid w:val="00A43BFC"/>
    <w:rsid w:val="00A43E7E"/>
    <w:rsid w:val="00A4403F"/>
    <w:rsid w:val="00A44070"/>
    <w:rsid w:val="00A44086"/>
    <w:rsid w:val="00A44241"/>
    <w:rsid w:val="00A4485F"/>
    <w:rsid w:val="00A452C6"/>
    <w:rsid w:val="00A457E6"/>
    <w:rsid w:val="00A459BF"/>
    <w:rsid w:val="00A45F22"/>
    <w:rsid w:val="00A460CC"/>
    <w:rsid w:val="00A460FC"/>
    <w:rsid w:val="00A461C0"/>
    <w:rsid w:val="00A4623B"/>
    <w:rsid w:val="00A4625C"/>
    <w:rsid w:val="00A4637B"/>
    <w:rsid w:val="00A46598"/>
    <w:rsid w:val="00A468A8"/>
    <w:rsid w:val="00A469FC"/>
    <w:rsid w:val="00A46E4B"/>
    <w:rsid w:val="00A4712B"/>
    <w:rsid w:val="00A4782A"/>
    <w:rsid w:val="00A4783F"/>
    <w:rsid w:val="00A479A5"/>
    <w:rsid w:val="00A479BC"/>
    <w:rsid w:val="00A47CF8"/>
    <w:rsid w:val="00A47D5C"/>
    <w:rsid w:val="00A47E7D"/>
    <w:rsid w:val="00A47EC1"/>
    <w:rsid w:val="00A47FC1"/>
    <w:rsid w:val="00A50035"/>
    <w:rsid w:val="00A501DF"/>
    <w:rsid w:val="00A502AF"/>
    <w:rsid w:val="00A50322"/>
    <w:rsid w:val="00A50496"/>
    <w:rsid w:val="00A50F98"/>
    <w:rsid w:val="00A51042"/>
    <w:rsid w:val="00A510FE"/>
    <w:rsid w:val="00A5115E"/>
    <w:rsid w:val="00A511DB"/>
    <w:rsid w:val="00A515FA"/>
    <w:rsid w:val="00A517D0"/>
    <w:rsid w:val="00A51CE7"/>
    <w:rsid w:val="00A5200A"/>
    <w:rsid w:val="00A521DC"/>
    <w:rsid w:val="00A52ADC"/>
    <w:rsid w:val="00A5344B"/>
    <w:rsid w:val="00A53AE5"/>
    <w:rsid w:val="00A53D28"/>
    <w:rsid w:val="00A53E01"/>
    <w:rsid w:val="00A5403F"/>
    <w:rsid w:val="00A5414D"/>
    <w:rsid w:val="00A545E3"/>
    <w:rsid w:val="00A54AD1"/>
    <w:rsid w:val="00A54C83"/>
    <w:rsid w:val="00A54C8D"/>
    <w:rsid w:val="00A54C91"/>
    <w:rsid w:val="00A54E36"/>
    <w:rsid w:val="00A556AB"/>
    <w:rsid w:val="00A557F7"/>
    <w:rsid w:val="00A55865"/>
    <w:rsid w:val="00A558B7"/>
    <w:rsid w:val="00A558E3"/>
    <w:rsid w:val="00A559A2"/>
    <w:rsid w:val="00A56076"/>
    <w:rsid w:val="00A56175"/>
    <w:rsid w:val="00A5633F"/>
    <w:rsid w:val="00A564B4"/>
    <w:rsid w:val="00A564C3"/>
    <w:rsid w:val="00A56681"/>
    <w:rsid w:val="00A569F2"/>
    <w:rsid w:val="00A56CA7"/>
    <w:rsid w:val="00A56E63"/>
    <w:rsid w:val="00A5755A"/>
    <w:rsid w:val="00A57904"/>
    <w:rsid w:val="00A579C7"/>
    <w:rsid w:val="00A57D60"/>
    <w:rsid w:val="00A57EA8"/>
    <w:rsid w:val="00A6032D"/>
    <w:rsid w:val="00A60398"/>
    <w:rsid w:val="00A6066D"/>
    <w:rsid w:val="00A608CD"/>
    <w:rsid w:val="00A60D5F"/>
    <w:rsid w:val="00A60E52"/>
    <w:rsid w:val="00A60EBA"/>
    <w:rsid w:val="00A6166C"/>
    <w:rsid w:val="00A617B7"/>
    <w:rsid w:val="00A61D9D"/>
    <w:rsid w:val="00A62038"/>
    <w:rsid w:val="00A6211E"/>
    <w:rsid w:val="00A6249A"/>
    <w:rsid w:val="00A625A1"/>
    <w:rsid w:val="00A625A5"/>
    <w:rsid w:val="00A625AB"/>
    <w:rsid w:val="00A62883"/>
    <w:rsid w:val="00A631CF"/>
    <w:rsid w:val="00A6322F"/>
    <w:rsid w:val="00A633AA"/>
    <w:rsid w:val="00A633F2"/>
    <w:rsid w:val="00A63488"/>
    <w:rsid w:val="00A6355C"/>
    <w:rsid w:val="00A6370E"/>
    <w:rsid w:val="00A6372A"/>
    <w:rsid w:val="00A63B5D"/>
    <w:rsid w:val="00A64513"/>
    <w:rsid w:val="00A64572"/>
    <w:rsid w:val="00A6459A"/>
    <w:rsid w:val="00A6461B"/>
    <w:rsid w:val="00A64CD2"/>
    <w:rsid w:val="00A64CDA"/>
    <w:rsid w:val="00A65098"/>
    <w:rsid w:val="00A656A1"/>
    <w:rsid w:val="00A65733"/>
    <w:rsid w:val="00A65902"/>
    <w:rsid w:val="00A6590F"/>
    <w:rsid w:val="00A65B3E"/>
    <w:rsid w:val="00A660DC"/>
    <w:rsid w:val="00A660F0"/>
    <w:rsid w:val="00A6618F"/>
    <w:rsid w:val="00A66415"/>
    <w:rsid w:val="00A664FD"/>
    <w:rsid w:val="00A665E7"/>
    <w:rsid w:val="00A66864"/>
    <w:rsid w:val="00A6691B"/>
    <w:rsid w:val="00A66968"/>
    <w:rsid w:val="00A66A01"/>
    <w:rsid w:val="00A66C82"/>
    <w:rsid w:val="00A67026"/>
    <w:rsid w:val="00A67118"/>
    <w:rsid w:val="00A67443"/>
    <w:rsid w:val="00A70519"/>
    <w:rsid w:val="00A70529"/>
    <w:rsid w:val="00A7062B"/>
    <w:rsid w:val="00A7073B"/>
    <w:rsid w:val="00A70C5E"/>
    <w:rsid w:val="00A71239"/>
    <w:rsid w:val="00A713C9"/>
    <w:rsid w:val="00A71577"/>
    <w:rsid w:val="00A716FA"/>
    <w:rsid w:val="00A717AC"/>
    <w:rsid w:val="00A7196B"/>
    <w:rsid w:val="00A71F54"/>
    <w:rsid w:val="00A71F97"/>
    <w:rsid w:val="00A720AD"/>
    <w:rsid w:val="00A720C5"/>
    <w:rsid w:val="00A721FE"/>
    <w:rsid w:val="00A72322"/>
    <w:rsid w:val="00A7255A"/>
    <w:rsid w:val="00A72632"/>
    <w:rsid w:val="00A728F2"/>
    <w:rsid w:val="00A72F3B"/>
    <w:rsid w:val="00A733A8"/>
    <w:rsid w:val="00A735A4"/>
    <w:rsid w:val="00A73786"/>
    <w:rsid w:val="00A737C9"/>
    <w:rsid w:val="00A73A2D"/>
    <w:rsid w:val="00A73BCB"/>
    <w:rsid w:val="00A73C1A"/>
    <w:rsid w:val="00A73E5F"/>
    <w:rsid w:val="00A73EF8"/>
    <w:rsid w:val="00A74449"/>
    <w:rsid w:val="00A7477F"/>
    <w:rsid w:val="00A74C0A"/>
    <w:rsid w:val="00A74DF6"/>
    <w:rsid w:val="00A7522A"/>
    <w:rsid w:val="00A752D9"/>
    <w:rsid w:val="00A752EF"/>
    <w:rsid w:val="00A7547A"/>
    <w:rsid w:val="00A7555E"/>
    <w:rsid w:val="00A757EE"/>
    <w:rsid w:val="00A7596D"/>
    <w:rsid w:val="00A75AC5"/>
    <w:rsid w:val="00A75B4F"/>
    <w:rsid w:val="00A75E93"/>
    <w:rsid w:val="00A75FA7"/>
    <w:rsid w:val="00A76200"/>
    <w:rsid w:val="00A76D84"/>
    <w:rsid w:val="00A76DB5"/>
    <w:rsid w:val="00A77046"/>
    <w:rsid w:val="00A77058"/>
    <w:rsid w:val="00A77186"/>
    <w:rsid w:val="00A77347"/>
    <w:rsid w:val="00A7738A"/>
    <w:rsid w:val="00A77421"/>
    <w:rsid w:val="00A774B4"/>
    <w:rsid w:val="00A774FA"/>
    <w:rsid w:val="00A776D7"/>
    <w:rsid w:val="00A77A2B"/>
    <w:rsid w:val="00A77AD0"/>
    <w:rsid w:val="00A77D34"/>
    <w:rsid w:val="00A77D84"/>
    <w:rsid w:val="00A77E83"/>
    <w:rsid w:val="00A802F2"/>
    <w:rsid w:val="00A80608"/>
    <w:rsid w:val="00A81451"/>
    <w:rsid w:val="00A815CC"/>
    <w:rsid w:val="00A81DAE"/>
    <w:rsid w:val="00A823B2"/>
    <w:rsid w:val="00A82591"/>
    <w:rsid w:val="00A82B1A"/>
    <w:rsid w:val="00A82C6C"/>
    <w:rsid w:val="00A82C92"/>
    <w:rsid w:val="00A83333"/>
    <w:rsid w:val="00A8337A"/>
    <w:rsid w:val="00A83B7C"/>
    <w:rsid w:val="00A83D5B"/>
    <w:rsid w:val="00A83D6C"/>
    <w:rsid w:val="00A83D7F"/>
    <w:rsid w:val="00A83DA5"/>
    <w:rsid w:val="00A84224"/>
    <w:rsid w:val="00A847FB"/>
    <w:rsid w:val="00A8483C"/>
    <w:rsid w:val="00A84A37"/>
    <w:rsid w:val="00A84D9D"/>
    <w:rsid w:val="00A84EBA"/>
    <w:rsid w:val="00A84F6D"/>
    <w:rsid w:val="00A855A5"/>
    <w:rsid w:val="00A85982"/>
    <w:rsid w:val="00A85ADF"/>
    <w:rsid w:val="00A85B0C"/>
    <w:rsid w:val="00A85C8B"/>
    <w:rsid w:val="00A85E49"/>
    <w:rsid w:val="00A863C2"/>
    <w:rsid w:val="00A8658F"/>
    <w:rsid w:val="00A86597"/>
    <w:rsid w:val="00A868B6"/>
    <w:rsid w:val="00A86BBA"/>
    <w:rsid w:val="00A86EF0"/>
    <w:rsid w:val="00A8741C"/>
    <w:rsid w:val="00A87542"/>
    <w:rsid w:val="00A8785D"/>
    <w:rsid w:val="00A87AE6"/>
    <w:rsid w:val="00A9065D"/>
    <w:rsid w:val="00A90666"/>
    <w:rsid w:val="00A90704"/>
    <w:rsid w:val="00A907E7"/>
    <w:rsid w:val="00A90C8C"/>
    <w:rsid w:val="00A90D43"/>
    <w:rsid w:val="00A9111C"/>
    <w:rsid w:val="00A914EC"/>
    <w:rsid w:val="00A91535"/>
    <w:rsid w:val="00A91662"/>
    <w:rsid w:val="00A9176E"/>
    <w:rsid w:val="00A9194A"/>
    <w:rsid w:val="00A91E11"/>
    <w:rsid w:val="00A9211C"/>
    <w:rsid w:val="00A9218B"/>
    <w:rsid w:val="00A92C97"/>
    <w:rsid w:val="00A92CFC"/>
    <w:rsid w:val="00A92CFE"/>
    <w:rsid w:val="00A930E2"/>
    <w:rsid w:val="00A9398B"/>
    <w:rsid w:val="00A939F8"/>
    <w:rsid w:val="00A9411C"/>
    <w:rsid w:val="00A94447"/>
    <w:rsid w:val="00A9455B"/>
    <w:rsid w:val="00A94566"/>
    <w:rsid w:val="00A947ED"/>
    <w:rsid w:val="00A949E5"/>
    <w:rsid w:val="00A94A35"/>
    <w:rsid w:val="00A94FAB"/>
    <w:rsid w:val="00A94FEE"/>
    <w:rsid w:val="00A950C0"/>
    <w:rsid w:val="00A951DA"/>
    <w:rsid w:val="00A95475"/>
    <w:rsid w:val="00A95865"/>
    <w:rsid w:val="00A9599B"/>
    <w:rsid w:val="00A95B07"/>
    <w:rsid w:val="00A95D0F"/>
    <w:rsid w:val="00A96241"/>
    <w:rsid w:val="00A96442"/>
    <w:rsid w:val="00A965A0"/>
    <w:rsid w:val="00A969ED"/>
    <w:rsid w:val="00A96DD2"/>
    <w:rsid w:val="00A973E9"/>
    <w:rsid w:val="00A973EF"/>
    <w:rsid w:val="00A9747C"/>
    <w:rsid w:val="00A97617"/>
    <w:rsid w:val="00A97662"/>
    <w:rsid w:val="00A97DDA"/>
    <w:rsid w:val="00A97F21"/>
    <w:rsid w:val="00A97F82"/>
    <w:rsid w:val="00A97FAB"/>
    <w:rsid w:val="00A97FF3"/>
    <w:rsid w:val="00AA00A1"/>
    <w:rsid w:val="00AA0128"/>
    <w:rsid w:val="00AA0352"/>
    <w:rsid w:val="00AA0A58"/>
    <w:rsid w:val="00AA0C49"/>
    <w:rsid w:val="00AA0EAC"/>
    <w:rsid w:val="00AA0F68"/>
    <w:rsid w:val="00AA1075"/>
    <w:rsid w:val="00AA111C"/>
    <w:rsid w:val="00AA117C"/>
    <w:rsid w:val="00AA134A"/>
    <w:rsid w:val="00AA135E"/>
    <w:rsid w:val="00AA13D8"/>
    <w:rsid w:val="00AA14EC"/>
    <w:rsid w:val="00AA16AC"/>
    <w:rsid w:val="00AA17DF"/>
    <w:rsid w:val="00AA1855"/>
    <w:rsid w:val="00AA19EB"/>
    <w:rsid w:val="00AA1C38"/>
    <w:rsid w:val="00AA1C5A"/>
    <w:rsid w:val="00AA2079"/>
    <w:rsid w:val="00AA211D"/>
    <w:rsid w:val="00AA21B5"/>
    <w:rsid w:val="00AA238D"/>
    <w:rsid w:val="00AA2430"/>
    <w:rsid w:val="00AA2492"/>
    <w:rsid w:val="00AA26E1"/>
    <w:rsid w:val="00AA271C"/>
    <w:rsid w:val="00AA2852"/>
    <w:rsid w:val="00AA2B05"/>
    <w:rsid w:val="00AA2D3D"/>
    <w:rsid w:val="00AA2DB1"/>
    <w:rsid w:val="00AA3028"/>
    <w:rsid w:val="00AA3068"/>
    <w:rsid w:val="00AA30DB"/>
    <w:rsid w:val="00AA3127"/>
    <w:rsid w:val="00AA31E3"/>
    <w:rsid w:val="00AA3A3E"/>
    <w:rsid w:val="00AA3D28"/>
    <w:rsid w:val="00AA4035"/>
    <w:rsid w:val="00AA4284"/>
    <w:rsid w:val="00AA437D"/>
    <w:rsid w:val="00AA43BD"/>
    <w:rsid w:val="00AA4504"/>
    <w:rsid w:val="00AA4509"/>
    <w:rsid w:val="00AA4669"/>
    <w:rsid w:val="00AA48EE"/>
    <w:rsid w:val="00AA4985"/>
    <w:rsid w:val="00AA4AF4"/>
    <w:rsid w:val="00AA4E1F"/>
    <w:rsid w:val="00AA4FA4"/>
    <w:rsid w:val="00AA51BF"/>
    <w:rsid w:val="00AA5229"/>
    <w:rsid w:val="00AA52BC"/>
    <w:rsid w:val="00AA5670"/>
    <w:rsid w:val="00AA596D"/>
    <w:rsid w:val="00AA597E"/>
    <w:rsid w:val="00AA5BFB"/>
    <w:rsid w:val="00AA6188"/>
    <w:rsid w:val="00AA6924"/>
    <w:rsid w:val="00AA6C23"/>
    <w:rsid w:val="00AA6E5B"/>
    <w:rsid w:val="00AA70C4"/>
    <w:rsid w:val="00AA737A"/>
    <w:rsid w:val="00AA74A7"/>
    <w:rsid w:val="00AA7581"/>
    <w:rsid w:val="00AA75BC"/>
    <w:rsid w:val="00AA772D"/>
    <w:rsid w:val="00AA7747"/>
    <w:rsid w:val="00AA77C2"/>
    <w:rsid w:val="00AA7A68"/>
    <w:rsid w:val="00AA7B60"/>
    <w:rsid w:val="00AA7D92"/>
    <w:rsid w:val="00AB0046"/>
    <w:rsid w:val="00AB01C2"/>
    <w:rsid w:val="00AB0432"/>
    <w:rsid w:val="00AB0803"/>
    <w:rsid w:val="00AB09FE"/>
    <w:rsid w:val="00AB1794"/>
    <w:rsid w:val="00AB1E50"/>
    <w:rsid w:val="00AB1F68"/>
    <w:rsid w:val="00AB1F83"/>
    <w:rsid w:val="00AB1FE8"/>
    <w:rsid w:val="00AB205E"/>
    <w:rsid w:val="00AB2068"/>
    <w:rsid w:val="00AB2203"/>
    <w:rsid w:val="00AB2455"/>
    <w:rsid w:val="00AB2571"/>
    <w:rsid w:val="00AB28E7"/>
    <w:rsid w:val="00AB2C01"/>
    <w:rsid w:val="00AB3165"/>
    <w:rsid w:val="00AB3510"/>
    <w:rsid w:val="00AB3623"/>
    <w:rsid w:val="00AB3BA4"/>
    <w:rsid w:val="00AB3CE8"/>
    <w:rsid w:val="00AB3F67"/>
    <w:rsid w:val="00AB41D7"/>
    <w:rsid w:val="00AB426C"/>
    <w:rsid w:val="00AB4B93"/>
    <w:rsid w:val="00AB4C8C"/>
    <w:rsid w:val="00AB4CBC"/>
    <w:rsid w:val="00AB4F01"/>
    <w:rsid w:val="00AB5010"/>
    <w:rsid w:val="00AB5016"/>
    <w:rsid w:val="00AB50D5"/>
    <w:rsid w:val="00AB5577"/>
    <w:rsid w:val="00AB593C"/>
    <w:rsid w:val="00AB5A03"/>
    <w:rsid w:val="00AB5E54"/>
    <w:rsid w:val="00AB5EA0"/>
    <w:rsid w:val="00AB5EE7"/>
    <w:rsid w:val="00AB5FE1"/>
    <w:rsid w:val="00AB6322"/>
    <w:rsid w:val="00AB6327"/>
    <w:rsid w:val="00AB64DC"/>
    <w:rsid w:val="00AB665C"/>
    <w:rsid w:val="00AB6660"/>
    <w:rsid w:val="00AB6D3A"/>
    <w:rsid w:val="00AB6D64"/>
    <w:rsid w:val="00AB7333"/>
    <w:rsid w:val="00AB73CB"/>
    <w:rsid w:val="00AB7591"/>
    <w:rsid w:val="00AB77F6"/>
    <w:rsid w:val="00AB7A80"/>
    <w:rsid w:val="00AB7AE7"/>
    <w:rsid w:val="00AB7E71"/>
    <w:rsid w:val="00AB7FDA"/>
    <w:rsid w:val="00AC017B"/>
    <w:rsid w:val="00AC02BC"/>
    <w:rsid w:val="00AC0512"/>
    <w:rsid w:val="00AC0684"/>
    <w:rsid w:val="00AC09AE"/>
    <w:rsid w:val="00AC0DE9"/>
    <w:rsid w:val="00AC11CC"/>
    <w:rsid w:val="00AC126A"/>
    <w:rsid w:val="00AC129C"/>
    <w:rsid w:val="00AC13B2"/>
    <w:rsid w:val="00AC1519"/>
    <w:rsid w:val="00AC16F8"/>
    <w:rsid w:val="00AC18A8"/>
    <w:rsid w:val="00AC18E8"/>
    <w:rsid w:val="00AC1A12"/>
    <w:rsid w:val="00AC1B27"/>
    <w:rsid w:val="00AC1E77"/>
    <w:rsid w:val="00AC1FC4"/>
    <w:rsid w:val="00AC2310"/>
    <w:rsid w:val="00AC239C"/>
    <w:rsid w:val="00AC23E7"/>
    <w:rsid w:val="00AC23EF"/>
    <w:rsid w:val="00AC241F"/>
    <w:rsid w:val="00AC2576"/>
    <w:rsid w:val="00AC2A73"/>
    <w:rsid w:val="00AC2E32"/>
    <w:rsid w:val="00AC2F53"/>
    <w:rsid w:val="00AC3643"/>
    <w:rsid w:val="00AC384E"/>
    <w:rsid w:val="00AC3AF8"/>
    <w:rsid w:val="00AC3D13"/>
    <w:rsid w:val="00AC3DDD"/>
    <w:rsid w:val="00AC4457"/>
    <w:rsid w:val="00AC44C5"/>
    <w:rsid w:val="00AC465B"/>
    <w:rsid w:val="00AC4739"/>
    <w:rsid w:val="00AC4A1A"/>
    <w:rsid w:val="00AC4E2C"/>
    <w:rsid w:val="00AC4ECB"/>
    <w:rsid w:val="00AC4EDC"/>
    <w:rsid w:val="00AC505D"/>
    <w:rsid w:val="00AC50E4"/>
    <w:rsid w:val="00AC5147"/>
    <w:rsid w:val="00AC5761"/>
    <w:rsid w:val="00AC57F5"/>
    <w:rsid w:val="00AC5B90"/>
    <w:rsid w:val="00AC630B"/>
    <w:rsid w:val="00AC63F3"/>
    <w:rsid w:val="00AC643B"/>
    <w:rsid w:val="00AC68AD"/>
    <w:rsid w:val="00AC703B"/>
    <w:rsid w:val="00AC7222"/>
    <w:rsid w:val="00AC76E2"/>
    <w:rsid w:val="00AC7831"/>
    <w:rsid w:val="00AC7978"/>
    <w:rsid w:val="00AC7A02"/>
    <w:rsid w:val="00AC7E3F"/>
    <w:rsid w:val="00AC7F0C"/>
    <w:rsid w:val="00AD01C8"/>
    <w:rsid w:val="00AD028B"/>
    <w:rsid w:val="00AD02CE"/>
    <w:rsid w:val="00AD030C"/>
    <w:rsid w:val="00AD0D89"/>
    <w:rsid w:val="00AD1723"/>
    <w:rsid w:val="00AD18A0"/>
    <w:rsid w:val="00AD1969"/>
    <w:rsid w:val="00AD198A"/>
    <w:rsid w:val="00AD19B8"/>
    <w:rsid w:val="00AD1AA7"/>
    <w:rsid w:val="00AD1D16"/>
    <w:rsid w:val="00AD1EB0"/>
    <w:rsid w:val="00AD209E"/>
    <w:rsid w:val="00AD2CDF"/>
    <w:rsid w:val="00AD2F66"/>
    <w:rsid w:val="00AD2FBB"/>
    <w:rsid w:val="00AD2FFA"/>
    <w:rsid w:val="00AD308C"/>
    <w:rsid w:val="00AD30F2"/>
    <w:rsid w:val="00AD33B3"/>
    <w:rsid w:val="00AD33E8"/>
    <w:rsid w:val="00AD34DE"/>
    <w:rsid w:val="00AD3520"/>
    <w:rsid w:val="00AD3685"/>
    <w:rsid w:val="00AD3750"/>
    <w:rsid w:val="00AD3A15"/>
    <w:rsid w:val="00AD3AD4"/>
    <w:rsid w:val="00AD44CD"/>
    <w:rsid w:val="00AD461C"/>
    <w:rsid w:val="00AD4B89"/>
    <w:rsid w:val="00AD524E"/>
    <w:rsid w:val="00AD555D"/>
    <w:rsid w:val="00AD5817"/>
    <w:rsid w:val="00AD6025"/>
    <w:rsid w:val="00AD6491"/>
    <w:rsid w:val="00AD64A8"/>
    <w:rsid w:val="00AD6698"/>
    <w:rsid w:val="00AD671C"/>
    <w:rsid w:val="00AD692F"/>
    <w:rsid w:val="00AD6C4F"/>
    <w:rsid w:val="00AD6DA6"/>
    <w:rsid w:val="00AD6DFC"/>
    <w:rsid w:val="00AD7232"/>
    <w:rsid w:val="00AD768E"/>
    <w:rsid w:val="00AD77D9"/>
    <w:rsid w:val="00AD7A96"/>
    <w:rsid w:val="00AD7BE8"/>
    <w:rsid w:val="00AD7CF5"/>
    <w:rsid w:val="00AD7DB3"/>
    <w:rsid w:val="00AE043A"/>
    <w:rsid w:val="00AE0CD3"/>
    <w:rsid w:val="00AE125F"/>
    <w:rsid w:val="00AE14E2"/>
    <w:rsid w:val="00AE17B3"/>
    <w:rsid w:val="00AE1B1C"/>
    <w:rsid w:val="00AE1D06"/>
    <w:rsid w:val="00AE286A"/>
    <w:rsid w:val="00AE2890"/>
    <w:rsid w:val="00AE29D1"/>
    <w:rsid w:val="00AE2A53"/>
    <w:rsid w:val="00AE2A9F"/>
    <w:rsid w:val="00AE357A"/>
    <w:rsid w:val="00AE36B2"/>
    <w:rsid w:val="00AE3702"/>
    <w:rsid w:val="00AE37C3"/>
    <w:rsid w:val="00AE39D8"/>
    <w:rsid w:val="00AE3B05"/>
    <w:rsid w:val="00AE3DD0"/>
    <w:rsid w:val="00AE3EBA"/>
    <w:rsid w:val="00AE41D2"/>
    <w:rsid w:val="00AE4342"/>
    <w:rsid w:val="00AE4347"/>
    <w:rsid w:val="00AE466D"/>
    <w:rsid w:val="00AE4B7C"/>
    <w:rsid w:val="00AE4D50"/>
    <w:rsid w:val="00AE4E94"/>
    <w:rsid w:val="00AE4EA9"/>
    <w:rsid w:val="00AE5004"/>
    <w:rsid w:val="00AE52ED"/>
    <w:rsid w:val="00AE53B9"/>
    <w:rsid w:val="00AE5568"/>
    <w:rsid w:val="00AE56F3"/>
    <w:rsid w:val="00AE5E2D"/>
    <w:rsid w:val="00AE5E83"/>
    <w:rsid w:val="00AE5FE1"/>
    <w:rsid w:val="00AE614A"/>
    <w:rsid w:val="00AE6239"/>
    <w:rsid w:val="00AE6273"/>
    <w:rsid w:val="00AE62FF"/>
    <w:rsid w:val="00AE6338"/>
    <w:rsid w:val="00AE634E"/>
    <w:rsid w:val="00AE654F"/>
    <w:rsid w:val="00AE6871"/>
    <w:rsid w:val="00AE6B11"/>
    <w:rsid w:val="00AE6B4D"/>
    <w:rsid w:val="00AE6EB1"/>
    <w:rsid w:val="00AE7040"/>
    <w:rsid w:val="00AE72FF"/>
    <w:rsid w:val="00AE7329"/>
    <w:rsid w:val="00AE74B6"/>
    <w:rsid w:val="00AE7BD5"/>
    <w:rsid w:val="00AE7E5D"/>
    <w:rsid w:val="00AF0446"/>
    <w:rsid w:val="00AF0755"/>
    <w:rsid w:val="00AF0767"/>
    <w:rsid w:val="00AF07D2"/>
    <w:rsid w:val="00AF09BA"/>
    <w:rsid w:val="00AF0D8F"/>
    <w:rsid w:val="00AF0DE9"/>
    <w:rsid w:val="00AF1060"/>
    <w:rsid w:val="00AF1260"/>
    <w:rsid w:val="00AF16EA"/>
    <w:rsid w:val="00AF18DA"/>
    <w:rsid w:val="00AF1AF0"/>
    <w:rsid w:val="00AF1C68"/>
    <w:rsid w:val="00AF1D4F"/>
    <w:rsid w:val="00AF1D62"/>
    <w:rsid w:val="00AF2210"/>
    <w:rsid w:val="00AF2349"/>
    <w:rsid w:val="00AF2863"/>
    <w:rsid w:val="00AF28FB"/>
    <w:rsid w:val="00AF2974"/>
    <w:rsid w:val="00AF2B8B"/>
    <w:rsid w:val="00AF2D86"/>
    <w:rsid w:val="00AF2F5E"/>
    <w:rsid w:val="00AF329E"/>
    <w:rsid w:val="00AF3658"/>
    <w:rsid w:val="00AF36D9"/>
    <w:rsid w:val="00AF37ED"/>
    <w:rsid w:val="00AF3953"/>
    <w:rsid w:val="00AF3976"/>
    <w:rsid w:val="00AF39C6"/>
    <w:rsid w:val="00AF3F6B"/>
    <w:rsid w:val="00AF4193"/>
    <w:rsid w:val="00AF43A6"/>
    <w:rsid w:val="00AF4572"/>
    <w:rsid w:val="00AF46E1"/>
    <w:rsid w:val="00AF4794"/>
    <w:rsid w:val="00AF4AF4"/>
    <w:rsid w:val="00AF4B38"/>
    <w:rsid w:val="00AF4C78"/>
    <w:rsid w:val="00AF4DC8"/>
    <w:rsid w:val="00AF4EA9"/>
    <w:rsid w:val="00AF51C0"/>
    <w:rsid w:val="00AF526F"/>
    <w:rsid w:val="00AF52A5"/>
    <w:rsid w:val="00AF53A0"/>
    <w:rsid w:val="00AF54A9"/>
    <w:rsid w:val="00AF562E"/>
    <w:rsid w:val="00AF57C0"/>
    <w:rsid w:val="00AF57E2"/>
    <w:rsid w:val="00AF6125"/>
    <w:rsid w:val="00AF638B"/>
    <w:rsid w:val="00AF65D6"/>
    <w:rsid w:val="00AF673A"/>
    <w:rsid w:val="00AF67CD"/>
    <w:rsid w:val="00AF68CB"/>
    <w:rsid w:val="00AF6948"/>
    <w:rsid w:val="00AF6D77"/>
    <w:rsid w:val="00AF6E54"/>
    <w:rsid w:val="00AF6F17"/>
    <w:rsid w:val="00AF6F1B"/>
    <w:rsid w:val="00AF715D"/>
    <w:rsid w:val="00AF72BD"/>
    <w:rsid w:val="00AF75E5"/>
    <w:rsid w:val="00AF7683"/>
    <w:rsid w:val="00AF7917"/>
    <w:rsid w:val="00B0049A"/>
    <w:rsid w:val="00B004DF"/>
    <w:rsid w:val="00B005B0"/>
    <w:rsid w:val="00B006E0"/>
    <w:rsid w:val="00B008F8"/>
    <w:rsid w:val="00B00A24"/>
    <w:rsid w:val="00B00FDF"/>
    <w:rsid w:val="00B0138C"/>
    <w:rsid w:val="00B01733"/>
    <w:rsid w:val="00B01950"/>
    <w:rsid w:val="00B01A00"/>
    <w:rsid w:val="00B01A8C"/>
    <w:rsid w:val="00B01D77"/>
    <w:rsid w:val="00B01FBC"/>
    <w:rsid w:val="00B01FF2"/>
    <w:rsid w:val="00B0276D"/>
    <w:rsid w:val="00B0280E"/>
    <w:rsid w:val="00B02969"/>
    <w:rsid w:val="00B02C02"/>
    <w:rsid w:val="00B02CD5"/>
    <w:rsid w:val="00B02D51"/>
    <w:rsid w:val="00B02E26"/>
    <w:rsid w:val="00B02E30"/>
    <w:rsid w:val="00B02E92"/>
    <w:rsid w:val="00B030F1"/>
    <w:rsid w:val="00B03186"/>
    <w:rsid w:val="00B036F4"/>
    <w:rsid w:val="00B03914"/>
    <w:rsid w:val="00B04000"/>
    <w:rsid w:val="00B0406F"/>
    <w:rsid w:val="00B0417B"/>
    <w:rsid w:val="00B04604"/>
    <w:rsid w:val="00B04863"/>
    <w:rsid w:val="00B04943"/>
    <w:rsid w:val="00B04EAB"/>
    <w:rsid w:val="00B05282"/>
    <w:rsid w:val="00B0528D"/>
    <w:rsid w:val="00B05AFA"/>
    <w:rsid w:val="00B05B63"/>
    <w:rsid w:val="00B05DD1"/>
    <w:rsid w:val="00B0616A"/>
    <w:rsid w:val="00B06291"/>
    <w:rsid w:val="00B063C4"/>
    <w:rsid w:val="00B063E0"/>
    <w:rsid w:val="00B064DD"/>
    <w:rsid w:val="00B067EB"/>
    <w:rsid w:val="00B06863"/>
    <w:rsid w:val="00B06B16"/>
    <w:rsid w:val="00B06CB3"/>
    <w:rsid w:val="00B06F33"/>
    <w:rsid w:val="00B06F54"/>
    <w:rsid w:val="00B070B8"/>
    <w:rsid w:val="00B072C3"/>
    <w:rsid w:val="00B073AA"/>
    <w:rsid w:val="00B0756E"/>
    <w:rsid w:val="00B07E6A"/>
    <w:rsid w:val="00B07ED1"/>
    <w:rsid w:val="00B07ED5"/>
    <w:rsid w:val="00B07F12"/>
    <w:rsid w:val="00B1031D"/>
    <w:rsid w:val="00B107F8"/>
    <w:rsid w:val="00B109A0"/>
    <w:rsid w:val="00B10A2A"/>
    <w:rsid w:val="00B10B24"/>
    <w:rsid w:val="00B1107D"/>
    <w:rsid w:val="00B11112"/>
    <w:rsid w:val="00B1124A"/>
    <w:rsid w:val="00B11548"/>
    <w:rsid w:val="00B1158C"/>
    <w:rsid w:val="00B1190E"/>
    <w:rsid w:val="00B121A6"/>
    <w:rsid w:val="00B12396"/>
    <w:rsid w:val="00B125D3"/>
    <w:rsid w:val="00B126A0"/>
    <w:rsid w:val="00B126E9"/>
    <w:rsid w:val="00B128FA"/>
    <w:rsid w:val="00B12966"/>
    <w:rsid w:val="00B12AE4"/>
    <w:rsid w:val="00B12BB4"/>
    <w:rsid w:val="00B12BD0"/>
    <w:rsid w:val="00B12F03"/>
    <w:rsid w:val="00B132D7"/>
    <w:rsid w:val="00B13636"/>
    <w:rsid w:val="00B13D0C"/>
    <w:rsid w:val="00B13DDA"/>
    <w:rsid w:val="00B144D0"/>
    <w:rsid w:val="00B146BE"/>
    <w:rsid w:val="00B152D1"/>
    <w:rsid w:val="00B15496"/>
    <w:rsid w:val="00B154B4"/>
    <w:rsid w:val="00B154E4"/>
    <w:rsid w:val="00B156E0"/>
    <w:rsid w:val="00B1584D"/>
    <w:rsid w:val="00B158C3"/>
    <w:rsid w:val="00B15A38"/>
    <w:rsid w:val="00B15BDC"/>
    <w:rsid w:val="00B16219"/>
    <w:rsid w:val="00B16299"/>
    <w:rsid w:val="00B16306"/>
    <w:rsid w:val="00B163BA"/>
    <w:rsid w:val="00B16546"/>
    <w:rsid w:val="00B16978"/>
    <w:rsid w:val="00B169D6"/>
    <w:rsid w:val="00B169E8"/>
    <w:rsid w:val="00B16AC6"/>
    <w:rsid w:val="00B16BD0"/>
    <w:rsid w:val="00B16C94"/>
    <w:rsid w:val="00B16F57"/>
    <w:rsid w:val="00B1724B"/>
    <w:rsid w:val="00B17460"/>
    <w:rsid w:val="00B17501"/>
    <w:rsid w:val="00B17620"/>
    <w:rsid w:val="00B178BA"/>
    <w:rsid w:val="00B17918"/>
    <w:rsid w:val="00B179D9"/>
    <w:rsid w:val="00B17BAB"/>
    <w:rsid w:val="00B17CBE"/>
    <w:rsid w:val="00B17DD4"/>
    <w:rsid w:val="00B17FC8"/>
    <w:rsid w:val="00B20044"/>
    <w:rsid w:val="00B20338"/>
    <w:rsid w:val="00B20522"/>
    <w:rsid w:val="00B20535"/>
    <w:rsid w:val="00B20780"/>
    <w:rsid w:val="00B20852"/>
    <w:rsid w:val="00B208A8"/>
    <w:rsid w:val="00B208AB"/>
    <w:rsid w:val="00B20A09"/>
    <w:rsid w:val="00B20C6D"/>
    <w:rsid w:val="00B20F23"/>
    <w:rsid w:val="00B21097"/>
    <w:rsid w:val="00B212AA"/>
    <w:rsid w:val="00B213D4"/>
    <w:rsid w:val="00B214A6"/>
    <w:rsid w:val="00B21704"/>
    <w:rsid w:val="00B21789"/>
    <w:rsid w:val="00B21A8E"/>
    <w:rsid w:val="00B21CAE"/>
    <w:rsid w:val="00B21F67"/>
    <w:rsid w:val="00B22395"/>
    <w:rsid w:val="00B223B9"/>
    <w:rsid w:val="00B2260D"/>
    <w:rsid w:val="00B23119"/>
    <w:rsid w:val="00B2327D"/>
    <w:rsid w:val="00B23349"/>
    <w:rsid w:val="00B23483"/>
    <w:rsid w:val="00B239D8"/>
    <w:rsid w:val="00B23A24"/>
    <w:rsid w:val="00B23ABC"/>
    <w:rsid w:val="00B24017"/>
    <w:rsid w:val="00B2407D"/>
    <w:rsid w:val="00B24165"/>
    <w:rsid w:val="00B24201"/>
    <w:rsid w:val="00B24324"/>
    <w:rsid w:val="00B244B7"/>
    <w:rsid w:val="00B2467F"/>
    <w:rsid w:val="00B247A4"/>
    <w:rsid w:val="00B24902"/>
    <w:rsid w:val="00B24E62"/>
    <w:rsid w:val="00B24F17"/>
    <w:rsid w:val="00B254FB"/>
    <w:rsid w:val="00B25655"/>
    <w:rsid w:val="00B25884"/>
    <w:rsid w:val="00B25B03"/>
    <w:rsid w:val="00B25B42"/>
    <w:rsid w:val="00B25B75"/>
    <w:rsid w:val="00B25BCC"/>
    <w:rsid w:val="00B25F88"/>
    <w:rsid w:val="00B2629E"/>
    <w:rsid w:val="00B263CE"/>
    <w:rsid w:val="00B263D7"/>
    <w:rsid w:val="00B265BD"/>
    <w:rsid w:val="00B267E5"/>
    <w:rsid w:val="00B269A8"/>
    <w:rsid w:val="00B26A5F"/>
    <w:rsid w:val="00B26C9D"/>
    <w:rsid w:val="00B27184"/>
    <w:rsid w:val="00B27D1F"/>
    <w:rsid w:val="00B27E19"/>
    <w:rsid w:val="00B27F05"/>
    <w:rsid w:val="00B27F47"/>
    <w:rsid w:val="00B300C7"/>
    <w:rsid w:val="00B3093B"/>
    <w:rsid w:val="00B309D8"/>
    <w:rsid w:val="00B30CCC"/>
    <w:rsid w:val="00B30D20"/>
    <w:rsid w:val="00B30E08"/>
    <w:rsid w:val="00B30E89"/>
    <w:rsid w:val="00B31111"/>
    <w:rsid w:val="00B3115C"/>
    <w:rsid w:val="00B31351"/>
    <w:rsid w:val="00B314E0"/>
    <w:rsid w:val="00B3153C"/>
    <w:rsid w:val="00B31566"/>
    <w:rsid w:val="00B315A0"/>
    <w:rsid w:val="00B315BF"/>
    <w:rsid w:val="00B31795"/>
    <w:rsid w:val="00B317B5"/>
    <w:rsid w:val="00B31B32"/>
    <w:rsid w:val="00B32093"/>
    <w:rsid w:val="00B3245B"/>
    <w:rsid w:val="00B32A1B"/>
    <w:rsid w:val="00B32A53"/>
    <w:rsid w:val="00B3311E"/>
    <w:rsid w:val="00B3357B"/>
    <w:rsid w:val="00B33603"/>
    <w:rsid w:val="00B3364D"/>
    <w:rsid w:val="00B3366B"/>
    <w:rsid w:val="00B3386A"/>
    <w:rsid w:val="00B33C5E"/>
    <w:rsid w:val="00B33D62"/>
    <w:rsid w:val="00B33F2B"/>
    <w:rsid w:val="00B34036"/>
    <w:rsid w:val="00B346BC"/>
    <w:rsid w:val="00B34A0F"/>
    <w:rsid w:val="00B34BD1"/>
    <w:rsid w:val="00B34BEB"/>
    <w:rsid w:val="00B35164"/>
    <w:rsid w:val="00B353BD"/>
    <w:rsid w:val="00B35490"/>
    <w:rsid w:val="00B35937"/>
    <w:rsid w:val="00B35B84"/>
    <w:rsid w:val="00B35F63"/>
    <w:rsid w:val="00B362CB"/>
    <w:rsid w:val="00B36442"/>
    <w:rsid w:val="00B3667B"/>
    <w:rsid w:val="00B36750"/>
    <w:rsid w:val="00B36B2C"/>
    <w:rsid w:val="00B36B3F"/>
    <w:rsid w:val="00B36BD2"/>
    <w:rsid w:val="00B36BE0"/>
    <w:rsid w:val="00B37434"/>
    <w:rsid w:val="00B37505"/>
    <w:rsid w:val="00B375D6"/>
    <w:rsid w:val="00B3782F"/>
    <w:rsid w:val="00B379CF"/>
    <w:rsid w:val="00B4003E"/>
    <w:rsid w:val="00B403E3"/>
    <w:rsid w:val="00B4049D"/>
    <w:rsid w:val="00B40598"/>
    <w:rsid w:val="00B407C5"/>
    <w:rsid w:val="00B40879"/>
    <w:rsid w:val="00B408BA"/>
    <w:rsid w:val="00B408E1"/>
    <w:rsid w:val="00B40AE4"/>
    <w:rsid w:val="00B40C5C"/>
    <w:rsid w:val="00B40CA7"/>
    <w:rsid w:val="00B41078"/>
    <w:rsid w:val="00B412FC"/>
    <w:rsid w:val="00B414BA"/>
    <w:rsid w:val="00B4183A"/>
    <w:rsid w:val="00B4185E"/>
    <w:rsid w:val="00B4190B"/>
    <w:rsid w:val="00B419CD"/>
    <w:rsid w:val="00B41A1D"/>
    <w:rsid w:val="00B41DA4"/>
    <w:rsid w:val="00B42112"/>
    <w:rsid w:val="00B426FC"/>
    <w:rsid w:val="00B429EB"/>
    <w:rsid w:val="00B42B12"/>
    <w:rsid w:val="00B42D9B"/>
    <w:rsid w:val="00B42DC5"/>
    <w:rsid w:val="00B43553"/>
    <w:rsid w:val="00B43783"/>
    <w:rsid w:val="00B4379E"/>
    <w:rsid w:val="00B437DA"/>
    <w:rsid w:val="00B43B5E"/>
    <w:rsid w:val="00B43C26"/>
    <w:rsid w:val="00B442B6"/>
    <w:rsid w:val="00B4464F"/>
    <w:rsid w:val="00B44B75"/>
    <w:rsid w:val="00B44E00"/>
    <w:rsid w:val="00B44E6D"/>
    <w:rsid w:val="00B45015"/>
    <w:rsid w:val="00B45562"/>
    <w:rsid w:val="00B45705"/>
    <w:rsid w:val="00B45B2F"/>
    <w:rsid w:val="00B45B43"/>
    <w:rsid w:val="00B45E75"/>
    <w:rsid w:val="00B46034"/>
    <w:rsid w:val="00B46145"/>
    <w:rsid w:val="00B462E6"/>
    <w:rsid w:val="00B4632A"/>
    <w:rsid w:val="00B464D8"/>
    <w:rsid w:val="00B466A1"/>
    <w:rsid w:val="00B46707"/>
    <w:rsid w:val="00B4686C"/>
    <w:rsid w:val="00B46891"/>
    <w:rsid w:val="00B468EE"/>
    <w:rsid w:val="00B46B41"/>
    <w:rsid w:val="00B46CCE"/>
    <w:rsid w:val="00B46F69"/>
    <w:rsid w:val="00B47067"/>
    <w:rsid w:val="00B471C0"/>
    <w:rsid w:val="00B4722D"/>
    <w:rsid w:val="00B47492"/>
    <w:rsid w:val="00B47721"/>
    <w:rsid w:val="00B47747"/>
    <w:rsid w:val="00B4776E"/>
    <w:rsid w:val="00B47863"/>
    <w:rsid w:val="00B47BD1"/>
    <w:rsid w:val="00B47CCD"/>
    <w:rsid w:val="00B47E1F"/>
    <w:rsid w:val="00B47ED1"/>
    <w:rsid w:val="00B50152"/>
    <w:rsid w:val="00B50225"/>
    <w:rsid w:val="00B5051E"/>
    <w:rsid w:val="00B50847"/>
    <w:rsid w:val="00B50B18"/>
    <w:rsid w:val="00B50D11"/>
    <w:rsid w:val="00B50D8F"/>
    <w:rsid w:val="00B50E2B"/>
    <w:rsid w:val="00B50EE7"/>
    <w:rsid w:val="00B5106F"/>
    <w:rsid w:val="00B5110E"/>
    <w:rsid w:val="00B51157"/>
    <w:rsid w:val="00B515DF"/>
    <w:rsid w:val="00B51847"/>
    <w:rsid w:val="00B51B5F"/>
    <w:rsid w:val="00B5206D"/>
    <w:rsid w:val="00B5209F"/>
    <w:rsid w:val="00B52356"/>
    <w:rsid w:val="00B52406"/>
    <w:rsid w:val="00B524CA"/>
    <w:rsid w:val="00B52A92"/>
    <w:rsid w:val="00B52DBC"/>
    <w:rsid w:val="00B52F18"/>
    <w:rsid w:val="00B52F3F"/>
    <w:rsid w:val="00B531EC"/>
    <w:rsid w:val="00B532D0"/>
    <w:rsid w:val="00B53A19"/>
    <w:rsid w:val="00B53E65"/>
    <w:rsid w:val="00B544FD"/>
    <w:rsid w:val="00B54613"/>
    <w:rsid w:val="00B54A62"/>
    <w:rsid w:val="00B54B01"/>
    <w:rsid w:val="00B55111"/>
    <w:rsid w:val="00B5524C"/>
    <w:rsid w:val="00B553AF"/>
    <w:rsid w:val="00B558F3"/>
    <w:rsid w:val="00B559EE"/>
    <w:rsid w:val="00B55CB7"/>
    <w:rsid w:val="00B55D26"/>
    <w:rsid w:val="00B55F64"/>
    <w:rsid w:val="00B55FBF"/>
    <w:rsid w:val="00B56298"/>
    <w:rsid w:val="00B565B6"/>
    <w:rsid w:val="00B56709"/>
    <w:rsid w:val="00B56C09"/>
    <w:rsid w:val="00B56C26"/>
    <w:rsid w:val="00B56FB7"/>
    <w:rsid w:val="00B56FC9"/>
    <w:rsid w:val="00B570E9"/>
    <w:rsid w:val="00B570FB"/>
    <w:rsid w:val="00B573C4"/>
    <w:rsid w:val="00B576D6"/>
    <w:rsid w:val="00B576EA"/>
    <w:rsid w:val="00B57D0F"/>
    <w:rsid w:val="00B600D8"/>
    <w:rsid w:val="00B60133"/>
    <w:rsid w:val="00B60569"/>
    <w:rsid w:val="00B607F7"/>
    <w:rsid w:val="00B609BE"/>
    <w:rsid w:val="00B60ADA"/>
    <w:rsid w:val="00B61028"/>
    <w:rsid w:val="00B6105F"/>
    <w:rsid w:val="00B613ED"/>
    <w:rsid w:val="00B6178A"/>
    <w:rsid w:val="00B61948"/>
    <w:rsid w:val="00B61B97"/>
    <w:rsid w:val="00B61CA5"/>
    <w:rsid w:val="00B61F46"/>
    <w:rsid w:val="00B61F64"/>
    <w:rsid w:val="00B62087"/>
    <w:rsid w:val="00B62138"/>
    <w:rsid w:val="00B62295"/>
    <w:rsid w:val="00B62328"/>
    <w:rsid w:val="00B623F2"/>
    <w:rsid w:val="00B6255F"/>
    <w:rsid w:val="00B628E3"/>
    <w:rsid w:val="00B62B12"/>
    <w:rsid w:val="00B6324B"/>
    <w:rsid w:val="00B632A6"/>
    <w:rsid w:val="00B63607"/>
    <w:rsid w:val="00B636B4"/>
    <w:rsid w:val="00B636D7"/>
    <w:rsid w:val="00B637C1"/>
    <w:rsid w:val="00B63DE2"/>
    <w:rsid w:val="00B63F5C"/>
    <w:rsid w:val="00B64171"/>
    <w:rsid w:val="00B6455A"/>
    <w:rsid w:val="00B64939"/>
    <w:rsid w:val="00B64C17"/>
    <w:rsid w:val="00B64DA5"/>
    <w:rsid w:val="00B64F09"/>
    <w:rsid w:val="00B650E8"/>
    <w:rsid w:val="00B6510E"/>
    <w:rsid w:val="00B65359"/>
    <w:rsid w:val="00B65561"/>
    <w:rsid w:val="00B65662"/>
    <w:rsid w:val="00B658A0"/>
    <w:rsid w:val="00B65C9D"/>
    <w:rsid w:val="00B65DB5"/>
    <w:rsid w:val="00B65E94"/>
    <w:rsid w:val="00B6606E"/>
    <w:rsid w:val="00B661C7"/>
    <w:rsid w:val="00B662EA"/>
    <w:rsid w:val="00B66403"/>
    <w:rsid w:val="00B664BF"/>
    <w:rsid w:val="00B664F1"/>
    <w:rsid w:val="00B67118"/>
    <w:rsid w:val="00B6711F"/>
    <w:rsid w:val="00B672F3"/>
    <w:rsid w:val="00B6740D"/>
    <w:rsid w:val="00B674AE"/>
    <w:rsid w:val="00B6754F"/>
    <w:rsid w:val="00B67641"/>
    <w:rsid w:val="00B6785C"/>
    <w:rsid w:val="00B67A27"/>
    <w:rsid w:val="00B67B6C"/>
    <w:rsid w:val="00B67B77"/>
    <w:rsid w:val="00B67BAD"/>
    <w:rsid w:val="00B67F25"/>
    <w:rsid w:val="00B67FB6"/>
    <w:rsid w:val="00B700D7"/>
    <w:rsid w:val="00B701E1"/>
    <w:rsid w:val="00B70210"/>
    <w:rsid w:val="00B705A0"/>
    <w:rsid w:val="00B705A1"/>
    <w:rsid w:val="00B70795"/>
    <w:rsid w:val="00B70A3B"/>
    <w:rsid w:val="00B71044"/>
    <w:rsid w:val="00B71158"/>
    <w:rsid w:val="00B71346"/>
    <w:rsid w:val="00B713AB"/>
    <w:rsid w:val="00B71D3A"/>
    <w:rsid w:val="00B71D43"/>
    <w:rsid w:val="00B72281"/>
    <w:rsid w:val="00B72295"/>
    <w:rsid w:val="00B7252D"/>
    <w:rsid w:val="00B7292C"/>
    <w:rsid w:val="00B7312F"/>
    <w:rsid w:val="00B73262"/>
    <w:rsid w:val="00B73271"/>
    <w:rsid w:val="00B734AC"/>
    <w:rsid w:val="00B7362E"/>
    <w:rsid w:val="00B7369F"/>
    <w:rsid w:val="00B736CF"/>
    <w:rsid w:val="00B73895"/>
    <w:rsid w:val="00B739BE"/>
    <w:rsid w:val="00B73AA0"/>
    <w:rsid w:val="00B73AE9"/>
    <w:rsid w:val="00B73C7E"/>
    <w:rsid w:val="00B7452D"/>
    <w:rsid w:val="00B7456A"/>
    <w:rsid w:val="00B74751"/>
    <w:rsid w:val="00B7478D"/>
    <w:rsid w:val="00B7481A"/>
    <w:rsid w:val="00B75345"/>
    <w:rsid w:val="00B753B6"/>
    <w:rsid w:val="00B75696"/>
    <w:rsid w:val="00B75C09"/>
    <w:rsid w:val="00B75CDC"/>
    <w:rsid w:val="00B763A3"/>
    <w:rsid w:val="00B767D2"/>
    <w:rsid w:val="00B769D5"/>
    <w:rsid w:val="00B76A06"/>
    <w:rsid w:val="00B76B60"/>
    <w:rsid w:val="00B76DC0"/>
    <w:rsid w:val="00B76EE8"/>
    <w:rsid w:val="00B77140"/>
    <w:rsid w:val="00B7745B"/>
    <w:rsid w:val="00B77B62"/>
    <w:rsid w:val="00B77BB1"/>
    <w:rsid w:val="00B77FDD"/>
    <w:rsid w:val="00B8002F"/>
    <w:rsid w:val="00B8008E"/>
    <w:rsid w:val="00B800C2"/>
    <w:rsid w:val="00B801D7"/>
    <w:rsid w:val="00B80B5A"/>
    <w:rsid w:val="00B80BC5"/>
    <w:rsid w:val="00B80BFE"/>
    <w:rsid w:val="00B80DB4"/>
    <w:rsid w:val="00B810C8"/>
    <w:rsid w:val="00B817CE"/>
    <w:rsid w:val="00B8184B"/>
    <w:rsid w:val="00B8187F"/>
    <w:rsid w:val="00B818AE"/>
    <w:rsid w:val="00B81AB1"/>
    <w:rsid w:val="00B81B11"/>
    <w:rsid w:val="00B81BA3"/>
    <w:rsid w:val="00B81BEC"/>
    <w:rsid w:val="00B8214E"/>
    <w:rsid w:val="00B82415"/>
    <w:rsid w:val="00B825DD"/>
    <w:rsid w:val="00B82628"/>
    <w:rsid w:val="00B82842"/>
    <w:rsid w:val="00B82976"/>
    <w:rsid w:val="00B82A35"/>
    <w:rsid w:val="00B82B52"/>
    <w:rsid w:val="00B8336E"/>
    <w:rsid w:val="00B833E7"/>
    <w:rsid w:val="00B83D47"/>
    <w:rsid w:val="00B83E7F"/>
    <w:rsid w:val="00B83ECE"/>
    <w:rsid w:val="00B83ED5"/>
    <w:rsid w:val="00B8416D"/>
    <w:rsid w:val="00B841D0"/>
    <w:rsid w:val="00B8436C"/>
    <w:rsid w:val="00B84475"/>
    <w:rsid w:val="00B845C7"/>
    <w:rsid w:val="00B849BF"/>
    <w:rsid w:val="00B849F2"/>
    <w:rsid w:val="00B84C6D"/>
    <w:rsid w:val="00B84E35"/>
    <w:rsid w:val="00B84F38"/>
    <w:rsid w:val="00B84F7A"/>
    <w:rsid w:val="00B85448"/>
    <w:rsid w:val="00B85948"/>
    <w:rsid w:val="00B85C11"/>
    <w:rsid w:val="00B85D67"/>
    <w:rsid w:val="00B86266"/>
    <w:rsid w:val="00B862BE"/>
    <w:rsid w:val="00B863B8"/>
    <w:rsid w:val="00B86417"/>
    <w:rsid w:val="00B8675A"/>
    <w:rsid w:val="00B86892"/>
    <w:rsid w:val="00B86B5B"/>
    <w:rsid w:val="00B86C0D"/>
    <w:rsid w:val="00B87121"/>
    <w:rsid w:val="00B873F4"/>
    <w:rsid w:val="00B875E7"/>
    <w:rsid w:val="00B87FAE"/>
    <w:rsid w:val="00B905C6"/>
    <w:rsid w:val="00B90ADE"/>
    <w:rsid w:val="00B90F79"/>
    <w:rsid w:val="00B91286"/>
    <w:rsid w:val="00B913C5"/>
    <w:rsid w:val="00B91484"/>
    <w:rsid w:val="00B91767"/>
    <w:rsid w:val="00B9181C"/>
    <w:rsid w:val="00B91CEF"/>
    <w:rsid w:val="00B92179"/>
    <w:rsid w:val="00B924BE"/>
    <w:rsid w:val="00B926C1"/>
    <w:rsid w:val="00B92799"/>
    <w:rsid w:val="00B92973"/>
    <w:rsid w:val="00B92DBA"/>
    <w:rsid w:val="00B92DF5"/>
    <w:rsid w:val="00B92E83"/>
    <w:rsid w:val="00B93157"/>
    <w:rsid w:val="00B931C6"/>
    <w:rsid w:val="00B93244"/>
    <w:rsid w:val="00B93403"/>
    <w:rsid w:val="00B93B87"/>
    <w:rsid w:val="00B94616"/>
    <w:rsid w:val="00B94799"/>
    <w:rsid w:val="00B94DC0"/>
    <w:rsid w:val="00B95075"/>
    <w:rsid w:val="00B95099"/>
    <w:rsid w:val="00B9536D"/>
    <w:rsid w:val="00B95641"/>
    <w:rsid w:val="00B95750"/>
    <w:rsid w:val="00B95861"/>
    <w:rsid w:val="00B95EDB"/>
    <w:rsid w:val="00B95F20"/>
    <w:rsid w:val="00B96138"/>
    <w:rsid w:val="00B96545"/>
    <w:rsid w:val="00B96612"/>
    <w:rsid w:val="00B968DB"/>
    <w:rsid w:val="00B96A1C"/>
    <w:rsid w:val="00B96E82"/>
    <w:rsid w:val="00B97410"/>
    <w:rsid w:val="00B97959"/>
    <w:rsid w:val="00B97A1C"/>
    <w:rsid w:val="00B97B72"/>
    <w:rsid w:val="00B97C07"/>
    <w:rsid w:val="00B97D7C"/>
    <w:rsid w:val="00BA0112"/>
    <w:rsid w:val="00BA02BD"/>
    <w:rsid w:val="00BA05DE"/>
    <w:rsid w:val="00BA05ED"/>
    <w:rsid w:val="00BA09F3"/>
    <w:rsid w:val="00BA0AA1"/>
    <w:rsid w:val="00BA0E48"/>
    <w:rsid w:val="00BA1041"/>
    <w:rsid w:val="00BA1705"/>
    <w:rsid w:val="00BA1717"/>
    <w:rsid w:val="00BA1883"/>
    <w:rsid w:val="00BA21B2"/>
    <w:rsid w:val="00BA226E"/>
    <w:rsid w:val="00BA2602"/>
    <w:rsid w:val="00BA267F"/>
    <w:rsid w:val="00BA27F3"/>
    <w:rsid w:val="00BA2AC9"/>
    <w:rsid w:val="00BA2C26"/>
    <w:rsid w:val="00BA2F09"/>
    <w:rsid w:val="00BA2F88"/>
    <w:rsid w:val="00BA30ED"/>
    <w:rsid w:val="00BA30FE"/>
    <w:rsid w:val="00BA371D"/>
    <w:rsid w:val="00BA39D6"/>
    <w:rsid w:val="00BA39E0"/>
    <w:rsid w:val="00BA3DB6"/>
    <w:rsid w:val="00BA4136"/>
    <w:rsid w:val="00BA452A"/>
    <w:rsid w:val="00BA455B"/>
    <w:rsid w:val="00BA4776"/>
    <w:rsid w:val="00BA4879"/>
    <w:rsid w:val="00BA4A49"/>
    <w:rsid w:val="00BA4A7A"/>
    <w:rsid w:val="00BA4AAD"/>
    <w:rsid w:val="00BA4DA1"/>
    <w:rsid w:val="00BA4DB8"/>
    <w:rsid w:val="00BA4F44"/>
    <w:rsid w:val="00BA5023"/>
    <w:rsid w:val="00BA504A"/>
    <w:rsid w:val="00BA513F"/>
    <w:rsid w:val="00BA5162"/>
    <w:rsid w:val="00BA568F"/>
    <w:rsid w:val="00BA598A"/>
    <w:rsid w:val="00BA5C4B"/>
    <w:rsid w:val="00BA5DA2"/>
    <w:rsid w:val="00BA5EFC"/>
    <w:rsid w:val="00BA5F59"/>
    <w:rsid w:val="00BA5F78"/>
    <w:rsid w:val="00BA5F90"/>
    <w:rsid w:val="00BA60EC"/>
    <w:rsid w:val="00BA6283"/>
    <w:rsid w:val="00BA655B"/>
    <w:rsid w:val="00BA6695"/>
    <w:rsid w:val="00BA66CE"/>
    <w:rsid w:val="00BA6724"/>
    <w:rsid w:val="00BA6CD1"/>
    <w:rsid w:val="00BA70CD"/>
    <w:rsid w:val="00BA7E00"/>
    <w:rsid w:val="00BA7F01"/>
    <w:rsid w:val="00BB0337"/>
    <w:rsid w:val="00BB0595"/>
    <w:rsid w:val="00BB06B1"/>
    <w:rsid w:val="00BB087C"/>
    <w:rsid w:val="00BB087D"/>
    <w:rsid w:val="00BB091F"/>
    <w:rsid w:val="00BB0FCF"/>
    <w:rsid w:val="00BB152D"/>
    <w:rsid w:val="00BB17F5"/>
    <w:rsid w:val="00BB18E5"/>
    <w:rsid w:val="00BB1BDE"/>
    <w:rsid w:val="00BB1C48"/>
    <w:rsid w:val="00BB2135"/>
    <w:rsid w:val="00BB23D9"/>
    <w:rsid w:val="00BB2444"/>
    <w:rsid w:val="00BB262C"/>
    <w:rsid w:val="00BB26C0"/>
    <w:rsid w:val="00BB279E"/>
    <w:rsid w:val="00BB2FBD"/>
    <w:rsid w:val="00BB3269"/>
    <w:rsid w:val="00BB3299"/>
    <w:rsid w:val="00BB33F6"/>
    <w:rsid w:val="00BB34CB"/>
    <w:rsid w:val="00BB3926"/>
    <w:rsid w:val="00BB3932"/>
    <w:rsid w:val="00BB3BAC"/>
    <w:rsid w:val="00BB3E2D"/>
    <w:rsid w:val="00BB41D6"/>
    <w:rsid w:val="00BB462E"/>
    <w:rsid w:val="00BB4960"/>
    <w:rsid w:val="00BB4A8F"/>
    <w:rsid w:val="00BB4B92"/>
    <w:rsid w:val="00BB4BA4"/>
    <w:rsid w:val="00BB4BD9"/>
    <w:rsid w:val="00BB4E4D"/>
    <w:rsid w:val="00BB50BD"/>
    <w:rsid w:val="00BB50C7"/>
    <w:rsid w:val="00BB5252"/>
    <w:rsid w:val="00BB54A8"/>
    <w:rsid w:val="00BB54B4"/>
    <w:rsid w:val="00BB5987"/>
    <w:rsid w:val="00BB5A10"/>
    <w:rsid w:val="00BB5B77"/>
    <w:rsid w:val="00BB5C55"/>
    <w:rsid w:val="00BB625F"/>
    <w:rsid w:val="00BB654C"/>
    <w:rsid w:val="00BB664E"/>
    <w:rsid w:val="00BB6782"/>
    <w:rsid w:val="00BB6BC9"/>
    <w:rsid w:val="00BB6CBE"/>
    <w:rsid w:val="00BB6CDF"/>
    <w:rsid w:val="00BB6EA6"/>
    <w:rsid w:val="00BB6EA8"/>
    <w:rsid w:val="00BB706C"/>
    <w:rsid w:val="00BB7219"/>
    <w:rsid w:val="00BB77DD"/>
    <w:rsid w:val="00BB79A0"/>
    <w:rsid w:val="00BB7A63"/>
    <w:rsid w:val="00BB7C4C"/>
    <w:rsid w:val="00BB7DFD"/>
    <w:rsid w:val="00BB7FB9"/>
    <w:rsid w:val="00BC00C7"/>
    <w:rsid w:val="00BC01A4"/>
    <w:rsid w:val="00BC0407"/>
    <w:rsid w:val="00BC0651"/>
    <w:rsid w:val="00BC07A3"/>
    <w:rsid w:val="00BC094C"/>
    <w:rsid w:val="00BC0A2B"/>
    <w:rsid w:val="00BC0AD5"/>
    <w:rsid w:val="00BC0E3D"/>
    <w:rsid w:val="00BC0F96"/>
    <w:rsid w:val="00BC111F"/>
    <w:rsid w:val="00BC1409"/>
    <w:rsid w:val="00BC17C2"/>
    <w:rsid w:val="00BC17E8"/>
    <w:rsid w:val="00BC1B7C"/>
    <w:rsid w:val="00BC2331"/>
    <w:rsid w:val="00BC28C9"/>
    <w:rsid w:val="00BC2B70"/>
    <w:rsid w:val="00BC2B81"/>
    <w:rsid w:val="00BC2C9F"/>
    <w:rsid w:val="00BC2D33"/>
    <w:rsid w:val="00BC316A"/>
    <w:rsid w:val="00BC34B1"/>
    <w:rsid w:val="00BC380F"/>
    <w:rsid w:val="00BC3A54"/>
    <w:rsid w:val="00BC3E4B"/>
    <w:rsid w:val="00BC3F08"/>
    <w:rsid w:val="00BC435C"/>
    <w:rsid w:val="00BC4555"/>
    <w:rsid w:val="00BC4622"/>
    <w:rsid w:val="00BC47C3"/>
    <w:rsid w:val="00BC4C05"/>
    <w:rsid w:val="00BC4CF8"/>
    <w:rsid w:val="00BC4FF8"/>
    <w:rsid w:val="00BC5136"/>
    <w:rsid w:val="00BC5545"/>
    <w:rsid w:val="00BC554B"/>
    <w:rsid w:val="00BC5703"/>
    <w:rsid w:val="00BC5A1F"/>
    <w:rsid w:val="00BC5E7D"/>
    <w:rsid w:val="00BC5E87"/>
    <w:rsid w:val="00BC5FE0"/>
    <w:rsid w:val="00BC605B"/>
    <w:rsid w:val="00BC633E"/>
    <w:rsid w:val="00BC64FE"/>
    <w:rsid w:val="00BC6730"/>
    <w:rsid w:val="00BC6756"/>
    <w:rsid w:val="00BC677C"/>
    <w:rsid w:val="00BC6A07"/>
    <w:rsid w:val="00BC6A18"/>
    <w:rsid w:val="00BC6A81"/>
    <w:rsid w:val="00BC6B86"/>
    <w:rsid w:val="00BC6C66"/>
    <w:rsid w:val="00BC6C9C"/>
    <w:rsid w:val="00BC6D03"/>
    <w:rsid w:val="00BC6FA7"/>
    <w:rsid w:val="00BC727B"/>
    <w:rsid w:val="00BC72F4"/>
    <w:rsid w:val="00BC74F8"/>
    <w:rsid w:val="00BC7540"/>
    <w:rsid w:val="00BC7893"/>
    <w:rsid w:val="00BC7B43"/>
    <w:rsid w:val="00BC7BD6"/>
    <w:rsid w:val="00BC7E70"/>
    <w:rsid w:val="00BC7ECF"/>
    <w:rsid w:val="00BD00FE"/>
    <w:rsid w:val="00BD0203"/>
    <w:rsid w:val="00BD04D4"/>
    <w:rsid w:val="00BD06EA"/>
    <w:rsid w:val="00BD0739"/>
    <w:rsid w:val="00BD086F"/>
    <w:rsid w:val="00BD0E7B"/>
    <w:rsid w:val="00BD0F47"/>
    <w:rsid w:val="00BD0F53"/>
    <w:rsid w:val="00BD100E"/>
    <w:rsid w:val="00BD1045"/>
    <w:rsid w:val="00BD1441"/>
    <w:rsid w:val="00BD15CA"/>
    <w:rsid w:val="00BD164C"/>
    <w:rsid w:val="00BD1809"/>
    <w:rsid w:val="00BD191E"/>
    <w:rsid w:val="00BD2406"/>
    <w:rsid w:val="00BD26FD"/>
    <w:rsid w:val="00BD2745"/>
    <w:rsid w:val="00BD2771"/>
    <w:rsid w:val="00BD2823"/>
    <w:rsid w:val="00BD2A5B"/>
    <w:rsid w:val="00BD2AFA"/>
    <w:rsid w:val="00BD2B13"/>
    <w:rsid w:val="00BD2D5E"/>
    <w:rsid w:val="00BD31EE"/>
    <w:rsid w:val="00BD3560"/>
    <w:rsid w:val="00BD3866"/>
    <w:rsid w:val="00BD3A11"/>
    <w:rsid w:val="00BD3B3B"/>
    <w:rsid w:val="00BD416F"/>
    <w:rsid w:val="00BD4182"/>
    <w:rsid w:val="00BD4452"/>
    <w:rsid w:val="00BD4962"/>
    <w:rsid w:val="00BD4A65"/>
    <w:rsid w:val="00BD4CAC"/>
    <w:rsid w:val="00BD515F"/>
    <w:rsid w:val="00BD52BA"/>
    <w:rsid w:val="00BD539C"/>
    <w:rsid w:val="00BD543C"/>
    <w:rsid w:val="00BD57E4"/>
    <w:rsid w:val="00BD5CE3"/>
    <w:rsid w:val="00BD63F3"/>
    <w:rsid w:val="00BD66A4"/>
    <w:rsid w:val="00BD684E"/>
    <w:rsid w:val="00BD6983"/>
    <w:rsid w:val="00BD6B93"/>
    <w:rsid w:val="00BD6C1F"/>
    <w:rsid w:val="00BD6DA4"/>
    <w:rsid w:val="00BD73F2"/>
    <w:rsid w:val="00BD75EC"/>
    <w:rsid w:val="00BD7667"/>
    <w:rsid w:val="00BD773D"/>
    <w:rsid w:val="00BD780A"/>
    <w:rsid w:val="00BD79B8"/>
    <w:rsid w:val="00BD7A3F"/>
    <w:rsid w:val="00BD7AF1"/>
    <w:rsid w:val="00BD7E55"/>
    <w:rsid w:val="00BD7EC7"/>
    <w:rsid w:val="00BD7EDB"/>
    <w:rsid w:val="00BE0392"/>
    <w:rsid w:val="00BE0577"/>
    <w:rsid w:val="00BE0702"/>
    <w:rsid w:val="00BE0776"/>
    <w:rsid w:val="00BE0A45"/>
    <w:rsid w:val="00BE0A98"/>
    <w:rsid w:val="00BE0D36"/>
    <w:rsid w:val="00BE111D"/>
    <w:rsid w:val="00BE1135"/>
    <w:rsid w:val="00BE131A"/>
    <w:rsid w:val="00BE14EC"/>
    <w:rsid w:val="00BE1831"/>
    <w:rsid w:val="00BE19AF"/>
    <w:rsid w:val="00BE1FCE"/>
    <w:rsid w:val="00BE2980"/>
    <w:rsid w:val="00BE2BE5"/>
    <w:rsid w:val="00BE3670"/>
    <w:rsid w:val="00BE3798"/>
    <w:rsid w:val="00BE38CA"/>
    <w:rsid w:val="00BE3991"/>
    <w:rsid w:val="00BE405D"/>
    <w:rsid w:val="00BE415B"/>
    <w:rsid w:val="00BE4175"/>
    <w:rsid w:val="00BE439C"/>
    <w:rsid w:val="00BE443F"/>
    <w:rsid w:val="00BE4AD9"/>
    <w:rsid w:val="00BE4BB7"/>
    <w:rsid w:val="00BE4E06"/>
    <w:rsid w:val="00BE4FEC"/>
    <w:rsid w:val="00BE51D1"/>
    <w:rsid w:val="00BE560D"/>
    <w:rsid w:val="00BE57ED"/>
    <w:rsid w:val="00BE5B1B"/>
    <w:rsid w:val="00BE5C31"/>
    <w:rsid w:val="00BE5F09"/>
    <w:rsid w:val="00BE672B"/>
    <w:rsid w:val="00BE6B99"/>
    <w:rsid w:val="00BE7030"/>
    <w:rsid w:val="00BE70E4"/>
    <w:rsid w:val="00BE71A6"/>
    <w:rsid w:val="00BE73B7"/>
    <w:rsid w:val="00BE7624"/>
    <w:rsid w:val="00BE7783"/>
    <w:rsid w:val="00BE78A5"/>
    <w:rsid w:val="00BE7935"/>
    <w:rsid w:val="00BE7A74"/>
    <w:rsid w:val="00BE7C80"/>
    <w:rsid w:val="00BF03FD"/>
    <w:rsid w:val="00BF08DE"/>
    <w:rsid w:val="00BF0B70"/>
    <w:rsid w:val="00BF174B"/>
    <w:rsid w:val="00BF18CF"/>
    <w:rsid w:val="00BF1C82"/>
    <w:rsid w:val="00BF1E0F"/>
    <w:rsid w:val="00BF1E93"/>
    <w:rsid w:val="00BF2263"/>
    <w:rsid w:val="00BF24CC"/>
    <w:rsid w:val="00BF26E7"/>
    <w:rsid w:val="00BF2C24"/>
    <w:rsid w:val="00BF30C4"/>
    <w:rsid w:val="00BF32F3"/>
    <w:rsid w:val="00BF33A6"/>
    <w:rsid w:val="00BF37E0"/>
    <w:rsid w:val="00BF38E7"/>
    <w:rsid w:val="00BF3AB5"/>
    <w:rsid w:val="00BF3B5B"/>
    <w:rsid w:val="00BF3CE0"/>
    <w:rsid w:val="00BF3E1A"/>
    <w:rsid w:val="00BF3EC8"/>
    <w:rsid w:val="00BF4281"/>
    <w:rsid w:val="00BF433A"/>
    <w:rsid w:val="00BF4429"/>
    <w:rsid w:val="00BF4431"/>
    <w:rsid w:val="00BF5139"/>
    <w:rsid w:val="00BF5245"/>
    <w:rsid w:val="00BF55A3"/>
    <w:rsid w:val="00BF5BD8"/>
    <w:rsid w:val="00BF5BEF"/>
    <w:rsid w:val="00BF5CBA"/>
    <w:rsid w:val="00BF5EF9"/>
    <w:rsid w:val="00BF6397"/>
    <w:rsid w:val="00BF658E"/>
    <w:rsid w:val="00BF67E7"/>
    <w:rsid w:val="00BF6960"/>
    <w:rsid w:val="00BF6B77"/>
    <w:rsid w:val="00BF6BF3"/>
    <w:rsid w:val="00BF6E63"/>
    <w:rsid w:val="00BF6E78"/>
    <w:rsid w:val="00BF6FE2"/>
    <w:rsid w:val="00BF7563"/>
    <w:rsid w:val="00BF75E9"/>
    <w:rsid w:val="00BF7813"/>
    <w:rsid w:val="00BF792E"/>
    <w:rsid w:val="00BF79AC"/>
    <w:rsid w:val="00BF7B18"/>
    <w:rsid w:val="00BF7E3E"/>
    <w:rsid w:val="00BF7ED9"/>
    <w:rsid w:val="00BF7EE1"/>
    <w:rsid w:val="00C00004"/>
    <w:rsid w:val="00C00025"/>
    <w:rsid w:val="00C00192"/>
    <w:rsid w:val="00C00A00"/>
    <w:rsid w:val="00C00AD7"/>
    <w:rsid w:val="00C00C88"/>
    <w:rsid w:val="00C0133D"/>
    <w:rsid w:val="00C017E5"/>
    <w:rsid w:val="00C0185D"/>
    <w:rsid w:val="00C01AE1"/>
    <w:rsid w:val="00C0202A"/>
    <w:rsid w:val="00C020E2"/>
    <w:rsid w:val="00C02DA8"/>
    <w:rsid w:val="00C02F6B"/>
    <w:rsid w:val="00C03043"/>
    <w:rsid w:val="00C031E4"/>
    <w:rsid w:val="00C035C2"/>
    <w:rsid w:val="00C0364C"/>
    <w:rsid w:val="00C037C9"/>
    <w:rsid w:val="00C03874"/>
    <w:rsid w:val="00C0399E"/>
    <w:rsid w:val="00C039A7"/>
    <w:rsid w:val="00C039B8"/>
    <w:rsid w:val="00C03B5F"/>
    <w:rsid w:val="00C047D0"/>
    <w:rsid w:val="00C04804"/>
    <w:rsid w:val="00C04948"/>
    <w:rsid w:val="00C04DFE"/>
    <w:rsid w:val="00C057A3"/>
    <w:rsid w:val="00C05880"/>
    <w:rsid w:val="00C05C6B"/>
    <w:rsid w:val="00C05D38"/>
    <w:rsid w:val="00C0613C"/>
    <w:rsid w:val="00C061C7"/>
    <w:rsid w:val="00C063AB"/>
    <w:rsid w:val="00C06468"/>
    <w:rsid w:val="00C068B0"/>
    <w:rsid w:val="00C06C9F"/>
    <w:rsid w:val="00C06DC8"/>
    <w:rsid w:val="00C07030"/>
    <w:rsid w:val="00C0709D"/>
    <w:rsid w:val="00C0713B"/>
    <w:rsid w:val="00C0760E"/>
    <w:rsid w:val="00C076B2"/>
    <w:rsid w:val="00C07AD3"/>
    <w:rsid w:val="00C07D3F"/>
    <w:rsid w:val="00C07E8F"/>
    <w:rsid w:val="00C100AC"/>
    <w:rsid w:val="00C103FF"/>
    <w:rsid w:val="00C10482"/>
    <w:rsid w:val="00C10747"/>
    <w:rsid w:val="00C10784"/>
    <w:rsid w:val="00C10831"/>
    <w:rsid w:val="00C10AF0"/>
    <w:rsid w:val="00C10FC8"/>
    <w:rsid w:val="00C11184"/>
    <w:rsid w:val="00C11236"/>
    <w:rsid w:val="00C11311"/>
    <w:rsid w:val="00C11535"/>
    <w:rsid w:val="00C11604"/>
    <w:rsid w:val="00C11995"/>
    <w:rsid w:val="00C11A89"/>
    <w:rsid w:val="00C11BF9"/>
    <w:rsid w:val="00C11CB8"/>
    <w:rsid w:val="00C11F42"/>
    <w:rsid w:val="00C1234A"/>
    <w:rsid w:val="00C123C3"/>
    <w:rsid w:val="00C128AE"/>
    <w:rsid w:val="00C12A60"/>
    <w:rsid w:val="00C12B8F"/>
    <w:rsid w:val="00C131B1"/>
    <w:rsid w:val="00C1338E"/>
    <w:rsid w:val="00C134F5"/>
    <w:rsid w:val="00C13757"/>
    <w:rsid w:val="00C13C51"/>
    <w:rsid w:val="00C13C6B"/>
    <w:rsid w:val="00C13D66"/>
    <w:rsid w:val="00C1414E"/>
    <w:rsid w:val="00C14327"/>
    <w:rsid w:val="00C144F9"/>
    <w:rsid w:val="00C14549"/>
    <w:rsid w:val="00C14815"/>
    <w:rsid w:val="00C1499A"/>
    <w:rsid w:val="00C14B52"/>
    <w:rsid w:val="00C14B84"/>
    <w:rsid w:val="00C14D96"/>
    <w:rsid w:val="00C15081"/>
    <w:rsid w:val="00C15AD5"/>
    <w:rsid w:val="00C15EE4"/>
    <w:rsid w:val="00C15F34"/>
    <w:rsid w:val="00C160D0"/>
    <w:rsid w:val="00C16100"/>
    <w:rsid w:val="00C1618B"/>
    <w:rsid w:val="00C1680E"/>
    <w:rsid w:val="00C16A25"/>
    <w:rsid w:val="00C16A96"/>
    <w:rsid w:val="00C16DB4"/>
    <w:rsid w:val="00C16ED2"/>
    <w:rsid w:val="00C16F64"/>
    <w:rsid w:val="00C170B9"/>
    <w:rsid w:val="00C1717B"/>
    <w:rsid w:val="00C1718F"/>
    <w:rsid w:val="00C17290"/>
    <w:rsid w:val="00C17654"/>
    <w:rsid w:val="00C176B4"/>
    <w:rsid w:val="00C17F55"/>
    <w:rsid w:val="00C20588"/>
    <w:rsid w:val="00C20653"/>
    <w:rsid w:val="00C206C9"/>
    <w:rsid w:val="00C20801"/>
    <w:rsid w:val="00C20808"/>
    <w:rsid w:val="00C20C57"/>
    <w:rsid w:val="00C20EAC"/>
    <w:rsid w:val="00C21056"/>
    <w:rsid w:val="00C210D6"/>
    <w:rsid w:val="00C2125A"/>
    <w:rsid w:val="00C21692"/>
    <w:rsid w:val="00C21866"/>
    <w:rsid w:val="00C2195B"/>
    <w:rsid w:val="00C21AFF"/>
    <w:rsid w:val="00C21E27"/>
    <w:rsid w:val="00C21FC3"/>
    <w:rsid w:val="00C21FCA"/>
    <w:rsid w:val="00C22119"/>
    <w:rsid w:val="00C22171"/>
    <w:rsid w:val="00C2262C"/>
    <w:rsid w:val="00C22783"/>
    <w:rsid w:val="00C22A2A"/>
    <w:rsid w:val="00C22AFD"/>
    <w:rsid w:val="00C22F6D"/>
    <w:rsid w:val="00C2320F"/>
    <w:rsid w:val="00C2369B"/>
    <w:rsid w:val="00C23DB0"/>
    <w:rsid w:val="00C23F5D"/>
    <w:rsid w:val="00C240F3"/>
    <w:rsid w:val="00C243BE"/>
    <w:rsid w:val="00C247B1"/>
    <w:rsid w:val="00C24972"/>
    <w:rsid w:val="00C2497F"/>
    <w:rsid w:val="00C24DFB"/>
    <w:rsid w:val="00C2523B"/>
    <w:rsid w:val="00C253A3"/>
    <w:rsid w:val="00C257EA"/>
    <w:rsid w:val="00C259DC"/>
    <w:rsid w:val="00C25B2D"/>
    <w:rsid w:val="00C25B63"/>
    <w:rsid w:val="00C25FE0"/>
    <w:rsid w:val="00C2680B"/>
    <w:rsid w:val="00C26D87"/>
    <w:rsid w:val="00C26ECB"/>
    <w:rsid w:val="00C26F01"/>
    <w:rsid w:val="00C272D1"/>
    <w:rsid w:val="00C27711"/>
    <w:rsid w:val="00C27746"/>
    <w:rsid w:val="00C27A7C"/>
    <w:rsid w:val="00C27C03"/>
    <w:rsid w:val="00C27C49"/>
    <w:rsid w:val="00C27DDE"/>
    <w:rsid w:val="00C3016C"/>
    <w:rsid w:val="00C30253"/>
    <w:rsid w:val="00C30556"/>
    <w:rsid w:val="00C30993"/>
    <w:rsid w:val="00C30B21"/>
    <w:rsid w:val="00C30EF0"/>
    <w:rsid w:val="00C30EF3"/>
    <w:rsid w:val="00C30FAF"/>
    <w:rsid w:val="00C31021"/>
    <w:rsid w:val="00C310F5"/>
    <w:rsid w:val="00C31193"/>
    <w:rsid w:val="00C3133F"/>
    <w:rsid w:val="00C314EA"/>
    <w:rsid w:val="00C316B4"/>
    <w:rsid w:val="00C31998"/>
    <w:rsid w:val="00C32084"/>
    <w:rsid w:val="00C321F9"/>
    <w:rsid w:val="00C32538"/>
    <w:rsid w:val="00C32C2F"/>
    <w:rsid w:val="00C32DEA"/>
    <w:rsid w:val="00C32EE7"/>
    <w:rsid w:val="00C33180"/>
    <w:rsid w:val="00C33193"/>
    <w:rsid w:val="00C33345"/>
    <w:rsid w:val="00C3389E"/>
    <w:rsid w:val="00C33A67"/>
    <w:rsid w:val="00C33AED"/>
    <w:rsid w:val="00C33BCD"/>
    <w:rsid w:val="00C33D5E"/>
    <w:rsid w:val="00C33F5D"/>
    <w:rsid w:val="00C3401C"/>
    <w:rsid w:val="00C344E4"/>
    <w:rsid w:val="00C3483C"/>
    <w:rsid w:val="00C34A36"/>
    <w:rsid w:val="00C34B39"/>
    <w:rsid w:val="00C34EE5"/>
    <w:rsid w:val="00C3503D"/>
    <w:rsid w:val="00C35665"/>
    <w:rsid w:val="00C357E9"/>
    <w:rsid w:val="00C35868"/>
    <w:rsid w:val="00C358AC"/>
    <w:rsid w:val="00C35A1A"/>
    <w:rsid w:val="00C35A88"/>
    <w:rsid w:val="00C35ADF"/>
    <w:rsid w:val="00C35B0F"/>
    <w:rsid w:val="00C35B35"/>
    <w:rsid w:val="00C35F6F"/>
    <w:rsid w:val="00C361D4"/>
    <w:rsid w:val="00C362E8"/>
    <w:rsid w:val="00C36756"/>
    <w:rsid w:val="00C36B34"/>
    <w:rsid w:val="00C36EF5"/>
    <w:rsid w:val="00C37093"/>
    <w:rsid w:val="00C37305"/>
    <w:rsid w:val="00C3748F"/>
    <w:rsid w:val="00C37D56"/>
    <w:rsid w:val="00C401A5"/>
    <w:rsid w:val="00C40622"/>
    <w:rsid w:val="00C4062A"/>
    <w:rsid w:val="00C406C7"/>
    <w:rsid w:val="00C4091B"/>
    <w:rsid w:val="00C40AE3"/>
    <w:rsid w:val="00C40B88"/>
    <w:rsid w:val="00C40D2A"/>
    <w:rsid w:val="00C40D4E"/>
    <w:rsid w:val="00C414E0"/>
    <w:rsid w:val="00C4187A"/>
    <w:rsid w:val="00C41A6D"/>
    <w:rsid w:val="00C41C22"/>
    <w:rsid w:val="00C41EC0"/>
    <w:rsid w:val="00C41F13"/>
    <w:rsid w:val="00C4203A"/>
    <w:rsid w:val="00C42068"/>
    <w:rsid w:val="00C42599"/>
    <w:rsid w:val="00C42682"/>
    <w:rsid w:val="00C427AA"/>
    <w:rsid w:val="00C42999"/>
    <w:rsid w:val="00C429DF"/>
    <w:rsid w:val="00C42C93"/>
    <w:rsid w:val="00C42CFC"/>
    <w:rsid w:val="00C42E86"/>
    <w:rsid w:val="00C42EAD"/>
    <w:rsid w:val="00C42F0A"/>
    <w:rsid w:val="00C43276"/>
    <w:rsid w:val="00C43A16"/>
    <w:rsid w:val="00C43B8C"/>
    <w:rsid w:val="00C44022"/>
    <w:rsid w:val="00C440AE"/>
    <w:rsid w:val="00C44189"/>
    <w:rsid w:val="00C4441D"/>
    <w:rsid w:val="00C4452B"/>
    <w:rsid w:val="00C445C0"/>
    <w:rsid w:val="00C44B01"/>
    <w:rsid w:val="00C44B79"/>
    <w:rsid w:val="00C44F01"/>
    <w:rsid w:val="00C45058"/>
    <w:rsid w:val="00C45249"/>
    <w:rsid w:val="00C4544E"/>
    <w:rsid w:val="00C458BF"/>
    <w:rsid w:val="00C458D2"/>
    <w:rsid w:val="00C4625A"/>
    <w:rsid w:val="00C46ABE"/>
    <w:rsid w:val="00C46AE0"/>
    <w:rsid w:val="00C471AC"/>
    <w:rsid w:val="00C472C2"/>
    <w:rsid w:val="00C473B1"/>
    <w:rsid w:val="00C473C9"/>
    <w:rsid w:val="00C474F3"/>
    <w:rsid w:val="00C47998"/>
    <w:rsid w:val="00C47DFB"/>
    <w:rsid w:val="00C50240"/>
    <w:rsid w:val="00C503E5"/>
    <w:rsid w:val="00C50436"/>
    <w:rsid w:val="00C506C0"/>
    <w:rsid w:val="00C50793"/>
    <w:rsid w:val="00C50850"/>
    <w:rsid w:val="00C50AA5"/>
    <w:rsid w:val="00C51048"/>
    <w:rsid w:val="00C5133C"/>
    <w:rsid w:val="00C51433"/>
    <w:rsid w:val="00C5145F"/>
    <w:rsid w:val="00C51610"/>
    <w:rsid w:val="00C51800"/>
    <w:rsid w:val="00C5182E"/>
    <w:rsid w:val="00C51B7C"/>
    <w:rsid w:val="00C51BA4"/>
    <w:rsid w:val="00C51CFE"/>
    <w:rsid w:val="00C52006"/>
    <w:rsid w:val="00C521CB"/>
    <w:rsid w:val="00C5237E"/>
    <w:rsid w:val="00C523C2"/>
    <w:rsid w:val="00C52613"/>
    <w:rsid w:val="00C528E7"/>
    <w:rsid w:val="00C5295A"/>
    <w:rsid w:val="00C52D8B"/>
    <w:rsid w:val="00C52D91"/>
    <w:rsid w:val="00C52E72"/>
    <w:rsid w:val="00C53020"/>
    <w:rsid w:val="00C5351D"/>
    <w:rsid w:val="00C537C6"/>
    <w:rsid w:val="00C539DF"/>
    <w:rsid w:val="00C53AF8"/>
    <w:rsid w:val="00C53C71"/>
    <w:rsid w:val="00C5414E"/>
    <w:rsid w:val="00C54403"/>
    <w:rsid w:val="00C544F0"/>
    <w:rsid w:val="00C54979"/>
    <w:rsid w:val="00C54AE0"/>
    <w:rsid w:val="00C54B31"/>
    <w:rsid w:val="00C54BC4"/>
    <w:rsid w:val="00C54E9C"/>
    <w:rsid w:val="00C54FAC"/>
    <w:rsid w:val="00C54FD3"/>
    <w:rsid w:val="00C55083"/>
    <w:rsid w:val="00C550CD"/>
    <w:rsid w:val="00C5516F"/>
    <w:rsid w:val="00C551C0"/>
    <w:rsid w:val="00C551FB"/>
    <w:rsid w:val="00C5522F"/>
    <w:rsid w:val="00C552A5"/>
    <w:rsid w:val="00C55578"/>
    <w:rsid w:val="00C559CA"/>
    <w:rsid w:val="00C55A9C"/>
    <w:rsid w:val="00C55BB3"/>
    <w:rsid w:val="00C55BE8"/>
    <w:rsid w:val="00C55D9B"/>
    <w:rsid w:val="00C56230"/>
    <w:rsid w:val="00C562A0"/>
    <w:rsid w:val="00C56B41"/>
    <w:rsid w:val="00C56D34"/>
    <w:rsid w:val="00C56DD0"/>
    <w:rsid w:val="00C56E16"/>
    <w:rsid w:val="00C570A4"/>
    <w:rsid w:val="00C57110"/>
    <w:rsid w:val="00C57160"/>
    <w:rsid w:val="00C57827"/>
    <w:rsid w:val="00C57BA1"/>
    <w:rsid w:val="00C57C5A"/>
    <w:rsid w:val="00C57CCA"/>
    <w:rsid w:val="00C57D5A"/>
    <w:rsid w:val="00C600BA"/>
    <w:rsid w:val="00C601E4"/>
    <w:rsid w:val="00C602DE"/>
    <w:rsid w:val="00C609AB"/>
    <w:rsid w:val="00C6141B"/>
    <w:rsid w:val="00C61745"/>
    <w:rsid w:val="00C61856"/>
    <w:rsid w:val="00C619E8"/>
    <w:rsid w:val="00C61A07"/>
    <w:rsid w:val="00C61F90"/>
    <w:rsid w:val="00C6228C"/>
    <w:rsid w:val="00C624C1"/>
    <w:rsid w:val="00C624D8"/>
    <w:rsid w:val="00C6258C"/>
    <w:rsid w:val="00C627D6"/>
    <w:rsid w:val="00C62BA3"/>
    <w:rsid w:val="00C62D7B"/>
    <w:rsid w:val="00C62E0F"/>
    <w:rsid w:val="00C62E69"/>
    <w:rsid w:val="00C630A9"/>
    <w:rsid w:val="00C6335C"/>
    <w:rsid w:val="00C633D3"/>
    <w:rsid w:val="00C63AF0"/>
    <w:rsid w:val="00C63B0B"/>
    <w:rsid w:val="00C63E5D"/>
    <w:rsid w:val="00C63E98"/>
    <w:rsid w:val="00C63F14"/>
    <w:rsid w:val="00C641AA"/>
    <w:rsid w:val="00C644FA"/>
    <w:rsid w:val="00C645D9"/>
    <w:rsid w:val="00C64758"/>
    <w:rsid w:val="00C64B03"/>
    <w:rsid w:val="00C65015"/>
    <w:rsid w:val="00C650AF"/>
    <w:rsid w:val="00C6581E"/>
    <w:rsid w:val="00C65933"/>
    <w:rsid w:val="00C6595A"/>
    <w:rsid w:val="00C65B1F"/>
    <w:rsid w:val="00C6619F"/>
    <w:rsid w:val="00C66251"/>
    <w:rsid w:val="00C666E4"/>
    <w:rsid w:val="00C667AE"/>
    <w:rsid w:val="00C668BB"/>
    <w:rsid w:val="00C66921"/>
    <w:rsid w:val="00C66B68"/>
    <w:rsid w:val="00C66BD3"/>
    <w:rsid w:val="00C67341"/>
    <w:rsid w:val="00C6746E"/>
    <w:rsid w:val="00C674A1"/>
    <w:rsid w:val="00C67504"/>
    <w:rsid w:val="00C678D0"/>
    <w:rsid w:val="00C67954"/>
    <w:rsid w:val="00C67A59"/>
    <w:rsid w:val="00C67B55"/>
    <w:rsid w:val="00C70199"/>
    <w:rsid w:val="00C70233"/>
    <w:rsid w:val="00C70295"/>
    <w:rsid w:val="00C702B2"/>
    <w:rsid w:val="00C702E1"/>
    <w:rsid w:val="00C70373"/>
    <w:rsid w:val="00C703A8"/>
    <w:rsid w:val="00C703CF"/>
    <w:rsid w:val="00C70A6F"/>
    <w:rsid w:val="00C70CFD"/>
    <w:rsid w:val="00C70E68"/>
    <w:rsid w:val="00C70F6B"/>
    <w:rsid w:val="00C711B2"/>
    <w:rsid w:val="00C715C8"/>
    <w:rsid w:val="00C71700"/>
    <w:rsid w:val="00C7187C"/>
    <w:rsid w:val="00C718F0"/>
    <w:rsid w:val="00C71DD1"/>
    <w:rsid w:val="00C71E59"/>
    <w:rsid w:val="00C7202A"/>
    <w:rsid w:val="00C721C8"/>
    <w:rsid w:val="00C72563"/>
    <w:rsid w:val="00C72AD4"/>
    <w:rsid w:val="00C72C17"/>
    <w:rsid w:val="00C72EDC"/>
    <w:rsid w:val="00C72FEF"/>
    <w:rsid w:val="00C73174"/>
    <w:rsid w:val="00C73357"/>
    <w:rsid w:val="00C733B8"/>
    <w:rsid w:val="00C7347E"/>
    <w:rsid w:val="00C73656"/>
    <w:rsid w:val="00C7385D"/>
    <w:rsid w:val="00C73C4F"/>
    <w:rsid w:val="00C73FDE"/>
    <w:rsid w:val="00C743F1"/>
    <w:rsid w:val="00C74524"/>
    <w:rsid w:val="00C749C1"/>
    <w:rsid w:val="00C74A93"/>
    <w:rsid w:val="00C74AB5"/>
    <w:rsid w:val="00C74ACA"/>
    <w:rsid w:val="00C75364"/>
    <w:rsid w:val="00C753C2"/>
    <w:rsid w:val="00C75680"/>
    <w:rsid w:val="00C7596A"/>
    <w:rsid w:val="00C75A85"/>
    <w:rsid w:val="00C75DE0"/>
    <w:rsid w:val="00C75FD9"/>
    <w:rsid w:val="00C760F6"/>
    <w:rsid w:val="00C76193"/>
    <w:rsid w:val="00C762A0"/>
    <w:rsid w:val="00C763DB"/>
    <w:rsid w:val="00C76654"/>
    <w:rsid w:val="00C769D5"/>
    <w:rsid w:val="00C76AAE"/>
    <w:rsid w:val="00C76AAF"/>
    <w:rsid w:val="00C76C1E"/>
    <w:rsid w:val="00C76E95"/>
    <w:rsid w:val="00C76F9D"/>
    <w:rsid w:val="00C76FB2"/>
    <w:rsid w:val="00C77539"/>
    <w:rsid w:val="00C777DD"/>
    <w:rsid w:val="00C7791A"/>
    <w:rsid w:val="00C77CA1"/>
    <w:rsid w:val="00C80044"/>
    <w:rsid w:val="00C800BC"/>
    <w:rsid w:val="00C80245"/>
    <w:rsid w:val="00C80309"/>
    <w:rsid w:val="00C804BB"/>
    <w:rsid w:val="00C80964"/>
    <w:rsid w:val="00C80973"/>
    <w:rsid w:val="00C80ABC"/>
    <w:rsid w:val="00C80BAF"/>
    <w:rsid w:val="00C80FA4"/>
    <w:rsid w:val="00C80FB4"/>
    <w:rsid w:val="00C80FB5"/>
    <w:rsid w:val="00C8108E"/>
    <w:rsid w:val="00C811F4"/>
    <w:rsid w:val="00C81342"/>
    <w:rsid w:val="00C8187B"/>
    <w:rsid w:val="00C81A00"/>
    <w:rsid w:val="00C81C2D"/>
    <w:rsid w:val="00C81CD5"/>
    <w:rsid w:val="00C81D31"/>
    <w:rsid w:val="00C81D38"/>
    <w:rsid w:val="00C81DA0"/>
    <w:rsid w:val="00C81EE9"/>
    <w:rsid w:val="00C81F7D"/>
    <w:rsid w:val="00C82122"/>
    <w:rsid w:val="00C82220"/>
    <w:rsid w:val="00C82377"/>
    <w:rsid w:val="00C8238F"/>
    <w:rsid w:val="00C82585"/>
    <w:rsid w:val="00C827AE"/>
    <w:rsid w:val="00C82C81"/>
    <w:rsid w:val="00C830C9"/>
    <w:rsid w:val="00C834FC"/>
    <w:rsid w:val="00C83724"/>
    <w:rsid w:val="00C83EAD"/>
    <w:rsid w:val="00C84336"/>
    <w:rsid w:val="00C845D7"/>
    <w:rsid w:val="00C8466A"/>
    <w:rsid w:val="00C84AAF"/>
    <w:rsid w:val="00C855FE"/>
    <w:rsid w:val="00C8576F"/>
    <w:rsid w:val="00C8591D"/>
    <w:rsid w:val="00C85AE2"/>
    <w:rsid w:val="00C85BA9"/>
    <w:rsid w:val="00C85E25"/>
    <w:rsid w:val="00C86281"/>
    <w:rsid w:val="00C86300"/>
    <w:rsid w:val="00C86368"/>
    <w:rsid w:val="00C8647B"/>
    <w:rsid w:val="00C86556"/>
    <w:rsid w:val="00C8695D"/>
    <w:rsid w:val="00C869E0"/>
    <w:rsid w:val="00C86A58"/>
    <w:rsid w:val="00C86A8C"/>
    <w:rsid w:val="00C86BFE"/>
    <w:rsid w:val="00C86CD0"/>
    <w:rsid w:val="00C86E2C"/>
    <w:rsid w:val="00C86E32"/>
    <w:rsid w:val="00C86F6C"/>
    <w:rsid w:val="00C87007"/>
    <w:rsid w:val="00C87064"/>
    <w:rsid w:val="00C874F1"/>
    <w:rsid w:val="00C87558"/>
    <w:rsid w:val="00C875B9"/>
    <w:rsid w:val="00C90997"/>
    <w:rsid w:val="00C90999"/>
    <w:rsid w:val="00C90CED"/>
    <w:rsid w:val="00C90D30"/>
    <w:rsid w:val="00C912D5"/>
    <w:rsid w:val="00C9136D"/>
    <w:rsid w:val="00C918AA"/>
    <w:rsid w:val="00C91C86"/>
    <w:rsid w:val="00C91D80"/>
    <w:rsid w:val="00C91E4A"/>
    <w:rsid w:val="00C9242B"/>
    <w:rsid w:val="00C92460"/>
    <w:rsid w:val="00C929A9"/>
    <w:rsid w:val="00C92BA5"/>
    <w:rsid w:val="00C930FB"/>
    <w:rsid w:val="00C93346"/>
    <w:rsid w:val="00C93589"/>
    <w:rsid w:val="00C93D52"/>
    <w:rsid w:val="00C93D9D"/>
    <w:rsid w:val="00C93FC0"/>
    <w:rsid w:val="00C94203"/>
    <w:rsid w:val="00C94983"/>
    <w:rsid w:val="00C950A0"/>
    <w:rsid w:val="00C95135"/>
    <w:rsid w:val="00C952E2"/>
    <w:rsid w:val="00C95403"/>
    <w:rsid w:val="00C9546D"/>
    <w:rsid w:val="00C9551C"/>
    <w:rsid w:val="00C955D7"/>
    <w:rsid w:val="00C958BC"/>
    <w:rsid w:val="00C95CFE"/>
    <w:rsid w:val="00C95ECD"/>
    <w:rsid w:val="00C95F29"/>
    <w:rsid w:val="00C96308"/>
    <w:rsid w:val="00C964D6"/>
    <w:rsid w:val="00C96642"/>
    <w:rsid w:val="00C9679F"/>
    <w:rsid w:val="00C96859"/>
    <w:rsid w:val="00C9725E"/>
    <w:rsid w:val="00C972F9"/>
    <w:rsid w:val="00C9734D"/>
    <w:rsid w:val="00C974B6"/>
    <w:rsid w:val="00C976C7"/>
    <w:rsid w:val="00C97795"/>
    <w:rsid w:val="00C9798D"/>
    <w:rsid w:val="00C97C8D"/>
    <w:rsid w:val="00CA0170"/>
    <w:rsid w:val="00CA01E1"/>
    <w:rsid w:val="00CA043B"/>
    <w:rsid w:val="00CA078A"/>
    <w:rsid w:val="00CA0DB4"/>
    <w:rsid w:val="00CA0DCE"/>
    <w:rsid w:val="00CA0E8F"/>
    <w:rsid w:val="00CA0F19"/>
    <w:rsid w:val="00CA10C0"/>
    <w:rsid w:val="00CA1273"/>
    <w:rsid w:val="00CA151D"/>
    <w:rsid w:val="00CA17FE"/>
    <w:rsid w:val="00CA18C8"/>
    <w:rsid w:val="00CA19C6"/>
    <w:rsid w:val="00CA1A2A"/>
    <w:rsid w:val="00CA1F51"/>
    <w:rsid w:val="00CA2169"/>
    <w:rsid w:val="00CA2343"/>
    <w:rsid w:val="00CA23A4"/>
    <w:rsid w:val="00CA23BE"/>
    <w:rsid w:val="00CA278B"/>
    <w:rsid w:val="00CA2A29"/>
    <w:rsid w:val="00CA2F36"/>
    <w:rsid w:val="00CA2FB6"/>
    <w:rsid w:val="00CA2FF9"/>
    <w:rsid w:val="00CA304A"/>
    <w:rsid w:val="00CA3841"/>
    <w:rsid w:val="00CA391B"/>
    <w:rsid w:val="00CA3A52"/>
    <w:rsid w:val="00CA3D2C"/>
    <w:rsid w:val="00CA3D9D"/>
    <w:rsid w:val="00CA4483"/>
    <w:rsid w:val="00CA4C55"/>
    <w:rsid w:val="00CA516C"/>
    <w:rsid w:val="00CA53BB"/>
    <w:rsid w:val="00CA56A8"/>
    <w:rsid w:val="00CA570B"/>
    <w:rsid w:val="00CA5908"/>
    <w:rsid w:val="00CA5A68"/>
    <w:rsid w:val="00CA5D08"/>
    <w:rsid w:val="00CA5F5E"/>
    <w:rsid w:val="00CA602A"/>
    <w:rsid w:val="00CA642F"/>
    <w:rsid w:val="00CA656F"/>
    <w:rsid w:val="00CA65AC"/>
    <w:rsid w:val="00CA684A"/>
    <w:rsid w:val="00CA68ED"/>
    <w:rsid w:val="00CA6A2A"/>
    <w:rsid w:val="00CA6ACC"/>
    <w:rsid w:val="00CA6D43"/>
    <w:rsid w:val="00CA6DC1"/>
    <w:rsid w:val="00CA6EDC"/>
    <w:rsid w:val="00CA71FD"/>
    <w:rsid w:val="00CA77BF"/>
    <w:rsid w:val="00CA79FF"/>
    <w:rsid w:val="00CA7B56"/>
    <w:rsid w:val="00CA7D3B"/>
    <w:rsid w:val="00CA7D88"/>
    <w:rsid w:val="00CB0198"/>
    <w:rsid w:val="00CB0300"/>
    <w:rsid w:val="00CB06EA"/>
    <w:rsid w:val="00CB0742"/>
    <w:rsid w:val="00CB091F"/>
    <w:rsid w:val="00CB0A11"/>
    <w:rsid w:val="00CB0C50"/>
    <w:rsid w:val="00CB0D24"/>
    <w:rsid w:val="00CB0D4B"/>
    <w:rsid w:val="00CB0E4A"/>
    <w:rsid w:val="00CB1008"/>
    <w:rsid w:val="00CB1533"/>
    <w:rsid w:val="00CB1A40"/>
    <w:rsid w:val="00CB1C03"/>
    <w:rsid w:val="00CB200B"/>
    <w:rsid w:val="00CB222B"/>
    <w:rsid w:val="00CB2318"/>
    <w:rsid w:val="00CB23E3"/>
    <w:rsid w:val="00CB255E"/>
    <w:rsid w:val="00CB29CC"/>
    <w:rsid w:val="00CB2BE2"/>
    <w:rsid w:val="00CB2CD0"/>
    <w:rsid w:val="00CB2FCC"/>
    <w:rsid w:val="00CB3308"/>
    <w:rsid w:val="00CB3566"/>
    <w:rsid w:val="00CB3690"/>
    <w:rsid w:val="00CB37E3"/>
    <w:rsid w:val="00CB38B2"/>
    <w:rsid w:val="00CB38C4"/>
    <w:rsid w:val="00CB38D1"/>
    <w:rsid w:val="00CB3B52"/>
    <w:rsid w:val="00CB3D2F"/>
    <w:rsid w:val="00CB3D9C"/>
    <w:rsid w:val="00CB3DE5"/>
    <w:rsid w:val="00CB3EA4"/>
    <w:rsid w:val="00CB4006"/>
    <w:rsid w:val="00CB41F6"/>
    <w:rsid w:val="00CB421F"/>
    <w:rsid w:val="00CB42AC"/>
    <w:rsid w:val="00CB42DD"/>
    <w:rsid w:val="00CB474B"/>
    <w:rsid w:val="00CB4929"/>
    <w:rsid w:val="00CB493B"/>
    <w:rsid w:val="00CB4CA7"/>
    <w:rsid w:val="00CB4E45"/>
    <w:rsid w:val="00CB4E57"/>
    <w:rsid w:val="00CB5288"/>
    <w:rsid w:val="00CB528E"/>
    <w:rsid w:val="00CB5362"/>
    <w:rsid w:val="00CB536C"/>
    <w:rsid w:val="00CB5452"/>
    <w:rsid w:val="00CB54EE"/>
    <w:rsid w:val="00CB5622"/>
    <w:rsid w:val="00CB562D"/>
    <w:rsid w:val="00CB5AFF"/>
    <w:rsid w:val="00CB5DBE"/>
    <w:rsid w:val="00CB5EA7"/>
    <w:rsid w:val="00CB5EC3"/>
    <w:rsid w:val="00CB5FB8"/>
    <w:rsid w:val="00CB609F"/>
    <w:rsid w:val="00CB617E"/>
    <w:rsid w:val="00CB625D"/>
    <w:rsid w:val="00CB62C7"/>
    <w:rsid w:val="00CB65D5"/>
    <w:rsid w:val="00CB66C1"/>
    <w:rsid w:val="00CB6C1B"/>
    <w:rsid w:val="00CB6CA8"/>
    <w:rsid w:val="00CB6CC3"/>
    <w:rsid w:val="00CB7195"/>
    <w:rsid w:val="00CB74F7"/>
    <w:rsid w:val="00CB758F"/>
    <w:rsid w:val="00CB7840"/>
    <w:rsid w:val="00CB789E"/>
    <w:rsid w:val="00CB7A7C"/>
    <w:rsid w:val="00CB7FB2"/>
    <w:rsid w:val="00CC008E"/>
    <w:rsid w:val="00CC01F7"/>
    <w:rsid w:val="00CC0403"/>
    <w:rsid w:val="00CC047D"/>
    <w:rsid w:val="00CC0B60"/>
    <w:rsid w:val="00CC0E95"/>
    <w:rsid w:val="00CC104D"/>
    <w:rsid w:val="00CC1086"/>
    <w:rsid w:val="00CC12BE"/>
    <w:rsid w:val="00CC1864"/>
    <w:rsid w:val="00CC1C21"/>
    <w:rsid w:val="00CC1C60"/>
    <w:rsid w:val="00CC2069"/>
    <w:rsid w:val="00CC241A"/>
    <w:rsid w:val="00CC2623"/>
    <w:rsid w:val="00CC287C"/>
    <w:rsid w:val="00CC2B2E"/>
    <w:rsid w:val="00CC2C15"/>
    <w:rsid w:val="00CC3379"/>
    <w:rsid w:val="00CC3405"/>
    <w:rsid w:val="00CC3783"/>
    <w:rsid w:val="00CC37AE"/>
    <w:rsid w:val="00CC37D3"/>
    <w:rsid w:val="00CC3B9B"/>
    <w:rsid w:val="00CC3D12"/>
    <w:rsid w:val="00CC41C0"/>
    <w:rsid w:val="00CC46B6"/>
    <w:rsid w:val="00CC4B3E"/>
    <w:rsid w:val="00CC4F7C"/>
    <w:rsid w:val="00CC502B"/>
    <w:rsid w:val="00CC50D0"/>
    <w:rsid w:val="00CC5603"/>
    <w:rsid w:val="00CC5BAB"/>
    <w:rsid w:val="00CC5D1B"/>
    <w:rsid w:val="00CC6117"/>
    <w:rsid w:val="00CC61CE"/>
    <w:rsid w:val="00CC6491"/>
    <w:rsid w:val="00CC66B5"/>
    <w:rsid w:val="00CC6741"/>
    <w:rsid w:val="00CC6CDA"/>
    <w:rsid w:val="00CC6DA2"/>
    <w:rsid w:val="00CC7049"/>
    <w:rsid w:val="00CC710B"/>
    <w:rsid w:val="00CC7196"/>
    <w:rsid w:val="00CC7278"/>
    <w:rsid w:val="00CC7B7C"/>
    <w:rsid w:val="00CC7E4C"/>
    <w:rsid w:val="00CD05AC"/>
    <w:rsid w:val="00CD0C88"/>
    <w:rsid w:val="00CD0F1D"/>
    <w:rsid w:val="00CD1324"/>
    <w:rsid w:val="00CD1562"/>
    <w:rsid w:val="00CD15E7"/>
    <w:rsid w:val="00CD17F2"/>
    <w:rsid w:val="00CD1E26"/>
    <w:rsid w:val="00CD26EF"/>
    <w:rsid w:val="00CD2803"/>
    <w:rsid w:val="00CD294C"/>
    <w:rsid w:val="00CD2A57"/>
    <w:rsid w:val="00CD2E00"/>
    <w:rsid w:val="00CD2E04"/>
    <w:rsid w:val="00CD3122"/>
    <w:rsid w:val="00CD31CE"/>
    <w:rsid w:val="00CD33E1"/>
    <w:rsid w:val="00CD3706"/>
    <w:rsid w:val="00CD3920"/>
    <w:rsid w:val="00CD3A2D"/>
    <w:rsid w:val="00CD3A7F"/>
    <w:rsid w:val="00CD3AD9"/>
    <w:rsid w:val="00CD3FBB"/>
    <w:rsid w:val="00CD404E"/>
    <w:rsid w:val="00CD407F"/>
    <w:rsid w:val="00CD4778"/>
    <w:rsid w:val="00CD47C8"/>
    <w:rsid w:val="00CD4818"/>
    <w:rsid w:val="00CD483E"/>
    <w:rsid w:val="00CD4D81"/>
    <w:rsid w:val="00CD4D86"/>
    <w:rsid w:val="00CD4F1D"/>
    <w:rsid w:val="00CD5140"/>
    <w:rsid w:val="00CD51A8"/>
    <w:rsid w:val="00CD54DC"/>
    <w:rsid w:val="00CD55F0"/>
    <w:rsid w:val="00CD578C"/>
    <w:rsid w:val="00CD583E"/>
    <w:rsid w:val="00CD5979"/>
    <w:rsid w:val="00CD5CE4"/>
    <w:rsid w:val="00CD5E83"/>
    <w:rsid w:val="00CD6055"/>
    <w:rsid w:val="00CD63EF"/>
    <w:rsid w:val="00CD6A6C"/>
    <w:rsid w:val="00CD6ACE"/>
    <w:rsid w:val="00CD6B6A"/>
    <w:rsid w:val="00CD6DC4"/>
    <w:rsid w:val="00CD6FBB"/>
    <w:rsid w:val="00CD71EE"/>
    <w:rsid w:val="00CD75B4"/>
    <w:rsid w:val="00CD7943"/>
    <w:rsid w:val="00CD7B38"/>
    <w:rsid w:val="00CE0148"/>
    <w:rsid w:val="00CE030E"/>
    <w:rsid w:val="00CE04EB"/>
    <w:rsid w:val="00CE061A"/>
    <w:rsid w:val="00CE0707"/>
    <w:rsid w:val="00CE0711"/>
    <w:rsid w:val="00CE07A6"/>
    <w:rsid w:val="00CE0A73"/>
    <w:rsid w:val="00CE0C11"/>
    <w:rsid w:val="00CE108F"/>
    <w:rsid w:val="00CE1133"/>
    <w:rsid w:val="00CE1332"/>
    <w:rsid w:val="00CE163A"/>
    <w:rsid w:val="00CE167D"/>
    <w:rsid w:val="00CE1ABC"/>
    <w:rsid w:val="00CE1B21"/>
    <w:rsid w:val="00CE1C90"/>
    <w:rsid w:val="00CE1F0E"/>
    <w:rsid w:val="00CE2056"/>
    <w:rsid w:val="00CE2126"/>
    <w:rsid w:val="00CE22C2"/>
    <w:rsid w:val="00CE25AE"/>
    <w:rsid w:val="00CE2799"/>
    <w:rsid w:val="00CE27FC"/>
    <w:rsid w:val="00CE291C"/>
    <w:rsid w:val="00CE2925"/>
    <w:rsid w:val="00CE29A7"/>
    <w:rsid w:val="00CE2A30"/>
    <w:rsid w:val="00CE2B57"/>
    <w:rsid w:val="00CE2CCE"/>
    <w:rsid w:val="00CE2F57"/>
    <w:rsid w:val="00CE31BE"/>
    <w:rsid w:val="00CE320F"/>
    <w:rsid w:val="00CE3809"/>
    <w:rsid w:val="00CE38BD"/>
    <w:rsid w:val="00CE3A97"/>
    <w:rsid w:val="00CE3AD7"/>
    <w:rsid w:val="00CE3D8A"/>
    <w:rsid w:val="00CE3F1B"/>
    <w:rsid w:val="00CE4324"/>
    <w:rsid w:val="00CE4345"/>
    <w:rsid w:val="00CE46CE"/>
    <w:rsid w:val="00CE4914"/>
    <w:rsid w:val="00CE4B9D"/>
    <w:rsid w:val="00CE4F0E"/>
    <w:rsid w:val="00CE512B"/>
    <w:rsid w:val="00CE5484"/>
    <w:rsid w:val="00CE55C7"/>
    <w:rsid w:val="00CE5711"/>
    <w:rsid w:val="00CE5A81"/>
    <w:rsid w:val="00CE5FA1"/>
    <w:rsid w:val="00CE61B0"/>
    <w:rsid w:val="00CE625D"/>
    <w:rsid w:val="00CE642C"/>
    <w:rsid w:val="00CE66C8"/>
    <w:rsid w:val="00CE6835"/>
    <w:rsid w:val="00CE6B96"/>
    <w:rsid w:val="00CE6D6C"/>
    <w:rsid w:val="00CE705F"/>
    <w:rsid w:val="00CE70F5"/>
    <w:rsid w:val="00CE7263"/>
    <w:rsid w:val="00CE77C3"/>
    <w:rsid w:val="00CE77F1"/>
    <w:rsid w:val="00CE7B4B"/>
    <w:rsid w:val="00CE7D72"/>
    <w:rsid w:val="00CE7F42"/>
    <w:rsid w:val="00CF01F4"/>
    <w:rsid w:val="00CF02F5"/>
    <w:rsid w:val="00CF0326"/>
    <w:rsid w:val="00CF033A"/>
    <w:rsid w:val="00CF046F"/>
    <w:rsid w:val="00CF066C"/>
    <w:rsid w:val="00CF066E"/>
    <w:rsid w:val="00CF08B7"/>
    <w:rsid w:val="00CF11C1"/>
    <w:rsid w:val="00CF122C"/>
    <w:rsid w:val="00CF178C"/>
    <w:rsid w:val="00CF19F3"/>
    <w:rsid w:val="00CF1E3F"/>
    <w:rsid w:val="00CF20F5"/>
    <w:rsid w:val="00CF2468"/>
    <w:rsid w:val="00CF27D9"/>
    <w:rsid w:val="00CF2C18"/>
    <w:rsid w:val="00CF2D92"/>
    <w:rsid w:val="00CF2F63"/>
    <w:rsid w:val="00CF3034"/>
    <w:rsid w:val="00CF305C"/>
    <w:rsid w:val="00CF319A"/>
    <w:rsid w:val="00CF325E"/>
    <w:rsid w:val="00CF3610"/>
    <w:rsid w:val="00CF375D"/>
    <w:rsid w:val="00CF394E"/>
    <w:rsid w:val="00CF3C14"/>
    <w:rsid w:val="00CF3F3B"/>
    <w:rsid w:val="00CF4372"/>
    <w:rsid w:val="00CF4419"/>
    <w:rsid w:val="00CF46AB"/>
    <w:rsid w:val="00CF477F"/>
    <w:rsid w:val="00CF482A"/>
    <w:rsid w:val="00CF4987"/>
    <w:rsid w:val="00CF4993"/>
    <w:rsid w:val="00CF4C34"/>
    <w:rsid w:val="00CF51EF"/>
    <w:rsid w:val="00CF532D"/>
    <w:rsid w:val="00CF547E"/>
    <w:rsid w:val="00CF5A2A"/>
    <w:rsid w:val="00CF5B30"/>
    <w:rsid w:val="00CF5B5A"/>
    <w:rsid w:val="00CF5C01"/>
    <w:rsid w:val="00CF5DA1"/>
    <w:rsid w:val="00CF5F76"/>
    <w:rsid w:val="00CF5FA2"/>
    <w:rsid w:val="00CF625A"/>
    <w:rsid w:val="00CF64B3"/>
    <w:rsid w:val="00CF6709"/>
    <w:rsid w:val="00CF674C"/>
    <w:rsid w:val="00CF68EC"/>
    <w:rsid w:val="00CF69E5"/>
    <w:rsid w:val="00CF6A9E"/>
    <w:rsid w:val="00CF6D20"/>
    <w:rsid w:val="00CF6EC2"/>
    <w:rsid w:val="00CF6F82"/>
    <w:rsid w:val="00CF7094"/>
    <w:rsid w:val="00CF73B2"/>
    <w:rsid w:val="00CF73BA"/>
    <w:rsid w:val="00CF74E8"/>
    <w:rsid w:val="00CF7BA0"/>
    <w:rsid w:val="00CF7FA5"/>
    <w:rsid w:val="00D00637"/>
    <w:rsid w:val="00D007E8"/>
    <w:rsid w:val="00D0080E"/>
    <w:rsid w:val="00D00A25"/>
    <w:rsid w:val="00D00CAE"/>
    <w:rsid w:val="00D00DB6"/>
    <w:rsid w:val="00D01424"/>
    <w:rsid w:val="00D014B6"/>
    <w:rsid w:val="00D01539"/>
    <w:rsid w:val="00D01707"/>
    <w:rsid w:val="00D0171C"/>
    <w:rsid w:val="00D017A5"/>
    <w:rsid w:val="00D01F78"/>
    <w:rsid w:val="00D02449"/>
    <w:rsid w:val="00D0258C"/>
    <w:rsid w:val="00D02617"/>
    <w:rsid w:val="00D029C3"/>
    <w:rsid w:val="00D02A14"/>
    <w:rsid w:val="00D02C17"/>
    <w:rsid w:val="00D02C6D"/>
    <w:rsid w:val="00D02D96"/>
    <w:rsid w:val="00D033CD"/>
    <w:rsid w:val="00D036F7"/>
    <w:rsid w:val="00D037C7"/>
    <w:rsid w:val="00D03A23"/>
    <w:rsid w:val="00D03AB8"/>
    <w:rsid w:val="00D03B05"/>
    <w:rsid w:val="00D03B49"/>
    <w:rsid w:val="00D03BEC"/>
    <w:rsid w:val="00D03CFD"/>
    <w:rsid w:val="00D03FD4"/>
    <w:rsid w:val="00D0452A"/>
    <w:rsid w:val="00D046F5"/>
    <w:rsid w:val="00D049CD"/>
    <w:rsid w:val="00D04C6C"/>
    <w:rsid w:val="00D04D30"/>
    <w:rsid w:val="00D04E38"/>
    <w:rsid w:val="00D05145"/>
    <w:rsid w:val="00D05191"/>
    <w:rsid w:val="00D051CE"/>
    <w:rsid w:val="00D05287"/>
    <w:rsid w:val="00D056BC"/>
    <w:rsid w:val="00D05951"/>
    <w:rsid w:val="00D06466"/>
    <w:rsid w:val="00D068A4"/>
    <w:rsid w:val="00D06961"/>
    <w:rsid w:val="00D06BCE"/>
    <w:rsid w:val="00D06CF3"/>
    <w:rsid w:val="00D07316"/>
    <w:rsid w:val="00D0759E"/>
    <w:rsid w:val="00D07911"/>
    <w:rsid w:val="00D07A14"/>
    <w:rsid w:val="00D10559"/>
    <w:rsid w:val="00D10BF4"/>
    <w:rsid w:val="00D10E14"/>
    <w:rsid w:val="00D111DC"/>
    <w:rsid w:val="00D11432"/>
    <w:rsid w:val="00D1152E"/>
    <w:rsid w:val="00D11A32"/>
    <w:rsid w:val="00D11A80"/>
    <w:rsid w:val="00D11B50"/>
    <w:rsid w:val="00D12193"/>
    <w:rsid w:val="00D12329"/>
    <w:rsid w:val="00D123F8"/>
    <w:rsid w:val="00D124F8"/>
    <w:rsid w:val="00D12B2D"/>
    <w:rsid w:val="00D12C32"/>
    <w:rsid w:val="00D13846"/>
    <w:rsid w:val="00D13A84"/>
    <w:rsid w:val="00D13E7F"/>
    <w:rsid w:val="00D13F41"/>
    <w:rsid w:val="00D13FA9"/>
    <w:rsid w:val="00D14092"/>
    <w:rsid w:val="00D141FC"/>
    <w:rsid w:val="00D143F4"/>
    <w:rsid w:val="00D149E0"/>
    <w:rsid w:val="00D14BC0"/>
    <w:rsid w:val="00D14CA5"/>
    <w:rsid w:val="00D14E36"/>
    <w:rsid w:val="00D15620"/>
    <w:rsid w:val="00D1574A"/>
    <w:rsid w:val="00D15A15"/>
    <w:rsid w:val="00D16343"/>
    <w:rsid w:val="00D16379"/>
    <w:rsid w:val="00D16567"/>
    <w:rsid w:val="00D165F0"/>
    <w:rsid w:val="00D16B9F"/>
    <w:rsid w:val="00D16D0B"/>
    <w:rsid w:val="00D16D7D"/>
    <w:rsid w:val="00D17078"/>
    <w:rsid w:val="00D17307"/>
    <w:rsid w:val="00D178AC"/>
    <w:rsid w:val="00D17AB5"/>
    <w:rsid w:val="00D17B2B"/>
    <w:rsid w:val="00D17BC3"/>
    <w:rsid w:val="00D17BCA"/>
    <w:rsid w:val="00D17E39"/>
    <w:rsid w:val="00D17E62"/>
    <w:rsid w:val="00D17F40"/>
    <w:rsid w:val="00D204C4"/>
    <w:rsid w:val="00D20564"/>
    <w:rsid w:val="00D205A8"/>
    <w:rsid w:val="00D20D77"/>
    <w:rsid w:val="00D21049"/>
    <w:rsid w:val="00D21482"/>
    <w:rsid w:val="00D21A2F"/>
    <w:rsid w:val="00D21E1D"/>
    <w:rsid w:val="00D21FA1"/>
    <w:rsid w:val="00D22703"/>
    <w:rsid w:val="00D22B2C"/>
    <w:rsid w:val="00D22BBA"/>
    <w:rsid w:val="00D22BEC"/>
    <w:rsid w:val="00D22C90"/>
    <w:rsid w:val="00D22CC2"/>
    <w:rsid w:val="00D23048"/>
    <w:rsid w:val="00D230FF"/>
    <w:rsid w:val="00D23301"/>
    <w:rsid w:val="00D2388F"/>
    <w:rsid w:val="00D23DD5"/>
    <w:rsid w:val="00D244C8"/>
    <w:rsid w:val="00D24556"/>
    <w:rsid w:val="00D245AD"/>
    <w:rsid w:val="00D24CB9"/>
    <w:rsid w:val="00D24DE7"/>
    <w:rsid w:val="00D24E09"/>
    <w:rsid w:val="00D24EC7"/>
    <w:rsid w:val="00D251DC"/>
    <w:rsid w:val="00D25422"/>
    <w:rsid w:val="00D2550A"/>
    <w:rsid w:val="00D25A2B"/>
    <w:rsid w:val="00D25AD4"/>
    <w:rsid w:val="00D25B92"/>
    <w:rsid w:val="00D25D40"/>
    <w:rsid w:val="00D260E2"/>
    <w:rsid w:val="00D261D6"/>
    <w:rsid w:val="00D2628A"/>
    <w:rsid w:val="00D26412"/>
    <w:rsid w:val="00D26540"/>
    <w:rsid w:val="00D26C4C"/>
    <w:rsid w:val="00D2702D"/>
    <w:rsid w:val="00D27410"/>
    <w:rsid w:val="00D27564"/>
    <w:rsid w:val="00D276CC"/>
    <w:rsid w:val="00D2789D"/>
    <w:rsid w:val="00D27942"/>
    <w:rsid w:val="00D27999"/>
    <w:rsid w:val="00D27A39"/>
    <w:rsid w:val="00D27ABD"/>
    <w:rsid w:val="00D27DB7"/>
    <w:rsid w:val="00D30006"/>
    <w:rsid w:val="00D3029C"/>
    <w:rsid w:val="00D3056B"/>
    <w:rsid w:val="00D30633"/>
    <w:rsid w:val="00D30634"/>
    <w:rsid w:val="00D306DC"/>
    <w:rsid w:val="00D30A2D"/>
    <w:rsid w:val="00D30BBB"/>
    <w:rsid w:val="00D30CB8"/>
    <w:rsid w:val="00D313AB"/>
    <w:rsid w:val="00D31510"/>
    <w:rsid w:val="00D317A3"/>
    <w:rsid w:val="00D317FE"/>
    <w:rsid w:val="00D318C9"/>
    <w:rsid w:val="00D31A32"/>
    <w:rsid w:val="00D31DA0"/>
    <w:rsid w:val="00D3222E"/>
    <w:rsid w:val="00D322F8"/>
    <w:rsid w:val="00D323FA"/>
    <w:rsid w:val="00D32466"/>
    <w:rsid w:val="00D32514"/>
    <w:rsid w:val="00D3256C"/>
    <w:rsid w:val="00D32672"/>
    <w:rsid w:val="00D32A18"/>
    <w:rsid w:val="00D3309B"/>
    <w:rsid w:val="00D33143"/>
    <w:rsid w:val="00D3319E"/>
    <w:rsid w:val="00D331B8"/>
    <w:rsid w:val="00D332BE"/>
    <w:rsid w:val="00D332DD"/>
    <w:rsid w:val="00D33365"/>
    <w:rsid w:val="00D33753"/>
    <w:rsid w:val="00D33AC0"/>
    <w:rsid w:val="00D33C60"/>
    <w:rsid w:val="00D3414E"/>
    <w:rsid w:val="00D3414F"/>
    <w:rsid w:val="00D3477C"/>
    <w:rsid w:val="00D34924"/>
    <w:rsid w:val="00D349BE"/>
    <w:rsid w:val="00D34D7E"/>
    <w:rsid w:val="00D34E21"/>
    <w:rsid w:val="00D34ED2"/>
    <w:rsid w:val="00D34F0E"/>
    <w:rsid w:val="00D34F40"/>
    <w:rsid w:val="00D34FDD"/>
    <w:rsid w:val="00D354DF"/>
    <w:rsid w:val="00D35726"/>
    <w:rsid w:val="00D35850"/>
    <w:rsid w:val="00D35B06"/>
    <w:rsid w:val="00D36054"/>
    <w:rsid w:val="00D360E2"/>
    <w:rsid w:val="00D36122"/>
    <w:rsid w:val="00D367BD"/>
    <w:rsid w:val="00D36A6C"/>
    <w:rsid w:val="00D36B23"/>
    <w:rsid w:val="00D36B76"/>
    <w:rsid w:val="00D36C9D"/>
    <w:rsid w:val="00D36CB2"/>
    <w:rsid w:val="00D36CF7"/>
    <w:rsid w:val="00D36F3B"/>
    <w:rsid w:val="00D36F65"/>
    <w:rsid w:val="00D372D2"/>
    <w:rsid w:val="00D37358"/>
    <w:rsid w:val="00D37510"/>
    <w:rsid w:val="00D37532"/>
    <w:rsid w:val="00D37806"/>
    <w:rsid w:val="00D37876"/>
    <w:rsid w:val="00D37D1A"/>
    <w:rsid w:val="00D405B9"/>
    <w:rsid w:val="00D4070F"/>
    <w:rsid w:val="00D4072E"/>
    <w:rsid w:val="00D40A9C"/>
    <w:rsid w:val="00D40D21"/>
    <w:rsid w:val="00D40FC1"/>
    <w:rsid w:val="00D4125A"/>
    <w:rsid w:val="00D413EB"/>
    <w:rsid w:val="00D41417"/>
    <w:rsid w:val="00D41430"/>
    <w:rsid w:val="00D4180B"/>
    <w:rsid w:val="00D41915"/>
    <w:rsid w:val="00D41C26"/>
    <w:rsid w:val="00D421FF"/>
    <w:rsid w:val="00D4220D"/>
    <w:rsid w:val="00D424D8"/>
    <w:rsid w:val="00D42D4D"/>
    <w:rsid w:val="00D432EE"/>
    <w:rsid w:val="00D433D0"/>
    <w:rsid w:val="00D4356D"/>
    <w:rsid w:val="00D43662"/>
    <w:rsid w:val="00D43704"/>
    <w:rsid w:val="00D437AF"/>
    <w:rsid w:val="00D43CE3"/>
    <w:rsid w:val="00D43D00"/>
    <w:rsid w:val="00D43DD4"/>
    <w:rsid w:val="00D43EB3"/>
    <w:rsid w:val="00D44C82"/>
    <w:rsid w:val="00D44E07"/>
    <w:rsid w:val="00D45036"/>
    <w:rsid w:val="00D45082"/>
    <w:rsid w:val="00D455F0"/>
    <w:rsid w:val="00D456F4"/>
    <w:rsid w:val="00D457B1"/>
    <w:rsid w:val="00D45A98"/>
    <w:rsid w:val="00D45D85"/>
    <w:rsid w:val="00D45D8C"/>
    <w:rsid w:val="00D45D9F"/>
    <w:rsid w:val="00D45EF8"/>
    <w:rsid w:val="00D45FE7"/>
    <w:rsid w:val="00D46357"/>
    <w:rsid w:val="00D465BF"/>
    <w:rsid w:val="00D46811"/>
    <w:rsid w:val="00D46923"/>
    <w:rsid w:val="00D469EC"/>
    <w:rsid w:val="00D46A90"/>
    <w:rsid w:val="00D46BB8"/>
    <w:rsid w:val="00D47B17"/>
    <w:rsid w:val="00D47CAE"/>
    <w:rsid w:val="00D47E44"/>
    <w:rsid w:val="00D5019D"/>
    <w:rsid w:val="00D50822"/>
    <w:rsid w:val="00D509B7"/>
    <w:rsid w:val="00D50A0F"/>
    <w:rsid w:val="00D50B19"/>
    <w:rsid w:val="00D50D12"/>
    <w:rsid w:val="00D5118C"/>
    <w:rsid w:val="00D51619"/>
    <w:rsid w:val="00D518EA"/>
    <w:rsid w:val="00D51C8E"/>
    <w:rsid w:val="00D51C9D"/>
    <w:rsid w:val="00D51EAE"/>
    <w:rsid w:val="00D51F34"/>
    <w:rsid w:val="00D51FE3"/>
    <w:rsid w:val="00D52192"/>
    <w:rsid w:val="00D52194"/>
    <w:rsid w:val="00D52338"/>
    <w:rsid w:val="00D53101"/>
    <w:rsid w:val="00D53157"/>
    <w:rsid w:val="00D53395"/>
    <w:rsid w:val="00D53449"/>
    <w:rsid w:val="00D53B38"/>
    <w:rsid w:val="00D53C03"/>
    <w:rsid w:val="00D53F94"/>
    <w:rsid w:val="00D540BF"/>
    <w:rsid w:val="00D54167"/>
    <w:rsid w:val="00D547F4"/>
    <w:rsid w:val="00D549A3"/>
    <w:rsid w:val="00D54C67"/>
    <w:rsid w:val="00D54CC9"/>
    <w:rsid w:val="00D54F6B"/>
    <w:rsid w:val="00D550D5"/>
    <w:rsid w:val="00D553AD"/>
    <w:rsid w:val="00D55904"/>
    <w:rsid w:val="00D5592B"/>
    <w:rsid w:val="00D55A85"/>
    <w:rsid w:val="00D55D57"/>
    <w:rsid w:val="00D55E51"/>
    <w:rsid w:val="00D56060"/>
    <w:rsid w:val="00D5608A"/>
    <w:rsid w:val="00D56181"/>
    <w:rsid w:val="00D56289"/>
    <w:rsid w:val="00D564F3"/>
    <w:rsid w:val="00D56859"/>
    <w:rsid w:val="00D56ACD"/>
    <w:rsid w:val="00D56ED7"/>
    <w:rsid w:val="00D571C4"/>
    <w:rsid w:val="00D57524"/>
    <w:rsid w:val="00D57975"/>
    <w:rsid w:val="00D57BBF"/>
    <w:rsid w:val="00D60160"/>
    <w:rsid w:val="00D6036D"/>
    <w:rsid w:val="00D60371"/>
    <w:rsid w:val="00D604AC"/>
    <w:rsid w:val="00D60880"/>
    <w:rsid w:val="00D60A8D"/>
    <w:rsid w:val="00D61242"/>
    <w:rsid w:val="00D612FC"/>
    <w:rsid w:val="00D61477"/>
    <w:rsid w:val="00D61D62"/>
    <w:rsid w:val="00D61F42"/>
    <w:rsid w:val="00D620DE"/>
    <w:rsid w:val="00D620EC"/>
    <w:rsid w:val="00D6226A"/>
    <w:rsid w:val="00D6227E"/>
    <w:rsid w:val="00D6290A"/>
    <w:rsid w:val="00D62D65"/>
    <w:rsid w:val="00D62F38"/>
    <w:rsid w:val="00D63233"/>
    <w:rsid w:val="00D6380F"/>
    <w:rsid w:val="00D638E2"/>
    <w:rsid w:val="00D641D6"/>
    <w:rsid w:val="00D645CA"/>
    <w:rsid w:val="00D649BB"/>
    <w:rsid w:val="00D65305"/>
    <w:rsid w:val="00D65343"/>
    <w:rsid w:val="00D654AA"/>
    <w:rsid w:val="00D657FC"/>
    <w:rsid w:val="00D65B7D"/>
    <w:rsid w:val="00D65FFE"/>
    <w:rsid w:val="00D6622C"/>
    <w:rsid w:val="00D664DF"/>
    <w:rsid w:val="00D66889"/>
    <w:rsid w:val="00D66EBF"/>
    <w:rsid w:val="00D6730D"/>
    <w:rsid w:val="00D6754B"/>
    <w:rsid w:val="00D7025C"/>
    <w:rsid w:val="00D706A2"/>
    <w:rsid w:val="00D70A35"/>
    <w:rsid w:val="00D70AA9"/>
    <w:rsid w:val="00D70C32"/>
    <w:rsid w:val="00D70CC0"/>
    <w:rsid w:val="00D70F25"/>
    <w:rsid w:val="00D70FFB"/>
    <w:rsid w:val="00D7126F"/>
    <w:rsid w:val="00D71D67"/>
    <w:rsid w:val="00D71F10"/>
    <w:rsid w:val="00D7214F"/>
    <w:rsid w:val="00D7249C"/>
    <w:rsid w:val="00D726D5"/>
    <w:rsid w:val="00D7272F"/>
    <w:rsid w:val="00D7300B"/>
    <w:rsid w:val="00D733D7"/>
    <w:rsid w:val="00D734AE"/>
    <w:rsid w:val="00D7376B"/>
    <w:rsid w:val="00D7384E"/>
    <w:rsid w:val="00D73B38"/>
    <w:rsid w:val="00D73BA3"/>
    <w:rsid w:val="00D73D39"/>
    <w:rsid w:val="00D73D55"/>
    <w:rsid w:val="00D73E10"/>
    <w:rsid w:val="00D74103"/>
    <w:rsid w:val="00D74B87"/>
    <w:rsid w:val="00D74BAE"/>
    <w:rsid w:val="00D74CC1"/>
    <w:rsid w:val="00D74D17"/>
    <w:rsid w:val="00D74EA0"/>
    <w:rsid w:val="00D74EFF"/>
    <w:rsid w:val="00D7531A"/>
    <w:rsid w:val="00D75390"/>
    <w:rsid w:val="00D7543B"/>
    <w:rsid w:val="00D75AAF"/>
    <w:rsid w:val="00D75EA4"/>
    <w:rsid w:val="00D75F20"/>
    <w:rsid w:val="00D76273"/>
    <w:rsid w:val="00D762D5"/>
    <w:rsid w:val="00D76417"/>
    <w:rsid w:val="00D76A12"/>
    <w:rsid w:val="00D76A60"/>
    <w:rsid w:val="00D76A8C"/>
    <w:rsid w:val="00D76E49"/>
    <w:rsid w:val="00D76EAF"/>
    <w:rsid w:val="00D76EFA"/>
    <w:rsid w:val="00D7716E"/>
    <w:rsid w:val="00D77A8A"/>
    <w:rsid w:val="00D77A92"/>
    <w:rsid w:val="00D77C15"/>
    <w:rsid w:val="00D77CF1"/>
    <w:rsid w:val="00D77DA1"/>
    <w:rsid w:val="00D800CA"/>
    <w:rsid w:val="00D80700"/>
    <w:rsid w:val="00D8072F"/>
    <w:rsid w:val="00D80970"/>
    <w:rsid w:val="00D80B6A"/>
    <w:rsid w:val="00D80E6D"/>
    <w:rsid w:val="00D80F1E"/>
    <w:rsid w:val="00D80FC6"/>
    <w:rsid w:val="00D811AD"/>
    <w:rsid w:val="00D814E5"/>
    <w:rsid w:val="00D81A9D"/>
    <w:rsid w:val="00D81ADA"/>
    <w:rsid w:val="00D81BC5"/>
    <w:rsid w:val="00D81C00"/>
    <w:rsid w:val="00D81D3B"/>
    <w:rsid w:val="00D81E36"/>
    <w:rsid w:val="00D81E80"/>
    <w:rsid w:val="00D820FD"/>
    <w:rsid w:val="00D82551"/>
    <w:rsid w:val="00D82782"/>
    <w:rsid w:val="00D828DB"/>
    <w:rsid w:val="00D82923"/>
    <w:rsid w:val="00D82D85"/>
    <w:rsid w:val="00D82EFF"/>
    <w:rsid w:val="00D831C5"/>
    <w:rsid w:val="00D8345E"/>
    <w:rsid w:val="00D83465"/>
    <w:rsid w:val="00D8361C"/>
    <w:rsid w:val="00D837AC"/>
    <w:rsid w:val="00D837B6"/>
    <w:rsid w:val="00D837C6"/>
    <w:rsid w:val="00D83A82"/>
    <w:rsid w:val="00D83B07"/>
    <w:rsid w:val="00D83C01"/>
    <w:rsid w:val="00D83C7B"/>
    <w:rsid w:val="00D83D8A"/>
    <w:rsid w:val="00D84021"/>
    <w:rsid w:val="00D841A9"/>
    <w:rsid w:val="00D8424B"/>
    <w:rsid w:val="00D843CC"/>
    <w:rsid w:val="00D84607"/>
    <w:rsid w:val="00D84833"/>
    <w:rsid w:val="00D8493A"/>
    <w:rsid w:val="00D84AB5"/>
    <w:rsid w:val="00D85165"/>
    <w:rsid w:val="00D852C0"/>
    <w:rsid w:val="00D858E0"/>
    <w:rsid w:val="00D861B6"/>
    <w:rsid w:val="00D864E0"/>
    <w:rsid w:val="00D86617"/>
    <w:rsid w:val="00D873CF"/>
    <w:rsid w:val="00D87528"/>
    <w:rsid w:val="00D87867"/>
    <w:rsid w:val="00D87930"/>
    <w:rsid w:val="00D87A16"/>
    <w:rsid w:val="00D87B0F"/>
    <w:rsid w:val="00D87B32"/>
    <w:rsid w:val="00D87FD5"/>
    <w:rsid w:val="00D90080"/>
    <w:rsid w:val="00D90219"/>
    <w:rsid w:val="00D902AC"/>
    <w:rsid w:val="00D90384"/>
    <w:rsid w:val="00D90392"/>
    <w:rsid w:val="00D9077D"/>
    <w:rsid w:val="00D90B2D"/>
    <w:rsid w:val="00D90D16"/>
    <w:rsid w:val="00D90D45"/>
    <w:rsid w:val="00D9110B"/>
    <w:rsid w:val="00D91184"/>
    <w:rsid w:val="00D912C1"/>
    <w:rsid w:val="00D9175B"/>
    <w:rsid w:val="00D91B7A"/>
    <w:rsid w:val="00D91EC8"/>
    <w:rsid w:val="00D91ED0"/>
    <w:rsid w:val="00D91FDC"/>
    <w:rsid w:val="00D92487"/>
    <w:rsid w:val="00D929CB"/>
    <w:rsid w:val="00D92F7C"/>
    <w:rsid w:val="00D92FC5"/>
    <w:rsid w:val="00D933D8"/>
    <w:rsid w:val="00D93550"/>
    <w:rsid w:val="00D93694"/>
    <w:rsid w:val="00D93B6E"/>
    <w:rsid w:val="00D93C7F"/>
    <w:rsid w:val="00D93D82"/>
    <w:rsid w:val="00D940D6"/>
    <w:rsid w:val="00D94DC4"/>
    <w:rsid w:val="00D94E1A"/>
    <w:rsid w:val="00D94F23"/>
    <w:rsid w:val="00D952EB"/>
    <w:rsid w:val="00D95531"/>
    <w:rsid w:val="00D95865"/>
    <w:rsid w:val="00D958DF"/>
    <w:rsid w:val="00D95A39"/>
    <w:rsid w:val="00D95C59"/>
    <w:rsid w:val="00D95D0E"/>
    <w:rsid w:val="00D95D38"/>
    <w:rsid w:val="00D95F9D"/>
    <w:rsid w:val="00D95FBC"/>
    <w:rsid w:val="00D965A5"/>
    <w:rsid w:val="00D9661A"/>
    <w:rsid w:val="00D9672A"/>
    <w:rsid w:val="00D96B93"/>
    <w:rsid w:val="00D96BE0"/>
    <w:rsid w:val="00D96D52"/>
    <w:rsid w:val="00D96FD7"/>
    <w:rsid w:val="00D97081"/>
    <w:rsid w:val="00D972B0"/>
    <w:rsid w:val="00D977CD"/>
    <w:rsid w:val="00D97C2E"/>
    <w:rsid w:val="00D97D53"/>
    <w:rsid w:val="00D97D79"/>
    <w:rsid w:val="00DA00EF"/>
    <w:rsid w:val="00DA0861"/>
    <w:rsid w:val="00DA08E7"/>
    <w:rsid w:val="00DA0FFF"/>
    <w:rsid w:val="00DA10E5"/>
    <w:rsid w:val="00DA132E"/>
    <w:rsid w:val="00DA1560"/>
    <w:rsid w:val="00DA15DD"/>
    <w:rsid w:val="00DA19B1"/>
    <w:rsid w:val="00DA19BB"/>
    <w:rsid w:val="00DA1BA8"/>
    <w:rsid w:val="00DA1E79"/>
    <w:rsid w:val="00DA2060"/>
    <w:rsid w:val="00DA2269"/>
    <w:rsid w:val="00DA2318"/>
    <w:rsid w:val="00DA2378"/>
    <w:rsid w:val="00DA244A"/>
    <w:rsid w:val="00DA26B5"/>
    <w:rsid w:val="00DA2CB4"/>
    <w:rsid w:val="00DA2E6D"/>
    <w:rsid w:val="00DA3084"/>
    <w:rsid w:val="00DA3890"/>
    <w:rsid w:val="00DA3894"/>
    <w:rsid w:val="00DA3939"/>
    <w:rsid w:val="00DA3D01"/>
    <w:rsid w:val="00DA3D1A"/>
    <w:rsid w:val="00DA3EDE"/>
    <w:rsid w:val="00DA462B"/>
    <w:rsid w:val="00DA4655"/>
    <w:rsid w:val="00DA4671"/>
    <w:rsid w:val="00DA46D9"/>
    <w:rsid w:val="00DA4D9F"/>
    <w:rsid w:val="00DA5527"/>
    <w:rsid w:val="00DA57CC"/>
    <w:rsid w:val="00DA5888"/>
    <w:rsid w:val="00DA5F25"/>
    <w:rsid w:val="00DA6016"/>
    <w:rsid w:val="00DA61AA"/>
    <w:rsid w:val="00DA61E5"/>
    <w:rsid w:val="00DA6358"/>
    <w:rsid w:val="00DA63B5"/>
    <w:rsid w:val="00DA643A"/>
    <w:rsid w:val="00DA64D6"/>
    <w:rsid w:val="00DA6630"/>
    <w:rsid w:val="00DA6781"/>
    <w:rsid w:val="00DA6A71"/>
    <w:rsid w:val="00DA6EB0"/>
    <w:rsid w:val="00DA71E0"/>
    <w:rsid w:val="00DA722D"/>
    <w:rsid w:val="00DA7585"/>
    <w:rsid w:val="00DA7850"/>
    <w:rsid w:val="00DA7A0A"/>
    <w:rsid w:val="00DA7AB2"/>
    <w:rsid w:val="00DA7B0F"/>
    <w:rsid w:val="00DA7B33"/>
    <w:rsid w:val="00DA7CE0"/>
    <w:rsid w:val="00DA7D77"/>
    <w:rsid w:val="00DA7E01"/>
    <w:rsid w:val="00DA7F1C"/>
    <w:rsid w:val="00DB02A6"/>
    <w:rsid w:val="00DB054F"/>
    <w:rsid w:val="00DB0837"/>
    <w:rsid w:val="00DB099F"/>
    <w:rsid w:val="00DB09D4"/>
    <w:rsid w:val="00DB0B5E"/>
    <w:rsid w:val="00DB0B79"/>
    <w:rsid w:val="00DB0BC5"/>
    <w:rsid w:val="00DB1316"/>
    <w:rsid w:val="00DB1360"/>
    <w:rsid w:val="00DB1745"/>
    <w:rsid w:val="00DB1788"/>
    <w:rsid w:val="00DB1A4B"/>
    <w:rsid w:val="00DB1D01"/>
    <w:rsid w:val="00DB223A"/>
    <w:rsid w:val="00DB22BB"/>
    <w:rsid w:val="00DB22D4"/>
    <w:rsid w:val="00DB2A93"/>
    <w:rsid w:val="00DB2D29"/>
    <w:rsid w:val="00DB2E05"/>
    <w:rsid w:val="00DB2E67"/>
    <w:rsid w:val="00DB2FFE"/>
    <w:rsid w:val="00DB3166"/>
    <w:rsid w:val="00DB3342"/>
    <w:rsid w:val="00DB353F"/>
    <w:rsid w:val="00DB3565"/>
    <w:rsid w:val="00DB35D8"/>
    <w:rsid w:val="00DB378D"/>
    <w:rsid w:val="00DB3A31"/>
    <w:rsid w:val="00DB3B02"/>
    <w:rsid w:val="00DB3B85"/>
    <w:rsid w:val="00DB3C4D"/>
    <w:rsid w:val="00DB4083"/>
    <w:rsid w:val="00DB4724"/>
    <w:rsid w:val="00DB480F"/>
    <w:rsid w:val="00DB4855"/>
    <w:rsid w:val="00DB49C4"/>
    <w:rsid w:val="00DB4A89"/>
    <w:rsid w:val="00DB518D"/>
    <w:rsid w:val="00DB5A42"/>
    <w:rsid w:val="00DB5A72"/>
    <w:rsid w:val="00DB5B28"/>
    <w:rsid w:val="00DB5D4F"/>
    <w:rsid w:val="00DB5F96"/>
    <w:rsid w:val="00DB613B"/>
    <w:rsid w:val="00DB667E"/>
    <w:rsid w:val="00DB674F"/>
    <w:rsid w:val="00DB67C5"/>
    <w:rsid w:val="00DB688C"/>
    <w:rsid w:val="00DB689C"/>
    <w:rsid w:val="00DB6F9A"/>
    <w:rsid w:val="00DB71E0"/>
    <w:rsid w:val="00DB728E"/>
    <w:rsid w:val="00DB731F"/>
    <w:rsid w:val="00DB7327"/>
    <w:rsid w:val="00DB76B6"/>
    <w:rsid w:val="00DB76FA"/>
    <w:rsid w:val="00DB7882"/>
    <w:rsid w:val="00DB7A14"/>
    <w:rsid w:val="00DB7E81"/>
    <w:rsid w:val="00DC0506"/>
    <w:rsid w:val="00DC073A"/>
    <w:rsid w:val="00DC0D47"/>
    <w:rsid w:val="00DC0EEA"/>
    <w:rsid w:val="00DC1250"/>
    <w:rsid w:val="00DC169F"/>
    <w:rsid w:val="00DC16D4"/>
    <w:rsid w:val="00DC1BBC"/>
    <w:rsid w:val="00DC1BE4"/>
    <w:rsid w:val="00DC20F8"/>
    <w:rsid w:val="00DC22E3"/>
    <w:rsid w:val="00DC250E"/>
    <w:rsid w:val="00DC2516"/>
    <w:rsid w:val="00DC2C6E"/>
    <w:rsid w:val="00DC32AF"/>
    <w:rsid w:val="00DC331A"/>
    <w:rsid w:val="00DC339F"/>
    <w:rsid w:val="00DC3E7D"/>
    <w:rsid w:val="00DC4171"/>
    <w:rsid w:val="00DC4773"/>
    <w:rsid w:val="00DC488F"/>
    <w:rsid w:val="00DC499D"/>
    <w:rsid w:val="00DC49E2"/>
    <w:rsid w:val="00DC4D7F"/>
    <w:rsid w:val="00DC5090"/>
    <w:rsid w:val="00DC520D"/>
    <w:rsid w:val="00DC5609"/>
    <w:rsid w:val="00DC58E7"/>
    <w:rsid w:val="00DC5929"/>
    <w:rsid w:val="00DC5B5A"/>
    <w:rsid w:val="00DC5C8B"/>
    <w:rsid w:val="00DC5E68"/>
    <w:rsid w:val="00DC6398"/>
    <w:rsid w:val="00DC640A"/>
    <w:rsid w:val="00DC642C"/>
    <w:rsid w:val="00DC6A53"/>
    <w:rsid w:val="00DC6D85"/>
    <w:rsid w:val="00DC6E18"/>
    <w:rsid w:val="00DC6E73"/>
    <w:rsid w:val="00DC7189"/>
    <w:rsid w:val="00DC71BA"/>
    <w:rsid w:val="00DC7390"/>
    <w:rsid w:val="00DC753A"/>
    <w:rsid w:val="00DC7F07"/>
    <w:rsid w:val="00DC7FDC"/>
    <w:rsid w:val="00DD0062"/>
    <w:rsid w:val="00DD0510"/>
    <w:rsid w:val="00DD0770"/>
    <w:rsid w:val="00DD07C2"/>
    <w:rsid w:val="00DD07F9"/>
    <w:rsid w:val="00DD0E31"/>
    <w:rsid w:val="00DD1461"/>
    <w:rsid w:val="00DD1592"/>
    <w:rsid w:val="00DD17B8"/>
    <w:rsid w:val="00DD185D"/>
    <w:rsid w:val="00DD1907"/>
    <w:rsid w:val="00DD1A0A"/>
    <w:rsid w:val="00DD1B14"/>
    <w:rsid w:val="00DD1F52"/>
    <w:rsid w:val="00DD1FEF"/>
    <w:rsid w:val="00DD2092"/>
    <w:rsid w:val="00DD271B"/>
    <w:rsid w:val="00DD30B1"/>
    <w:rsid w:val="00DD31F4"/>
    <w:rsid w:val="00DD3216"/>
    <w:rsid w:val="00DD3273"/>
    <w:rsid w:val="00DD3296"/>
    <w:rsid w:val="00DD32B4"/>
    <w:rsid w:val="00DD32FB"/>
    <w:rsid w:val="00DD3686"/>
    <w:rsid w:val="00DD368D"/>
    <w:rsid w:val="00DD38FA"/>
    <w:rsid w:val="00DD3B54"/>
    <w:rsid w:val="00DD41B4"/>
    <w:rsid w:val="00DD4275"/>
    <w:rsid w:val="00DD4415"/>
    <w:rsid w:val="00DD4479"/>
    <w:rsid w:val="00DD458F"/>
    <w:rsid w:val="00DD4768"/>
    <w:rsid w:val="00DD5049"/>
    <w:rsid w:val="00DD5617"/>
    <w:rsid w:val="00DD5742"/>
    <w:rsid w:val="00DD5B73"/>
    <w:rsid w:val="00DD5E74"/>
    <w:rsid w:val="00DD5F79"/>
    <w:rsid w:val="00DD6333"/>
    <w:rsid w:val="00DD69FD"/>
    <w:rsid w:val="00DD6A61"/>
    <w:rsid w:val="00DD6A99"/>
    <w:rsid w:val="00DD6C0D"/>
    <w:rsid w:val="00DD6C40"/>
    <w:rsid w:val="00DD77B8"/>
    <w:rsid w:val="00DD78C3"/>
    <w:rsid w:val="00DD7B72"/>
    <w:rsid w:val="00DD7F44"/>
    <w:rsid w:val="00DD7FDC"/>
    <w:rsid w:val="00DE0077"/>
    <w:rsid w:val="00DE012A"/>
    <w:rsid w:val="00DE01E9"/>
    <w:rsid w:val="00DE0305"/>
    <w:rsid w:val="00DE035D"/>
    <w:rsid w:val="00DE082C"/>
    <w:rsid w:val="00DE0A2B"/>
    <w:rsid w:val="00DE0B0E"/>
    <w:rsid w:val="00DE0C97"/>
    <w:rsid w:val="00DE11C2"/>
    <w:rsid w:val="00DE1671"/>
    <w:rsid w:val="00DE1E1E"/>
    <w:rsid w:val="00DE247C"/>
    <w:rsid w:val="00DE2587"/>
    <w:rsid w:val="00DE26E1"/>
    <w:rsid w:val="00DE282B"/>
    <w:rsid w:val="00DE28D5"/>
    <w:rsid w:val="00DE2E5B"/>
    <w:rsid w:val="00DE2EC9"/>
    <w:rsid w:val="00DE3299"/>
    <w:rsid w:val="00DE3B1B"/>
    <w:rsid w:val="00DE3BBD"/>
    <w:rsid w:val="00DE3C2A"/>
    <w:rsid w:val="00DE3C2B"/>
    <w:rsid w:val="00DE3D85"/>
    <w:rsid w:val="00DE3DB6"/>
    <w:rsid w:val="00DE40B7"/>
    <w:rsid w:val="00DE4181"/>
    <w:rsid w:val="00DE427D"/>
    <w:rsid w:val="00DE4479"/>
    <w:rsid w:val="00DE480F"/>
    <w:rsid w:val="00DE5116"/>
    <w:rsid w:val="00DE5A29"/>
    <w:rsid w:val="00DE5AD3"/>
    <w:rsid w:val="00DE5E2B"/>
    <w:rsid w:val="00DE5FED"/>
    <w:rsid w:val="00DE6157"/>
    <w:rsid w:val="00DE618C"/>
    <w:rsid w:val="00DE641E"/>
    <w:rsid w:val="00DE64BD"/>
    <w:rsid w:val="00DE6606"/>
    <w:rsid w:val="00DE6757"/>
    <w:rsid w:val="00DE676F"/>
    <w:rsid w:val="00DE687A"/>
    <w:rsid w:val="00DE6DD8"/>
    <w:rsid w:val="00DE6FC9"/>
    <w:rsid w:val="00DE71D4"/>
    <w:rsid w:val="00DE71F9"/>
    <w:rsid w:val="00DE71FB"/>
    <w:rsid w:val="00DE722D"/>
    <w:rsid w:val="00DE7548"/>
    <w:rsid w:val="00DE75B9"/>
    <w:rsid w:val="00DE7854"/>
    <w:rsid w:val="00DE787A"/>
    <w:rsid w:val="00DE7B55"/>
    <w:rsid w:val="00DE7D3B"/>
    <w:rsid w:val="00DE7EA4"/>
    <w:rsid w:val="00DE7FEC"/>
    <w:rsid w:val="00DF0480"/>
    <w:rsid w:val="00DF0520"/>
    <w:rsid w:val="00DF0718"/>
    <w:rsid w:val="00DF07CD"/>
    <w:rsid w:val="00DF085A"/>
    <w:rsid w:val="00DF0967"/>
    <w:rsid w:val="00DF0D0D"/>
    <w:rsid w:val="00DF10B8"/>
    <w:rsid w:val="00DF1288"/>
    <w:rsid w:val="00DF1411"/>
    <w:rsid w:val="00DF1BAE"/>
    <w:rsid w:val="00DF1D34"/>
    <w:rsid w:val="00DF1F1F"/>
    <w:rsid w:val="00DF20E3"/>
    <w:rsid w:val="00DF233F"/>
    <w:rsid w:val="00DF260B"/>
    <w:rsid w:val="00DF277A"/>
    <w:rsid w:val="00DF2E12"/>
    <w:rsid w:val="00DF2FC6"/>
    <w:rsid w:val="00DF318C"/>
    <w:rsid w:val="00DF31E6"/>
    <w:rsid w:val="00DF3203"/>
    <w:rsid w:val="00DF3514"/>
    <w:rsid w:val="00DF3BD2"/>
    <w:rsid w:val="00DF3D97"/>
    <w:rsid w:val="00DF4C70"/>
    <w:rsid w:val="00DF4CFB"/>
    <w:rsid w:val="00DF4D59"/>
    <w:rsid w:val="00DF5225"/>
    <w:rsid w:val="00DF533E"/>
    <w:rsid w:val="00DF54A3"/>
    <w:rsid w:val="00DF576E"/>
    <w:rsid w:val="00DF5980"/>
    <w:rsid w:val="00DF64F5"/>
    <w:rsid w:val="00DF6984"/>
    <w:rsid w:val="00DF69E5"/>
    <w:rsid w:val="00DF6AC0"/>
    <w:rsid w:val="00DF6DCF"/>
    <w:rsid w:val="00DF7277"/>
    <w:rsid w:val="00DF7361"/>
    <w:rsid w:val="00DF745D"/>
    <w:rsid w:val="00DF782C"/>
    <w:rsid w:val="00DF7865"/>
    <w:rsid w:val="00DF7A5C"/>
    <w:rsid w:val="00DF7D1C"/>
    <w:rsid w:val="00E003B5"/>
    <w:rsid w:val="00E0051F"/>
    <w:rsid w:val="00E00985"/>
    <w:rsid w:val="00E009D4"/>
    <w:rsid w:val="00E00AF5"/>
    <w:rsid w:val="00E00EDA"/>
    <w:rsid w:val="00E01614"/>
    <w:rsid w:val="00E0184B"/>
    <w:rsid w:val="00E018CC"/>
    <w:rsid w:val="00E01A58"/>
    <w:rsid w:val="00E01B1C"/>
    <w:rsid w:val="00E02048"/>
    <w:rsid w:val="00E02066"/>
    <w:rsid w:val="00E0208B"/>
    <w:rsid w:val="00E02393"/>
    <w:rsid w:val="00E026BE"/>
    <w:rsid w:val="00E02992"/>
    <w:rsid w:val="00E02C2E"/>
    <w:rsid w:val="00E02C32"/>
    <w:rsid w:val="00E031A5"/>
    <w:rsid w:val="00E03549"/>
    <w:rsid w:val="00E03ABC"/>
    <w:rsid w:val="00E03B0F"/>
    <w:rsid w:val="00E03D07"/>
    <w:rsid w:val="00E03FC7"/>
    <w:rsid w:val="00E0416A"/>
    <w:rsid w:val="00E0422D"/>
    <w:rsid w:val="00E04375"/>
    <w:rsid w:val="00E0496B"/>
    <w:rsid w:val="00E04D3A"/>
    <w:rsid w:val="00E051ED"/>
    <w:rsid w:val="00E05506"/>
    <w:rsid w:val="00E0559F"/>
    <w:rsid w:val="00E0578A"/>
    <w:rsid w:val="00E05BF1"/>
    <w:rsid w:val="00E05C38"/>
    <w:rsid w:val="00E05ECC"/>
    <w:rsid w:val="00E060C9"/>
    <w:rsid w:val="00E06146"/>
    <w:rsid w:val="00E064B4"/>
    <w:rsid w:val="00E064C2"/>
    <w:rsid w:val="00E065BE"/>
    <w:rsid w:val="00E06742"/>
    <w:rsid w:val="00E067BF"/>
    <w:rsid w:val="00E068AF"/>
    <w:rsid w:val="00E06C75"/>
    <w:rsid w:val="00E06D80"/>
    <w:rsid w:val="00E06FC3"/>
    <w:rsid w:val="00E074A8"/>
    <w:rsid w:val="00E0750D"/>
    <w:rsid w:val="00E07535"/>
    <w:rsid w:val="00E07C12"/>
    <w:rsid w:val="00E07E0F"/>
    <w:rsid w:val="00E07FEB"/>
    <w:rsid w:val="00E10064"/>
    <w:rsid w:val="00E103C1"/>
    <w:rsid w:val="00E103D1"/>
    <w:rsid w:val="00E103D4"/>
    <w:rsid w:val="00E10B86"/>
    <w:rsid w:val="00E10C12"/>
    <w:rsid w:val="00E10F16"/>
    <w:rsid w:val="00E11321"/>
    <w:rsid w:val="00E114D8"/>
    <w:rsid w:val="00E1170C"/>
    <w:rsid w:val="00E117C7"/>
    <w:rsid w:val="00E11A33"/>
    <w:rsid w:val="00E11ACC"/>
    <w:rsid w:val="00E11AEC"/>
    <w:rsid w:val="00E12319"/>
    <w:rsid w:val="00E1283B"/>
    <w:rsid w:val="00E12856"/>
    <w:rsid w:val="00E12867"/>
    <w:rsid w:val="00E12BE4"/>
    <w:rsid w:val="00E13374"/>
    <w:rsid w:val="00E133B2"/>
    <w:rsid w:val="00E134F5"/>
    <w:rsid w:val="00E136F2"/>
    <w:rsid w:val="00E1395F"/>
    <w:rsid w:val="00E139D8"/>
    <w:rsid w:val="00E13A41"/>
    <w:rsid w:val="00E13CEC"/>
    <w:rsid w:val="00E13E2C"/>
    <w:rsid w:val="00E141AB"/>
    <w:rsid w:val="00E14433"/>
    <w:rsid w:val="00E1452C"/>
    <w:rsid w:val="00E146ED"/>
    <w:rsid w:val="00E14912"/>
    <w:rsid w:val="00E14975"/>
    <w:rsid w:val="00E1497C"/>
    <w:rsid w:val="00E14A9B"/>
    <w:rsid w:val="00E14B53"/>
    <w:rsid w:val="00E14C80"/>
    <w:rsid w:val="00E15273"/>
    <w:rsid w:val="00E153A5"/>
    <w:rsid w:val="00E154FC"/>
    <w:rsid w:val="00E15927"/>
    <w:rsid w:val="00E15E1B"/>
    <w:rsid w:val="00E15E88"/>
    <w:rsid w:val="00E15FBE"/>
    <w:rsid w:val="00E16453"/>
    <w:rsid w:val="00E16525"/>
    <w:rsid w:val="00E16856"/>
    <w:rsid w:val="00E169F4"/>
    <w:rsid w:val="00E16C53"/>
    <w:rsid w:val="00E16DAC"/>
    <w:rsid w:val="00E171A5"/>
    <w:rsid w:val="00E1727D"/>
    <w:rsid w:val="00E17582"/>
    <w:rsid w:val="00E17852"/>
    <w:rsid w:val="00E17A41"/>
    <w:rsid w:val="00E17A8A"/>
    <w:rsid w:val="00E17AE0"/>
    <w:rsid w:val="00E17B53"/>
    <w:rsid w:val="00E20171"/>
    <w:rsid w:val="00E2024B"/>
    <w:rsid w:val="00E2060A"/>
    <w:rsid w:val="00E20697"/>
    <w:rsid w:val="00E206E4"/>
    <w:rsid w:val="00E20B2B"/>
    <w:rsid w:val="00E20C48"/>
    <w:rsid w:val="00E20D2C"/>
    <w:rsid w:val="00E20D59"/>
    <w:rsid w:val="00E21117"/>
    <w:rsid w:val="00E213B0"/>
    <w:rsid w:val="00E2146D"/>
    <w:rsid w:val="00E21812"/>
    <w:rsid w:val="00E21A7F"/>
    <w:rsid w:val="00E21C08"/>
    <w:rsid w:val="00E21EB2"/>
    <w:rsid w:val="00E2269E"/>
    <w:rsid w:val="00E228DA"/>
    <w:rsid w:val="00E2293F"/>
    <w:rsid w:val="00E22CED"/>
    <w:rsid w:val="00E23105"/>
    <w:rsid w:val="00E23119"/>
    <w:rsid w:val="00E23261"/>
    <w:rsid w:val="00E23327"/>
    <w:rsid w:val="00E2347F"/>
    <w:rsid w:val="00E234F6"/>
    <w:rsid w:val="00E23765"/>
    <w:rsid w:val="00E238A2"/>
    <w:rsid w:val="00E2390D"/>
    <w:rsid w:val="00E23A88"/>
    <w:rsid w:val="00E23E1F"/>
    <w:rsid w:val="00E242D8"/>
    <w:rsid w:val="00E24393"/>
    <w:rsid w:val="00E24501"/>
    <w:rsid w:val="00E24E05"/>
    <w:rsid w:val="00E251F5"/>
    <w:rsid w:val="00E2521C"/>
    <w:rsid w:val="00E257D8"/>
    <w:rsid w:val="00E25AE0"/>
    <w:rsid w:val="00E261B5"/>
    <w:rsid w:val="00E2632A"/>
    <w:rsid w:val="00E263E8"/>
    <w:rsid w:val="00E2677E"/>
    <w:rsid w:val="00E2677F"/>
    <w:rsid w:val="00E267F0"/>
    <w:rsid w:val="00E268A3"/>
    <w:rsid w:val="00E26C7E"/>
    <w:rsid w:val="00E26F1B"/>
    <w:rsid w:val="00E26F86"/>
    <w:rsid w:val="00E27518"/>
    <w:rsid w:val="00E2755B"/>
    <w:rsid w:val="00E27D49"/>
    <w:rsid w:val="00E27E15"/>
    <w:rsid w:val="00E27E9F"/>
    <w:rsid w:val="00E27EAB"/>
    <w:rsid w:val="00E302B8"/>
    <w:rsid w:val="00E302C8"/>
    <w:rsid w:val="00E3045E"/>
    <w:rsid w:val="00E307B5"/>
    <w:rsid w:val="00E30DBB"/>
    <w:rsid w:val="00E30E39"/>
    <w:rsid w:val="00E30EB0"/>
    <w:rsid w:val="00E310BD"/>
    <w:rsid w:val="00E3117C"/>
    <w:rsid w:val="00E31269"/>
    <w:rsid w:val="00E31306"/>
    <w:rsid w:val="00E314FD"/>
    <w:rsid w:val="00E3156B"/>
    <w:rsid w:val="00E315CA"/>
    <w:rsid w:val="00E316BE"/>
    <w:rsid w:val="00E31788"/>
    <w:rsid w:val="00E317C2"/>
    <w:rsid w:val="00E31985"/>
    <w:rsid w:val="00E319C6"/>
    <w:rsid w:val="00E31A5B"/>
    <w:rsid w:val="00E32413"/>
    <w:rsid w:val="00E32475"/>
    <w:rsid w:val="00E324C8"/>
    <w:rsid w:val="00E324FF"/>
    <w:rsid w:val="00E32689"/>
    <w:rsid w:val="00E32D7E"/>
    <w:rsid w:val="00E33499"/>
    <w:rsid w:val="00E3353A"/>
    <w:rsid w:val="00E335C4"/>
    <w:rsid w:val="00E3367C"/>
    <w:rsid w:val="00E337B4"/>
    <w:rsid w:val="00E33DBC"/>
    <w:rsid w:val="00E33F73"/>
    <w:rsid w:val="00E343C3"/>
    <w:rsid w:val="00E347F7"/>
    <w:rsid w:val="00E34AEE"/>
    <w:rsid w:val="00E34D03"/>
    <w:rsid w:val="00E34D89"/>
    <w:rsid w:val="00E34E1D"/>
    <w:rsid w:val="00E34E90"/>
    <w:rsid w:val="00E34FC4"/>
    <w:rsid w:val="00E356F0"/>
    <w:rsid w:val="00E359E5"/>
    <w:rsid w:val="00E35A21"/>
    <w:rsid w:val="00E35A62"/>
    <w:rsid w:val="00E35ABF"/>
    <w:rsid w:val="00E35D41"/>
    <w:rsid w:val="00E35E55"/>
    <w:rsid w:val="00E366BE"/>
    <w:rsid w:val="00E366C5"/>
    <w:rsid w:val="00E36A43"/>
    <w:rsid w:val="00E36B65"/>
    <w:rsid w:val="00E36EAE"/>
    <w:rsid w:val="00E36F2B"/>
    <w:rsid w:val="00E370DB"/>
    <w:rsid w:val="00E37138"/>
    <w:rsid w:val="00E37592"/>
    <w:rsid w:val="00E375E1"/>
    <w:rsid w:val="00E37698"/>
    <w:rsid w:val="00E378E0"/>
    <w:rsid w:val="00E37980"/>
    <w:rsid w:val="00E37D59"/>
    <w:rsid w:val="00E4005C"/>
    <w:rsid w:val="00E40424"/>
    <w:rsid w:val="00E404FF"/>
    <w:rsid w:val="00E40572"/>
    <w:rsid w:val="00E406A3"/>
    <w:rsid w:val="00E40B3B"/>
    <w:rsid w:val="00E40BB3"/>
    <w:rsid w:val="00E40C16"/>
    <w:rsid w:val="00E40CAE"/>
    <w:rsid w:val="00E4125D"/>
    <w:rsid w:val="00E41520"/>
    <w:rsid w:val="00E41620"/>
    <w:rsid w:val="00E41794"/>
    <w:rsid w:val="00E41C9B"/>
    <w:rsid w:val="00E41CC0"/>
    <w:rsid w:val="00E420E6"/>
    <w:rsid w:val="00E426CB"/>
    <w:rsid w:val="00E42776"/>
    <w:rsid w:val="00E430AC"/>
    <w:rsid w:val="00E430B4"/>
    <w:rsid w:val="00E43461"/>
    <w:rsid w:val="00E434E6"/>
    <w:rsid w:val="00E43D85"/>
    <w:rsid w:val="00E43E1F"/>
    <w:rsid w:val="00E43FB4"/>
    <w:rsid w:val="00E4409F"/>
    <w:rsid w:val="00E44C00"/>
    <w:rsid w:val="00E44C6F"/>
    <w:rsid w:val="00E44C96"/>
    <w:rsid w:val="00E4505A"/>
    <w:rsid w:val="00E450B0"/>
    <w:rsid w:val="00E451D0"/>
    <w:rsid w:val="00E45217"/>
    <w:rsid w:val="00E4542E"/>
    <w:rsid w:val="00E456A6"/>
    <w:rsid w:val="00E456D0"/>
    <w:rsid w:val="00E45843"/>
    <w:rsid w:val="00E458E7"/>
    <w:rsid w:val="00E4597C"/>
    <w:rsid w:val="00E45A86"/>
    <w:rsid w:val="00E45DA4"/>
    <w:rsid w:val="00E45ED5"/>
    <w:rsid w:val="00E462AA"/>
    <w:rsid w:val="00E4667B"/>
    <w:rsid w:val="00E467F1"/>
    <w:rsid w:val="00E46892"/>
    <w:rsid w:val="00E468D8"/>
    <w:rsid w:val="00E46A9D"/>
    <w:rsid w:val="00E46F18"/>
    <w:rsid w:val="00E471C0"/>
    <w:rsid w:val="00E4735C"/>
    <w:rsid w:val="00E476B2"/>
    <w:rsid w:val="00E476CE"/>
    <w:rsid w:val="00E47824"/>
    <w:rsid w:val="00E47B25"/>
    <w:rsid w:val="00E47ECA"/>
    <w:rsid w:val="00E509B0"/>
    <w:rsid w:val="00E50AC7"/>
    <w:rsid w:val="00E50D41"/>
    <w:rsid w:val="00E50EF9"/>
    <w:rsid w:val="00E51046"/>
    <w:rsid w:val="00E5141A"/>
    <w:rsid w:val="00E51EB9"/>
    <w:rsid w:val="00E51F1E"/>
    <w:rsid w:val="00E5200A"/>
    <w:rsid w:val="00E52153"/>
    <w:rsid w:val="00E52162"/>
    <w:rsid w:val="00E5253B"/>
    <w:rsid w:val="00E5293C"/>
    <w:rsid w:val="00E52C90"/>
    <w:rsid w:val="00E52E6E"/>
    <w:rsid w:val="00E52E7D"/>
    <w:rsid w:val="00E530AC"/>
    <w:rsid w:val="00E5324E"/>
    <w:rsid w:val="00E53382"/>
    <w:rsid w:val="00E537B7"/>
    <w:rsid w:val="00E5389E"/>
    <w:rsid w:val="00E53A92"/>
    <w:rsid w:val="00E53D3E"/>
    <w:rsid w:val="00E53DF7"/>
    <w:rsid w:val="00E542AD"/>
    <w:rsid w:val="00E5432D"/>
    <w:rsid w:val="00E54487"/>
    <w:rsid w:val="00E54508"/>
    <w:rsid w:val="00E54A5A"/>
    <w:rsid w:val="00E54AF9"/>
    <w:rsid w:val="00E54DAB"/>
    <w:rsid w:val="00E55095"/>
    <w:rsid w:val="00E554C5"/>
    <w:rsid w:val="00E55994"/>
    <w:rsid w:val="00E55FE0"/>
    <w:rsid w:val="00E560E1"/>
    <w:rsid w:val="00E560FE"/>
    <w:rsid w:val="00E56219"/>
    <w:rsid w:val="00E56237"/>
    <w:rsid w:val="00E56278"/>
    <w:rsid w:val="00E562AB"/>
    <w:rsid w:val="00E565C3"/>
    <w:rsid w:val="00E5665F"/>
    <w:rsid w:val="00E56724"/>
    <w:rsid w:val="00E5691E"/>
    <w:rsid w:val="00E56B19"/>
    <w:rsid w:val="00E570E8"/>
    <w:rsid w:val="00E5770F"/>
    <w:rsid w:val="00E57712"/>
    <w:rsid w:val="00E578AD"/>
    <w:rsid w:val="00E57CB5"/>
    <w:rsid w:val="00E57F3C"/>
    <w:rsid w:val="00E60005"/>
    <w:rsid w:val="00E600F9"/>
    <w:rsid w:val="00E60211"/>
    <w:rsid w:val="00E60529"/>
    <w:rsid w:val="00E60756"/>
    <w:rsid w:val="00E60B5B"/>
    <w:rsid w:val="00E60C52"/>
    <w:rsid w:val="00E61601"/>
    <w:rsid w:val="00E61847"/>
    <w:rsid w:val="00E61B6F"/>
    <w:rsid w:val="00E61CD7"/>
    <w:rsid w:val="00E61EFE"/>
    <w:rsid w:val="00E623FB"/>
    <w:rsid w:val="00E6247A"/>
    <w:rsid w:val="00E62500"/>
    <w:rsid w:val="00E62A71"/>
    <w:rsid w:val="00E62E7E"/>
    <w:rsid w:val="00E631EC"/>
    <w:rsid w:val="00E631F2"/>
    <w:rsid w:val="00E633E7"/>
    <w:rsid w:val="00E6342A"/>
    <w:rsid w:val="00E635A7"/>
    <w:rsid w:val="00E6392D"/>
    <w:rsid w:val="00E63938"/>
    <w:rsid w:val="00E63BE4"/>
    <w:rsid w:val="00E63D8D"/>
    <w:rsid w:val="00E64001"/>
    <w:rsid w:val="00E642F7"/>
    <w:rsid w:val="00E644C4"/>
    <w:rsid w:val="00E644F2"/>
    <w:rsid w:val="00E64584"/>
    <w:rsid w:val="00E645CD"/>
    <w:rsid w:val="00E6487C"/>
    <w:rsid w:val="00E64E2E"/>
    <w:rsid w:val="00E65366"/>
    <w:rsid w:val="00E653FA"/>
    <w:rsid w:val="00E6543E"/>
    <w:rsid w:val="00E65534"/>
    <w:rsid w:val="00E66121"/>
    <w:rsid w:val="00E6612B"/>
    <w:rsid w:val="00E6617D"/>
    <w:rsid w:val="00E664B6"/>
    <w:rsid w:val="00E6682F"/>
    <w:rsid w:val="00E67371"/>
    <w:rsid w:val="00E67428"/>
    <w:rsid w:val="00E67538"/>
    <w:rsid w:val="00E6787A"/>
    <w:rsid w:val="00E67909"/>
    <w:rsid w:val="00E67AE8"/>
    <w:rsid w:val="00E67B13"/>
    <w:rsid w:val="00E702C4"/>
    <w:rsid w:val="00E70341"/>
    <w:rsid w:val="00E70419"/>
    <w:rsid w:val="00E704D9"/>
    <w:rsid w:val="00E705F5"/>
    <w:rsid w:val="00E70A14"/>
    <w:rsid w:val="00E70D8D"/>
    <w:rsid w:val="00E70DE1"/>
    <w:rsid w:val="00E7105B"/>
    <w:rsid w:val="00E710FF"/>
    <w:rsid w:val="00E7142D"/>
    <w:rsid w:val="00E7152F"/>
    <w:rsid w:val="00E716A5"/>
    <w:rsid w:val="00E7176B"/>
    <w:rsid w:val="00E71BBE"/>
    <w:rsid w:val="00E71EF8"/>
    <w:rsid w:val="00E724EE"/>
    <w:rsid w:val="00E725FD"/>
    <w:rsid w:val="00E726B5"/>
    <w:rsid w:val="00E72811"/>
    <w:rsid w:val="00E72A3F"/>
    <w:rsid w:val="00E72FB5"/>
    <w:rsid w:val="00E73290"/>
    <w:rsid w:val="00E73304"/>
    <w:rsid w:val="00E7351B"/>
    <w:rsid w:val="00E739DB"/>
    <w:rsid w:val="00E73A63"/>
    <w:rsid w:val="00E73BB5"/>
    <w:rsid w:val="00E73BC3"/>
    <w:rsid w:val="00E73C84"/>
    <w:rsid w:val="00E73ED1"/>
    <w:rsid w:val="00E7495E"/>
    <w:rsid w:val="00E749A3"/>
    <w:rsid w:val="00E74B62"/>
    <w:rsid w:val="00E74CC5"/>
    <w:rsid w:val="00E74E10"/>
    <w:rsid w:val="00E74ECF"/>
    <w:rsid w:val="00E74FB7"/>
    <w:rsid w:val="00E75019"/>
    <w:rsid w:val="00E7520D"/>
    <w:rsid w:val="00E752E7"/>
    <w:rsid w:val="00E75458"/>
    <w:rsid w:val="00E7566D"/>
    <w:rsid w:val="00E75C24"/>
    <w:rsid w:val="00E760A7"/>
    <w:rsid w:val="00E762FD"/>
    <w:rsid w:val="00E7632E"/>
    <w:rsid w:val="00E763B3"/>
    <w:rsid w:val="00E767B4"/>
    <w:rsid w:val="00E768CD"/>
    <w:rsid w:val="00E76AA6"/>
    <w:rsid w:val="00E77179"/>
    <w:rsid w:val="00E7750E"/>
    <w:rsid w:val="00E77665"/>
    <w:rsid w:val="00E77971"/>
    <w:rsid w:val="00E77F51"/>
    <w:rsid w:val="00E80710"/>
    <w:rsid w:val="00E80847"/>
    <w:rsid w:val="00E80BF9"/>
    <w:rsid w:val="00E80CBC"/>
    <w:rsid w:val="00E80FB6"/>
    <w:rsid w:val="00E8138D"/>
    <w:rsid w:val="00E81CD0"/>
    <w:rsid w:val="00E82041"/>
    <w:rsid w:val="00E821C8"/>
    <w:rsid w:val="00E8224F"/>
    <w:rsid w:val="00E8247E"/>
    <w:rsid w:val="00E829F4"/>
    <w:rsid w:val="00E82B45"/>
    <w:rsid w:val="00E82B68"/>
    <w:rsid w:val="00E82CC1"/>
    <w:rsid w:val="00E82DE6"/>
    <w:rsid w:val="00E82FFF"/>
    <w:rsid w:val="00E83605"/>
    <w:rsid w:val="00E8363A"/>
    <w:rsid w:val="00E8368A"/>
    <w:rsid w:val="00E839B4"/>
    <w:rsid w:val="00E83A6C"/>
    <w:rsid w:val="00E83B89"/>
    <w:rsid w:val="00E83C24"/>
    <w:rsid w:val="00E84038"/>
    <w:rsid w:val="00E84110"/>
    <w:rsid w:val="00E844B6"/>
    <w:rsid w:val="00E845CA"/>
    <w:rsid w:val="00E847D1"/>
    <w:rsid w:val="00E848D5"/>
    <w:rsid w:val="00E84E83"/>
    <w:rsid w:val="00E84EE5"/>
    <w:rsid w:val="00E84F9E"/>
    <w:rsid w:val="00E851C9"/>
    <w:rsid w:val="00E855C1"/>
    <w:rsid w:val="00E85E63"/>
    <w:rsid w:val="00E85FB3"/>
    <w:rsid w:val="00E863C1"/>
    <w:rsid w:val="00E86424"/>
    <w:rsid w:val="00E872E7"/>
    <w:rsid w:val="00E8765A"/>
    <w:rsid w:val="00E8776A"/>
    <w:rsid w:val="00E879C5"/>
    <w:rsid w:val="00E90035"/>
    <w:rsid w:val="00E900B1"/>
    <w:rsid w:val="00E90511"/>
    <w:rsid w:val="00E90809"/>
    <w:rsid w:val="00E90B4A"/>
    <w:rsid w:val="00E90DE0"/>
    <w:rsid w:val="00E90F25"/>
    <w:rsid w:val="00E90F32"/>
    <w:rsid w:val="00E910B6"/>
    <w:rsid w:val="00E9112C"/>
    <w:rsid w:val="00E914DC"/>
    <w:rsid w:val="00E9157D"/>
    <w:rsid w:val="00E91898"/>
    <w:rsid w:val="00E91CA9"/>
    <w:rsid w:val="00E920CB"/>
    <w:rsid w:val="00E922D6"/>
    <w:rsid w:val="00E92578"/>
    <w:rsid w:val="00E92587"/>
    <w:rsid w:val="00E92EB0"/>
    <w:rsid w:val="00E93131"/>
    <w:rsid w:val="00E93175"/>
    <w:rsid w:val="00E93461"/>
    <w:rsid w:val="00E9351E"/>
    <w:rsid w:val="00E93CAE"/>
    <w:rsid w:val="00E9424B"/>
    <w:rsid w:val="00E943CE"/>
    <w:rsid w:val="00E946A7"/>
    <w:rsid w:val="00E949EC"/>
    <w:rsid w:val="00E94A4A"/>
    <w:rsid w:val="00E94B50"/>
    <w:rsid w:val="00E94C76"/>
    <w:rsid w:val="00E95068"/>
    <w:rsid w:val="00E95FDF"/>
    <w:rsid w:val="00E9630B"/>
    <w:rsid w:val="00E964E9"/>
    <w:rsid w:val="00E964FC"/>
    <w:rsid w:val="00E96538"/>
    <w:rsid w:val="00E96571"/>
    <w:rsid w:val="00E9668A"/>
    <w:rsid w:val="00E9685B"/>
    <w:rsid w:val="00E96F49"/>
    <w:rsid w:val="00E96F95"/>
    <w:rsid w:val="00E97194"/>
    <w:rsid w:val="00E973B0"/>
    <w:rsid w:val="00E977D0"/>
    <w:rsid w:val="00E979EB"/>
    <w:rsid w:val="00EA00ED"/>
    <w:rsid w:val="00EA0483"/>
    <w:rsid w:val="00EA0907"/>
    <w:rsid w:val="00EA0C6A"/>
    <w:rsid w:val="00EA0EB1"/>
    <w:rsid w:val="00EA1986"/>
    <w:rsid w:val="00EA1A5E"/>
    <w:rsid w:val="00EA2100"/>
    <w:rsid w:val="00EA21BD"/>
    <w:rsid w:val="00EA28E1"/>
    <w:rsid w:val="00EA2CD0"/>
    <w:rsid w:val="00EA2D5F"/>
    <w:rsid w:val="00EA2FCD"/>
    <w:rsid w:val="00EA30B4"/>
    <w:rsid w:val="00EA3399"/>
    <w:rsid w:val="00EA34DD"/>
    <w:rsid w:val="00EA36A4"/>
    <w:rsid w:val="00EA3B79"/>
    <w:rsid w:val="00EA3CC7"/>
    <w:rsid w:val="00EA3E58"/>
    <w:rsid w:val="00EA3E64"/>
    <w:rsid w:val="00EA3FE1"/>
    <w:rsid w:val="00EA42C4"/>
    <w:rsid w:val="00EA47D3"/>
    <w:rsid w:val="00EA49B6"/>
    <w:rsid w:val="00EA4F45"/>
    <w:rsid w:val="00EA510F"/>
    <w:rsid w:val="00EA531C"/>
    <w:rsid w:val="00EA55AC"/>
    <w:rsid w:val="00EA5AD1"/>
    <w:rsid w:val="00EA5DAF"/>
    <w:rsid w:val="00EA6242"/>
    <w:rsid w:val="00EA6734"/>
    <w:rsid w:val="00EA6A46"/>
    <w:rsid w:val="00EA70AD"/>
    <w:rsid w:val="00EA73F1"/>
    <w:rsid w:val="00EA73FD"/>
    <w:rsid w:val="00EA7406"/>
    <w:rsid w:val="00EA7481"/>
    <w:rsid w:val="00EA7573"/>
    <w:rsid w:val="00EA791F"/>
    <w:rsid w:val="00EA7DD7"/>
    <w:rsid w:val="00EA7ED2"/>
    <w:rsid w:val="00EA7FB9"/>
    <w:rsid w:val="00EB0241"/>
    <w:rsid w:val="00EB04C2"/>
    <w:rsid w:val="00EB0685"/>
    <w:rsid w:val="00EB0830"/>
    <w:rsid w:val="00EB0B04"/>
    <w:rsid w:val="00EB0B57"/>
    <w:rsid w:val="00EB1374"/>
    <w:rsid w:val="00EB1BB4"/>
    <w:rsid w:val="00EB1BD9"/>
    <w:rsid w:val="00EB1E30"/>
    <w:rsid w:val="00EB2249"/>
    <w:rsid w:val="00EB2498"/>
    <w:rsid w:val="00EB2561"/>
    <w:rsid w:val="00EB278D"/>
    <w:rsid w:val="00EB28FB"/>
    <w:rsid w:val="00EB2C2B"/>
    <w:rsid w:val="00EB2C4F"/>
    <w:rsid w:val="00EB2F9E"/>
    <w:rsid w:val="00EB30E9"/>
    <w:rsid w:val="00EB3218"/>
    <w:rsid w:val="00EB3378"/>
    <w:rsid w:val="00EB350E"/>
    <w:rsid w:val="00EB38FA"/>
    <w:rsid w:val="00EB439D"/>
    <w:rsid w:val="00EB498D"/>
    <w:rsid w:val="00EB4D2C"/>
    <w:rsid w:val="00EB4E6E"/>
    <w:rsid w:val="00EB5706"/>
    <w:rsid w:val="00EB574E"/>
    <w:rsid w:val="00EB57AA"/>
    <w:rsid w:val="00EB5CE6"/>
    <w:rsid w:val="00EB5E7F"/>
    <w:rsid w:val="00EB60FD"/>
    <w:rsid w:val="00EB62B0"/>
    <w:rsid w:val="00EB64E2"/>
    <w:rsid w:val="00EB6699"/>
    <w:rsid w:val="00EB67A9"/>
    <w:rsid w:val="00EB683F"/>
    <w:rsid w:val="00EB6904"/>
    <w:rsid w:val="00EB69B8"/>
    <w:rsid w:val="00EB6A77"/>
    <w:rsid w:val="00EB6C12"/>
    <w:rsid w:val="00EB6F0E"/>
    <w:rsid w:val="00EB70A7"/>
    <w:rsid w:val="00EB7929"/>
    <w:rsid w:val="00EB7B37"/>
    <w:rsid w:val="00EB7D2D"/>
    <w:rsid w:val="00EB7EA9"/>
    <w:rsid w:val="00EB7F81"/>
    <w:rsid w:val="00EC00F1"/>
    <w:rsid w:val="00EC0262"/>
    <w:rsid w:val="00EC0739"/>
    <w:rsid w:val="00EC0A99"/>
    <w:rsid w:val="00EC0AF5"/>
    <w:rsid w:val="00EC0B3E"/>
    <w:rsid w:val="00EC1294"/>
    <w:rsid w:val="00EC1934"/>
    <w:rsid w:val="00EC1C8F"/>
    <w:rsid w:val="00EC1E47"/>
    <w:rsid w:val="00EC1F04"/>
    <w:rsid w:val="00EC1F17"/>
    <w:rsid w:val="00EC1F6D"/>
    <w:rsid w:val="00EC20C2"/>
    <w:rsid w:val="00EC21C6"/>
    <w:rsid w:val="00EC2455"/>
    <w:rsid w:val="00EC24B4"/>
    <w:rsid w:val="00EC24CF"/>
    <w:rsid w:val="00EC25B3"/>
    <w:rsid w:val="00EC267C"/>
    <w:rsid w:val="00EC2BD1"/>
    <w:rsid w:val="00EC2D0C"/>
    <w:rsid w:val="00EC2FF0"/>
    <w:rsid w:val="00EC3146"/>
    <w:rsid w:val="00EC3190"/>
    <w:rsid w:val="00EC3567"/>
    <w:rsid w:val="00EC39D2"/>
    <w:rsid w:val="00EC3BA2"/>
    <w:rsid w:val="00EC3C6B"/>
    <w:rsid w:val="00EC42A5"/>
    <w:rsid w:val="00EC43F9"/>
    <w:rsid w:val="00EC4696"/>
    <w:rsid w:val="00EC48C6"/>
    <w:rsid w:val="00EC48DE"/>
    <w:rsid w:val="00EC4EC8"/>
    <w:rsid w:val="00EC4FB2"/>
    <w:rsid w:val="00EC570A"/>
    <w:rsid w:val="00EC5B71"/>
    <w:rsid w:val="00EC5EEE"/>
    <w:rsid w:val="00EC65F9"/>
    <w:rsid w:val="00EC66AB"/>
    <w:rsid w:val="00EC6930"/>
    <w:rsid w:val="00EC6AEC"/>
    <w:rsid w:val="00EC70C1"/>
    <w:rsid w:val="00EC71BE"/>
    <w:rsid w:val="00EC7388"/>
    <w:rsid w:val="00EC7D98"/>
    <w:rsid w:val="00ED00C2"/>
    <w:rsid w:val="00ED0441"/>
    <w:rsid w:val="00ED0450"/>
    <w:rsid w:val="00ED0590"/>
    <w:rsid w:val="00ED05B8"/>
    <w:rsid w:val="00ED06A1"/>
    <w:rsid w:val="00ED0778"/>
    <w:rsid w:val="00ED08B9"/>
    <w:rsid w:val="00ED0AED"/>
    <w:rsid w:val="00ED0B7D"/>
    <w:rsid w:val="00ED0B9A"/>
    <w:rsid w:val="00ED0BBE"/>
    <w:rsid w:val="00ED1169"/>
    <w:rsid w:val="00ED1BA6"/>
    <w:rsid w:val="00ED1E96"/>
    <w:rsid w:val="00ED1F14"/>
    <w:rsid w:val="00ED2198"/>
    <w:rsid w:val="00ED2238"/>
    <w:rsid w:val="00ED223E"/>
    <w:rsid w:val="00ED23C9"/>
    <w:rsid w:val="00ED25F6"/>
    <w:rsid w:val="00ED29AC"/>
    <w:rsid w:val="00ED2B44"/>
    <w:rsid w:val="00ED2CAE"/>
    <w:rsid w:val="00ED2FDA"/>
    <w:rsid w:val="00ED2FFC"/>
    <w:rsid w:val="00ED3166"/>
    <w:rsid w:val="00ED3465"/>
    <w:rsid w:val="00ED3744"/>
    <w:rsid w:val="00ED40F9"/>
    <w:rsid w:val="00ED41BD"/>
    <w:rsid w:val="00ED41DD"/>
    <w:rsid w:val="00ED4623"/>
    <w:rsid w:val="00ED477C"/>
    <w:rsid w:val="00ED4A9F"/>
    <w:rsid w:val="00ED5211"/>
    <w:rsid w:val="00ED5364"/>
    <w:rsid w:val="00ED54CC"/>
    <w:rsid w:val="00ED5514"/>
    <w:rsid w:val="00ED57D0"/>
    <w:rsid w:val="00ED5B85"/>
    <w:rsid w:val="00ED5C82"/>
    <w:rsid w:val="00ED5D43"/>
    <w:rsid w:val="00ED5F52"/>
    <w:rsid w:val="00ED61AB"/>
    <w:rsid w:val="00ED66CE"/>
    <w:rsid w:val="00ED679C"/>
    <w:rsid w:val="00ED715F"/>
    <w:rsid w:val="00ED7320"/>
    <w:rsid w:val="00ED7923"/>
    <w:rsid w:val="00ED7D10"/>
    <w:rsid w:val="00ED7D2B"/>
    <w:rsid w:val="00ED7D2D"/>
    <w:rsid w:val="00ED7EC7"/>
    <w:rsid w:val="00ED7ED0"/>
    <w:rsid w:val="00ED7EF5"/>
    <w:rsid w:val="00ED7FE4"/>
    <w:rsid w:val="00EE0020"/>
    <w:rsid w:val="00EE0446"/>
    <w:rsid w:val="00EE049C"/>
    <w:rsid w:val="00EE0678"/>
    <w:rsid w:val="00EE0761"/>
    <w:rsid w:val="00EE0882"/>
    <w:rsid w:val="00EE093E"/>
    <w:rsid w:val="00EE096F"/>
    <w:rsid w:val="00EE0CCE"/>
    <w:rsid w:val="00EE0EC1"/>
    <w:rsid w:val="00EE0F14"/>
    <w:rsid w:val="00EE0FA3"/>
    <w:rsid w:val="00EE0FCC"/>
    <w:rsid w:val="00EE10F0"/>
    <w:rsid w:val="00EE1430"/>
    <w:rsid w:val="00EE17EF"/>
    <w:rsid w:val="00EE1A6A"/>
    <w:rsid w:val="00EE1D06"/>
    <w:rsid w:val="00EE209C"/>
    <w:rsid w:val="00EE22BB"/>
    <w:rsid w:val="00EE28B0"/>
    <w:rsid w:val="00EE2A5B"/>
    <w:rsid w:val="00EE2B33"/>
    <w:rsid w:val="00EE2CE4"/>
    <w:rsid w:val="00EE30F0"/>
    <w:rsid w:val="00EE323B"/>
    <w:rsid w:val="00EE338F"/>
    <w:rsid w:val="00EE35C2"/>
    <w:rsid w:val="00EE3692"/>
    <w:rsid w:val="00EE36A7"/>
    <w:rsid w:val="00EE3A8C"/>
    <w:rsid w:val="00EE3C2D"/>
    <w:rsid w:val="00EE3E7B"/>
    <w:rsid w:val="00EE416C"/>
    <w:rsid w:val="00EE429B"/>
    <w:rsid w:val="00EE447C"/>
    <w:rsid w:val="00EE44C8"/>
    <w:rsid w:val="00EE458D"/>
    <w:rsid w:val="00EE46A3"/>
    <w:rsid w:val="00EE48CA"/>
    <w:rsid w:val="00EE4E56"/>
    <w:rsid w:val="00EE4E60"/>
    <w:rsid w:val="00EE4F54"/>
    <w:rsid w:val="00EE5242"/>
    <w:rsid w:val="00EE561A"/>
    <w:rsid w:val="00EE56BD"/>
    <w:rsid w:val="00EE5A6F"/>
    <w:rsid w:val="00EE5C84"/>
    <w:rsid w:val="00EE5D42"/>
    <w:rsid w:val="00EE5D57"/>
    <w:rsid w:val="00EE5FE3"/>
    <w:rsid w:val="00EE6017"/>
    <w:rsid w:val="00EE639B"/>
    <w:rsid w:val="00EE6592"/>
    <w:rsid w:val="00EE6959"/>
    <w:rsid w:val="00EE6E4A"/>
    <w:rsid w:val="00EE70D6"/>
    <w:rsid w:val="00EE7220"/>
    <w:rsid w:val="00EE72D7"/>
    <w:rsid w:val="00EE738F"/>
    <w:rsid w:val="00EE73A8"/>
    <w:rsid w:val="00EE7632"/>
    <w:rsid w:val="00EE7900"/>
    <w:rsid w:val="00EE7A1B"/>
    <w:rsid w:val="00EE7D6B"/>
    <w:rsid w:val="00EE7F6D"/>
    <w:rsid w:val="00EF01DB"/>
    <w:rsid w:val="00EF01FC"/>
    <w:rsid w:val="00EF04D5"/>
    <w:rsid w:val="00EF06BF"/>
    <w:rsid w:val="00EF0879"/>
    <w:rsid w:val="00EF0BFF"/>
    <w:rsid w:val="00EF0CA9"/>
    <w:rsid w:val="00EF0F3D"/>
    <w:rsid w:val="00EF102E"/>
    <w:rsid w:val="00EF1090"/>
    <w:rsid w:val="00EF11CC"/>
    <w:rsid w:val="00EF13BB"/>
    <w:rsid w:val="00EF15C9"/>
    <w:rsid w:val="00EF19D8"/>
    <w:rsid w:val="00EF1AE0"/>
    <w:rsid w:val="00EF1D7A"/>
    <w:rsid w:val="00EF2041"/>
    <w:rsid w:val="00EF21B4"/>
    <w:rsid w:val="00EF22CF"/>
    <w:rsid w:val="00EF248D"/>
    <w:rsid w:val="00EF26D8"/>
    <w:rsid w:val="00EF2B50"/>
    <w:rsid w:val="00EF2BC0"/>
    <w:rsid w:val="00EF2C47"/>
    <w:rsid w:val="00EF307A"/>
    <w:rsid w:val="00EF339F"/>
    <w:rsid w:val="00EF36EF"/>
    <w:rsid w:val="00EF3B12"/>
    <w:rsid w:val="00EF4352"/>
    <w:rsid w:val="00EF50DF"/>
    <w:rsid w:val="00EF50ED"/>
    <w:rsid w:val="00EF51F6"/>
    <w:rsid w:val="00EF5250"/>
    <w:rsid w:val="00EF53C8"/>
    <w:rsid w:val="00EF5425"/>
    <w:rsid w:val="00EF5690"/>
    <w:rsid w:val="00EF589C"/>
    <w:rsid w:val="00EF58DA"/>
    <w:rsid w:val="00EF5907"/>
    <w:rsid w:val="00EF59FE"/>
    <w:rsid w:val="00EF5B1F"/>
    <w:rsid w:val="00EF5B89"/>
    <w:rsid w:val="00EF5E68"/>
    <w:rsid w:val="00EF5F29"/>
    <w:rsid w:val="00EF5FB5"/>
    <w:rsid w:val="00EF609F"/>
    <w:rsid w:val="00EF611A"/>
    <w:rsid w:val="00EF61B2"/>
    <w:rsid w:val="00EF659A"/>
    <w:rsid w:val="00EF676D"/>
    <w:rsid w:val="00EF6820"/>
    <w:rsid w:val="00EF682E"/>
    <w:rsid w:val="00EF691E"/>
    <w:rsid w:val="00EF6BA7"/>
    <w:rsid w:val="00EF6C0B"/>
    <w:rsid w:val="00EF6CB1"/>
    <w:rsid w:val="00EF6E9A"/>
    <w:rsid w:val="00EF6FAF"/>
    <w:rsid w:val="00EF6FB3"/>
    <w:rsid w:val="00EF716A"/>
    <w:rsid w:val="00EF7744"/>
    <w:rsid w:val="00EF797B"/>
    <w:rsid w:val="00EF79A7"/>
    <w:rsid w:val="00EF79B7"/>
    <w:rsid w:val="00EF7BDB"/>
    <w:rsid w:val="00EF7EDE"/>
    <w:rsid w:val="00F00160"/>
    <w:rsid w:val="00F007AE"/>
    <w:rsid w:val="00F00906"/>
    <w:rsid w:val="00F00969"/>
    <w:rsid w:val="00F009E3"/>
    <w:rsid w:val="00F00BBF"/>
    <w:rsid w:val="00F01055"/>
    <w:rsid w:val="00F0128E"/>
    <w:rsid w:val="00F01413"/>
    <w:rsid w:val="00F01528"/>
    <w:rsid w:val="00F0167B"/>
    <w:rsid w:val="00F016BE"/>
    <w:rsid w:val="00F016F0"/>
    <w:rsid w:val="00F01993"/>
    <w:rsid w:val="00F01BE3"/>
    <w:rsid w:val="00F01DF3"/>
    <w:rsid w:val="00F01EB7"/>
    <w:rsid w:val="00F02243"/>
    <w:rsid w:val="00F022E2"/>
    <w:rsid w:val="00F0238E"/>
    <w:rsid w:val="00F0261A"/>
    <w:rsid w:val="00F02911"/>
    <w:rsid w:val="00F02F0A"/>
    <w:rsid w:val="00F03121"/>
    <w:rsid w:val="00F03206"/>
    <w:rsid w:val="00F03415"/>
    <w:rsid w:val="00F035E7"/>
    <w:rsid w:val="00F03632"/>
    <w:rsid w:val="00F03693"/>
    <w:rsid w:val="00F038B4"/>
    <w:rsid w:val="00F039DE"/>
    <w:rsid w:val="00F03C5C"/>
    <w:rsid w:val="00F03FCA"/>
    <w:rsid w:val="00F04034"/>
    <w:rsid w:val="00F04720"/>
    <w:rsid w:val="00F04768"/>
    <w:rsid w:val="00F04D0F"/>
    <w:rsid w:val="00F04E9B"/>
    <w:rsid w:val="00F04EB2"/>
    <w:rsid w:val="00F04F62"/>
    <w:rsid w:val="00F04FEF"/>
    <w:rsid w:val="00F0526A"/>
    <w:rsid w:val="00F05286"/>
    <w:rsid w:val="00F0536D"/>
    <w:rsid w:val="00F054B2"/>
    <w:rsid w:val="00F057C4"/>
    <w:rsid w:val="00F059BB"/>
    <w:rsid w:val="00F05E8E"/>
    <w:rsid w:val="00F05EE4"/>
    <w:rsid w:val="00F05F0B"/>
    <w:rsid w:val="00F06047"/>
    <w:rsid w:val="00F061ED"/>
    <w:rsid w:val="00F06366"/>
    <w:rsid w:val="00F06518"/>
    <w:rsid w:val="00F06558"/>
    <w:rsid w:val="00F065B8"/>
    <w:rsid w:val="00F06783"/>
    <w:rsid w:val="00F06836"/>
    <w:rsid w:val="00F06BF6"/>
    <w:rsid w:val="00F06D1D"/>
    <w:rsid w:val="00F07106"/>
    <w:rsid w:val="00F072A2"/>
    <w:rsid w:val="00F072F2"/>
    <w:rsid w:val="00F0763F"/>
    <w:rsid w:val="00F07A4D"/>
    <w:rsid w:val="00F10160"/>
    <w:rsid w:val="00F109EA"/>
    <w:rsid w:val="00F10FF7"/>
    <w:rsid w:val="00F112AD"/>
    <w:rsid w:val="00F1149B"/>
    <w:rsid w:val="00F115A6"/>
    <w:rsid w:val="00F11744"/>
    <w:rsid w:val="00F118B3"/>
    <w:rsid w:val="00F118F7"/>
    <w:rsid w:val="00F11A0C"/>
    <w:rsid w:val="00F11ABC"/>
    <w:rsid w:val="00F11D73"/>
    <w:rsid w:val="00F1231F"/>
    <w:rsid w:val="00F124C8"/>
    <w:rsid w:val="00F1258C"/>
    <w:rsid w:val="00F125FD"/>
    <w:rsid w:val="00F1273C"/>
    <w:rsid w:val="00F127FB"/>
    <w:rsid w:val="00F128FD"/>
    <w:rsid w:val="00F12C36"/>
    <w:rsid w:val="00F12D5C"/>
    <w:rsid w:val="00F134FF"/>
    <w:rsid w:val="00F13601"/>
    <w:rsid w:val="00F136E0"/>
    <w:rsid w:val="00F1390A"/>
    <w:rsid w:val="00F14170"/>
    <w:rsid w:val="00F143E8"/>
    <w:rsid w:val="00F145A1"/>
    <w:rsid w:val="00F147A5"/>
    <w:rsid w:val="00F148B4"/>
    <w:rsid w:val="00F14AE2"/>
    <w:rsid w:val="00F14BD5"/>
    <w:rsid w:val="00F14BE7"/>
    <w:rsid w:val="00F1513D"/>
    <w:rsid w:val="00F15562"/>
    <w:rsid w:val="00F155C6"/>
    <w:rsid w:val="00F15720"/>
    <w:rsid w:val="00F157AA"/>
    <w:rsid w:val="00F158F8"/>
    <w:rsid w:val="00F15B8D"/>
    <w:rsid w:val="00F16272"/>
    <w:rsid w:val="00F1646F"/>
    <w:rsid w:val="00F16535"/>
    <w:rsid w:val="00F16559"/>
    <w:rsid w:val="00F16AF6"/>
    <w:rsid w:val="00F16B57"/>
    <w:rsid w:val="00F16EB0"/>
    <w:rsid w:val="00F1704D"/>
    <w:rsid w:val="00F17109"/>
    <w:rsid w:val="00F173EE"/>
    <w:rsid w:val="00F17B3A"/>
    <w:rsid w:val="00F17B59"/>
    <w:rsid w:val="00F17D04"/>
    <w:rsid w:val="00F17DCF"/>
    <w:rsid w:val="00F17F4D"/>
    <w:rsid w:val="00F20083"/>
    <w:rsid w:val="00F2041E"/>
    <w:rsid w:val="00F2062C"/>
    <w:rsid w:val="00F20780"/>
    <w:rsid w:val="00F20847"/>
    <w:rsid w:val="00F20C3D"/>
    <w:rsid w:val="00F20F40"/>
    <w:rsid w:val="00F20F8C"/>
    <w:rsid w:val="00F20FF8"/>
    <w:rsid w:val="00F211AC"/>
    <w:rsid w:val="00F215B1"/>
    <w:rsid w:val="00F21AF7"/>
    <w:rsid w:val="00F21EAA"/>
    <w:rsid w:val="00F222BA"/>
    <w:rsid w:val="00F22392"/>
    <w:rsid w:val="00F22419"/>
    <w:rsid w:val="00F225D4"/>
    <w:rsid w:val="00F2276C"/>
    <w:rsid w:val="00F228A5"/>
    <w:rsid w:val="00F229DE"/>
    <w:rsid w:val="00F22B1B"/>
    <w:rsid w:val="00F22FCA"/>
    <w:rsid w:val="00F23170"/>
    <w:rsid w:val="00F231C5"/>
    <w:rsid w:val="00F231F0"/>
    <w:rsid w:val="00F239BC"/>
    <w:rsid w:val="00F23AB0"/>
    <w:rsid w:val="00F23F3F"/>
    <w:rsid w:val="00F24402"/>
    <w:rsid w:val="00F24637"/>
    <w:rsid w:val="00F247A3"/>
    <w:rsid w:val="00F2480D"/>
    <w:rsid w:val="00F24BF0"/>
    <w:rsid w:val="00F24D4F"/>
    <w:rsid w:val="00F24DD3"/>
    <w:rsid w:val="00F24ED0"/>
    <w:rsid w:val="00F25023"/>
    <w:rsid w:val="00F252D6"/>
    <w:rsid w:val="00F25714"/>
    <w:rsid w:val="00F25913"/>
    <w:rsid w:val="00F25FF4"/>
    <w:rsid w:val="00F2656C"/>
    <w:rsid w:val="00F26587"/>
    <w:rsid w:val="00F26624"/>
    <w:rsid w:val="00F2665A"/>
    <w:rsid w:val="00F26722"/>
    <w:rsid w:val="00F2676A"/>
    <w:rsid w:val="00F268C7"/>
    <w:rsid w:val="00F26ABA"/>
    <w:rsid w:val="00F26ABF"/>
    <w:rsid w:val="00F26CDD"/>
    <w:rsid w:val="00F271D7"/>
    <w:rsid w:val="00F2742B"/>
    <w:rsid w:val="00F2759F"/>
    <w:rsid w:val="00F2764C"/>
    <w:rsid w:val="00F27660"/>
    <w:rsid w:val="00F2797A"/>
    <w:rsid w:val="00F27AC9"/>
    <w:rsid w:val="00F27BE9"/>
    <w:rsid w:val="00F27C14"/>
    <w:rsid w:val="00F300B2"/>
    <w:rsid w:val="00F30308"/>
    <w:rsid w:val="00F30488"/>
    <w:rsid w:val="00F30726"/>
    <w:rsid w:val="00F30B7D"/>
    <w:rsid w:val="00F30B94"/>
    <w:rsid w:val="00F30C8A"/>
    <w:rsid w:val="00F312E4"/>
    <w:rsid w:val="00F315BD"/>
    <w:rsid w:val="00F316AF"/>
    <w:rsid w:val="00F31761"/>
    <w:rsid w:val="00F317C7"/>
    <w:rsid w:val="00F31BE4"/>
    <w:rsid w:val="00F3268B"/>
    <w:rsid w:val="00F327CD"/>
    <w:rsid w:val="00F32B50"/>
    <w:rsid w:val="00F32C98"/>
    <w:rsid w:val="00F33693"/>
    <w:rsid w:val="00F3390D"/>
    <w:rsid w:val="00F33B36"/>
    <w:rsid w:val="00F33BC8"/>
    <w:rsid w:val="00F33BDB"/>
    <w:rsid w:val="00F33C93"/>
    <w:rsid w:val="00F33CC8"/>
    <w:rsid w:val="00F33E32"/>
    <w:rsid w:val="00F341A8"/>
    <w:rsid w:val="00F341BC"/>
    <w:rsid w:val="00F34989"/>
    <w:rsid w:val="00F34A05"/>
    <w:rsid w:val="00F34AC2"/>
    <w:rsid w:val="00F34C6A"/>
    <w:rsid w:val="00F35130"/>
    <w:rsid w:val="00F35510"/>
    <w:rsid w:val="00F35664"/>
    <w:rsid w:val="00F359AB"/>
    <w:rsid w:val="00F35B83"/>
    <w:rsid w:val="00F36030"/>
    <w:rsid w:val="00F3603D"/>
    <w:rsid w:val="00F363CC"/>
    <w:rsid w:val="00F36686"/>
    <w:rsid w:val="00F36A5A"/>
    <w:rsid w:val="00F36C56"/>
    <w:rsid w:val="00F3712A"/>
    <w:rsid w:val="00F3719C"/>
    <w:rsid w:val="00F371CE"/>
    <w:rsid w:val="00F3732E"/>
    <w:rsid w:val="00F373BC"/>
    <w:rsid w:val="00F374A7"/>
    <w:rsid w:val="00F37564"/>
    <w:rsid w:val="00F37C28"/>
    <w:rsid w:val="00F37CE5"/>
    <w:rsid w:val="00F37F9B"/>
    <w:rsid w:val="00F37FA6"/>
    <w:rsid w:val="00F40193"/>
    <w:rsid w:val="00F4035D"/>
    <w:rsid w:val="00F40379"/>
    <w:rsid w:val="00F405CA"/>
    <w:rsid w:val="00F4088C"/>
    <w:rsid w:val="00F40959"/>
    <w:rsid w:val="00F40CD0"/>
    <w:rsid w:val="00F40DED"/>
    <w:rsid w:val="00F40E4A"/>
    <w:rsid w:val="00F413CE"/>
    <w:rsid w:val="00F4147D"/>
    <w:rsid w:val="00F415D7"/>
    <w:rsid w:val="00F4165F"/>
    <w:rsid w:val="00F41948"/>
    <w:rsid w:val="00F41A63"/>
    <w:rsid w:val="00F4211D"/>
    <w:rsid w:val="00F421FD"/>
    <w:rsid w:val="00F4224A"/>
    <w:rsid w:val="00F4246A"/>
    <w:rsid w:val="00F426CB"/>
    <w:rsid w:val="00F4291D"/>
    <w:rsid w:val="00F42967"/>
    <w:rsid w:val="00F42CB7"/>
    <w:rsid w:val="00F42D57"/>
    <w:rsid w:val="00F42E4C"/>
    <w:rsid w:val="00F42F09"/>
    <w:rsid w:val="00F431E5"/>
    <w:rsid w:val="00F4325B"/>
    <w:rsid w:val="00F4332D"/>
    <w:rsid w:val="00F437E5"/>
    <w:rsid w:val="00F43D65"/>
    <w:rsid w:val="00F43ECF"/>
    <w:rsid w:val="00F43FAC"/>
    <w:rsid w:val="00F442FB"/>
    <w:rsid w:val="00F44774"/>
    <w:rsid w:val="00F4497B"/>
    <w:rsid w:val="00F44A26"/>
    <w:rsid w:val="00F44B33"/>
    <w:rsid w:val="00F44C73"/>
    <w:rsid w:val="00F44CEE"/>
    <w:rsid w:val="00F44E7C"/>
    <w:rsid w:val="00F4505E"/>
    <w:rsid w:val="00F45685"/>
    <w:rsid w:val="00F45933"/>
    <w:rsid w:val="00F4599B"/>
    <w:rsid w:val="00F45E29"/>
    <w:rsid w:val="00F45FEA"/>
    <w:rsid w:val="00F4627F"/>
    <w:rsid w:val="00F46549"/>
    <w:rsid w:val="00F46946"/>
    <w:rsid w:val="00F46983"/>
    <w:rsid w:val="00F46A6D"/>
    <w:rsid w:val="00F46D9B"/>
    <w:rsid w:val="00F47466"/>
    <w:rsid w:val="00F4767C"/>
    <w:rsid w:val="00F477FE"/>
    <w:rsid w:val="00F47A1E"/>
    <w:rsid w:val="00F47B4D"/>
    <w:rsid w:val="00F47B62"/>
    <w:rsid w:val="00F47C58"/>
    <w:rsid w:val="00F47CB2"/>
    <w:rsid w:val="00F47FBC"/>
    <w:rsid w:val="00F5005C"/>
    <w:rsid w:val="00F505D9"/>
    <w:rsid w:val="00F5069B"/>
    <w:rsid w:val="00F50887"/>
    <w:rsid w:val="00F509B3"/>
    <w:rsid w:val="00F50AD3"/>
    <w:rsid w:val="00F50BCE"/>
    <w:rsid w:val="00F50C6F"/>
    <w:rsid w:val="00F50E5D"/>
    <w:rsid w:val="00F5133C"/>
    <w:rsid w:val="00F518F4"/>
    <w:rsid w:val="00F51CCB"/>
    <w:rsid w:val="00F51EC6"/>
    <w:rsid w:val="00F51FC9"/>
    <w:rsid w:val="00F51FEE"/>
    <w:rsid w:val="00F524BD"/>
    <w:rsid w:val="00F52E19"/>
    <w:rsid w:val="00F53031"/>
    <w:rsid w:val="00F533DE"/>
    <w:rsid w:val="00F53415"/>
    <w:rsid w:val="00F53509"/>
    <w:rsid w:val="00F5353F"/>
    <w:rsid w:val="00F5355A"/>
    <w:rsid w:val="00F536A3"/>
    <w:rsid w:val="00F536CF"/>
    <w:rsid w:val="00F53918"/>
    <w:rsid w:val="00F53EF7"/>
    <w:rsid w:val="00F53FE7"/>
    <w:rsid w:val="00F5411A"/>
    <w:rsid w:val="00F54424"/>
    <w:rsid w:val="00F545B7"/>
    <w:rsid w:val="00F54644"/>
    <w:rsid w:val="00F54947"/>
    <w:rsid w:val="00F54F06"/>
    <w:rsid w:val="00F55137"/>
    <w:rsid w:val="00F553CE"/>
    <w:rsid w:val="00F555A0"/>
    <w:rsid w:val="00F555B3"/>
    <w:rsid w:val="00F55AA8"/>
    <w:rsid w:val="00F55B5B"/>
    <w:rsid w:val="00F55DA7"/>
    <w:rsid w:val="00F56612"/>
    <w:rsid w:val="00F567C2"/>
    <w:rsid w:val="00F56A66"/>
    <w:rsid w:val="00F56BB3"/>
    <w:rsid w:val="00F56BE3"/>
    <w:rsid w:val="00F56F38"/>
    <w:rsid w:val="00F571A7"/>
    <w:rsid w:val="00F5752A"/>
    <w:rsid w:val="00F5759C"/>
    <w:rsid w:val="00F5762C"/>
    <w:rsid w:val="00F57871"/>
    <w:rsid w:val="00F5796D"/>
    <w:rsid w:val="00F5798D"/>
    <w:rsid w:val="00F57B32"/>
    <w:rsid w:val="00F57C73"/>
    <w:rsid w:val="00F57D61"/>
    <w:rsid w:val="00F57F9C"/>
    <w:rsid w:val="00F600C0"/>
    <w:rsid w:val="00F60319"/>
    <w:rsid w:val="00F60A1B"/>
    <w:rsid w:val="00F60BD8"/>
    <w:rsid w:val="00F615AA"/>
    <w:rsid w:val="00F619D4"/>
    <w:rsid w:val="00F61FEB"/>
    <w:rsid w:val="00F62459"/>
    <w:rsid w:val="00F6265C"/>
    <w:rsid w:val="00F628C5"/>
    <w:rsid w:val="00F62EBD"/>
    <w:rsid w:val="00F632A9"/>
    <w:rsid w:val="00F63B43"/>
    <w:rsid w:val="00F63C1E"/>
    <w:rsid w:val="00F63CF1"/>
    <w:rsid w:val="00F63F46"/>
    <w:rsid w:val="00F63FB8"/>
    <w:rsid w:val="00F64072"/>
    <w:rsid w:val="00F64258"/>
    <w:rsid w:val="00F645A0"/>
    <w:rsid w:val="00F64819"/>
    <w:rsid w:val="00F64886"/>
    <w:rsid w:val="00F64BA3"/>
    <w:rsid w:val="00F64CCA"/>
    <w:rsid w:val="00F64D19"/>
    <w:rsid w:val="00F64D3B"/>
    <w:rsid w:val="00F64DDE"/>
    <w:rsid w:val="00F64E24"/>
    <w:rsid w:val="00F651F3"/>
    <w:rsid w:val="00F655B8"/>
    <w:rsid w:val="00F65768"/>
    <w:rsid w:val="00F6594E"/>
    <w:rsid w:val="00F65966"/>
    <w:rsid w:val="00F6596D"/>
    <w:rsid w:val="00F65C10"/>
    <w:rsid w:val="00F65CB4"/>
    <w:rsid w:val="00F65FC4"/>
    <w:rsid w:val="00F663CB"/>
    <w:rsid w:val="00F664D4"/>
    <w:rsid w:val="00F66844"/>
    <w:rsid w:val="00F66BA0"/>
    <w:rsid w:val="00F66F94"/>
    <w:rsid w:val="00F67080"/>
    <w:rsid w:val="00F6716D"/>
    <w:rsid w:val="00F67435"/>
    <w:rsid w:val="00F6752B"/>
    <w:rsid w:val="00F675DE"/>
    <w:rsid w:val="00F676B1"/>
    <w:rsid w:val="00F67722"/>
    <w:rsid w:val="00F67897"/>
    <w:rsid w:val="00F67ACF"/>
    <w:rsid w:val="00F67C2E"/>
    <w:rsid w:val="00F67CE3"/>
    <w:rsid w:val="00F67D9C"/>
    <w:rsid w:val="00F67FFB"/>
    <w:rsid w:val="00F70234"/>
    <w:rsid w:val="00F70729"/>
    <w:rsid w:val="00F70897"/>
    <w:rsid w:val="00F70A03"/>
    <w:rsid w:val="00F71130"/>
    <w:rsid w:val="00F711FE"/>
    <w:rsid w:val="00F712AE"/>
    <w:rsid w:val="00F712BC"/>
    <w:rsid w:val="00F713AF"/>
    <w:rsid w:val="00F7185A"/>
    <w:rsid w:val="00F718ED"/>
    <w:rsid w:val="00F7193C"/>
    <w:rsid w:val="00F719EA"/>
    <w:rsid w:val="00F71C88"/>
    <w:rsid w:val="00F7217E"/>
    <w:rsid w:val="00F722E3"/>
    <w:rsid w:val="00F727AC"/>
    <w:rsid w:val="00F7283B"/>
    <w:rsid w:val="00F72856"/>
    <w:rsid w:val="00F728B4"/>
    <w:rsid w:val="00F72915"/>
    <w:rsid w:val="00F72928"/>
    <w:rsid w:val="00F72BCE"/>
    <w:rsid w:val="00F72FDC"/>
    <w:rsid w:val="00F733AF"/>
    <w:rsid w:val="00F733C6"/>
    <w:rsid w:val="00F736EF"/>
    <w:rsid w:val="00F7371D"/>
    <w:rsid w:val="00F737E7"/>
    <w:rsid w:val="00F73877"/>
    <w:rsid w:val="00F738D6"/>
    <w:rsid w:val="00F7395F"/>
    <w:rsid w:val="00F73D8F"/>
    <w:rsid w:val="00F73D9E"/>
    <w:rsid w:val="00F73DF2"/>
    <w:rsid w:val="00F73E7D"/>
    <w:rsid w:val="00F74048"/>
    <w:rsid w:val="00F74847"/>
    <w:rsid w:val="00F74E38"/>
    <w:rsid w:val="00F74E74"/>
    <w:rsid w:val="00F74F59"/>
    <w:rsid w:val="00F751EE"/>
    <w:rsid w:val="00F75642"/>
    <w:rsid w:val="00F75721"/>
    <w:rsid w:val="00F7587C"/>
    <w:rsid w:val="00F761F5"/>
    <w:rsid w:val="00F766B0"/>
    <w:rsid w:val="00F768B7"/>
    <w:rsid w:val="00F76C3F"/>
    <w:rsid w:val="00F76C72"/>
    <w:rsid w:val="00F76CE3"/>
    <w:rsid w:val="00F76F06"/>
    <w:rsid w:val="00F77020"/>
    <w:rsid w:val="00F77136"/>
    <w:rsid w:val="00F774DF"/>
    <w:rsid w:val="00F7757D"/>
    <w:rsid w:val="00F77629"/>
    <w:rsid w:val="00F77875"/>
    <w:rsid w:val="00F77E3A"/>
    <w:rsid w:val="00F77EF2"/>
    <w:rsid w:val="00F77F5F"/>
    <w:rsid w:val="00F77FBB"/>
    <w:rsid w:val="00F8019E"/>
    <w:rsid w:val="00F80685"/>
    <w:rsid w:val="00F806D1"/>
    <w:rsid w:val="00F80BA9"/>
    <w:rsid w:val="00F816B9"/>
    <w:rsid w:val="00F81969"/>
    <w:rsid w:val="00F8197D"/>
    <w:rsid w:val="00F819DF"/>
    <w:rsid w:val="00F81DE6"/>
    <w:rsid w:val="00F8221E"/>
    <w:rsid w:val="00F82494"/>
    <w:rsid w:val="00F8255A"/>
    <w:rsid w:val="00F828C3"/>
    <w:rsid w:val="00F82ADD"/>
    <w:rsid w:val="00F82CF4"/>
    <w:rsid w:val="00F82D84"/>
    <w:rsid w:val="00F82E87"/>
    <w:rsid w:val="00F8307B"/>
    <w:rsid w:val="00F8308B"/>
    <w:rsid w:val="00F830FB"/>
    <w:rsid w:val="00F831C6"/>
    <w:rsid w:val="00F833CD"/>
    <w:rsid w:val="00F8366E"/>
    <w:rsid w:val="00F836E2"/>
    <w:rsid w:val="00F843A4"/>
    <w:rsid w:val="00F84584"/>
    <w:rsid w:val="00F84B77"/>
    <w:rsid w:val="00F84C91"/>
    <w:rsid w:val="00F84CFD"/>
    <w:rsid w:val="00F84D16"/>
    <w:rsid w:val="00F84D27"/>
    <w:rsid w:val="00F85274"/>
    <w:rsid w:val="00F85523"/>
    <w:rsid w:val="00F85568"/>
    <w:rsid w:val="00F856FF"/>
    <w:rsid w:val="00F857CB"/>
    <w:rsid w:val="00F85A46"/>
    <w:rsid w:val="00F860D9"/>
    <w:rsid w:val="00F864EA"/>
    <w:rsid w:val="00F86836"/>
    <w:rsid w:val="00F86B6B"/>
    <w:rsid w:val="00F86CE8"/>
    <w:rsid w:val="00F86F1F"/>
    <w:rsid w:val="00F870CA"/>
    <w:rsid w:val="00F87174"/>
    <w:rsid w:val="00F87379"/>
    <w:rsid w:val="00F8755D"/>
    <w:rsid w:val="00F87970"/>
    <w:rsid w:val="00F87A26"/>
    <w:rsid w:val="00F87A75"/>
    <w:rsid w:val="00F87C06"/>
    <w:rsid w:val="00F87E15"/>
    <w:rsid w:val="00F87EF1"/>
    <w:rsid w:val="00F901EA"/>
    <w:rsid w:val="00F9021E"/>
    <w:rsid w:val="00F90903"/>
    <w:rsid w:val="00F90A1C"/>
    <w:rsid w:val="00F90F37"/>
    <w:rsid w:val="00F90FE3"/>
    <w:rsid w:val="00F9128A"/>
    <w:rsid w:val="00F912CC"/>
    <w:rsid w:val="00F913AF"/>
    <w:rsid w:val="00F9159E"/>
    <w:rsid w:val="00F9163E"/>
    <w:rsid w:val="00F918FB"/>
    <w:rsid w:val="00F91CAD"/>
    <w:rsid w:val="00F91D29"/>
    <w:rsid w:val="00F92171"/>
    <w:rsid w:val="00F927AE"/>
    <w:rsid w:val="00F92C13"/>
    <w:rsid w:val="00F930EF"/>
    <w:rsid w:val="00F931BD"/>
    <w:rsid w:val="00F931CA"/>
    <w:rsid w:val="00F93423"/>
    <w:rsid w:val="00F934B5"/>
    <w:rsid w:val="00F93738"/>
    <w:rsid w:val="00F9380E"/>
    <w:rsid w:val="00F93814"/>
    <w:rsid w:val="00F9387D"/>
    <w:rsid w:val="00F93A65"/>
    <w:rsid w:val="00F93AF6"/>
    <w:rsid w:val="00F93AFF"/>
    <w:rsid w:val="00F93DE0"/>
    <w:rsid w:val="00F94292"/>
    <w:rsid w:val="00F9477C"/>
    <w:rsid w:val="00F948B9"/>
    <w:rsid w:val="00F94A03"/>
    <w:rsid w:val="00F94A39"/>
    <w:rsid w:val="00F94B10"/>
    <w:rsid w:val="00F94CFF"/>
    <w:rsid w:val="00F94E58"/>
    <w:rsid w:val="00F94F8F"/>
    <w:rsid w:val="00F9500E"/>
    <w:rsid w:val="00F954FC"/>
    <w:rsid w:val="00F95739"/>
    <w:rsid w:val="00F95791"/>
    <w:rsid w:val="00F958A7"/>
    <w:rsid w:val="00F95C13"/>
    <w:rsid w:val="00F95C40"/>
    <w:rsid w:val="00F95CBA"/>
    <w:rsid w:val="00F96016"/>
    <w:rsid w:val="00F96131"/>
    <w:rsid w:val="00F96162"/>
    <w:rsid w:val="00F96354"/>
    <w:rsid w:val="00F96445"/>
    <w:rsid w:val="00F96473"/>
    <w:rsid w:val="00F96516"/>
    <w:rsid w:val="00F96733"/>
    <w:rsid w:val="00F968C8"/>
    <w:rsid w:val="00F96B84"/>
    <w:rsid w:val="00F96C8D"/>
    <w:rsid w:val="00F96D56"/>
    <w:rsid w:val="00F96F39"/>
    <w:rsid w:val="00F9700A"/>
    <w:rsid w:val="00F97188"/>
    <w:rsid w:val="00F97933"/>
    <w:rsid w:val="00F97AD7"/>
    <w:rsid w:val="00F97BAD"/>
    <w:rsid w:val="00F97BF4"/>
    <w:rsid w:val="00F97CF9"/>
    <w:rsid w:val="00F97D7C"/>
    <w:rsid w:val="00F97F9E"/>
    <w:rsid w:val="00FA03B4"/>
    <w:rsid w:val="00FA08D3"/>
    <w:rsid w:val="00FA0B26"/>
    <w:rsid w:val="00FA0FA0"/>
    <w:rsid w:val="00FA1C21"/>
    <w:rsid w:val="00FA1C9A"/>
    <w:rsid w:val="00FA1EDA"/>
    <w:rsid w:val="00FA1F1F"/>
    <w:rsid w:val="00FA2225"/>
    <w:rsid w:val="00FA2358"/>
    <w:rsid w:val="00FA2446"/>
    <w:rsid w:val="00FA24B6"/>
    <w:rsid w:val="00FA2581"/>
    <w:rsid w:val="00FA25BA"/>
    <w:rsid w:val="00FA28F8"/>
    <w:rsid w:val="00FA31EF"/>
    <w:rsid w:val="00FA33E5"/>
    <w:rsid w:val="00FA344B"/>
    <w:rsid w:val="00FA3674"/>
    <w:rsid w:val="00FA397E"/>
    <w:rsid w:val="00FA3B00"/>
    <w:rsid w:val="00FA3B6D"/>
    <w:rsid w:val="00FA3CA6"/>
    <w:rsid w:val="00FA3D9A"/>
    <w:rsid w:val="00FA3DAA"/>
    <w:rsid w:val="00FA4075"/>
    <w:rsid w:val="00FA40E0"/>
    <w:rsid w:val="00FA41DE"/>
    <w:rsid w:val="00FA429F"/>
    <w:rsid w:val="00FA445A"/>
    <w:rsid w:val="00FA4585"/>
    <w:rsid w:val="00FA4685"/>
    <w:rsid w:val="00FA47FF"/>
    <w:rsid w:val="00FA483D"/>
    <w:rsid w:val="00FA4C5F"/>
    <w:rsid w:val="00FA5053"/>
    <w:rsid w:val="00FA53ED"/>
    <w:rsid w:val="00FA559D"/>
    <w:rsid w:val="00FA563A"/>
    <w:rsid w:val="00FA571F"/>
    <w:rsid w:val="00FA58A2"/>
    <w:rsid w:val="00FA5C41"/>
    <w:rsid w:val="00FA66CF"/>
    <w:rsid w:val="00FA66DC"/>
    <w:rsid w:val="00FA671F"/>
    <w:rsid w:val="00FA683B"/>
    <w:rsid w:val="00FA6D16"/>
    <w:rsid w:val="00FA6E9C"/>
    <w:rsid w:val="00FA6F24"/>
    <w:rsid w:val="00FA7207"/>
    <w:rsid w:val="00FB0117"/>
    <w:rsid w:val="00FB0201"/>
    <w:rsid w:val="00FB072C"/>
    <w:rsid w:val="00FB08B9"/>
    <w:rsid w:val="00FB0A04"/>
    <w:rsid w:val="00FB0BFB"/>
    <w:rsid w:val="00FB0E21"/>
    <w:rsid w:val="00FB11C9"/>
    <w:rsid w:val="00FB1252"/>
    <w:rsid w:val="00FB1D5A"/>
    <w:rsid w:val="00FB1F57"/>
    <w:rsid w:val="00FB212E"/>
    <w:rsid w:val="00FB27A5"/>
    <w:rsid w:val="00FB2A81"/>
    <w:rsid w:val="00FB2BB5"/>
    <w:rsid w:val="00FB2D8E"/>
    <w:rsid w:val="00FB32D8"/>
    <w:rsid w:val="00FB336E"/>
    <w:rsid w:val="00FB3B81"/>
    <w:rsid w:val="00FB3D50"/>
    <w:rsid w:val="00FB3D68"/>
    <w:rsid w:val="00FB3EEB"/>
    <w:rsid w:val="00FB40A9"/>
    <w:rsid w:val="00FB4217"/>
    <w:rsid w:val="00FB4565"/>
    <w:rsid w:val="00FB4EE5"/>
    <w:rsid w:val="00FB50D0"/>
    <w:rsid w:val="00FB521B"/>
    <w:rsid w:val="00FB57BA"/>
    <w:rsid w:val="00FB583B"/>
    <w:rsid w:val="00FB5B03"/>
    <w:rsid w:val="00FB5F79"/>
    <w:rsid w:val="00FB69FC"/>
    <w:rsid w:val="00FB6CA7"/>
    <w:rsid w:val="00FB6CC8"/>
    <w:rsid w:val="00FB6E16"/>
    <w:rsid w:val="00FB712C"/>
    <w:rsid w:val="00FB7389"/>
    <w:rsid w:val="00FB790C"/>
    <w:rsid w:val="00FC018D"/>
    <w:rsid w:val="00FC05A1"/>
    <w:rsid w:val="00FC0D05"/>
    <w:rsid w:val="00FC0E3C"/>
    <w:rsid w:val="00FC0FA0"/>
    <w:rsid w:val="00FC1016"/>
    <w:rsid w:val="00FC1259"/>
    <w:rsid w:val="00FC1995"/>
    <w:rsid w:val="00FC1DA7"/>
    <w:rsid w:val="00FC22D8"/>
    <w:rsid w:val="00FC24AE"/>
    <w:rsid w:val="00FC26B6"/>
    <w:rsid w:val="00FC27CF"/>
    <w:rsid w:val="00FC283B"/>
    <w:rsid w:val="00FC297A"/>
    <w:rsid w:val="00FC2A2A"/>
    <w:rsid w:val="00FC2A7F"/>
    <w:rsid w:val="00FC2EAD"/>
    <w:rsid w:val="00FC2EBB"/>
    <w:rsid w:val="00FC2F8A"/>
    <w:rsid w:val="00FC3490"/>
    <w:rsid w:val="00FC3641"/>
    <w:rsid w:val="00FC375C"/>
    <w:rsid w:val="00FC385E"/>
    <w:rsid w:val="00FC3D5D"/>
    <w:rsid w:val="00FC3E6A"/>
    <w:rsid w:val="00FC4060"/>
    <w:rsid w:val="00FC4520"/>
    <w:rsid w:val="00FC461C"/>
    <w:rsid w:val="00FC4644"/>
    <w:rsid w:val="00FC475E"/>
    <w:rsid w:val="00FC4A6A"/>
    <w:rsid w:val="00FC4E6C"/>
    <w:rsid w:val="00FC5333"/>
    <w:rsid w:val="00FC5750"/>
    <w:rsid w:val="00FC57BD"/>
    <w:rsid w:val="00FC593F"/>
    <w:rsid w:val="00FC5AF1"/>
    <w:rsid w:val="00FC5E61"/>
    <w:rsid w:val="00FC5F8A"/>
    <w:rsid w:val="00FC5FD5"/>
    <w:rsid w:val="00FC60FC"/>
    <w:rsid w:val="00FC61FF"/>
    <w:rsid w:val="00FC63C4"/>
    <w:rsid w:val="00FC6814"/>
    <w:rsid w:val="00FC6895"/>
    <w:rsid w:val="00FC6AB7"/>
    <w:rsid w:val="00FC6CF7"/>
    <w:rsid w:val="00FC7015"/>
    <w:rsid w:val="00FC709A"/>
    <w:rsid w:val="00FC70D4"/>
    <w:rsid w:val="00FC711F"/>
    <w:rsid w:val="00FC7763"/>
    <w:rsid w:val="00FC783F"/>
    <w:rsid w:val="00FC7944"/>
    <w:rsid w:val="00FC7F21"/>
    <w:rsid w:val="00FD0B16"/>
    <w:rsid w:val="00FD0BD2"/>
    <w:rsid w:val="00FD0C9B"/>
    <w:rsid w:val="00FD1463"/>
    <w:rsid w:val="00FD1535"/>
    <w:rsid w:val="00FD1812"/>
    <w:rsid w:val="00FD196E"/>
    <w:rsid w:val="00FD1F7A"/>
    <w:rsid w:val="00FD204D"/>
    <w:rsid w:val="00FD21E3"/>
    <w:rsid w:val="00FD2232"/>
    <w:rsid w:val="00FD2650"/>
    <w:rsid w:val="00FD26D4"/>
    <w:rsid w:val="00FD27A3"/>
    <w:rsid w:val="00FD2FA0"/>
    <w:rsid w:val="00FD3755"/>
    <w:rsid w:val="00FD377D"/>
    <w:rsid w:val="00FD3C9C"/>
    <w:rsid w:val="00FD418B"/>
    <w:rsid w:val="00FD4496"/>
    <w:rsid w:val="00FD4544"/>
    <w:rsid w:val="00FD4AB1"/>
    <w:rsid w:val="00FD4BB8"/>
    <w:rsid w:val="00FD582F"/>
    <w:rsid w:val="00FD5889"/>
    <w:rsid w:val="00FD5CF5"/>
    <w:rsid w:val="00FD5F38"/>
    <w:rsid w:val="00FD6033"/>
    <w:rsid w:val="00FD61FE"/>
    <w:rsid w:val="00FD6455"/>
    <w:rsid w:val="00FD648A"/>
    <w:rsid w:val="00FD667E"/>
    <w:rsid w:val="00FD69DC"/>
    <w:rsid w:val="00FD6C19"/>
    <w:rsid w:val="00FD6F29"/>
    <w:rsid w:val="00FD6F69"/>
    <w:rsid w:val="00FD6F90"/>
    <w:rsid w:val="00FD7112"/>
    <w:rsid w:val="00FD7139"/>
    <w:rsid w:val="00FD7173"/>
    <w:rsid w:val="00FD73A5"/>
    <w:rsid w:val="00FD746A"/>
    <w:rsid w:val="00FD7B48"/>
    <w:rsid w:val="00FD7EDE"/>
    <w:rsid w:val="00FE0153"/>
    <w:rsid w:val="00FE017A"/>
    <w:rsid w:val="00FE0259"/>
    <w:rsid w:val="00FE08CA"/>
    <w:rsid w:val="00FE0948"/>
    <w:rsid w:val="00FE0972"/>
    <w:rsid w:val="00FE0D85"/>
    <w:rsid w:val="00FE16F3"/>
    <w:rsid w:val="00FE1775"/>
    <w:rsid w:val="00FE187D"/>
    <w:rsid w:val="00FE18EE"/>
    <w:rsid w:val="00FE190A"/>
    <w:rsid w:val="00FE1A0C"/>
    <w:rsid w:val="00FE1CF3"/>
    <w:rsid w:val="00FE210A"/>
    <w:rsid w:val="00FE21B2"/>
    <w:rsid w:val="00FE23A5"/>
    <w:rsid w:val="00FE2586"/>
    <w:rsid w:val="00FE25FF"/>
    <w:rsid w:val="00FE26AD"/>
    <w:rsid w:val="00FE2901"/>
    <w:rsid w:val="00FE2980"/>
    <w:rsid w:val="00FE2D8B"/>
    <w:rsid w:val="00FE2E28"/>
    <w:rsid w:val="00FE2EE0"/>
    <w:rsid w:val="00FE315D"/>
    <w:rsid w:val="00FE3243"/>
    <w:rsid w:val="00FE32CE"/>
    <w:rsid w:val="00FE348D"/>
    <w:rsid w:val="00FE37DF"/>
    <w:rsid w:val="00FE37F7"/>
    <w:rsid w:val="00FE3D97"/>
    <w:rsid w:val="00FE3F2A"/>
    <w:rsid w:val="00FE3F4E"/>
    <w:rsid w:val="00FE3FBB"/>
    <w:rsid w:val="00FE4349"/>
    <w:rsid w:val="00FE435C"/>
    <w:rsid w:val="00FE4382"/>
    <w:rsid w:val="00FE43E5"/>
    <w:rsid w:val="00FE45C1"/>
    <w:rsid w:val="00FE4A9D"/>
    <w:rsid w:val="00FE4B2E"/>
    <w:rsid w:val="00FE4CAF"/>
    <w:rsid w:val="00FE4D4D"/>
    <w:rsid w:val="00FE50EB"/>
    <w:rsid w:val="00FE525E"/>
    <w:rsid w:val="00FE52CD"/>
    <w:rsid w:val="00FE53CA"/>
    <w:rsid w:val="00FE5530"/>
    <w:rsid w:val="00FE567F"/>
    <w:rsid w:val="00FE56FC"/>
    <w:rsid w:val="00FE5878"/>
    <w:rsid w:val="00FE59C1"/>
    <w:rsid w:val="00FE5AFD"/>
    <w:rsid w:val="00FE5CC7"/>
    <w:rsid w:val="00FE5D75"/>
    <w:rsid w:val="00FE5DF6"/>
    <w:rsid w:val="00FE5FE7"/>
    <w:rsid w:val="00FE6173"/>
    <w:rsid w:val="00FE6278"/>
    <w:rsid w:val="00FE629F"/>
    <w:rsid w:val="00FE62DF"/>
    <w:rsid w:val="00FE63CF"/>
    <w:rsid w:val="00FE63EF"/>
    <w:rsid w:val="00FE63FA"/>
    <w:rsid w:val="00FE6746"/>
    <w:rsid w:val="00FE6779"/>
    <w:rsid w:val="00FE6883"/>
    <w:rsid w:val="00FE697A"/>
    <w:rsid w:val="00FE6CF6"/>
    <w:rsid w:val="00FE72D9"/>
    <w:rsid w:val="00FE78BA"/>
    <w:rsid w:val="00FE79C8"/>
    <w:rsid w:val="00FE7BB3"/>
    <w:rsid w:val="00FE7E0A"/>
    <w:rsid w:val="00FF01E2"/>
    <w:rsid w:val="00FF0461"/>
    <w:rsid w:val="00FF04EF"/>
    <w:rsid w:val="00FF0FFE"/>
    <w:rsid w:val="00FF1004"/>
    <w:rsid w:val="00FF105D"/>
    <w:rsid w:val="00FF1932"/>
    <w:rsid w:val="00FF1ED4"/>
    <w:rsid w:val="00FF1F3A"/>
    <w:rsid w:val="00FF20DC"/>
    <w:rsid w:val="00FF28A3"/>
    <w:rsid w:val="00FF290D"/>
    <w:rsid w:val="00FF29DC"/>
    <w:rsid w:val="00FF2AA6"/>
    <w:rsid w:val="00FF2ACB"/>
    <w:rsid w:val="00FF2CB2"/>
    <w:rsid w:val="00FF2D12"/>
    <w:rsid w:val="00FF2D9D"/>
    <w:rsid w:val="00FF2F4E"/>
    <w:rsid w:val="00FF2F8F"/>
    <w:rsid w:val="00FF3608"/>
    <w:rsid w:val="00FF3CD3"/>
    <w:rsid w:val="00FF3E1D"/>
    <w:rsid w:val="00FF3E72"/>
    <w:rsid w:val="00FF4096"/>
    <w:rsid w:val="00FF4188"/>
    <w:rsid w:val="00FF41B9"/>
    <w:rsid w:val="00FF4280"/>
    <w:rsid w:val="00FF4718"/>
    <w:rsid w:val="00FF47D2"/>
    <w:rsid w:val="00FF4A31"/>
    <w:rsid w:val="00FF4A53"/>
    <w:rsid w:val="00FF4B47"/>
    <w:rsid w:val="00FF4C50"/>
    <w:rsid w:val="00FF4C9D"/>
    <w:rsid w:val="00FF4CC4"/>
    <w:rsid w:val="00FF4D22"/>
    <w:rsid w:val="00FF4FA1"/>
    <w:rsid w:val="00FF5026"/>
    <w:rsid w:val="00FF5370"/>
    <w:rsid w:val="00FF5558"/>
    <w:rsid w:val="00FF566E"/>
    <w:rsid w:val="00FF5770"/>
    <w:rsid w:val="00FF5973"/>
    <w:rsid w:val="00FF5BF5"/>
    <w:rsid w:val="00FF5DF6"/>
    <w:rsid w:val="00FF621F"/>
    <w:rsid w:val="00FF6229"/>
    <w:rsid w:val="00FF622D"/>
    <w:rsid w:val="00FF62D5"/>
    <w:rsid w:val="00FF6337"/>
    <w:rsid w:val="00FF659F"/>
    <w:rsid w:val="00FF6AF6"/>
    <w:rsid w:val="00FF6C30"/>
    <w:rsid w:val="00FF731D"/>
    <w:rsid w:val="00FF74F1"/>
    <w:rsid w:val="00FF7536"/>
    <w:rsid w:val="00FF7577"/>
    <w:rsid w:val="00FF76A8"/>
    <w:rsid w:val="00FF7725"/>
    <w:rsid w:val="00FF7ABF"/>
    <w:rsid w:val="015C407C"/>
    <w:rsid w:val="02FC080F"/>
    <w:rsid w:val="0361C785"/>
    <w:rsid w:val="037B90A5"/>
    <w:rsid w:val="053771CC"/>
    <w:rsid w:val="070B4377"/>
    <w:rsid w:val="07AF53BF"/>
    <w:rsid w:val="07D24371"/>
    <w:rsid w:val="0851407B"/>
    <w:rsid w:val="097E6186"/>
    <w:rsid w:val="0AC7027E"/>
    <w:rsid w:val="0B9B7916"/>
    <w:rsid w:val="0C5AA4CB"/>
    <w:rsid w:val="0D916F59"/>
    <w:rsid w:val="1001A3CD"/>
    <w:rsid w:val="100E8F25"/>
    <w:rsid w:val="10D9F595"/>
    <w:rsid w:val="111DB2E7"/>
    <w:rsid w:val="118304E0"/>
    <w:rsid w:val="152B7C9A"/>
    <w:rsid w:val="15A4D66E"/>
    <w:rsid w:val="168A2750"/>
    <w:rsid w:val="16C24243"/>
    <w:rsid w:val="186DC135"/>
    <w:rsid w:val="1BB7FB50"/>
    <w:rsid w:val="1BCB3A38"/>
    <w:rsid w:val="1C4B2160"/>
    <w:rsid w:val="1D0DB58B"/>
    <w:rsid w:val="212FD00C"/>
    <w:rsid w:val="2164307B"/>
    <w:rsid w:val="23E3547E"/>
    <w:rsid w:val="24C20DC7"/>
    <w:rsid w:val="25A9C13E"/>
    <w:rsid w:val="25FE25F6"/>
    <w:rsid w:val="2678AE29"/>
    <w:rsid w:val="26D5314F"/>
    <w:rsid w:val="27C27AD3"/>
    <w:rsid w:val="293FC490"/>
    <w:rsid w:val="296F3DC5"/>
    <w:rsid w:val="298FE7A6"/>
    <w:rsid w:val="2E51CA99"/>
    <w:rsid w:val="2E7C8F2A"/>
    <w:rsid w:val="2F0180DB"/>
    <w:rsid w:val="2F468F08"/>
    <w:rsid w:val="308878EB"/>
    <w:rsid w:val="3231B640"/>
    <w:rsid w:val="32974DF9"/>
    <w:rsid w:val="338571B5"/>
    <w:rsid w:val="33D8F9F2"/>
    <w:rsid w:val="33F07DA5"/>
    <w:rsid w:val="341305FF"/>
    <w:rsid w:val="351B91C6"/>
    <w:rsid w:val="35968F4F"/>
    <w:rsid w:val="374162E0"/>
    <w:rsid w:val="3749135A"/>
    <w:rsid w:val="37B374F9"/>
    <w:rsid w:val="38EFFEAF"/>
    <w:rsid w:val="393CDC06"/>
    <w:rsid w:val="3ECE2525"/>
    <w:rsid w:val="3F369B1F"/>
    <w:rsid w:val="40AA80B2"/>
    <w:rsid w:val="416214A9"/>
    <w:rsid w:val="465948D8"/>
    <w:rsid w:val="4957CC77"/>
    <w:rsid w:val="495FDF18"/>
    <w:rsid w:val="4DDA0E5C"/>
    <w:rsid w:val="4DE497C9"/>
    <w:rsid w:val="4EA7B7C1"/>
    <w:rsid w:val="4F5E9993"/>
    <w:rsid w:val="51223517"/>
    <w:rsid w:val="52659F56"/>
    <w:rsid w:val="54B4317D"/>
    <w:rsid w:val="54B9EEE6"/>
    <w:rsid w:val="54FD6F83"/>
    <w:rsid w:val="55059D0C"/>
    <w:rsid w:val="5588D8C0"/>
    <w:rsid w:val="56776775"/>
    <w:rsid w:val="5848A297"/>
    <w:rsid w:val="5857ABB7"/>
    <w:rsid w:val="5A81084D"/>
    <w:rsid w:val="5AE5D5F9"/>
    <w:rsid w:val="5B2E5287"/>
    <w:rsid w:val="5B3BF6C6"/>
    <w:rsid w:val="6003637A"/>
    <w:rsid w:val="60588B1F"/>
    <w:rsid w:val="614C2A98"/>
    <w:rsid w:val="6261D00C"/>
    <w:rsid w:val="62E8B1B8"/>
    <w:rsid w:val="63CF0E56"/>
    <w:rsid w:val="647083CA"/>
    <w:rsid w:val="64CE866D"/>
    <w:rsid w:val="64F336B7"/>
    <w:rsid w:val="6709336E"/>
    <w:rsid w:val="687BA417"/>
    <w:rsid w:val="6BB86498"/>
    <w:rsid w:val="6D5926BC"/>
    <w:rsid w:val="6EDF96A8"/>
    <w:rsid w:val="72309CDA"/>
    <w:rsid w:val="734E5F3E"/>
    <w:rsid w:val="7408DB30"/>
    <w:rsid w:val="7474ED74"/>
    <w:rsid w:val="749B6DA4"/>
    <w:rsid w:val="74D2EF1B"/>
    <w:rsid w:val="774CC8FF"/>
    <w:rsid w:val="779101FA"/>
    <w:rsid w:val="77F457B5"/>
    <w:rsid w:val="78262323"/>
    <w:rsid w:val="797F19EE"/>
    <w:rsid w:val="7BD6E319"/>
    <w:rsid w:val="7CE65155"/>
    <w:rsid w:val="7D302551"/>
    <w:rsid w:val="7D74ED44"/>
    <w:rsid w:val="7E17DA67"/>
    <w:rsid w:val="7F8243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CC4DC"/>
  <w15:docId w15:val="{E59FE138-7248-4D8C-9194-D1C8E3AF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EA8"/>
    <w:pPr>
      <w:spacing w:after="120" w:line="240" w:lineRule="auto"/>
    </w:pPr>
    <w:rPr>
      <w:rFonts w:ascii="Segoe UI" w:hAnsi="Segoe UI"/>
      <w:sz w:val="19"/>
      <w:lang w:val="en-AU"/>
    </w:rPr>
  </w:style>
  <w:style w:type="paragraph" w:styleId="Heading1">
    <w:name w:val="heading 1"/>
    <w:basedOn w:val="Normal"/>
    <w:next w:val="Normal"/>
    <w:link w:val="Heading1Char"/>
    <w:uiPriority w:val="19"/>
    <w:qFormat/>
    <w:rsid w:val="00A25543"/>
    <w:pPr>
      <w:keepNext/>
      <w:pageBreakBefore/>
      <w:numPr>
        <w:numId w:val="7"/>
      </w:numPr>
      <w:spacing w:after="480"/>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A25543"/>
    <w:pPr>
      <w:keepNext/>
      <w:numPr>
        <w:ilvl w:val="1"/>
        <w:numId w:val="7"/>
      </w:numPr>
      <w:spacing w:before="36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205FAD"/>
    <w:pPr>
      <w:keepNext/>
      <w:numPr>
        <w:ilvl w:val="2"/>
        <w:numId w:val="7"/>
      </w:numPr>
      <w:spacing w:before="360" w:line="259" w:lineRule="auto"/>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A25543"/>
    <w:pPr>
      <w:keepNext/>
      <w:spacing w:before="240" w:after="60" w:line="259" w:lineRule="auto"/>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A25543"/>
    <w:pPr>
      <w:keepNext/>
      <w:numPr>
        <w:ilvl w:val="4"/>
        <w:numId w:val="7"/>
      </w:numPr>
      <w:spacing w:before="240" w:line="259" w:lineRule="auto"/>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A25543"/>
    <w:pPr>
      <w:keepNext/>
      <w:keepLines/>
      <w:numPr>
        <w:ilvl w:val="5"/>
        <w:numId w:val="7"/>
      </w:numPr>
      <w:spacing w:before="200" w:after="60" w:line="259" w:lineRule="auto"/>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A25543"/>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A25543"/>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A25543"/>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A25543"/>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A25543"/>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A25543"/>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B300C7"/>
    <w:pPr>
      <w:numPr>
        <w:numId w:val="3"/>
      </w:numPr>
      <w:suppressAutoHyphens/>
      <w:ind w:left="340"/>
    </w:pPr>
    <w:rPr>
      <w:rFonts w:eastAsia="Times New Roman" w:cs="Times New Roman"/>
      <w:szCs w:val="19"/>
      <w:lang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0D4C32"/>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Nirmala UI Semilight" w:hAnsi="Nirmala UI Semilight"/>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Nirmala UI Semilight" w:hAnsi="Nirmala UI Semilight"/>
        <w:b w:val="0"/>
        <w:color w:val="00264D" w:themeColor="background2"/>
        <w:sz w:val="18"/>
      </w:rPr>
      <w:tblPr/>
      <w:tcPr>
        <w:tcBorders>
          <w:left w:val="nil"/>
        </w:tcBorders>
        <w:shd w:val="clear" w:color="auto" w:fill="E6E6E1" w:themeFill="accent5"/>
      </w:tcPr>
    </w:tblStylePr>
  </w:style>
  <w:style w:type="paragraph" w:styleId="Footer">
    <w:name w:val="footer"/>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basedOn w:val="DefaultParagraphFont"/>
    <w:link w:val="Footer"/>
    <w:uiPriority w:val="89"/>
    <w:rsid w:val="00865A27"/>
    <w:rPr>
      <w:rFonts w:ascii="Segoe UI" w:hAnsi="Segoe UI"/>
      <w:sz w:val="15"/>
    </w:rPr>
  </w:style>
  <w:style w:type="paragraph" w:styleId="Caption">
    <w:name w:val="caption"/>
    <w:basedOn w:val="Normal"/>
    <w:next w:val="Normal"/>
    <w:link w:val="CaptionChar"/>
    <w:uiPriority w:val="35"/>
    <w:qFormat/>
    <w:rsid w:val="00B50EE7"/>
    <w:pPr>
      <w:keepNext/>
      <w:spacing w:before="240" w:line="259" w:lineRule="auto"/>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3030E"/>
    <w:pPr>
      <w:numPr>
        <w:numId w:val="5"/>
      </w:numPr>
      <w:spacing w:before="40" w:after="40"/>
    </w:pPr>
    <w:rPr>
      <w:sz w:val="17"/>
    </w:rPr>
  </w:style>
  <w:style w:type="paragraph" w:customStyle="1" w:styleId="TableNListnumbered">
    <w:name w:val="Table N List (numbered)"/>
    <w:basedOn w:val="TableNBullet"/>
    <w:uiPriority w:val="2"/>
    <w:qFormat/>
    <w:rsid w:val="00865A27"/>
    <w:pPr>
      <w:numPr>
        <w:numId w:val="6"/>
      </w:numPr>
    </w:pPr>
  </w:style>
  <w:style w:type="paragraph" w:customStyle="1" w:styleId="xAppendixLevel1">
    <w:name w:val="xAppendix Level 1"/>
    <w:basedOn w:val="Heading1"/>
    <w:next w:val="Normal"/>
    <w:uiPriority w:val="98"/>
    <w:qFormat/>
    <w:rsid w:val="00365464"/>
    <w:pPr>
      <w:numPr>
        <w:numId w:val="1"/>
      </w:numPr>
      <w:ind w:left="2268"/>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EB6C12"/>
    <w:pPr>
      <w:numPr>
        <w:numId w:val="2"/>
      </w:numPr>
      <w:ind w:left="851"/>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294C7F"/>
    <w:pPr>
      <w:numPr>
        <w:numId w:val="4"/>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Nous Table,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0D4C32"/>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Nirmala UI Semilight" w:hAnsi="Nirmala UI Semilight"/>
        <w:b w:val="0"/>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0D4C32"/>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Nirmala UI Semilight" w:hAnsi="Nirmala UI Semilight"/>
        <w:b w:val="0"/>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table" w:customStyle="1" w:styleId="NOUSSideHeader1">
    <w:name w:val="NOUS Side Header1"/>
    <w:basedOn w:val="TableNormal"/>
    <w:next w:val="TableGrid"/>
    <w:uiPriority w:val="39"/>
    <w:rsid w:val="00A77AD0"/>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ingLiU_HKSCS" w:hAnsi="@MingLiU_HKSC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ingLiU_HKSCS" w:hAnsi="@MingLiU_HKSCS"/>
        <w:sz w:val="17"/>
      </w:rPr>
    </w:tblStylePr>
    <w:tblStylePr w:type="band2Horz">
      <w:rPr>
        <w:rFonts w:ascii="@MingLiU_HKSCS" w:hAnsi="@MingLiU_HKSCS"/>
        <w:sz w:val="17"/>
      </w:rPr>
    </w:tblStylePr>
  </w:style>
  <w:style w:type="character" w:customStyle="1" w:styleId="TableNTextChar">
    <w:name w:val="Table N Text Char"/>
    <w:basedOn w:val="DefaultParagraphFont"/>
    <w:link w:val="TableNText"/>
    <w:uiPriority w:val="2"/>
    <w:rsid w:val="00A77AD0"/>
    <w:rPr>
      <w:rFonts w:ascii="Segoe UI" w:eastAsia="Times New Roman" w:hAnsi="Segoe UI" w:cs="Times New Roman"/>
      <w:sz w:val="17"/>
      <w:szCs w:val="24"/>
      <w:lang w:val="en-AU" w:eastAsia="en-AU"/>
    </w:rPr>
  </w:style>
  <w:style w:type="character" w:customStyle="1" w:styleId="CaptionChar">
    <w:name w:val="Caption Char"/>
    <w:link w:val="Caption"/>
    <w:uiPriority w:val="35"/>
    <w:rsid w:val="00B50EE7"/>
    <w:rPr>
      <w:rFonts w:ascii="Segoe UI Semibold" w:hAnsi="Segoe UI Semibold"/>
      <w:bCs/>
      <w:color w:val="00264D" w:themeColor="background2"/>
      <w:sz w:val="19"/>
      <w:szCs w:val="18"/>
      <w:lang w:val="en-AU"/>
    </w:rPr>
  </w:style>
  <w:style w:type="character" w:customStyle="1" w:styleId="cf01">
    <w:name w:val="cf01"/>
    <w:basedOn w:val="DefaultParagraphFont"/>
    <w:rsid w:val="00CE512B"/>
    <w:rPr>
      <w:rFonts w:ascii="Segoe UI" w:hAnsi="Segoe UI" w:cs="Segoe UI" w:hint="default"/>
      <w:sz w:val="18"/>
      <w:szCs w:val="18"/>
    </w:rPr>
  </w:style>
  <w:style w:type="paragraph" w:styleId="TOC3">
    <w:name w:val="toc 3"/>
    <w:basedOn w:val="Normal"/>
    <w:next w:val="Normal"/>
    <w:autoRedefine/>
    <w:uiPriority w:val="39"/>
    <w:unhideWhenUsed/>
    <w:rsid w:val="000028E8"/>
    <w:pPr>
      <w:spacing w:after="100"/>
      <w:ind w:left="380"/>
    </w:pPr>
  </w:style>
  <w:style w:type="paragraph" w:customStyle="1" w:styleId="Longformcallout">
    <w:name w:val="Long form callout"/>
    <w:basedOn w:val="Normal"/>
    <w:uiPriority w:val="20"/>
    <w:qFormat/>
    <w:rsid w:val="00FE7E0A"/>
    <w:pPr>
      <w:spacing w:before="60" w:after="60"/>
    </w:pPr>
    <w:rPr>
      <w:color w:val="00264D" w:themeColor="background2"/>
      <w:szCs w:val="19"/>
      <w:lang w:eastAsia="en-AU"/>
    </w:rPr>
  </w:style>
  <w:style w:type="paragraph" w:customStyle="1" w:styleId="longformcalloutbullet">
    <w:name w:val="long form call out bullet"/>
    <w:basedOn w:val="Longformcallout"/>
    <w:uiPriority w:val="20"/>
    <w:qFormat/>
    <w:rsid w:val="00FE7E0A"/>
    <w:pPr>
      <w:numPr>
        <w:numId w:val="9"/>
      </w:numPr>
      <w:ind w:left="340" w:hanging="340"/>
    </w:pPr>
  </w:style>
  <w:style w:type="paragraph" w:customStyle="1" w:styleId="longformcalloutnumber">
    <w:name w:val="long form callout number"/>
    <w:basedOn w:val="longformcalloutbullet"/>
    <w:uiPriority w:val="20"/>
    <w:qFormat/>
    <w:rsid w:val="00FE7E0A"/>
    <w:pPr>
      <w:numPr>
        <w:numId w:val="10"/>
      </w:numPr>
      <w:ind w:left="340" w:hanging="340"/>
    </w:pPr>
  </w:style>
  <w:style w:type="table" w:customStyle="1" w:styleId="NousLongformcallout">
    <w:name w:val="Nous_Long form call out"/>
    <w:basedOn w:val="TableNormal"/>
    <w:uiPriority w:val="99"/>
    <w:rsid w:val="00FE7E0A"/>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table" w:customStyle="1" w:styleId="NOUSSideHeader3">
    <w:name w:val="NOUS Side Header3"/>
    <w:basedOn w:val="TableNormal"/>
    <w:next w:val="TableGrid"/>
    <w:uiPriority w:val="99"/>
    <w:rsid w:val="00D62F38"/>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PGothic" w:hAnsi="@MS PGothic"/>
        <w:sz w:val="17"/>
      </w:rPr>
    </w:tblStylePr>
    <w:tblStylePr w:type="band2Horz">
      <w:rPr>
        <w:rFonts w:ascii="@MS PGothic" w:hAnsi="@MS PGothic"/>
        <w:sz w:val="17"/>
      </w:rPr>
    </w:tblStylePr>
  </w:style>
  <w:style w:type="character" w:styleId="CommentReference">
    <w:name w:val="annotation reference"/>
    <w:basedOn w:val="DefaultParagraphFont"/>
    <w:uiPriority w:val="99"/>
    <w:semiHidden/>
    <w:unhideWhenUsed/>
    <w:rsid w:val="00D62F38"/>
    <w:rPr>
      <w:sz w:val="16"/>
      <w:szCs w:val="16"/>
    </w:rPr>
  </w:style>
  <w:style w:type="paragraph" w:styleId="CommentText">
    <w:name w:val="annotation text"/>
    <w:basedOn w:val="Normal"/>
    <w:link w:val="CommentTextChar"/>
    <w:uiPriority w:val="99"/>
    <w:unhideWhenUsed/>
    <w:rsid w:val="00D62F38"/>
    <w:rPr>
      <w:sz w:val="20"/>
      <w:szCs w:val="20"/>
    </w:rPr>
  </w:style>
  <w:style w:type="character" w:customStyle="1" w:styleId="CommentTextChar">
    <w:name w:val="Comment Text Char"/>
    <w:basedOn w:val="DefaultParagraphFont"/>
    <w:link w:val="CommentText"/>
    <w:uiPriority w:val="99"/>
    <w:rsid w:val="00D62F38"/>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D62F38"/>
    <w:rPr>
      <w:b/>
      <w:bCs/>
    </w:rPr>
  </w:style>
  <w:style w:type="character" w:customStyle="1" w:styleId="CommentSubjectChar">
    <w:name w:val="Comment Subject Char"/>
    <w:basedOn w:val="CommentTextChar"/>
    <w:link w:val="CommentSubject"/>
    <w:uiPriority w:val="99"/>
    <w:semiHidden/>
    <w:rsid w:val="00D62F38"/>
    <w:rPr>
      <w:rFonts w:ascii="Segoe UI" w:hAnsi="Segoe UI"/>
      <w:b/>
      <w:bCs/>
      <w:sz w:val="20"/>
      <w:szCs w:val="20"/>
    </w:rPr>
  </w:style>
  <w:style w:type="paragraph" w:styleId="FootnoteText">
    <w:name w:val="footnote text"/>
    <w:aliases w:val="Footnote Text N"/>
    <w:basedOn w:val="Normal"/>
    <w:link w:val="FootnoteTextChar"/>
    <w:autoRedefine/>
    <w:uiPriority w:val="99"/>
    <w:unhideWhenUsed/>
    <w:qFormat/>
    <w:rsid w:val="00CC3783"/>
    <w:pPr>
      <w:spacing w:after="0"/>
    </w:pPr>
    <w:rPr>
      <w:rFonts w:asciiTheme="minorHAnsi" w:eastAsia="Times New Roman" w:hAnsiTheme="minorHAnsi" w:cs="Times New Roman"/>
      <w:sz w:val="14"/>
      <w:szCs w:val="20"/>
    </w:rPr>
  </w:style>
  <w:style w:type="character" w:customStyle="1" w:styleId="FootnoteTextChar">
    <w:name w:val="Footnote Text Char"/>
    <w:aliases w:val="Footnote Text N Char"/>
    <w:basedOn w:val="DefaultParagraphFont"/>
    <w:link w:val="FootnoteText"/>
    <w:uiPriority w:val="99"/>
    <w:rsid w:val="00CC3783"/>
    <w:rPr>
      <w:rFonts w:eastAsia="Times New Roman" w:cs="Times New Roman"/>
      <w:sz w:val="14"/>
      <w:szCs w:val="20"/>
      <w:lang w:val="en-AU"/>
    </w:rPr>
  </w:style>
  <w:style w:type="character" w:styleId="FootnoteReference">
    <w:name w:val="footnote reference"/>
    <w:basedOn w:val="DefaultParagraphFont"/>
    <w:uiPriority w:val="99"/>
    <w:unhideWhenUsed/>
    <w:rsid w:val="00CC3783"/>
    <w:rPr>
      <w:rFonts w:cstheme="minorHAnsi"/>
      <w:szCs w:val="14"/>
      <w:vertAlign w:val="superscript"/>
    </w:rPr>
  </w:style>
  <w:style w:type="table" w:customStyle="1" w:styleId="NOUSSideHeader2">
    <w:name w:val="NOUS Side Header2"/>
    <w:basedOn w:val="TableNormal"/>
    <w:next w:val="TableGrid"/>
    <w:uiPriority w:val="39"/>
    <w:rsid w:val="00CC3783"/>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MDL2 Assets" w:hAnsi="Segoe MDL2 Asset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PGothic" w:hAnsi="@MS PGothic"/>
        <w:sz w:val="17"/>
      </w:rPr>
    </w:tblStylePr>
    <w:tblStylePr w:type="band2Horz">
      <w:rPr>
        <w:rFonts w:ascii="@MS PGothic" w:hAnsi="@MS PGothic"/>
        <w:sz w:val="17"/>
      </w:rPr>
    </w:tblStylePr>
  </w:style>
  <w:style w:type="paragraph" w:styleId="ListParagraph">
    <w:name w:val="List Paragraph"/>
    <w:basedOn w:val="Normal"/>
    <w:uiPriority w:val="34"/>
    <w:qFormat/>
    <w:rsid w:val="005F21EB"/>
    <w:pPr>
      <w:ind w:left="720"/>
      <w:contextualSpacing/>
    </w:pPr>
  </w:style>
  <w:style w:type="paragraph" w:styleId="NormalWeb">
    <w:name w:val="Normal (Web)"/>
    <w:basedOn w:val="Normal"/>
    <w:uiPriority w:val="99"/>
    <w:semiHidden/>
    <w:unhideWhenUsed/>
    <w:rsid w:val="00681DA2"/>
    <w:pPr>
      <w:spacing w:before="100" w:beforeAutospacing="1" w:after="100" w:afterAutospacing="1"/>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1C0108"/>
    <w:rPr>
      <w:color w:val="2B579A"/>
      <w:shd w:val="clear" w:color="auto" w:fill="E1DFDD"/>
    </w:rPr>
  </w:style>
  <w:style w:type="paragraph" w:styleId="Revision">
    <w:name w:val="Revision"/>
    <w:hidden/>
    <w:uiPriority w:val="99"/>
    <w:semiHidden/>
    <w:rsid w:val="006D51AE"/>
    <w:pPr>
      <w:spacing w:after="0" w:line="240" w:lineRule="auto"/>
    </w:pPr>
    <w:rPr>
      <w:rFonts w:ascii="Segoe UI" w:hAnsi="Segoe UI"/>
      <w:sz w:val="19"/>
    </w:rPr>
  </w:style>
  <w:style w:type="table" w:customStyle="1" w:styleId="Table2">
    <w:name w:val="Table2"/>
    <w:basedOn w:val="TableNormal"/>
    <w:next w:val="TableGrid"/>
    <w:uiPriority w:val="39"/>
    <w:rsid w:val="00E71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1BBE"/>
    <w:rPr>
      <w:color w:val="605E5C"/>
      <w:shd w:val="clear" w:color="auto" w:fill="E1DFDD"/>
    </w:rPr>
  </w:style>
  <w:style w:type="paragraph" w:customStyle="1" w:styleId="Callout">
    <w:name w:val="Call out"/>
    <w:basedOn w:val="Normal"/>
    <w:uiPriority w:val="98"/>
    <w:qFormat/>
    <w:rsid w:val="00E71BBE"/>
    <w:pPr>
      <w:pBdr>
        <w:top w:val="single" w:sz="18" w:space="4" w:color="E6E6E1" w:themeColor="accent5"/>
      </w:pBdr>
      <w:spacing w:line="259" w:lineRule="auto"/>
    </w:pPr>
    <w:rPr>
      <w:rFonts w:ascii="Segoe UI Semilight" w:hAnsi="Segoe UI Semilight"/>
      <w:color w:val="F8981D" w:themeColor="accent3"/>
      <w:kern w:val="24"/>
      <w:sz w:val="22"/>
    </w:rPr>
  </w:style>
  <w:style w:type="table" w:customStyle="1" w:styleId="NOUSSideHeader4">
    <w:name w:val="NOUS Side Header4"/>
    <w:basedOn w:val="TableNormal"/>
    <w:next w:val="TableGrid"/>
    <w:uiPriority w:val="99"/>
    <w:rsid w:val="00D32466"/>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Mincho" w:hAnsi="Yu Mincho"/>
        <w:sz w:val="17"/>
      </w:rPr>
    </w:tblStylePr>
    <w:tblStylePr w:type="band2Horz">
      <w:rPr>
        <w:rFonts w:ascii="Yu Mincho" w:hAnsi="Yu Mincho"/>
        <w:sz w:val="17"/>
      </w:rPr>
    </w:tblStylePr>
  </w:style>
  <w:style w:type="table" w:customStyle="1" w:styleId="NOUS1">
    <w:name w:val="NOUS1"/>
    <w:basedOn w:val="TableNormal"/>
    <w:uiPriority w:val="99"/>
    <w:rsid w:val="004F75B3"/>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Nirmala UI Semilight" w:hAnsi="Nirmala UI Semilight"/>
        <w:b w:val="0"/>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table" w:customStyle="1" w:styleId="NOUSSideHeader41">
    <w:name w:val="NOUS Side Header41"/>
    <w:basedOn w:val="TableNormal"/>
    <w:next w:val="TableGrid"/>
    <w:uiPriority w:val="99"/>
    <w:rsid w:val="005A350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table" w:customStyle="1" w:styleId="NOUSSideHeader5">
    <w:name w:val="NOUS Side Header5"/>
    <w:basedOn w:val="TableNormal"/>
    <w:next w:val="TableGrid"/>
    <w:uiPriority w:val="39"/>
    <w:rsid w:val="00FE5AF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Mincho" w:hAnsi="Yu Mincho"/>
        <w:sz w:val="17"/>
      </w:rPr>
    </w:tblStylePr>
    <w:tblStylePr w:type="band2Horz">
      <w:rPr>
        <w:rFonts w:ascii="Yu Mincho" w:hAnsi="Yu Mincho"/>
        <w:sz w:val="17"/>
      </w:rPr>
    </w:tblStylePr>
  </w:style>
  <w:style w:type="table" w:customStyle="1" w:styleId="NousTableTopandside">
    <w:name w:val="Nous Table_Top and side"/>
    <w:basedOn w:val="TableNormal"/>
    <w:uiPriority w:val="99"/>
    <w:rsid w:val="0016604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Historic" w:hAnsi="Segoe UI Historic"/>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Historic" w:hAnsi="Segoe UI Historic"/>
        <w:b w:val="0"/>
        <w:color w:val="00264D" w:themeColor="background2"/>
        <w:sz w:val="18"/>
      </w:rPr>
      <w:tblPr/>
      <w:tcPr>
        <w:tcBorders>
          <w:left w:val="nil"/>
        </w:tcBorders>
        <w:shd w:val="clear" w:color="auto" w:fill="E6E6E1" w:themeFill="accent5"/>
      </w:tcPr>
    </w:tblStylePr>
  </w:style>
  <w:style w:type="paragraph" w:customStyle="1" w:styleId="TableNbiophoto">
    <w:name w:val="Table N bio photo"/>
    <w:basedOn w:val="Normal"/>
    <w:qFormat/>
    <w:rsid w:val="009A5C5D"/>
    <w:pPr>
      <w:spacing w:before="60" w:after="0" w:line="256" w:lineRule="auto"/>
    </w:pPr>
    <w:rPr>
      <w:sz w:val="17"/>
    </w:rPr>
  </w:style>
  <w:style w:type="paragraph" w:customStyle="1" w:styleId="Default">
    <w:name w:val="Default"/>
    <w:rsid w:val="009A5C5D"/>
    <w:pPr>
      <w:autoSpaceDE w:val="0"/>
      <w:autoSpaceDN w:val="0"/>
      <w:adjustRightInd w:val="0"/>
      <w:spacing w:after="0" w:line="240" w:lineRule="auto"/>
    </w:pPr>
    <w:rPr>
      <w:rFonts w:ascii="Segoe UI" w:hAnsi="Segoe UI" w:cs="Segoe UI"/>
      <w:color w:val="000000"/>
      <w:sz w:val="24"/>
      <w:szCs w:val="24"/>
      <w:lang w:val="en-AU"/>
    </w:rPr>
  </w:style>
  <w:style w:type="table" w:customStyle="1" w:styleId="NousTableSide">
    <w:name w:val="Nous Table_Side"/>
    <w:basedOn w:val="TableNormal"/>
    <w:uiPriority w:val="99"/>
    <w:rsid w:val="007A72C4"/>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Script" w:hAnsi="Segoe Script"/>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styleId="FollowedHyperlink">
    <w:name w:val="FollowedHyperlink"/>
    <w:basedOn w:val="DefaultParagraphFont"/>
    <w:uiPriority w:val="99"/>
    <w:semiHidden/>
    <w:unhideWhenUsed/>
    <w:rsid w:val="00F127FB"/>
    <w:rPr>
      <w:color w:val="0048C7" w:themeColor="followedHyperlink"/>
      <w:u w:val="single"/>
    </w:rPr>
  </w:style>
  <w:style w:type="table" w:customStyle="1" w:styleId="NOUSSideHeader6">
    <w:name w:val="NOUS Side Header6"/>
    <w:basedOn w:val="TableNormal"/>
    <w:next w:val="TableGrid"/>
    <w:uiPriority w:val="39"/>
    <w:rsid w:val="00AF07D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paragraph" w:customStyle="1" w:styleId="TableExpbullet">
    <w:name w:val="Table Exp bullet"/>
    <w:basedOn w:val="Normal"/>
    <w:uiPriority w:val="3"/>
    <w:qFormat/>
    <w:rsid w:val="00A137AE"/>
    <w:pPr>
      <w:numPr>
        <w:numId w:val="18"/>
      </w:numPr>
      <w:spacing w:before="60" w:after="60" w:line="259" w:lineRule="auto"/>
      <w:ind w:left="227" w:hanging="227"/>
    </w:pPr>
    <w:rPr>
      <w:sz w:val="16"/>
    </w:rPr>
  </w:style>
  <w:style w:type="paragraph" w:styleId="TOC4">
    <w:name w:val="toc 4"/>
    <w:basedOn w:val="Normal"/>
    <w:next w:val="Normal"/>
    <w:autoRedefine/>
    <w:uiPriority w:val="39"/>
    <w:unhideWhenUsed/>
    <w:rsid w:val="007078E6"/>
    <w:pPr>
      <w:spacing w:after="100" w:line="278" w:lineRule="auto"/>
      <w:ind w:left="720"/>
    </w:pPr>
    <w:rPr>
      <w:rFonts w:asciiTheme="minorHAnsi" w:eastAsiaTheme="minorEastAsia" w:hAnsiTheme="minorHAnsi"/>
      <w:kern w:val="2"/>
      <w:sz w:val="24"/>
      <w:szCs w:val="24"/>
      <w:lang w:eastAsia="en-AU"/>
      <w14:ligatures w14:val="standardContextual"/>
    </w:rPr>
  </w:style>
  <w:style w:type="paragraph" w:styleId="TOC5">
    <w:name w:val="toc 5"/>
    <w:basedOn w:val="Normal"/>
    <w:next w:val="Normal"/>
    <w:autoRedefine/>
    <w:uiPriority w:val="39"/>
    <w:unhideWhenUsed/>
    <w:rsid w:val="007078E6"/>
    <w:pPr>
      <w:spacing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7078E6"/>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7078E6"/>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7078E6"/>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7078E6"/>
    <w:pPr>
      <w:spacing w:after="100" w:line="278" w:lineRule="auto"/>
      <w:ind w:left="1920"/>
    </w:pPr>
    <w:rPr>
      <w:rFonts w:asciiTheme="minorHAnsi" w:eastAsiaTheme="minorEastAsia" w:hAnsiTheme="minorHAnsi"/>
      <w:kern w:val="2"/>
      <w:sz w:val="24"/>
      <w:szCs w:val="24"/>
      <w:lang w:eastAsia="en-AU"/>
      <w14:ligatures w14:val="standardContextual"/>
    </w:rPr>
  </w:style>
  <w:style w:type="character" w:styleId="Strong">
    <w:name w:val="Strong"/>
    <w:basedOn w:val="DefaultParagraphFont"/>
    <w:uiPriority w:val="22"/>
    <w:qFormat/>
    <w:rsid w:val="000A2B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5329">
      <w:bodyDiv w:val="1"/>
      <w:marLeft w:val="0"/>
      <w:marRight w:val="0"/>
      <w:marTop w:val="0"/>
      <w:marBottom w:val="0"/>
      <w:divBdr>
        <w:top w:val="none" w:sz="0" w:space="0" w:color="auto"/>
        <w:left w:val="none" w:sz="0" w:space="0" w:color="auto"/>
        <w:bottom w:val="none" w:sz="0" w:space="0" w:color="auto"/>
        <w:right w:val="none" w:sz="0" w:space="0" w:color="auto"/>
      </w:divBdr>
    </w:div>
    <w:div w:id="52198515">
      <w:bodyDiv w:val="1"/>
      <w:marLeft w:val="0"/>
      <w:marRight w:val="0"/>
      <w:marTop w:val="0"/>
      <w:marBottom w:val="0"/>
      <w:divBdr>
        <w:top w:val="none" w:sz="0" w:space="0" w:color="auto"/>
        <w:left w:val="none" w:sz="0" w:space="0" w:color="auto"/>
        <w:bottom w:val="none" w:sz="0" w:space="0" w:color="auto"/>
        <w:right w:val="none" w:sz="0" w:space="0" w:color="auto"/>
      </w:divBdr>
    </w:div>
    <w:div w:id="71974105">
      <w:bodyDiv w:val="1"/>
      <w:marLeft w:val="0"/>
      <w:marRight w:val="0"/>
      <w:marTop w:val="0"/>
      <w:marBottom w:val="0"/>
      <w:divBdr>
        <w:top w:val="none" w:sz="0" w:space="0" w:color="auto"/>
        <w:left w:val="none" w:sz="0" w:space="0" w:color="auto"/>
        <w:bottom w:val="none" w:sz="0" w:space="0" w:color="auto"/>
        <w:right w:val="none" w:sz="0" w:space="0" w:color="auto"/>
      </w:divBdr>
      <w:divsChild>
        <w:div w:id="1141458365">
          <w:marLeft w:val="0"/>
          <w:marRight w:val="0"/>
          <w:marTop w:val="0"/>
          <w:marBottom w:val="0"/>
          <w:divBdr>
            <w:top w:val="none" w:sz="0" w:space="0" w:color="auto"/>
            <w:left w:val="none" w:sz="0" w:space="0" w:color="auto"/>
            <w:bottom w:val="none" w:sz="0" w:space="0" w:color="auto"/>
            <w:right w:val="none" w:sz="0" w:space="0" w:color="auto"/>
          </w:divBdr>
        </w:div>
        <w:div w:id="1828354293">
          <w:marLeft w:val="0"/>
          <w:marRight w:val="0"/>
          <w:marTop w:val="0"/>
          <w:marBottom w:val="0"/>
          <w:divBdr>
            <w:top w:val="none" w:sz="0" w:space="0" w:color="auto"/>
            <w:left w:val="none" w:sz="0" w:space="0" w:color="auto"/>
            <w:bottom w:val="none" w:sz="0" w:space="0" w:color="auto"/>
            <w:right w:val="none" w:sz="0" w:space="0" w:color="auto"/>
          </w:divBdr>
        </w:div>
        <w:div w:id="2054109434">
          <w:marLeft w:val="0"/>
          <w:marRight w:val="0"/>
          <w:marTop w:val="0"/>
          <w:marBottom w:val="0"/>
          <w:divBdr>
            <w:top w:val="none" w:sz="0" w:space="0" w:color="auto"/>
            <w:left w:val="none" w:sz="0" w:space="0" w:color="auto"/>
            <w:bottom w:val="none" w:sz="0" w:space="0" w:color="auto"/>
            <w:right w:val="none" w:sz="0" w:space="0" w:color="auto"/>
          </w:divBdr>
        </w:div>
        <w:div w:id="2106224855">
          <w:marLeft w:val="0"/>
          <w:marRight w:val="0"/>
          <w:marTop w:val="0"/>
          <w:marBottom w:val="0"/>
          <w:divBdr>
            <w:top w:val="none" w:sz="0" w:space="0" w:color="auto"/>
            <w:left w:val="none" w:sz="0" w:space="0" w:color="auto"/>
            <w:bottom w:val="none" w:sz="0" w:space="0" w:color="auto"/>
            <w:right w:val="none" w:sz="0" w:space="0" w:color="auto"/>
          </w:divBdr>
        </w:div>
      </w:divsChild>
    </w:div>
    <w:div w:id="75908955">
      <w:bodyDiv w:val="1"/>
      <w:marLeft w:val="0"/>
      <w:marRight w:val="0"/>
      <w:marTop w:val="0"/>
      <w:marBottom w:val="0"/>
      <w:divBdr>
        <w:top w:val="none" w:sz="0" w:space="0" w:color="auto"/>
        <w:left w:val="none" w:sz="0" w:space="0" w:color="auto"/>
        <w:bottom w:val="none" w:sz="0" w:space="0" w:color="auto"/>
        <w:right w:val="none" w:sz="0" w:space="0" w:color="auto"/>
      </w:divBdr>
    </w:div>
    <w:div w:id="182331739">
      <w:bodyDiv w:val="1"/>
      <w:marLeft w:val="0"/>
      <w:marRight w:val="0"/>
      <w:marTop w:val="0"/>
      <w:marBottom w:val="0"/>
      <w:divBdr>
        <w:top w:val="none" w:sz="0" w:space="0" w:color="auto"/>
        <w:left w:val="none" w:sz="0" w:space="0" w:color="auto"/>
        <w:bottom w:val="none" w:sz="0" w:space="0" w:color="auto"/>
        <w:right w:val="none" w:sz="0" w:space="0" w:color="auto"/>
      </w:divBdr>
    </w:div>
    <w:div w:id="207107767">
      <w:bodyDiv w:val="1"/>
      <w:marLeft w:val="0"/>
      <w:marRight w:val="0"/>
      <w:marTop w:val="0"/>
      <w:marBottom w:val="0"/>
      <w:divBdr>
        <w:top w:val="none" w:sz="0" w:space="0" w:color="auto"/>
        <w:left w:val="none" w:sz="0" w:space="0" w:color="auto"/>
        <w:bottom w:val="none" w:sz="0" w:space="0" w:color="auto"/>
        <w:right w:val="none" w:sz="0" w:space="0" w:color="auto"/>
      </w:divBdr>
    </w:div>
    <w:div w:id="219023492">
      <w:bodyDiv w:val="1"/>
      <w:marLeft w:val="0"/>
      <w:marRight w:val="0"/>
      <w:marTop w:val="0"/>
      <w:marBottom w:val="0"/>
      <w:divBdr>
        <w:top w:val="none" w:sz="0" w:space="0" w:color="auto"/>
        <w:left w:val="none" w:sz="0" w:space="0" w:color="auto"/>
        <w:bottom w:val="none" w:sz="0" w:space="0" w:color="auto"/>
        <w:right w:val="none" w:sz="0" w:space="0" w:color="auto"/>
      </w:divBdr>
    </w:div>
    <w:div w:id="268393794">
      <w:bodyDiv w:val="1"/>
      <w:marLeft w:val="0"/>
      <w:marRight w:val="0"/>
      <w:marTop w:val="0"/>
      <w:marBottom w:val="0"/>
      <w:divBdr>
        <w:top w:val="none" w:sz="0" w:space="0" w:color="auto"/>
        <w:left w:val="none" w:sz="0" w:space="0" w:color="auto"/>
        <w:bottom w:val="none" w:sz="0" w:space="0" w:color="auto"/>
        <w:right w:val="none" w:sz="0" w:space="0" w:color="auto"/>
      </w:divBdr>
    </w:div>
    <w:div w:id="275334987">
      <w:bodyDiv w:val="1"/>
      <w:marLeft w:val="0"/>
      <w:marRight w:val="0"/>
      <w:marTop w:val="0"/>
      <w:marBottom w:val="0"/>
      <w:divBdr>
        <w:top w:val="none" w:sz="0" w:space="0" w:color="auto"/>
        <w:left w:val="none" w:sz="0" w:space="0" w:color="auto"/>
        <w:bottom w:val="none" w:sz="0" w:space="0" w:color="auto"/>
        <w:right w:val="none" w:sz="0" w:space="0" w:color="auto"/>
      </w:divBdr>
    </w:div>
    <w:div w:id="358162043">
      <w:bodyDiv w:val="1"/>
      <w:marLeft w:val="0"/>
      <w:marRight w:val="0"/>
      <w:marTop w:val="0"/>
      <w:marBottom w:val="0"/>
      <w:divBdr>
        <w:top w:val="none" w:sz="0" w:space="0" w:color="auto"/>
        <w:left w:val="none" w:sz="0" w:space="0" w:color="auto"/>
        <w:bottom w:val="none" w:sz="0" w:space="0" w:color="auto"/>
        <w:right w:val="none" w:sz="0" w:space="0" w:color="auto"/>
      </w:divBdr>
      <w:divsChild>
        <w:div w:id="721562907">
          <w:marLeft w:val="0"/>
          <w:marRight w:val="0"/>
          <w:marTop w:val="0"/>
          <w:marBottom w:val="0"/>
          <w:divBdr>
            <w:top w:val="none" w:sz="0" w:space="0" w:color="auto"/>
            <w:left w:val="none" w:sz="0" w:space="0" w:color="auto"/>
            <w:bottom w:val="none" w:sz="0" w:space="0" w:color="auto"/>
            <w:right w:val="none" w:sz="0" w:space="0" w:color="auto"/>
          </w:divBdr>
        </w:div>
        <w:div w:id="1558474310">
          <w:marLeft w:val="0"/>
          <w:marRight w:val="0"/>
          <w:marTop w:val="0"/>
          <w:marBottom w:val="0"/>
          <w:divBdr>
            <w:top w:val="none" w:sz="0" w:space="0" w:color="auto"/>
            <w:left w:val="none" w:sz="0" w:space="0" w:color="auto"/>
            <w:bottom w:val="none" w:sz="0" w:space="0" w:color="auto"/>
            <w:right w:val="none" w:sz="0" w:space="0" w:color="auto"/>
          </w:divBdr>
        </w:div>
        <w:div w:id="2131825754">
          <w:marLeft w:val="0"/>
          <w:marRight w:val="0"/>
          <w:marTop w:val="0"/>
          <w:marBottom w:val="0"/>
          <w:divBdr>
            <w:top w:val="none" w:sz="0" w:space="0" w:color="auto"/>
            <w:left w:val="none" w:sz="0" w:space="0" w:color="auto"/>
            <w:bottom w:val="none" w:sz="0" w:space="0" w:color="auto"/>
            <w:right w:val="none" w:sz="0" w:space="0" w:color="auto"/>
          </w:divBdr>
        </w:div>
      </w:divsChild>
    </w:div>
    <w:div w:id="391195136">
      <w:bodyDiv w:val="1"/>
      <w:marLeft w:val="0"/>
      <w:marRight w:val="0"/>
      <w:marTop w:val="0"/>
      <w:marBottom w:val="0"/>
      <w:divBdr>
        <w:top w:val="none" w:sz="0" w:space="0" w:color="auto"/>
        <w:left w:val="none" w:sz="0" w:space="0" w:color="auto"/>
        <w:bottom w:val="none" w:sz="0" w:space="0" w:color="auto"/>
        <w:right w:val="none" w:sz="0" w:space="0" w:color="auto"/>
      </w:divBdr>
      <w:divsChild>
        <w:div w:id="1257517657">
          <w:marLeft w:val="0"/>
          <w:marRight w:val="0"/>
          <w:marTop w:val="120"/>
          <w:marBottom w:val="60"/>
          <w:divBdr>
            <w:top w:val="none" w:sz="0" w:space="0" w:color="auto"/>
            <w:left w:val="none" w:sz="0" w:space="0" w:color="auto"/>
            <w:bottom w:val="none" w:sz="0" w:space="0" w:color="auto"/>
            <w:right w:val="none" w:sz="0" w:space="0" w:color="auto"/>
          </w:divBdr>
        </w:div>
      </w:divsChild>
    </w:div>
    <w:div w:id="391850585">
      <w:bodyDiv w:val="1"/>
      <w:marLeft w:val="0"/>
      <w:marRight w:val="0"/>
      <w:marTop w:val="0"/>
      <w:marBottom w:val="0"/>
      <w:divBdr>
        <w:top w:val="none" w:sz="0" w:space="0" w:color="auto"/>
        <w:left w:val="none" w:sz="0" w:space="0" w:color="auto"/>
        <w:bottom w:val="none" w:sz="0" w:space="0" w:color="auto"/>
        <w:right w:val="none" w:sz="0" w:space="0" w:color="auto"/>
      </w:divBdr>
    </w:div>
    <w:div w:id="410006555">
      <w:bodyDiv w:val="1"/>
      <w:marLeft w:val="0"/>
      <w:marRight w:val="0"/>
      <w:marTop w:val="0"/>
      <w:marBottom w:val="0"/>
      <w:divBdr>
        <w:top w:val="none" w:sz="0" w:space="0" w:color="auto"/>
        <w:left w:val="none" w:sz="0" w:space="0" w:color="auto"/>
        <w:bottom w:val="none" w:sz="0" w:space="0" w:color="auto"/>
        <w:right w:val="none" w:sz="0" w:space="0" w:color="auto"/>
      </w:divBdr>
    </w:div>
    <w:div w:id="433400161">
      <w:bodyDiv w:val="1"/>
      <w:marLeft w:val="0"/>
      <w:marRight w:val="0"/>
      <w:marTop w:val="0"/>
      <w:marBottom w:val="0"/>
      <w:divBdr>
        <w:top w:val="none" w:sz="0" w:space="0" w:color="auto"/>
        <w:left w:val="none" w:sz="0" w:space="0" w:color="auto"/>
        <w:bottom w:val="none" w:sz="0" w:space="0" w:color="auto"/>
        <w:right w:val="none" w:sz="0" w:space="0" w:color="auto"/>
      </w:divBdr>
      <w:divsChild>
        <w:div w:id="1481340026">
          <w:marLeft w:val="274"/>
          <w:marRight w:val="0"/>
          <w:marTop w:val="0"/>
          <w:marBottom w:val="35"/>
          <w:divBdr>
            <w:top w:val="none" w:sz="0" w:space="0" w:color="auto"/>
            <w:left w:val="none" w:sz="0" w:space="0" w:color="auto"/>
            <w:bottom w:val="none" w:sz="0" w:space="0" w:color="auto"/>
            <w:right w:val="none" w:sz="0" w:space="0" w:color="auto"/>
          </w:divBdr>
        </w:div>
      </w:divsChild>
    </w:div>
    <w:div w:id="444663891">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62044107">
      <w:bodyDiv w:val="1"/>
      <w:marLeft w:val="0"/>
      <w:marRight w:val="0"/>
      <w:marTop w:val="0"/>
      <w:marBottom w:val="0"/>
      <w:divBdr>
        <w:top w:val="none" w:sz="0" w:space="0" w:color="auto"/>
        <w:left w:val="none" w:sz="0" w:space="0" w:color="auto"/>
        <w:bottom w:val="none" w:sz="0" w:space="0" w:color="auto"/>
        <w:right w:val="none" w:sz="0" w:space="0" w:color="auto"/>
      </w:divBdr>
    </w:div>
    <w:div w:id="476381393">
      <w:bodyDiv w:val="1"/>
      <w:marLeft w:val="0"/>
      <w:marRight w:val="0"/>
      <w:marTop w:val="0"/>
      <w:marBottom w:val="0"/>
      <w:divBdr>
        <w:top w:val="none" w:sz="0" w:space="0" w:color="auto"/>
        <w:left w:val="none" w:sz="0" w:space="0" w:color="auto"/>
        <w:bottom w:val="none" w:sz="0" w:space="0" w:color="auto"/>
        <w:right w:val="none" w:sz="0" w:space="0" w:color="auto"/>
      </w:divBdr>
    </w:div>
    <w:div w:id="485516062">
      <w:bodyDiv w:val="1"/>
      <w:marLeft w:val="0"/>
      <w:marRight w:val="0"/>
      <w:marTop w:val="0"/>
      <w:marBottom w:val="0"/>
      <w:divBdr>
        <w:top w:val="none" w:sz="0" w:space="0" w:color="auto"/>
        <w:left w:val="none" w:sz="0" w:space="0" w:color="auto"/>
        <w:bottom w:val="none" w:sz="0" w:space="0" w:color="auto"/>
        <w:right w:val="none" w:sz="0" w:space="0" w:color="auto"/>
      </w:divBdr>
    </w:div>
    <w:div w:id="515196013">
      <w:bodyDiv w:val="1"/>
      <w:marLeft w:val="0"/>
      <w:marRight w:val="0"/>
      <w:marTop w:val="0"/>
      <w:marBottom w:val="0"/>
      <w:divBdr>
        <w:top w:val="none" w:sz="0" w:space="0" w:color="auto"/>
        <w:left w:val="none" w:sz="0" w:space="0" w:color="auto"/>
        <w:bottom w:val="none" w:sz="0" w:space="0" w:color="auto"/>
        <w:right w:val="none" w:sz="0" w:space="0" w:color="auto"/>
      </w:divBdr>
      <w:divsChild>
        <w:div w:id="96483147">
          <w:marLeft w:val="0"/>
          <w:marRight w:val="0"/>
          <w:marTop w:val="0"/>
          <w:marBottom w:val="0"/>
          <w:divBdr>
            <w:top w:val="none" w:sz="0" w:space="0" w:color="auto"/>
            <w:left w:val="none" w:sz="0" w:space="0" w:color="auto"/>
            <w:bottom w:val="none" w:sz="0" w:space="0" w:color="auto"/>
            <w:right w:val="none" w:sz="0" w:space="0" w:color="auto"/>
          </w:divBdr>
        </w:div>
        <w:div w:id="175577734">
          <w:marLeft w:val="0"/>
          <w:marRight w:val="0"/>
          <w:marTop w:val="0"/>
          <w:marBottom w:val="0"/>
          <w:divBdr>
            <w:top w:val="none" w:sz="0" w:space="0" w:color="auto"/>
            <w:left w:val="none" w:sz="0" w:space="0" w:color="auto"/>
            <w:bottom w:val="none" w:sz="0" w:space="0" w:color="auto"/>
            <w:right w:val="none" w:sz="0" w:space="0" w:color="auto"/>
          </w:divBdr>
        </w:div>
        <w:div w:id="533495187">
          <w:marLeft w:val="0"/>
          <w:marRight w:val="0"/>
          <w:marTop w:val="0"/>
          <w:marBottom w:val="0"/>
          <w:divBdr>
            <w:top w:val="none" w:sz="0" w:space="0" w:color="auto"/>
            <w:left w:val="none" w:sz="0" w:space="0" w:color="auto"/>
            <w:bottom w:val="none" w:sz="0" w:space="0" w:color="auto"/>
            <w:right w:val="none" w:sz="0" w:space="0" w:color="auto"/>
          </w:divBdr>
        </w:div>
        <w:div w:id="1046025805">
          <w:marLeft w:val="0"/>
          <w:marRight w:val="0"/>
          <w:marTop w:val="0"/>
          <w:marBottom w:val="0"/>
          <w:divBdr>
            <w:top w:val="none" w:sz="0" w:space="0" w:color="auto"/>
            <w:left w:val="none" w:sz="0" w:space="0" w:color="auto"/>
            <w:bottom w:val="none" w:sz="0" w:space="0" w:color="auto"/>
            <w:right w:val="none" w:sz="0" w:space="0" w:color="auto"/>
          </w:divBdr>
        </w:div>
      </w:divsChild>
    </w:div>
    <w:div w:id="546140228">
      <w:bodyDiv w:val="1"/>
      <w:marLeft w:val="0"/>
      <w:marRight w:val="0"/>
      <w:marTop w:val="0"/>
      <w:marBottom w:val="0"/>
      <w:divBdr>
        <w:top w:val="none" w:sz="0" w:space="0" w:color="auto"/>
        <w:left w:val="none" w:sz="0" w:space="0" w:color="auto"/>
        <w:bottom w:val="none" w:sz="0" w:space="0" w:color="auto"/>
        <w:right w:val="none" w:sz="0" w:space="0" w:color="auto"/>
      </w:divBdr>
    </w:div>
    <w:div w:id="560360236">
      <w:bodyDiv w:val="1"/>
      <w:marLeft w:val="0"/>
      <w:marRight w:val="0"/>
      <w:marTop w:val="0"/>
      <w:marBottom w:val="0"/>
      <w:divBdr>
        <w:top w:val="none" w:sz="0" w:space="0" w:color="auto"/>
        <w:left w:val="none" w:sz="0" w:space="0" w:color="auto"/>
        <w:bottom w:val="none" w:sz="0" w:space="0" w:color="auto"/>
        <w:right w:val="none" w:sz="0" w:space="0" w:color="auto"/>
      </w:divBdr>
    </w:div>
    <w:div w:id="583954573">
      <w:bodyDiv w:val="1"/>
      <w:marLeft w:val="0"/>
      <w:marRight w:val="0"/>
      <w:marTop w:val="0"/>
      <w:marBottom w:val="0"/>
      <w:divBdr>
        <w:top w:val="none" w:sz="0" w:space="0" w:color="auto"/>
        <w:left w:val="none" w:sz="0" w:space="0" w:color="auto"/>
        <w:bottom w:val="none" w:sz="0" w:space="0" w:color="auto"/>
        <w:right w:val="none" w:sz="0" w:space="0" w:color="auto"/>
      </w:divBdr>
    </w:div>
    <w:div w:id="607932851">
      <w:bodyDiv w:val="1"/>
      <w:marLeft w:val="0"/>
      <w:marRight w:val="0"/>
      <w:marTop w:val="0"/>
      <w:marBottom w:val="0"/>
      <w:divBdr>
        <w:top w:val="none" w:sz="0" w:space="0" w:color="auto"/>
        <w:left w:val="none" w:sz="0" w:space="0" w:color="auto"/>
        <w:bottom w:val="none" w:sz="0" w:space="0" w:color="auto"/>
        <w:right w:val="none" w:sz="0" w:space="0" w:color="auto"/>
      </w:divBdr>
    </w:div>
    <w:div w:id="623928854">
      <w:bodyDiv w:val="1"/>
      <w:marLeft w:val="0"/>
      <w:marRight w:val="0"/>
      <w:marTop w:val="0"/>
      <w:marBottom w:val="0"/>
      <w:divBdr>
        <w:top w:val="none" w:sz="0" w:space="0" w:color="auto"/>
        <w:left w:val="none" w:sz="0" w:space="0" w:color="auto"/>
        <w:bottom w:val="none" w:sz="0" w:space="0" w:color="auto"/>
        <w:right w:val="none" w:sz="0" w:space="0" w:color="auto"/>
      </w:divBdr>
    </w:div>
    <w:div w:id="634720075">
      <w:bodyDiv w:val="1"/>
      <w:marLeft w:val="0"/>
      <w:marRight w:val="0"/>
      <w:marTop w:val="0"/>
      <w:marBottom w:val="0"/>
      <w:divBdr>
        <w:top w:val="none" w:sz="0" w:space="0" w:color="auto"/>
        <w:left w:val="none" w:sz="0" w:space="0" w:color="auto"/>
        <w:bottom w:val="none" w:sz="0" w:space="0" w:color="auto"/>
        <w:right w:val="none" w:sz="0" w:space="0" w:color="auto"/>
      </w:divBdr>
    </w:div>
    <w:div w:id="647243544">
      <w:bodyDiv w:val="1"/>
      <w:marLeft w:val="0"/>
      <w:marRight w:val="0"/>
      <w:marTop w:val="0"/>
      <w:marBottom w:val="0"/>
      <w:divBdr>
        <w:top w:val="none" w:sz="0" w:space="0" w:color="auto"/>
        <w:left w:val="none" w:sz="0" w:space="0" w:color="auto"/>
        <w:bottom w:val="none" w:sz="0" w:space="0" w:color="auto"/>
        <w:right w:val="none" w:sz="0" w:space="0" w:color="auto"/>
      </w:divBdr>
    </w:div>
    <w:div w:id="685794132">
      <w:bodyDiv w:val="1"/>
      <w:marLeft w:val="0"/>
      <w:marRight w:val="0"/>
      <w:marTop w:val="0"/>
      <w:marBottom w:val="0"/>
      <w:divBdr>
        <w:top w:val="none" w:sz="0" w:space="0" w:color="auto"/>
        <w:left w:val="none" w:sz="0" w:space="0" w:color="auto"/>
        <w:bottom w:val="none" w:sz="0" w:space="0" w:color="auto"/>
        <w:right w:val="none" w:sz="0" w:space="0" w:color="auto"/>
      </w:divBdr>
    </w:div>
    <w:div w:id="734664309">
      <w:bodyDiv w:val="1"/>
      <w:marLeft w:val="0"/>
      <w:marRight w:val="0"/>
      <w:marTop w:val="0"/>
      <w:marBottom w:val="0"/>
      <w:divBdr>
        <w:top w:val="none" w:sz="0" w:space="0" w:color="auto"/>
        <w:left w:val="none" w:sz="0" w:space="0" w:color="auto"/>
        <w:bottom w:val="none" w:sz="0" w:space="0" w:color="auto"/>
        <w:right w:val="none" w:sz="0" w:space="0" w:color="auto"/>
      </w:divBdr>
    </w:div>
    <w:div w:id="734666654">
      <w:bodyDiv w:val="1"/>
      <w:marLeft w:val="0"/>
      <w:marRight w:val="0"/>
      <w:marTop w:val="0"/>
      <w:marBottom w:val="0"/>
      <w:divBdr>
        <w:top w:val="none" w:sz="0" w:space="0" w:color="auto"/>
        <w:left w:val="none" w:sz="0" w:space="0" w:color="auto"/>
        <w:bottom w:val="none" w:sz="0" w:space="0" w:color="auto"/>
        <w:right w:val="none" w:sz="0" w:space="0" w:color="auto"/>
      </w:divBdr>
    </w:div>
    <w:div w:id="763188173">
      <w:bodyDiv w:val="1"/>
      <w:marLeft w:val="0"/>
      <w:marRight w:val="0"/>
      <w:marTop w:val="0"/>
      <w:marBottom w:val="0"/>
      <w:divBdr>
        <w:top w:val="none" w:sz="0" w:space="0" w:color="auto"/>
        <w:left w:val="none" w:sz="0" w:space="0" w:color="auto"/>
        <w:bottom w:val="none" w:sz="0" w:space="0" w:color="auto"/>
        <w:right w:val="none" w:sz="0" w:space="0" w:color="auto"/>
      </w:divBdr>
    </w:div>
    <w:div w:id="768697373">
      <w:bodyDiv w:val="1"/>
      <w:marLeft w:val="0"/>
      <w:marRight w:val="0"/>
      <w:marTop w:val="0"/>
      <w:marBottom w:val="0"/>
      <w:divBdr>
        <w:top w:val="none" w:sz="0" w:space="0" w:color="auto"/>
        <w:left w:val="none" w:sz="0" w:space="0" w:color="auto"/>
        <w:bottom w:val="none" w:sz="0" w:space="0" w:color="auto"/>
        <w:right w:val="none" w:sz="0" w:space="0" w:color="auto"/>
      </w:divBdr>
    </w:div>
    <w:div w:id="778333826">
      <w:bodyDiv w:val="1"/>
      <w:marLeft w:val="0"/>
      <w:marRight w:val="0"/>
      <w:marTop w:val="0"/>
      <w:marBottom w:val="0"/>
      <w:divBdr>
        <w:top w:val="none" w:sz="0" w:space="0" w:color="auto"/>
        <w:left w:val="none" w:sz="0" w:space="0" w:color="auto"/>
        <w:bottom w:val="none" w:sz="0" w:space="0" w:color="auto"/>
        <w:right w:val="none" w:sz="0" w:space="0" w:color="auto"/>
      </w:divBdr>
    </w:div>
    <w:div w:id="808286124">
      <w:bodyDiv w:val="1"/>
      <w:marLeft w:val="0"/>
      <w:marRight w:val="0"/>
      <w:marTop w:val="0"/>
      <w:marBottom w:val="0"/>
      <w:divBdr>
        <w:top w:val="none" w:sz="0" w:space="0" w:color="auto"/>
        <w:left w:val="none" w:sz="0" w:space="0" w:color="auto"/>
        <w:bottom w:val="none" w:sz="0" w:space="0" w:color="auto"/>
        <w:right w:val="none" w:sz="0" w:space="0" w:color="auto"/>
      </w:divBdr>
    </w:div>
    <w:div w:id="818813299">
      <w:bodyDiv w:val="1"/>
      <w:marLeft w:val="0"/>
      <w:marRight w:val="0"/>
      <w:marTop w:val="0"/>
      <w:marBottom w:val="0"/>
      <w:divBdr>
        <w:top w:val="none" w:sz="0" w:space="0" w:color="auto"/>
        <w:left w:val="none" w:sz="0" w:space="0" w:color="auto"/>
        <w:bottom w:val="none" w:sz="0" w:space="0" w:color="auto"/>
        <w:right w:val="none" w:sz="0" w:space="0" w:color="auto"/>
      </w:divBdr>
    </w:div>
    <w:div w:id="823472533">
      <w:bodyDiv w:val="1"/>
      <w:marLeft w:val="0"/>
      <w:marRight w:val="0"/>
      <w:marTop w:val="0"/>
      <w:marBottom w:val="0"/>
      <w:divBdr>
        <w:top w:val="none" w:sz="0" w:space="0" w:color="auto"/>
        <w:left w:val="none" w:sz="0" w:space="0" w:color="auto"/>
        <w:bottom w:val="none" w:sz="0" w:space="0" w:color="auto"/>
        <w:right w:val="none" w:sz="0" w:space="0" w:color="auto"/>
      </w:divBdr>
    </w:div>
    <w:div w:id="924344206">
      <w:bodyDiv w:val="1"/>
      <w:marLeft w:val="0"/>
      <w:marRight w:val="0"/>
      <w:marTop w:val="0"/>
      <w:marBottom w:val="0"/>
      <w:divBdr>
        <w:top w:val="none" w:sz="0" w:space="0" w:color="auto"/>
        <w:left w:val="none" w:sz="0" w:space="0" w:color="auto"/>
        <w:bottom w:val="none" w:sz="0" w:space="0" w:color="auto"/>
        <w:right w:val="none" w:sz="0" w:space="0" w:color="auto"/>
      </w:divBdr>
    </w:div>
    <w:div w:id="925769136">
      <w:bodyDiv w:val="1"/>
      <w:marLeft w:val="0"/>
      <w:marRight w:val="0"/>
      <w:marTop w:val="0"/>
      <w:marBottom w:val="0"/>
      <w:divBdr>
        <w:top w:val="none" w:sz="0" w:space="0" w:color="auto"/>
        <w:left w:val="none" w:sz="0" w:space="0" w:color="auto"/>
        <w:bottom w:val="none" w:sz="0" w:space="0" w:color="auto"/>
        <w:right w:val="none" w:sz="0" w:space="0" w:color="auto"/>
      </w:divBdr>
    </w:div>
    <w:div w:id="937835785">
      <w:bodyDiv w:val="1"/>
      <w:marLeft w:val="0"/>
      <w:marRight w:val="0"/>
      <w:marTop w:val="0"/>
      <w:marBottom w:val="0"/>
      <w:divBdr>
        <w:top w:val="none" w:sz="0" w:space="0" w:color="auto"/>
        <w:left w:val="none" w:sz="0" w:space="0" w:color="auto"/>
        <w:bottom w:val="none" w:sz="0" w:space="0" w:color="auto"/>
        <w:right w:val="none" w:sz="0" w:space="0" w:color="auto"/>
      </w:divBdr>
    </w:div>
    <w:div w:id="1012999869">
      <w:bodyDiv w:val="1"/>
      <w:marLeft w:val="0"/>
      <w:marRight w:val="0"/>
      <w:marTop w:val="0"/>
      <w:marBottom w:val="0"/>
      <w:divBdr>
        <w:top w:val="none" w:sz="0" w:space="0" w:color="auto"/>
        <w:left w:val="none" w:sz="0" w:space="0" w:color="auto"/>
        <w:bottom w:val="none" w:sz="0" w:space="0" w:color="auto"/>
        <w:right w:val="none" w:sz="0" w:space="0" w:color="auto"/>
      </w:divBdr>
    </w:div>
    <w:div w:id="1026252892">
      <w:bodyDiv w:val="1"/>
      <w:marLeft w:val="0"/>
      <w:marRight w:val="0"/>
      <w:marTop w:val="0"/>
      <w:marBottom w:val="0"/>
      <w:divBdr>
        <w:top w:val="none" w:sz="0" w:space="0" w:color="auto"/>
        <w:left w:val="none" w:sz="0" w:space="0" w:color="auto"/>
        <w:bottom w:val="none" w:sz="0" w:space="0" w:color="auto"/>
        <w:right w:val="none" w:sz="0" w:space="0" w:color="auto"/>
      </w:divBdr>
    </w:div>
    <w:div w:id="1066607683">
      <w:bodyDiv w:val="1"/>
      <w:marLeft w:val="0"/>
      <w:marRight w:val="0"/>
      <w:marTop w:val="0"/>
      <w:marBottom w:val="0"/>
      <w:divBdr>
        <w:top w:val="none" w:sz="0" w:space="0" w:color="auto"/>
        <w:left w:val="none" w:sz="0" w:space="0" w:color="auto"/>
        <w:bottom w:val="none" w:sz="0" w:space="0" w:color="auto"/>
        <w:right w:val="none" w:sz="0" w:space="0" w:color="auto"/>
      </w:divBdr>
      <w:divsChild>
        <w:div w:id="454444169">
          <w:marLeft w:val="0"/>
          <w:marRight w:val="0"/>
          <w:marTop w:val="0"/>
          <w:marBottom w:val="0"/>
          <w:divBdr>
            <w:top w:val="none" w:sz="0" w:space="0" w:color="auto"/>
            <w:left w:val="none" w:sz="0" w:space="0" w:color="auto"/>
            <w:bottom w:val="none" w:sz="0" w:space="0" w:color="auto"/>
            <w:right w:val="none" w:sz="0" w:space="0" w:color="auto"/>
          </w:divBdr>
        </w:div>
        <w:div w:id="719401165">
          <w:marLeft w:val="0"/>
          <w:marRight w:val="0"/>
          <w:marTop w:val="0"/>
          <w:marBottom w:val="0"/>
          <w:divBdr>
            <w:top w:val="none" w:sz="0" w:space="0" w:color="auto"/>
            <w:left w:val="none" w:sz="0" w:space="0" w:color="auto"/>
            <w:bottom w:val="none" w:sz="0" w:space="0" w:color="auto"/>
            <w:right w:val="none" w:sz="0" w:space="0" w:color="auto"/>
          </w:divBdr>
        </w:div>
        <w:div w:id="1493174987">
          <w:marLeft w:val="0"/>
          <w:marRight w:val="0"/>
          <w:marTop w:val="0"/>
          <w:marBottom w:val="0"/>
          <w:divBdr>
            <w:top w:val="none" w:sz="0" w:space="0" w:color="auto"/>
            <w:left w:val="none" w:sz="0" w:space="0" w:color="auto"/>
            <w:bottom w:val="none" w:sz="0" w:space="0" w:color="auto"/>
            <w:right w:val="none" w:sz="0" w:space="0" w:color="auto"/>
          </w:divBdr>
        </w:div>
        <w:div w:id="2115132249">
          <w:marLeft w:val="0"/>
          <w:marRight w:val="0"/>
          <w:marTop w:val="0"/>
          <w:marBottom w:val="0"/>
          <w:divBdr>
            <w:top w:val="none" w:sz="0" w:space="0" w:color="auto"/>
            <w:left w:val="none" w:sz="0" w:space="0" w:color="auto"/>
            <w:bottom w:val="none" w:sz="0" w:space="0" w:color="auto"/>
            <w:right w:val="none" w:sz="0" w:space="0" w:color="auto"/>
          </w:divBdr>
        </w:div>
      </w:divsChild>
    </w:div>
    <w:div w:id="1088962920">
      <w:bodyDiv w:val="1"/>
      <w:marLeft w:val="0"/>
      <w:marRight w:val="0"/>
      <w:marTop w:val="0"/>
      <w:marBottom w:val="0"/>
      <w:divBdr>
        <w:top w:val="none" w:sz="0" w:space="0" w:color="auto"/>
        <w:left w:val="none" w:sz="0" w:space="0" w:color="auto"/>
        <w:bottom w:val="none" w:sz="0" w:space="0" w:color="auto"/>
        <w:right w:val="none" w:sz="0" w:space="0" w:color="auto"/>
      </w:divBdr>
      <w:divsChild>
        <w:div w:id="2090498892">
          <w:marLeft w:val="0"/>
          <w:marRight w:val="0"/>
          <w:marTop w:val="0"/>
          <w:marBottom w:val="0"/>
          <w:divBdr>
            <w:top w:val="none" w:sz="0" w:space="0" w:color="auto"/>
            <w:left w:val="none" w:sz="0" w:space="0" w:color="auto"/>
            <w:bottom w:val="none" w:sz="0" w:space="0" w:color="auto"/>
            <w:right w:val="none" w:sz="0" w:space="0" w:color="auto"/>
          </w:divBdr>
        </w:div>
      </w:divsChild>
    </w:div>
    <w:div w:id="1128351207">
      <w:bodyDiv w:val="1"/>
      <w:marLeft w:val="0"/>
      <w:marRight w:val="0"/>
      <w:marTop w:val="0"/>
      <w:marBottom w:val="0"/>
      <w:divBdr>
        <w:top w:val="none" w:sz="0" w:space="0" w:color="auto"/>
        <w:left w:val="none" w:sz="0" w:space="0" w:color="auto"/>
        <w:bottom w:val="none" w:sz="0" w:space="0" w:color="auto"/>
        <w:right w:val="none" w:sz="0" w:space="0" w:color="auto"/>
      </w:divBdr>
    </w:div>
    <w:div w:id="1133716744">
      <w:bodyDiv w:val="1"/>
      <w:marLeft w:val="0"/>
      <w:marRight w:val="0"/>
      <w:marTop w:val="0"/>
      <w:marBottom w:val="0"/>
      <w:divBdr>
        <w:top w:val="none" w:sz="0" w:space="0" w:color="auto"/>
        <w:left w:val="none" w:sz="0" w:space="0" w:color="auto"/>
        <w:bottom w:val="none" w:sz="0" w:space="0" w:color="auto"/>
        <w:right w:val="none" w:sz="0" w:space="0" w:color="auto"/>
      </w:divBdr>
    </w:div>
    <w:div w:id="1226914376">
      <w:bodyDiv w:val="1"/>
      <w:marLeft w:val="0"/>
      <w:marRight w:val="0"/>
      <w:marTop w:val="0"/>
      <w:marBottom w:val="0"/>
      <w:divBdr>
        <w:top w:val="none" w:sz="0" w:space="0" w:color="auto"/>
        <w:left w:val="none" w:sz="0" w:space="0" w:color="auto"/>
        <w:bottom w:val="none" w:sz="0" w:space="0" w:color="auto"/>
        <w:right w:val="none" w:sz="0" w:space="0" w:color="auto"/>
      </w:divBdr>
    </w:div>
    <w:div w:id="1230191246">
      <w:bodyDiv w:val="1"/>
      <w:marLeft w:val="0"/>
      <w:marRight w:val="0"/>
      <w:marTop w:val="0"/>
      <w:marBottom w:val="0"/>
      <w:divBdr>
        <w:top w:val="none" w:sz="0" w:space="0" w:color="auto"/>
        <w:left w:val="none" w:sz="0" w:space="0" w:color="auto"/>
        <w:bottom w:val="none" w:sz="0" w:space="0" w:color="auto"/>
        <w:right w:val="none" w:sz="0" w:space="0" w:color="auto"/>
      </w:divBdr>
    </w:div>
    <w:div w:id="1238632954">
      <w:bodyDiv w:val="1"/>
      <w:marLeft w:val="0"/>
      <w:marRight w:val="0"/>
      <w:marTop w:val="0"/>
      <w:marBottom w:val="0"/>
      <w:divBdr>
        <w:top w:val="none" w:sz="0" w:space="0" w:color="auto"/>
        <w:left w:val="none" w:sz="0" w:space="0" w:color="auto"/>
        <w:bottom w:val="none" w:sz="0" w:space="0" w:color="auto"/>
        <w:right w:val="none" w:sz="0" w:space="0" w:color="auto"/>
      </w:divBdr>
    </w:div>
    <w:div w:id="1252547281">
      <w:bodyDiv w:val="1"/>
      <w:marLeft w:val="0"/>
      <w:marRight w:val="0"/>
      <w:marTop w:val="0"/>
      <w:marBottom w:val="0"/>
      <w:divBdr>
        <w:top w:val="none" w:sz="0" w:space="0" w:color="auto"/>
        <w:left w:val="none" w:sz="0" w:space="0" w:color="auto"/>
        <w:bottom w:val="none" w:sz="0" w:space="0" w:color="auto"/>
        <w:right w:val="none" w:sz="0" w:space="0" w:color="auto"/>
      </w:divBdr>
    </w:div>
    <w:div w:id="1256285099">
      <w:bodyDiv w:val="1"/>
      <w:marLeft w:val="0"/>
      <w:marRight w:val="0"/>
      <w:marTop w:val="0"/>
      <w:marBottom w:val="0"/>
      <w:divBdr>
        <w:top w:val="none" w:sz="0" w:space="0" w:color="auto"/>
        <w:left w:val="none" w:sz="0" w:space="0" w:color="auto"/>
        <w:bottom w:val="none" w:sz="0" w:space="0" w:color="auto"/>
        <w:right w:val="none" w:sz="0" w:space="0" w:color="auto"/>
      </w:divBdr>
      <w:divsChild>
        <w:div w:id="40637343">
          <w:marLeft w:val="0"/>
          <w:marRight w:val="0"/>
          <w:marTop w:val="0"/>
          <w:marBottom w:val="0"/>
          <w:divBdr>
            <w:top w:val="none" w:sz="0" w:space="0" w:color="auto"/>
            <w:left w:val="none" w:sz="0" w:space="0" w:color="auto"/>
            <w:bottom w:val="none" w:sz="0" w:space="0" w:color="auto"/>
            <w:right w:val="none" w:sz="0" w:space="0" w:color="auto"/>
          </w:divBdr>
        </w:div>
        <w:div w:id="499544929">
          <w:marLeft w:val="0"/>
          <w:marRight w:val="0"/>
          <w:marTop w:val="0"/>
          <w:marBottom w:val="0"/>
          <w:divBdr>
            <w:top w:val="none" w:sz="0" w:space="0" w:color="auto"/>
            <w:left w:val="none" w:sz="0" w:space="0" w:color="auto"/>
            <w:bottom w:val="none" w:sz="0" w:space="0" w:color="auto"/>
            <w:right w:val="none" w:sz="0" w:space="0" w:color="auto"/>
          </w:divBdr>
        </w:div>
        <w:div w:id="883711863">
          <w:marLeft w:val="0"/>
          <w:marRight w:val="0"/>
          <w:marTop w:val="0"/>
          <w:marBottom w:val="0"/>
          <w:divBdr>
            <w:top w:val="none" w:sz="0" w:space="0" w:color="auto"/>
            <w:left w:val="none" w:sz="0" w:space="0" w:color="auto"/>
            <w:bottom w:val="none" w:sz="0" w:space="0" w:color="auto"/>
            <w:right w:val="none" w:sz="0" w:space="0" w:color="auto"/>
          </w:divBdr>
        </w:div>
        <w:div w:id="1806391437">
          <w:marLeft w:val="0"/>
          <w:marRight w:val="0"/>
          <w:marTop w:val="0"/>
          <w:marBottom w:val="0"/>
          <w:divBdr>
            <w:top w:val="none" w:sz="0" w:space="0" w:color="auto"/>
            <w:left w:val="none" w:sz="0" w:space="0" w:color="auto"/>
            <w:bottom w:val="none" w:sz="0" w:space="0" w:color="auto"/>
            <w:right w:val="none" w:sz="0" w:space="0" w:color="auto"/>
          </w:divBdr>
        </w:div>
      </w:divsChild>
    </w:div>
    <w:div w:id="1298299638">
      <w:bodyDiv w:val="1"/>
      <w:marLeft w:val="0"/>
      <w:marRight w:val="0"/>
      <w:marTop w:val="0"/>
      <w:marBottom w:val="0"/>
      <w:divBdr>
        <w:top w:val="none" w:sz="0" w:space="0" w:color="auto"/>
        <w:left w:val="none" w:sz="0" w:space="0" w:color="auto"/>
        <w:bottom w:val="none" w:sz="0" w:space="0" w:color="auto"/>
        <w:right w:val="none" w:sz="0" w:space="0" w:color="auto"/>
      </w:divBdr>
    </w:div>
    <w:div w:id="1316255755">
      <w:bodyDiv w:val="1"/>
      <w:marLeft w:val="0"/>
      <w:marRight w:val="0"/>
      <w:marTop w:val="0"/>
      <w:marBottom w:val="0"/>
      <w:divBdr>
        <w:top w:val="none" w:sz="0" w:space="0" w:color="auto"/>
        <w:left w:val="none" w:sz="0" w:space="0" w:color="auto"/>
        <w:bottom w:val="none" w:sz="0" w:space="0" w:color="auto"/>
        <w:right w:val="none" w:sz="0" w:space="0" w:color="auto"/>
      </w:divBdr>
    </w:div>
    <w:div w:id="1372610834">
      <w:bodyDiv w:val="1"/>
      <w:marLeft w:val="0"/>
      <w:marRight w:val="0"/>
      <w:marTop w:val="0"/>
      <w:marBottom w:val="0"/>
      <w:divBdr>
        <w:top w:val="none" w:sz="0" w:space="0" w:color="auto"/>
        <w:left w:val="none" w:sz="0" w:space="0" w:color="auto"/>
        <w:bottom w:val="none" w:sz="0" w:space="0" w:color="auto"/>
        <w:right w:val="none" w:sz="0" w:space="0" w:color="auto"/>
      </w:divBdr>
    </w:div>
    <w:div w:id="1391806844">
      <w:bodyDiv w:val="1"/>
      <w:marLeft w:val="0"/>
      <w:marRight w:val="0"/>
      <w:marTop w:val="0"/>
      <w:marBottom w:val="0"/>
      <w:divBdr>
        <w:top w:val="none" w:sz="0" w:space="0" w:color="auto"/>
        <w:left w:val="none" w:sz="0" w:space="0" w:color="auto"/>
        <w:bottom w:val="none" w:sz="0" w:space="0" w:color="auto"/>
        <w:right w:val="none" w:sz="0" w:space="0" w:color="auto"/>
      </w:divBdr>
    </w:div>
    <w:div w:id="1443262150">
      <w:bodyDiv w:val="1"/>
      <w:marLeft w:val="0"/>
      <w:marRight w:val="0"/>
      <w:marTop w:val="0"/>
      <w:marBottom w:val="0"/>
      <w:divBdr>
        <w:top w:val="none" w:sz="0" w:space="0" w:color="auto"/>
        <w:left w:val="none" w:sz="0" w:space="0" w:color="auto"/>
        <w:bottom w:val="none" w:sz="0" w:space="0" w:color="auto"/>
        <w:right w:val="none" w:sz="0" w:space="0" w:color="auto"/>
      </w:divBdr>
      <w:divsChild>
        <w:div w:id="17218618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52898960">
      <w:bodyDiv w:val="1"/>
      <w:marLeft w:val="0"/>
      <w:marRight w:val="0"/>
      <w:marTop w:val="0"/>
      <w:marBottom w:val="0"/>
      <w:divBdr>
        <w:top w:val="none" w:sz="0" w:space="0" w:color="auto"/>
        <w:left w:val="none" w:sz="0" w:space="0" w:color="auto"/>
        <w:bottom w:val="none" w:sz="0" w:space="0" w:color="auto"/>
        <w:right w:val="none" w:sz="0" w:space="0" w:color="auto"/>
      </w:divBdr>
      <w:divsChild>
        <w:div w:id="626936251">
          <w:marLeft w:val="0"/>
          <w:marRight w:val="0"/>
          <w:marTop w:val="0"/>
          <w:marBottom w:val="0"/>
          <w:divBdr>
            <w:top w:val="none" w:sz="0" w:space="0" w:color="auto"/>
            <w:left w:val="none" w:sz="0" w:space="0" w:color="auto"/>
            <w:bottom w:val="none" w:sz="0" w:space="0" w:color="auto"/>
            <w:right w:val="none" w:sz="0" w:space="0" w:color="auto"/>
          </w:divBdr>
        </w:div>
        <w:div w:id="885947032">
          <w:marLeft w:val="0"/>
          <w:marRight w:val="0"/>
          <w:marTop w:val="0"/>
          <w:marBottom w:val="0"/>
          <w:divBdr>
            <w:top w:val="none" w:sz="0" w:space="0" w:color="auto"/>
            <w:left w:val="none" w:sz="0" w:space="0" w:color="auto"/>
            <w:bottom w:val="none" w:sz="0" w:space="0" w:color="auto"/>
            <w:right w:val="none" w:sz="0" w:space="0" w:color="auto"/>
          </w:divBdr>
        </w:div>
      </w:divsChild>
    </w:div>
    <w:div w:id="1456169074">
      <w:bodyDiv w:val="1"/>
      <w:marLeft w:val="0"/>
      <w:marRight w:val="0"/>
      <w:marTop w:val="0"/>
      <w:marBottom w:val="0"/>
      <w:divBdr>
        <w:top w:val="none" w:sz="0" w:space="0" w:color="auto"/>
        <w:left w:val="none" w:sz="0" w:space="0" w:color="auto"/>
        <w:bottom w:val="none" w:sz="0" w:space="0" w:color="auto"/>
        <w:right w:val="none" w:sz="0" w:space="0" w:color="auto"/>
      </w:divBdr>
    </w:div>
    <w:div w:id="1466122048">
      <w:bodyDiv w:val="1"/>
      <w:marLeft w:val="0"/>
      <w:marRight w:val="0"/>
      <w:marTop w:val="0"/>
      <w:marBottom w:val="0"/>
      <w:divBdr>
        <w:top w:val="none" w:sz="0" w:space="0" w:color="auto"/>
        <w:left w:val="none" w:sz="0" w:space="0" w:color="auto"/>
        <w:bottom w:val="none" w:sz="0" w:space="0" w:color="auto"/>
        <w:right w:val="none" w:sz="0" w:space="0" w:color="auto"/>
      </w:divBdr>
    </w:div>
    <w:div w:id="1587497729">
      <w:bodyDiv w:val="1"/>
      <w:marLeft w:val="0"/>
      <w:marRight w:val="0"/>
      <w:marTop w:val="0"/>
      <w:marBottom w:val="0"/>
      <w:divBdr>
        <w:top w:val="none" w:sz="0" w:space="0" w:color="auto"/>
        <w:left w:val="none" w:sz="0" w:space="0" w:color="auto"/>
        <w:bottom w:val="none" w:sz="0" w:space="0" w:color="auto"/>
        <w:right w:val="none" w:sz="0" w:space="0" w:color="auto"/>
      </w:divBdr>
    </w:div>
    <w:div w:id="1595435550">
      <w:bodyDiv w:val="1"/>
      <w:marLeft w:val="0"/>
      <w:marRight w:val="0"/>
      <w:marTop w:val="0"/>
      <w:marBottom w:val="0"/>
      <w:divBdr>
        <w:top w:val="none" w:sz="0" w:space="0" w:color="auto"/>
        <w:left w:val="none" w:sz="0" w:space="0" w:color="auto"/>
        <w:bottom w:val="none" w:sz="0" w:space="0" w:color="auto"/>
        <w:right w:val="none" w:sz="0" w:space="0" w:color="auto"/>
      </w:divBdr>
    </w:div>
    <w:div w:id="1641499581">
      <w:bodyDiv w:val="1"/>
      <w:marLeft w:val="0"/>
      <w:marRight w:val="0"/>
      <w:marTop w:val="0"/>
      <w:marBottom w:val="0"/>
      <w:divBdr>
        <w:top w:val="none" w:sz="0" w:space="0" w:color="auto"/>
        <w:left w:val="none" w:sz="0" w:space="0" w:color="auto"/>
        <w:bottom w:val="none" w:sz="0" w:space="0" w:color="auto"/>
        <w:right w:val="none" w:sz="0" w:space="0" w:color="auto"/>
      </w:divBdr>
    </w:div>
    <w:div w:id="1704283885">
      <w:bodyDiv w:val="1"/>
      <w:marLeft w:val="0"/>
      <w:marRight w:val="0"/>
      <w:marTop w:val="0"/>
      <w:marBottom w:val="0"/>
      <w:divBdr>
        <w:top w:val="none" w:sz="0" w:space="0" w:color="auto"/>
        <w:left w:val="none" w:sz="0" w:space="0" w:color="auto"/>
        <w:bottom w:val="none" w:sz="0" w:space="0" w:color="auto"/>
        <w:right w:val="none" w:sz="0" w:space="0" w:color="auto"/>
      </w:divBdr>
    </w:div>
    <w:div w:id="1736008872">
      <w:bodyDiv w:val="1"/>
      <w:marLeft w:val="0"/>
      <w:marRight w:val="0"/>
      <w:marTop w:val="0"/>
      <w:marBottom w:val="0"/>
      <w:divBdr>
        <w:top w:val="none" w:sz="0" w:space="0" w:color="auto"/>
        <w:left w:val="none" w:sz="0" w:space="0" w:color="auto"/>
        <w:bottom w:val="none" w:sz="0" w:space="0" w:color="auto"/>
        <w:right w:val="none" w:sz="0" w:space="0" w:color="auto"/>
      </w:divBdr>
    </w:div>
    <w:div w:id="1754934460">
      <w:bodyDiv w:val="1"/>
      <w:marLeft w:val="0"/>
      <w:marRight w:val="0"/>
      <w:marTop w:val="0"/>
      <w:marBottom w:val="0"/>
      <w:divBdr>
        <w:top w:val="none" w:sz="0" w:space="0" w:color="auto"/>
        <w:left w:val="none" w:sz="0" w:space="0" w:color="auto"/>
        <w:bottom w:val="none" w:sz="0" w:space="0" w:color="auto"/>
        <w:right w:val="none" w:sz="0" w:space="0" w:color="auto"/>
      </w:divBdr>
    </w:div>
    <w:div w:id="1762217594">
      <w:bodyDiv w:val="1"/>
      <w:marLeft w:val="0"/>
      <w:marRight w:val="0"/>
      <w:marTop w:val="0"/>
      <w:marBottom w:val="0"/>
      <w:divBdr>
        <w:top w:val="none" w:sz="0" w:space="0" w:color="auto"/>
        <w:left w:val="none" w:sz="0" w:space="0" w:color="auto"/>
        <w:bottom w:val="none" w:sz="0" w:space="0" w:color="auto"/>
        <w:right w:val="none" w:sz="0" w:space="0" w:color="auto"/>
      </w:divBdr>
    </w:div>
    <w:div w:id="1763184675">
      <w:bodyDiv w:val="1"/>
      <w:marLeft w:val="0"/>
      <w:marRight w:val="0"/>
      <w:marTop w:val="0"/>
      <w:marBottom w:val="0"/>
      <w:divBdr>
        <w:top w:val="none" w:sz="0" w:space="0" w:color="auto"/>
        <w:left w:val="none" w:sz="0" w:space="0" w:color="auto"/>
        <w:bottom w:val="none" w:sz="0" w:space="0" w:color="auto"/>
        <w:right w:val="none" w:sz="0" w:space="0" w:color="auto"/>
      </w:divBdr>
    </w:div>
    <w:div w:id="1763994108">
      <w:bodyDiv w:val="1"/>
      <w:marLeft w:val="0"/>
      <w:marRight w:val="0"/>
      <w:marTop w:val="0"/>
      <w:marBottom w:val="0"/>
      <w:divBdr>
        <w:top w:val="none" w:sz="0" w:space="0" w:color="auto"/>
        <w:left w:val="none" w:sz="0" w:space="0" w:color="auto"/>
        <w:bottom w:val="none" w:sz="0" w:space="0" w:color="auto"/>
        <w:right w:val="none" w:sz="0" w:space="0" w:color="auto"/>
      </w:divBdr>
      <w:divsChild>
        <w:div w:id="433474595">
          <w:marLeft w:val="0"/>
          <w:marRight w:val="0"/>
          <w:marTop w:val="0"/>
          <w:marBottom w:val="0"/>
          <w:divBdr>
            <w:top w:val="none" w:sz="0" w:space="0" w:color="auto"/>
            <w:left w:val="none" w:sz="0" w:space="0" w:color="auto"/>
            <w:bottom w:val="none" w:sz="0" w:space="0" w:color="auto"/>
            <w:right w:val="none" w:sz="0" w:space="0" w:color="auto"/>
          </w:divBdr>
        </w:div>
        <w:div w:id="1984649665">
          <w:marLeft w:val="0"/>
          <w:marRight w:val="0"/>
          <w:marTop w:val="0"/>
          <w:marBottom w:val="0"/>
          <w:divBdr>
            <w:top w:val="none" w:sz="0" w:space="0" w:color="auto"/>
            <w:left w:val="none" w:sz="0" w:space="0" w:color="auto"/>
            <w:bottom w:val="none" w:sz="0" w:space="0" w:color="auto"/>
            <w:right w:val="none" w:sz="0" w:space="0" w:color="auto"/>
          </w:divBdr>
        </w:div>
        <w:div w:id="2057656516">
          <w:marLeft w:val="0"/>
          <w:marRight w:val="0"/>
          <w:marTop w:val="0"/>
          <w:marBottom w:val="0"/>
          <w:divBdr>
            <w:top w:val="none" w:sz="0" w:space="0" w:color="auto"/>
            <w:left w:val="none" w:sz="0" w:space="0" w:color="auto"/>
            <w:bottom w:val="none" w:sz="0" w:space="0" w:color="auto"/>
            <w:right w:val="none" w:sz="0" w:space="0" w:color="auto"/>
          </w:divBdr>
        </w:div>
      </w:divsChild>
    </w:div>
    <w:div w:id="1780296335">
      <w:bodyDiv w:val="1"/>
      <w:marLeft w:val="0"/>
      <w:marRight w:val="0"/>
      <w:marTop w:val="0"/>
      <w:marBottom w:val="0"/>
      <w:divBdr>
        <w:top w:val="none" w:sz="0" w:space="0" w:color="auto"/>
        <w:left w:val="none" w:sz="0" w:space="0" w:color="auto"/>
        <w:bottom w:val="none" w:sz="0" w:space="0" w:color="auto"/>
        <w:right w:val="none" w:sz="0" w:space="0" w:color="auto"/>
      </w:divBdr>
    </w:div>
    <w:div w:id="1793817325">
      <w:bodyDiv w:val="1"/>
      <w:marLeft w:val="0"/>
      <w:marRight w:val="0"/>
      <w:marTop w:val="0"/>
      <w:marBottom w:val="0"/>
      <w:divBdr>
        <w:top w:val="none" w:sz="0" w:space="0" w:color="auto"/>
        <w:left w:val="none" w:sz="0" w:space="0" w:color="auto"/>
        <w:bottom w:val="none" w:sz="0" w:space="0" w:color="auto"/>
        <w:right w:val="none" w:sz="0" w:space="0" w:color="auto"/>
      </w:divBdr>
    </w:div>
    <w:div w:id="1800878266">
      <w:bodyDiv w:val="1"/>
      <w:marLeft w:val="0"/>
      <w:marRight w:val="0"/>
      <w:marTop w:val="0"/>
      <w:marBottom w:val="0"/>
      <w:divBdr>
        <w:top w:val="none" w:sz="0" w:space="0" w:color="auto"/>
        <w:left w:val="none" w:sz="0" w:space="0" w:color="auto"/>
        <w:bottom w:val="none" w:sz="0" w:space="0" w:color="auto"/>
        <w:right w:val="none" w:sz="0" w:space="0" w:color="auto"/>
      </w:divBdr>
    </w:div>
    <w:div w:id="1819420803">
      <w:bodyDiv w:val="1"/>
      <w:marLeft w:val="0"/>
      <w:marRight w:val="0"/>
      <w:marTop w:val="0"/>
      <w:marBottom w:val="0"/>
      <w:divBdr>
        <w:top w:val="none" w:sz="0" w:space="0" w:color="auto"/>
        <w:left w:val="none" w:sz="0" w:space="0" w:color="auto"/>
        <w:bottom w:val="none" w:sz="0" w:space="0" w:color="auto"/>
        <w:right w:val="none" w:sz="0" w:space="0" w:color="auto"/>
      </w:divBdr>
      <w:divsChild>
        <w:div w:id="1155603868">
          <w:marLeft w:val="0"/>
          <w:marRight w:val="0"/>
          <w:marTop w:val="0"/>
          <w:marBottom w:val="0"/>
          <w:divBdr>
            <w:top w:val="none" w:sz="0" w:space="0" w:color="auto"/>
            <w:left w:val="none" w:sz="0" w:space="0" w:color="auto"/>
            <w:bottom w:val="none" w:sz="0" w:space="0" w:color="auto"/>
            <w:right w:val="none" w:sz="0" w:space="0" w:color="auto"/>
          </w:divBdr>
        </w:div>
      </w:divsChild>
    </w:div>
    <w:div w:id="1829324566">
      <w:bodyDiv w:val="1"/>
      <w:marLeft w:val="0"/>
      <w:marRight w:val="0"/>
      <w:marTop w:val="0"/>
      <w:marBottom w:val="0"/>
      <w:divBdr>
        <w:top w:val="none" w:sz="0" w:space="0" w:color="auto"/>
        <w:left w:val="none" w:sz="0" w:space="0" w:color="auto"/>
        <w:bottom w:val="none" w:sz="0" w:space="0" w:color="auto"/>
        <w:right w:val="none" w:sz="0" w:space="0" w:color="auto"/>
      </w:divBdr>
    </w:div>
    <w:div w:id="1834880913">
      <w:bodyDiv w:val="1"/>
      <w:marLeft w:val="0"/>
      <w:marRight w:val="0"/>
      <w:marTop w:val="0"/>
      <w:marBottom w:val="0"/>
      <w:divBdr>
        <w:top w:val="none" w:sz="0" w:space="0" w:color="auto"/>
        <w:left w:val="none" w:sz="0" w:space="0" w:color="auto"/>
        <w:bottom w:val="none" w:sz="0" w:space="0" w:color="auto"/>
        <w:right w:val="none" w:sz="0" w:space="0" w:color="auto"/>
      </w:divBdr>
    </w:div>
    <w:div w:id="1844083521">
      <w:bodyDiv w:val="1"/>
      <w:marLeft w:val="0"/>
      <w:marRight w:val="0"/>
      <w:marTop w:val="0"/>
      <w:marBottom w:val="0"/>
      <w:divBdr>
        <w:top w:val="none" w:sz="0" w:space="0" w:color="auto"/>
        <w:left w:val="none" w:sz="0" w:space="0" w:color="auto"/>
        <w:bottom w:val="none" w:sz="0" w:space="0" w:color="auto"/>
        <w:right w:val="none" w:sz="0" w:space="0" w:color="auto"/>
      </w:divBdr>
    </w:div>
    <w:div w:id="1913277353">
      <w:bodyDiv w:val="1"/>
      <w:marLeft w:val="0"/>
      <w:marRight w:val="0"/>
      <w:marTop w:val="0"/>
      <w:marBottom w:val="0"/>
      <w:divBdr>
        <w:top w:val="none" w:sz="0" w:space="0" w:color="auto"/>
        <w:left w:val="none" w:sz="0" w:space="0" w:color="auto"/>
        <w:bottom w:val="none" w:sz="0" w:space="0" w:color="auto"/>
        <w:right w:val="none" w:sz="0" w:space="0" w:color="auto"/>
      </w:divBdr>
      <w:divsChild>
        <w:div w:id="441151928">
          <w:marLeft w:val="0"/>
          <w:marRight w:val="0"/>
          <w:marTop w:val="0"/>
          <w:marBottom w:val="0"/>
          <w:divBdr>
            <w:top w:val="none" w:sz="0" w:space="0" w:color="auto"/>
            <w:left w:val="none" w:sz="0" w:space="0" w:color="auto"/>
            <w:bottom w:val="none" w:sz="0" w:space="0" w:color="auto"/>
            <w:right w:val="none" w:sz="0" w:space="0" w:color="auto"/>
          </w:divBdr>
        </w:div>
        <w:div w:id="545875898">
          <w:marLeft w:val="0"/>
          <w:marRight w:val="0"/>
          <w:marTop w:val="0"/>
          <w:marBottom w:val="0"/>
          <w:divBdr>
            <w:top w:val="none" w:sz="0" w:space="0" w:color="auto"/>
            <w:left w:val="none" w:sz="0" w:space="0" w:color="auto"/>
            <w:bottom w:val="none" w:sz="0" w:space="0" w:color="auto"/>
            <w:right w:val="none" w:sz="0" w:space="0" w:color="auto"/>
          </w:divBdr>
        </w:div>
        <w:div w:id="923416792">
          <w:marLeft w:val="0"/>
          <w:marRight w:val="0"/>
          <w:marTop w:val="0"/>
          <w:marBottom w:val="0"/>
          <w:divBdr>
            <w:top w:val="none" w:sz="0" w:space="0" w:color="auto"/>
            <w:left w:val="none" w:sz="0" w:space="0" w:color="auto"/>
            <w:bottom w:val="none" w:sz="0" w:space="0" w:color="auto"/>
            <w:right w:val="none" w:sz="0" w:space="0" w:color="auto"/>
          </w:divBdr>
        </w:div>
        <w:div w:id="1102919271">
          <w:marLeft w:val="0"/>
          <w:marRight w:val="0"/>
          <w:marTop w:val="0"/>
          <w:marBottom w:val="0"/>
          <w:divBdr>
            <w:top w:val="none" w:sz="0" w:space="0" w:color="auto"/>
            <w:left w:val="none" w:sz="0" w:space="0" w:color="auto"/>
            <w:bottom w:val="none" w:sz="0" w:space="0" w:color="auto"/>
            <w:right w:val="none" w:sz="0" w:space="0" w:color="auto"/>
          </w:divBdr>
        </w:div>
      </w:divsChild>
    </w:div>
    <w:div w:id="1958246317">
      <w:bodyDiv w:val="1"/>
      <w:marLeft w:val="0"/>
      <w:marRight w:val="0"/>
      <w:marTop w:val="0"/>
      <w:marBottom w:val="0"/>
      <w:divBdr>
        <w:top w:val="none" w:sz="0" w:space="0" w:color="auto"/>
        <w:left w:val="none" w:sz="0" w:space="0" w:color="auto"/>
        <w:bottom w:val="none" w:sz="0" w:space="0" w:color="auto"/>
        <w:right w:val="none" w:sz="0" w:space="0" w:color="auto"/>
      </w:divBdr>
    </w:div>
    <w:div w:id="1989283418">
      <w:bodyDiv w:val="1"/>
      <w:marLeft w:val="0"/>
      <w:marRight w:val="0"/>
      <w:marTop w:val="0"/>
      <w:marBottom w:val="0"/>
      <w:divBdr>
        <w:top w:val="none" w:sz="0" w:space="0" w:color="auto"/>
        <w:left w:val="none" w:sz="0" w:space="0" w:color="auto"/>
        <w:bottom w:val="none" w:sz="0" w:space="0" w:color="auto"/>
        <w:right w:val="none" w:sz="0" w:space="0" w:color="auto"/>
      </w:divBdr>
      <w:divsChild>
        <w:div w:id="77335836">
          <w:marLeft w:val="274"/>
          <w:marRight w:val="0"/>
          <w:marTop w:val="0"/>
          <w:marBottom w:val="35"/>
          <w:divBdr>
            <w:top w:val="none" w:sz="0" w:space="0" w:color="auto"/>
            <w:left w:val="none" w:sz="0" w:space="0" w:color="auto"/>
            <w:bottom w:val="none" w:sz="0" w:space="0" w:color="auto"/>
            <w:right w:val="none" w:sz="0" w:space="0" w:color="auto"/>
          </w:divBdr>
        </w:div>
        <w:div w:id="558905458">
          <w:marLeft w:val="274"/>
          <w:marRight w:val="0"/>
          <w:marTop w:val="0"/>
          <w:marBottom w:val="35"/>
          <w:divBdr>
            <w:top w:val="none" w:sz="0" w:space="0" w:color="auto"/>
            <w:left w:val="none" w:sz="0" w:space="0" w:color="auto"/>
            <w:bottom w:val="none" w:sz="0" w:space="0" w:color="auto"/>
            <w:right w:val="none" w:sz="0" w:space="0" w:color="auto"/>
          </w:divBdr>
        </w:div>
        <w:div w:id="963342897">
          <w:marLeft w:val="274"/>
          <w:marRight w:val="0"/>
          <w:marTop w:val="0"/>
          <w:marBottom w:val="35"/>
          <w:divBdr>
            <w:top w:val="none" w:sz="0" w:space="0" w:color="auto"/>
            <w:left w:val="none" w:sz="0" w:space="0" w:color="auto"/>
            <w:bottom w:val="none" w:sz="0" w:space="0" w:color="auto"/>
            <w:right w:val="none" w:sz="0" w:space="0" w:color="auto"/>
          </w:divBdr>
        </w:div>
        <w:div w:id="1682853263">
          <w:marLeft w:val="274"/>
          <w:marRight w:val="0"/>
          <w:marTop w:val="0"/>
          <w:marBottom w:val="35"/>
          <w:divBdr>
            <w:top w:val="none" w:sz="0" w:space="0" w:color="auto"/>
            <w:left w:val="none" w:sz="0" w:space="0" w:color="auto"/>
            <w:bottom w:val="none" w:sz="0" w:space="0" w:color="auto"/>
            <w:right w:val="none" w:sz="0" w:space="0" w:color="auto"/>
          </w:divBdr>
        </w:div>
      </w:divsChild>
    </w:div>
    <w:div w:id="1991443835">
      <w:bodyDiv w:val="1"/>
      <w:marLeft w:val="0"/>
      <w:marRight w:val="0"/>
      <w:marTop w:val="0"/>
      <w:marBottom w:val="0"/>
      <w:divBdr>
        <w:top w:val="none" w:sz="0" w:space="0" w:color="auto"/>
        <w:left w:val="none" w:sz="0" w:space="0" w:color="auto"/>
        <w:bottom w:val="none" w:sz="0" w:space="0" w:color="auto"/>
        <w:right w:val="none" w:sz="0" w:space="0" w:color="auto"/>
      </w:divBdr>
    </w:div>
    <w:div w:id="2005468241">
      <w:bodyDiv w:val="1"/>
      <w:marLeft w:val="0"/>
      <w:marRight w:val="0"/>
      <w:marTop w:val="0"/>
      <w:marBottom w:val="0"/>
      <w:divBdr>
        <w:top w:val="none" w:sz="0" w:space="0" w:color="auto"/>
        <w:left w:val="none" w:sz="0" w:space="0" w:color="auto"/>
        <w:bottom w:val="none" w:sz="0" w:space="0" w:color="auto"/>
        <w:right w:val="none" w:sz="0" w:space="0" w:color="auto"/>
      </w:divBdr>
    </w:div>
    <w:div w:id="2033609744">
      <w:bodyDiv w:val="1"/>
      <w:marLeft w:val="0"/>
      <w:marRight w:val="0"/>
      <w:marTop w:val="0"/>
      <w:marBottom w:val="0"/>
      <w:divBdr>
        <w:top w:val="none" w:sz="0" w:space="0" w:color="auto"/>
        <w:left w:val="none" w:sz="0" w:space="0" w:color="auto"/>
        <w:bottom w:val="none" w:sz="0" w:space="0" w:color="auto"/>
        <w:right w:val="none" w:sz="0" w:space="0" w:color="auto"/>
      </w:divBdr>
    </w:div>
    <w:div w:id="2049643110">
      <w:bodyDiv w:val="1"/>
      <w:marLeft w:val="0"/>
      <w:marRight w:val="0"/>
      <w:marTop w:val="0"/>
      <w:marBottom w:val="0"/>
      <w:divBdr>
        <w:top w:val="none" w:sz="0" w:space="0" w:color="auto"/>
        <w:left w:val="none" w:sz="0" w:space="0" w:color="auto"/>
        <w:bottom w:val="none" w:sz="0" w:space="0" w:color="auto"/>
        <w:right w:val="none" w:sz="0" w:space="0" w:color="auto"/>
      </w:divBdr>
    </w:div>
    <w:div w:id="2049795873">
      <w:bodyDiv w:val="1"/>
      <w:marLeft w:val="0"/>
      <w:marRight w:val="0"/>
      <w:marTop w:val="0"/>
      <w:marBottom w:val="0"/>
      <w:divBdr>
        <w:top w:val="none" w:sz="0" w:space="0" w:color="auto"/>
        <w:left w:val="none" w:sz="0" w:space="0" w:color="auto"/>
        <w:bottom w:val="none" w:sz="0" w:space="0" w:color="auto"/>
        <w:right w:val="none" w:sz="0" w:space="0" w:color="auto"/>
      </w:divBdr>
    </w:div>
    <w:div w:id="2118527188">
      <w:bodyDiv w:val="1"/>
      <w:marLeft w:val="0"/>
      <w:marRight w:val="0"/>
      <w:marTop w:val="0"/>
      <w:marBottom w:val="0"/>
      <w:divBdr>
        <w:top w:val="none" w:sz="0" w:space="0" w:color="auto"/>
        <w:left w:val="none" w:sz="0" w:space="0" w:color="auto"/>
        <w:bottom w:val="none" w:sz="0" w:space="0" w:color="auto"/>
        <w:right w:val="none" w:sz="0" w:space="0" w:color="auto"/>
      </w:divBdr>
    </w:div>
    <w:div w:id="2118795309">
      <w:bodyDiv w:val="1"/>
      <w:marLeft w:val="0"/>
      <w:marRight w:val="0"/>
      <w:marTop w:val="0"/>
      <w:marBottom w:val="0"/>
      <w:divBdr>
        <w:top w:val="none" w:sz="0" w:space="0" w:color="auto"/>
        <w:left w:val="none" w:sz="0" w:space="0" w:color="auto"/>
        <w:bottom w:val="none" w:sz="0" w:space="0" w:color="auto"/>
        <w:right w:val="none" w:sz="0" w:space="0" w:color="auto"/>
      </w:divBdr>
    </w:div>
    <w:div w:id="2140756075">
      <w:bodyDiv w:val="1"/>
      <w:marLeft w:val="0"/>
      <w:marRight w:val="0"/>
      <w:marTop w:val="0"/>
      <w:marBottom w:val="0"/>
      <w:divBdr>
        <w:top w:val="none" w:sz="0" w:space="0" w:color="auto"/>
        <w:left w:val="none" w:sz="0" w:space="0" w:color="auto"/>
        <w:bottom w:val="none" w:sz="0" w:space="0" w:color="auto"/>
        <w:right w:val="none" w:sz="0" w:space="0" w:color="auto"/>
      </w:divBdr>
      <w:divsChild>
        <w:div w:id="174810646">
          <w:marLeft w:val="274"/>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notes" Target="foot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Holman\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31ed7be0-71df-4ef7-a44a-46c20e97f856"/>
    <ds:schemaRef ds:uri="http://purl.org/dc/terms/"/>
    <ds:schemaRef ds:uri="http://schemas.openxmlformats.org/package/2006/metadata/core-properties"/>
    <ds:schemaRef ds:uri="http://purl.org/dc/dcmitype/"/>
    <ds:schemaRef ds:uri="http://schemas.microsoft.com/office/infopath/2007/PartnerControls"/>
    <ds:schemaRef ds:uri="55f32057-c7d7-4cf2-a083-f930dcef3185"/>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5.xml><?xml version="1.0" encoding="utf-8"?>
<ds:datastoreItem xmlns:ds="http://schemas.openxmlformats.org/officeDocument/2006/customXml" ds:itemID="{F46D792E-84A0-44A9-A10D-D51A70118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446</TotalTime>
  <Pages>94</Pages>
  <Words>28404</Words>
  <Characters>161908</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Interim Evaluation #2 of the Prescribed List Reforms</vt:lpstr>
    </vt:vector>
  </TitlesOfParts>
  <Company/>
  <LinksUpToDate>false</LinksUpToDate>
  <CharactersWithSpaces>189933</CharactersWithSpaces>
  <SharedDoc>false</SharedDoc>
  <HLinks>
    <vt:vector size="168" baseType="variant">
      <vt:variant>
        <vt:i4>1572917</vt:i4>
      </vt:variant>
      <vt:variant>
        <vt:i4>164</vt:i4>
      </vt:variant>
      <vt:variant>
        <vt:i4>0</vt:i4>
      </vt:variant>
      <vt:variant>
        <vt:i4>5</vt:i4>
      </vt:variant>
      <vt:variant>
        <vt:lpwstr/>
      </vt:variant>
      <vt:variant>
        <vt:lpwstr>_Toc209176989</vt:lpwstr>
      </vt:variant>
      <vt:variant>
        <vt:i4>1572917</vt:i4>
      </vt:variant>
      <vt:variant>
        <vt:i4>158</vt:i4>
      </vt:variant>
      <vt:variant>
        <vt:i4>0</vt:i4>
      </vt:variant>
      <vt:variant>
        <vt:i4>5</vt:i4>
      </vt:variant>
      <vt:variant>
        <vt:lpwstr/>
      </vt:variant>
      <vt:variant>
        <vt:lpwstr>_Toc209176988</vt:lpwstr>
      </vt:variant>
      <vt:variant>
        <vt:i4>1572917</vt:i4>
      </vt:variant>
      <vt:variant>
        <vt:i4>152</vt:i4>
      </vt:variant>
      <vt:variant>
        <vt:i4>0</vt:i4>
      </vt:variant>
      <vt:variant>
        <vt:i4>5</vt:i4>
      </vt:variant>
      <vt:variant>
        <vt:lpwstr/>
      </vt:variant>
      <vt:variant>
        <vt:lpwstr>_Toc209176987</vt:lpwstr>
      </vt:variant>
      <vt:variant>
        <vt:i4>1572917</vt:i4>
      </vt:variant>
      <vt:variant>
        <vt:i4>146</vt:i4>
      </vt:variant>
      <vt:variant>
        <vt:i4>0</vt:i4>
      </vt:variant>
      <vt:variant>
        <vt:i4>5</vt:i4>
      </vt:variant>
      <vt:variant>
        <vt:lpwstr/>
      </vt:variant>
      <vt:variant>
        <vt:lpwstr>_Toc209176986</vt:lpwstr>
      </vt:variant>
      <vt:variant>
        <vt:i4>1572917</vt:i4>
      </vt:variant>
      <vt:variant>
        <vt:i4>140</vt:i4>
      </vt:variant>
      <vt:variant>
        <vt:i4>0</vt:i4>
      </vt:variant>
      <vt:variant>
        <vt:i4>5</vt:i4>
      </vt:variant>
      <vt:variant>
        <vt:lpwstr/>
      </vt:variant>
      <vt:variant>
        <vt:lpwstr>_Toc209176985</vt:lpwstr>
      </vt:variant>
      <vt:variant>
        <vt:i4>1572917</vt:i4>
      </vt:variant>
      <vt:variant>
        <vt:i4>134</vt:i4>
      </vt:variant>
      <vt:variant>
        <vt:i4>0</vt:i4>
      </vt:variant>
      <vt:variant>
        <vt:i4>5</vt:i4>
      </vt:variant>
      <vt:variant>
        <vt:lpwstr/>
      </vt:variant>
      <vt:variant>
        <vt:lpwstr>_Toc209176984</vt:lpwstr>
      </vt:variant>
      <vt:variant>
        <vt:i4>1572917</vt:i4>
      </vt:variant>
      <vt:variant>
        <vt:i4>128</vt:i4>
      </vt:variant>
      <vt:variant>
        <vt:i4>0</vt:i4>
      </vt:variant>
      <vt:variant>
        <vt:i4>5</vt:i4>
      </vt:variant>
      <vt:variant>
        <vt:lpwstr/>
      </vt:variant>
      <vt:variant>
        <vt:lpwstr>_Toc209176983</vt:lpwstr>
      </vt:variant>
      <vt:variant>
        <vt:i4>1572917</vt:i4>
      </vt:variant>
      <vt:variant>
        <vt:i4>122</vt:i4>
      </vt:variant>
      <vt:variant>
        <vt:i4>0</vt:i4>
      </vt:variant>
      <vt:variant>
        <vt:i4>5</vt:i4>
      </vt:variant>
      <vt:variant>
        <vt:lpwstr/>
      </vt:variant>
      <vt:variant>
        <vt:lpwstr>_Toc209176982</vt:lpwstr>
      </vt:variant>
      <vt:variant>
        <vt:i4>1572917</vt:i4>
      </vt:variant>
      <vt:variant>
        <vt:i4>116</vt:i4>
      </vt:variant>
      <vt:variant>
        <vt:i4>0</vt:i4>
      </vt:variant>
      <vt:variant>
        <vt:i4>5</vt:i4>
      </vt:variant>
      <vt:variant>
        <vt:lpwstr/>
      </vt:variant>
      <vt:variant>
        <vt:lpwstr>_Toc209176981</vt:lpwstr>
      </vt:variant>
      <vt:variant>
        <vt:i4>1572917</vt:i4>
      </vt:variant>
      <vt:variant>
        <vt:i4>110</vt:i4>
      </vt:variant>
      <vt:variant>
        <vt:i4>0</vt:i4>
      </vt:variant>
      <vt:variant>
        <vt:i4>5</vt:i4>
      </vt:variant>
      <vt:variant>
        <vt:lpwstr/>
      </vt:variant>
      <vt:variant>
        <vt:lpwstr>_Toc209176980</vt:lpwstr>
      </vt:variant>
      <vt:variant>
        <vt:i4>1507381</vt:i4>
      </vt:variant>
      <vt:variant>
        <vt:i4>104</vt:i4>
      </vt:variant>
      <vt:variant>
        <vt:i4>0</vt:i4>
      </vt:variant>
      <vt:variant>
        <vt:i4>5</vt:i4>
      </vt:variant>
      <vt:variant>
        <vt:lpwstr/>
      </vt:variant>
      <vt:variant>
        <vt:lpwstr>_Toc209176979</vt:lpwstr>
      </vt:variant>
      <vt:variant>
        <vt:i4>1507381</vt:i4>
      </vt:variant>
      <vt:variant>
        <vt:i4>98</vt:i4>
      </vt:variant>
      <vt:variant>
        <vt:i4>0</vt:i4>
      </vt:variant>
      <vt:variant>
        <vt:i4>5</vt:i4>
      </vt:variant>
      <vt:variant>
        <vt:lpwstr/>
      </vt:variant>
      <vt:variant>
        <vt:lpwstr>_Toc209176978</vt:lpwstr>
      </vt:variant>
      <vt:variant>
        <vt:i4>1507381</vt:i4>
      </vt:variant>
      <vt:variant>
        <vt:i4>92</vt:i4>
      </vt:variant>
      <vt:variant>
        <vt:i4>0</vt:i4>
      </vt:variant>
      <vt:variant>
        <vt:i4>5</vt:i4>
      </vt:variant>
      <vt:variant>
        <vt:lpwstr/>
      </vt:variant>
      <vt:variant>
        <vt:lpwstr>_Toc209176977</vt:lpwstr>
      </vt:variant>
      <vt:variant>
        <vt:i4>1507381</vt:i4>
      </vt:variant>
      <vt:variant>
        <vt:i4>86</vt:i4>
      </vt:variant>
      <vt:variant>
        <vt:i4>0</vt:i4>
      </vt:variant>
      <vt:variant>
        <vt:i4>5</vt:i4>
      </vt:variant>
      <vt:variant>
        <vt:lpwstr/>
      </vt:variant>
      <vt:variant>
        <vt:lpwstr>_Toc209176976</vt:lpwstr>
      </vt:variant>
      <vt:variant>
        <vt:i4>1507381</vt:i4>
      </vt:variant>
      <vt:variant>
        <vt:i4>80</vt:i4>
      </vt:variant>
      <vt:variant>
        <vt:i4>0</vt:i4>
      </vt:variant>
      <vt:variant>
        <vt:i4>5</vt:i4>
      </vt:variant>
      <vt:variant>
        <vt:lpwstr/>
      </vt:variant>
      <vt:variant>
        <vt:lpwstr>_Toc209176975</vt:lpwstr>
      </vt:variant>
      <vt:variant>
        <vt:i4>1507381</vt:i4>
      </vt:variant>
      <vt:variant>
        <vt:i4>74</vt:i4>
      </vt:variant>
      <vt:variant>
        <vt:i4>0</vt:i4>
      </vt:variant>
      <vt:variant>
        <vt:i4>5</vt:i4>
      </vt:variant>
      <vt:variant>
        <vt:lpwstr/>
      </vt:variant>
      <vt:variant>
        <vt:lpwstr>_Toc209176974</vt:lpwstr>
      </vt:variant>
      <vt:variant>
        <vt:i4>1507381</vt:i4>
      </vt:variant>
      <vt:variant>
        <vt:i4>68</vt:i4>
      </vt:variant>
      <vt:variant>
        <vt:i4>0</vt:i4>
      </vt:variant>
      <vt:variant>
        <vt:i4>5</vt:i4>
      </vt:variant>
      <vt:variant>
        <vt:lpwstr/>
      </vt:variant>
      <vt:variant>
        <vt:lpwstr>_Toc209176973</vt:lpwstr>
      </vt:variant>
      <vt:variant>
        <vt:i4>1507381</vt:i4>
      </vt:variant>
      <vt:variant>
        <vt:i4>62</vt:i4>
      </vt:variant>
      <vt:variant>
        <vt:i4>0</vt:i4>
      </vt:variant>
      <vt:variant>
        <vt:i4>5</vt:i4>
      </vt:variant>
      <vt:variant>
        <vt:lpwstr/>
      </vt:variant>
      <vt:variant>
        <vt:lpwstr>_Toc209176972</vt:lpwstr>
      </vt:variant>
      <vt:variant>
        <vt:i4>1507381</vt:i4>
      </vt:variant>
      <vt:variant>
        <vt:i4>56</vt:i4>
      </vt:variant>
      <vt:variant>
        <vt:i4>0</vt:i4>
      </vt:variant>
      <vt:variant>
        <vt:i4>5</vt:i4>
      </vt:variant>
      <vt:variant>
        <vt:lpwstr/>
      </vt:variant>
      <vt:variant>
        <vt:lpwstr>_Toc209176971</vt:lpwstr>
      </vt:variant>
      <vt:variant>
        <vt:i4>1507381</vt:i4>
      </vt:variant>
      <vt:variant>
        <vt:i4>50</vt:i4>
      </vt:variant>
      <vt:variant>
        <vt:i4>0</vt:i4>
      </vt:variant>
      <vt:variant>
        <vt:i4>5</vt:i4>
      </vt:variant>
      <vt:variant>
        <vt:lpwstr/>
      </vt:variant>
      <vt:variant>
        <vt:lpwstr>_Toc209176970</vt:lpwstr>
      </vt:variant>
      <vt:variant>
        <vt:i4>1441845</vt:i4>
      </vt:variant>
      <vt:variant>
        <vt:i4>44</vt:i4>
      </vt:variant>
      <vt:variant>
        <vt:i4>0</vt:i4>
      </vt:variant>
      <vt:variant>
        <vt:i4>5</vt:i4>
      </vt:variant>
      <vt:variant>
        <vt:lpwstr/>
      </vt:variant>
      <vt:variant>
        <vt:lpwstr>_Toc209176969</vt:lpwstr>
      </vt:variant>
      <vt:variant>
        <vt:i4>1441845</vt:i4>
      </vt:variant>
      <vt:variant>
        <vt:i4>38</vt:i4>
      </vt:variant>
      <vt:variant>
        <vt:i4>0</vt:i4>
      </vt:variant>
      <vt:variant>
        <vt:i4>5</vt:i4>
      </vt:variant>
      <vt:variant>
        <vt:lpwstr/>
      </vt:variant>
      <vt:variant>
        <vt:lpwstr>_Toc209176968</vt:lpwstr>
      </vt:variant>
      <vt:variant>
        <vt:i4>1441845</vt:i4>
      </vt:variant>
      <vt:variant>
        <vt:i4>32</vt:i4>
      </vt:variant>
      <vt:variant>
        <vt:i4>0</vt:i4>
      </vt:variant>
      <vt:variant>
        <vt:i4>5</vt:i4>
      </vt:variant>
      <vt:variant>
        <vt:lpwstr/>
      </vt:variant>
      <vt:variant>
        <vt:lpwstr>_Toc209176967</vt:lpwstr>
      </vt:variant>
      <vt:variant>
        <vt:i4>1441845</vt:i4>
      </vt:variant>
      <vt:variant>
        <vt:i4>26</vt:i4>
      </vt:variant>
      <vt:variant>
        <vt:i4>0</vt:i4>
      </vt:variant>
      <vt:variant>
        <vt:i4>5</vt:i4>
      </vt:variant>
      <vt:variant>
        <vt:lpwstr/>
      </vt:variant>
      <vt:variant>
        <vt:lpwstr>_Toc209176966</vt:lpwstr>
      </vt:variant>
      <vt:variant>
        <vt:i4>1441845</vt:i4>
      </vt:variant>
      <vt:variant>
        <vt:i4>20</vt:i4>
      </vt:variant>
      <vt:variant>
        <vt:i4>0</vt:i4>
      </vt:variant>
      <vt:variant>
        <vt:i4>5</vt:i4>
      </vt:variant>
      <vt:variant>
        <vt:lpwstr/>
      </vt:variant>
      <vt:variant>
        <vt:lpwstr>_Toc209176965</vt:lpwstr>
      </vt:variant>
      <vt:variant>
        <vt:i4>1441845</vt:i4>
      </vt:variant>
      <vt:variant>
        <vt:i4>14</vt:i4>
      </vt:variant>
      <vt:variant>
        <vt:i4>0</vt:i4>
      </vt:variant>
      <vt:variant>
        <vt:i4>5</vt:i4>
      </vt:variant>
      <vt:variant>
        <vt:lpwstr/>
      </vt:variant>
      <vt:variant>
        <vt:lpwstr>_Toc209176964</vt:lpwstr>
      </vt:variant>
      <vt:variant>
        <vt:i4>1441845</vt:i4>
      </vt:variant>
      <vt:variant>
        <vt:i4>8</vt:i4>
      </vt:variant>
      <vt:variant>
        <vt:i4>0</vt:i4>
      </vt:variant>
      <vt:variant>
        <vt:i4>5</vt:i4>
      </vt:variant>
      <vt:variant>
        <vt:lpwstr/>
      </vt:variant>
      <vt:variant>
        <vt:lpwstr>_Toc209176963</vt:lpwstr>
      </vt:variant>
      <vt:variant>
        <vt:i4>1441845</vt:i4>
      </vt:variant>
      <vt:variant>
        <vt:i4>2</vt:i4>
      </vt:variant>
      <vt:variant>
        <vt:i4>0</vt:i4>
      </vt:variant>
      <vt:variant>
        <vt:i4>5</vt:i4>
      </vt:variant>
      <vt:variant>
        <vt:lpwstr/>
      </vt:variant>
      <vt:variant>
        <vt:lpwstr>_Toc209176962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Evaluation #2 of the Prescribed List Reforms</dc:title>
  <dc:subject/>
  <dc:creator>Australian Government Department of Health, Disability and Ageing</dc:creator>
  <cp:keywords/>
  <cp:lastPrinted>2025-09-19T03:29:00Z</cp:lastPrinted>
  <dcterms:created xsi:type="dcterms:W3CDTF">2025-08-30T03:47:00Z</dcterms:created>
  <dcterms:modified xsi:type="dcterms:W3CDTF">2025-10-08T02:43:00Z</dcterms:modified>
</cp:coreProperties>
</file>