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7F55" w14:textId="1E6BC214" w:rsidR="00684DD1" w:rsidRPr="006D0D8F" w:rsidRDefault="00597469" w:rsidP="006D0D8F">
      <w:pPr>
        <w:pStyle w:val="Title"/>
      </w:pPr>
      <w:bookmarkStart w:id="0" w:name="_Hlk75358683"/>
      <w:r w:rsidRPr="006D0D8F">
        <w:t xml:space="preserve">Incentives and support for GPs, </w:t>
      </w:r>
      <w:r w:rsidR="00AA28B1" w:rsidRPr="006D0D8F">
        <w:t>G</w:t>
      </w:r>
      <w:r w:rsidRPr="006D0D8F">
        <w:t xml:space="preserve">eneral </w:t>
      </w:r>
      <w:r w:rsidR="00AA28B1" w:rsidRPr="006D0D8F">
        <w:t>P</w:t>
      </w:r>
      <w:r w:rsidRPr="006D0D8F">
        <w:t>ractices and other health professionals in MM</w:t>
      </w:r>
      <w:r w:rsidR="00F74C80" w:rsidRPr="006D0D8F">
        <w:t xml:space="preserve"> </w:t>
      </w:r>
      <w:r w:rsidR="00BF5121" w:rsidRPr="006D0D8F">
        <w:t>1</w:t>
      </w:r>
      <w:r w:rsidRPr="006D0D8F">
        <w:t xml:space="preserve"> locations</w:t>
      </w:r>
      <w:bookmarkEnd w:id="0"/>
    </w:p>
    <w:p w14:paraId="2E6CB2CD" w14:textId="7A090F2C" w:rsidR="003F3EEE" w:rsidRDefault="009C2F6E" w:rsidP="00BD42B9">
      <w:bookmarkStart w:id="1" w:name="_Hlk75356904"/>
      <w:bookmarkStart w:id="2" w:name="_Hlk75355048"/>
      <w:r w:rsidRPr="00BA70BC">
        <w:t xml:space="preserve">The Australian Government funds a number of programs to provide incentives to encourage doctors </w:t>
      </w:r>
      <w:r w:rsidR="00D42815">
        <w:t xml:space="preserve">and other health professionals </w:t>
      </w:r>
      <w:r w:rsidRPr="00BA70BC">
        <w:t xml:space="preserve">to move to, and remain working in, regional, rural and remote Australia. Eligibility is generally based on the </w:t>
      </w:r>
      <w:hyperlink r:id="rId11" w:history="1">
        <w:r w:rsidRPr="00BA70BC">
          <w:rPr>
            <w:rStyle w:val="Hyperlink"/>
          </w:rPr>
          <w:t>Modified Monash Model</w:t>
        </w:r>
      </w:hyperlink>
      <w:r w:rsidRPr="00BA70BC">
        <w:t xml:space="preserve"> </w:t>
      </w:r>
      <w:r w:rsidR="00873DAD">
        <w:t xml:space="preserve">(MM) </w:t>
      </w:r>
      <w:r w:rsidRPr="00BA70BC">
        <w:t>classification system.</w:t>
      </w:r>
      <w:bookmarkEnd w:id="1"/>
      <w:r w:rsidRPr="00BA70BC">
        <w:t xml:space="preserve"> </w:t>
      </w:r>
      <w:bookmarkEnd w:id="2"/>
      <w:r w:rsidR="00684DD1" w:rsidRPr="00BA70BC">
        <w:t>MM</w:t>
      </w:r>
      <w:r w:rsidR="00F74C80">
        <w:t xml:space="preserve"> </w:t>
      </w:r>
      <w:r w:rsidR="00684DD1" w:rsidRPr="00BA70BC">
        <w:t xml:space="preserve">1 encompasses metropolitan areas: Major cities accounting for 70% of Australia’s population and all areas categorised ASGS-RA1. </w:t>
      </w:r>
    </w:p>
    <w:sdt>
      <w:sdtPr>
        <w:rPr>
          <w:rFonts w:eastAsiaTheme="minorHAnsi" w:cs="Times New Roman"/>
          <w:b w:val="0"/>
          <w:color w:val="auto"/>
          <w:sz w:val="22"/>
          <w:szCs w:val="24"/>
        </w:rPr>
        <w:id w:val="-719820399"/>
        <w:docPartObj>
          <w:docPartGallery w:val="Table of Contents"/>
          <w:docPartUnique/>
        </w:docPartObj>
      </w:sdtPr>
      <w:sdtEndPr>
        <w:rPr>
          <w:bCs/>
          <w:noProof/>
        </w:rPr>
      </w:sdtEndPr>
      <w:sdtContent>
        <w:p w14:paraId="0C9BA6AF" w14:textId="31FB7E1D" w:rsidR="006E08AE" w:rsidRDefault="006E08AE">
          <w:pPr>
            <w:pStyle w:val="TOCHeading"/>
          </w:pPr>
          <w:r>
            <w:t>Table of Contents</w:t>
          </w:r>
        </w:p>
        <w:p w14:paraId="3B2B9787" w14:textId="4D28CCC3" w:rsidR="006E08AE" w:rsidRDefault="006E08AE">
          <w:pPr>
            <w:pStyle w:val="TOC1"/>
            <w:rPr>
              <w:rFonts w:eastAsiaTheme="minorEastAsia" w:cstheme="minorBidi"/>
              <w:b w:val="0"/>
              <w:bCs w:val="0"/>
              <w:noProof/>
              <w:kern w:val="2"/>
              <w:sz w:val="24"/>
              <w:lang w:eastAsia="en-AU"/>
              <w14:ligatures w14:val="standardContextual"/>
            </w:rPr>
          </w:pPr>
          <w:r>
            <w:fldChar w:fldCharType="begin"/>
          </w:r>
          <w:r>
            <w:instrText xml:space="preserve"> TOC \o "1-3" \h \z \u </w:instrText>
          </w:r>
          <w:r>
            <w:fldChar w:fldCharType="separate"/>
          </w:r>
          <w:hyperlink w:anchor="_Toc209427952" w:history="1">
            <w:r w:rsidRPr="00294292">
              <w:rPr>
                <w:rStyle w:val="Hyperlink"/>
                <w:noProof/>
              </w:rPr>
              <w:t>Undergraduate Health Professional Support</w:t>
            </w:r>
            <w:r w:rsidRPr="006E08AE">
              <w:rPr>
                <w:b w:val="0"/>
                <w:bCs w:val="0"/>
                <w:noProof/>
                <w:webHidden/>
              </w:rPr>
              <w:tab/>
            </w:r>
            <w:r w:rsidRPr="006E08AE">
              <w:rPr>
                <w:b w:val="0"/>
                <w:bCs w:val="0"/>
                <w:noProof/>
                <w:webHidden/>
              </w:rPr>
              <w:fldChar w:fldCharType="begin"/>
            </w:r>
            <w:r w:rsidRPr="006E08AE">
              <w:rPr>
                <w:b w:val="0"/>
                <w:bCs w:val="0"/>
                <w:noProof/>
                <w:webHidden/>
              </w:rPr>
              <w:instrText xml:space="preserve"> PAGEREF _Toc209427952 \h </w:instrText>
            </w:r>
            <w:r w:rsidRPr="006E08AE">
              <w:rPr>
                <w:b w:val="0"/>
                <w:bCs w:val="0"/>
                <w:noProof/>
                <w:webHidden/>
              </w:rPr>
            </w:r>
            <w:r w:rsidRPr="006E08AE">
              <w:rPr>
                <w:b w:val="0"/>
                <w:bCs w:val="0"/>
                <w:noProof/>
                <w:webHidden/>
              </w:rPr>
              <w:fldChar w:fldCharType="separate"/>
            </w:r>
            <w:r w:rsidR="0039079D">
              <w:rPr>
                <w:b w:val="0"/>
                <w:bCs w:val="0"/>
                <w:noProof/>
                <w:webHidden/>
              </w:rPr>
              <w:t>1</w:t>
            </w:r>
            <w:r w:rsidRPr="006E08AE">
              <w:rPr>
                <w:b w:val="0"/>
                <w:bCs w:val="0"/>
                <w:noProof/>
                <w:webHidden/>
              </w:rPr>
              <w:fldChar w:fldCharType="end"/>
            </w:r>
          </w:hyperlink>
        </w:p>
        <w:p w14:paraId="1260F20F" w14:textId="5775FB9F" w:rsidR="006E08AE" w:rsidRDefault="006E08AE">
          <w:pPr>
            <w:pStyle w:val="TOC1"/>
            <w:rPr>
              <w:rFonts w:eastAsiaTheme="minorEastAsia" w:cstheme="minorBidi"/>
              <w:b w:val="0"/>
              <w:bCs w:val="0"/>
              <w:noProof/>
              <w:kern w:val="2"/>
              <w:sz w:val="24"/>
              <w:lang w:eastAsia="en-AU"/>
              <w14:ligatures w14:val="standardContextual"/>
            </w:rPr>
          </w:pPr>
          <w:hyperlink w:anchor="_Toc209427953" w:history="1">
            <w:r w:rsidRPr="00294292">
              <w:rPr>
                <w:rStyle w:val="Hyperlink"/>
                <w:noProof/>
              </w:rPr>
              <w:t>GP and Advanced Skills Training Support</w:t>
            </w:r>
            <w:r w:rsidRPr="006E08AE">
              <w:rPr>
                <w:b w:val="0"/>
                <w:bCs w:val="0"/>
                <w:noProof/>
                <w:webHidden/>
              </w:rPr>
              <w:tab/>
            </w:r>
            <w:r w:rsidRPr="006E08AE">
              <w:rPr>
                <w:b w:val="0"/>
                <w:bCs w:val="0"/>
                <w:noProof/>
                <w:webHidden/>
              </w:rPr>
              <w:fldChar w:fldCharType="begin"/>
            </w:r>
            <w:r w:rsidRPr="006E08AE">
              <w:rPr>
                <w:b w:val="0"/>
                <w:bCs w:val="0"/>
                <w:noProof/>
                <w:webHidden/>
              </w:rPr>
              <w:instrText xml:space="preserve"> PAGEREF _Toc209427953 \h </w:instrText>
            </w:r>
            <w:r w:rsidRPr="006E08AE">
              <w:rPr>
                <w:b w:val="0"/>
                <w:bCs w:val="0"/>
                <w:noProof/>
                <w:webHidden/>
              </w:rPr>
            </w:r>
            <w:r w:rsidRPr="006E08AE">
              <w:rPr>
                <w:b w:val="0"/>
                <w:bCs w:val="0"/>
                <w:noProof/>
                <w:webHidden/>
              </w:rPr>
              <w:fldChar w:fldCharType="separate"/>
            </w:r>
            <w:r w:rsidR="0039079D">
              <w:rPr>
                <w:b w:val="0"/>
                <w:bCs w:val="0"/>
                <w:noProof/>
                <w:webHidden/>
              </w:rPr>
              <w:t>2</w:t>
            </w:r>
            <w:r w:rsidRPr="006E08AE">
              <w:rPr>
                <w:b w:val="0"/>
                <w:bCs w:val="0"/>
                <w:noProof/>
                <w:webHidden/>
              </w:rPr>
              <w:fldChar w:fldCharType="end"/>
            </w:r>
          </w:hyperlink>
        </w:p>
        <w:p w14:paraId="2C32DF06" w14:textId="76F5B082" w:rsidR="006E08AE" w:rsidRDefault="006E08AE">
          <w:pPr>
            <w:pStyle w:val="TOC1"/>
            <w:rPr>
              <w:rFonts w:eastAsiaTheme="minorEastAsia" w:cstheme="minorBidi"/>
              <w:b w:val="0"/>
              <w:bCs w:val="0"/>
              <w:noProof/>
              <w:kern w:val="2"/>
              <w:sz w:val="24"/>
              <w:lang w:eastAsia="en-AU"/>
              <w14:ligatures w14:val="standardContextual"/>
            </w:rPr>
          </w:pPr>
          <w:hyperlink w:anchor="_Toc209427954" w:history="1">
            <w:r w:rsidRPr="00294292">
              <w:rPr>
                <w:rStyle w:val="Hyperlink"/>
                <w:noProof/>
              </w:rPr>
              <w:t>General Practice Incentives and Support</w:t>
            </w:r>
            <w:r w:rsidRPr="006E08AE">
              <w:rPr>
                <w:b w:val="0"/>
                <w:bCs w:val="0"/>
                <w:noProof/>
                <w:webHidden/>
              </w:rPr>
              <w:tab/>
            </w:r>
            <w:r w:rsidRPr="006E08AE">
              <w:rPr>
                <w:b w:val="0"/>
                <w:bCs w:val="0"/>
                <w:noProof/>
                <w:webHidden/>
              </w:rPr>
              <w:fldChar w:fldCharType="begin"/>
            </w:r>
            <w:r w:rsidRPr="006E08AE">
              <w:rPr>
                <w:b w:val="0"/>
                <w:bCs w:val="0"/>
                <w:noProof/>
                <w:webHidden/>
              </w:rPr>
              <w:instrText xml:space="preserve"> PAGEREF _Toc209427954 \h </w:instrText>
            </w:r>
            <w:r w:rsidRPr="006E08AE">
              <w:rPr>
                <w:b w:val="0"/>
                <w:bCs w:val="0"/>
                <w:noProof/>
                <w:webHidden/>
              </w:rPr>
            </w:r>
            <w:r w:rsidRPr="006E08AE">
              <w:rPr>
                <w:b w:val="0"/>
                <w:bCs w:val="0"/>
                <w:noProof/>
                <w:webHidden/>
              </w:rPr>
              <w:fldChar w:fldCharType="separate"/>
            </w:r>
            <w:r w:rsidR="0039079D">
              <w:rPr>
                <w:b w:val="0"/>
                <w:bCs w:val="0"/>
                <w:noProof/>
                <w:webHidden/>
              </w:rPr>
              <w:t>4</w:t>
            </w:r>
            <w:r w:rsidRPr="006E08AE">
              <w:rPr>
                <w:b w:val="0"/>
                <w:bCs w:val="0"/>
                <w:noProof/>
                <w:webHidden/>
              </w:rPr>
              <w:fldChar w:fldCharType="end"/>
            </w:r>
          </w:hyperlink>
        </w:p>
        <w:p w14:paraId="36A2BE26" w14:textId="5F120E97" w:rsidR="006E08AE" w:rsidRDefault="006E08AE">
          <w:pPr>
            <w:pStyle w:val="TOC1"/>
            <w:rPr>
              <w:rFonts w:eastAsiaTheme="minorEastAsia" w:cstheme="minorBidi"/>
              <w:b w:val="0"/>
              <w:bCs w:val="0"/>
              <w:noProof/>
              <w:kern w:val="2"/>
              <w:sz w:val="24"/>
              <w:lang w:eastAsia="en-AU"/>
              <w14:ligatures w14:val="standardContextual"/>
            </w:rPr>
          </w:pPr>
          <w:hyperlink w:anchor="_Toc209427955" w:history="1">
            <w:r w:rsidRPr="00294292">
              <w:rPr>
                <w:rStyle w:val="Hyperlink"/>
                <w:noProof/>
              </w:rPr>
              <w:t>Multidisciplinary Support (including Nursing and Allied Health Programs)</w:t>
            </w:r>
            <w:r w:rsidRPr="006E08AE">
              <w:rPr>
                <w:b w:val="0"/>
                <w:bCs w:val="0"/>
                <w:noProof/>
                <w:webHidden/>
              </w:rPr>
              <w:tab/>
            </w:r>
            <w:r w:rsidRPr="006E08AE">
              <w:rPr>
                <w:b w:val="0"/>
                <w:bCs w:val="0"/>
                <w:noProof/>
                <w:webHidden/>
              </w:rPr>
              <w:fldChar w:fldCharType="begin"/>
            </w:r>
            <w:r w:rsidRPr="006E08AE">
              <w:rPr>
                <w:b w:val="0"/>
                <w:bCs w:val="0"/>
                <w:noProof/>
                <w:webHidden/>
              </w:rPr>
              <w:instrText xml:space="preserve"> PAGEREF _Toc209427955 \h </w:instrText>
            </w:r>
            <w:r w:rsidRPr="006E08AE">
              <w:rPr>
                <w:b w:val="0"/>
                <w:bCs w:val="0"/>
                <w:noProof/>
                <w:webHidden/>
              </w:rPr>
            </w:r>
            <w:r w:rsidRPr="006E08AE">
              <w:rPr>
                <w:b w:val="0"/>
                <w:bCs w:val="0"/>
                <w:noProof/>
                <w:webHidden/>
              </w:rPr>
              <w:fldChar w:fldCharType="separate"/>
            </w:r>
            <w:r w:rsidR="0039079D">
              <w:rPr>
                <w:b w:val="0"/>
                <w:bCs w:val="0"/>
                <w:noProof/>
                <w:webHidden/>
              </w:rPr>
              <w:t>8</w:t>
            </w:r>
            <w:r w:rsidRPr="006E08AE">
              <w:rPr>
                <w:b w:val="0"/>
                <w:bCs w:val="0"/>
                <w:noProof/>
                <w:webHidden/>
              </w:rPr>
              <w:fldChar w:fldCharType="end"/>
            </w:r>
          </w:hyperlink>
        </w:p>
        <w:p w14:paraId="1C6590E6" w14:textId="28789984" w:rsidR="006E08AE" w:rsidRDefault="006E08AE">
          <w:pPr>
            <w:pStyle w:val="TOC1"/>
            <w:rPr>
              <w:rFonts w:eastAsiaTheme="minorEastAsia" w:cstheme="minorBidi"/>
              <w:b w:val="0"/>
              <w:bCs w:val="0"/>
              <w:noProof/>
              <w:kern w:val="2"/>
              <w:sz w:val="24"/>
              <w:lang w:eastAsia="en-AU"/>
              <w14:ligatures w14:val="standardContextual"/>
            </w:rPr>
          </w:pPr>
          <w:hyperlink w:anchor="_Toc209427956" w:history="1">
            <w:r w:rsidRPr="00294292">
              <w:rPr>
                <w:rStyle w:val="Hyperlink"/>
                <w:noProof/>
              </w:rPr>
              <w:t>Outreach Service Delivery Support</w:t>
            </w:r>
            <w:r w:rsidRPr="006E08AE">
              <w:rPr>
                <w:b w:val="0"/>
                <w:bCs w:val="0"/>
                <w:noProof/>
                <w:webHidden/>
              </w:rPr>
              <w:tab/>
            </w:r>
            <w:r w:rsidRPr="006E08AE">
              <w:rPr>
                <w:b w:val="0"/>
                <w:bCs w:val="0"/>
                <w:noProof/>
                <w:webHidden/>
              </w:rPr>
              <w:fldChar w:fldCharType="begin"/>
            </w:r>
            <w:r w:rsidRPr="006E08AE">
              <w:rPr>
                <w:b w:val="0"/>
                <w:bCs w:val="0"/>
                <w:noProof/>
                <w:webHidden/>
              </w:rPr>
              <w:instrText xml:space="preserve"> PAGEREF _Toc209427956 \h </w:instrText>
            </w:r>
            <w:r w:rsidRPr="006E08AE">
              <w:rPr>
                <w:b w:val="0"/>
                <w:bCs w:val="0"/>
                <w:noProof/>
                <w:webHidden/>
              </w:rPr>
            </w:r>
            <w:r w:rsidRPr="006E08AE">
              <w:rPr>
                <w:b w:val="0"/>
                <w:bCs w:val="0"/>
                <w:noProof/>
                <w:webHidden/>
              </w:rPr>
              <w:fldChar w:fldCharType="separate"/>
            </w:r>
            <w:r w:rsidR="0039079D">
              <w:rPr>
                <w:b w:val="0"/>
                <w:bCs w:val="0"/>
                <w:noProof/>
                <w:webHidden/>
              </w:rPr>
              <w:t>10</w:t>
            </w:r>
            <w:r w:rsidRPr="006E08AE">
              <w:rPr>
                <w:b w:val="0"/>
                <w:bCs w:val="0"/>
                <w:noProof/>
                <w:webHidden/>
              </w:rPr>
              <w:fldChar w:fldCharType="end"/>
            </w:r>
          </w:hyperlink>
        </w:p>
        <w:p w14:paraId="45213261" w14:textId="7F7479E7" w:rsidR="006E08AE" w:rsidRPr="006D0D8F" w:rsidRDefault="006E08AE" w:rsidP="00BD42B9">
          <w:r>
            <w:rPr>
              <w:b/>
              <w:bCs/>
              <w:noProof/>
            </w:rPr>
            <w:fldChar w:fldCharType="end"/>
          </w:r>
        </w:p>
      </w:sdtContent>
    </w:sdt>
    <w:tbl>
      <w:tblPr>
        <w:tblStyle w:val="TableClassic4"/>
        <w:tblW w:w="0" w:type="auto"/>
        <w:tblLook w:val="04A0" w:firstRow="1" w:lastRow="0" w:firstColumn="1" w:lastColumn="0" w:noHBand="0" w:noVBand="1"/>
      </w:tblPr>
      <w:tblGrid>
        <w:gridCol w:w="1696"/>
        <w:gridCol w:w="3828"/>
        <w:gridCol w:w="3536"/>
      </w:tblGrid>
      <w:tr w:rsidR="00CB4A9B" w:rsidRPr="00BD42B9" w14:paraId="25F90A5F" w14:textId="77777777" w:rsidTr="00CB4A9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Pr>
          <w:p w14:paraId="4215F2C3" w14:textId="77777777" w:rsidR="00684DD1" w:rsidRPr="00BD42B9" w:rsidRDefault="00684DD1" w:rsidP="00BD42B9">
            <w:pPr>
              <w:pStyle w:val="TableHeaderWhite"/>
            </w:pPr>
            <w:r w:rsidRPr="00BD42B9">
              <w:t>Name</w:t>
            </w:r>
          </w:p>
        </w:tc>
        <w:tc>
          <w:tcPr>
            <w:tcW w:w="3828" w:type="dxa"/>
          </w:tcPr>
          <w:p w14:paraId="5F0F05AB" w14:textId="77777777" w:rsidR="00684DD1" w:rsidRPr="00BD42B9" w:rsidRDefault="00684DD1" w:rsidP="00BD42B9">
            <w:pPr>
              <w:pStyle w:val="TableHeaderWhite"/>
              <w:cnfStyle w:val="100000000000" w:firstRow="1" w:lastRow="0" w:firstColumn="0" w:lastColumn="0" w:oddVBand="0" w:evenVBand="0" w:oddHBand="0" w:evenHBand="0" w:firstRowFirstColumn="0" w:firstRowLastColumn="0" w:lastRowFirstColumn="0" w:lastRowLastColumn="0"/>
            </w:pPr>
            <w:r w:rsidRPr="00BD42B9">
              <w:t>Description</w:t>
            </w:r>
          </w:p>
        </w:tc>
        <w:tc>
          <w:tcPr>
            <w:tcW w:w="3536" w:type="dxa"/>
          </w:tcPr>
          <w:p w14:paraId="5E59615D" w14:textId="77777777" w:rsidR="00684DD1" w:rsidRPr="00BD42B9" w:rsidRDefault="00684DD1" w:rsidP="00BD42B9">
            <w:pPr>
              <w:pStyle w:val="TableHeaderWhite"/>
              <w:cnfStyle w:val="100000000000" w:firstRow="1" w:lastRow="0" w:firstColumn="0" w:lastColumn="0" w:oddVBand="0" w:evenVBand="0" w:oddHBand="0" w:evenHBand="0" w:firstRowFirstColumn="0" w:firstRowLastColumn="0" w:lastRowFirstColumn="0" w:lastRowLastColumn="0"/>
            </w:pPr>
            <w:r w:rsidRPr="00BD42B9">
              <w:t>Incentives (financial and other)</w:t>
            </w:r>
          </w:p>
        </w:tc>
      </w:tr>
      <w:tr w:rsidR="00A96E16" w:rsidRPr="00984C59" w14:paraId="2A7DA874" w14:textId="77777777" w:rsidTr="00BD42B9">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6E6E6" w:themeFill="background2"/>
          </w:tcPr>
          <w:p w14:paraId="41B727C6" w14:textId="63E36DCA" w:rsidR="00A96E16" w:rsidRPr="00D84453" w:rsidRDefault="00A96E16" w:rsidP="00D84453">
            <w:pPr>
              <w:pStyle w:val="Heading1"/>
              <w:rPr>
                <w:sz w:val="28"/>
                <w:szCs w:val="28"/>
              </w:rPr>
            </w:pPr>
            <w:bookmarkStart w:id="3" w:name="_Toc146873886"/>
            <w:bookmarkStart w:id="4" w:name="_Toc209427952"/>
            <w:r w:rsidRPr="00D84453">
              <w:rPr>
                <w:color w:val="auto"/>
                <w:sz w:val="28"/>
                <w:szCs w:val="28"/>
              </w:rPr>
              <w:t>Undergraduate Health Professional Support</w:t>
            </w:r>
            <w:bookmarkEnd w:id="3"/>
            <w:bookmarkEnd w:id="4"/>
          </w:p>
        </w:tc>
      </w:tr>
      <w:tr w:rsidR="00D218F9" w:rsidRPr="00984C59" w14:paraId="5F28C3BB" w14:textId="77777777" w:rsidTr="00CB4A9B">
        <w:tc>
          <w:tcPr>
            <w:cnfStyle w:val="001000000000" w:firstRow="0" w:lastRow="0" w:firstColumn="1" w:lastColumn="0" w:oddVBand="0" w:evenVBand="0" w:oddHBand="0" w:evenHBand="0" w:firstRowFirstColumn="0" w:firstRowLastColumn="0" w:lastRowFirstColumn="0" w:lastRowLastColumn="0"/>
            <w:tcW w:w="1696" w:type="dxa"/>
          </w:tcPr>
          <w:p w14:paraId="1C711BDE" w14:textId="34AE9E50" w:rsidR="00A96E16" w:rsidRPr="00856D4B" w:rsidRDefault="00F7218F" w:rsidP="00A96E16">
            <w:pPr>
              <w:rPr>
                <w:b w:val="0"/>
                <w:bCs w:val="0"/>
              </w:rPr>
            </w:pPr>
            <w:hyperlink r:id="rId12" w:history="1">
              <w:r w:rsidRPr="00D41E96">
                <w:rPr>
                  <w:rStyle w:val="Hyperlink"/>
                  <w:b w:val="0"/>
                  <w:bCs w:val="0"/>
                </w:rPr>
                <w:t>Puggy Hunter Memorial Scholarship Scheme</w:t>
              </w:r>
              <w:r w:rsidR="0014149D" w:rsidRPr="00D41E96">
                <w:rPr>
                  <w:rStyle w:val="Hyperlink"/>
                  <w:b w:val="0"/>
                  <w:bCs w:val="0"/>
                </w:rPr>
                <w:t xml:space="preserve"> (PHMSS)</w:t>
              </w:r>
            </w:hyperlink>
          </w:p>
        </w:tc>
        <w:tc>
          <w:tcPr>
            <w:tcW w:w="3828" w:type="dxa"/>
          </w:tcPr>
          <w:p w14:paraId="3A46E625" w14:textId="42A1D568" w:rsidR="00A96E16" w:rsidRPr="00F50D60" w:rsidRDefault="00A96E16" w:rsidP="00BD42B9">
            <w:pPr>
              <w:cnfStyle w:val="000000000000" w:firstRow="0" w:lastRow="0" w:firstColumn="0" w:lastColumn="0" w:oddVBand="0" w:evenVBand="0" w:oddHBand="0" w:evenHBand="0" w:firstRowFirstColumn="0" w:firstRowLastColumn="0" w:lastRowFirstColumn="0" w:lastRowLastColumn="0"/>
            </w:pPr>
            <w:r w:rsidRPr="00AF3E08">
              <w:t xml:space="preserve">The </w:t>
            </w:r>
            <w:r w:rsidR="00CD3C9F">
              <w:t>Program</w:t>
            </w:r>
            <w:r w:rsidR="00CD3C9F" w:rsidRPr="00AF3E08">
              <w:t xml:space="preserve"> </w:t>
            </w:r>
            <w:r w:rsidRPr="00AF3E08">
              <w:t xml:space="preserve">provides financial assistance </w:t>
            </w:r>
            <w:r w:rsidR="008B3271" w:rsidRPr="008B3271">
              <w:t xml:space="preserve">and social, emotional and cultural well-being supports </w:t>
            </w:r>
            <w:r w:rsidRPr="00AF3E08">
              <w:t xml:space="preserve">to Aboriginal and Torres Strait Islander undergraduate students studying health related disciplines in a university, TAFE, or Registered Training Organisation. </w:t>
            </w:r>
            <w:r w:rsidRPr="006D0D8F">
              <w:t xml:space="preserve">Support is limited to entry level studies that lead or are </w:t>
            </w:r>
            <w:r w:rsidR="008B3271">
              <w:t xml:space="preserve">on </w:t>
            </w:r>
            <w:r w:rsidRPr="006D0D8F">
              <w:t>a direct pathway to registration or practice as a health professional. Research courses and postgraduate study is not supported. </w:t>
            </w:r>
          </w:p>
        </w:tc>
        <w:tc>
          <w:tcPr>
            <w:tcW w:w="3536" w:type="dxa"/>
          </w:tcPr>
          <w:p w14:paraId="439622B3" w14:textId="77777777" w:rsidR="00A96E16" w:rsidRPr="00AF3E08" w:rsidRDefault="00A96E16" w:rsidP="00BD42B9">
            <w:pPr>
              <w:pStyle w:val="Tablelistbullet"/>
              <w:cnfStyle w:val="000000000000" w:firstRow="0" w:lastRow="0" w:firstColumn="0" w:lastColumn="0" w:oddVBand="0" w:evenVBand="0" w:oddHBand="0" w:evenHBand="0" w:firstRowFirstColumn="0" w:firstRowLastColumn="0" w:lastRowFirstColumn="0" w:lastRowLastColumn="0"/>
            </w:pPr>
            <w:r w:rsidRPr="00AF3E08">
              <w:t>A Full-time scholarship holder will receive up to $15,000 per year.</w:t>
            </w:r>
          </w:p>
          <w:p w14:paraId="4CF7F2C1" w14:textId="006263BA" w:rsidR="00A96E16" w:rsidRPr="00F50D60" w:rsidRDefault="00A96E16" w:rsidP="00BD42B9">
            <w:pPr>
              <w:pStyle w:val="Tablelistbullet"/>
              <w:cnfStyle w:val="000000000000" w:firstRow="0" w:lastRow="0" w:firstColumn="0" w:lastColumn="0" w:oddVBand="0" w:evenVBand="0" w:oddHBand="0" w:evenHBand="0" w:firstRowFirstColumn="0" w:firstRowLastColumn="0" w:lastRowFirstColumn="0" w:lastRowLastColumn="0"/>
            </w:pPr>
            <w:r w:rsidRPr="00AF3E08">
              <w:t>Part-time scholarship holders will receive a maximum of $7,500 per year for the duration of the course.</w:t>
            </w:r>
            <w:r w:rsidR="00AF06CF">
              <w:t xml:space="preserve">  </w:t>
            </w:r>
          </w:p>
        </w:tc>
      </w:tr>
      <w:tr w:rsidR="008A6BC6" w:rsidRPr="00984C59" w14:paraId="6BD2E258" w14:textId="77777777" w:rsidTr="00CB4A9B">
        <w:tc>
          <w:tcPr>
            <w:cnfStyle w:val="001000000000" w:firstRow="0" w:lastRow="0" w:firstColumn="1" w:lastColumn="0" w:oddVBand="0" w:evenVBand="0" w:oddHBand="0" w:evenHBand="0" w:firstRowFirstColumn="0" w:firstRowLastColumn="0" w:lastRowFirstColumn="0" w:lastRowLastColumn="0"/>
            <w:tcW w:w="1696" w:type="dxa"/>
          </w:tcPr>
          <w:p w14:paraId="187A4BDE" w14:textId="1DE757CA" w:rsidR="008A6BC6" w:rsidRPr="00D41E96" w:rsidRDefault="008A6BC6" w:rsidP="00A96E16">
            <w:pPr>
              <w:rPr>
                <w:b w:val="0"/>
                <w:bCs w:val="0"/>
              </w:rPr>
            </w:pPr>
            <w:hyperlink r:id="rId13" w:history="1">
              <w:r w:rsidRPr="005242D0">
                <w:rPr>
                  <w:rStyle w:val="Hyperlink"/>
                  <w:b w:val="0"/>
                  <w:bCs w:val="0"/>
                </w:rPr>
                <w:t>Indigenous Health Scholarship Program (IHSP)</w:t>
              </w:r>
            </w:hyperlink>
          </w:p>
        </w:tc>
        <w:tc>
          <w:tcPr>
            <w:tcW w:w="3828" w:type="dxa"/>
          </w:tcPr>
          <w:p w14:paraId="32E6B7EC" w14:textId="77777777" w:rsidR="003413A6" w:rsidRDefault="008A6BC6" w:rsidP="003413A6">
            <w:pPr>
              <w:cnfStyle w:val="000000000000" w:firstRow="0" w:lastRow="0" w:firstColumn="0" w:lastColumn="0" w:oddVBand="0" w:evenVBand="0" w:oddHBand="0" w:evenHBand="0" w:firstRowFirstColumn="0" w:firstRowLastColumn="0" w:lastRowFirstColumn="0" w:lastRowLastColumn="0"/>
            </w:pPr>
            <w:r w:rsidRPr="008A6BC6">
              <w:t>The IHSP provides financial assistance and social, emotional and cultural well-being supports to Aboriginal and Torres Strait Islander students studying health-related disciplines. </w:t>
            </w:r>
          </w:p>
          <w:p w14:paraId="1958EB71" w14:textId="77777777" w:rsidR="00DF1724" w:rsidRPr="00DF1724" w:rsidRDefault="00DF1724" w:rsidP="00DF1724">
            <w:pPr>
              <w:cnfStyle w:val="000000000000" w:firstRow="0" w:lastRow="0" w:firstColumn="0" w:lastColumn="0" w:oddVBand="0" w:evenVBand="0" w:oddHBand="0" w:evenHBand="0" w:firstRowFirstColumn="0" w:firstRowLastColumn="0" w:lastRowFirstColumn="0" w:lastRowLastColumn="0"/>
            </w:pPr>
          </w:p>
          <w:p w14:paraId="26BD412B" w14:textId="09F6646A" w:rsidR="00DF1724" w:rsidRPr="00DF1724" w:rsidRDefault="00DF1724" w:rsidP="00DF1724">
            <w:pPr>
              <w:jc w:val="center"/>
              <w:cnfStyle w:val="000000000000" w:firstRow="0" w:lastRow="0" w:firstColumn="0" w:lastColumn="0" w:oddVBand="0" w:evenVBand="0" w:oddHBand="0" w:evenHBand="0" w:firstRowFirstColumn="0" w:firstRowLastColumn="0" w:lastRowFirstColumn="0" w:lastRowLastColumn="0"/>
            </w:pPr>
          </w:p>
        </w:tc>
        <w:tc>
          <w:tcPr>
            <w:tcW w:w="3536" w:type="dxa"/>
          </w:tcPr>
          <w:p w14:paraId="4579C6F8" w14:textId="5D7E2A5E" w:rsidR="008A6BC6" w:rsidRPr="00AF3E08" w:rsidRDefault="008A6BC6" w:rsidP="00BD42B9">
            <w:pPr>
              <w:pStyle w:val="Tablelistbullet"/>
              <w:cnfStyle w:val="000000000000" w:firstRow="0" w:lastRow="0" w:firstColumn="0" w:lastColumn="0" w:oddVBand="0" w:evenVBand="0" w:oddHBand="0" w:evenHBand="0" w:firstRowFirstColumn="0" w:firstRowLastColumn="0" w:lastRowFirstColumn="0" w:lastRowLastColumn="0"/>
            </w:pPr>
            <w:r w:rsidRPr="008A6BC6">
              <w:t>Scholarships are $5,000 annually for day-to-day expenses such as books and stationery.</w:t>
            </w:r>
          </w:p>
        </w:tc>
      </w:tr>
      <w:tr w:rsidR="00A96E16" w:rsidRPr="00984C59" w14:paraId="60FF8299" w14:textId="77777777" w:rsidTr="00BD42B9">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6E6E6" w:themeFill="background2"/>
          </w:tcPr>
          <w:p w14:paraId="3E3060D4" w14:textId="5C71AF67" w:rsidR="00A96E16" w:rsidRPr="00D84453" w:rsidRDefault="00A96E16" w:rsidP="00D84453">
            <w:pPr>
              <w:pStyle w:val="Heading1"/>
              <w:rPr>
                <w:color w:val="auto"/>
                <w:sz w:val="28"/>
                <w:szCs w:val="28"/>
              </w:rPr>
            </w:pPr>
            <w:bookmarkStart w:id="5" w:name="_Toc146873887"/>
            <w:bookmarkStart w:id="6" w:name="_Toc209427953"/>
            <w:r w:rsidRPr="00D84453">
              <w:rPr>
                <w:color w:val="auto"/>
                <w:sz w:val="28"/>
                <w:szCs w:val="28"/>
              </w:rPr>
              <w:lastRenderedPageBreak/>
              <w:t>GP and Advanced Skills Training Support</w:t>
            </w:r>
            <w:bookmarkEnd w:id="5"/>
            <w:bookmarkEnd w:id="6"/>
          </w:p>
        </w:tc>
      </w:tr>
      <w:tr w:rsidR="00D218F9" w:rsidRPr="00984C59" w14:paraId="5BA3EF36" w14:textId="77777777" w:rsidTr="00CB4A9B">
        <w:tc>
          <w:tcPr>
            <w:cnfStyle w:val="001000000000" w:firstRow="0" w:lastRow="0" w:firstColumn="1" w:lastColumn="0" w:oddVBand="0" w:evenVBand="0" w:oddHBand="0" w:evenHBand="0" w:firstRowFirstColumn="0" w:firstRowLastColumn="0" w:lastRowFirstColumn="0" w:lastRowLastColumn="0"/>
            <w:tcW w:w="1696" w:type="dxa"/>
          </w:tcPr>
          <w:p w14:paraId="7D979F63" w14:textId="0031C5E8" w:rsidR="00A96E16" w:rsidRPr="00856D4B" w:rsidRDefault="00A96E16" w:rsidP="00A96E16">
            <w:pPr>
              <w:rPr>
                <w:b w:val="0"/>
                <w:bCs w:val="0"/>
              </w:rPr>
            </w:pPr>
            <w:hyperlink r:id="rId14" w:history="1">
              <w:r w:rsidRPr="00856D4B">
                <w:rPr>
                  <w:rStyle w:val="Hyperlink"/>
                  <w:b w:val="0"/>
                  <w:bCs w:val="0"/>
                </w:rPr>
                <w:t>Australian General Practice Training (AGPT) Program</w:t>
              </w:r>
            </w:hyperlink>
          </w:p>
        </w:tc>
        <w:tc>
          <w:tcPr>
            <w:tcW w:w="3828" w:type="dxa"/>
          </w:tcPr>
          <w:p w14:paraId="5BF80369" w14:textId="4ABA2E30" w:rsidR="00140035" w:rsidRPr="00140035" w:rsidRDefault="00A96E16" w:rsidP="00140035">
            <w:pPr>
              <w:cnfStyle w:val="000000000000" w:firstRow="0" w:lastRow="0" w:firstColumn="0" w:lastColumn="0" w:oddVBand="0" w:evenVBand="0" w:oddHBand="0" w:evenHBand="0" w:firstRowFirstColumn="0" w:firstRowLastColumn="0" w:lastRowFirstColumn="0" w:lastRowLastColumn="0"/>
            </w:pPr>
            <w:r w:rsidRPr="00F50D60">
              <w:t xml:space="preserve">The AGPT program provides fully subsided GP training </w:t>
            </w:r>
            <w:r w:rsidR="009C1F43">
              <w:t>for</w:t>
            </w:r>
            <w:r w:rsidRPr="00F50D60">
              <w:t xml:space="preserve"> </w:t>
            </w:r>
            <w:r w:rsidR="001D142C">
              <w:t xml:space="preserve">junior doctors, </w:t>
            </w:r>
            <w:r w:rsidRPr="00F50D60">
              <w:t xml:space="preserve">with at least 50% training to occur in regional, rural and remote areas. </w:t>
            </w:r>
            <w:r w:rsidR="00662A1E">
              <w:t xml:space="preserve">In 2026, </w:t>
            </w:r>
            <w:r w:rsidR="00583ED8">
              <w:t xml:space="preserve">the AGPT program will deliver </w:t>
            </w:r>
            <w:r w:rsidR="00FF5DBD">
              <w:t xml:space="preserve">almost </w:t>
            </w:r>
            <w:r w:rsidR="00421D16">
              <w:t xml:space="preserve">1800 commencing places, increasing to almost 2000 commencing places per annum in 2028. </w:t>
            </w:r>
          </w:p>
          <w:p w14:paraId="556CC11C" w14:textId="77777777" w:rsidR="00A96E16" w:rsidRDefault="0086388A" w:rsidP="00A96E16">
            <w:pPr>
              <w:cnfStyle w:val="000000000000" w:firstRow="0" w:lastRow="0" w:firstColumn="0" w:lastColumn="0" w:oddVBand="0" w:evenVBand="0" w:oddHBand="0" w:evenHBand="0" w:firstRowFirstColumn="0" w:firstRowLastColumn="0" w:lastRowFirstColumn="0" w:lastRowLastColumn="0"/>
            </w:pPr>
            <w:r>
              <w:t>T</w:t>
            </w:r>
            <w:r w:rsidR="00A96E16" w:rsidRPr="00F50D60">
              <w:t>raining support payments</w:t>
            </w:r>
            <w:r w:rsidR="00DD28AA">
              <w:t xml:space="preserve"> </w:t>
            </w:r>
            <w:r w:rsidR="00DD28AA" w:rsidRPr="00DD28AA">
              <w:t>(National Consistent Payments</w:t>
            </w:r>
            <w:r w:rsidR="00DD28AA">
              <w:t>)</w:t>
            </w:r>
            <w:r w:rsidR="00A96E16" w:rsidRPr="00F50D60">
              <w:t xml:space="preserve"> for </w:t>
            </w:r>
            <w:r>
              <w:t xml:space="preserve">eligible </w:t>
            </w:r>
            <w:r w:rsidR="00A96E16" w:rsidRPr="00F50D60">
              <w:t xml:space="preserve">registrars, supervisors and training practices </w:t>
            </w:r>
            <w:r>
              <w:t xml:space="preserve">are </w:t>
            </w:r>
            <w:r w:rsidR="00A96E16" w:rsidRPr="00F50D60">
              <w:t>tiered according to the MM region registrar</w:t>
            </w:r>
            <w:r w:rsidR="00AB47A1">
              <w:t>s</w:t>
            </w:r>
            <w:r w:rsidR="00964CDE">
              <w:t xml:space="preserve"> train</w:t>
            </w:r>
            <w:r w:rsidR="00AB47A1">
              <w:t xml:space="preserve"> in</w:t>
            </w:r>
            <w:r w:rsidR="00964CDE">
              <w:t>,</w:t>
            </w:r>
            <w:r w:rsidR="00A96E16" w:rsidRPr="00F50D60">
              <w:t xml:space="preserve"> with greater support for training occurring in rural and remote areas.</w:t>
            </w:r>
          </w:p>
          <w:p w14:paraId="3CCA9A24" w14:textId="7C758B47" w:rsidR="00045168" w:rsidRPr="00F50D60" w:rsidRDefault="00045168" w:rsidP="00A96E16">
            <w:pPr>
              <w:cnfStyle w:val="000000000000" w:firstRow="0" w:lastRow="0" w:firstColumn="0" w:lastColumn="0" w:oddVBand="0" w:evenVBand="0" w:oddHBand="0" w:evenHBand="0" w:firstRowFirstColumn="0" w:firstRowLastColumn="0" w:lastRowFirstColumn="0" w:lastRowLastColumn="0"/>
            </w:pPr>
            <w:r>
              <w:t>From</w:t>
            </w:r>
            <w:r w:rsidRPr="00045168">
              <w:t xml:space="preserve"> 2026, all payments under the National Consistent Payments (NCP) Framework will be indexed. </w:t>
            </w:r>
          </w:p>
        </w:tc>
        <w:tc>
          <w:tcPr>
            <w:tcW w:w="3536" w:type="dxa"/>
          </w:tcPr>
          <w:p w14:paraId="1E91126F" w14:textId="77777777" w:rsidR="00A96E16" w:rsidRPr="00F50D60" w:rsidRDefault="00A96E16" w:rsidP="00A96E16">
            <w:pPr>
              <w:cnfStyle w:val="000000000000" w:firstRow="0" w:lastRow="0" w:firstColumn="0" w:lastColumn="0" w:oddVBand="0" w:evenVBand="0" w:oddHBand="0" w:evenHBand="0" w:firstRowFirstColumn="0" w:firstRowLastColumn="0" w:lastRowFirstColumn="0" w:lastRowLastColumn="0"/>
            </w:pPr>
            <w:r w:rsidRPr="00F50D60">
              <w:t xml:space="preserve">AGPT participants are provided training support payments as follows: </w:t>
            </w:r>
          </w:p>
          <w:p w14:paraId="3E7CEFD6" w14:textId="77777777" w:rsidR="00A96E16" w:rsidRPr="00F50D60" w:rsidRDefault="00A96E16" w:rsidP="00BD42B9">
            <w:pPr>
              <w:pStyle w:val="Tablelistbullet"/>
              <w:cnfStyle w:val="000000000000" w:firstRow="0" w:lastRow="0" w:firstColumn="0" w:lastColumn="0" w:oddVBand="0" w:evenVBand="0" w:oddHBand="0" w:evenHBand="0" w:firstRowFirstColumn="0" w:firstRowLastColumn="0" w:lastRowFirstColumn="0" w:lastRowLastColumn="0"/>
            </w:pPr>
            <w:r w:rsidRPr="00F50D60">
              <w:t xml:space="preserve">Supervisors providing teaching: </w:t>
            </w:r>
          </w:p>
          <w:p w14:paraId="5A09B178" w14:textId="389E8B23" w:rsidR="00A96E16" w:rsidRPr="00F50D60" w:rsidRDefault="00A96E16" w:rsidP="00BD42B9">
            <w:pPr>
              <w:pStyle w:val="Tablelistbullet2"/>
              <w:cnfStyle w:val="000000000000" w:firstRow="0" w:lastRow="0" w:firstColumn="0" w:lastColumn="0" w:oddVBand="0" w:evenVBand="0" w:oddHBand="0" w:evenHBand="0" w:firstRowFirstColumn="0" w:firstRowLastColumn="0" w:lastRowFirstColumn="0" w:lastRowLastColumn="0"/>
            </w:pPr>
            <w:r w:rsidRPr="00F50D60">
              <w:t>$2,800 - $11,700; depending on the training term (limited to the first three training terms)</w:t>
            </w:r>
            <w:r>
              <w:t>.</w:t>
            </w:r>
          </w:p>
          <w:p w14:paraId="3A9F2695" w14:textId="77777777" w:rsidR="004C441D" w:rsidRDefault="004C441D" w:rsidP="004C441D">
            <w:pPr>
              <w:pStyle w:val="Tablelistbullet"/>
              <w:cnfStyle w:val="000000000000" w:firstRow="0" w:lastRow="0" w:firstColumn="0" w:lastColumn="0" w:oddVBand="0" w:evenVBand="0" w:oddHBand="0" w:evenHBand="0" w:firstRowFirstColumn="0" w:firstRowLastColumn="0" w:lastRowFirstColumn="0" w:lastRowLastColumn="0"/>
            </w:pPr>
            <w:r>
              <w:t>General Practice training practices:</w:t>
            </w:r>
          </w:p>
          <w:p w14:paraId="0697FE12" w14:textId="77777777" w:rsidR="004C441D" w:rsidRPr="00B86650" w:rsidRDefault="004C441D" w:rsidP="004C441D">
            <w:pPr>
              <w:pStyle w:val="Tablelistbullet"/>
              <w:cnfStyle w:val="000000000000" w:firstRow="0" w:lastRow="0" w:firstColumn="0" w:lastColumn="0" w:oddVBand="0" w:evenVBand="0" w:oddHBand="0" w:evenHBand="0" w:firstRowFirstColumn="0" w:firstRowLastColumn="0" w:lastRowFirstColumn="0" w:lastRowLastColumn="0"/>
              <w:rPr>
                <w:color w:val="auto"/>
              </w:rPr>
            </w:pPr>
            <w:r>
              <w:t xml:space="preserve">$7,500 - $15,000; depending on the training term (limited to the first two training </w:t>
            </w:r>
            <w:r w:rsidRPr="00B86650">
              <w:rPr>
                <w:color w:val="auto"/>
              </w:rPr>
              <w:t>terms).</w:t>
            </w:r>
          </w:p>
          <w:p w14:paraId="0FFAA726" w14:textId="56428B94" w:rsidR="004C441D" w:rsidRPr="00B86650" w:rsidRDefault="004C441D" w:rsidP="004C441D">
            <w:pPr>
              <w:pStyle w:val="Tablelistbullet"/>
              <w:cnfStyle w:val="000000000000" w:firstRow="0" w:lastRow="0" w:firstColumn="0" w:lastColumn="0" w:oddVBand="0" w:evenVBand="0" w:oddHBand="0" w:evenHBand="0" w:firstRowFirstColumn="0" w:firstRowLastColumn="0" w:lastRowFirstColumn="0" w:lastRowLastColumn="0"/>
              <w:rPr>
                <w:color w:val="auto"/>
              </w:rPr>
            </w:pPr>
            <w:r w:rsidRPr="00B86650">
              <w:rPr>
                <w:color w:val="auto"/>
              </w:rPr>
              <w:t>The AGPT Aboriginal and Torres Strait Islander Salary Support Program (SSP)</w:t>
            </w:r>
            <w:r w:rsidR="00D51A3D" w:rsidRPr="00B86650">
              <w:rPr>
                <w:color w:val="auto"/>
              </w:rPr>
              <w:t xml:space="preserve"> </w:t>
            </w:r>
            <w:r w:rsidRPr="00B86650">
              <w:rPr>
                <w:color w:val="auto"/>
              </w:rPr>
              <w:t xml:space="preserve">payments for Aboriginal Community Controlled Health facilities:  </w:t>
            </w:r>
          </w:p>
          <w:p w14:paraId="4388369D" w14:textId="7FE783E1" w:rsidR="00A96E16" w:rsidRPr="00F50D60" w:rsidRDefault="004C441D" w:rsidP="00BD42B9">
            <w:pPr>
              <w:pStyle w:val="Tablelistbullet2"/>
              <w:cnfStyle w:val="000000000000" w:firstRow="0" w:lastRow="0" w:firstColumn="0" w:lastColumn="0" w:oddVBand="0" w:evenVBand="0" w:oddHBand="0" w:evenHBand="0" w:firstRowFirstColumn="0" w:firstRowLastColumn="0" w:lastRowFirstColumn="0" w:lastRowLastColumn="0"/>
            </w:pPr>
            <w:r w:rsidRPr="00B86650">
              <w:rPr>
                <w:color w:val="auto"/>
              </w:rPr>
              <w:t xml:space="preserve">Up to $71 per hour </w:t>
            </w:r>
            <w:r w:rsidR="002A44E3" w:rsidRPr="00B86650">
              <w:rPr>
                <w:color w:val="auto"/>
              </w:rPr>
              <w:t>(</w:t>
            </w:r>
            <w:r w:rsidRPr="00B86650">
              <w:rPr>
                <w:color w:val="auto"/>
              </w:rPr>
              <w:t>MM</w:t>
            </w:r>
            <w:r w:rsidR="00D51A3D" w:rsidRPr="00B86650">
              <w:rPr>
                <w:color w:val="auto"/>
              </w:rPr>
              <w:t xml:space="preserve"> </w:t>
            </w:r>
            <w:r w:rsidRPr="00B86650">
              <w:rPr>
                <w:color w:val="auto"/>
              </w:rPr>
              <w:t>1</w:t>
            </w:r>
            <w:r w:rsidR="00D51A3D" w:rsidRPr="00B86650">
              <w:rPr>
                <w:color w:val="auto"/>
              </w:rPr>
              <w:t xml:space="preserve"> </w:t>
            </w:r>
            <w:r w:rsidRPr="00B86650">
              <w:rPr>
                <w:color w:val="auto"/>
              </w:rPr>
              <w:t xml:space="preserve">-2) or at the facility’s set </w:t>
            </w:r>
            <w:r>
              <w:t>registrar hourly rate.</w:t>
            </w:r>
          </w:p>
        </w:tc>
      </w:tr>
      <w:tr w:rsidR="00D218F9" w:rsidRPr="00984C59" w14:paraId="0D94C04B" w14:textId="77777777" w:rsidTr="00CB4A9B">
        <w:tc>
          <w:tcPr>
            <w:cnfStyle w:val="001000000000" w:firstRow="0" w:lastRow="0" w:firstColumn="1" w:lastColumn="0" w:oddVBand="0" w:evenVBand="0" w:oddHBand="0" w:evenHBand="0" w:firstRowFirstColumn="0" w:firstRowLastColumn="0" w:lastRowFirstColumn="0" w:lastRowLastColumn="0"/>
            <w:tcW w:w="1696" w:type="dxa"/>
          </w:tcPr>
          <w:p w14:paraId="47801ED3" w14:textId="2B750090" w:rsidR="008A3C6E" w:rsidRPr="00856D4B" w:rsidRDefault="008A3C6E" w:rsidP="00BB41D1">
            <w:pPr>
              <w:rPr>
                <w:b w:val="0"/>
                <w:bCs w:val="0"/>
                <w:u w:val="single"/>
              </w:rPr>
            </w:pPr>
            <w:hyperlink r:id="rId15" w:history="1">
              <w:r w:rsidRPr="00856D4B">
                <w:rPr>
                  <w:rStyle w:val="Hyperlink"/>
                  <w:b w:val="0"/>
                  <w:bCs w:val="0"/>
                </w:rPr>
                <w:t>Pre-Fellowship Program (PFP)</w:t>
              </w:r>
            </w:hyperlink>
            <w:r w:rsidR="00B86650" w:rsidRPr="00856D4B">
              <w:rPr>
                <w:rStyle w:val="Hyperlink"/>
                <w:b w:val="0"/>
                <w:bCs w:val="0"/>
                <w:color w:val="auto"/>
              </w:rPr>
              <w:t xml:space="preserve"> </w:t>
            </w:r>
          </w:p>
        </w:tc>
        <w:tc>
          <w:tcPr>
            <w:tcW w:w="3828" w:type="dxa"/>
          </w:tcPr>
          <w:p w14:paraId="2F585DE2" w14:textId="1FE42FC3" w:rsidR="00304AED" w:rsidRPr="000D2D74" w:rsidRDefault="00304AED" w:rsidP="00304AE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US"/>
              </w:rPr>
            </w:pPr>
            <w:r w:rsidRPr="000D2D74">
              <w:rPr>
                <w:rFonts w:asciiTheme="minorHAnsi" w:hAnsiTheme="minorHAnsi" w:cstheme="minorHAnsi"/>
                <w:sz w:val="22"/>
                <w:szCs w:val="22"/>
                <w:lang w:eastAsia="en-US"/>
              </w:rPr>
              <w:t xml:space="preserve">The PFP </w:t>
            </w:r>
            <w:r w:rsidRPr="000D2D74">
              <w:rPr>
                <w:rFonts w:asciiTheme="minorHAnsi" w:eastAsiaTheme="majorEastAsia" w:hAnsiTheme="minorHAnsi" w:cstheme="minorHAnsi"/>
                <w:sz w:val="22"/>
                <w:szCs w:val="22"/>
                <w:lang w:eastAsia="en-US"/>
              </w:rPr>
              <w:t>support</w:t>
            </w:r>
            <w:r w:rsidR="006E72B8" w:rsidRPr="000D2D74">
              <w:rPr>
                <w:rFonts w:asciiTheme="minorHAnsi" w:eastAsiaTheme="majorEastAsia" w:hAnsiTheme="minorHAnsi" w:cstheme="minorHAnsi"/>
                <w:sz w:val="22"/>
                <w:szCs w:val="22"/>
                <w:lang w:eastAsia="en-US"/>
              </w:rPr>
              <w:t>s</w:t>
            </w:r>
            <w:r w:rsidRPr="000D2D74">
              <w:rPr>
                <w:rFonts w:asciiTheme="minorHAnsi" w:eastAsiaTheme="majorEastAsia" w:hAnsiTheme="minorHAnsi" w:cstheme="minorHAnsi"/>
                <w:sz w:val="22"/>
                <w:szCs w:val="22"/>
                <w:lang w:eastAsia="en-US"/>
              </w:rPr>
              <w:t xml:space="preserve"> International Medical Graduates (IMGs to gain valuable general practice experience before joining a </w:t>
            </w:r>
            <w:r w:rsidR="001347EE" w:rsidRPr="000D2D74">
              <w:rPr>
                <w:rFonts w:asciiTheme="minorHAnsi" w:eastAsiaTheme="majorEastAsia" w:hAnsiTheme="minorHAnsi" w:cstheme="minorHAnsi"/>
                <w:sz w:val="22"/>
                <w:szCs w:val="22"/>
              </w:rPr>
              <w:t>GP</w:t>
            </w:r>
            <w:r w:rsidR="006B0231" w:rsidRPr="000D2D74">
              <w:rPr>
                <w:rFonts w:asciiTheme="minorHAnsi" w:eastAsiaTheme="majorEastAsia" w:hAnsiTheme="minorHAnsi" w:cstheme="minorHAnsi"/>
                <w:sz w:val="22"/>
                <w:szCs w:val="22"/>
              </w:rPr>
              <w:t xml:space="preserve"> </w:t>
            </w:r>
            <w:r w:rsidR="00562345" w:rsidRPr="000D2D74">
              <w:rPr>
                <w:rFonts w:asciiTheme="minorHAnsi" w:eastAsiaTheme="majorEastAsia" w:hAnsiTheme="minorHAnsi" w:cstheme="minorHAnsi"/>
                <w:sz w:val="22"/>
                <w:szCs w:val="22"/>
              </w:rPr>
              <w:t>training</w:t>
            </w:r>
            <w:r w:rsidRPr="000D2D74">
              <w:rPr>
                <w:rFonts w:asciiTheme="minorHAnsi" w:eastAsiaTheme="majorEastAsia" w:hAnsiTheme="minorHAnsi" w:cstheme="minorHAnsi"/>
                <w:sz w:val="22"/>
                <w:szCs w:val="22"/>
                <w:lang w:eastAsia="en-US"/>
              </w:rPr>
              <w:t xml:space="preserve"> pathway. </w:t>
            </w:r>
          </w:p>
          <w:p w14:paraId="3BE555C7" w14:textId="10091B7E" w:rsidR="00BB41D1" w:rsidRPr="000D2D74" w:rsidRDefault="00BB41D1" w:rsidP="00511845">
            <w:pPr>
              <w:pStyle w:val="TableText"/>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0D2D74">
              <w:rPr>
                <w:rFonts w:cstheme="minorHAnsi"/>
                <w:color w:val="auto"/>
                <w:szCs w:val="22"/>
              </w:rPr>
              <w:t>To be eligible for a</w:t>
            </w:r>
            <w:r w:rsidR="00304AED" w:rsidRPr="000D2D74">
              <w:rPr>
                <w:rFonts w:cstheme="minorHAnsi"/>
                <w:color w:val="auto"/>
                <w:szCs w:val="22"/>
              </w:rPr>
              <w:t xml:space="preserve"> PFP</w:t>
            </w:r>
            <w:r w:rsidR="006E72B8" w:rsidRPr="000D2D74">
              <w:rPr>
                <w:rFonts w:cstheme="minorHAnsi"/>
                <w:color w:val="auto"/>
                <w:szCs w:val="22"/>
              </w:rPr>
              <w:t xml:space="preserve"> </w:t>
            </w:r>
            <w:r w:rsidRPr="000D2D74">
              <w:rPr>
                <w:rFonts w:cstheme="minorHAnsi"/>
                <w:color w:val="auto"/>
                <w:szCs w:val="22"/>
              </w:rPr>
              <w:t>placement the</w:t>
            </w:r>
            <w:r w:rsidR="006E72B8" w:rsidRPr="000D2D74">
              <w:rPr>
                <w:rFonts w:cstheme="minorHAnsi"/>
                <w:color w:val="auto"/>
                <w:szCs w:val="22"/>
              </w:rPr>
              <w:t xml:space="preserve"> </w:t>
            </w:r>
            <w:r w:rsidRPr="000D2D74">
              <w:rPr>
                <w:rFonts w:cstheme="minorHAnsi"/>
                <w:color w:val="auto"/>
                <w:szCs w:val="22"/>
              </w:rPr>
              <w:t>practice must</w:t>
            </w:r>
            <w:r w:rsidR="009154A0" w:rsidRPr="000D2D74">
              <w:rPr>
                <w:rFonts w:cstheme="minorHAnsi"/>
                <w:color w:val="auto"/>
                <w:szCs w:val="22"/>
              </w:rPr>
              <w:t xml:space="preserve"> be located within a Distribution Priority Area (DPA). The PFP is not available </w:t>
            </w:r>
            <w:r w:rsidR="002F4F16" w:rsidRPr="000D2D74">
              <w:rPr>
                <w:rFonts w:cstheme="minorHAnsi"/>
                <w:color w:val="auto"/>
                <w:szCs w:val="22"/>
              </w:rPr>
              <w:t>at non-DPA locations unless</w:t>
            </w:r>
            <w:r w:rsidRPr="000D2D74">
              <w:rPr>
                <w:rFonts w:cstheme="minorHAnsi"/>
                <w:color w:val="auto"/>
                <w:szCs w:val="22"/>
              </w:rPr>
              <w:t xml:space="preserve">: </w:t>
            </w:r>
          </w:p>
          <w:p w14:paraId="105B697E" w14:textId="3D42A992" w:rsidR="00BB41D1" w:rsidRPr="000D2D74" w:rsidRDefault="00BB41D1" w:rsidP="00BD42B9">
            <w:pPr>
              <w:pStyle w:val="Table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0D2D74">
              <w:rPr>
                <w:rFonts w:asciiTheme="minorHAnsi" w:hAnsiTheme="minorHAnsi" w:cstheme="minorHAnsi"/>
                <w:color w:val="auto"/>
                <w:szCs w:val="22"/>
              </w:rPr>
              <w:t xml:space="preserve">classified as an Aboriginal Medical Service </w:t>
            </w:r>
            <w:r w:rsidR="008A2771" w:rsidRPr="000D2D74">
              <w:rPr>
                <w:rFonts w:asciiTheme="minorHAnsi" w:hAnsiTheme="minorHAnsi" w:cstheme="minorHAnsi"/>
                <w:color w:val="auto"/>
                <w:szCs w:val="22"/>
              </w:rPr>
              <w:t>(AMS)</w:t>
            </w:r>
            <w:r w:rsidRPr="000D2D74">
              <w:rPr>
                <w:rFonts w:asciiTheme="minorHAnsi" w:hAnsiTheme="minorHAnsi" w:cstheme="minorHAnsi"/>
                <w:color w:val="auto"/>
                <w:szCs w:val="22"/>
              </w:rPr>
              <w:t>; or</w:t>
            </w:r>
          </w:p>
          <w:p w14:paraId="192B6503" w14:textId="417013D1" w:rsidR="00C457E1" w:rsidRPr="00B86650" w:rsidRDefault="00BB41D1" w:rsidP="00BD42B9">
            <w:pPr>
              <w:pStyle w:val="Tablelistbullet"/>
              <w:cnfStyle w:val="000000000000" w:firstRow="0" w:lastRow="0" w:firstColumn="0" w:lastColumn="0" w:oddVBand="0" w:evenVBand="0" w:oddHBand="0" w:evenHBand="0" w:firstRowFirstColumn="0" w:firstRowLastColumn="0" w:lastRowFirstColumn="0" w:lastRowLastColumn="0"/>
              <w:rPr>
                <w:color w:val="auto"/>
              </w:rPr>
            </w:pPr>
            <w:r w:rsidRPr="000D2D74">
              <w:rPr>
                <w:rFonts w:asciiTheme="minorHAnsi" w:hAnsiTheme="minorHAnsi" w:cstheme="minorHAnsi"/>
                <w:color w:val="auto"/>
                <w:szCs w:val="22"/>
              </w:rPr>
              <w:t xml:space="preserve">classified as an Aboriginal </w:t>
            </w:r>
            <w:r w:rsidR="006E72B8" w:rsidRPr="000D2D74">
              <w:rPr>
                <w:rFonts w:asciiTheme="minorHAnsi" w:hAnsiTheme="minorHAnsi" w:cstheme="minorHAnsi"/>
                <w:color w:val="auto"/>
                <w:szCs w:val="22"/>
              </w:rPr>
              <w:t>Community -</w:t>
            </w:r>
            <w:r w:rsidRPr="000D2D74">
              <w:rPr>
                <w:rFonts w:asciiTheme="minorHAnsi" w:hAnsiTheme="minorHAnsi" w:cstheme="minorHAnsi"/>
                <w:color w:val="auto"/>
                <w:szCs w:val="22"/>
              </w:rPr>
              <w:t>Controlled</w:t>
            </w:r>
            <w:r w:rsidR="006E72B8" w:rsidRPr="000D2D74">
              <w:rPr>
                <w:rFonts w:asciiTheme="minorHAnsi" w:hAnsiTheme="minorHAnsi" w:cstheme="minorHAnsi"/>
                <w:color w:val="auto"/>
                <w:szCs w:val="22"/>
              </w:rPr>
              <w:t xml:space="preserve"> </w:t>
            </w:r>
            <w:r w:rsidRPr="000D2D74">
              <w:rPr>
                <w:rFonts w:asciiTheme="minorHAnsi" w:hAnsiTheme="minorHAnsi" w:cstheme="minorHAnsi"/>
                <w:color w:val="auto"/>
                <w:szCs w:val="22"/>
              </w:rPr>
              <w:t>Health Service.</w:t>
            </w:r>
          </w:p>
        </w:tc>
        <w:tc>
          <w:tcPr>
            <w:tcW w:w="3536" w:type="dxa"/>
          </w:tcPr>
          <w:p w14:paraId="0EE985DB" w14:textId="06693B48" w:rsidR="00BB41D1" w:rsidRPr="00B86650" w:rsidRDefault="00BB41D1" w:rsidP="00EE4D1D">
            <w:pPr>
              <w:pStyle w:val="ListParagraph"/>
              <w:spacing w:before="0"/>
              <w:ind w:left="0"/>
              <w:cnfStyle w:val="000000000000" w:firstRow="0" w:lastRow="0" w:firstColumn="0" w:lastColumn="0" w:oddVBand="0" w:evenVBand="0" w:oddHBand="0" w:evenHBand="0" w:firstRowFirstColumn="0" w:firstRowLastColumn="0" w:lastRowFirstColumn="0" w:lastRowLastColumn="0"/>
            </w:pPr>
            <w:r w:rsidRPr="00B86650">
              <w:rPr>
                <w:rFonts w:cstheme="minorHAnsi"/>
              </w:rPr>
              <w:t xml:space="preserve">The </w:t>
            </w:r>
            <w:r w:rsidR="008A2771" w:rsidRPr="00B86650">
              <w:rPr>
                <w:rFonts w:cstheme="minorHAnsi"/>
              </w:rPr>
              <w:t>PF</w:t>
            </w:r>
            <w:r w:rsidRPr="00B86650">
              <w:rPr>
                <w:rFonts w:cstheme="minorHAnsi"/>
              </w:rPr>
              <w:t>P</w:t>
            </w:r>
            <w:r w:rsidR="008A2771" w:rsidRPr="00B86650">
              <w:rPr>
                <w:rFonts w:cstheme="minorHAnsi"/>
              </w:rPr>
              <w:t xml:space="preserve"> allows doctors to offer services under Medicare (note MBS rates for participants in MM1</w:t>
            </w:r>
            <w:r w:rsidRPr="00B86650">
              <w:rPr>
                <w:rFonts w:cstheme="minorHAnsi"/>
              </w:rPr>
              <w:t xml:space="preserve"> </w:t>
            </w:r>
            <w:r w:rsidR="008A2771" w:rsidRPr="00B86650">
              <w:rPr>
                <w:rFonts w:cstheme="minorHAnsi"/>
              </w:rPr>
              <w:t xml:space="preserve">may be less than in other MM locations). PFP </w:t>
            </w:r>
            <w:r w:rsidRPr="00B86650">
              <w:rPr>
                <w:rFonts w:cstheme="minorHAnsi"/>
              </w:rPr>
              <w:t>provides</w:t>
            </w:r>
            <w:r w:rsidR="00D218F9" w:rsidRPr="00B86650">
              <w:rPr>
                <w:rFonts w:cstheme="minorHAnsi"/>
              </w:rPr>
              <w:t xml:space="preserve"> only IMGs with provisional or limited registration</w:t>
            </w:r>
            <w:r w:rsidRPr="00B86650">
              <w:rPr>
                <w:rFonts w:cstheme="minorHAnsi"/>
              </w:rPr>
              <w:t xml:space="preserve"> </w:t>
            </w:r>
            <w:r w:rsidR="00D218F9" w:rsidRPr="00B86650">
              <w:rPr>
                <w:rFonts w:cstheme="minorHAnsi"/>
              </w:rPr>
              <w:t>financial</w:t>
            </w:r>
            <w:r w:rsidRPr="00B86650">
              <w:rPr>
                <w:rFonts w:cstheme="minorHAnsi"/>
              </w:rPr>
              <w:t xml:space="preserve"> support </w:t>
            </w:r>
            <w:r w:rsidR="00D218F9" w:rsidRPr="00B86650">
              <w:rPr>
                <w:rFonts w:cstheme="minorHAnsi"/>
              </w:rPr>
              <w:t xml:space="preserve">for </w:t>
            </w:r>
            <w:r w:rsidRPr="00B86650">
              <w:rPr>
                <w:rFonts w:cstheme="minorHAnsi"/>
              </w:rPr>
              <w:t>supervision</w:t>
            </w:r>
            <w:r w:rsidR="004B794B" w:rsidRPr="00B86650">
              <w:rPr>
                <w:rFonts w:cstheme="minorHAnsi"/>
              </w:rPr>
              <w:t>,</w:t>
            </w:r>
            <w:r w:rsidRPr="00B86650">
              <w:rPr>
                <w:rFonts w:cstheme="minorHAnsi"/>
              </w:rPr>
              <w:t xml:space="preserve"> </w:t>
            </w:r>
            <w:r w:rsidR="00D218F9" w:rsidRPr="00B86650">
              <w:rPr>
                <w:rFonts w:cstheme="minorHAnsi"/>
              </w:rPr>
              <w:t xml:space="preserve">learning and development. </w:t>
            </w:r>
          </w:p>
          <w:p w14:paraId="7362624F" w14:textId="032A69FC" w:rsidR="00EE4D1D" w:rsidRPr="00B86650" w:rsidRDefault="00D218F9" w:rsidP="007C72BF">
            <w:pPr>
              <w:pStyle w:val="Tablelistbullet2"/>
              <w:numPr>
                <w:ilvl w:val="0"/>
                <w:numId w:val="29"/>
              </w:numPr>
              <w:ind w:left="357" w:hanging="357"/>
              <w:cnfStyle w:val="000000000000" w:firstRow="0" w:lastRow="0" w:firstColumn="0" w:lastColumn="0" w:oddVBand="0" w:evenVBand="0" w:oddHBand="0" w:evenHBand="0" w:firstRowFirstColumn="0" w:firstRowLastColumn="0" w:lastRowFirstColumn="0" w:lastRowLastColumn="0"/>
              <w:rPr>
                <w:color w:val="auto"/>
              </w:rPr>
            </w:pPr>
            <w:r w:rsidRPr="00B86650">
              <w:rPr>
                <w:color w:val="auto"/>
              </w:rPr>
              <w:t xml:space="preserve">Learning and </w:t>
            </w:r>
            <w:r w:rsidR="00D41E96" w:rsidRPr="00B86650">
              <w:rPr>
                <w:color w:val="auto"/>
              </w:rPr>
              <w:t>D</w:t>
            </w:r>
            <w:r w:rsidR="00D41E96">
              <w:t>e</w:t>
            </w:r>
            <w:r w:rsidR="00D41E96" w:rsidRPr="00B86650">
              <w:rPr>
                <w:color w:val="auto"/>
              </w:rPr>
              <w:t>velopment</w:t>
            </w:r>
            <w:r w:rsidRPr="00B86650">
              <w:rPr>
                <w:color w:val="auto"/>
              </w:rPr>
              <w:t xml:space="preserve"> funding is scaled by level of supervision.</w:t>
            </w:r>
          </w:p>
          <w:p w14:paraId="30CEEE32" w14:textId="1D8ADC19" w:rsidR="00D218F9" w:rsidRPr="00B86650" w:rsidRDefault="00D218F9" w:rsidP="007C72BF">
            <w:pPr>
              <w:pStyle w:val="Tablelistbullet2"/>
              <w:numPr>
                <w:ilvl w:val="0"/>
                <w:numId w:val="29"/>
              </w:numPr>
              <w:ind w:left="357" w:hanging="357"/>
              <w:cnfStyle w:val="000000000000" w:firstRow="0" w:lastRow="0" w:firstColumn="0" w:lastColumn="0" w:oddVBand="0" w:evenVBand="0" w:oddHBand="0" w:evenHBand="0" w:firstRowFirstColumn="0" w:firstRowLastColumn="0" w:lastRowFirstColumn="0" w:lastRowLastColumn="0"/>
              <w:rPr>
                <w:color w:val="auto"/>
              </w:rPr>
            </w:pPr>
            <w:r w:rsidRPr="00B86650">
              <w:rPr>
                <w:color w:val="auto"/>
              </w:rPr>
              <w:t>Supervision support payments are made quarterly in arrears</w:t>
            </w:r>
            <w:r w:rsidR="001E374E">
              <w:t xml:space="preserve"> </w:t>
            </w:r>
            <w:r w:rsidR="0072431E">
              <w:t>and depend o</w:t>
            </w:r>
            <w:r w:rsidR="001E374E">
              <w:t>n MM location and supervision required</w:t>
            </w:r>
            <w:r w:rsidRPr="00B86650">
              <w:rPr>
                <w:color w:val="auto"/>
              </w:rPr>
              <w:t>.</w:t>
            </w:r>
          </w:p>
        </w:tc>
      </w:tr>
      <w:tr w:rsidR="00D218F9" w:rsidRPr="00984C59" w14:paraId="45CF0542" w14:textId="77777777" w:rsidTr="00CB4A9B">
        <w:tc>
          <w:tcPr>
            <w:cnfStyle w:val="001000000000" w:firstRow="0" w:lastRow="0" w:firstColumn="1" w:lastColumn="0" w:oddVBand="0" w:evenVBand="0" w:oddHBand="0" w:evenHBand="0" w:firstRowFirstColumn="0" w:firstRowLastColumn="0" w:lastRowFirstColumn="0" w:lastRowLastColumn="0"/>
            <w:tcW w:w="1696" w:type="dxa"/>
          </w:tcPr>
          <w:p w14:paraId="4BEDB6C9" w14:textId="646DEDB2" w:rsidR="00E14CA3" w:rsidRPr="00856D4B" w:rsidRDefault="00E14CA3" w:rsidP="00E14CA3">
            <w:pPr>
              <w:rPr>
                <w:b w:val="0"/>
                <w:bCs w:val="0"/>
              </w:rPr>
            </w:pPr>
            <w:hyperlink r:id="rId16" w:history="1">
              <w:r w:rsidRPr="00856D4B">
                <w:rPr>
                  <w:rStyle w:val="Hyperlink"/>
                  <w:b w:val="0"/>
                  <w:bCs w:val="0"/>
                </w:rPr>
                <w:t>Psychiatry Workforce Program</w:t>
              </w:r>
            </w:hyperlink>
          </w:p>
        </w:tc>
        <w:tc>
          <w:tcPr>
            <w:tcW w:w="3828" w:type="dxa"/>
          </w:tcPr>
          <w:p w14:paraId="3E067AE3" w14:textId="3F1D8A8D" w:rsidR="00E14CA3" w:rsidRPr="00B86650" w:rsidRDefault="00CD3C9F" w:rsidP="00E14CA3">
            <w:pPr>
              <w:cnfStyle w:val="000000000000" w:firstRow="0" w:lastRow="0" w:firstColumn="0" w:lastColumn="0" w:oddVBand="0" w:evenVBand="0" w:oddHBand="0" w:evenHBand="0" w:firstRowFirstColumn="0" w:firstRowLastColumn="0" w:lastRowFirstColumn="0" w:lastRowLastColumn="0"/>
            </w:pPr>
            <w:r>
              <w:t>The Psychiatry Workforce Program p</w:t>
            </w:r>
            <w:r w:rsidR="00E14CA3">
              <w:t xml:space="preserve">rovides funding to attract medical graduates to the Psychiatry </w:t>
            </w:r>
            <w:r w:rsidR="00AB47A1">
              <w:t>profession and</w:t>
            </w:r>
            <w:r w:rsidR="00E14CA3">
              <w:t xml:space="preserve"> support</w:t>
            </w:r>
            <w:r>
              <w:t>s</w:t>
            </w:r>
            <w:r w:rsidR="00E14CA3">
              <w:t xml:space="preserve"> additional training posts </w:t>
            </w:r>
            <w:r>
              <w:t xml:space="preserve">– </w:t>
            </w:r>
            <w:r w:rsidR="00E14CA3">
              <w:t xml:space="preserve">including support for supervisors. These training posts are located in regional, </w:t>
            </w:r>
            <w:r w:rsidR="00E14CA3">
              <w:lastRenderedPageBreak/>
              <w:t>rural and remote</w:t>
            </w:r>
            <w:r w:rsidR="00E14CA3" w:rsidRPr="00B21F3B">
              <w:t xml:space="preserve"> </w:t>
            </w:r>
            <w:r w:rsidR="00E14CA3">
              <w:t xml:space="preserve">Australia. Further, the funding supports a rural psychiatry training pathway and network and advanced training in psychiatry for medical practitioners such as GPs and emergency medicine specialists </w:t>
            </w:r>
            <w:r w:rsidR="00E14CA3" w:rsidRPr="00B21F3B">
              <w:t xml:space="preserve">to address mental health workforce shortages and </w:t>
            </w:r>
            <w:r w:rsidR="00E14CA3" w:rsidRPr="00B86650">
              <w:t>maldistribution.</w:t>
            </w:r>
          </w:p>
          <w:p w14:paraId="57E1A892" w14:textId="2EC3DDA0" w:rsidR="004C441D" w:rsidRPr="00B86650" w:rsidRDefault="004C441D" w:rsidP="00E14CA3">
            <w:pPr>
              <w:cnfStyle w:val="000000000000" w:firstRow="0" w:lastRow="0" w:firstColumn="0" w:lastColumn="0" w:oddVBand="0" w:evenVBand="0" w:oddHBand="0" w:evenHBand="0" w:firstRowFirstColumn="0" w:firstRowLastColumn="0" w:lastRowFirstColumn="0" w:lastRowLastColumn="0"/>
            </w:pPr>
            <w:r w:rsidRPr="00B86650">
              <w:t>Note: MM1 Support is available for 1.0 FTE training post only if the entire post is classified as being in “expanded” settings, defined under the STP Operational Framework as settings outside of major metropolitan public teaching hospitals. Otherwise, MM1 support to non-expanded settings (i.e., to public metropolitan hospitals) is only available for a maximum 50% (half) of a post, and maximum 33.3% (one third) of an IRTP post.</w:t>
            </w:r>
          </w:p>
          <w:p w14:paraId="798A0805" w14:textId="5C0329DD" w:rsidR="002A255B" w:rsidRPr="006D0D8F" w:rsidRDefault="002A255B" w:rsidP="00E14CA3">
            <w:pPr>
              <w:cnfStyle w:val="000000000000" w:firstRow="0" w:lastRow="0" w:firstColumn="0" w:lastColumn="0" w:oddVBand="0" w:evenVBand="0" w:oddHBand="0" w:evenHBand="0" w:firstRowFirstColumn="0" w:firstRowLastColumn="0" w:lastRowFirstColumn="0" w:lastRowLastColumn="0"/>
              <w:rPr>
                <w:rFonts w:ascii="Calibri" w:eastAsia="Times New Roman" w:hAnsi="Calibri"/>
                <w:szCs w:val="22"/>
              </w:rPr>
            </w:pPr>
            <w:r w:rsidRPr="000077DD">
              <w:rPr>
                <w:rFonts w:eastAsia="Times New Roman"/>
              </w:rPr>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3536" w:type="dxa"/>
          </w:tcPr>
          <w:p w14:paraId="68335B6B" w14:textId="77777777" w:rsidR="002A255B" w:rsidRPr="00BD42B9" w:rsidRDefault="002A255B" w:rsidP="00BD42B9">
            <w:pPr>
              <w:cnfStyle w:val="000000000000" w:firstRow="0" w:lastRow="0" w:firstColumn="0" w:lastColumn="0" w:oddVBand="0" w:evenVBand="0" w:oddHBand="0" w:evenHBand="0" w:firstRowFirstColumn="0" w:firstRowLastColumn="0" w:lastRowFirstColumn="0" w:lastRowLastColumn="0"/>
            </w:pPr>
            <w:r w:rsidRPr="00BD42B9">
              <w:lastRenderedPageBreak/>
              <w:t>Funding per training post is based on:</w:t>
            </w:r>
          </w:p>
          <w:p w14:paraId="15471202" w14:textId="0E13FEFE" w:rsidR="002A255B" w:rsidRDefault="002A255B" w:rsidP="006D0D8F">
            <w:pPr>
              <w:pStyle w:val="Tablelistbullet"/>
              <w:cnfStyle w:val="000000000000" w:firstRow="0" w:lastRow="0" w:firstColumn="0" w:lastColumn="0" w:oddVBand="0" w:evenVBand="0" w:oddHBand="0" w:evenHBand="0" w:firstRowFirstColumn="0" w:firstRowLastColumn="0" w:lastRowFirstColumn="0" w:lastRowLastColumn="0"/>
            </w:pPr>
            <w:r>
              <w:t>a salary contribution of up to</w:t>
            </w:r>
            <w:r w:rsidRPr="006D0D8F">
              <w:t xml:space="preserve"> </w:t>
            </w:r>
            <w:r>
              <w:t xml:space="preserve">$262,000 consisting of: </w:t>
            </w:r>
          </w:p>
          <w:p w14:paraId="628A8D0C" w14:textId="77777777" w:rsidR="002A255B" w:rsidRDefault="002A255B" w:rsidP="006D0D8F">
            <w:pPr>
              <w:pStyle w:val="Tablelistbullet2"/>
              <w:cnfStyle w:val="000000000000" w:firstRow="0" w:lastRow="0" w:firstColumn="0" w:lastColumn="0" w:oddVBand="0" w:evenVBand="0" w:oddHBand="0" w:evenHBand="0" w:firstRowFirstColumn="0" w:firstRowLastColumn="0" w:lastRowFirstColumn="0" w:lastRowLastColumn="0"/>
            </w:pPr>
            <w:r>
              <w:t xml:space="preserve">a base salary contribution of $106,851 (for 1 FTE trainee) </w:t>
            </w:r>
          </w:p>
          <w:p w14:paraId="7851F9A5" w14:textId="1FD7296F" w:rsidR="002A255B" w:rsidRDefault="002A255B" w:rsidP="006D0D8F">
            <w:pPr>
              <w:pStyle w:val="Tablelistbullet2"/>
              <w:cnfStyle w:val="000000000000" w:firstRow="0" w:lastRow="0" w:firstColumn="0" w:lastColumn="0" w:oddVBand="0" w:evenVBand="0" w:oddHBand="0" w:evenHBand="0" w:firstRowFirstColumn="0" w:firstRowLastColumn="0" w:lastRowFirstColumn="0" w:lastRowLastColumn="0"/>
            </w:pPr>
            <w:r>
              <w:lastRenderedPageBreak/>
              <w:t xml:space="preserve">a Private Infrastructure Clinical Supervision allowance of $30,452 for private settings (where applicable) </w:t>
            </w:r>
          </w:p>
          <w:p w14:paraId="7BE32B8B" w14:textId="5269BB41" w:rsidR="002A255B" w:rsidRDefault="00AB47A1" w:rsidP="006D0D8F">
            <w:pPr>
              <w:pStyle w:val="Tablelistbullet2"/>
              <w:cnfStyle w:val="000000000000" w:firstRow="0" w:lastRow="0" w:firstColumn="0" w:lastColumn="0" w:oddVBand="0" w:evenVBand="0" w:oddHBand="0" w:evenHBand="0" w:firstRowFirstColumn="0" w:firstRowLastColumn="0" w:lastRowFirstColumn="0" w:lastRowLastColumn="0"/>
            </w:pPr>
            <w:r>
              <w:t>a</w:t>
            </w:r>
            <w:r w:rsidR="002A255B">
              <w:t xml:space="preserve"> </w:t>
            </w:r>
            <w:r w:rsidR="000077DD">
              <w:t>rural support loading</w:t>
            </w:r>
            <w:r w:rsidR="002A255B">
              <w:t xml:space="preserve"> of $25,000 for rural settings (MM</w:t>
            </w:r>
            <w:r w:rsidR="00F74C80">
              <w:t> </w:t>
            </w:r>
            <w:r w:rsidR="002A255B">
              <w:t>2-7) (where applicable)</w:t>
            </w:r>
          </w:p>
          <w:p w14:paraId="7B6DC0E1" w14:textId="302A14D7" w:rsidR="002A255B" w:rsidRPr="000077DD" w:rsidRDefault="002A255B" w:rsidP="006D0D8F">
            <w:pPr>
              <w:pStyle w:val="Tablelistbullet2"/>
              <w:cnfStyle w:val="000000000000" w:firstRow="0" w:lastRow="0" w:firstColumn="0" w:lastColumn="0" w:oddVBand="0" w:evenVBand="0" w:oddHBand="0" w:evenHBand="0" w:firstRowFirstColumn="0" w:firstRowLastColumn="0" w:lastRowFirstColumn="0" w:lastRowLastColumn="0"/>
            </w:pPr>
            <w:r>
              <w:t xml:space="preserve">supervisor contribution of up to $91,355 (for 0.33 FTE), and </w:t>
            </w:r>
          </w:p>
          <w:p w14:paraId="3F62A133" w14:textId="767ED993" w:rsidR="002A255B" w:rsidRPr="006F612C" w:rsidRDefault="002A255B" w:rsidP="006D0D8F">
            <w:pPr>
              <w:pStyle w:val="Tablelistbullet2"/>
              <w:cnfStyle w:val="000000000000" w:firstRow="0" w:lastRow="0" w:firstColumn="0" w:lastColumn="0" w:oddVBand="0" w:evenVBand="0" w:oddHBand="0" w:evenHBand="0" w:firstRowFirstColumn="0" w:firstRowLastColumn="0" w:lastRowFirstColumn="0" w:lastRowLastColumn="0"/>
            </w:pPr>
            <w:r w:rsidRPr="002A255B">
              <w:t>a</w:t>
            </w:r>
            <w:r w:rsidRPr="006D0D8F">
              <w:t>dministration costs.</w:t>
            </w:r>
          </w:p>
        </w:tc>
      </w:tr>
      <w:tr w:rsidR="00D218F9" w:rsidRPr="00984C59" w14:paraId="4A95808E" w14:textId="77777777" w:rsidTr="00CB4A9B">
        <w:tc>
          <w:tcPr>
            <w:cnfStyle w:val="001000000000" w:firstRow="0" w:lastRow="0" w:firstColumn="1" w:lastColumn="0" w:oddVBand="0" w:evenVBand="0" w:oddHBand="0" w:evenHBand="0" w:firstRowFirstColumn="0" w:firstRowLastColumn="0" w:lastRowFirstColumn="0" w:lastRowLastColumn="0"/>
            <w:tcW w:w="1696" w:type="dxa"/>
          </w:tcPr>
          <w:p w14:paraId="18003BCE" w14:textId="03956DD1" w:rsidR="00DC3DA5" w:rsidRPr="00856D4B" w:rsidRDefault="00DC3DA5" w:rsidP="00DC3DA5">
            <w:pPr>
              <w:rPr>
                <w:b w:val="0"/>
                <w:bCs w:val="0"/>
              </w:rPr>
            </w:pPr>
            <w:hyperlink r:id="rId17" w:history="1">
              <w:r w:rsidRPr="00856D4B">
                <w:rPr>
                  <w:rStyle w:val="Hyperlink"/>
                  <w:b w:val="0"/>
                  <w:bCs w:val="0"/>
                </w:rPr>
                <w:t>Specialist Training Program</w:t>
              </w:r>
              <w:r w:rsidR="006F612C" w:rsidRPr="00856D4B">
                <w:rPr>
                  <w:rStyle w:val="Hyperlink"/>
                  <w:b w:val="0"/>
                  <w:bCs w:val="0"/>
                </w:rPr>
                <w:t xml:space="preserve"> (STP)</w:t>
              </w:r>
            </w:hyperlink>
          </w:p>
        </w:tc>
        <w:tc>
          <w:tcPr>
            <w:tcW w:w="3828" w:type="dxa"/>
          </w:tcPr>
          <w:p w14:paraId="5AADCECD" w14:textId="64B265FF" w:rsidR="000077DD" w:rsidRPr="00BD42B9" w:rsidRDefault="00DC3DA5" w:rsidP="00511845">
            <w:pPr>
              <w:pStyle w:val="TableText"/>
              <w:cnfStyle w:val="000000000000" w:firstRow="0" w:lastRow="0" w:firstColumn="0" w:lastColumn="0" w:oddVBand="0" w:evenVBand="0" w:oddHBand="0" w:evenHBand="0" w:firstRowFirstColumn="0" w:firstRowLastColumn="0" w:lastRowFirstColumn="0" w:lastRowLastColumn="0"/>
            </w:pPr>
            <w:r w:rsidRPr="00BD42B9">
              <w:t xml:space="preserve">Seeks to extend vocational training for specialist registrars (trainees) into settings outside traditional metropolitan teaching hospitals, including regional, rural, remote, and private facilities. </w:t>
            </w:r>
            <w:r w:rsidR="000077DD" w:rsidRPr="00BD42B9">
              <w:t>This includes support for 920 fulltime equivalent (FTE) specialist training places, 100 FTE Integrated Rural Training Pipeline places annually, as well as funding for the Tasmanian Project.</w:t>
            </w:r>
          </w:p>
          <w:p w14:paraId="7FB11A68" w14:textId="6FD26DB1" w:rsidR="00DC3DA5" w:rsidRPr="00B86650" w:rsidRDefault="00DC3DA5" w:rsidP="00511845">
            <w:pPr>
              <w:pStyle w:val="TableText"/>
              <w:cnfStyle w:val="000000000000" w:firstRow="0" w:lastRow="0" w:firstColumn="0" w:lastColumn="0" w:oddVBand="0" w:evenVBand="0" w:oddHBand="0" w:evenHBand="0" w:firstRowFirstColumn="0" w:firstRowLastColumn="0" w:lastRowFirstColumn="0" w:lastRowLastColumn="0"/>
              <w:rPr>
                <w:color w:val="auto"/>
              </w:rPr>
            </w:pPr>
            <w:r w:rsidRPr="00BD42B9">
              <w:t xml:space="preserve">The </w:t>
            </w:r>
            <w:r w:rsidR="000077DD" w:rsidRPr="00BD42B9">
              <w:t>STP</w:t>
            </w:r>
            <w:r w:rsidRPr="00BD42B9">
              <w:t xml:space="preserve"> aims to improve the quality of the future </w:t>
            </w:r>
            <w:r w:rsidRPr="00B86650">
              <w:rPr>
                <w:color w:val="auto"/>
              </w:rPr>
              <w:t>specialist workforce by providing non-GP specialty trainees with exposure to a broader range of health care settings.</w:t>
            </w:r>
          </w:p>
          <w:p w14:paraId="3CAA7C3A" w14:textId="77777777" w:rsidR="004C441D" w:rsidRPr="00B86650" w:rsidRDefault="004C441D" w:rsidP="00511845">
            <w:pPr>
              <w:pStyle w:val="Tabletextleft"/>
              <w:cnfStyle w:val="000000000000" w:firstRow="0" w:lastRow="0" w:firstColumn="0" w:lastColumn="0" w:oddVBand="0" w:evenVBand="0" w:oddHBand="0" w:evenHBand="0" w:firstRowFirstColumn="0" w:firstRowLastColumn="0" w:lastRowFirstColumn="0" w:lastRowLastColumn="0"/>
              <w:rPr>
                <w:b w:val="0"/>
                <w:bCs/>
                <w:color w:val="auto"/>
              </w:rPr>
            </w:pPr>
            <w:r w:rsidRPr="00B86650">
              <w:rPr>
                <w:b w:val="0"/>
                <w:bCs/>
                <w:color w:val="auto"/>
              </w:rPr>
              <w:t xml:space="preserve">Note: MM1 Support is available for 1.0 FTE training post only if the entire post </w:t>
            </w:r>
            <w:r w:rsidRPr="00B86650">
              <w:rPr>
                <w:b w:val="0"/>
                <w:bCs/>
                <w:color w:val="auto"/>
              </w:rPr>
              <w:lastRenderedPageBreak/>
              <w:t>is classified as being in “expanded” settings, defined under the STP Operational Framework as settings outside of major metropolitan public teaching hospitals. Otherwise, MM1 support to non-expanded settings (i.e., to public metropolitan hospitals) is only available for a maximum 50% (half) of a post, and maximum 33.3% (one third) of an IRTP post.</w:t>
            </w:r>
          </w:p>
          <w:p w14:paraId="79072CB8" w14:textId="3429ACBC" w:rsidR="004C441D" w:rsidRDefault="004C441D" w:rsidP="00511845">
            <w:pPr>
              <w:pStyle w:val="TableText"/>
              <w:cnfStyle w:val="000000000000" w:firstRow="0" w:lastRow="0" w:firstColumn="0" w:lastColumn="0" w:oddVBand="0" w:evenVBand="0" w:oddHBand="0" w:evenHBand="0" w:firstRowFirstColumn="0" w:firstRowLastColumn="0" w:lastRowFirstColumn="0" w:lastRowLastColumn="0"/>
            </w:pPr>
          </w:p>
          <w:p w14:paraId="45BFB137" w14:textId="25C45BEC" w:rsidR="00DC3DA5" w:rsidRPr="00BD42B9" w:rsidRDefault="00DC3DA5" w:rsidP="00511845">
            <w:pPr>
              <w:pStyle w:val="TableText"/>
              <w:cnfStyle w:val="000000000000" w:firstRow="0" w:lastRow="0" w:firstColumn="0" w:lastColumn="0" w:oddVBand="0" w:evenVBand="0" w:oddHBand="0" w:evenHBand="0" w:firstRowFirstColumn="0" w:firstRowLastColumn="0" w:lastRowFirstColumn="0" w:lastRowLastColumn="0"/>
            </w:pPr>
            <w:r w:rsidRPr="00BD42B9">
              <w:t>The following organisations are eligible to apply under the program:</w:t>
            </w:r>
          </w:p>
          <w:p w14:paraId="65FE692A" w14:textId="77777777" w:rsidR="00DC3DA5" w:rsidRPr="00130CEC" w:rsidRDefault="00DC3DA5" w:rsidP="006D0D8F">
            <w:pPr>
              <w:pStyle w:val="Tablelistnumber"/>
              <w:cnfStyle w:val="000000000000" w:firstRow="0" w:lastRow="0" w:firstColumn="0" w:lastColumn="0" w:oddVBand="0" w:evenVBand="0" w:oddHBand="0" w:evenHBand="0" w:firstRowFirstColumn="0" w:firstRowLastColumn="0" w:lastRowFirstColumn="0" w:lastRowLastColumn="0"/>
            </w:pPr>
            <w:r w:rsidRPr="00130CEC">
              <w:t>Public</w:t>
            </w:r>
            <w:r w:rsidRPr="006D0D8F">
              <w:footnoteReference w:id="2"/>
            </w:r>
            <w:r w:rsidRPr="00130CEC">
              <w:t xml:space="preserve"> and Private hospitals;</w:t>
            </w:r>
          </w:p>
          <w:p w14:paraId="6C155675" w14:textId="237712EB" w:rsidR="00DC3DA5" w:rsidRPr="00130CEC" w:rsidRDefault="00DC3DA5" w:rsidP="006D0D8F">
            <w:pPr>
              <w:pStyle w:val="Tablelistnumber"/>
              <w:cnfStyle w:val="000000000000" w:firstRow="0" w:lastRow="0" w:firstColumn="0" w:lastColumn="0" w:oddVBand="0" w:evenVBand="0" w:oddHBand="0" w:evenHBand="0" w:firstRowFirstColumn="0" w:firstRowLastColumn="0" w:lastRowFirstColumn="0" w:lastRowLastColumn="0"/>
            </w:pPr>
            <w:r w:rsidRPr="00130CEC">
              <w:t>Local Health Networks</w:t>
            </w:r>
            <w:r>
              <w:t>;</w:t>
            </w:r>
            <w:r w:rsidRPr="00130CEC">
              <w:t xml:space="preserve"> </w:t>
            </w:r>
          </w:p>
          <w:p w14:paraId="09A2BD6B" w14:textId="77777777" w:rsidR="00DC3DA5" w:rsidRPr="00130CEC" w:rsidRDefault="00DC3DA5" w:rsidP="006D0D8F">
            <w:pPr>
              <w:pStyle w:val="Tablelistnumber"/>
              <w:cnfStyle w:val="000000000000" w:firstRow="0" w:lastRow="0" w:firstColumn="0" w:lastColumn="0" w:oddVBand="0" w:evenVBand="0" w:oddHBand="0" w:evenHBand="0" w:firstRowFirstColumn="0" w:firstRowLastColumn="0" w:lastRowFirstColumn="0" w:lastRowLastColumn="0"/>
            </w:pPr>
            <w:r w:rsidRPr="00130CEC">
              <w:t>Rural, regional and remote health services;</w:t>
            </w:r>
          </w:p>
          <w:p w14:paraId="43496F8A" w14:textId="77777777" w:rsidR="00DC3DA5" w:rsidRPr="00130CEC" w:rsidRDefault="00DC3DA5" w:rsidP="006D0D8F">
            <w:pPr>
              <w:pStyle w:val="Tablelistnumber"/>
              <w:cnfStyle w:val="000000000000" w:firstRow="0" w:lastRow="0" w:firstColumn="0" w:lastColumn="0" w:oddVBand="0" w:evenVBand="0" w:oddHBand="0" w:evenHBand="0" w:firstRowFirstColumn="0" w:firstRowLastColumn="0" w:lastRowFirstColumn="0" w:lastRowLastColumn="0"/>
            </w:pPr>
            <w:r w:rsidRPr="00130CEC">
              <w:t xml:space="preserve">Private health care organisations / settings;  </w:t>
            </w:r>
          </w:p>
          <w:p w14:paraId="7348C76A" w14:textId="77777777" w:rsidR="00DC3DA5" w:rsidRPr="00130CEC" w:rsidRDefault="00DC3DA5" w:rsidP="006D0D8F">
            <w:pPr>
              <w:pStyle w:val="Tablelistnumber"/>
              <w:cnfStyle w:val="000000000000" w:firstRow="0" w:lastRow="0" w:firstColumn="0" w:lastColumn="0" w:oddVBand="0" w:evenVBand="0" w:oddHBand="0" w:evenHBand="0" w:firstRowFirstColumn="0" w:firstRowLastColumn="0" w:lastRowFirstColumn="0" w:lastRowLastColumn="0"/>
            </w:pPr>
            <w:r w:rsidRPr="00130CEC">
              <w:t>Aged Care services;</w:t>
            </w:r>
          </w:p>
          <w:p w14:paraId="4A1715E2" w14:textId="77777777" w:rsidR="00DC3DA5" w:rsidRPr="00130CEC" w:rsidRDefault="00DC3DA5" w:rsidP="006D0D8F">
            <w:pPr>
              <w:pStyle w:val="Tablelistnumber"/>
              <w:cnfStyle w:val="000000000000" w:firstRow="0" w:lastRow="0" w:firstColumn="0" w:lastColumn="0" w:oddVBand="0" w:evenVBand="0" w:oddHBand="0" w:evenHBand="0" w:firstRowFirstColumn="0" w:firstRowLastColumn="0" w:lastRowFirstColumn="0" w:lastRowLastColumn="0"/>
            </w:pPr>
            <w:r w:rsidRPr="00130CEC">
              <w:t>Aboriginal Community Controlled Health Services and Aboriginal Medical Services; and</w:t>
            </w:r>
          </w:p>
          <w:p w14:paraId="70DA8AE3" w14:textId="79067D37" w:rsidR="006F612C" w:rsidRDefault="00DC3DA5" w:rsidP="006D0D8F">
            <w:pPr>
              <w:pStyle w:val="Tablelistnumber"/>
              <w:cnfStyle w:val="000000000000" w:firstRow="0" w:lastRow="0" w:firstColumn="0" w:lastColumn="0" w:oddVBand="0" w:evenVBand="0" w:oddHBand="0" w:evenHBand="0" w:firstRowFirstColumn="0" w:firstRowLastColumn="0" w:lastRowFirstColumn="0" w:lastRowLastColumn="0"/>
            </w:pPr>
            <w:r w:rsidRPr="00130CEC">
              <w:t>Community health organisations.</w:t>
            </w:r>
          </w:p>
          <w:p w14:paraId="5C031338" w14:textId="53458A24" w:rsidR="00CE4E48" w:rsidRDefault="006F612C" w:rsidP="00511845">
            <w:pPr>
              <w:pStyle w:val="TableText"/>
              <w:cnfStyle w:val="000000000000" w:firstRow="0" w:lastRow="0" w:firstColumn="0" w:lastColumn="0" w:oddVBand="0" w:evenVBand="0" w:oddHBand="0" w:evenHBand="0" w:firstRowFirstColumn="0" w:firstRowLastColumn="0" w:lastRowFirstColumn="0" w:lastRowLastColumn="0"/>
            </w:pPr>
            <w:r w:rsidRPr="00BD42B9">
              <w:t>Funding for training posts is provided to health services as a contribution to specialist medical training (with the health service funding the remaining costs) via the relevant Specialist Medical College.</w:t>
            </w:r>
          </w:p>
        </w:tc>
        <w:tc>
          <w:tcPr>
            <w:tcW w:w="3536" w:type="dxa"/>
          </w:tcPr>
          <w:p w14:paraId="38A116FD" w14:textId="77777777" w:rsidR="006F612C" w:rsidRPr="00BD42B9" w:rsidRDefault="006F612C" w:rsidP="00511845">
            <w:pPr>
              <w:pStyle w:val="TableText"/>
              <w:cnfStyle w:val="000000000000" w:firstRow="0" w:lastRow="0" w:firstColumn="0" w:lastColumn="0" w:oddVBand="0" w:evenVBand="0" w:oddHBand="0" w:evenHBand="0" w:firstRowFirstColumn="0" w:firstRowLastColumn="0" w:lastRowFirstColumn="0" w:lastRowLastColumn="0"/>
            </w:pPr>
            <w:r w:rsidRPr="00BD42B9">
              <w:lastRenderedPageBreak/>
              <w:t>Funds are available under the STP for the following activities:</w:t>
            </w:r>
          </w:p>
          <w:p w14:paraId="54A64484" w14:textId="77777777" w:rsidR="006F612C" w:rsidRPr="00BD42B9" w:rsidRDefault="006F612C" w:rsidP="00511845">
            <w:pPr>
              <w:pStyle w:val="Tabletextleft"/>
              <w:cnfStyle w:val="000000000000" w:firstRow="0" w:lastRow="0" w:firstColumn="0" w:lastColumn="0" w:oddVBand="0" w:evenVBand="0" w:oddHBand="0" w:evenHBand="0" w:firstRowFirstColumn="0" w:firstRowLastColumn="0" w:lastRowFirstColumn="0" w:lastRowLastColumn="0"/>
            </w:pPr>
            <w:r w:rsidRPr="00BD42B9">
              <w:t>Salary support for trainees</w:t>
            </w:r>
          </w:p>
          <w:p w14:paraId="099F4D2E" w14:textId="77777777" w:rsidR="006F612C" w:rsidRPr="00A76AE1" w:rsidRDefault="006F612C" w:rsidP="006D0D8F">
            <w:pPr>
              <w:pStyle w:val="Tablelistbullet"/>
              <w:cnfStyle w:val="000000000000" w:firstRow="0" w:lastRow="0" w:firstColumn="0" w:lastColumn="0" w:oddVBand="0" w:evenVBand="0" w:oddHBand="0" w:evenHBand="0" w:firstRowFirstColumn="0" w:firstRowLastColumn="0" w:lastRowFirstColumn="0" w:lastRowLastColumn="0"/>
            </w:pPr>
            <w:r w:rsidRPr="00A76AE1">
              <w:t>$105,000 per annum (indexed annually from 2022) pro rata per FTE.</w:t>
            </w:r>
          </w:p>
          <w:p w14:paraId="761936D5" w14:textId="5E981873" w:rsidR="006F612C" w:rsidRPr="00BD42B9" w:rsidRDefault="006F612C" w:rsidP="00511845">
            <w:pPr>
              <w:pStyle w:val="Tabletextleft"/>
              <w:cnfStyle w:val="000000000000" w:firstRow="0" w:lastRow="0" w:firstColumn="0" w:lastColumn="0" w:oddVBand="0" w:evenVBand="0" w:oddHBand="0" w:evenHBand="0" w:firstRowFirstColumn="0" w:firstRowLastColumn="0" w:lastRowFirstColumn="0" w:lastRowLastColumn="0"/>
            </w:pPr>
            <w:r w:rsidRPr="00BD42B9">
              <w:t>Rural Support Loading</w:t>
            </w:r>
            <w:r w:rsidR="00CC0FB5" w:rsidRPr="00BD42B9">
              <w:t xml:space="preserve"> (RSL)</w:t>
            </w:r>
          </w:p>
          <w:p w14:paraId="4059793F" w14:textId="77777777" w:rsidR="006F612C" w:rsidRPr="00A76AE1" w:rsidRDefault="006F612C" w:rsidP="006D0D8F">
            <w:pPr>
              <w:pStyle w:val="Tablelistbullet"/>
              <w:cnfStyle w:val="000000000000" w:firstRow="0" w:lastRow="0" w:firstColumn="0" w:lastColumn="0" w:oddVBand="0" w:evenVBand="0" w:oddHBand="0" w:evenHBand="0" w:firstRowFirstColumn="0" w:firstRowLastColumn="0" w:lastRowFirstColumn="0" w:lastRowLastColumn="0"/>
            </w:pPr>
            <w:r w:rsidRPr="00A76AE1">
              <w:t>$25,000 per annum per eligible post, pro rata per FTE.</w:t>
            </w:r>
          </w:p>
          <w:p w14:paraId="1DEC4792" w14:textId="050C8D5C" w:rsidR="006F612C" w:rsidRPr="00BD42B9" w:rsidRDefault="006F612C" w:rsidP="00511845">
            <w:pPr>
              <w:pStyle w:val="Tabletextleft"/>
              <w:cnfStyle w:val="000000000000" w:firstRow="0" w:lastRow="0" w:firstColumn="0" w:lastColumn="0" w:oddVBand="0" w:evenVBand="0" w:oddHBand="0" w:evenHBand="0" w:firstRowFirstColumn="0" w:firstRowLastColumn="0" w:lastRowFirstColumn="0" w:lastRowLastColumn="0"/>
            </w:pPr>
            <w:r w:rsidRPr="00BD42B9">
              <w:t>Private Infrastructure and Clinical Supervision</w:t>
            </w:r>
            <w:r w:rsidR="00CC0FB5" w:rsidRPr="00BD42B9">
              <w:t xml:space="preserve"> (PICS)</w:t>
            </w:r>
          </w:p>
          <w:p w14:paraId="0C827134" w14:textId="77777777" w:rsidR="006F612C" w:rsidRPr="00A76AE1" w:rsidRDefault="006F612C" w:rsidP="006D0D8F">
            <w:pPr>
              <w:pStyle w:val="Tablelistbullet"/>
              <w:cnfStyle w:val="000000000000" w:firstRow="0" w:lastRow="0" w:firstColumn="0" w:lastColumn="0" w:oddVBand="0" w:evenVBand="0" w:oddHBand="0" w:evenHBand="0" w:firstRowFirstColumn="0" w:firstRowLastColumn="0" w:lastRowFirstColumn="0" w:lastRowLastColumn="0"/>
            </w:pPr>
            <w:r w:rsidRPr="00A76AE1">
              <w:t xml:space="preserve">$30,000 per annum per eligible private post, pro rata per FTE. </w:t>
            </w:r>
          </w:p>
          <w:p w14:paraId="691B9DB5" w14:textId="77777777" w:rsidR="006F612C" w:rsidRPr="00BD42B9" w:rsidRDefault="006F612C" w:rsidP="00511845">
            <w:pPr>
              <w:pStyle w:val="Tabletextleft"/>
              <w:cnfStyle w:val="000000000000" w:firstRow="0" w:lastRow="0" w:firstColumn="0" w:lastColumn="0" w:oddVBand="0" w:evenVBand="0" w:oddHBand="0" w:evenHBand="0" w:firstRowFirstColumn="0" w:firstRowLastColumn="0" w:lastRowFirstColumn="0" w:lastRowLastColumn="0"/>
            </w:pPr>
            <w:r w:rsidRPr="00BD42B9">
              <w:t>Support Projects</w:t>
            </w:r>
          </w:p>
          <w:p w14:paraId="637E2908" w14:textId="77777777" w:rsidR="006F612C" w:rsidRPr="00A76AE1" w:rsidRDefault="006F612C" w:rsidP="006D0D8F">
            <w:pPr>
              <w:pStyle w:val="Tablelistbullet"/>
              <w:cnfStyle w:val="000000000000" w:firstRow="0" w:lastRow="0" w:firstColumn="0" w:lastColumn="0" w:oddVBand="0" w:evenVBand="0" w:oddHBand="0" w:evenHBand="0" w:firstRowFirstColumn="0" w:firstRowLastColumn="0" w:lastRowFirstColumn="0" w:lastRowLastColumn="0"/>
            </w:pPr>
            <w:r w:rsidRPr="00A76AE1">
              <w:t>$100,000 base funding plus $1,210 per post per annum</w:t>
            </w:r>
            <w:r>
              <w:t>.</w:t>
            </w:r>
          </w:p>
          <w:p w14:paraId="61A3786C" w14:textId="77777777" w:rsidR="006F612C" w:rsidRPr="00BD42B9" w:rsidRDefault="006F612C" w:rsidP="00511845">
            <w:pPr>
              <w:pStyle w:val="Tabletextleft"/>
              <w:cnfStyle w:val="000000000000" w:firstRow="0" w:lastRow="0" w:firstColumn="0" w:lastColumn="0" w:oddVBand="0" w:evenVBand="0" w:oddHBand="0" w:evenHBand="0" w:firstRowFirstColumn="0" w:firstRowLastColumn="0" w:lastRowFirstColumn="0" w:lastRowLastColumn="0"/>
            </w:pPr>
            <w:r w:rsidRPr="00BD42B9">
              <w:lastRenderedPageBreak/>
              <w:t>Integrated Rural Training Pipeline</w:t>
            </w:r>
          </w:p>
          <w:p w14:paraId="574FBD18" w14:textId="77777777" w:rsidR="006F612C" w:rsidRPr="00A76AE1" w:rsidRDefault="006F612C" w:rsidP="006D0D8F">
            <w:pPr>
              <w:pStyle w:val="Tablelistbullet"/>
              <w:cnfStyle w:val="000000000000" w:firstRow="0" w:lastRow="0" w:firstColumn="0" w:lastColumn="0" w:oddVBand="0" w:evenVBand="0" w:oddHBand="0" w:evenHBand="0" w:firstRowFirstColumn="0" w:firstRowLastColumn="0" w:lastRowFirstColumn="0" w:lastRowLastColumn="0"/>
            </w:pPr>
            <w:r w:rsidRPr="00A76AE1">
              <w:t>Funding of up to $150,000 per annum (indexed annually from 2022) pro rata per FTE. Fund</w:t>
            </w:r>
            <w:r>
              <w:t>s</w:t>
            </w:r>
            <w:r w:rsidRPr="00A76AE1">
              <w:t xml:space="preserve"> can be used for IRTP salary support, RSL and PICS (if eligible). Up to 5% of funds may be retained by participating colleges to assist in IRTP post administration, subject to the agreement of the Department. </w:t>
            </w:r>
          </w:p>
          <w:p w14:paraId="5450BEE6" w14:textId="77777777" w:rsidR="006F612C" w:rsidRPr="00BD42B9" w:rsidRDefault="006F612C" w:rsidP="00511845">
            <w:pPr>
              <w:pStyle w:val="Tabletextleft"/>
              <w:cnfStyle w:val="000000000000" w:firstRow="0" w:lastRow="0" w:firstColumn="0" w:lastColumn="0" w:oddVBand="0" w:evenVBand="0" w:oddHBand="0" w:evenHBand="0" w:firstRowFirstColumn="0" w:firstRowLastColumn="0" w:lastRowFirstColumn="0" w:lastRowLastColumn="0"/>
            </w:pPr>
            <w:r w:rsidRPr="00BD42B9">
              <w:t>Tasmanian Project</w:t>
            </w:r>
          </w:p>
          <w:p w14:paraId="7D052CD2" w14:textId="6BE73642" w:rsidR="006F612C" w:rsidRPr="006B296B" w:rsidRDefault="006F612C" w:rsidP="006D0D8F">
            <w:pPr>
              <w:pStyle w:val="Tablelistbullet"/>
              <w:cnfStyle w:val="000000000000" w:firstRow="0" w:lastRow="0" w:firstColumn="0" w:lastColumn="0" w:oddVBand="0" w:evenVBand="0" w:oddHBand="0" w:evenHBand="0" w:firstRowFirstColumn="0" w:firstRowLastColumn="0" w:lastRowFirstColumn="0" w:lastRowLastColumn="0"/>
            </w:pPr>
            <w:r w:rsidRPr="00A76AE1">
              <w:t xml:space="preserve">Indexed annually, pro rata per FTE. </w:t>
            </w:r>
          </w:p>
        </w:tc>
      </w:tr>
      <w:tr w:rsidR="00E14CA3" w:rsidRPr="00984C59" w14:paraId="56F4645A" w14:textId="77777777" w:rsidTr="00BD42B9">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6E6E6" w:themeFill="background2"/>
          </w:tcPr>
          <w:p w14:paraId="3EA83B36" w14:textId="1DC81242" w:rsidR="00E14CA3" w:rsidRPr="00D84453" w:rsidRDefault="00E14CA3" w:rsidP="00D84453">
            <w:pPr>
              <w:pStyle w:val="Heading1"/>
              <w:rPr>
                <w:color w:val="auto"/>
                <w:sz w:val="28"/>
                <w:szCs w:val="28"/>
              </w:rPr>
            </w:pPr>
            <w:bookmarkStart w:id="7" w:name="_Toc146873888"/>
            <w:bookmarkStart w:id="8" w:name="_Toc209427954"/>
            <w:r w:rsidRPr="00D84453">
              <w:rPr>
                <w:color w:val="auto"/>
                <w:sz w:val="28"/>
                <w:szCs w:val="28"/>
              </w:rPr>
              <w:lastRenderedPageBreak/>
              <w:t>General Practice Incentives and Support</w:t>
            </w:r>
            <w:bookmarkEnd w:id="7"/>
            <w:bookmarkEnd w:id="8"/>
          </w:p>
        </w:tc>
      </w:tr>
      <w:bookmarkStart w:id="9" w:name="_Hlk129352872"/>
      <w:tr w:rsidR="00D218F9" w:rsidRPr="00984C59" w14:paraId="54880B5D" w14:textId="77777777" w:rsidTr="00CB4A9B">
        <w:tc>
          <w:tcPr>
            <w:cnfStyle w:val="001000000000" w:firstRow="0" w:lastRow="0" w:firstColumn="1" w:lastColumn="0" w:oddVBand="0" w:evenVBand="0" w:oddHBand="0" w:evenHBand="0" w:firstRowFirstColumn="0" w:firstRowLastColumn="0" w:lastRowFirstColumn="0" w:lastRowLastColumn="0"/>
            <w:tcW w:w="1696" w:type="dxa"/>
          </w:tcPr>
          <w:p w14:paraId="27D36ECD" w14:textId="1C6768FB" w:rsidR="00E14CA3" w:rsidRPr="00856D4B" w:rsidRDefault="00E14CA3" w:rsidP="00E14CA3">
            <w:pPr>
              <w:rPr>
                <w:b w:val="0"/>
                <w:bCs w:val="0"/>
              </w:rPr>
            </w:pPr>
            <w:r w:rsidRPr="00856D4B">
              <w:fldChar w:fldCharType="begin"/>
            </w:r>
            <w:r w:rsidR="00BF2009" w:rsidRPr="00856D4B">
              <w:rPr>
                <w:b w:val="0"/>
                <w:bCs w:val="0"/>
              </w:rPr>
              <w:instrText>HYPERLINK "https://www.health.gov.au/our-work/workforce-incentive-program/practice-stream"</w:instrText>
            </w:r>
            <w:r w:rsidRPr="00856D4B">
              <w:fldChar w:fldCharType="separate"/>
            </w:r>
            <w:r w:rsidRPr="00856D4B">
              <w:rPr>
                <w:rStyle w:val="Hyperlink"/>
                <w:b w:val="0"/>
                <w:bCs w:val="0"/>
              </w:rPr>
              <w:t>Workforce Incentive Program (WIP) – Practice Stream</w:t>
            </w:r>
            <w:r w:rsidRPr="00856D4B">
              <w:rPr>
                <w:rStyle w:val="Hyperlink"/>
              </w:rPr>
              <w:fldChar w:fldCharType="end"/>
            </w:r>
          </w:p>
        </w:tc>
        <w:tc>
          <w:tcPr>
            <w:tcW w:w="3828" w:type="dxa"/>
          </w:tcPr>
          <w:p w14:paraId="754E7C3F" w14:textId="5B1254E7" w:rsidR="00E14CA3" w:rsidRPr="00BA70BC" w:rsidRDefault="00E14CA3" w:rsidP="00E14CA3">
            <w:pPr>
              <w:cnfStyle w:val="000000000000" w:firstRow="0" w:lastRow="0" w:firstColumn="0" w:lastColumn="0" w:oddVBand="0" w:evenVBand="0" w:oddHBand="0" w:evenHBand="0" w:firstRowFirstColumn="0" w:firstRowLastColumn="0" w:lastRowFirstColumn="0" w:lastRowLastColumn="0"/>
            </w:pPr>
            <w:r w:rsidRPr="00BA70BC">
              <w:t>The WIP</w:t>
            </w:r>
            <w:r w:rsidR="00D21EE2">
              <w:t>-</w:t>
            </w:r>
            <w:r w:rsidRPr="00BA70BC">
              <w:t xml:space="preserve">Practice Stream provides financial incentives to support general practices </w:t>
            </w:r>
            <w:r w:rsidR="00364784">
              <w:t xml:space="preserve">with the cost of </w:t>
            </w:r>
            <w:r w:rsidR="00AB47A1">
              <w:t xml:space="preserve">engaging </w:t>
            </w:r>
            <w:r w:rsidR="00AB47A1" w:rsidRPr="00BA70BC">
              <w:t>nurses</w:t>
            </w:r>
            <w:r w:rsidRPr="00BA70BC">
              <w:t>,</w:t>
            </w:r>
            <w:r w:rsidR="008612D2">
              <w:t xml:space="preserve"> midwives,</w:t>
            </w:r>
            <w:r w:rsidRPr="00BA70BC">
              <w:t xml:space="preserve"> Aboriginal and Torres Strait Islander </w:t>
            </w:r>
            <w:r w:rsidR="008612D2">
              <w:t>h</w:t>
            </w:r>
            <w:r w:rsidRPr="00BA70BC">
              <w:t xml:space="preserve">ealth </w:t>
            </w:r>
            <w:r w:rsidR="008612D2">
              <w:t>p</w:t>
            </w:r>
            <w:r w:rsidRPr="00BA70BC">
              <w:t xml:space="preserve">ractitioners and Health </w:t>
            </w:r>
            <w:r w:rsidR="008612D2">
              <w:t>w</w:t>
            </w:r>
            <w:r w:rsidRPr="00BA70BC">
              <w:t>orkers, and eligible allied health professionals in MM</w:t>
            </w:r>
            <w:r w:rsidR="00F74C80">
              <w:t> </w:t>
            </w:r>
            <w:r w:rsidRPr="00BA70BC">
              <w:t>1-7</w:t>
            </w:r>
            <w:r w:rsidR="001513B0">
              <w:t xml:space="preserve"> locations</w:t>
            </w:r>
            <w:r w:rsidRPr="00BA70BC">
              <w:t xml:space="preserve">. </w:t>
            </w:r>
          </w:p>
        </w:tc>
        <w:tc>
          <w:tcPr>
            <w:tcW w:w="3536" w:type="dxa"/>
          </w:tcPr>
          <w:p w14:paraId="5F016B8E" w14:textId="01E15E58" w:rsidR="00E14CA3" w:rsidRPr="00BA70BC" w:rsidRDefault="00E14CA3" w:rsidP="00E14CA3">
            <w:pPr>
              <w:cnfStyle w:val="000000000000" w:firstRow="0" w:lastRow="0" w:firstColumn="0" w:lastColumn="0" w:oddVBand="0" w:evenVBand="0" w:oddHBand="0" w:evenHBand="0" w:firstRowFirstColumn="0" w:firstRowLastColumn="0" w:lastRowFirstColumn="0" w:lastRowLastColumn="0"/>
            </w:pPr>
            <w:r w:rsidRPr="00BA70BC">
              <w:t xml:space="preserve">Up to </w:t>
            </w:r>
            <w:r w:rsidR="00037277" w:rsidRPr="00037277">
              <w:t>$137,375.60</w:t>
            </w:r>
            <w:r w:rsidR="00037277">
              <w:t xml:space="preserve"> </w:t>
            </w:r>
            <w:r w:rsidRPr="00BA70BC">
              <w:t>per annum for a single practice.</w:t>
            </w:r>
            <w:r w:rsidRPr="00D22D18">
              <w:t xml:space="preserve"> </w:t>
            </w:r>
          </w:p>
        </w:tc>
      </w:tr>
      <w:bookmarkEnd w:id="9"/>
      <w:tr w:rsidR="00D218F9" w:rsidRPr="00984C59" w14:paraId="3CA0C448" w14:textId="77777777" w:rsidTr="00CB4A9B">
        <w:tc>
          <w:tcPr>
            <w:cnfStyle w:val="001000000000" w:firstRow="0" w:lastRow="0" w:firstColumn="1" w:lastColumn="0" w:oddVBand="0" w:evenVBand="0" w:oddHBand="0" w:evenHBand="0" w:firstRowFirstColumn="0" w:firstRowLastColumn="0" w:lastRowFirstColumn="0" w:lastRowLastColumn="0"/>
            <w:tcW w:w="1696" w:type="dxa"/>
          </w:tcPr>
          <w:p w14:paraId="6BC0317F" w14:textId="0019AACC" w:rsidR="00E14CA3" w:rsidRPr="00856D4B" w:rsidRDefault="00E14CA3" w:rsidP="00E14CA3">
            <w:pPr>
              <w:rPr>
                <w:b w:val="0"/>
                <w:bCs w:val="0"/>
              </w:rPr>
            </w:pPr>
            <w:r w:rsidRPr="00856D4B">
              <w:lastRenderedPageBreak/>
              <w:fldChar w:fldCharType="begin"/>
            </w:r>
            <w:r w:rsidR="00007E8C" w:rsidRPr="00856D4B">
              <w:rPr>
                <w:b w:val="0"/>
                <w:bCs w:val="0"/>
              </w:rPr>
              <w:instrText>HYPERLINK "https://www.servicesaustralia.gov.au/practice-incentives-program?contexthttps://www.servicesaustralia.gov.au/practice-incentives-program?context=20"</w:instrText>
            </w:r>
            <w:r w:rsidRPr="00856D4B">
              <w:fldChar w:fldCharType="separate"/>
            </w:r>
            <w:r w:rsidRPr="00856D4B">
              <w:rPr>
                <w:rStyle w:val="Hyperlink"/>
                <w:b w:val="0"/>
                <w:bCs w:val="0"/>
              </w:rPr>
              <w:t>Practice Incentives Program (PIP)</w:t>
            </w:r>
            <w:r w:rsidRPr="00856D4B">
              <w:rPr>
                <w:rStyle w:val="Hyperlink"/>
              </w:rPr>
              <w:fldChar w:fldCharType="end"/>
            </w:r>
          </w:p>
        </w:tc>
        <w:tc>
          <w:tcPr>
            <w:tcW w:w="3828" w:type="dxa"/>
          </w:tcPr>
          <w:p w14:paraId="56812D89" w14:textId="5A2BDBE1" w:rsidR="00E14CA3" w:rsidRDefault="00E14CA3" w:rsidP="00E14CA3">
            <w:pPr>
              <w:cnfStyle w:val="000000000000" w:firstRow="0" w:lastRow="0" w:firstColumn="0" w:lastColumn="0" w:oddVBand="0" w:evenVBand="0" w:oddHBand="0" w:evenHBand="0" w:firstRowFirstColumn="0" w:firstRowLastColumn="0" w:lastRowFirstColumn="0" w:lastRowLastColumn="0"/>
            </w:pPr>
            <w:r w:rsidRPr="00BA70BC">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w:t>
            </w:r>
          </w:p>
          <w:p w14:paraId="28CD4329" w14:textId="4393D003" w:rsidR="00E14CA3" w:rsidRPr="00BA70BC" w:rsidRDefault="00E14CA3" w:rsidP="00E14CA3">
            <w:pPr>
              <w:cnfStyle w:val="000000000000" w:firstRow="0" w:lastRow="0" w:firstColumn="0" w:lastColumn="0" w:oddVBand="0" w:evenVBand="0" w:oddHBand="0" w:evenHBand="0" w:firstRowFirstColumn="0" w:firstRowLastColumn="0" w:lastRowFirstColumn="0" w:lastRowLastColumn="0"/>
            </w:pPr>
            <w:r w:rsidRPr="00BA70BC">
              <w:t xml:space="preserve">The current </w:t>
            </w:r>
            <w:r w:rsidR="00692119">
              <w:t>seven</w:t>
            </w:r>
            <w:r w:rsidRPr="00BA70BC">
              <w:t xml:space="preserve"> incentives under the PIP</w:t>
            </w:r>
            <w:r>
              <w:t xml:space="preserve"> include</w:t>
            </w:r>
            <w:r w:rsidRPr="00BA70BC">
              <w:t>:</w:t>
            </w:r>
          </w:p>
          <w:p w14:paraId="65963FDA" w14:textId="02AFA0BD" w:rsidR="00E14CA3" w:rsidRPr="006D0D8F" w:rsidRDefault="00E14CA3" w:rsidP="006D0D8F">
            <w:pPr>
              <w:pStyle w:val="Tablelistbullet"/>
              <w:cnfStyle w:val="000000000000" w:firstRow="0" w:lastRow="0" w:firstColumn="0" w:lastColumn="0" w:oddVBand="0" w:evenVBand="0" w:oddHBand="0" w:evenHBand="0" w:firstRowFirstColumn="0" w:firstRowLastColumn="0" w:lastRowFirstColumn="0" w:lastRowLastColumn="0"/>
            </w:pPr>
            <w:r w:rsidRPr="00361692">
              <w:t>eHealth</w:t>
            </w:r>
          </w:p>
          <w:p w14:paraId="501C84BB" w14:textId="26B625EA" w:rsidR="00E14CA3" w:rsidRPr="006D0D8F" w:rsidRDefault="00E14CA3" w:rsidP="006D0D8F">
            <w:pPr>
              <w:pStyle w:val="Tablelistbullet"/>
              <w:cnfStyle w:val="000000000000" w:firstRow="0" w:lastRow="0" w:firstColumn="0" w:lastColumn="0" w:oddVBand="0" w:evenVBand="0" w:oddHBand="0" w:evenHBand="0" w:firstRowFirstColumn="0" w:firstRowLastColumn="0" w:lastRowFirstColumn="0" w:lastRowLastColumn="0"/>
            </w:pPr>
            <w:r w:rsidRPr="006D0D8F">
              <w:t>Teaching Payment</w:t>
            </w:r>
          </w:p>
          <w:p w14:paraId="711CE168" w14:textId="34D93EC7" w:rsidR="00E14CA3" w:rsidRPr="006D0D8F" w:rsidRDefault="00E14CA3" w:rsidP="006D0D8F">
            <w:pPr>
              <w:pStyle w:val="Tablelistbullet"/>
              <w:cnfStyle w:val="000000000000" w:firstRow="0" w:lastRow="0" w:firstColumn="0" w:lastColumn="0" w:oddVBand="0" w:evenVBand="0" w:oddHBand="0" w:evenHBand="0" w:firstRowFirstColumn="0" w:firstRowLastColumn="0" w:lastRowFirstColumn="0" w:lastRowLastColumn="0"/>
            </w:pPr>
            <w:r w:rsidRPr="006D0D8F">
              <w:t>Indigenous Health (IHI)</w:t>
            </w:r>
          </w:p>
          <w:p w14:paraId="32994970" w14:textId="71EDD9F8" w:rsidR="00E14CA3" w:rsidRPr="006D0D8F" w:rsidRDefault="00E14CA3" w:rsidP="006D0D8F">
            <w:pPr>
              <w:pStyle w:val="Tablelistbullet"/>
              <w:cnfStyle w:val="000000000000" w:firstRow="0" w:lastRow="0" w:firstColumn="0" w:lastColumn="0" w:oddVBand="0" w:evenVBand="0" w:oddHBand="0" w:evenHBand="0" w:firstRowFirstColumn="0" w:firstRowLastColumn="0" w:lastRowFirstColumn="0" w:lastRowLastColumn="0"/>
            </w:pPr>
            <w:r w:rsidRPr="006D0D8F">
              <w:t>Procedural General Practitioner Payment</w:t>
            </w:r>
          </w:p>
          <w:p w14:paraId="3DA31372" w14:textId="4CCFFC99" w:rsidR="00E14CA3" w:rsidRPr="006D0D8F" w:rsidRDefault="00E14CA3" w:rsidP="006D0D8F">
            <w:pPr>
              <w:pStyle w:val="Tablelistbullet"/>
              <w:cnfStyle w:val="000000000000" w:firstRow="0" w:lastRow="0" w:firstColumn="0" w:lastColumn="0" w:oddVBand="0" w:evenVBand="0" w:oddHBand="0" w:evenHBand="0" w:firstRowFirstColumn="0" w:firstRowLastColumn="0" w:lastRowFirstColumn="0" w:lastRowLastColumn="0"/>
            </w:pPr>
            <w:r w:rsidRPr="006D0D8F">
              <w:t>After Hours</w:t>
            </w:r>
          </w:p>
          <w:p w14:paraId="342DDA60" w14:textId="621A5D03" w:rsidR="00E14CA3" w:rsidRPr="00361692" w:rsidRDefault="00E14CA3" w:rsidP="006D0D8F">
            <w:pPr>
              <w:pStyle w:val="Tablelistbullet"/>
              <w:cnfStyle w:val="000000000000" w:firstRow="0" w:lastRow="0" w:firstColumn="0" w:lastColumn="0" w:oddVBand="0" w:evenVBand="0" w:oddHBand="0" w:evenHBand="0" w:firstRowFirstColumn="0" w:firstRowLastColumn="0" w:lastRowFirstColumn="0" w:lastRowLastColumn="0"/>
            </w:pPr>
            <w:r w:rsidRPr="006D0D8F">
              <w:t>Quality Improvement (</w:t>
            </w:r>
            <w:r w:rsidRPr="00361692">
              <w:t>PIPQI) and</w:t>
            </w:r>
          </w:p>
          <w:p w14:paraId="4737D1AB" w14:textId="3301156C" w:rsidR="00E14CA3" w:rsidRPr="006D0D8F" w:rsidRDefault="00E14CA3" w:rsidP="006D0D8F">
            <w:pPr>
              <w:pStyle w:val="Tablelistbullet"/>
              <w:cnfStyle w:val="000000000000" w:firstRow="0" w:lastRow="0" w:firstColumn="0" w:lastColumn="0" w:oddVBand="0" w:evenVBand="0" w:oddHBand="0" w:evenHBand="0" w:firstRowFirstColumn="0" w:firstRowLastColumn="0" w:lastRowFirstColumn="0" w:lastRowLastColumn="0"/>
            </w:pPr>
            <w:r w:rsidRPr="006D0D8F">
              <w:t>Rural Loading</w:t>
            </w:r>
            <w:r w:rsidR="00E0770F" w:rsidRPr="006D0D8F">
              <w:t>: To be eligible</w:t>
            </w:r>
            <w:r w:rsidR="00BB07DB" w:rsidRPr="006D0D8F">
              <w:t xml:space="preserve"> for rural loading</w:t>
            </w:r>
            <w:r w:rsidR="00E0770F" w:rsidRPr="006D0D8F">
              <w:t>, the main practice must be located in RRMA 3-7 (rural and remote zones). The rural loading is automaticall</w:t>
            </w:r>
            <w:r w:rsidR="00C15542" w:rsidRPr="006D0D8F">
              <w:t xml:space="preserve">y applied to PIP payments. </w:t>
            </w:r>
            <w:r w:rsidRPr="006D0D8F">
              <w:t xml:space="preserve"> </w:t>
            </w:r>
          </w:p>
        </w:tc>
        <w:tc>
          <w:tcPr>
            <w:tcW w:w="3536" w:type="dxa"/>
          </w:tcPr>
          <w:p w14:paraId="759F82E4" w14:textId="77777777" w:rsidR="00E14CA3" w:rsidRPr="00BA70BC" w:rsidRDefault="00E14CA3" w:rsidP="00E14CA3">
            <w:pPr>
              <w:cnfStyle w:val="000000000000" w:firstRow="0" w:lastRow="0" w:firstColumn="0" w:lastColumn="0" w:oddVBand="0" w:evenVBand="0" w:oddHBand="0" w:evenHBand="0" w:firstRowFirstColumn="0" w:firstRowLastColumn="0" w:lastRowFirstColumn="0" w:lastRowLastColumn="0"/>
            </w:pPr>
            <w:r w:rsidRPr="00BA70BC">
              <w:t>For further information on incentives and payments, please refer to individual Guidelines available at:</w:t>
            </w:r>
          </w:p>
          <w:p w14:paraId="036D6E07" w14:textId="77777777" w:rsidR="00E14CA3" w:rsidRPr="00BA70BC" w:rsidRDefault="00E14CA3" w:rsidP="00E14CA3">
            <w:pPr>
              <w:cnfStyle w:val="000000000000" w:firstRow="0" w:lastRow="0" w:firstColumn="0" w:lastColumn="0" w:oddVBand="0" w:evenVBand="0" w:oddHBand="0" w:evenHBand="0" w:firstRowFirstColumn="0" w:firstRowLastColumn="0" w:lastRowFirstColumn="0" w:lastRowLastColumn="0"/>
              <w:rPr>
                <w:rStyle w:val="Hyperlink"/>
              </w:rPr>
            </w:pPr>
            <w:r w:rsidRPr="00BA70BC">
              <w:fldChar w:fldCharType="begin"/>
            </w:r>
            <w:r w:rsidRPr="00BA70BC">
              <w:instrText xml:space="preserve"> HYPERLINK "https://www.servicesaustralia.gov.au/practice-incentives-program" </w:instrText>
            </w:r>
            <w:r w:rsidRPr="00BA70BC">
              <w:fldChar w:fldCharType="separate"/>
            </w:r>
            <w:r w:rsidRPr="00BA70BC">
              <w:rPr>
                <w:rStyle w:val="Hyperlink"/>
              </w:rPr>
              <w:t>Practice Incentives Program.</w:t>
            </w:r>
          </w:p>
          <w:p w14:paraId="437362C4" w14:textId="1822A623" w:rsidR="00E14CA3" w:rsidRDefault="00E14CA3" w:rsidP="00E14CA3">
            <w:pPr>
              <w:cnfStyle w:val="000000000000" w:firstRow="0" w:lastRow="0" w:firstColumn="0" w:lastColumn="0" w:oddVBand="0" w:evenVBand="0" w:oddHBand="0" w:evenHBand="0" w:firstRowFirstColumn="0" w:firstRowLastColumn="0" w:lastRowFirstColumn="0" w:lastRowLastColumn="0"/>
            </w:pPr>
            <w:r w:rsidRPr="00BA70BC">
              <w:fldChar w:fldCharType="end"/>
            </w:r>
          </w:p>
        </w:tc>
      </w:tr>
      <w:tr w:rsidR="00D218F9" w:rsidRPr="00984C59" w14:paraId="1AF7EBD4" w14:textId="77777777" w:rsidTr="00CB4A9B">
        <w:tc>
          <w:tcPr>
            <w:cnfStyle w:val="001000000000" w:firstRow="0" w:lastRow="0" w:firstColumn="1" w:lastColumn="0" w:oddVBand="0" w:evenVBand="0" w:oddHBand="0" w:evenHBand="0" w:firstRowFirstColumn="0" w:firstRowLastColumn="0" w:lastRowFirstColumn="0" w:lastRowLastColumn="0"/>
            <w:tcW w:w="1696" w:type="dxa"/>
          </w:tcPr>
          <w:p w14:paraId="36462518" w14:textId="0D26EF97" w:rsidR="00E14CA3" w:rsidRPr="00856D4B" w:rsidRDefault="00E14CA3" w:rsidP="00E14CA3">
            <w:pPr>
              <w:rPr>
                <w:b w:val="0"/>
                <w:bCs w:val="0"/>
              </w:rPr>
            </w:pPr>
            <w:hyperlink r:id="rId18" w:history="1">
              <w:r w:rsidRPr="00856D4B">
                <w:rPr>
                  <w:rStyle w:val="Hyperlink"/>
                  <w:b w:val="0"/>
                  <w:bCs w:val="0"/>
                </w:rPr>
                <w:t>Bulk Billing Incentive</w:t>
              </w:r>
            </w:hyperlink>
            <w:r w:rsidR="00D21EE2" w:rsidRPr="00856D4B">
              <w:rPr>
                <w:rStyle w:val="Hyperlink"/>
                <w:b w:val="0"/>
                <w:bCs w:val="0"/>
              </w:rPr>
              <w:t xml:space="preserve"> (BBI)</w:t>
            </w:r>
          </w:p>
        </w:tc>
        <w:tc>
          <w:tcPr>
            <w:tcW w:w="3828" w:type="dxa"/>
          </w:tcPr>
          <w:p w14:paraId="1181E09E" w14:textId="6498F00C" w:rsidR="008D64F7" w:rsidRDefault="00012E85" w:rsidP="00012E85">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Bulk billing incentives</w:t>
            </w:r>
            <w:r w:rsidR="00D21EE2">
              <w:rPr>
                <w:rFonts w:cstheme="minorHAnsi"/>
              </w:rPr>
              <w:t xml:space="preserve"> (BBI)</w:t>
            </w:r>
            <w:r>
              <w:rPr>
                <w:rFonts w:cstheme="minorHAnsi"/>
              </w:rPr>
              <w:t xml:space="preserve"> are </w:t>
            </w:r>
            <w:r w:rsidR="00FA7F9F">
              <w:t>MBS payments</w:t>
            </w:r>
            <w:r w:rsidR="00FA7F9F">
              <w:rPr>
                <w:rFonts w:cstheme="minorHAnsi"/>
              </w:rPr>
              <w:t xml:space="preserve"> </w:t>
            </w:r>
            <w:r>
              <w:rPr>
                <w:rFonts w:cstheme="minorHAnsi"/>
              </w:rPr>
              <w:t xml:space="preserve">to medical practitioners who provide bulk billed services to people with </w:t>
            </w:r>
            <w:r w:rsidR="00845646">
              <w:rPr>
                <w:rFonts w:cstheme="minorHAnsi"/>
              </w:rPr>
              <w:t xml:space="preserve">a Commonwealth </w:t>
            </w:r>
            <w:r>
              <w:rPr>
                <w:rFonts w:cstheme="minorHAnsi"/>
              </w:rPr>
              <w:t>concession card and children under 16 years of age.</w:t>
            </w:r>
          </w:p>
          <w:p w14:paraId="6CA0BF79" w14:textId="007221E7" w:rsidR="00012E85" w:rsidRDefault="00154FF6" w:rsidP="00012E85">
            <w:pPr>
              <w:cnfStyle w:val="000000000000" w:firstRow="0" w:lastRow="0" w:firstColumn="0" w:lastColumn="0" w:oddVBand="0" w:evenVBand="0" w:oddHBand="0" w:evenHBand="0" w:firstRowFirstColumn="0" w:firstRowLastColumn="0" w:lastRowFirstColumn="0" w:lastRowLastColumn="0"/>
              <w:rPr>
                <w:rFonts w:cstheme="minorHAnsi"/>
              </w:rPr>
            </w:pPr>
            <w:r>
              <w:t xml:space="preserve">From 1 November 2025 </w:t>
            </w:r>
            <w:r w:rsidR="00EF38F4">
              <w:t>eligibility</w:t>
            </w:r>
            <w:r>
              <w:t xml:space="preserve"> will be expanded to include all </w:t>
            </w:r>
            <w:r w:rsidR="00EF38F4">
              <w:t>Medicare-eligible patients</w:t>
            </w:r>
            <w:r w:rsidR="008D64F7">
              <w:t>. This is part of the Government's $7.9 billion investment</w:t>
            </w:r>
            <w:r w:rsidR="00C17D46">
              <w:t>, which also includes establishment of the Bulk Billing Practice Incentive Program,</w:t>
            </w:r>
            <w:r w:rsidR="008D64F7">
              <w:t xml:space="preserve"> to improve access to bulk billed services</w:t>
            </w:r>
            <w:r w:rsidR="00C17D46">
              <w:t>.</w:t>
            </w:r>
          </w:p>
          <w:p w14:paraId="6DDE7F2A" w14:textId="5A3DDC7E" w:rsidR="00012E85" w:rsidRDefault="001F7A08" w:rsidP="00012E85">
            <w:pPr>
              <w:cnfStyle w:val="000000000000" w:firstRow="0" w:lastRow="0" w:firstColumn="0" w:lastColumn="0" w:oddVBand="0" w:evenVBand="0" w:oddHBand="0" w:evenHBand="0" w:firstRowFirstColumn="0" w:firstRowLastColumn="0" w:lastRowFirstColumn="0" w:lastRowLastColumn="0"/>
              <w:rPr>
                <w:rFonts w:cstheme="minorHAnsi"/>
              </w:rPr>
            </w:pPr>
            <w:r>
              <w:t>Since</w:t>
            </w:r>
            <w:r w:rsidR="00012E85">
              <w:rPr>
                <w:rFonts w:cstheme="minorHAnsi"/>
              </w:rPr>
              <w:t xml:space="preserve"> 1 November 2023, the BBI rate </w:t>
            </w:r>
            <w:r w:rsidR="00DB2865">
              <w:rPr>
                <w:rFonts w:cstheme="minorHAnsi"/>
              </w:rPr>
              <w:t xml:space="preserve">has been </w:t>
            </w:r>
            <w:r w:rsidR="00012E85">
              <w:rPr>
                <w:rFonts w:cstheme="minorHAnsi"/>
              </w:rPr>
              <w:t>triple</w:t>
            </w:r>
            <w:r w:rsidR="00A83758">
              <w:rPr>
                <w:rFonts w:cstheme="minorHAnsi"/>
              </w:rPr>
              <w:t>d</w:t>
            </w:r>
            <w:r w:rsidR="00012E85">
              <w:rPr>
                <w:rFonts w:cstheme="minorHAnsi"/>
              </w:rPr>
              <w:t xml:space="preserve"> for a range of general practice consultation items. These include:</w:t>
            </w:r>
          </w:p>
          <w:p w14:paraId="0BC151FE" w14:textId="53CE09EE" w:rsidR="00012E85" w:rsidRDefault="00012E85" w:rsidP="006D0D8F">
            <w:pPr>
              <w:pStyle w:val="Tablelistbullet"/>
              <w:cnfStyle w:val="000000000000" w:firstRow="0" w:lastRow="0" w:firstColumn="0" w:lastColumn="0" w:oddVBand="0" w:evenVBand="0" w:oddHBand="0" w:evenHBand="0" w:firstRowFirstColumn="0" w:firstRowLastColumn="0" w:lastRowFirstColumn="0" w:lastRowLastColumn="0"/>
            </w:pPr>
            <w:r>
              <w:t>All face-to-face general attendance consultations that are</w:t>
            </w:r>
            <w:r w:rsidR="00D21EE2">
              <w:t>:</w:t>
            </w:r>
          </w:p>
          <w:p w14:paraId="127327C3" w14:textId="13CC0D82" w:rsidR="00012E85" w:rsidRDefault="00012E85" w:rsidP="006D0D8F">
            <w:pPr>
              <w:pStyle w:val="Tablelistbullet2"/>
              <w:cnfStyle w:val="000000000000" w:firstRow="0" w:lastRow="0" w:firstColumn="0" w:lastColumn="0" w:oddVBand="0" w:evenVBand="0" w:oddHBand="0" w:evenHBand="0" w:firstRowFirstColumn="0" w:firstRowLastColumn="0" w:lastRowFirstColumn="0" w:lastRowLastColumn="0"/>
            </w:pPr>
            <w:r>
              <w:lastRenderedPageBreak/>
              <w:t>longer than 6 minutes (that is Levels B, C, D and E)</w:t>
            </w:r>
            <w:r w:rsidR="00D21EE2">
              <w:t>,</w:t>
            </w:r>
          </w:p>
          <w:p w14:paraId="66C916F0" w14:textId="63001B1C" w:rsidR="00012E85" w:rsidRDefault="00012E85" w:rsidP="006D0D8F">
            <w:pPr>
              <w:pStyle w:val="Tablelistbullet2"/>
              <w:cnfStyle w:val="000000000000" w:firstRow="0" w:lastRow="0" w:firstColumn="0" w:lastColumn="0" w:oddVBand="0" w:evenVBand="0" w:oddHBand="0" w:evenHBand="0" w:firstRowFirstColumn="0" w:firstRowLastColumn="0" w:lastRowFirstColumn="0" w:lastRowLastColumn="0"/>
            </w:pPr>
            <w:r>
              <w:t>in any location (in and out of consulting rooms, residential aged care facilities)</w:t>
            </w:r>
            <w:r w:rsidR="00D21EE2">
              <w:t>,</w:t>
            </w:r>
            <w:r w:rsidR="00E13191">
              <w:t xml:space="preserve"> and</w:t>
            </w:r>
          </w:p>
          <w:p w14:paraId="4B81F0BE" w14:textId="63BCC8B4" w:rsidR="00012E85" w:rsidRDefault="00012E85" w:rsidP="006D0D8F">
            <w:pPr>
              <w:pStyle w:val="Tablelistbullet2"/>
              <w:cnfStyle w:val="000000000000" w:firstRow="0" w:lastRow="0" w:firstColumn="0" w:lastColumn="0" w:oddVBand="0" w:evenVBand="0" w:oddHBand="0" w:evenHBand="0" w:firstRowFirstColumn="0" w:firstRowLastColumn="0" w:lastRowFirstColumn="0" w:lastRowLastColumn="0"/>
            </w:pPr>
            <w:r>
              <w:t>at any time (business and after-hours items)</w:t>
            </w:r>
            <w:r w:rsidR="00D21EE2">
              <w:t>.</w:t>
            </w:r>
          </w:p>
          <w:p w14:paraId="52FD9704" w14:textId="32BFB05C" w:rsidR="00012E85" w:rsidRPr="006D0D8F" w:rsidRDefault="00012E85" w:rsidP="006D0D8F">
            <w:pPr>
              <w:pStyle w:val="Tablelistbullet"/>
              <w:cnfStyle w:val="000000000000" w:firstRow="0" w:lastRow="0" w:firstColumn="0" w:lastColumn="0" w:oddVBand="0" w:evenVBand="0" w:oddHBand="0" w:evenHBand="0" w:firstRowFirstColumn="0" w:firstRowLastColumn="0" w:lastRowFirstColumn="0" w:lastRowLastColumn="0"/>
            </w:pPr>
            <w:r>
              <w:t xml:space="preserve">MBS Level </w:t>
            </w:r>
            <w:r w:rsidRPr="006D0D8F">
              <w:t>B video and telephone</w:t>
            </w:r>
            <w:r w:rsidR="00EE3A35">
              <w:t xml:space="preserve"> </w:t>
            </w:r>
            <w:r w:rsidRPr="006D0D8F">
              <w:t>general attendance consultations</w:t>
            </w:r>
            <w:r w:rsidR="00E13191">
              <w:t>.</w:t>
            </w:r>
          </w:p>
          <w:p w14:paraId="6597672B" w14:textId="5DA30151" w:rsidR="00012E85" w:rsidRDefault="00012E85" w:rsidP="006D0D8F">
            <w:pPr>
              <w:pStyle w:val="Tablelistbullet"/>
              <w:cnfStyle w:val="000000000000" w:firstRow="0" w:lastRow="0" w:firstColumn="0" w:lastColumn="0" w:oddVBand="0" w:evenVBand="0" w:oddHBand="0" w:evenHBand="0" w:firstRowFirstColumn="0" w:firstRowLastColumn="0" w:lastRowFirstColumn="0" w:lastRowLastColumn="0"/>
            </w:pPr>
            <w:r w:rsidRPr="006D0D8F">
              <w:t>Video and telephone</w:t>
            </w:r>
            <w:r>
              <w:t xml:space="preserve"> consultations that are</w:t>
            </w:r>
            <w:r w:rsidR="00D21EE2">
              <w:t>:</w:t>
            </w:r>
          </w:p>
          <w:p w14:paraId="7C5DB9FA" w14:textId="7161866C" w:rsidR="00012E85" w:rsidRDefault="00012E85" w:rsidP="006D0D8F">
            <w:pPr>
              <w:pStyle w:val="Tablelistbullet2"/>
              <w:cnfStyle w:val="000000000000" w:firstRow="0" w:lastRow="0" w:firstColumn="0" w:lastColumn="0" w:oddVBand="0" w:evenVBand="0" w:oddHBand="0" w:evenHBand="0" w:firstRowFirstColumn="0" w:firstRowLastColumn="0" w:lastRowFirstColumn="0" w:lastRowLastColumn="0"/>
            </w:pPr>
            <w:r>
              <w:t>longer than 20 minutes (Levels C, D and E (video only))</w:t>
            </w:r>
            <w:r w:rsidR="00D21EE2">
              <w:t>,</w:t>
            </w:r>
            <w:r>
              <w:t xml:space="preserve"> and</w:t>
            </w:r>
          </w:p>
          <w:p w14:paraId="32B4B876" w14:textId="77777777" w:rsidR="00012E85" w:rsidRPr="00BD42B9" w:rsidRDefault="00012E85" w:rsidP="00BD42B9">
            <w:pPr>
              <w:pStyle w:val="Tablelistbullet2"/>
              <w:cnfStyle w:val="000000000000" w:firstRow="0" w:lastRow="0" w:firstColumn="0" w:lastColumn="0" w:oddVBand="0" w:evenVBand="0" w:oddHBand="0" w:evenHBand="0" w:firstRowFirstColumn="0" w:firstRowLastColumn="0" w:lastRowFirstColumn="0" w:lastRowLastColumn="0"/>
            </w:pPr>
            <w:r w:rsidRPr="00BD42B9">
              <w:t>the patient is registered with the practice through </w:t>
            </w:r>
            <w:hyperlink r:id="rId19" w:tooltip="MyMedicare" w:history="1">
              <w:r w:rsidRPr="00331B34">
                <w:rPr>
                  <w:rStyle w:val="Hyperlink"/>
                  <w:color w:val="auto"/>
                </w:rPr>
                <w:t>MyMedicare</w:t>
              </w:r>
            </w:hyperlink>
            <w:r w:rsidRPr="00BD42B9">
              <w:t>.</w:t>
            </w:r>
          </w:p>
          <w:p w14:paraId="5A155E75" w14:textId="18A7F82B" w:rsidR="00012E85" w:rsidRPr="00331B34" w:rsidRDefault="00012E85" w:rsidP="00012E85">
            <w:pPr>
              <w:cnfStyle w:val="000000000000" w:firstRow="0" w:lastRow="0" w:firstColumn="0" w:lastColumn="0" w:oddVBand="0" w:evenVBand="0" w:oddHBand="0" w:evenHBand="0" w:firstRowFirstColumn="0" w:firstRowLastColumn="0" w:lastRowFirstColumn="0" w:lastRowLastColumn="0"/>
              <w:rPr>
                <w:rFonts w:cstheme="minorHAnsi"/>
              </w:rPr>
            </w:pPr>
            <w:r w:rsidRPr="00331B34">
              <w:rPr>
                <w:rFonts w:cstheme="minorHAnsi"/>
              </w:rPr>
              <w:t xml:space="preserve">The standard </w:t>
            </w:r>
            <w:r w:rsidR="00D21EE2">
              <w:rPr>
                <w:rFonts w:cstheme="minorHAnsi"/>
              </w:rPr>
              <w:t>BBI</w:t>
            </w:r>
            <w:r w:rsidRPr="00331B34">
              <w:rPr>
                <w:rFonts w:cstheme="minorHAnsi"/>
              </w:rPr>
              <w:t xml:space="preserve"> payments will continue to be available for doctors to co</w:t>
            </w:r>
            <w:r w:rsidRPr="00331B34">
              <w:rPr>
                <w:rFonts w:cstheme="minorHAnsi"/>
              </w:rPr>
              <w:noBreakHyphen/>
              <w:t>claim when bulk billing</w:t>
            </w:r>
            <w:r w:rsidR="00D21EE2">
              <w:rPr>
                <w:rFonts w:cstheme="minorHAnsi"/>
              </w:rPr>
              <w:t>:</w:t>
            </w:r>
          </w:p>
          <w:p w14:paraId="00D5954F" w14:textId="36A034CE" w:rsidR="00012E85" w:rsidRDefault="00012E85" w:rsidP="006D0D8F">
            <w:pPr>
              <w:pStyle w:val="Tablelistbullet"/>
              <w:cnfStyle w:val="000000000000" w:firstRow="0" w:lastRow="0" w:firstColumn="0" w:lastColumn="0" w:oddVBand="0" w:evenVBand="0" w:oddHBand="0" w:evenHBand="0" w:firstRowFirstColumn="0" w:firstRowLastColumn="0" w:lastRowFirstColumn="0" w:lastRowLastColumn="0"/>
            </w:pPr>
            <w:r>
              <w:t xml:space="preserve">MBS Level A (and </w:t>
            </w:r>
            <w:r w:rsidRPr="006D0D8F">
              <w:t>equivalent</w:t>
            </w:r>
            <w:r>
              <w:t>) general attendance consultations</w:t>
            </w:r>
            <w:r w:rsidR="00D21EE2">
              <w:t>,</w:t>
            </w:r>
          </w:p>
          <w:p w14:paraId="1CCDB345" w14:textId="7EDD8EB0" w:rsidR="00012E85" w:rsidRPr="006D0D8F" w:rsidRDefault="00012E85" w:rsidP="006D0D8F">
            <w:pPr>
              <w:pStyle w:val="Tablelistbullet"/>
              <w:cnfStyle w:val="000000000000" w:firstRow="0" w:lastRow="0" w:firstColumn="0" w:lastColumn="0" w:oddVBand="0" w:evenVBand="0" w:oddHBand="0" w:evenHBand="0" w:firstRowFirstColumn="0" w:firstRowLastColumn="0" w:lastRowFirstColumn="0" w:lastRowLastColumn="0"/>
            </w:pPr>
            <w:r w:rsidRPr="006D0D8F">
              <w:t>Level C, D and E video general attendance consultations where the patient is not enrolled in </w:t>
            </w:r>
            <w:hyperlink r:id="rId20" w:tooltip="MyMedicare" w:history="1">
              <w:r w:rsidRPr="006D0D8F">
                <w:rPr>
                  <w:rStyle w:val="Hyperlink"/>
                  <w:color w:val="000000" w:themeColor="text1"/>
                  <w:u w:val="none"/>
                </w:rPr>
                <w:t>MyMedicare</w:t>
              </w:r>
            </w:hyperlink>
            <w:r w:rsidR="00D21EE2">
              <w:rPr>
                <w:rStyle w:val="Hyperlink"/>
                <w:color w:val="000000" w:themeColor="text1"/>
                <w:u w:val="none"/>
              </w:rPr>
              <w:t>,</w:t>
            </w:r>
            <w:r w:rsidR="00E13191">
              <w:rPr>
                <w:rStyle w:val="Hyperlink"/>
                <w:color w:val="000000" w:themeColor="text1"/>
                <w:u w:val="none"/>
              </w:rPr>
              <w:t xml:space="preserve"> and</w:t>
            </w:r>
          </w:p>
          <w:p w14:paraId="1A63210E" w14:textId="16F00497" w:rsidR="00012E85" w:rsidRDefault="00012E85" w:rsidP="006D0D8F">
            <w:pPr>
              <w:pStyle w:val="Tablelistbullet"/>
              <w:cnfStyle w:val="000000000000" w:firstRow="0" w:lastRow="0" w:firstColumn="0" w:lastColumn="0" w:oddVBand="0" w:evenVBand="0" w:oddHBand="0" w:evenHBand="0" w:firstRowFirstColumn="0" w:firstRowLastColumn="0" w:lastRowFirstColumn="0" w:lastRowLastColumn="0"/>
            </w:pPr>
            <w:r w:rsidRPr="006D0D8F">
              <w:t>all</w:t>
            </w:r>
            <w:r>
              <w:t xml:space="preserve"> other relevant MBS unreferred services, for example</w:t>
            </w:r>
            <w:r w:rsidR="00D21EE2">
              <w:t>:</w:t>
            </w:r>
          </w:p>
          <w:p w14:paraId="67F7E3E6" w14:textId="1240A957" w:rsidR="00012E85" w:rsidRDefault="00012E85" w:rsidP="006D0D8F">
            <w:pPr>
              <w:pStyle w:val="Tablelistbullet2"/>
              <w:cnfStyle w:val="000000000000" w:firstRow="0" w:lastRow="0" w:firstColumn="0" w:lastColumn="0" w:oddVBand="0" w:evenVBand="0" w:oddHBand="0" w:evenHBand="0" w:firstRowFirstColumn="0" w:firstRowLastColumn="0" w:lastRowFirstColumn="0" w:lastRowLastColumn="0"/>
            </w:pPr>
            <w:r>
              <w:t xml:space="preserve">chronic </w:t>
            </w:r>
            <w:r w:rsidR="00E55989">
              <w:t>c</w:t>
            </w:r>
            <w:r w:rsidR="00FB0FF5">
              <w:t xml:space="preserve">ondition </w:t>
            </w:r>
            <w:r>
              <w:t>management items</w:t>
            </w:r>
          </w:p>
          <w:p w14:paraId="2BEECD87" w14:textId="77777777" w:rsidR="00012E85" w:rsidRDefault="00012E85" w:rsidP="006D0D8F">
            <w:pPr>
              <w:pStyle w:val="Tablelistbullet2"/>
              <w:cnfStyle w:val="000000000000" w:firstRow="0" w:lastRow="0" w:firstColumn="0" w:lastColumn="0" w:oddVBand="0" w:evenVBand="0" w:oddHBand="0" w:evenHBand="0" w:firstRowFirstColumn="0" w:firstRowLastColumn="0" w:lastRowFirstColumn="0" w:lastRowLastColumn="0"/>
            </w:pPr>
            <w:r>
              <w:t>Better Access mental health items</w:t>
            </w:r>
          </w:p>
          <w:p w14:paraId="034F8379" w14:textId="77777777" w:rsidR="00012E85" w:rsidRDefault="00012E85" w:rsidP="006D0D8F">
            <w:pPr>
              <w:pStyle w:val="Tablelistbullet2"/>
              <w:cnfStyle w:val="000000000000" w:firstRow="0" w:lastRow="0" w:firstColumn="0" w:lastColumn="0" w:oddVBand="0" w:evenVBand="0" w:oddHBand="0" w:evenHBand="0" w:firstRowFirstColumn="0" w:firstRowLastColumn="0" w:lastRowFirstColumn="0" w:lastRowLastColumn="0"/>
            </w:pPr>
            <w:r>
              <w:t>eating disorder items</w:t>
            </w:r>
          </w:p>
          <w:p w14:paraId="1C735AC1" w14:textId="77777777" w:rsidR="00012E85" w:rsidRDefault="00012E85" w:rsidP="006D0D8F">
            <w:pPr>
              <w:pStyle w:val="Tablelistbullet2"/>
              <w:cnfStyle w:val="000000000000" w:firstRow="0" w:lastRow="0" w:firstColumn="0" w:lastColumn="0" w:oddVBand="0" w:evenVBand="0" w:oddHBand="0" w:evenHBand="0" w:firstRowFirstColumn="0" w:firstRowLastColumn="0" w:lastRowFirstColumn="0" w:lastRowLastColumn="0"/>
            </w:pPr>
            <w:r>
              <w:t>health assessments</w:t>
            </w:r>
          </w:p>
          <w:p w14:paraId="300A9C03" w14:textId="41498FE1" w:rsidR="00D21EE2" w:rsidRPr="00D41E96" w:rsidRDefault="00012E85" w:rsidP="00E14CA3">
            <w:pPr>
              <w:pStyle w:val="Tablelistbullet2"/>
              <w:cnfStyle w:val="000000000000" w:firstRow="0" w:lastRow="0" w:firstColumn="0" w:lastColumn="0" w:oddVBand="0" w:evenVBand="0" w:oddHBand="0" w:evenHBand="0" w:firstRowFirstColumn="0" w:firstRowLastColumn="0" w:lastRowFirstColumn="0" w:lastRowLastColumn="0"/>
            </w:pPr>
            <w:r>
              <w:t>minor procedures.</w:t>
            </w:r>
          </w:p>
          <w:p w14:paraId="4F4CC01E" w14:textId="77777777" w:rsidR="007951F4" w:rsidRDefault="00EB042C" w:rsidP="00EB042C">
            <w:pPr>
              <w:cnfStyle w:val="000000000000" w:firstRow="0" w:lastRow="0" w:firstColumn="0" w:lastColumn="0" w:oddVBand="0" w:evenVBand="0" w:oddHBand="0" w:evenHBand="0" w:firstRowFirstColumn="0" w:firstRowLastColumn="0" w:lastRowFirstColumn="0" w:lastRowLastColumn="0"/>
            </w:pPr>
            <w:r w:rsidRPr="00EB042C">
              <w:t xml:space="preserve">To claim the BBI for telehealth services, the practice location associated with the provider number is used regardless the MM location of the patient. </w:t>
            </w:r>
          </w:p>
          <w:p w14:paraId="72D8EE0A" w14:textId="77777777" w:rsidR="007951F4" w:rsidRDefault="00EB042C" w:rsidP="00EB042C">
            <w:pPr>
              <w:cnfStyle w:val="000000000000" w:firstRow="0" w:lastRow="0" w:firstColumn="0" w:lastColumn="0" w:oddVBand="0" w:evenVBand="0" w:oddHBand="0" w:evenHBand="0" w:firstRowFirstColumn="0" w:firstRowLastColumn="0" w:lastRowFirstColumn="0" w:lastRowLastColumn="0"/>
            </w:pPr>
            <w:r w:rsidRPr="00EB042C">
              <w:t xml:space="preserve">However, for the after-hours BBIs (10992 and 75872), both the practice and patient MM location are considered. However, these items can only be claimed with specific after-hours MBS items in limited circumstances. </w:t>
            </w:r>
          </w:p>
          <w:p w14:paraId="3C09C7AF" w14:textId="3E2183D4" w:rsidR="00EB042C" w:rsidRPr="00D41E96" w:rsidRDefault="00EB042C" w:rsidP="00E14CA3">
            <w:pPr>
              <w:cnfStyle w:val="000000000000" w:firstRow="0" w:lastRow="0" w:firstColumn="0" w:lastColumn="0" w:oddVBand="0" w:evenVBand="0" w:oddHBand="0" w:evenHBand="0" w:firstRowFirstColumn="0" w:firstRowLastColumn="0" w:lastRowFirstColumn="0" w:lastRowLastColumn="0"/>
            </w:pPr>
            <w:r w:rsidRPr="00EB042C">
              <w:lastRenderedPageBreak/>
              <w:t xml:space="preserve">For further information please see </w:t>
            </w:r>
            <w:hyperlink r:id="rId21" w:history="1">
              <w:r w:rsidRPr="00EB042C">
                <w:rPr>
                  <w:rStyle w:val="Hyperlink"/>
                </w:rPr>
                <w:t>MN 1.1</w:t>
              </w:r>
            </w:hyperlink>
            <w:r w:rsidRPr="00EB042C">
              <w:t xml:space="preserve">. </w:t>
            </w:r>
          </w:p>
        </w:tc>
        <w:tc>
          <w:tcPr>
            <w:tcW w:w="3536" w:type="dxa"/>
          </w:tcPr>
          <w:p w14:paraId="2DF410F7" w14:textId="334F4A82" w:rsidR="00DB2865" w:rsidRDefault="00DB2865" w:rsidP="00DB2865">
            <w:pPr>
              <w:cnfStyle w:val="000000000000" w:firstRow="0" w:lastRow="0" w:firstColumn="0" w:lastColumn="0" w:oddVBand="0" w:evenVBand="0" w:oddHBand="0" w:evenHBand="0" w:firstRowFirstColumn="0" w:firstRowLastColumn="0" w:lastRowFirstColumn="0" w:lastRowLastColumn="0"/>
            </w:pPr>
            <w:r>
              <w:lastRenderedPageBreak/>
              <w:t xml:space="preserve">The value of MBS </w:t>
            </w:r>
            <w:r w:rsidR="00E13191">
              <w:t xml:space="preserve">BBI </w:t>
            </w:r>
            <w:r>
              <w:t>are scaled and increase based on the remoteness of the general practice, using the M</w:t>
            </w:r>
            <w:r w:rsidR="00D21EE2">
              <w:t>M</w:t>
            </w:r>
            <w:r>
              <w:t xml:space="preserve">. </w:t>
            </w:r>
          </w:p>
          <w:p w14:paraId="500E38A0" w14:textId="7CB84880" w:rsidR="002C79E1" w:rsidRDefault="002C79E1" w:rsidP="00DB2865">
            <w:pPr>
              <w:cnfStyle w:val="000000000000" w:firstRow="0" w:lastRow="0" w:firstColumn="0" w:lastColumn="0" w:oddVBand="0" w:evenVBand="0" w:oddHBand="0" w:evenHBand="0" w:firstRowFirstColumn="0" w:firstRowLastColumn="0" w:lastRowFirstColumn="0" w:lastRowLastColumn="0"/>
            </w:pPr>
          </w:p>
          <w:p w14:paraId="5E3E66BB" w14:textId="1B49016F" w:rsidR="00331B34" w:rsidRPr="00BA70BC" w:rsidRDefault="00DB2865" w:rsidP="006D0D8F">
            <w:pPr>
              <w:cnfStyle w:val="000000000000" w:firstRow="0" w:lastRow="0" w:firstColumn="0" w:lastColumn="0" w:oddVBand="0" w:evenVBand="0" w:oddHBand="0" w:evenHBand="0" w:firstRowFirstColumn="0" w:firstRowLastColumn="0" w:lastRowFirstColumn="0" w:lastRowLastColumn="0"/>
            </w:pPr>
            <w:r>
              <w:t>Further information on the</w:t>
            </w:r>
            <w:r w:rsidR="0077479B">
              <w:t xml:space="preserve"> upcoming</w:t>
            </w:r>
            <w:r>
              <w:t xml:space="preserve"> </w:t>
            </w:r>
            <w:r w:rsidR="00D21EE2">
              <w:t xml:space="preserve">BBI </w:t>
            </w:r>
            <w:r>
              <w:t xml:space="preserve">changes, including reference tables by MM can be found </w:t>
            </w:r>
            <w:r w:rsidR="00BA45D4">
              <w:t>on</w:t>
            </w:r>
            <w:r>
              <w:t xml:space="preserve"> </w:t>
            </w:r>
            <w:r w:rsidRPr="00215DAC">
              <w:t>MBSOnline</w:t>
            </w:r>
            <w:r w:rsidR="00BA45D4">
              <w:t xml:space="preserve"> at </w:t>
            </w:r>
            <w:hyperlink r:id="rId22" w:history="1">
              <w:r w:rsidR="00D9201C" w:rsidRPr="00D9201C">
                <w:rPr>
                  <w:rStyle w:val="Hyperlink"/>
                </w:rPr>
                <w:t>MBS Online – Bulk Billing Incentives - Changes to Eligibility</w:t>
              </w:r>
            </w:hyperlink>
            <w:r w:rsidR="00BA45D4">
              <w:t xml:space="preserve">. </w:t>
            </w:r>
            <w:r w:rsidRPr="00215DAC">
              <w:t>.</w:t>
            </w:r>
          </w:p>
        </w:tc>
      </w:tr>
      <w:tr w:rsidR="00D41E96" w:rsidRPr="00984C59" w14:paraId="59FCF850" w14:textId="77777777" w:rsidTr="00CB4A9B">
        <w:tc>
          <w:tcPr>
            <w:cnfStyle w:val="001000000000" w:firstRow="0" w:lastRow="0" w:firstColumn="1" w:lastColumn="0" w:oddVBand="0" w:evenVBand="0" w:oddHBand="0" w:evenHBand="0" w:firstRowFirstColumn="0" w:firstRowLastColumn="0" w:lastRowFirstColumn="0" w:lastRowLastColumn="0"/>
            <w:tcW w:w="1696" w:type="dxa"/>
          </w:tcPr>
          <w:p w14:paraId="5040ADD6" w14:textId="257E82A9" w:rsidR="00D41E96" w:rsidRPr="00D41E96" w:rsidRDefault="00D41E96" w:rsidP="00E14CA3">
            <w:pPr>
              <w:rPr>
                <w:b w:val="0"/>
                <w:bCs w:val="0"/>
              </w:rPr>
            </w:pPr>
            <w:hyperlink r:id="rId23" w:history="1">
              <w:r w:rsidRPr="00BB651A">
                <w:rPr>
                  <w:rStyle w:val="Hyperlink"/>
                  <w:b w:val="0"/>
                  <w:bCs w:val="0"/>
                </w:rPr>
                <w:t>Primary Care Workforce Support Program (PCWSP)</w:t>
              </w:r>
            </w:hyperlink>
          </w:p>
        </w:tc>
        <w:tc>
          <w:tcPr>
            <w:tcW w:w="3828" w:type="dxa"/>
          </w:tcPr>
          <w:p w14:paraId="78594944" w14:textId="77777777" w:rsidR="00D41E96" w:rsidRPr="005B4C90" w:rsidRDefault="00D41E96" w:rsidP="00D41E96">
            <w:pPr>
              <w:cnfStyle w:val="000000000000" w:firstRow="0" w:lastRow="0" w:firstColumn="0" w:lastColumn="0" w:oddVBand="0" w:evenVBand="0" w:oddHBand="0" w:evenHBand="0" w:firstRowFirstColumn="0" w:firstRowLastColumn="0" w:lastRowFirstColumn="0" w:lastRowLastColumn="0"/>
            </w:pPr>
            <w:r w:rsidRPr="005B4C90">
              <w:t xml:space="preserve">Rural Workforce Agencies in each State and the Northern Territory, in MM1 DPAs and MM2-7 are funded to deliver a range of activities aimed at addressing the maldistribution of the health workforce through the following program elements: Access; Quality; and Sustainability. </w:t>
            </w:r>
          </w:p>
          <w:p w14:paraId="145CB862" w14:textId="77777777" w:rsidR="00D41E96" w:rsidRPr="005B4C90" w:rsidRDefault="00D41E96" w:rsidP="00D41E96">
            <w:pPr>
              <w:cnfStyle w:val="000000000000" w:firstRow="0" w:lastRow="0" w:firstColumn="0" w:lastColumn="0" w:oddVBand="0" w:evenVBand="0" w:oddHBand="0" w:evenHBand="0" w:firstRowFirstColumn="0" w:firstRowLastColumn="0" w:lastRowFirstColumn="0" w:lastRowLastColumn="0"/>
            </w:pPr>
            <w:r w:rsidRPr="005B4C90">
              <w:t xml:space="preserve">Grants to health professionals can include: </w:t>
            </w:r>
          </w:p>
          <w:p w14:paraId="441A32AF" w14:textId="77777777" w:rsidR="00D41E96" w:rsidRPr="005B4C90" w:rsidRDefault="00D41E96" w:rsidP="00BB651A">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Recruitment costs or as incentives</w:t>
            </w:r>
          </w:p>
          <w:p w14:paraId="3C174E6C" w14:textId="77777777" w:rsidR="00D41E96" w:rsidRPr="005B4C90" w:rsidRDefault="00D41E96" w:rsidP="00BB651A">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Orientation expenses</w:t>
            </w:r>
          </w:p>
          <w:p w14:paraId="65285FD2" w14:textId="3991E97F" w:rsidR="00D41E96" w:rsidRPr="005B4C90" w:rsidRDefault="00D41E96" w:rsidP="00BB651A">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Relocation expenses to move to a rural area</w:t>
            </w:r>
          </w:p>
          <w:p w14:paraId="58F0EC48" w14:textId="77777777" w:rsidR="00D41E96" w:rsidRPr="005B4C90" w:rsidRDefault="00D41E96" w:rsidP="00BB651A">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Locum support</w:t>
            </w:r>
          </w:p>
          <w:p w14:paraId="2DA55CB3" w14:textId="77777777" w:rsidR="00D41E96" w:rsidRDefault="00D41E96" w:rsidP="00BB651A">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5B4C90">
              <w:t>Assist with access to continuing professional development opportunities.</w:t>
            </w:r>
          </w:p>
          <w:p w14:paraId="5C59C4F4" w14:textId="3BE21100" w:rsidR="00D41E96" w:rsidRDefault="00D41E96" w:rsidP="00D41E96">
            <w:pPr>
              <w:cnfStyle w:val="000000000000" w:firstRow="0" w:lastRow="0" w:firstColumn="0" w:lastColumn="0" w:oddVBand="0" w:evenVBand="0" w:oddHBand="0" w:evenHBand="0" w:firstRowFirstColumn="0" w:firstRowLastColumn="0" w:lastRowFirstColumn="0" w:lastRowLastColumn="0"/>
              <w:rPr>
                <w:rFonts w:cstheme="minorHAnsi"/>
              </w:rPr>
            </w:pPr>
            <w:r w:rsidRPr="00704453">
              <w:t>An annual Health Workforce Needs Assessment (HWNA) is completed by each RWA t</w:t>
            </w:r>
            <w:r>
              <w:t>o</w:t>
            </w:r>
            <w:r w:rsidRPr="00704453">
              <w:t xml:space="preserve"> determine areas where is support is required.</w:t>
            </w:r>
          </w:p>
        </w:tc>
        <w:tc>
          <w:tcPr>
            <w:tcW w:w="3536" w:type="dxa"/>
          </w:tcPr>
          <w:p w14:paraId="7AE5B927" w14:textId="31B242A6" w:rsidR="00D41E96" w:rsidRDefault="00D41E96" w:rsidP="00DB2865">
            <w:pPr>
              <w:cnfStyle w:val="000000000000" w:firstRow="0" w:lastRow="0" w:firstColumn="0" w:lastColumn="0" w:oddVBand="0" w:evenVBand="0" w:oddHBand="0" w:evenHBand="0" w:firstRowFirstColumn="0" w:firstRowLastColumn="0" w:lastRowFirstColumn="0" w:lastRowLastColumn="0"/>
            </w:pPr>
            <w:r>
              <w:t xml:space="preserve">RWAs </w:t>
            </w:r>
            <w:r w:rsidRPr="00704453">
              <w:t>are consortium members funded bi-annually to implement their recruitment, access and sustainability activities.</w:t>
            </w:r>
          </w:p>
        </w:tc>
      </w:tr>
      <w:tr w:rsidR="00D41E96" w:rsidRPr="00984C59" w14:paraId="1D4024F4" w14:textId="77777777" w:rsidTr="00CB4A9B">
        <w:tc>
          <w:tcPr>
            <w:cnfStyle w:val="001000000000" w:firstRow="0" w:lastRow="0" w:firstColumn="1" w:lastColumn="0" w:oddVBand="0" w:evenVBand="0" w:oddHBand="0" w:evenHBand="0" w:firstRowFirstColumn="0" w:firstRowLastColumn="0" w:lastRowFirstColumn="0" w:lastRowLastColumn="0"/>
            <w:tcW w:w="1696" w:type="dxa"/>
          </w:tcPr>
          <w:p w14:paraId="5862307E" w14:textId="1A6F43E5" w:rsidR="00D41E96" w:rsidRPr="00D41E96" w:rsidRDefault="00D41E96" w:rsidP="00E14CA3">
            <w:pPr>
              <w:rPr>
                <w:b w:val="0"/>
                <w:bCs w:val="0"/>
              </w:rPr>
            </w:pPr>
            <w:hyperlink r:id="rId24" w:history="1">
              <w:r w:rsidRPr="00D41E96">
                <w:rPr>
                  <w:rStyle w:val="Hyperlink"/>
                  <w:b w:val="0"/>
                  <w:bCs w:val="0"/>
                </w:rPr>
                <w:t>General Practice in Aged Care Incentive</w:t>
              </w:r>
            </w:hyperlink>
          </w:p>
        </w:tc>
        <w:tc>
          <w:tcPr>
            <w:tcW w:w="3828" w:type="dxa"/>
          </w:tcPr>
          <w:p w14:paraId="7DE885A4" w14:textId="77777777" w:rsidR="00D41E96" w:rsidRDefault="00D41E96" w:rsidP="00D41E96">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5C5BD319" w14:textId="77777777" w:rsidR="00D41E96" w:rsidRDefault="00D41E96" w:rsidP="00D41E96">
            <w:pPr>
              <w:cnfStyle w:val="000000000000" w:firstRow="0" w:lastRow="0" w:firstColumn="0" w:lastColumn="0" w:oddVBand="0" w:evenVBand="0" w:oddHBand="0" w:evenHBand="0" w:firstRowFirstColumn="0" w:firstRowLastColumn="0" w:lastRowFirstColumn="0" w:lastRowLastColumn="0"/>
              <w:rPr>
                <w:szCs w:val="22"/>
              </w:rPr>
            </w:pPr>
            <w:r>
              <w:rPr>
                <w:szCs w:val="22"/>
              </w:rPr>
              <w:t>Primary care providers and practices registered in MyMedicare receive incentive payments for providing their MyMedicare registered patients who permanently live in residential aged care homes with care planning services and regular visits.</w:t>
            </w:r>
          </w:p>
          <w:p w14:paraId="49EB3F9E" w14:textId="49BE3CEC" w:rsidR="00D41E96" w:rsidRPr="005B4C90" w:rsidRDefault="00D41E96" w:rsidP="00D41E96">
            <w:pPr>
              <w:cnfStyle w:val="000000000000" w:firstRow="0" w:lastRow="0" w:firstColumn="0" w:lastColumn="0" w:oddVBand="0" w:evenVBand="0" w:oddHBand="0" w:evenHBand="0" w:firstRowFirstColumn="0" w:firstRowLastColumn="0" w:lastRowFirstColumn="0" w:lastRowLastColumn="0"/>
            </w:pPr>
            <w:r>
              <w:rPr>
                <w:szCs w:val="22"/>
              </w:rPr>
              <w:t>Rural loadings apply to provider and practice incentive payments for practices located in MM 3 - 7.</w:t>
            </w:r>
          </w:p>
        </w:tc>
        <w:tc>
          <w:tcPr>
            <w:tcW w:w="3536" w:type="dxa"/>
          </w:tcPr>
          <w:p w14:paraId="7656A04E" w14:textId="77777777" w:rsidR="00D41E96" w:rsidRDefault="00D41E96" w:rsidP="00D41E96">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Practices and providers eligible for the General Practice in Aged Care Incentive payment are paid: </w:t>
            </w:r>
          </w:p>
          <w:p w14:paraId="7450C512" w14:textId="77777777" w:rsidR="00D41E96" w:rsidRDefault="00D41E96" w:rsidP="00D41E96">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 $300 per patient, per year (75 per patient, per quarter), paid to the Responsible Provider. </w:t>
            </w:r>
          </w:p>
          <w:p w14:paraId="59A543BD" w14:textId="77777777" w:rsidR="00D41E96" w:rsidRDefault="00D41E96" w:rsidP="00D41E96">
            <w:pPr>
              <w:cnfStyle w:val="000000000000" w:firstRow="0" w:lastRow="0" w:firstColumn="0" w:lastColumn="0" w:oddVBand="0" w:evenVBand="0" w:oddHBand="0" w:evenHBand="0" w:firstRowFirstColumn="0" w:firstRowLastColumn="0" w:lastRowFirstColumn="0" w:lastRowLastColumn="0"/>
              <w:rPr>
                <w:szCs w:val="22"/>
              </w:rPr>
            </w:pPr>
            <w:r>
              <w:rPr>
                <w:szCs w:val="22"/>
              </w:rPr>
              <w:t>• $130 per patient, per year ($32.50 per patient, per quarter), paid to the practice. </w:t>
            </w:r>
          </w:p>
          <w:p w14:paraId="3424A1C5" w14:textId="77777777" w:rsidR="00D41E96" w:rsidRDefault="00D41E96" w:rsidP="00D41E96">
            <w:pPr>
              <w:cnfStyle w:val="000000000000" w:firstRow="0" w:lastRow="0" w:firstColumn="0" w:lastColumn="0" w:oddVBand="0" w:evenVBand="0" w:oddHBand="0" w:evenHBand="0" w:firstRowFirstColumn="0" w:firstRowLastColumn="0" w:lastRowFirstColumn="0" w:lastRowLastColumn="0"/>
              <w:rPr>
                <w:szCs w:val="22"/>
              </w:rPr>
            </w:pPr>
            <w:r>
              <w:rPr>
                <w:szCs w:val="22"/>
              </w:rPr>
              <w:t>Rural Loading:</w:t>
            </w:r>
          </w:p>
          <w:p w14:paraId="7C5EE2EC" w14:textId="77777777" w:rsidR="00D41E96" w:rsidRDefault="00D41E96" w:rsidP="00D41E96">
            <w:pPr>
              <w:cnfStyle w:val="000000000000" w:firstRow="0" w:lastRow="0" w:firstColumn="0" w:lastColumn="0" w:oddVBand="0" w:evenVBand="0" w:oddHBand="0" w:evenHBand="0" w:firstRowFirstColumn="0" w:firstRowLastColumn="0" w:lastRowFirstColumn="0" w:lastRowLastColumn="0"/>
              <w:rPr>
                <w:szCs w:val="22"/>
              </w:rPr>
            </w:pPr>
            <w:r>
              <w:rPr>
                <w:szCs w:val="22"/>
              </w:rPr>
              <w:t>MM 3 - 20%</w:t>
            </w:r>
          </w:p>
          <w:p w14:paraId="5F346833" w14:textId="77777777" w:rsidR="00D41E96" w:rsidRDefault="00D41E96" w:rsidP="00D41E96">
            <w:pPr>
              <w:cnfStyle w:val="000000000000" w:firstRow="0" w:lastRow="0" w:firstColumn="0" w:lastColumn="0" w:oddVBand="0" w:evenVBand="0" w:oddHBand="0" w:evenHBand="0" w:firstRowFirstColumn="0" w:firstRowLastColumn="0" w:lastRowFirstColumn="0" w:lastRowLastColumn="0"/>
              <w:rPr>
                <w:szCs w:val="22"/>
              </w:rPr>
            </w:pPr>
            <w:r>
              <w:rPr>
                <w:szCs w:val="22"/>
              </w:rPr>
              <w:t>MM 4 - 30%</w:t>
            </w:r>
          </w:p>
          <w:p w14:paraId="788E5F17" w14:textId="77777777" w:rsidR="00D41E96" w:rsidRDefault="00D41E96" w:rsidP="00D41E96">
            <w:pPr>
              <w:cnfStyle w:val="000000000000" w:firstRow="0" w:lastRow="0" w:firstColumn="0" w:lastColumn="0" w:oddVBand="0" w:evenVBand="0" w:oddHBand="0" w:evenHBand="0" w:firstRowFirstColumn="0" w:firstRowLastColumn="0" w:lastRowFirstColumn="0" w:lastRowLastColumn="0"/>
              <w:rPr>
                <w:szCs w:val="22"/>
              </w:rPr>
            </w:pPr>
            <w:r>
              <w:rPr>
                <w:szCs w:val="22"/>
              </w:rPr>
              <w:t>MM 5 - 30%</w:t>
            </w:r>
          </w:p>
          <w:p w14:paraId="08E2EB25" w14:textId="77777777" w:rsidR="00D41E96" w:rsidRDefault="00D41E96" w:rsidP="00D41E96">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MM 6 - 50% </w:t>
            </w:r>
          </w:p>
          <w:p w14:paraId="60F4752D" w14:textId="0463B29A" w:rsidR="00D41E96" w:rsidRDefault="00D41E96" w:rsidP="00D41E96">
            <w:pPr>
              <w:cnfStyle w:val="000000000000" w:firstRow="0" w:lastRow="0" w:firstColumn="0" w:lastColumn="0" w:oddVBand="0" w:evenVBand="0" w:oddHBand="0" w:evenHBand="0" w:firstRowFirstColumn="0" w:firstRowLastColumn="0" w:lastRowFirstColumn="0" w:lastRowLastColumn="0"/>
            </w:pPr>
            <w:r>
              <w:rPr>
                <w:szCs w:val="22"/>
              </w:rPr>
              <w:t>MM 7 - 50%</w:t>
            </w:r>
          </w:p>
        </w:tc>
      </w:tr>
      <w:tr w:rsidR="00D41E96" w:rsidRPr="00984C59" w14:paraId="7FDEECD3" w14:textId="77777777" w:rsidTr="00792297">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E6E6E6" w:themeFill="background2"/>
          </w:tcPr>
          <w:p w14:paraId="0E9EDF08" w14:textId="17D7AFA2" w:rsidR="00D41E96" w:rsidRPr="007851F3" w:rsidRDefault="00792297" w:rsidP="007851F3">
            <w:pPr>
              <w:pStyle w:val="Heading1"/>
              <w:rPr>
                <w:sz w:val="28"/>
                <w:szCs w:val="28"/>
              </w:rPr>
            </w:pPr>
            <w:bookmarkStart w:id="10" w:name="_Toc209427955"/>
            <w:r w:rsidRPr="007851F3">
              <w:rPr>
                <w:color w:val="auto"/>
                <w:sz w:val="28"/>
                <w:szCs w:val="28"/>
              </w:rPr>
              <w:lastRenderedPageBreak/>
              <w:t>Multidisciplinary Support (including Nursing and Allied Health Programs)</w:t>
            </w:r>
            <w:bookmarkEnd w:id="10"/>
          </w:p>
        </w:tc>
      </w:tr>
      <w:tr w:rsidR="00792297" w:rsidRPr="00984C59" w14:paraId="3E3F3A3B" w14:textId="77777777" w:rsidTr="00CB4A9B">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690D7EE6" w14:textId="30DC50D3" w:rsidR="00792297" w:rsidRPr="00792297" w:rsidRDefault="00792297" w:rsidP="00D41E96">
            <w:pPr>
              <w:rPr>
                <w:b w:val="0"/>
                <w:bCs w:val="0"/>
                <w:sz w:val="28"/>
                <w:szCs w:val="28"/>
              </w:rPr>
            </w:pPr>
            <w:hyperlink r:id="rId25" w:history="1">
              <w:r w:rsidRPr="00792297">
                <w:rPr>
                  <w:rStyle w:val="Hyperlink"/>
                  <w:b w:val="0"/>
                  <w:bCs w:val="0"/>
                </w:rPr>
                <w:t>Health Workforce Scholarship Program (HWSP)</w:t>
              </w:r>
            </w:hyperlink>
          </w:p>
        </w:tc>
        <w:tc>
          <w:tcPr>
            <w:tcW w:w="3828" w:type="dxa"/>
            <w:shd w:val="clear" w:color="auto" w:fill="FFFFFF" w:themeFill="background1"/>
          </w:tcPr>
          <w:p w14:paraId="776A0D75" w14:textId="77777777" w:rsidR="00792297" w:rsidRPr="00C82C81" w:rsidRDefault="00792297" w:rsidP="00792297">
            <w:pPr>
              <w:cnfStyle w:val="000000000000" w:firstRow="0" w:lastRow="0" w:firstColumn="0" w:lastColumn="0" w:oddVBand="0" w:evenVBand="0" w:oddHBand="0" w:evenHBand="0" w:firstRowFirstColumn="0" w:firstRowLastColumn="0" w:lastRowFirstColumn="0" w:lastRowLastColumn="0"/>
            </w:pPr>
            <w:r w:rsidRPr="00C82C81">
              <w:t xml:space="preserve">The Health Workforce Scholarship Program (HWSP) provides scholarships and bursaries to eligible health professionals working in rural locations to maintain and expand their skills. </w:t>
            </w:r>
          </w:p>
          <w:p w14:paraId="3A93351E" w14:textId="77777777" w:rsidR="00792297" w:rsidRPr="00704453" w:rsidRDefault="00792297" w:rsidP="00792297">
            <w:pPr>
              <w:cnfStyle w:val="000000000000" w:firstRow="0" w:lastRow="0" w:firstColumn="0" w:lastColumn="0" w:oddVBand="0" w:evenVBand="0" w:oddHBand="0" w:evenHBand="0" w:firstRowFirstColumn="0" w:firstRowLastColumn="0" w:lastRowFirstColumn="0" w:lastRowLastColumn="0"/>
            </w:pPr>
            <w:r w:rsidRPr="00C82C81">
              <w:t xml:space="preserve">Demand for scholarships is very high and there are limited scholarships available. Each </w:t>
            </w:r>
            <w:r w:rsidRPr="00704453">
              <w:t>Rural Workforce Agency (RWA) identifies their local health workforce and skills needs through an annual assessment. This assessment outlines the health workforce priorities for the state or territory, includes the development of a list of eligible professions for the HWSP and assists in determining the allocation of scholarships and bursaries.</w:t>
            </w:r>
          </w:p>
          <w:p w14:paraId="3C69A43A" w14:textId="77777777" w:rsidR="00792297" w:rsidRPr="00436CC3" w:rsidRDefault="00792297" w:rsidP="00792297">
            <w:pPr>
              <w:cnfStyle w:val="000000000000" w:firstRow="0" w:lastRow="0" w:firstColumn="0" w:lastColumn="0" w:oddVBand="0" w:evenVBand="0" w:oddHBand="0" w:evenHBand="0" w:firstRowFirstColumn="0" w:firstRowLastColumn="0" w:lastRowFirstColumn="0" w:lastRowLastColumn="0"/>
            </w:pPr>
            <w:r w:rsidRPr="00436CC3">
              <w:t>Eligible locations include:</w:t>
            </w:r>
          </w:p>
          <w:p w14:paraId="05D503BC" w14:textId="77777777" w:rsidR="00792297" w:rsidRPr="00153F19" w:rsidRDefault="00792297" w:rsidP="00792297">
            <w:pPr>
              <w:pStyle w:val="Tablelist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53F19">
              <w:rPr>
                <w:rFonts w:asciiTheme="minorHAnsi" w:hAnsiTheme="minorHAnsi" w:cstheme="minorHAnsi"/>
              </w:rPr>
              <w:t>primary health care in MM 1-2 locations only if employed by an Aboriginal Medical Service or Aboriginal Community Controlled Health Organisation; or</w:t>
            </w:r>
          </w:p>
          <w:p w14:paraId="45CA31EB" w14:textId="3B1DEB34" w:rsidR="00792297" w:rsidRPr="00792297" w:rsidRDefault="00792297" w:rsidP="00792297">
            <w:pPr>
              <w:pStyle w:val="Tablelistbullet"/>
              <w:cnfStyle w:val="000000000000" w:firstRow="0" w:lastRow="0" w:firstColumn="0" w:lastColumn="0" w:oddVBand="0" w:evenVBand="0" w:oddHBand="0" w:evenHBand="0" w:firstRowFirstColumn="0" w:firstRowLastColumn="0" w:lastRowFirstColumn="0" w:lastRowLastColumn="0"/>
            </w:pPr>
            <w:r w:rsidRPr="00153F19">
              <w:rPr>
                <w:rFonts w:asciiTheme="minorHAnsi" w:hAnsiTheme="minorHAnsi" w:cstheme="minorHAnsi"/>
              </w:rPr>
              <w:t>primary health care in MM 3-7 locations.</w:t>
            </w:r>
          </w:p>
        </w:tc>
        <w:tc>
          <w:tcPr>
            <w:tcW w:w="3536" w:type="dxa"/>
            <w:shd w:val="clear" w:color="auto" w:fill="FFFFFF" w:themeFill="background1"/>
          </w:tcPr>
          <w:p w14:paraId="0026F286" w14:textId="77777777" w:rsidR="00792297" w:rsidRDefault="00792297" w:rsidP="00792297">
            <w:pPr>
              <w:pStyle w:val="Tablelistbullet"/>
              <w:cnfStyle w:val="000000000000" w:firstRow="0" w:lastRow="0" w:firstColumn="0" w:lastColumn="0" w:oddVBand="0" w:evenVBand="0" w:oddHBand="0" w:evenHBand="0" w:firstRowFirstColumn="0" w:firstRowLastColumn="0" w:lastRowFirstColumn="0" w:lastRowLastColumn="0"/>
            </w:pPr>
            <w:r w:rsidRPr="00CD3C9F">
              <w:t>Scholarship - Students receive $10,000 per year for 2 years.</w:t>
            </w:r>
          </w:p>
          <w:p w14:paraId="2E98FD6E" w14:textId="7364E15F" w:rsidR="00792297" w:rsidRPr="00792297" w:rsidRDefault="00792297" w:rsidP="00792297">
            <w:pPr>
              <w:pStyle w:val="Tablelistbullet"/>
              <w:cnfStyle w:val="000000000000" w:firstRow="0" w:lastRow="0" w:firstColumn="0" w:lastColumn="0" w:oddVBand="0" w:evenVBand="0" w:oddHBand="0" w:evenHBand="0" w:firstRowFirstColumn="0" w:firstRowLastColumn="0" w:lastRowFirstColumn="0" w:lastRowLastColumn="0"/>
            </w:pPr>
            <w:r w:rsidRPr="00CD3C9F">
              <w:t>Bursary - Covers the cost of training, accommodation, travel or course fees and/or cover or partially cover training related expenses.</w:t>
            </w:r>
          </w:p>
        </w:tc>
      </w:tr>
      <w:tr w:rsidR="00792297" w:rsidRPr="00984C59" w14:paraId="433D1DF8" w14:textId="77777777" w:rsidTr="00CB4A9B">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4F0F4DEA" w14:textId="6296A411" w:rsidR="00792297" w:rsidRPr="00792297" w:rsidRDefault="00792297" w:rsidP="00D41E96">
            <w:pPr>
              <w:rPr>
                <w:b w:val="0"/>
                <w:bCs w:val="0"/>
              </w:rPr>
            </w:pPr>
            <w:hyperlink r:id="rId26" w:history="1">
              <w:r w:rsidRPr="00792297">
                <w:rPr>
                  <w:rStyle w:val="Hyperlink"/>
                  <w:b w:val="0"/>
                  <w:bCs w:val="0"/>
                </w:rPr>
                <w:t>Indigenous Health Workforce Traineeship (IHWT) Program</w:t>
              </w:r>
            </w:hyperlink>
          </w:p>
        </w:tc>
        <w:tc>
          <w:tcPr>
            <w:tcW w:w="3828" w:type="dxa"/>
            <w:shd w:val="clear" w:color="auto" w:fill="FFFFFF" w:themeFill="background1"/>
          </w:tcPr>
          <w:p w14:paraId="41C02E69" w14:textId="77777777" w:rsidR="00792297" w:rsidRPr="00473B77" w:rsidRDefault="00792297" w:rsidP="00792297">
            <w:pPr>
              <w:pStyle w:val="Tablelistbullet"/>
              <w:cnfStyle w:val="000000000000" w:firstRow="0" w:lastRow="0" w:firstColumn="0" w:lastColumn="0" w:oddVBand="0" w:evenVBand="0" w:oddHBand="0" w:evenHBand="0" w:firstRowFirstColumn="0" w:firstRowLastColumn="0" w:lastRowFirstColumn="0" w:lastRowLastColumn="0"/>
            </w:pPr>
            <w:r w:rsidRPr="00473B77">
              <w:t xml:space="preserve">The Indigenous Health Workforce Traineeships (IHWT) program provides </w:t>
            </w:r>
            <w:r w:rsidRPr="004F60A8">
              <w:rPr>
                <w:szCs w:val="24"/>
              </w:rPr>
              <w:t>funding</w:t>
            </w:r>
            <w:r w:rsidRPr="00473B77" w:rsidDel="00DC0AC0">
              <w:t xml:space="preserve"> </w:t>
            </w:r>
            <w:r w:rsidRPr="00473B77">
              <w:t>to approved National Aboriginal Community Controlled Health Organisation (NACCHO) affiliates, or equivalent organisations</w:t>
            </w:r>
            <w:r>
              <w:t>. Program aims</w:t>
            </w:r>
            <w:r w:rsidRPr="00473B77">
              <w:t xml:space="preserve"> to: </w:t>
            </w:r>
          </w:p>
          <w:p w14:paraId="04C139DB" w14:textId="1CD0F8C5" w:rsidR="00792297" w:rsidRPr="00473B77" w:rsidRDefault="00792297" w:rsidP="00792297">
            <w:pPr>
              <w:pStyle w:val="Tablelistbullet"/>
              <w:cnfStyle w:val="000000000000" w:firstRow="0" w:lastRow="0" w:firstColumn="0" w:lastColumn="0" w:oddVBand="0" w:evenVBand="0" w:oddHBand="0" w:evenHBand="0" w:firstRowFirstColumn="0" w:firstRowLastColumn="0" w:lastRowFirstColumn="0" w:lastRowLastColumn="0"/>
            </w:pPr>
            <w:r w:rsidRPr="00473B77">
              <w:t xml:space="preserve">increase the number of skilled Aboriginal and Torres Strait Islander people working in the primary health care </w:t>
            </w:r>
            <w:r w:rsidR="00E13073" w:rsidRPr="00473B77">
              <w:t>sector.</w:t>
            </w:r>
          </w:p>
          <w:p w14:paraId="03D53385" w14:textId="24851919" w:rsidR="00792297" w:rsidRPr="00473B77" w:rsidRDefault="00792297" w:rsidP="00792297">
            <w:pPr>
              <w:pStyle w:val="Tablelistbullet"/>
              <w:cnfStyle w:val="000000000000" w:firstRow="0" w:lastRow="0" w:firstColumn="0" w:lastColumn="0" w:oddVBand="0" w:evenVBand="0" w:oddHBand="0" w:evenHBand="0" w:firstRowFirstColumn="0" w:firstRowLastColumn="0" w:lastRowFirstColumn="0" w:lastRowLastColumn="0"/>
            </w:pPr>
            <w:r w:rsidRPr="00473B77">
              <w:t xml:space="preserve">create viable career pathways in health for Aboriginal and Torres Strait Islander </w:t>
            </w:r>
            <w:r w:rsidR="00E13073" w:rsidRPr="00473B77">
              <w:t>people.</w:t>
            </w:r>
          </w:p>
          <w:p w14:paraId="36B2EF07" w14:textId="77777777" w:rsidR="00792297" w:rsidRDefault="00792297" w:rsidP="00792297">
            <w:pPr>
              <w:pStyle w:val="Tablelistbullet"/>
              <w:cnfStyle w:val="000000000000" w:firstRow="0" w:lastRow="0" w:firstColumn="0" w:lastColumn="0" w:oddVBand="0" w:evenVBand="0" w:oddHBand="0" w:evenHBand="0" w:firstRowFirstColumn="0" w:firstRowLastColumn="0" w:lastRowFirstColumn="0" w:lastRowLastColumn="0"/>
            </w:pPr>
            <w:r w:rsidRPr="00473B77">
              <w:t xml:space="preserve">build the capacity of Aboriginal Community Controlled Health Services (ACCHSs) to provide </w:t>
            </w:r>
            <w:r w:rsidRPr="00473B77">
              <w:lastRenderedPageBreak/>
              <w:t xml:space="preserve">culturally appropriate health care to its clients. </w:t>
            </w:r>
          </w:p>
          <w:p w14:paraId="192CDC82" w14:textId="019CA403" w:rsidR="00792297" w:rsidRPr="00C82C81" w:rsidRDefault="00792297" w:rsidP="00792297">
            <w:pPr>
              <w:pStyle w:val="Tablelistbullet"/>
              <w:cnfStyle w:val="000000000000" w:firstRow="0" w:lastRow="0" w:firstColumn="0" w:lastColumn="0" w:oddVBand="0" w:evenVBand="0" w:oddHBand="0" w:evenHBand="0" w:firstRowFirstColumn="0" w:firstRowLastColumn="0" w:lastRowFirstColumn="0" w:lastRowLastColumn="0"/>
            </w:pPr>
            <w:r>
              <w:t>F</w:t>
            </w:r>
            <w:r w:rsidRPr="00473B77">
              <w:t xml:space="preserve">unded </w:t>
            </w:r>
            <w:r w:rsidR="00E13073">
              <w:t>o</w:t>
            </w:r>
            <w:r w:rsidR="00E13073" w:rsidRPr="00473B77">
              <w:t>rganisations administer</w:t>
            </w:r>
            <w:r w:rsidRPr="00473B77">
              <w:t xml:space="preserve"> the program on the department’s behalf, and work with ACCHSs to identify, recruit and support Aboriginal and Torres Strait Islander trainees.</w:t>
            </w:r>
          </w:p>
        </w:tc>
        <w:tc>
          <w:tcPr>
            <w:tcW w:w="3536" w:type="dxa"/>
            <w:shd w:val="clear" w:color="auto" w:fill="FFFFFF" w:themeFill="background1"/>
          </w:tcPr>
          <w:p w14:paraId="2452527A" w14:textId="28BD916B" w:rsidR="00792297" w:rsidRDefault="00792297" w:rsidP="00792297">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r>
              <w:lastRenderedPageBreak/>
              <w:t xml:space="preserve">The Indigenous Health Workforce Traineeships (IHWT) program supports completion of approved </w:t>
            </w:r>
            <w:r w:rsidR="00E13073">
              <w:t>nationally recognised</w:t>
            </w:r>
            <w:r>
              <w:t xml:space="preserve"> Certificate II to Diploma-level qualifications including those listed under the Health Training Package (HLT) and some approved courses under the Community Services Training Package (CHC).</w:t>
            </w:r>
          </w:p>
          <w:p w14:paraId="3216500E" w14:textId="77777777" w:rsidR="00792297" w:rsidRDefault="00792297" w:rsidP="00792297">
            <w:pPr>
              <w:pStyle w:val="Table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p>
          <w:p w14:paraId="2F6BDD9C" w14:textId="1ED8CA24" w:rsidR="00792297" w:rsidRDefault="00792297" w:rsidP="00792297">
            <w:pPr>
              <w:pStyle w:val="Table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 xml:space="preserve">IHWT program </w:t>
            </w:r>
            <w:r w:rsidR="00E13073">
              <w:t>comprises.</w:t>
            </w:r>
          </w:p>
          <w:p w14:paraId="77E66AF6" w14:textId="77777777" w:rsidR="00792297" w:rsidRDefault="00792297" w:rsidP="00792297">
            <w:pPr>
              <w:pStyle w:val="Table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administration activities to support</w:t>
            </w:r>
          </w:p>
          <w:p w14:paraId="31CF9D80" w14:textId="77777777" w:rsidR="00792297" w:rsidRDefault="00792297" w:rsidP="00792297">
            <w:pPr>
              <w:pStyle w:val="Table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employment of a Coordinator,</w:t>
            </w:r>
          </w:p>
          <w:p w14:paraId="68CB21C3" w14:textId="77777777" w:rsidR="00792297" w:rsidRDefault="00792297" w:rsidP="00792297">
            <w:pPr>
              <w:pStyle w:val="Table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trainee supports, promotion, and</w:t>
            </w:r>
          </w:p>
          <w:p w14:paraId="1912046E" w14:textId="77777777" w:rsidR="00792297" w:rsidRDefault="00792297" w:rsidP="00792297">
            <w:pPr>
              <w:pStyle w:val="Table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provides ongoing engagement and</w:t>
            </w:r>
          </w:p>
          <w:p w14:paraId="2DEC9463" w14:textId="77777777" w:rsidR="00792297" w:rsidRDefault="00792297" w:rsidP="00792297">
            <w:pPr>
              <w:pStyle w:val="Table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support to ACCHSs and RTOs. The</w:t>
            </w:r>
          </w:p>
          <w:p w14:paraId="5FC63161" w14:textId="33F20647" w:rsidR="00792297" w:rsidRDefault="00792297" w:rsidP="00792297">
            <w:pPr>
              <w:pStyle w:val="Table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 xml:space="preserve">Traineeship component </w:t>
            </w:r>
            <w:r w:rsidR="00E13073">
              <w:t>provides.</w:t>
            </w:r>
          </w:p>
          <w:p w14:paraId="1B1AE45C" w14:textId="77777777" w:rsidR="00792297" w:rsidRDefault="00792297" w:rsidP="00792297">
            <w:pPr>
              <w:pStyle w:val="Table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lastRenderedPageBreak/>
              <w:t>trainee wages, travel and</w:t>
            </w:r>
          </w:p>
          <w:p w14:paraId="6608AD68" w14:textId="77777777" w:rsidR="00792297" w:rsidRDefault="00792297" w:rsidP="00792297">
            <w:pPr>
              <w:pStyle w:val="Table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accommodation support for</w:t>
            </w:r>
          </w:p>
          <w:p w14:paraId="69141A2D" w14:textId="24C649C4" w:rsidR="00792297" w:rsidRPr="00CD3C9F" w:rsidRDefault="00792297" w:rsidP="00792297">
            <w:pPr>
              <w:pStyle w:val="Table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t>trainees.</w:t>
            </w:r>
          </w:p>
        </w:tc>
      </w:tr>
      <w:tr w:rsidR="00792297" w:rsidRPr="00984C59" w14:paraId="7F62EAFD" w14:textId="77777777" w:rsidTr="00CB4A9B">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0155FEA3" w14:textId="4967EEF6" w:rsidR="00792297" w:rsidRPr="00792297" w:rsidRDefault="00792297" w:rsidP="00D41E96">
            <w:pPr>
              <w:rPr>
                <w:b w:val="0"/>
                <w:bCs w:val="0"/>
              </w:rPr>
            </w:pPr>
            <w:hyperlink r:id="rId27" w:history="1">
              <w:r w:rsidRPr="00792297">
                <w:rPr>
                  <w:rStyle w:val="Hyperlink"/>
                  <w:b w:val="0"/>
                  <w:bCs w:val="0"/>
                </w:rPr>
                <w:t>First Nations Health Worker Traineeship Program</w:t>
              </w:r>
            </w:hyperlink>
          </w:p>
        </w:tc>
        <w:tc>
          <w:tcPr>
            <w:tcW w:w="3828" w:type="dxa"/>
            <w:shd w:val="clear" w:color="auto" w:fill="FFFFFF" w:themeFill="background1"/>
          </w:tcPr>
          <w:p w14:paraId="5B676487" w14:textId="77777777" w:rsidR="00792297" w:rsidRDefault="00792297" w:rsidP="00792297">
            <w:pPr>
              <w:cnfStyle w:val="000000000000" w:firstRow="0" w:lastRow="0" w:firstColumn="0" w:lastColumn="0" w:oddVBand="0" w:evenVBand="0" w:oddHBand="0" w:evenHBand="0" w:firstRowFirstColumn="0" w:firstRowLastColumn="0" w:lastRowFirstColumn="0" w:lastRowLastColumn="0"/>
            </w:pPr>
            <w:r>
              <w:t>The First Nations Health Worker Traineeship Program provides funding</w:t>
            </w:r>
            <w:r w:rsidDel="00DC0AC0">
              <w:t xml:space="preserve"> </w:t>
            </w:r>
            <w:r>
              <w:t>to the National Aboriginal Community Controlled Health Organisation (NACCHO) to deliver the program.</w:t>
            </w:r>
          </w:p>
          <w:p w14:paraId="28886510" w14:textId="77777777" w:rsidR="00792297" w:rsidRDefault="00792297" w:rsidP="00792297">
            <w:pPr>
              <w:cnfStyle w:val="000000000000" w:firstRow="0" w:lastRow="0" w:firstColumn="0" w:lastColumn="0" w:oddVBand="0" w:evenVBand="0" w:oddHBand="0" w:evenHBand="0" w:firstRowFirstColumn="0" w:firstRowLastColumn="0" w:lastRowFirstColumn="0" w:lastRowLastColumn="0"/>
            </w:pPr>
            <w:r>
              <w:t>Program aims to:</w:t>
            </w:r>
          </w:p>
          <w:p w14:paraId="1399DE5F" w14:textId="1288C4FF" w:rsidR="00792297" w:rsidRDefault="00792297" w:rsidP="00792297">
            <w:pPr>
              <w:pStyle w:val="Tablelistbullet"/>
              <w:cnfStyle w:val="000000000000" w:firstRow="0" w:lastRow="0" w:firstColumn="0" w:lastColumn="0" w:oddVBand="0" w:evenVBand="0" w:oddHBand="0" w:evenHBand="0" w:firstRowFirstColumn="0" w:firstRowLastColumn="0" w:lastRowFirstColumn="0" w:lastRowLastColumn="0"/>
            </w:pPr>
            <w:r>
              <w:t xml:space="preserve">increase supply of health workers and </w:t>
            </w:r>
            <w:r w:rsidR="00E13073">
              <w:t>practitioners.</w:t>
            </w:r>
          </w:p>
          <w:p w14:paraId="7C4C167F" w14:textId="6D93C933" w:rsidR="00792297" w:rsidRDefault="00792297" w:rsidP="00792297">
            <w:pPr>
              <w:pStyle w:val="Tablelistbullet"/>
              <w:cnfStyle w:val="000000000000" w:firstRow="0" w:lastRow="0" w:firstColumn="0" w:lastColumn="0" w:oddVBand="0" w:evenVBand="0" w:oddHBand="0" w:evenHBand="0" w:firstRowFirstColumn="0" w:firstRowLastColumn="0" w:lastRowFirstColumn="0" w:lastRowLastColumn="0"/>
            </w:pPr>
            <w:r>
              <w:t xml:space="preserve">address health workforce shortages in rural, regional and remote </w:t>
            </w:r>
            <w:r w:rsidR="00E13073">
              <w:t>Australia.</w:t>
            </w:r>
          </w:p>
          <w:p w14:paraId="5B165DFF" w14:textId="75814BF6" w:rsidR="00792297" w:rsidRPr="00473B77" w:rsidRDefault="00792297" w:rsidP="00792297">
            <w:pPr>
              <w:pStyle w:val="Tablelistbullet"/>
              <w:cnfStyle w:val="000000000000" w:firstRow="0" w:lastRow="0" w:firstColumn="0" w:lastColumn="0" w:oddVBand="0" w:evenVBand="0" w:oddHBand="0" w:evenHBand="0" w:firstRowFirstColumn="0" w:firstRowLastColumn="0" w:lastRowFirstColumn="0" w:lastRowLastColumn="0"/>
            </w:pPr>
            <w:r>
              <w:t>ensure capable and qualified workforce.</w:t>
            </w:r>
          </w:p>
        </w:tc>
        <w:tc>
          <w:tcPr>
            <w:tcW w:w="3536" w:type="dxa"/>
            <w:shd w:val="clear" w:color="auto" w:fill="FFFFFF" w:themeFill="background1"/>
          </w:tcPr>
          <w:p w14:paraId="0420F4FB" w14:textId="2131454E" w:rsidR="00792297" w:rsidRDefault="00792297" w:rsidP="00792297">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The First Nations Health Worker Traineeship Program </w:t>
            </w:r>
            <w:r w:rsidRPr="00CE0325">
              <w:rPr>
                <w:rFonts w:eastAsia="Calibri"/>
              </w:rPr>
              <w:t>funds the relevant Aboriginal Community Controlled Health Organisation to support the trainee’s clinical placement, and the RTO</w:t>
            </w:r>
            <w:r>
              <w:t>. This</w:t>
            </w:r>
            <w:r w:rsidRPr="00CE0325">
              <w:rPr>
                <w:rFonts w:eastAsia="Calibri"/>
              </w:rPr>
              <w:t xml:space="preserve"> support</w:t>
            </w:r>
            <w:r>
              <w:t>s</w:t>
            </w:r>
            <w:r w:rsidRPr="00CE0325">
              <w:rPr>
                <w:rFonts w:eastAsia="Calibri"/>
              </w:rPr>
              <w:t xml:space="preserve"> successful completion of the qualification. During the program, trainees will be able to access tutoring and mentoring, help with English literacy, travel and accommodation, as well as other supports</w:t>
            </w:r>
            <w:r>
              <w:rPr>
                <w:rFonts w:eastAsia="Calibri"/>
              </w:rPr>
              <w:t>.</w:t>
            </w:r>
          </w:p>
        </w:tc>
      </w:tr>
      <w:tr w:rsidR="00792297" w:rsidRPr="00984C59" w14:paraId="72DD3E98" w14:textId="77777777" w:rsidTr="00CB4A9B">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4DE1A0E6" w14:textId="0257DCE2" w:rsidR="00792297" w:rsidRPr="00792297" w:rsidRDefault="00792297" w:rsidP="00D41E96">
            <w:pPr>
              <w:rPr>
                <w:b w:val="0"/>
                <w:bCs w:val="0"/>
              </w:rPr>
            </w:pPr>
            <w:hyperlink r:id="rId28" w:history="1">
              <w:r w:rsidRPr="00792297">
                <w:rPr>
                  <w:rStyle w:val="Hyperlink"/>
                  <w:b w:val="0"/>
                  <w:bCs w:val="0"/>
                </w:rPr>
                <w:t>Lowitja O’Donoghue Foundation – Nursing Scholarships</w:t>
              </w:r>
            </w:hyperlink>
          </w:p>
        </w:tc>
        <w:tc>
          <w:tcPr>
            <w:tcW w:w="3828" w:type="dxa"/>
            <w:shd w:val="clear" w:color="auto" w:fill="FFFFFF" w:themeFill="background1"/>
          </w:tcPr>
          <w:p w14:paraId="42FC027C" w14:textId="77777777" w:rsidR="00792297" w:rsidRPr="000E69F3" w:rsidRDefault="00792297" w:rsidP="00792297">
            <w:pPr>
              <w:cnfStyle w:val="000000000000" w:firstRow="0" w:lastRow="0" w:firstColumn="0" w:lastColumn="0" w:oddVBand="0" w:evenVBand="0" w:oddHBand="0" w:evenHBand="0" w:firstRowFirstColumn="0" w:firstRowLastColumn="0" w:lastRowFirstColumn="0" w:lastRowLastColumn="0"/>
              <w:rPr>
                <w:rFonts w:cs="Calibri"/>
                <w:szCs w:val="22"/>
                <w:lang w:eastAsia="en-AU"/>
              </w:rPr>
            </w:pPr>
            <w:r w:rsidRPr="000E69F3">
              <w:rPr>
                <w:rFonts w:cs="Calibri"/>
                <w:szCs w:val="22"/>
                <w:lang w:eastAsia="en-AU"/>
              </w:rPr>
              <w:t>The Lowitja O’Donoghue Foundation Nursing Scholarships support aspiring and current nurses in advancing their qualifications. Funding is provided to the National Indigenous Australians Agency (NIAA) to support the Lowitja O’Donoghue Foundation Nursing Scholarships.</w:t>
            </w:r>
          </w:p>
          <w:p w14:paraId="63E67537" w14:textId="58F835FF" w:rsidR="00792297" w:rsidRDefault="00792297" w:rsidP="00792297">
            <w:pPr>
              <w:cnfStyle w:val="000000000000" w:firstRow="0" w:lastRow="0" w:firstColumn="0" w:lastColumn="0" w:oddVBand="0" w:evenVBand="0" w:oddHBand="0" w:evenHBand="0" w:firstRowFirstColumn="0" w:firstRowLastColumn="0" w:lastRowFirstColumn="0" w:lastRowLastColumn="0"/>
            </w:pPr>
            <w:r>
              <w:t>The scholarships will increase the number of Aboriginal and Torres Strait Islander nurses who are able to provide culturally safe care, which positively impacts on all Aboriginal and Torres Strait Islander people.</w:t>
            </w:r>
          </w:p>
        </w:tc>
        <w:tc>
          <w:tcPr>
            <w:tcW w:w="3536" w:type="dxa"/>
            <w:shd w:val="clear" w:color="auto" w:fill="FFFFFF" w:themeFill="background1"/>
          </w:tcPr>
          <w:p w14:paraId="1B2B9AC5" w14:textId="47BE3863" w:rsidR="00792297" w:rsidRDefault="00792297" w:rsidP="00792297">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r w:rsidRPr="00142E08">
              <w:t>The first round of scholarship applications opened in November 2024 and close</w:t>
            </w:r>
            <w:r>
              <w:t>d</w:t>
            </w:r>
            <w:r w:rsidRPr="00142E08">
              <w:t xml:space="preserve"> in January 2025. The scholarships are open to all Aboriginal and Torres Strait Islander students enrolled in either a Diploma of Nursing, Bachelor of Nursing or higher-degree course, across all MM</w:t>
            </w:r>
            <w:r>
              <w:t xml:space="preserve"> locations</w:t>
            </w:r>
            <w:r w:rsidRPr="00142E08">
              <w:t>. The scholarships can be used to cover course fees and/or some study costs (such as course-related accommodation and transport).</w:t>
            </w:r>
          </w:p>
        </w:tc>
      </w:tr>
      <w:tr w:rsidR="00792297" w:rsidRPr="00984C59" w14:paraId="3C639885" w14:textId="77777777" w:rsidTr="00CB4A9B">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165019E4" w14:textId="41DC9D94" w:rsidR="00792297" w:rsidRPr="00792297" w:rsidRDefault="00792297" w:rsidP="00D41E96">
            <w:pPr>
              <w:rPr>
                <w:b w:val="0"/>
                <w:bCs w:val="0"/>
              </w:rPr>
            </w:pPr>
            <w:hyperlink r:id="rId29" w:history="1">
              <w:r w:rsidRPr="00792297">
                <w:rPr>
                  <w:rStyle w:val="Hyperlink"/>
                  <w:b w:val="0"/>
                  <w:bCs w:val="0"/>
                </w:rPr>
                <w:t>Nursing in Primary Health Care (NiPHC) program</w:t>
              </w:r>
            </w:hyperlink>
          </w:p>
        </w:tc>
        <w:tc>
          <w:tcPr>
            <w:tcW w:w="3828" w:type="dxa"/>
            <w:shd w:val="clear" w:color="auto" w:fill="FFFFFF" w:themeFill="background1"/>
          </w:tcPr>
          <w:p w14:paraId="19FDECDD" w14:textId="625E7D68" w:rsidR="00792297" w:rsidRPr="00792297" w:rsidRDefault="00792297" w:rsidP="00792297">
            <w:pPr>
              <w:cnfStyle w:val="000000000000" w:firstRow="0" w:lastRow="0" w:firstColumn="0" w:lastColumn="0" w:oddVBand="0" w:evenVBand="0" w:oddHBand="0" w:evenHBand="0" w:firstRowFirstColumn="0" w:firstRowLastColumn="0" w:lastRowFirstColumn="0" w:lastRowLastColumn="0"/>
            </w:pPr>
            <w:r w:rsidRPr="00263B68">
              <w:t xml:space="preserve">The NiPHC program aims to build capability and capacity among the primary health care (PHC) nursing workforce by promoting employment of and providing training and mentoring to, nurses working in primary care settings. The program includes three projects: the Transition to Practice Program (TPP), Building Nurse Capacity </w:t>
            </w:r>
            <w:r w:rsidRPr="00263B68">
              <w:lastRenderedPageBreak/>
              <w:t xml:space="preserve">(BNC) clinics and Chronic Disease Management and Healthy Ageing </w:t>
            </w:r>
            <w:r>
              <w:t>Training.</w:t>
            </w:r>
          </w:p>
        </w:tc>
        <w:tc>
          <w:tcPr>
            <w:tcW w:w="3536" w:type="dxa"/>
            <w:shd w:val="clear" w:color="auto" w:fill="FFFFFF" w:themeFill="background1"/>
          </w:tcPr>
          <w:p w14:paraId="14971748" w14:textId="77777777" w:rsidR="00792297" w:rsidRPr="00263B68" w:rsidRDefault="00792297" w:rsidP="00792297">
            <w:pPr>
              <w:cnfStyle w:val="000000000000" w:firstRow="0" w:lastRow="0" w:firstColumn="0" w:lastColumn="0" w:oddVBand="0" w:evenVBand="0" w:oddHBand="0" w:evenHBand="0" w:firstRowFirstColumn="0" w:firstRowLastColumn="0" w:lastRowFirstColumn="0" w:lastRowLastColumn="0"/>
            </w:pPr>
            <w:r w:rsidRPr="00263B68">
              <w:lastRenderedPageBreak/>
              <w:t>Payments are made to nurses and mentors in the TPP.</w:t>
            </w:r>
          </w:p>
          <w:p w14:paraId="0364D989" w14:textId="77777777" w:rsidR="00792297" w:rsidRDefault="00792297" w:rsidP="00792297">
            <w:pPr>
              <w:cnfStyle w:val="000000000000" w:firstRow="0" w:lastRow="0" w:firstColumn="0" w:lastColumn="0" w:oddVBand="0" w:evenVBand="0" w:oddHBand="0" w:evenHBand="0" w:firstRowFirstColumn="0" w:firstRowLastColumn="0" w:lastRowFirstColumn="0" w:lastRowLastColumn="0"/>
            </w:pPr>
            <w:r w:rsidRPr="00263B68">
              <w:t>Primary health care organisations are paid to participate in BNC clinics.</w:t>
            </w:r>
          </w:p>
          <w:p w14:paraId="4EFA0EF9" w14:textId="434A6BAB" w:rsidR="00792297" w:rsidRDefault="00792297" w:rsidP="00792297">
            <w:pPr>
              <w:cnfStyle w:val="000000000000" w:firstRow="0" w:lastRow="0" w:firstColumn="0" w:lastColumn="0" w:oddVBand="0" w:evenVBand="0" w:oddHBand="0" w:evenHBand="0" w:firstRowFirstColumn="0" w:firstRowLastColumn="0" w:lastRowFirstColumn="0" w:lastRowLastColumn="0"/>
            </w:pPr>
            <w:r w:rsidRPr="00263B68">
              <w:t>Primary Health Networks (PHNs)</w:t>
            </w:r>
            <w:r>
              <w:t xml:space="preserve"> may </w:t>
            </w:r>
            <w:r w:rsidRPr="00263B68">
              <w:t xml:space="preserve">subsidise participation of nurses </w:t>
            </w:r>
            <w:r w:rsidRPr="00263B68">
              <w:lastRenderedPageBreak/>
              <w:t>in projects</w:t>
            </w:r>
            <w:r>
              <w:t xml:space="preserve"> via co-sponsorship of placements and/or training</w:t>
            </w:r>
            <w:r w:rsidRPr="00263B68">
              <w:t>.</w:t>
            </w:r>
          </w:p>
          <w:p w14:paraId="3D749421" w14:textId="77777777" w:rsidR="00792297" w:rsidRPr="00142E08" w:rsidRDefault="00792297" w:rsidP="00792297">
            <w:pPr>
              <w:pStyle w:val="Table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792297" w:rsidRPr="00984C59" w14:paraId="3D38C816" w14:textId="77777777" w:rsidTr="00CB4A9B">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55B69DEF" w14:textId="739C04AA" w:rsidR="00792297" w:rsidRPr="00792297" w:rsidRDefault="00792297" w:rsidP="00D41E96">
            <w:pPr>
              <w:rPr>
                <w:b w:val="0"/>
                <w:bCs w:val="0"/>
              </w:rPr>
            </w:pPr>
            <w:hyperlink r:id="rId30" w:history="1">
              <w:r w:rsidRPr="00253719">
                <w:rPr>
                  <w:rStyle w:val="Hyperlink"/>
                  <w:b w:val="0"/>
                  <w:bCs w:val="0"/>
                </w:rPr>
                <w:t>National Nurse Clinical Placement Program</w:t>
              </w:r>
            </w:hyperlink>
          </w:p>
        </w:tc>
        <w:tc>
          <w:tcPr>
            <w:tcW w:w="3828" w:type="dxa"/>
            <w:shd w:val="clear" w:color="auto" w:fill="FFFFFF" w:themeFill="background1"/>
          </w:tcPr>
          <w:p w14:paraId="680FC164" w14:textId="77777777" w:rsidR="00792297" w:rsidRPr="0094106B" w:rsidRDefault="00792297" w:rsidP="00792297">
            <w:pPr>
              <w:cnfStyle w:val="000000000000" w:firstRow="0" w:lastRow="0" w:firstColumn="0" w:lastColumn="0" w:oddVBand="0" w:evenVBand="0" w:oddHBand="0" w:evenHBand="0" w:firstRowFirstColumn="0" w:firstRowLastColumn="0" w:lastRowFirstColumn="0" w:lastRowLastColumn="0"/>
            </w:pPr>
            <w:r w:rsidRPr="00A20225">
              <w:t xml:space="preserve">The NNCPP </w:t>
            </w:r>
            <w:r w:rsidRPr="0094106B">
              <w:t>will provide students with practical experience of primary health care nursing and increase capacity in primary health care to meet future demand.    </w:t>
            </w:r>
          </w:p>
          <w:p w14:paraId="59D5B1CA" w14:textId="130997FE" w:rsidR="00792297" w:rsidRPr="00263B68" w:rsidRDefault="00792297" w:rsidP="00792297">
            <w:pPr>
              <w:cnfStyle w:val="000000000000" w:firstRow="0" w:lastRow="0" w:firstColumn="0" w:lastColumn="0" w:oddVBand="0" w:evenVBand="0" w:oddHBand="0" w:evenHBand="0" w:firstRowFirstColumn="0" w:firstRowLastColumn="0" w:lastRowFirstColumn="0" w:lastRowLastColumn="0"/>
            </w:pPr>
            <w:r w:rsidRPr="00A20225">
              <w:t>C</w:t>
            </w:r>
            <w:r w:rsidRPr="0094106B">
              <w:t xml:space="preserve">linical placements </w:t>
            </w:r>
            <w:r w:rsidRPr="00A20225">
              <w:t xml:space="preserve">will be sought </w:t>
            </w:r>
            <w:r w:rsidRPr="0094106B">
              <w:t>for up to 6000 nursing students from primary care health services, focusing on second-and third-year students, with the aim of working toward population parity in First Nations representation among primary care nurses.  </w:t>
            </w:r>
          </w:p>
        </w:tc>
        <w:tc>
          <w:tcPr>
            <w:tcW w:w="3536" w:type="dxa"/>
            <w:shd w:val="clear" w:color="auto" w:fill="FFFFFF" w:themeFill="background1"/>
          </w:tcPr>
          <w:p w14:paraId="584D6FDB" w14:textId="77777777" w:rsidR="00792297" w:rsidRPr="00602210" w:rsidRDefault="00792297" w:rsidP="00792297">
            <w:pPr>
              <w:cnfStyle w:val="000000000000" w:firstRow="0" w:lastRow="0" w:firstColumn="0" w:lastColumn="0" w:oddVBand="0" w:evenVBand="0" w:oddHBand="0" w:evenHBand="0" w:firstRowFirstColumn="0" w:firstRowLastColumn="0" w:lastRowFirstColumn="0" w:lastRowLastColumn="0"/>
            </w:pPr>
            <w:r w:rsidRPr="00602210">
              <w:t>The placements will occur across all MMMs with no specific targets.</w:t>
            </w:r>
          </w:p>
          <w:p w14:paraId="2DC909F0" w14:textId="77777777" w:rsidR="00792297" w:rsidRDefault="00792297" w:rsidP="00792297">
            <w:pPr>
              <w:cnfStyle w:val="000000000000" w:firstRow="0" w:lastRow="0" w:firstColumn="0" w:lastColumn="0" w:oddVBand="0" w:evenVBand="0" w:oddHBand="0" w:evenHBand="0" w:firstRowFirstColumn="0" w:firstRowLastColumn="0" w:lastRowFirstColumn="0" w:lastRowLastColumn="0"/>
            </w:pPr>
            <w:r w:rsidRPr="00602210">
              <w:t>3.8% of placements will be for First Nations students.</w:t>
            </w:r>
          </w:p>
          <w:p w14:paraId="761275A9" w14:textId="77777777" w:rsidR="00792297" w:rsidRPr="00263B68" w:rsidRDefault="00792297" w:rsidP="00792297">
            <w:pPr>
              <w:cnfStyle w:val="000000000000" w:firstRow="0" w:lastRow="0" w:firstColumn="0" w:lastColumn="0" w:oddVBand="0" w:evenVBand="0" w:oddHBand="0" w:evenHBand="0" w:firstRowFirstColumn="0" w:firstRowLastColumn="0" w:lastRowFirstColumn="0" w:lastRowLastColumn="0"/>
            </w:pPr>
          </w:p>
        </w:tc>
      </w:tr>
      <w:tr w:rsidR="00792297" w:rsidRPr="00984C59" w14:paraId="525C8BEE" w14:textId="77777777" w:rsidTr="00410016">
        <w:tc>
          <w:tcPr>
            <w:cnfStyle w:val="001000000000" w:firstRow="0" w:lastRow="0" w:firstColumn="1" w:lastColumn="0" w:oddVBand="0" w:evenVBand="0" w:oddHBand="0" w:evenHBand="0" w:firstRowFirstColumn="0" w:firstRowLastColumn="0" w:lastRowFirstColumn="0" w:lastRowLastColumn="0"/>
            <w:tcW w:w="9060" w:type="dxa"/>
            <w:gridSpan w:val="3"/>
            <w:shd w:val="clear" w:color="auto" w:fill="E6E6E6" w:themeFill="background2"/>
          </w:tcPr>
          <w:p w14:paraId="70A057FE" w14:textId="607D32D1" w:rsidR="00792297" w:rsidRPr="007851F3" w:rsidRDefault="00792297" w:rsidP="007851F3">
            <w:pPr>
              <w:pStyle w:val="Heading1"/>
              <w:rPr>
                <w:sz w:val="28"/>
                <w:szCs w:val="28"/>
              </w:rPr>
            </w:pPr>
            <w:bookmarkStart w:id="11" w:name="_Toc209427956"/>
            <w:r w:rsidRPr="007851F3">
              <w:rPr>
                <w:color w:val="auto"/>
                <w:sz w:val="28"/>
                <w:szCs w:val="28"/>
              </w:rPr>
              <w:t>Outreach Service Delivery Support</w:t>
            </w:r>
            <w:bookmarkEnd w:id="11"/>
          </w:p>
        </w:tc>
      </w:tr>
      <w:tr w:rsidR="00792297" w:rsidRPr="00984C59" w14:paraId="00D7041A" w14:textId="77777777" w:rsidTr="00CB4A9B">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6350D55B" w14:textId="73FAB5E2" w:rsidR="00792297" w:rsidRPr="00792297" w:rsidRDefault="00792297" w:rsidP="00D41E96">
            <w:pPr>
              <w:rPr>
                <w:b w:val="0"/>
                <w:bCs w:val="0"/>
              </w:rPr>
            </w:pPr>
            <w:hyperlink r:id="rId31" w:history="1">
              <w:r w:rsidRPr="00792297">
                <w:rPr>
                  <w:rStyle w:val="Hyperlink"/>
                  <w:b w:val="0"/>
                  <w:bCs w:val="0"/>
                </w:rPr>
                <w:t>Medical Outreach Indigenous Chronic Disease Program</w:t>
              </w:r>
            </w:hyperlink>
            <w:r w:rsidRPr="00792297">
              <w:rPr>
                <w:rStyle w:val="Hyperlink"/>
                <w:b w:val="0"/>
                <w:bCs w:val="0"/>
              </w:rPr>
              <w:t xml:space="preserve"> (MOICDP)</w:t>
            </w:r>
          </w:p>
        </w:tc>
        <w:tc>
          <w:tcPr>
            <w:tcW w:w="3828" w:type="dxa"/>
            <w:shd w:val="clear" w:color="auto" w:fill="FFFFFF" w:themeFill="background1"/>
          </w:tcPr>
          <w:p w14:paraId="2F15F414" w14:textId="1EAB04E0" w:rsidR="00792297" w:rsidRPr="00A20225" w:rsidRDefault="00792297" w:rsidP="00792297">
            <w:pPr>
              <w:cnfStyle w:val="000000000000" w:firstRow="0" w:lastRow="0" w:firstColumn="0" w:lastColumn="0" w:oddVBand="0" w:evenVBand="0" w:oddHBand="0" w:evenHBand="0" w:firstRowFirstColumn="0" w:firstRowLastColumn="0" w:lastRowFirstColumn="0" w:lastRowLastColumn="0"/>
            </w:pPr>
            <w:r w:rsidRPr="00BA14C5">
              <w:t>Incentives are payable to health professionals providing chronic disease outreach services for Aboriginal and Torres Strait Islander people in MM</w:t>
            </w:r>
            <w:r>
              <w:t> </w:t>
            </w:r>
            <w:r w:rsidRPr="00BA14C5">
              <w:t>1-7 locations where the relevant State/Territory fund holder has identified a gap in services.</w:t>
            </w:r>
          </w:p>
        </w:tc>
        <w:tc>
          <w:tcPr>
            <w:tcW w:w="3536" w:type="dxa"/>
            <w:shd w:val="clear" w:color="auto" w:fill="FFFFFF" w:themeFill="background1"/>
          </w:tcPr>
          <w:p w14:paraId="78416BF1" w14:textId="42A95EF0" w:rsidR="00792297" w:rsidRPr="00602210" w:rsidRDefault="00792297" w:rsidP="00792297">
            <w:pPr>
              <w:cnfStyle w:val="000000000000" w:firstRow="0" w:lastRow="0" w:firstColumn="0" w:lastColumn="0" w:oddVBand="0" w:evenVBand="0" w:oddHBand="0" w:evenHBand="0" w:firstRowFirstColumn="0" w:firstRowLastColumn="0" w:lastRowFirstColumn="0" w:lastRowLastColumn="0"/>
            </w:pPr>
            <w:r w:rsidRPr="00BA14C5">
              <w:t>Costs associated with delivering outreach services are payable to eligible health professionals to remove a range of financial disincentives (e.g., travel, meals and accommodation).</w:t>
            </w:r>
          </w:p>
        </w:tc>
      </w:tr>
      <w:tr w:rsidR="00CB4A9B" w:rsidRPr="00984C59" w14:paraId="1D639419" w14:textId="77777777" w:rsidTr="00CB4A9B">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45B6D28D" w14:textId="22F24FC5" w:rsidR="00CB4A9B" w:rsidRPr="00CB4A9B" w:rsidRDefault="00CB4A9B" w:rsidP="00D41E96">
            <w:pPr>
              <w:rPr>
                <w:b w:val="0"/>
                <w:bCs w:val="0"/>
              </w:rPr>
            </w:pPr>
            <w:hyperlink r:id="rId32" w:history="1">
              <w:r w:rsidRPr="00CB4A9B">
                <w:rPr>
                  <w:rStyle w:val="Hyperlink"/>
                  <w:b w:val="0"/>
                  <w:bCs w:val="0"/>
                </w:rPr>
                <w:t>Visiting Optometrists Scheme (VOS)</w:t>
              </w:r>
            </w:hyperlink>
          </w:p>
        </w:tc>
        <w:tc>
          <w:tcPr>
            <w:tcW w:w="3828" w:type="dxa"/>
            <w:shd w:val="clear" w:color="auto" w:fill="FFFFFF" w:themeFill="background1"/>
          </w:tcPr>
          <w:p w14:paraId="7FE6DE56" w14:textId="77777777" w:rsidR="00CB4A9B" w:rsidRPr="00CE4E48" w:rsidRDefault="00CB4A9B" w:rsidP="00CB4A9B">
            <w:pPr>
              <w:cnfStyle w:val="000000000000" w:firstRow="0" w:lastRow="0" w:firstColumn="0" w:lastColumn="0" w:oddVBand="0" w:evenVBand="0" w:oddHBand="0" w:evenHBand="0" w:firstRowFirstColumn="0" w:firstRowLastColumn="0" w:lastRowFirstColumn="0" w:lastRowLastColumn="0"/>
            </w:pPr>
            <w:r w:rsidRPr="00CE4E48">
              <w:t xml:space="preserve">Provides outreach optometry services to Indigenous and non-Indigenous people in regional, rural, and remote locations by addressing financial disincentives incurred by optometrists providing outreach services in MM 2-7 (travel, accommodation and facility hire). </w:t>
            </w:r>
          </w:p>
          <w:p w14:paraId="11B84969" w14:textId="56EC83D3" w:rsidR="00CB4A9B" w:rsidRPr="00BA14C5" w:rsidRDefault="00CB4A9B" w:rsidP="00CB4A9B">
            <w:pPr>
              <w:cnfStyle w:val="000000000000" w:firstRow="0" w:lastRow="0" w:firstColumn="0" w:lastColumn="0" w:oddVBand="0" w:evenVBand="0" w:oddHBand="0" w:evenHBand="0" w:firstRowFirstColumn="0" w:firstRowLastColumn="0" w:lastRowFirstColumn="0" w:lastRowLastColumn="0"/>
            </w:pPr>
            <w:r w:rsidRPr="00CE4E48">
              <w:t>However, in recognition of the need for culturally sensitive services, VOS-funded outreach services may be provided to First Nations people in major cities (MM</w:t>
            </w:r>
            <w:r>
              <w:t xml:space="preserve"> </w:t>
            </w:r>
            <w:r w:rsidRPr="00CE4E48">
              <w:t>1), provided the service is delivered in an Aboriginal Community Controlled Health Service, Aboriginal Medical Service or other culturally safe host organisation.</w:t>
            </w:r>
          </w:p>
        </w:tc>
        <w:tc>
          <w:tcPr>
            <w:tcW w:w="3536" w:type="dxa"/>
            <w:shd w:val="clear" w:color="auto" w:fill="FFFFFF" w:themeFill="background1"/>
          </w:tcPr>
          <w:p w14:paraId="65E500FB" w14:textId="613448F5" w:rsidR="00CB4A9B" w:rsidRPr="00BA14C5" w:rsidRDefault="00CB4A9B" w:rsidP="00792297">
            <w:pPr>
              <w:cnfStyle w:val="000000000000" w:firstRow="0" w:lastRow="0" w:firstColumn="0" w:lastColumn="0" w:oddVBand="0" w:evenVBand="0" w:oddHBand="0" w:evenHBand="0" w:firstRowFirstColumn="0" w:firstRowLastColumn="0" w:lastRowFirstColumn="0" w:lastRowLastColumn="0"/>
            </w:pPr>
            <w:r w:rsidRPr="00CE4E48">
              <w:t>Costs associated with delivering outreach services are payable to optometrists to remove a range of financial disincentives (e.g., travel, meals and accommodation).</w:t>
            </w:r>
          </w:p>
        </w:tc>
      </w:tr>
    </w:tbl>
    <w:p w14:paraId="4DE2DEEE" w14:textId="77777777" w:rsidR="000D2D74" w:rsidRPr="006D0D8F" w:rsidRDefault="000D2D74" w:rsidP="000D2D74"/>
    <w:sectPr w:rsidR="000D2D74" w:rsidRPr="006D0D8F" w:rsidSect="006211EF">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056E" w14:textId="77777777" w:rsidR="00EC39A9" w:rsidRDefault="00EC39A9" w:rsidP="006B56BB">
      <w:r>
        <w:separator/>
      </w:r>
    </w:p>
    <w:p w14:paraId="36693796" w14:textId="77777777" w:rsidR="00EC39A9" w:rsidRDefault="00EC39A9"/>
  </w:endnote>
  <w:endnote w:type="continuationSeparator" w:id="0">
    <w:p w14:paraId="21990457" w14:textId="77777777" w:rsidR="00EC39A9" w:rsidRDefault="00EC39A9" w:rsidP="006B56BB">
      <w:r>
        <w:continuationSeparator/>
      </w:r>
    </w:p>
    <w:p w14:paraId="0648531A" w14:textId="77777777" w:rsidR="00EC39A9" w:rsidRDefault="00EC39A9"/>
  </w:endnote>
  <w:endnote w:type="continuationNotice" w:id="1">
    <w:p w14:paraId="294A61BA" w14:textId="77777777" w:rsidR="00EC39A9" w:rsidRDefault="00EC3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9908" w14:textId="77777777" w:rsidR="00224BD7" w:rsidRDefault="00224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657018"/>
      <w:docPartObj>
        <w:docPartGallery w:val="Page Numbers (Bottom of Page)"/>
        <w:docPartUnique/>
      </w:docPartObj>
    </w:sdtPr>
    <w:sdtContent>
      <w:p w14:paraId="31ED6C07" w14:textId="77777777" w:rsidR="00224BD7" w:rsidRDefault="00224BD7" w:rsidP="00224BD7">
        <w:pPr>
          <w:pStyle w:val="Footer"/>
        </w:pPr>
        <w:r>
          <w:t>Last Updated: September 2025</w:t>
        </w:r>
      </w:p>
      <w:p w14:paraId="054F7814" w14:textId="7C561FE8" w:rsidR="00224BD7" w:rsidRDefault="00224BD7">
        <w:pPr>
          <w:pStyle w:val="Footer"/>
          <w:jc w:val="right"/>
        </w:pPr>
        <w:r>
          <w:fldChar w:fldCharType="begin"/>
        </w:r>
        <w:r>
          <w:instrText>PAGE   \* MERGEFORMAT</w:instrText>
        </w:r>
        <w:r>
          <w:fldChar w:fldCharType="separate"/>
        </w:r>
        <w:r>
          <w:rPr>
            <w:lang w:val="en-GB"/>
          </w:rPr>
          <w:t>2</w:t>
        </w:r>
        <w:r>
          <w:fldChar w:fldCharType="end"/>
        </w:r>
      </w:p>
    </w:sdtContent>
  </w:sdt>
  <w:p w14:paraId="09B7DB63" w14:textId="0564C112" w:rsidR="00D91E14" w:rsidRDefault="00D91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748509"/>
      <w:docPartObj>
        <w:docPartGallery w:val="Page Numbers (Bottom of Page)"/>
        <w:docPartUnique/>
      </w:docPartObj>
    </w:sdtPr>
    <w:sdtContent>
      <w:p w14:paraId="56ADBA81" w14:textId="77777777" w:rsidR="00224BD7" w:rsidRDefault="00224BD7" w:rsidP="00224BD7">
        <w:pPr>
          <w:pStyle w:val="Footer"/>
        </w:pPr>
        <w:r>
          <w:t>Last Updated: September 2025</w:t>
        </w:r>
      </w:p>
      <w:p w14:paraId="66628D9A" w14:textId="61D8B9A8" w:rsidR="00224BD7" w:rsidRDefault="00224BD7">
        <w:pPr>
          <w:pStyle w:val="Footer"/>
          <w:jc w:val="right"/>
        </w:pPr>
        <w:r>
          <w:fldChar w:fldCharType="begin"/>
        </w:r>
        <w:r>
          <w:instrText>PAGE   \* MERGEFORMAT</w:instrText>
        </w:r>
        <w:r>
          <w:fldChar w:fldCharType="separate"/>
        </w:r>
        <w:r>
          <w:rPr>
            <w:lang w:val="en-GB"/>
          </w:rPr>
          <w:t>2</w:t>
        </w:r>
        <w:r>
          <w:fldChar w:fldCharType="end"/>
        </w:r>
      </w:p>
    </w:sdtContent>
  </w:sdt>
  <w:p w14:paraId="5E789224" w14:textId="54A20339" w:rsidR="003413A6" w:rsidRDefault="003413A6" w:rsidP="00DF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AF48" w14:textId="77777777" w:rsidR="00EC39A9" w:rsidRDefault="00EC39A9">
      <w:r>
        <w:separator/>
      </w:r>
    </w:p>
  </w:footnote>
  <w:footnote w:type="continuationSeparator" w:id="0">
    <w:p w14:paraId="1C6B4B27" w14:textId="77777777" w:rsidR="00EC39A9" w:rsidRDefault="00EC39A9">
      <w:r>
        <w:continuationSeparator/>
      </w:r>
    </w:p>
  </w:footnote>
  <w:footnote w:type="continuationNotice" w:id="1">
    <w:p w14:paraId="2F99512A" w14:textId="77777777" w:rsidR="00EC39A9" w:rsidRDefault="00EC39A9"/>
  </w:footnote>
  <w:footnote w:id="2">
    <w:p w14:paraId="6ED41990" w14:textId="792FD4CC" w:rsidR="00DC3DA5" w:rsidRPr="00801704" w:rsidRDefault="00DC3DA5" w:rsidP="000B23A2">
      <w:pPr>
        <w:pStyle w:val="FootnoteText"/>
        <w:spacing w:before="0" w:after="0"/>
        <w:rPr>
          <w:rFonts w:cstheme="minorHAnsi"/>
          <w:sz w:val="18"/>
          <w:szCs w:val="18"/>
        </w:rPr>
      </w:pPr>
      <w:r w:rsidRPr="00801704">
        <w:rPr>
          <w:rStyle w:val="FootnoteReference"/>
          <w:rFonts w:cstheme="minorHAnsi"/>
          <w:sz w:val="18"/>
          <w:szCs w:val="18"/>
        </w:rPr>
        <w:footnoteRef/>
      </w:r>
      <w:r w:rsidRPr="00801704">
        <w:rPr>
          <w:rFonts w:cstheme="minorHAnsi"/>
          <w:sz w:val="18"/>
          <w:szCs w:val="18"/>
        </w:rPr>
        <w:t xml:space="preserve"> Public hospitals can participate under the program providing the setting has either an agreement in place for the position to rotate out to an expanded setting for a minimum of 0.5 FTE (</w:t>
      </w:r>
      <w:r w:rsidR="00D21EE2" w:rsidRPr="00801704">
        <w:rPr>
          <w:rFonts w:cstheme="minorHAnsi"/>
          <w:sz w:val="18"/>
          <w:szCs w:val="18"/>
        </w:rPr>
        <w:t>e.g.,</w:t>
      </w:r>
      <w:r w:rsidRPr="00801704">
        <w:rPr>
          <w:rFonts w:cstheme="minorHAnsi"/>
          <w:sz w:val="18"/>
          <w:szCs w:val="18"/>
        </w:rPr>
        <w:t xml:space="preserve"> private/rural rotation) </w:t>
      </w:r>
      <w:r w:rsidRPr="00801704">
        <w:rPr>
          <w:rFonts w:cstheme="minorHAnsi"/>
          <w:b/>
          <w:sz w:val="18"/>
          <w:szCs w:val="18"/>
        </w:rPr>
        <w:t>or</w:t>
      </w:r>
      <w:r w:rsidRPr="00801704">
        <w:rPr>
          <w:rFonts w:cstheme="minorHAnsi"/>
          <w:sz w:val="18"/>
          <w:szCs w:val="18"/>
        </w:rPr>
        <w:t xml:space="preserve"> the public setting includes an expanded setting identified above (</w:t>
      </w:r>
      <w:r w:rsidR="00D21EE2" w:rsidRPr="00801704">
        <w:rPr>
          <w:rFonts w:cstheme="minorHAnsi"/>
          <w:sz w:val="18"/>
          <w:szCs w:val="18"/>
        </w:rPr>
        <w:t>e.g.,</w:t>
      </w:r>
      <w:r w:rsidRPr="00801704">
        <w:rPr>
          <w:rFonts w:cstheme="minorHAnsi"/>
          <w:sz w:val="18"/>
          <w:szCs w:val="18"/>
        </w:rPr>
        <w:t xml:space="preserve"> Aged Care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B318" w14:textId="77777777" w:rsidR="00224BD7" w:rsidRDefault="00224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A7DD" w14:textId="10A9D868"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621C" w14:textId="5EDFD3B0" w:rsidR="006211EF" w:rsidRDefault="006211EF">
    <w:pPr>
      <w:pStyle w:val="Header"/>
    </w:pPr>
    <w:r>
      <w:rPr>
        <w:noProof/>
        <w:lang w:eastAsia="en-AU"/>
      </w:rPr>
      <w:drawing>
        <wp:inline distT="0" distB="0" distL="0" distR="0" wp14:anchorId="4BC8F2D5" wp14:editId="766CE434">
          <wp:extent cx="5759450" cy="941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2E2EAE"/>
    <w:lvl w:ilvl="0">
      <w:start w:val="1"/>
      <w:numFmt w:val="decimal"/>
      <w:lvlText w:val="%1."/>
      <w:lvlJc w:val="left"/>
      <w:pPr>
        <w:tabs>
          <w:tab w:val="num" w:pos="360"/>
        </w:tabs>
        <w:ind w:left="360" w:hanging="360"/>
      </w:pPr>
    </w:lvl>
  </w:abstractNum>
  <w:abstractNum w:abstractNumId="1" w15:restartNumberingAfterBreak="0">
    <w:nsid w:val="02907F9E"/>
    <w:multiLevelType w:val="hybridMultilevel"/>
    <w:tmpl w:val="3EC460CE"/>
    <w:lvl w:ilvl="0" w:tplc="0C090001">
      <w:start w:val="1"/>
      <w:numFmt w:val="bullet"/>
      <w:lvlText w:val=""/>
      <w:lvlJc w:val="left"/>
      <w:pPr>
        <w:ind w:left="493" w:hanging="360"/>
      </w:pPr>
      <w:rPr>
        <w:rFonts w:ascii="Symbol" w:hAnsi="Symbol" w:hint="default"/>
      </w:rPr>
    </w:lvl>
    <w:lvl w:ilvl="1" w:tplc="0C090003" w:tentative="1">
      <w:start w:val="1"/>
      <w:numFmt w:val="bullet"/>
      <w:lvlText w:val="o"/>
      <w:lvlJc w:val="left"/>
      <w:pPr>
        <w:ind w:left="1213" w:hanging="360"/>
      </w:pPr>
      <w:rPr>
        <w:rFonts w:ascii="Courier New" w:hAnsi="Courier New" w:cs="Courier New" w:hint="default"/>
      </w:rPr>
    </w:lvl>
    <w:lvl w:ilvl="2" w:tplc="0C090005" w:tentative="1">
      <w:start w:val="1"/>
      <w:numFmt w:val="bullet"/>
      <w:lvlText w:val=""/>
      <w:lvlJc w:val="left"/>
      <w:pPr>
        <w:ind w:left="1933" w:hanging="360"/>
      </w:pPr>
      <w:rPr>
        <w:rFonts w:ascii="Wingdings" w:hAnsi="Wingdings" w:hint="default"/>
      </w:rPr>
    </w:lvl>
    <w:lvl w:ilvl="3" w:tplc="0C090001" w:tentative="1">
      <w:start w:val="1"/>
      <w:numFmt w:val="bullet"/>
      <w:lvlText w:val=""/>
      <w:lvlJc w:val="left"/>
      <w:pPr>
        <w:ind w:left="2653" w:hanging="360"/>
      </w:pPr>
      <w:rPr>
        <w:rFonts w:ascii="Symbol" w:hAnsi="Symbol" w:hint="default"/>
      </w:rPr>
    </w:lvl>
    <w:lvl w:ilvl="4" w:tplc="0C090003" w:tentative="1">
      <w:start w:val="1"/>
      <w:numFmt w:val="bullet"/>
      <w:lvlText w:val="o"/>
      <w:lvlJc w:val="left"/>
      <w:pPr>
        <w:ind w:left="3373" w:hanging="360"/>
      </w:pPr>
      <w:rPr>
        <w:rFonts w:ascii="Courier New" w:hAnsi="Courier New" w:cs="Courier New" w:hint="default"/>
      </w:rPr>
    </w:lvl>
    <w:lvl w:ilvl="5" w:tplc="0C090005" w:tentative="1">
      <w:start w:val="1"/>
      <w:numFmt w:val="bullet"/>
      <w:lvlText w:val=""/>
      <w:lvlJc w:val="left"/>
      <w:pPr>
        <w:ind w:left="4093" w:hanging="360"/>
      </w:pPr>
      <w:rPr>
        <w:rFonts w:ascii="Wingdings" w:hAnsi="Wingdings" w:hint="default"/>
      </w:rPr>
    </w:lvl>
    <w:lvl w:ilvl="6" w:tplc="0C090001" w:tentative="1">
      <w:start w:val="1"/>
      <w:numFmt w:val="bullet"/>
      <w:lvlText w:val=""/>
      <w:lvlJc w:val="left"/>
      <w:pPr>
        <w:ind w:left="4813" w:hanging="360"/>
      </w:pPr>
      <w:rPr>
        <w:rFonts w:ascii="Symbol" w:hAnsi="Symbol" w:hint="default"/>
      </w:rPr>
    </w:lvl>
    <w:lvl w:ilvl="7" w:tplc="0C090003" w:tentative="1">
      <w:start w:val="1"/>
      <w:numFmt w:val="bullet"/>
      <w:lvlText w:val="o"/>
      <w:lvlJc w:val="left"/>
      <w:pPr>
        <w:ind w:left="5533" w:hanging="360"/>
      </w:pPr>
      <w:rPr>
        <w:rFonts w:ascii="Courier New" w:hAnsi="Courier New" w:cs="Courier New" w:hint="default"/>
      </w:rPr>
    </w:lvl>
    <w:lvl w:ilvl="8" w:tplc="0C090005" w:tentative="1">
      <w:start w:val="1"/>
      <w:numFmt w:val="bullet"/>
      <w:lvlText w:val=""/>
      <w:lvlJc w:val="left"/>
      <w:pPr>
        <w:ind w:left="6253" w:hanging="360"/>
      </w:pPr>
      <w:rPr>
        <w:rFonts w:ascii="Wingdings" w:hAnsi="Wingdings" w:hint="default"/>
      </w:rPr>
    </w:lvl>
  </w:abstractNum>
  <w:abstractNum w:abstractNumId="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4E4894"/>
    <w:multiLevelType w:val="hybridMultilevel"/>
    <w:tmpl w:val="1484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57354D"/>
    <w:multiLevelType w:val="multilevel"/>
    <w:tmpl w:val="0372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3363506"/>
    <w:multiLevelType w:val="hybridMultilevel"/>
    <w:tmpl w:val="8E0E150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CE0383"/>
    <w:multiLevelType w:val="multilevel"/>
    <w:tmpl w:val="E3BA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128EE"/>
    <w:multiLevelType w:val="hybridMultilevel"/>
    <w:tmpl w:val="FF4ED8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4791CF7"/>
    <w:multiLevelType w:val="multilevel"/>
    <w:tmpl w:val="B600CB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7B117B4"/>
    <w:multiLevelType w:val="hybridMultilevel"/>
    <w:tmpl w:val="EEAE42BE"/>
    <w:lvl w:ilvl="0" w:tplc="53D0D3B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90525F"/>
    <w:multiLevelType w:val="multilevel"/>
    <w:tmpl w:val="86CA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61B90"/>
    <w:multiLevelType w:val="hybridMultilevel"/>
    <w:tmpl w:val="1C42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53E78A3"/>
    <w:multiLevelType w:val="hybridMultilevel"/>
    <w:tmpl w:val="01463C8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2B064DDC"/>
    <w:multiLevelType w:val="hybridMultilevel"/>
    <w:tmpl w:val="066E12D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31B94F0C"/>
    <w:multiLevelType w:val="hybridMultilevel"/>
    <w:tmpl w:val="DE76E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09411A"/>
    <w:multiLevelType w:val="hybridMultilevel"/>
    <w:tmpl w:val="75EEC858"/>
    <w:lvl w:ilvl="0" w:tplc="0C090001">
      <w:start w:val="1"/>
      <w:numFmt w:val="bullet"/>
      <w:lvlText w:val=""/>
      <w:lvlJc w:val="left"/>
      <w:pPr>
        <w:ind w:left="360" w:hanging="360"/>
      </w:pPr>
      <w:rPr>
        <w:rFonts w:ascii="Symbol" w:hAnsi="Symbol" w:hint="default"/>
      </w:rPr>
    </w:lvl>
    <w:lvl w:ilvl="1" w:tplc="D752FC2E">
      <w:start w:val="1"/>
      <w:numFmt w:val="bullet"/>
      <w:lvlText w:val=""/>
      <w:lvlJc w:val="left"/>
      <w:pPr>
        <w:ind w:left="850" w:hanging="360"/>
      </w:pPr>
      <w:rPr>
        <w:rFonts w:ascii="Symbol" w:hAnsi="Symbol"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A7856B0"/>
    <w:multiLevelType w:val="hybridMultilevel"/>
    <w:tmpl w:val="EBBADD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3C7AD4"/>
    <w:multiLevelType w:val="hybridMultilevel"/>
    <w:tmpl w:val="1930AB32"/>
    <w:lvl w:ilvl="0" w:tplc="C0D2B36C">
      <w:start w:val="1"/>
      <w:numFmt w:val="bullet"/>
      <w:pStyle w:val="Tablelistbullet2"/>
      <w:lvlText w:val="o"/>
      <w:lvlJc w:val="left"/>
      <w:pPr>
        <w:ind w:left="587"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64620E"/>
    <w:multiLevelType w:val="hybridMultilevel"/>
    <w:tmpl w:val="10365E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4E20E9"/>
    <w:multiLevelType w:val="hybridMultilevel"/>
    <w:tmpl w:val="610A2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836F88"/>
    <w:multiLevelType w:val="hybridMultilevel"/>
    <w:tmpl w:val="E2CAEA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C2935B4"/>
    <w:multiLevelType w:val="hybridMultilevel"/>
    <w:tmpl w:val="8A903446"/>
    <w:lvl w:ilvl="0" w:tplc="0C090001">
      <w:start w:val="1"/>
      <w:numFmt w:val="bullet"/>
      <w:lvlText w:val=""/>
      <w:lvlJc w:val="left"/>
      <w:pPr>
        <w:ind w:left="58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F8287E"/>
    <w:multiLevelType w:val="hybridMultilevel"/>
    <w:tmpl w:val="7AB4D7FC"/>
    <w:lvl w:ilvl="0" w:tplc="8676DD76">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1A622D"/>
    <w:multiLevelType w:val="multilevel"/>
    <w:tmpl w:val="6832D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5426788"/>
    <w:multiLevelType w:val="hybridMultilevel"/>
    <w:tmpl w:val="B4E8AA98"/>
    <w:lvl w:ilvl="0" w:tplc="CDD885AC">
      <w:start w:val="1"/>
      <w:numFmt w:val="bullet"/>
      <w:lvlText w:val=""/>
      <w:lvlJc w:val="left"/>
      <w:pPr>
        <w:ind w:left="720" w:hanging="360"/>
      </w:pPr>
      <w:rPr>
        <w:rFonts w:ascii="Symbol" w:hAnsi="Symbol" w:hint="default"/>
      </w:rPr>
    </w:lvl>
    <w:lvl w:ilvl="1" w:tplc="9C24B9D6">
      <w:start w:val="1"/>
      <w:numFmt w:val="bullet"/>
      <w:lvlText w:val="o"/>
      <w:lvlJc w:val="left"/>
      <w:pPr>
        <w:ind w:left="1440" w:hanging="360"/>
      </w:pPr>
      <w:rPr>
        <w:rFonts w:ascii="Courier New" w:hAnsi="Courier New" w:hint="default"/>
      </w:rPr>
    </w:lvl>
    <w:lvl w:ilvl="2" w:tplc="FB78BB60">
      <w:start w:val="1"/>
      <w:numFmt w:val="bullet"/>
      <w:lvlText w:val=""/>
      <w:lvlJc w:val="left"/>
      <w:pPr>
        <w:ind w:left="2160" w:hanging="360"/>
      </w:pPr>
      <w:rPr>
        <w:rFonts w:ascii="Wingdings" w:hAnsi="Wingdings" w:hint="default"/>
      </w:rPr>
    </w:lvl>
    <w:lvl w:ilvl="3" w:tplc="CC50B4A6">
      <w:start w:val="1"/>
      <w:numFmt w:val="bullet"/>
      <w:lvlText w:val=""/>
      <w:lvlJc w:val="left"/>
      <w:pPr>
        <w:ind w:left="2880" w:hanging="360"/>
      </w:pPr>
      <w:rPr>
        <w:rFonts w:ascii="Symbol" w:hAnsi="Symbol" w:hint="default"/>
      </w:rPr>
    </w:lvl>
    <w:lvl w:ilvl="4" w:tplc="CADC162E">
      <w:start w:val="1"/>
      <w:numFmt w:val="bullet"/>
      <w:lvlText w:val="o"/>
      <w:lvlJc w:val="left"/>
      <w:pPr>
        <w:ind w:left="3600" w:hanging="360"/>
      </w:pPr>
      <w:rPr>
        <w:rFonts w:ascii="Courier New" w:hAnsi="Courier New" w:hint="default"/>
      </w:rPr>
    </w:lvl>
    <w:lvl w:ilvl="5" w:tplc="68FC2C7E">
      <w:start w:val="1"/>
      <w:numFmt w:val="bullet"/>
      <w:lvlText w:val=""/>
      <w:lvlJc w:val="left"/>
      <w:pPr>
        <w:ind w:left="4320" w:hanging="360"/>
      </w:pPr>
      <w:rPr>
        <w:rFonts w:ascii="Wingdings" w:hAnsi="Wingdings" w:hint="default"/>
      </w:rPr>
    </w:lvl>
    <w:lvl w:ilvl="6" w:tplc="3DB6F86E">
      <w:start w:val="1"/>
      <w:numFmt w:val="bullet"/>
      <w:lvlText w:val=""/>
      <w:lvlJc w:val="left"/>
      <w:pPr>
        <w:ind w:left="5040" w:hanging="360"/>
      </w:pPr>
      <w:rPr>
        <w:rFonts w:ascii="Symbol" w:hAnsi="Symbol" w:hint="default"/>
      </w:rPr>
    </w:lvl>
    <w:lvl w:ilvl="7" w:tplc="2CB8FA0E">
      <w:start w:val="1"/>
      <w:numFmt w:val="bullet"/>
      <w:lvlText w:val="o"/>
      <w:lvlJc w:val="left"/>
      <w:pPr>
        <w:ind w:left="5760" w:hanging="360"/>
      </w:pPr>
      <w:rPr>
        <w:rFonts w:ascii="Courier New" w:hAnsi="Courier New" w:hint="default"/>
      </w:rPr>
    </w:lvl>
    <w:lvl w:ilvl="8" w:tplc="980EDD4E">
      <w:start w:val="1"/>
      <w:numFmt w:val="bullet"/>
      <w:lvlText w:val=""/>
      <w:lvlJc w:val="left"/>
      <w:pPr>
        <w:ind w:left="6480" w:hanging="360"/>
      </w:pPr>
      <w:rPr>
        <w:rFonts w:ascii="Wingdings" w:hAnsi="Wingdings" w:hint="default"/>
      </w:rPr>
    </w:lvl>
  </w:abstractNum>
  <w:abstractNum w:abstractNumId="32" w15:restartNumberingAfterBreak="0">
    <w:nsid w:val="787E4F64"/>
    <w:multiLevelType w:val="hybridMultilevel"/>
    <w:tmpl w:val="A942C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833253208">
    <w:abstractNumId w:val="26"/>
  </w:num>
  <w:num w:numId="2" w16cid:durableId="682165171">
    <w:abstractNumId w:val="29"/>
  </w:num>
  <w:num w:numId="3" w16cid:durableId="1961380763">
    <w:abstractNumId w:val="2"/>
  </w:num>
  <w:num w:numId="4" w16cid:durableId="769933316">
    <w:abstractNumId w:val="0"/>
  </w:num>
  <w:num w:numId="5" w16cid:durableId="2143035887">
    <w:abstractNumId w:val="33"/>
  </w:num>
  <w:num w:numId="6" w16cid:durableId="986474141">
    <w:abstractNumId w:val="8"/>
  </w:num>
  <w:num w:numId="7" w16cid:durableId="1363018141">
    <w:abstractNumId w:val="21"/>
  </w:num>
  <w:num w:numId="8" w16cid:durableId="1302231752">
    <w:abstractNumId w:val="23"/>
  </w:num>
  <w:num w:numId="9" w16cid:durableId="1085689242">
    <w:abstractNumId w:val="4"/>
  </w:num>
  <w:num w:numId="10" w16cid:durableId="1149904383">
    <w:abstractNumId w:val="24"/>
  </w:num>
  <w:num w:numId="11" w16cid:durableId="409623334">
    <w:abstractNumId w:val="20"/>
  </w:num>
  <w:num w:numId="12" w16cid:durableId="1852525787">
    <w:abstractNumId w:val="6"/>
  </w:num>
  <w:num w:numId="13" w16cid:durableId="39130653">
    <w:abstractNumId w:val="19"/>
  </w:num>
  <w:num w:numId="14" w16cid:durableId="598563194">
    <w:abstractNumId w:val="32"/>
  </w:num>
  <w:num w:numId="15" w16cid:durableId="504369521">
    <w:abstractNumId w:val="22"/>
  </w:num>
  <w:num w:numId="16" w16cid:durableId="2093156283">
    <w:abstractNumId w:val="10"/>
  </w:num>
  <w:num w:numId="17" w16cid:durableId="466362340">
    <w:abstractNumId w:val="15"/>
  </w:num>
  <w:num w:numId="18" w16cid:durableId="1655255885">
    <w:abstractNumId w:val="14"/>
  </w:num>
  <w:num w:numId="19" w16cid:durableId="736903193">
    <w:abstractNumId w:val="0"/>
    <w:lvlOverride w:ilvl="0">
      <w:startOverride w:val="1"/>
    </w:lvlOverride>
  </w:num>
  <w:num w:numId="20" w16cid:durableId="1754622594">
    <w:abstractNumId w:val="17"/>
  </w:num>
  <w:num w:numId="21" w16cid:durableId="1499420505">
    <w:abstractNumId w:val="18"/>
  </w:num>
  <w:num w:numId="22" w16cid:durableId="2109345965">
    <w:abstractNumId w:val="34"/>
  </w:num>
  <w:num w:numId="23" w16cid:durableId="1234661315">
    <w:abstractNumId w:val="7"/>
  </w:num>
  <w:num w:numId="24" w16cid:durableId="1374623533">
    <w:abstractNumId w:val="6"/>
  </w:num>
  <w:num w:numId="25" w16cid:durableId="1697658215">
    <w:abstractNumId w:val="16"/>
  </w:num>
  <w:num w:numId="26" w16cid:durableId="1996446015">
    <w:abstractNumId w:val="31"/>
  </w:num>
  <w:num w:numId="27" w16cid:durableId="1534733353">
    <w:abstractNumId w:val="3"/>
  </w:num>
  <w:num w:numId="28" w16cid:durableId="1095707486">
    <w:abstractNumId w:val="1"/>
  </w:num>
  <w:num w:numId="29" w16cid:durableId="1951431599">
    <w:abstractNumId w:val="28"/>
  </w:num>
  <w:num w:numId="30" w16cid:durableId="1498884612">
    <w:abstractNumId w:val="5"/>
  </w:num>
  <w:num w:numId="31" w16cid:durableId="314528664">
    <w:abstractNumId w:val="13"/>
  </w:num>
  <w:num w:numId="32" w16cid:durableId="789278206">
    <w:abstractNumId w:val="9"/>
  </w:num>
  <w:num w:numId="33" w16cid:durableId="1148476961">
    <w:abstractNumId w:val="29"/>
  </w:num>
  <w:num w:numId="34" w16cid:durableId="326983439">
    <w:abstractNumId w:val="30"/>
  </w:num>
  <w:num w:numId="35" w16cid:durableId="1785349128">
    <w:abstractNumId w:val="11"/>
  </w:num>
  <w:num w:numId="36" w16cid:durableId="1652900679">
    <w:abstractNumId w:val="25"/>
  </w:num>
  <w:num w:numId="37" w16cid:durableId="904071919">
    <w:abstractNumId w:val="12"/>
  </w:num>
  <w:num w:numId="38" w16cid:durableId="1212769685">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D1"/>
    <w:rsid w:val="00003743"/>
    <w:rsid w:val="00003DBE"/>
    <w:rsid w:val="000047B4"/>
    <w:rsid w:val="00004831"/>
    <w:rsid w:val="00004860"/>
    <w:rsid w:val="00005712"/>
    <w:rsid w:val="00006B13"/>
    <w:rsid w:val="000077DD"/>
    <w:rsid w:val="00007E8C"/>
    <w:rsid w:val="00007FD8"/>
    <w:rsid w:val="000117F8"/>
    <w:rsid w:val="0001198D"/>
    <w:rsid w:val="00011CA7"/>
    <w:rsid w:val="00012E85"/>
    <w:rsid w:val="0001460F"/>
    <w:rsid w:val="000176C2"/>
    <w:rsid w:val="00022629"/>
    <w:rsid w:val="00022E52"/>
    <w:rsid w:val="000248C0"/>
    <w:rsid w:val="00026139"/>
    <w:rsid w:val="00027601"/>
    <w:rsid w:val="000327D6"/>
    <w:rsid w:val="00033321"/>
    <w:rsid w:val="000338E5"/>
    <w:rsid w:val="00033ECC"/>
    <w:rsid w:val="0003422F"/>
    <w:rsid w:val="0003470A"/>
    <w:rsid w:val="00037277"/>
    <w:rsid w:val="000403E5"/>
    <w:rsid w:val="00042321"/>
    <w:rsid w:val="00045168"/>
    <w:rsid w:val="0004581F"/>
    <w:rsid w:val="00046FF0"/>
    <w:rsid w:val="00050176"/>
    <w:rsid w:val="00050342"/>
    <w:rsid w:val="00050674"/>
    <w:rsid w:val="00053EDE"/>
    <w:rsid w:val="00055D7B"/>
    <w:rsid w:val="000604FA"/>
    <w:rsid w:val="00062315"/>
    <w:rsid w:val="00063A6D"/>
    <w:rsid w:val="000645F3"/>
    <w:rsid w:val="00066829"/>
    <w:rsid w:val="00067456"/>
    <w:rsid w:val="00067931"/>
    <w:rsid w:val="0007019F"/>
    <w:rsid w:val="00071506"/>
    <w:rsid w:val="0007154F"/>
    <w:rsid w:val="00075121"/>
    <w:rsid w:val="00077F7B"/>
    <w:rsid w:val="00080D52"/>
    <w:rsid w:val="00081AB1"/>
    <w:rsid w:val="00084B5D"/>
    <w:rsid w:val="00090316"/>
    <w:rsid w:val="00093040"/>
    <w:rsid w:val="00093981"/>
    <w:rsid w:val="000A70F9"/>
    <w:rsid w:val="000B067A"/>
    <w:rsid w:val="000B1540"/>
    <w:rsid w:val="000B1E53"/>
    <w:rsid w:val="000B2008"/>
    <w:rsid w:val="000B23A2"/>
    <w:rsid w:val="000B33FD"/>
    <w:rsid w:val="000B4ABA"/>
    <w:rsid w:val="000B731D"/>
    <w:rsid w:val="000C10B5"/>
    <w:rsid w:val="000C2BBC"/>
    <w:rsid w:val="000C4B16"/>
    <w:rsid w:val="000C50C3"/>
    <w:rsid w:val="000C5900"/>
    <w:rsid w:val="000C5E14"/>
    <w:rsid w:val="000C7432"/>
    <w:rsid w:val="000D0D97"/>
    <w:rsid w:val="000D158D"/>
    <w:rsid w:val="000D21F6"/>
    <w:rsid w:val="000D2D74"/>
    <w:rsid w:val="000D4500"/>
    <w:rsid w:val="000D59B0"/>
    <w:rsid w:val="000D722C"/>
    <w:rsid w:val="000D7520"/>
    <w:rsid w:val="000D788F"/>
    <w:rsid w:val="000D7AEA"/>
    <w:rsid w:val="000E1A7F"/>
    <w:rsid w:val="000E2C66"/>
    <w:rsid w:val="000E69A7"/>
    <w:rsid w:val="000F123C"/>
    <w:rsid w:val="000F2FED"/>
    <w:rsid w:val="0010616D"/>
    <w:rsid w:val="00110478"/>
    <w:rsid w:val="00111918"/>
    <w:rsid w:val="0011317C"/>
    <w:rsid w:val="0011711B"/>
    <w:rsid w:val="00117F8A"/>
    <w:rsid w:val="001215A5"/>
    <w:rsid w:val="00121B9B"/>
    <w:rsid w:val="00122ADC"/>
    <w:rsid w:val="0013006D"/>
    <w:rsid w:val="00130F59"/>
    <w:rsid w:val="0013164A"/>
    <w:rsid w:val="001317C5"/>
    <w:rsid w:val="0013393E"/>
    <w:rsid w:val="00133EC0"/>
    <w:rsid w:val="001347EE"/>
    <w:rsid w:val="00140035"/>
    <w:rsid w:val="001408D6"/>
    <w:rsid w:val="0014149D"/>
    <w:rsid w:val="00141CE5"/>
    <w:rsid w:val="00143E0E"/>
    <w:rsid w:val="00144256"/>
    <w:rsid w:val="00144908"/>
    <w:rsid w:val="001513B0"/>
    <w:rsid w:val="00153F19"/>
    <w:rsid w:val="00154628"/>
    <w:rsid w:val="00154FF6"/>
    <w:rsid w:val="001571C7"/>
    <w:rsid w:val="00161094"/>
    <w:rsid w:val="001678B4"/>
    <w:rsid w:val="001712AE"/>
    <w:rsid w:val="00173DD7"/>
    <w:rsid w:val="00174C20"/>
    <w:rsid w:val="00176397"/>
    <w:rsid w:val="0017665C"/>
    <w:rsid w:val="00177AD2"/>
    <w:rsid w:val="001815A8"/>
    <w:rsid w:val="001840FA"/>
    <w:rsid w:val="00184EB2"/>
    <w:rsid w:val="0018596D"/>
    <w:rsid w:val="00186E9E"/>
    <w:rsid w:val="00190079"/>
    <w:rsid w:val="0019622E"/>
    <w:rsid w:val="001966A7"/>
    <w:rsid w:val="001A0306"/>
    <w:rsid w:val="001A2F17"/>
    <w:rsid w:val="001A4627"/>
    <w:rsid w:val="001A4979"/>
    <w:rsid w:val="001A5FD4"/>
    <w:rsid w:val="001B15D3"/>
    <w:rsid w:val="001B1CFF"/>
    <w:rsid w:val="001B3443"/>
    <w:rsid w:val="001C0326"/>
    <w:rsid w:val="001C07C0"/>
    <w:rsid w:val="001C16D7"/>
    <w:rsid w:val="001C192F"/>
    <w:rsid w:val="001C3C42"/>
    <w:rsid w:val="001C7E51"/>
    <w:rsid w:val="001C7E9B"/>
    <w:rsid w:val="001D142C"/>
    <w:rsid w:val="001D32EF"/>
    <w:rsid w:val="001D47D2"/>
    <w:rsid w:val="001D7869"/>
    <w:rsid w:val="001E12EF"/>
    <w:rsid w:val="001E1E69"/>
    <w:rsid w:val="001E374E"/>
    <w:rsid w:val="001F3EB6"/>
    <w:rsid w:val="001F55E7"/>
    <w:rsid w:val="001F7A08"/>
    <w:rsid w:val="00201CCE"/>
    <w:rsid w:val="00201F12"/>
    <w:rsid w:val="002026CD"/>
    <w:rsid w:val="002033FC"/>
    <w:rsid w:val="002044BB"/>
    <w:rsid w:val="00204A2A"/>
    <w:rsid w:val="00204AD5"/>
    <w:rsid w:val="00206884"/>
    <w:rsid w:val="00207E71"/>
    <w:rsid w:val="00210769"/>
    <w:rsid w:val="00210B09"/>
    <w:rsid w:val="00210C9E"/>
    <w:rsid w:val="00211840"/>
    <w:rsid w:val="002161EC"/>
    <w:rsid w:val="00220E5F"/>
    <w:rsid w:val="002212B5"/>
    <w:rsid w:val="00221CB3"/>
    <w:rsid w:val="00221E35"/>
    <w:rsid w:val="00224BD7"/>
    <w:rsid w:val="00224EC4"/>
    <w:rsid w:val="00226668"/>
    <w:rsid w:val="0022709F"/>
    <w:rsid w:val="0023055A"/>
    <w:rsid w:val="0023162D"/>
    <w:rsid w:val="00233809"/>
    <w:rsid w:val="002346C2"/>
    <w:rsid w:val="00240046"/>
    <w:rsid w:val="00242E3F"/>
    <w:rsid w:val="00243310"/>
    <w:rsid w:val="00245A69"/>
    <w:rsid w:val="0024797F"/>
    <w:rsid w:val="0025119E"/>
    <w:rsid w:val="00251269"/>
    <w:rsid w:val="00251738"/>
    <w:rsid w:val="002535C0"/>
    <w:rsid w:val="00253719"/>
    <w:rsid w:val="00254183"/>
    <w:rsid w:val="00256999"/>
    <w:rsid w:val="002579FE"/>
    <w:rsid w:val="0026311C"/>
    <w:rsid w:val="0026668C"/>
    <w:rsid w:val="00266AC1"/>
    <w:rsid w:val="0027178C"/>
    <w:rsid w:val="002719FA"/>
    <w:rsid w:val="00272668"/>
    <w:rsid w:val="0027330B"/>
    <w:rsid w:val="00276074"/>
    <w:rsid w:val="00276221"/>
    <w:rsid w:val="002803AD"/>
    <w:rsid w:val="0028129E"/>
    <w:rsid w:val="00281A68"/>
    <w:rsid w:val="00282052"/>
    <w:rsid w:val="002831A3"/>
    <w:rsid w:val="0028365C"/>
    <w:rsid w:val="0028519E"/>
    <w:rsid w:val="002856A5"/>
    <w:rsid w:val="00286FA9"/>
    <w:rsid w:val="002872ED"/>
    <w:rsid w:val="00287A49"/>
    <w:rsid w:val="002905C2"/>
    <w:rsid w:val="00291F94"/>
    <w:rsid w:val="00294339"/>
    <w:rsid w:val="00295AF2"/>
    <w:rsid w:val="00295C91"/>
    <w:rsid w:val="00297151"/>
    <w:rsid w:val="002A00D8"/>
    <w:rsid w:val="002A255B"/>
    <w:rsid w:val="002A3A52"/>
    <w:rsid w:val="002A44E3"/>
    <w:rsid w:val="002B0A78"/>
    <w:rsid w:val="002B20E6"/>
    <w:rsid w:val="002B42A3"/>
    <w:rsid w:val="002B6EE4"/>
    <w:rsid w:val="002C0CDD"/>
    <w:rsid w:val="002C2D20"/>
    <w:rsid w:val="002C38C4"/>
    <w:rsid w:val="002C5897"/>
    <w:rsid w:val="002C635B"/>
    <w:rsid w:val="002C79E1"/>
    <w:rsid w:val="002D1A57"/>
    <w:rsid w:val="002D2525"/>
    <w:rsid w:val="002D2C4C"/>
    <w:rsid w:val="002E1A1D"/>
    <w:rsid w:val="002E4081"/>
    <w:rsid w:val="002E58C3"/>
    <w:rsid w:val="002E5B78"/>
    <w:rsid w:val="002E7661"/>
    <w:rsid w:val="002F3AE3"/>
    <w:rsid w:val="002F4F16"/>
    <w:rsid w:val="002F7F46"/>
    <w:rsid w:val="0030464B"/>
    <w:rsid w:val="00304896"/>
    <w:rsid w:val="00304AED"/>
    <w:rsid w:val="003053AB"/>
    <w:rsid w:val="0030786C"/>
    <w:rsid w:val="003100B7"/>
    <w:rsid w:val="0031209D"/>
    <w:rsid w:val="003136E3"/>
    <w:rsid w:val="00317329"/>
    <w:rsid w:val="003204C3"/>
    <w:rsid w:val="0032282A"/>
    <w:rsid w:val="00323129"/>
    <w:rsid w:val="003233DE"/>
    <w:rsid w:val="0032466B"/>
    <w:rsid w:val="00326EFE"/>
    <w:rsid w:val="00331B34"/>
    <w:rsid w:val="00331C0E"/>
    <w:rsid w:val="003330EB"/>
    <w:rsid w:val="00333915"/>
    <w:rsid w:val="00334CB7"/>
    <w:rsid w:val="003413A6"/>
    <w:rsid w:val="003415FD"/>
    <w:rsid w:val="003429F0"/>
    <w:rsid w:val="00343901"/>
    <w:rsid w:val="00345A82"/>
    <w:rsid w:val="00345BF1"/>
    <w:rsid w:val="0035097A"/>
    <w:rsid w:val="00352244"/>
    <w:rsid w:val="003540A4"/>
    <w:rsid w:val="003547AB"/>
    <w:rsid w:val="003554E8"/>
    <w:rsid w:val="00355BF2"/>
    <w:rsid w:val="00355CEE"/>
    <w:rsid w:val="00357BCC"/>
    <w:rsid w:val="00360E4E"/>
    <w:rsid w:val="00361692"/>
    <w:rsid w:val="00364784"/>
    <w:rsid w:val="00366648"/>
    <w:rsid w:val="00366757"/>
    <w:rsid w:val="00370294"/>
    <w:rsid w:val="00370AAA"/>
    <w:rsid w:val="003719C2"/>
    <w:rsid w:val="00375008"/>
    <w:rsid w:val="00375F77"/>
    <w:rsid w:val="00381BBE"/>
    <w:rsid w:val="00382903"/>
    <w:rsid w:val="00383F47"/>
    <w:rsid w:val="003846FF"/>
    <w:rsid w:val="003857D4"/>
    <w:rsid w:val="00385AD4"/>
    <w:rsid w:val="00385B2E"/>
    <w:rsid w:val="00387924"/>
    <w:rsid w:val="00387FB0"/>
    <w:rsid w:val="0039079D"/>
    <w:rsid w:val="003929D5"/>
    <w:rsid w:val="0039384D"/>
    <w:rsid w:val="003947FE"/>
    <w:rsid w:val="00395C23"/>
    <w:rsid w:val="00397948"/>
    <w:rsid w:val="003A2B79"/>
    <w:rsid w:val="003A2E4F"/>
    <w:rsid w:val="003A4438"/>
    <w:rsid w:val="003A5013"/>
    <w:rsid w:val="003A5078"/>
    <w:rsid w:val="003A62DD"/>
    <w:rsid w:val="003A775A"/>
    <w:rsid w:val="003B213A"/>
    <w:rsid w:val="003B43AD"/>
    <w:rsid w:val="003C0FEC"/>
    <w:rsid w:val="003C2AC8"/>
    <w:rsid w:val="003C4446"/>
    <w:rsid w:val="003D033A"/>
    <w:rsid w:val="003D17F9"/>
    <w:rsid w:val="003D2D88"/>
    <w:rsid w:val="003D41EA"/>
    <w:rsid w:val="003D4850"/>
    <w:rsid w:val="003D4C40"/>
    <w:rsid w:val="003D4CBB"/>
    <w:rsid w:val="003D535A"/>
    <w:rsid w:val="003E1D00"/>
    <w:rsid w:val="003E5265"/>
    <w:rsid w:val="003F0955"/>
    <w:rsid w:val="003F0C5A"/>
    <w:rsid w:val="003F1783"/>
    <w:rsid w:val="003F18AA"/>
    <w:rsid w:val="003F3EEE"/>
    <w:rsid w:val="003F5999"/>
    <w:rsid w:val="003F5F4D"/>
    <w:rsid w:val="003F646F"/>
    <w:rsid w:val="00400F00"/>
    <w:rsid w:val="004013B8"/>
    <w:rsid w:val="00401EC2"/>
    <w:rsid w:val="00403556"/>
    <w:rsid w:val="00404F8B"/>
    <w:rsid w:val="00405256"/>
    <w:rsid w:val="00406B2F"/>
    <w:rsid w:val="00410031"/>
    <w:rsid w:val="00411473"/>
    <w:rsid w:val="00414B4B"/>
    <w:rsid w:val="00415C81"/>
    <w:rsid w:val="00420332"/>
    <w:rsid w:val="00421D16"/>
    <w:rsid w:val="00423655"/>
    <w:rsid w:val="00424B71"/>
    <w:rsid w:val="00432378"/>
    <w:rsid w:val="00436CC3"/>
    <w:rsid w:val="00440D65"/>
    <w:rsid w:val="00442D53"/>
    <w:rsid w:val="004435E6"/>
    <w:rsid w:val="004466F7"/>
    <w:rsid w:val="00446768"/>
    <w:rsid w:val="00447E31"/>
    <w:rsid w:val="00453923"/>
    <w:rsid w:val="00453FEA"/>
    <w:rsid w:val="00454A65"/>
    <w:rsid w:val="00454B9B"/>
    <w:rsid w:val="00455C11"/>
    <w:rsid w:val="00456842"/>
    <w:rsid w:val="00457858"/>
    <w:rsid w:val="00460B0B"/>
    <w:rsid w:val="00460CD1"/>
    <w:rsid w:val="00461023"/>
    <w:rsid w:val="00462FAC"/>
    <w:rsid w:val="00464631"/>
    <w:rsid w:val="00464B79"/>
    <w:rsid w:val="00466F56"/>
    <w:rsid w:val="00467BBF"/>
    <w:rsid w:val="004715FA"/>
    <w:rsid w:val="00473B77"/>
    <w:rsid w:val="0048321E"/>
    <w:rsid w:val="004848CE"/>
    <w:rsid w:val="0048593C"/>
    <w:rsid w:val="004867E2"/>
    <w:rsid w:val="00487A01"/>
    <w:rsid w:val="0049147A"/>
    <w:rsid w:val="0049165D"/>
    <w:rsid w:val="0049292D"/>
    <w:rsid w:val="004929A9"/>
    <w:rsid w:val="00496672"/>
    <w:rsid w:val="004A61E0"/>
    <w:rsid w:val="004A7740"/>
    <w:rsid w:val="004A78D9"/>
    <w:rsid w:val="004B0B91"/>
    <w:rsid w:val="004B7134"/>
    <w:rsid w:val="004B794B"/>
    <w:rsid w:val="004C1DD1"/>
    <w:rsid w:val="004C3D9C"/>
    <w:rsid w:val="004C3DC4"/>
    <w:rsid w:val="004C441D"/>
    <w:rsid w:val="004C6BCF"/>
    <w:rsid w:val="004D23F9"/>
    <w:rsid w:val="004D31E1"/>
    <w:rsid w:val="004D58BF"/>
    <w:rsid w:val="004D6098"/>
    <w:rsid w:val="004E0644"/>
    <w:rsid w:val="004E2CF9"/>
    <w:rsid w:val="004E4335"/>
    <w:rsid w:val="004F13EE"/>
    <w:rsid w:val="004F1E4C"/>
    <w:rsid w:val="004F2022"/>
    <w:rsid w:val="004F23B6"/>
    <w:rsid w:val="004F60A8"/>
    <w:rsid w:val="004F7C05"/>
    <w:rsid w:val="00501C94"/>
    <w:rsid w:val="00503586"/>
    <w:rsid w:val="00505AB9"/>
    <w:rsid w:val="0050609C"/>
    <w:rsid w:val="00506432"/>
    <w:rsid w:val="00510FB3"/>
    <w:rsid w:val="00511845"/>
    <w:rsid w:val="00514201"/>
    <w:rsid w:val="005160C1"/>
    <w:rsid w:val="0052051D"/>
    <w:rsid w:val="005242D0"/>
    <w:rsid w:val="00541AA0"/>
    <w:rsid w:val="00545EE6"/>
    <w:rsid w:val="005479EA"/>
    <w:rsid w:val="00552AB5"/>
    <w:rsid w:val="00553297"/>
    <w:rsid w:val="005532E3"/>
    <w:rsid w:val="005550E7"/>
    <w:rsid w:val="00555FF0"/>
    <w:rsid w:val="005564FB"/>
    <w:rsid w:val="005572C7"/>
    <w:rsid w:val="00560FE7"/>
    <w:rsid w:val="00562345"/>
    <w:rsid w:val="00563D1C"/>
    <w:rsid w:val="0056407E"/>
    <w:rsid w:val="005650ED"/>
    <w:rsid w:val="0056643E"/>
    <w:rsid w:val="00566D1C"/>
    <w:rsid w:val="0057325B"/>
    <w:rsid w:val="0057440A"/>
    <w:rsid w:val="00574BDF"/>
    <w:rsid w:val="00575524"/>
    <w:rsid w:val="00575754"/>
    <w:rsid w:val="00576AAC"/>
    <w:rsid w:val="0058027A"/>
    <w:rsid w:val="00581FBA"/>
    <w:rsid w:val="005838C0"/>
    <w:rsid w:val="00583B4F"/>
    <w:rsid w:val="00583ED8"/>
    <w:rsid w:val="0058572C"/>
    <w:rsid w:val="00591E20"/>
    <w:rsid w:val="00594F95"/>
    <w:rsid w:val="00595408"/>
    <w:rsid w:val="00595E84"/>
    <w:rsid w:val="00597469"/>
    <w:rsid w:val="00597B4F"/>
    <w:rsid w:val="005A0C59"/>
    <w:rsid w:val="005A272A"/>
    <w:rsid w:val="005A48EB"/>
    <w:rsid w:val="005A4C7F"/>
    <w:rsid w:val="005A65A3"/>
    <w:rsid w:val="005A6CFB"/>
    <w:rsid w:val="005B1048"/>
    <w:rsid w:val="005B2C74"/>
    <w:rsid w:val="005B4C90"/>
    <w:rsid w:val="005B528D"/>
    <w:rsid w:val="005B57D6"/>
    <w:rsid w:val="005B648F"/>
    <w:rsid w:val="005B713C"/>
    <w:rsid w:val="005B7E22"/>
    <w:rsid w:val="005C2FDF"/>
    <w:rsid w:val="005C5AEB"/>
    <w:rsid w:val="005D3D63"/>
    <w:rsid w:val="005D473F"/>
    <w:rsid w:val="005D7C45"/>
    <w:rsid w:val="005E0A3F"/>
    <w:rsid w:val="005E6251"/>
    <w:rsid w:val="005E6769"/>
    <w:rsid w:val="005E6883"/>
    <w:rsid w:val="005E772F"/>
    <w:rsid w:val="005F0820"/>
    <w:rsid w:val="005F36BC"/>
    <w:rsid w:val="005F4ECA"/>
    <w:rsid w:val="005F61CB"/>
    <w:rsid w:val="00601B4E"/>
    <w:rsid w:val="00602210"/>
    <w:rsid w:val="006041BE"/>
    <w:rsid w:val="006043C7"/>
    <w:rsid w:val="0061145E"/>
    <w:rsid w:val="006152E1"/>
    <w:rsid w:val="006211EF"/>
    <w:rsid w:val="00623BAE"/>
    <w:rsid w:val="00624B52"/>
    <w:rsid w:val="00626FCE"/>
    <w:rsid w:val="00630794"/>
    <w:rsid w:val="00631DF4"/>
    <w:rsid w:val="00634175"/>
    <w:rsid w:val="00637BDE"/>
    <w:rsid w:val="00640740"/>
    <w:rsid w:val="006408AC"/>
    <w:rsid w:val="00640C83"/>
    <w:rsid w:val="006418AE"/>
    <w:rsid w:val="006436B2"/>
    <w:rsid w:val="00643EEC"/>
    <w:rsid w:val="00644DEC"/>
    <w:rsid w:val="00646F61"/>
    <w:rsid w:val="006511B6"/>
    <w:rsid w:val="006518FD"/>
    <w:rsid w:val="0065313F"/>
    <w:rsid w:val="00655070"/>
    <w:rsid w:val="00657D07"/>
    <w:rsid w:val="00657FF8"/>
    <w:rsid w:val="00660008"/>
    <w:rsid w:val="006606CA"/>
    <w:rsid w:val="00662A1E"/>
    <w:rsid w:val="006632CF"/>
    <w:rsid w:val="006635C9"/>
    <w:rsid w:val="0067026B"/>
    <w:rsid w:val="00670370"/>
    <w:rsid w:val="00670D99"/>
    <w:rsid w:val="00670E2B"/>
    <w:rsid w:val="00672917"/>
    <w:rsid w:val="006734BB"/>
    <w:rsid w:val="0067468F"/>
    <w:rsid w:val="00674900"/>
    <w:rsid w:val="0067697A"/>
    <w:rsid w:val="00676AA7"/>
    <w:rsid w:val="00680411"/>
    <w:rsid w:val="006821EB"/>
    <w:rsid w:val="00682B79"/>
    <w:rsid w:val="00682F95"/>
    <w:rsid w:val="006837AE"/>
    <w:rsid w:val="00684DD1"/>
    <w:rsid w:val="00690F13"/>
    <w:rsid w:val="00691E4F"/>
    <w:rsid w:val="00692119"/>
    <w:rsid w:val="00695CFD"/>
    <w:rsid w:val="006A008F"/>
    <w:rsid w:val="006A2746"/>
    <w:rsid w:val="006A2E2D"/>
    <w:rsid w:val="006B0231"/>
    <w:rsid w:val="006B2286"/>
    <w:rsid w:val="006B43E4"/>
    <w:rsid w:val="006B4B9F"/>
    <w:rsid w:val="006B56BB"/>
    <w:rsid w:val="006B6752"/>
    <w:rsid w:val="006B6C1C"/>
    <w:rsid w:val="006B6F68"/>
    <w:rsid w:val="006C263F"/>
    <w:rsid w:val="006C77A8"/>
    <w:rsid w:val="006D0D8F"/>
    <w:rsid w:val="006D3F92"/>
    <w:rsid w:val="006D4098"/>
    <w:rsid w:val="006D6057"/>
    <w:rsid w:val="006D7681"/>
    <w:rsid w:val="006D7B2E"/>
    <w:rsid w:val="006D7BD1"/>
    <w:rsid w:val="006E02EA"/>
    <w:rsid w:val="006E08AE"/>
    <w:rsid w:val="006E0968"/>
    <w:rsid w:val="006E0EC5"/>
    <w:rsid w:val="006E2AF6"/>
    <w:rsid w:val="006E43C3"/>
    <w:rsid w:val="006E6E39"/>
    <w:rsid w:val="006E72B8"/>
    <w:rsid w:val="006F12ED"/>
    <w:rsid w:val="006F2DA8"/>
    <w:rsid w:val="006F30DC"/>
    <w:rsid w:val="006F4A6D"/>
    <w:rsid w:val="006F612C"/>
    <w:rsid w:val="006F7107"/>
    <w:rsid w:val="006F7446"/>
    <w:rsid w:val="00700B62"/>
    <w:rsid w:val="00701275"/>
    <w:rsid w:val="00702543"/>
    <w:rsid w:val="00704453"/>
    <w:rsid w:val="00707F56"/>
    <w:rsid w:val="00710C47"/>
    <w:rsid w:val="007120F4"/>
    <w:rsid w:val="00713558"/>
    <w:rsid w:val="0071586E"/>
    <w:rsid w:val="0072032C"/>
    <w:rsid w:val="007205CC"/>
    <w:rsid w:val="00720D08"/>
    <w:rsid w:val="00722540"/>
    <w:rsid w:val="00723CC7"/>
    <w:rsid w:val="0072431E"/>
    <w:rsid w:val="00724A0A"/>
    <w:rsid w:val="00725F24"/>
    <w:rsid w:val="007263B9"/>
    <w:rsid w:val="0072690C"/>
    <w:rsid w:val="00726AEE"/>
    <w:rsid w:val="00731E46"/>
    <w:rsid w:val="007334F8"/>
    <w:rsid w:val="007339CD"/>
    <w:rsid w:val="007359D8"/>
    <w:rsid w:val="00735D4A"/>
    <w:rsid w:val="007362D4"/>
    <w:rsid w:val="00740695"/>
    <w:rsid w:val="00751509"/>
    <w:rsid w:val="007522FD"/>
    <w:rsid w:val="00752687"/>
    <w:rsid w:val="00762DC7"/>
    <w:rsid w:val="0076672A"/>
    <w:rsid w:val="00770475"/>
    <w:rsid w:val="007707DE"/>
    <w:rsid w:val="00772DAA"/>
    <w:rsid w:val="0077479B"/>
    <w:rsid w:val="00775E45"/>
    <w:rsid w:val="007766A1"/>
    <w:rsid w:val="00776E74"/>
    <w:rsid w:val="00781E38"/>
    <w:rsid w:val="00785169"/>
    <w:rsid w:val="007851F3"/>
    <w:rsid w:val="00790DB8"/>
    <w:rsid w:val="00792297"/>
    <w:rsid w:val="007951F4"/>
    <w:rsid w:val="007954AB"/>
    <w:rsid w:val="007A14C5"/>
    <w:rsid w:val="007A4A10"/>
    <w:rsid w:val="007A683E"/>
    <w:rsid w:val="007A7577"/>
    <w:rsid w:val="007B0540"/>
    <w:rsid w:val="007B1760"/>
    <w:rsid w:val="007C0AF2"/>
    <w:rsid w:val="007C1FDC"/>
    <w:rsid w:val="007C3F96"/>
    <w:rsid w:val="007C6D9C"/>
    <w:rsid w:val="007C72BF"/>
    <w:rsid w:val="007C7DDB"/>
    <w:rsid w:val="007D10B8"/>
    <w:rsid w:val="007D2CC7"/>
    <w:rsid w:val="007D5DF6"/>
    <w:rsid w:val="007D673D"/>
    <w:rsid w:val="007E4D09"/>
    <w:rsid w:val="007F03E1"/>
    <w:rsid w:val="007F053A"/>
    <w:rsid w:val="007F2220"/>
    <w:rsid w:val="007F4951"/>
    <w:rsid w:val="007F4B3E"/>
    <w:rsid w:val="007F6B84"/>
    <w:rsid w:val="007F7FE1"/>
    <w:rsid w:val="00800D33"/>
    <w:rsid w:val="008019FA"/>
    <w:rsid w:val="008048D8"/>
    <w:rsid w:val="00804B83"/>
    <w:rsid w:val="0081017E"/>
    <w:rsid w:val="008127AF"/>
    <w:rsid w:val="00812B46"/>
    <w:rsid w:val="008132C7"/>
    <w:rsid w:val="00813AA6"/>
    <w:rsid w:val="00815700"/>
    <w:rsid w:val="00817674"/>
    <w:rsid w:val="00821DEB"/>
    <w:rsid w:val="00824326"/>
    <w:rsid w:val="00824469"/>
    <w:rsid w:val="008264EB"/>
    <w:rsid w:val="00826B8F"/>
    <w:rsid w:val="00830333"/>
    <w:rsid w:val="00831E8A"/>
    <w:rsid w:val="00835C76"/>
    <w:rsid w:val="0083669F"/>
    <w:rsid w:val="008368F0"/>
    <w:rsid w:val="008376E2"/>
    <w:rsid w:val="00841FE4"/>
    <w:rsid w:val="00843049"/>
    <w:rsid w:val="00845646"/>
    <w:rsid w:val="008473E6"/>
    <w:rsid w:val="008503BF"/>
    <w:rsid w:val="0085209B"/>
    <w:rsid w:val="008538C6"/>
    <w:rsid w:val="00853CD3"/>
    <w:rsid w:val="00853D1E"/>
    <w:rsid w:val="00856B66"/>
    <w:rsid w:val="00856D4B"/>
    <w:rsid w:val="008601AC"/>
    <w:rsid w:val="00860675"/>
    <w:rsid w:val="00860C06"/>
    <w:rsid w:val="008612D2"/>
    <w:rsid w:val="00861A5F"/>
    <w:rsid w:val="0086388A"/>
    <w:rsid w:val="008640E6"/>
    <w:rsid w:val="00864336"/>
    <w:rsid w:val="008644AD"/>
    <w:rsid w:val="00865735"/>
    <w:rsid w:val="00865DDB"/>
    <w:rsid w:val="00867538"/>
    <w:rsid w:val="008700BB"/>
    <w:rsid w:val="008712DD"/>
    <w:rsid w:val="008731B1"/>
    <w:rsid w:val="008733D1"/>
    <w:rsid w:val="00873D90"/>
    <w:rsid w:val="00873DAD"/>
    <w:rsid w:val="00873FC8"/>
    <w:rsid w:val="0087682F"/>
    <w:rsid w:val="008774F2"/>
    <w:rsid w:val="008806ED"/>
    <w:rsid w:val="00884C63"/>
    <w:rsid w:val="00885908"/>
    <w:rsid w:val="008864B7"/>
    <w:rsid w:val="00886885"/>
    <w:rsid w:val="0089628D"/>
    <w:rsid w:val="0089677E"/>
    <w:rsid w:val="008A0ED1"/>
    <w:rsid w:val="008A2771"/>
    <w:rsid w:val="008A2B2E"/>
    <w:rsid w:val="008A340B"/>
    <w:rsid w:val="008A3C6E"/>
    <w:rsid w:val="008A3FDF"/>
    <w:rsid w:val="008A6BC6"/>
    <w:rsid w:val="008A7438"/>
    <w:rsid w:val="008B1334"/>
    <w:rsid w:val="008B25C7"/>
    <w:rsid w:val="008B3271"/>
    <w:rsid w:val="008C0278"/>
    <w:rsid w:val="008C21EA"/>
    <w:rsid w:val="008C24E9"/>
    <w:rsid w:val="008C5CA6"/>
    <w:rsid w:val="008D0533"/>
    <w:rsid w:val="008D42CB"/>
    <w:rsid w:val="008D48C9"/>
    <w:rsid w:val="008D6381"/>
    <w:rsid w:val="008D64F7"/>
    <w:rsid w:val="008D67A3"/>
    <w:rsid w:val="008E0C77"/>
    <w:rsid w:val="008E625F"/>
    <w:rsid w:val="008F11F0"/>
    <w:rsid w:val="008F264D"/>
    <w:rsid w:val="008F5EBE"/>
    <w:rsid w:val="00900165"/>
    <w:rsid w:val="00900541"/>
    <w:rsid w:val="00900750"/>
    <w:rsid w:val="00900F34"/>
    <w:rsid w:val="00902783"/>
    <w:rsid w:val="009035CD"/>
    <w:rsid w:val="009039C9"/>
    <w:rsid w:val="009040E9"/>
    <w:rsid w:val="009074E1"/>
    <w:rsid w:val="009112F7"/>
    <w:rsid w:val="009122AF"/>
    <w:rsid w:val="00912D54"/>
    <w:rsid w:val="00913483"/>
    <w:rsid w:val="00913596"/>
    <w:rsid w:val="0091389F"/>
    <w:rsid w:val="00913E6E"/>
    <w:rsid w:val="00915041"/>
    <w:rsid w:val="009154A0"/>
    <w:rsid w:val="00915EA9"/>
    <w:rsid w:val="0092062A"/>
    <w:rsid w:val="009208F7"/>
    <w:rsid w:val="00921649"/>
    <w:rsid w:val="009216C5"/>
    <w:rsid w:val="00922517"/>
    <w:rsid w:val="00922722"/>
    <w:rsid w:val="00925FD8"/>
    <w:rsid w:val="009261E6"/>
    <w:rsid w:val="009268E1"/>
    <w:rsid w:val="0092720F"/>
    <w:rsid w:val="00930773"/>
    <w:rsid w:val="00933889"/>
    <w:rsid w:val="009344DE"/>
    <w:rsid w:val="00940F19"/>
    <w:rsid w:val="00942E22"/>
    <w:rsid w:val="00945E7F"/>
    <w:rsid w:val="009557C1"/>
    <w:rsid w:val="00960D6E"/>
    <w:rsid w:val="00963BBF"/>
    <w:rsid w:val="00964CDE"/>
    <w:rsid w:val="009738D7"/>
    <w:rsid w:val="00974B59"/>
    <w:rsid w:val="009779E2"/>
    <w:rsid w:val="0098340B"/>
    <w:rsid w:val="00983FD1"/>
    <w:rsid w:val="00984C59"/>
    <w:rsid w:val="00984F57"/>
    <w:rsid w:val="00986830"/>
    <w:rsid w:val="0098799F"/>
    <w:rsid w:val="00991A72"/>
    <w:rsid w:val="009924C3"/>
    <w:rsid w:val="00993102"/>
    <w:rsid w:val="0099378D"/>
    <w:rsid w:val="0099469F"/>
    <w:rsid w:val="00994F9A"/>
    <w:rsid w:val="00996E86"/>
    <w:rsid w:val="00997BF9"/>
    <w:rsid w:val="009A1717"/>
    <w:rsid w:val="009A4AA7"/>
    <w:rsid w:val="009A5745"/>
    <w:rsid w:val="009B1570"/>
    <w:rsid w:val="009B43E9"/>
    <w:rsid w:val="009B730D"/>
    <w:rsid w:val="009C1F43"/>
    <w:rsid w:val="009C2F6E"/>
    <w:rsid w:val="009C6B26"/>
    <w:rsid w:val="009C6F10"/>
    <w:rsid w:val="009C76FC"/>
    <w:rsid w:val="009D148F"/>
    <w:rsid w:val="009D3D70"/>
    <w:rsid w:val="009D56EA"/>
    <w:rsid w:val="009E5BC0"/>
    <w:rsid w:val="009E6F7E"/>
    <w:rsid w:val="009E7A57"/>
    <w:rsid w:val="009F4803"/>
    <w:rsid w:val="009F4F28"/>
    <w:rsid w:val="009F4F6A"/>
    <w:rsid w:val="009F51B5"/>
    <w:rsid w:val="009F5CF1"/>
    <w:rsid w:val="009F6A43"/>
    <w:rsid w:val="009F7A7E"/>
    <w:rsid w:val="00A06396"/>
    <w:rsid w:val="00A13EB5"/>
    <w:rsid w:val="00A16E36"/>
    <w:rsid w:val="00A20225"/>
    <w:rsid w:val="00A2379A"/>
    <w:rsid w:val="00A24023"/>
    <w:rsid w:val="00A24718"/>
    <w:rsid w:val="00A24961"/>
    <w:rsid w:val="00A249F5"/>
    <w:rsid w:val="00A24B10"/>
    <w:rsid w:val="00A24F6E"/>
    <w:rsid w:val="00A25850"/>
    <w:rsid w:val="00A277EF"/>
    <w:rsid w:val="00A30E9B"/>
    <w:rsid w:val="00A35D74"/>
    <w:rsid w:val="00A3683D"/>
    <w:rsid w:val="00A3750E"/>
    <w:rsid w:val="00A425C9"/>
    <w:rsid w:val="00A42A7E"/>
    <w:rsid w:val="00A441C3"/>
    <w:rsid w:val="00A4512D"/>
    <w:rsid w:val="00A50244"/>
    <w:rsid w:val="00A518D6"/>
    <w:rsid w:val="00A56F11"/>
    <w:rsid w:val="00A57B58"/>
    <w:rsid w:val="00A6062D"/>
    <w:rsid w:val="00A627D7"/>
    <w:rsid w:val="00A63F5C"/>
    <w:rsid w:val="00A6513B"/>
    <w:rsid w:val="00A656C7"/>
    <w:rsid w:val="00A6657E"/>
    <w:rsid w:val="00A6785E"/>
    <w:rsid w:val="00A705AF"/>
    <w:rsid w:val="00A72454"/>
    <w:rsid w:val="00A72E42"/>
    <w:rsid w:val="00A743FC"/>
    <w:rsid w:val="00A746D8"/>
    <w:rsid w:val="00A77696"/>
    <w:rsid w:val="00A80557"/>
    <w:rsid w:val="00A81D33"/>
    <w:rsid w:val="00A82444"/>
    <w:rsid w:val="00A82E29"/>
    <w:rsid w:val="00A8341C"/>
    <w:rsid w:val="00A83758"/>
    <w:rsid w:val="00A83F5E"/>
    <w:rsid w:val="00A859B6"/>
    <w:rsid w:val="00A928D4"/>
    <w:rsid w:val="00A930AE"/>
    <w:rsid w:val="00A952BE"/>
    <w:rsid w:val="00A95CF5"/>
    <w:rsid w:val="00A96E16"/>
    <w:rsid w:val="00AA1A95"/>
    <w:rsid w:val="00AA1FA7"/>
    <w:rsid w:val="00AA260F"/>
    <w:rsid w:val="00AA28B1"/>
    <w:rsid w:val="00AA54B0"/>
    <w:rsid w:val="00AA68D7"/>
    <w:rsid w:val="00AB0138"/>
    <w:rsid w:val="00AB1EE7"/>
    <w:rsid w:val="00AB47A1"/>
    <w:rsid w:val="00AB4B37"/>
    <w:rsid w:val="00AB5762"/>
    <w:rsid w:val="00AB587A"/>
    <w:rsid w:val="00AB59D6"/>
    <w:rsid w:val="00AC2679"/>
    <w:rsid w:val="00AC473E"/>
    <w:rsid w:val="00AC4BE4"/>
    <w:rsid w:val="00AD05E6"/>
    <w:rsid w:val="00AD0D3F"/>
    <w:rsid w:val="00AD12C8"/>
    <w:rsid w:val="00AD3BFE"/>
    <w:rsid w:val="00AD489B"/>
    <w:rsid w:val="00AD5114"/>
    <w:rsid w:val="00AD62BE"/>
    <w:rsid w:val="00AD7C04"/>
    <w:rsid w:val="00AE1D7D"/>
    <w:rsid w:val="00AE1E4F"/>
    <w:rsid w:val="00AE2A8B"/>
    <w:rsid w:val="00AE3DC5"/>
    <w:rsid w:val="00AE3F64"/>
    <w:rsid w:val="00AE7ADC"/>
    <w:rsid w:val="00AF06CF"/>
    <w:rsid w:val="00AF3E08"/>
    <w:rsid w:val="00AF53CA"/>
    <w:rsid w:val="00AF7386"/>
    <w:rsid w:val="00AF7934"/>
    <w:rsid w:val="00B00024"/>
    <w:rsid w:val="00B00B81"/>
    <w:rsid w:val="00B03524"/>
    <w:rsid w:val="00B03D6C"/>
    <w:rsid w:val="00B04580"/>
    <w:rsid w:val="00B04B09"/>
    <w:rsid w:val="00B04CED"/>
    <w:rsid w:val="00B07E07"/>
    <w:rsid w:val="00B111F4"/>
    <w:rsid w:val="00B115D7"/>
    <w:rsid w:val="00B16A51"/>
    <w:rsid w:val="00B178C4"/>
    <w:rsid w:val="00B2029F"/>
    <w:rsid w:val="00B23356"/>
    <w:rsid w:val="00B26E3D"/>
    <w:rsid w:val="00B31DEF"/>
    <w:rsid w:val="00B32222"/>
    <w:rsid w:val="00B33B84"/>
    <w:rsid w:val="00B354E3"/>
    <w:rsid w:val="00B3618D"/>
    <w:rsid w:val="00B36233"/>
    <w:rsid w:val="00B42851"/>
    <w:rsid w:val="00B4373E"/>
    <w:rsid w:val="00B45AC7"/>
    <w:rsid w:val="00B46D80"/>
    <w:rsid w:val="00B5372F"/>
    <w:rsid w:val="00B549DC"/>
    <w:rsid w:val="00B5674E"/>
    <w:rsid w:val="00B61129"/>
    <w:rsid w:val="00B627CC"/>
    <w:rsid w:val="00B67E7F"/>
    <w:rsid w:val="00B702D4"/>
    <w:rsid w:val="00B7462F"/>
    <w:rsid w:val="00B75DDB"/>
    <w:rsid w:val="00B77C97"/>
    <w:rsid w:val="00B839B2"/>
    <w:rsid w:val="00B86650"/>
    <w:rsid w:val="00B91622"/>
    <w:rsid w:val="00B92F2E"/>
    <w:rsid w:val="00B94252"/>
    <w:rsid w:val="00B9715A"/>
    <w:rsid w:val="00B97E50"/>
    <w:rsid w:val="00BA0FD4"/>
    <w:rsid w:val="00BA14BE"/>
    <w:rsid w:val="00BA14C5"/>
    <w:rsid w:val="00BA17F9"/>
    <w:rsid w:val="00BA2732"/>
    <w:rsid w:val="00BA293D"/>
    <w:rsid w:val="00BA3304"/>
    <w:rsid w:val="00BA45D4"/>
    <w:rsid w:val="00BA49BC"/>
    <w:rsid w:val="00BA56B7"/>
    <w:rsid w:val="00BA5B04"/>
    <w:rsid w:val="00BA70BC"/>
    <w:rsid w:val="00BA79F7"/>
    <w:rsid w:val="00BA7A1E"/>
    <w:rsid w:val="00BB07DB"/>
    <w:rsid w:val="00BB08D0"/>
    <w:rsid w:val="00BB2F6C"/>
    <w:rsid w:val="00BB3875"/>
    <w:rsid w:val="00BB41D1"/>
    <w:rsid w:val="00BB5860"/>
    <w:rsid w:val="00BB651A"/>
    <w:rsid w:val="00BB6AAD"/>
    <w:rsid w:val="00BC09F7"/>
    <w:rsid w:val="00BC127F"/>
    <w:rsid w:val="00BC217B"/>
    <w:rsid w:val="00BC2470"/>
    <w:rsid w:val="00BC3056"/>
    <w:rsid w:val="00BC4A19"/>
    <w:rsid w:val="00BC4E6D"/>
    <w:rsid w:val="00BC6D76"/>
    <w:rsid w:val="00BD0617"/>
    <w:rsid w:val="00BD1F60"/>
    <w:rsid w:val="00BD2746"/>
    <w:rsid w:val="00BD2E9B"/>
    <w:rsid w:val="00BD42B9"/>
    <w:rsid w:val="00BD7FB2"/>
    <w:rsid w:val="00BE022D"/>
    <w:rsid w:val="00BE63C1"/>
    <w:rsid w:val="00BE75FE"/>
    <w:rsid w:val="00BE79DF"/>
    <w:rsid w:val="00BF2009"/>
    <w:rsid w:val="00BF3A87"/>
    <w:rsid w:val="00BF5121"/>
    <w:rsid w:val="00BF5E6C"/>
    <w:rsid w:val="00BF74E7"/>
    <w:rsid w:val="00C00930"/>
    <w:rsid w:val="00C01A66"/>
    <w:rsid w:val="00C01C53"/>
    <w:rsid w:val="00C0295B"/>
    <w:rsid w:val="00C042B2"/>
    <w:rsid w:val="00C060AD"/>
    <w:rsid w:val="00C113BF"/>
    <w:rsid w:val="00C114E8"/>
    <w:rsid w:val="00C14EB7"/>
    <w:rsid w:val="00C15542"/>
    <w:rsid w:val="00C15A5C"/>
    <w:rsid w:val="00C17D46"/>
    <w:rsid w:val="00C2176E"/>
    <w:rsid w:val="00C23430"/>
    <w:rsid w:val="00C23583"/>
    <w:rsid w:val="00C27D67"/>
    <w:rsid w:val="00C356C4"/>
    <w:rsid w:val="00C40B26"/>
    <w:rsid w:val="00C42DEF"/>
    <w:rsid w:val="00C444E8"/>
    <w:rsid w:val="00C44D6A"/>
    <w:rsid w:val="00C4537F"/>
    <w:rsid w:val="00C457E1"/>
    <w:rsid w:val="00C4631F"/>
    <w:rsid w:val="00C47B9C"/>
    <w:rsid w:val="00C47CDE"/>
    <w:rsid w:val="00C50E16"/>
    <w:rsid w:val="00C5233E"/>
    <w:rsid w:val="00C54186"/>
    <w:rsid w:val="00C5461D"/>
    <w:rsid w:val="00C55258"/>
    <w:rsid w:val="00C55C5A"/>
    <w:rsid w:val="00C56893"/>
    <w:rsid w:val="00C60DB3"/>
    <w:rsid w:val="00C6286E"/>
    <w:rsid w:val="00C663AC"/>
    <w:rsid w:val="00C75059"/>
    <w:rsid w:val="00C76B87"/>
    <w:rsid w:val="00C82EEB"/>
    <w:rsid w:val="00C835C7"/>
    <w:rsid w:val="00C8506B"/>
    <w:rsid w:val="00C874DE"/>
    <w:rsid w:val="00C927A3"/>
    <w:rsid w:val="00C93359"/>
    <w:rsid w:val="00C9370D"/>
    <w:rsid w:val="00C943C9"/>
    <w:rsid w:val="00C94F90"/>
    <w:rsid w:val="00C9645D"/>
    <w:rsid w:val="00C971DC"/>
    <w:rsid w:val="00C9757A"/>
    <w:rsid w:val="00CA16B7"/>
    <w:rsid w:val="00CA356B"/>
    <w:rsid w:val="00CA3AD8"/>
    <w:rsid w:val="00CA4BB3"/>
    <w:rsid w:val="00CA571B"/>
    <w:rsid w:val="00CA62AE"/>
    <w:rsid w:val="00CB07EC"/>
    <w:rsid w:val="00CB202E"/>
    <w:rsid w:val="00CB2BC8"/>
    <w:rsid w:val="00CB4A9B"/>
    <w:rsid w:val="00CB5B1A"/>
    <w:rsid w:val="00CB7220"/>
    <w:rsid w:val="00CB79BE"/>
    <w:rsid w:val="00CC0FB5"/>
    <w:rsid w:val="00CC220B"/>
    <w:rsid w:val="00CC4246"/>
    <w:rsid w:val="00CC55EB"/>
    <w:rsid w:val="00CC5664"/>
    <w:rsid w:val="00CC5C43"/>
    <w:rsid w:val="00CC6C55"/>
    <w:rsid w:val="00CD02AE"/>
    <w:rsid w:val="00CD29AF"/>
    <w:rsid w:val="00CD2A4F"/>
    <w:rsid w:val="00CD3C9F"/>
    <w:rsid w:val="00CD48F1"/>
    <w:rsid w:val="00CE03CA"/>
    <w:rsid w:val="00CE0A0A"/>
    <w:rsid w:val="00CE22F1"/>
    <w:rsid w:val="00CE485D"/>
    <w:rsid w:val="00CE4E48"/>
    <w:rsid w:val="00CE50F2"/>
    <w:rsid w:val="00CE6502"/>
    <w:rsid w:val="00CF04A6"/>
    <w:rsid w:val="00CF3C01"/>
    <w:rsid w:val="00CF45A2"/>
    <w:rsid w:val="00CF68CB"/>
    <w:rsid w:val="00CF7D3C"/>
    <w:rsid w:val="00D01F09"/>
    <w:rsid w:val="00D0234F"/>
    <w:rsid w:val="00D147EB"/>
    <w:rsid w:val="00D15363"/>
    <w:rsid w:val="00D15B62"/>
    <w:rsid w:val="00D218F9"/>
    <w:rsid w:val="00D21EE2"/>
    <w:rsid w:val="00D22D18"/>
    <w:rsid w:val="00D24E7B"/>
    <w:rsid w:val="00D303BC"/>
    <w:rsid w:val="00D34667"/>
    <w:rsid w:val="00D355FE"/>
    <w:rsid w:val="00D36A98"/>
    <w:rsid w:val="00D401E1"/>
    <w:rsid w:val="00D408B4"/>
    <w:rsid w:val="00D40AC5"/>
    <w:rsid w:val="00D41E96"/>
    <w:rsid w:val="00D42815"/>
    <w:rsid w:val="00D4320B"/>
    <w:rsid w:val="00D47749"/>
    <w:rsid w:val="00D51A3D"/>
    <w:rsid w:val="00D524C8"/>
    <w:rsid w:val="00D53325"/>
    <w:rsid w:val="00D63F74"/>
    <w:rsid w:val="00D65000"/>
    <w:rsid w:val="00D70E24"/>
    <w:rsid w:val="00D72B61"/>
    <w:rsid w:val="00D74F2F"/>
    <w:rsid w:val="00D771CD"/>
    <w:rsid w:val="00D81ADA"/>
    <w:rsid w:val="00D83E89"/>
    <w:rsid w:val="00D8434C"/>
    <w:rsid w:val="00D84453"/>
    <w:rsid w:val="00D91E14"/>
    <w:rsid w:val="00D9201C"/>
    <w:rsid w:val="00D95787"/>
    <w:rsid w:val="00DA3D1D"/>
    <w:rsid w:val="00DA6C12"/>
    <w:rsid w:val="00DA6C47"/>
    <w:rsid w:val="00DB2865"/>
    <w:rsid w:val="00DB2AAD"/>
    <w:rsid w:val="00DB6286"/>
    <w:rsid w:val="00DB645F"/>
    <w:rsid w:val="00DB76E9"/>
    <w:rsid w:val="00DC03D6"/>
    <w:rsid w:val="00DC0427"/>
    <w:rsid w:val="00DC0A67"/>
    <w:rsid w:val="00DC0AC0"/>
    <w:rsid w:val="00DC1D5E"/>
    <w:rsid w:val="00DC3A0B"/>
    <w:rsid w:val="00DC3DA5"/>
    <w:rsid w:val="00DC5220"/>
    <w:rsid w:val="00DC6F06"/>
    <w:rsid w:val="00DC7ADC"/>
    <w:rsid w:val="00DD2061"/>
    <w:rsid w:val="00DD28AA"/>
    <w:rsid w:val="00DD7DAB"/>
    <w:rsid w:val="00DE3355"/>
    <w:rsid w:val="00DE7192"/>
    <w:rsid w:val="00DF0C60"/>
    <w:rsid w:val="00DF1724"/>
    <w:rsid w:val="00DF2D44"/>
    <w:rsid w:val="00DF486F"/>
    <w:rsid w:val="00DF59EE"/>
    <w:rsid w:val="00DF5B5B"/>
    <w:rsid w:val="00DF7619"/>
    <w:rsid w:val="00E042D8"/>
    <w:rsid w:val="00E06C08"/>
    <w:rsid w:val="00E0770F"/>
    <w:rsid w:val="00E07EE7"/>
    <w:rsid w:val="00E10FB9"/>
    <w:rsid w:val="00E1103B"/>
    <w:rsid w:val="00E11C38"/>
    <w:rsid w:val="00E13073"/>
    <w:rsid w:val="00E13191"/>
    <w:rsid w:val="00E14CA3"/>
    <w:rsid w:val="00E17B44"/>
    <w:rsid w:val="00E20F27"/>
    <w:rsid w:val="00E2217A"/>
    <w:rsid w:val="00E22443"/>
    <w:rsid w:val="00E2546D"/>
    <w:rsid w:val="00E27FEA"/>
    <w:rsid w:val="00E30CD5"/>
    <w:rsid w:val="00E34A85"/>
    <w:rsid w:val="00E373A5"/>
    <w:rsid w:val="00E37A95"/>
    <w:rsid w:val="00E4086F"/>
    <w:rsid w:val="00E431EE"/>
    <w:rsid w:val="00E43712"/>
    <w:rsid w:val="00E43B3C"/>
    <w:rsid w:val="00E44093"/>
    <w:rsid w:val="00E470FB"/>
    <w:rsid w:val="00E50188"/>
    <w:rsid w:val="00E507AE"/>
    <w:rsid w:val="00E50BB3"/>
    <w:rsid w:val="00E515CB"/>
    <w:rsid w:val="00E52260"/>
    <w:rsid w:val="00E53FD9"/>
    <w:rsid w:val="00E55989"/>
    <w:rsid w:val="00E56EF5"/>
    <w:rsid w:val="00E639B6"/>
    <w:rsid w:val="00E6434B"/>
    <w:rsid w:val="00E6463D"/>
    <w:rsid w:val="00E712F8"/>
    <w:rsid w:val="00E72D35"/>
    <w:rsid w:val="00E72E9B"/>
    <w:rsid w:val="00E73039"/>
    <w:rsid w:val="00E850C3"/>
    <w:rsid w:val="00E87DF2"/>
    <w:rsid w:val="00E94436"/>
    <w:rsid w:val="00E9462E"/>
    <w:rsid w:val="00EA470E"/>
    <w:rsid w:val="00EA47A7"/>
    <w:rsid w:val="00EA4DFB"/>
    <w:rsid w:val="00EA4ED4"/>
    <w:rsid w:val="00EA56A6"/>
    <w:rsid w:val="00EA57EB"/>
    <w:rsid w:val="00EA5C25"/>
    <w:rsid w:val="00EB042C"/>
    <w:rsid w:val="00EB2312"/>
    <w:rsid w:val="00EB3226"/>
    <w:rsid w:val="00EC1936"/>
    <w:rsid w:val="00EC213A"/>
    <w:rsid w:val="00EC2A7D"/>
    <w:rsid w:val="00EC39A9"/>
    <w:rsid w:val="00EC6926"/>
    <w:rsid w:val="00EC7591"/>
    <w:rsid w:val="00EC7744"/>
    <w:rsid w:val="00EC7C87"/>
    <w:rsid w:val="00ED0DAD"/>
    <w:rsid w:val="00ED0F46"/>
    <w:rsid w:val="00ED2373"/>
    <w:rsid w:val="00EE0960"/>
    <w:rsid w:val="00EE3A35"/>
    <w:rsid w:val="00EE3E8A"/>
    <w:rsid w:val="00EE4D1D"/>
    <w:rsid w:val="00EE51FA"/>
    <w:rsid w:val="00EF020E"/>
    <w:rsid w:val="00EF13A6"/>
    <w:rsid w:val="00EF13B3"/>
    <w:rsid w:val="00EF38F4"/>
    <w:rsid w:val="00EF58B8"/>
    <w:rsid w:val="00EF6ECA"/>
    <w:rsid w:val="00F009B0"/>
    <w:rsid w:val="00F016F1"/>
    <w:rsid w:val="00F018B6"/>
    <w:rsid w:val="00F020B0"/>
    <w:rsid w:val="00F022F6"/>
    <w:rsid w:val="00F024E1"/>
    <w:rsid w:val="00F06C10"/>
    <w:rsid w:val="00F107F2"/>
    <w:rsid w:val="00F1096F"/>
    <w:rsid w:val="00F1107F"/>
    <w:rsid w:val="00F12589"/>
    <w:rsid w:val="00F12595"/>
    <w:rsid w:val="00F134D9"/>
    <w:rsid w:val="00F1403D"/>
    <w:rsid w:val="00F1463F"/>
    <w:rsid w:val="00F1564C"/>
    <w:rsid w:val="00F20337"/>
    <w:rsid w:val="00F21302"/>
    <w:rsid w:val="00F23988"/>
    <w:rsid w:val="00F241A3"/>
    <w:rsid w:val="00F24B55"/>
    <w:rsid w:val="00F25F33"/>
    <w:rsid w:val="00F301A7"/>
    <w:rsid w:val="00F321DE"/>
    <w:rsid w:val="00F33777"/>
    <w:rsid w:val="00F343BB"/>
    <w:rsid w:val="00F373DF"/>
    <w:rsid w:val="00F40648"/>
    <w:rsid w:val="00F406F9"/>
    <w:rsid w:val="00F450AD"/>
    <w:rsid w:val="00F464CB"/>
    <w:rsid w:val="00F47DA2"/>
    <w:rsid w:val="00F50D60"/>
    <w:rsid w:val="00F519FC"/>
    <w:rsid w:val="00F55583"/>
    <w:rsid w:val="00F55683"/>
    <w:rsid w:val="00F5717C"/>
    <w:rsid w:val="00F60539"/>
    <w:rsid w:val="00F6239D"/>
    <w:rsid w:val="00F715D2"/>
    <w:rsid w:val="00F7218F"/>
    <w:rsid w:val="00F7274F"/>
    <w:rsid w:val="00F73631"/>
    <w:rsid w:val="00F73823"/>
    <w:rsid w:val="00F74C80"/>
    <w:rsid w:val="00F74E84"/>
    <w:rsid w:val="00F7598E"/>
    <w:rsid w:val="00F76FA8"/>
    <w:rsid w:val="00F819F4"/>
    <w:rsid w:val="00F81A03"/>
    <w:rsid w:val="00F86342"/>
    <w:rsid w:val="00F93F08"/>
    <w:rsid w:val="00F94CED"/>
    <w:rsid w:val="00F958ED"/>
    <w:rsid w:val="00F9774A"/>
    <w:rsid w:val="00F97CE7"/>
    <w:rsid w:val="00FA02BB"/>
    <w:rsid w:val="00FA2CEE"/>
    <w:rsid w:val="00FA318C"/>
    <w:rsid w:val="00FA5458"/>
    <w:rsid w:val="00FA555D"/>
    <w:rsid w:val="00FA6063"/>
    <w:rsid w:val="00FA7F9F"/>
    <w:rsid w:val="00FB0FF5"/>
    <w:rsid w:val="00FB27D9"/>
    <w:rsid w:val="00FB5AD4"/>
    <w:rsid w:val="00FB6310"/>
    <w:rsid w:val="00FB6F92"/>
    <w:rsid w:val="00FB74D3"/>
    <w:rsid w:val="00FC026E"/>
    <w:rsid w:val="00FC127A"/>
    <w:rsid w:val="00FC1416"/>
    <w:rsid w:val="00FC150C"/>
    <w:rsid w:val="00FC18E2"/>
    <w:rsid w:val="00FC34B4"/>
    <w:rsid w:val="00FC4DF8"/>
    <w:rsid w:val="00FC5124"/>
    <w:rsid w:val="00FC57C1"/>
    <w:rsid w:val="00FC77E5"/>
    <w:rsid w:val="00FD097C"/>
    <w:rsid w:val="00FD1F49"/>
    <w:rsid w:val="00FD4079"/>
    <w:rsid w:val="00FD4731"/>
    <w:rsid w:val="00FD6768"/>
    <w:rsid w:val="00FD68F4"/>
    <w:rsid w:val="00FE0375"/>
    <w:rsid w:val="00FE3CC9"/>
    <w:rsid w:val="00FE49C5"/>
    <w:rsid w:val="00FF04EF"/>
    <w:rsid w:val="00FF0AB0"/>
    <w:rsid w:val="00FF28AC"/>
    <w:rsid w:val="00FF3511"/>
    <w:rsid w:val="00FF4BF2"/>
    <w:rsid w:val="00FF5DBD"/>
    <w:rsid w:val="00FF766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F45F9"/>
  <w15:docId w15:val="{236A4E34-C7E4-487A-99E8-521C6D19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2B9"/>
    <w:pPr>
      <w:spacing w:before="120" w:after="120"/>
    </w:pPr>
    <w:rPr>
      <w:rFonts w:asciiTheme="minorHAnsi" w:eastAsiaTheme="minorHAnsi" w:hAnsiTheme="minorHAnsi"/>
      <w:sz w:val="22"/>
      <w:szCs w:val="24"/>
      <w:lang w:eastAsia="en-US"/>
    </w:rPr>
  </w:style>
  <w:style w:type="paragraph" w:styleId="Heading1">
    <w:name w:val="heading 1"/>
    <w:basedOn w:val="Normal"/>
    <w:next w:val="Normal"/>
    <w:qFormat/>
    <w:rsid w:val="00BA70BC"/>
    <w:pPr>
      <w:keepNext/>
      <w:spacing w:before="240" w:after="60"/>
      <w:outlineLvl w:val="0"/>
    </w:pPr>
    <w:rPr>
      <w:rFonts w:ascii="Calibri" w:hAnsi="Calibri"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6D0D8F"/>
    <w:pPr>
      <w:spacing w:before="0" w:after="0"/>
    </w:pPr>
    <w:rPr>
      <w:rFonts w:cstheme="minorHAnsi"/>
      <w:color w:val="3F4A75" w:themeColor="accent1"/>
      <w:sz w:val="36"/>
      <w:szCs w:val="36"/>
    </w:rPr>
  </w:style>
  <w:style w:type="character" w:customStyle="1" w:styleId="TitleChar">
    <w:name w:val="Title Char"/>
    <w:basedOn w:val="DefaultParagraphFont"/>
    <w:link w:val="Title"/>
    <w:rsid w:val="006D0D8F"/>
    <w:rPr>
      <w:rFonts w:asciiTheme="minorHAnsi" w:eastAsiaTheme="minorHAnsi" w:hAnsiTheme="minorHAnsi" w:cstheme="minorHAnsi"/>
      <w:color w:val="3F4A75" w:themeColor="accent1"/>
      <w:sz w:val="36"/>
      <w:szCs w:val="36"/>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5"/>
      </w:numPr>
      <w:ind w:left="568" w:hanging="284"/>
    </w:pPr>
  </w:style>
  <w:style w:type="paragraph" w:styleId="ListNumber2">
    <w:name w:val="List Number 2"/>
    <w:basedOn w:val="ListBullet"/>
    <w:qFormat/>
    <w:rsid w:val="0048593C"/>
    <w:pPr>
      <w:numPr>
        <w:numId w:val="7"/>
      </w:numPr>
    </w:pPr>
  </w:style>
  <w:style w:type="paragraph" w:styleId="ListBullet">
    <w:name w:val="List Bullet"/>
    <w:basedOn w:val="Normal"/>
    <w:qFormat/>
    <w:rsid w:val="0048593C"/>
    <w:pPr>
      <w:numPr>
        <w:numId w:val="6"/>
      </w:numPr>
      <w:spacing w:before="60" w:after="60"/>
    </w:pPr>
    <w:rPr>
      <w:color w:val="000000" w:themeColor="text1"/>
      <w:sz w:val="21"/>
    </w:rPr>
  </w:style>
  <w:style w:type="paragraph" w:styleId="TOCHeading">
    <w:name w:val="TOC Heading"/>
    <w:next w:val="Normal"/>
    <w:uiPriority w:val="39"/>
    <w:unhideWhenUsed/>
    <w:qFormat/>
    <w:rsid w:val="00BD42B9"/>
    <w:pPr>
      <w:keepLines/>
    </w:pPr>
    <w:rPr>
      <w:rFonts w:asciiTheme="minorHAnsi" w:eastAsiaTheme="majorEastAsia" w:hAnsiTheme="minorHAnsi" w:cstheme="majorBidi"/>
      <w:b/>
      <w:color w:val="2F3757" w:themeColor="accent1" w:themeShade="BF"/>
      <w:sz w:val="24"/>
      <w:szCs w:val="32"/>
      <w:lang w:eastAsia="en-US"/>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link w:val="TableTextChar"/>
    <w:autoRedefine/>
    <w:qFormat/>
    <w:locked/>
    <w:rsid w:val="00511845"/>
    <w:pPr>
      <w:spacing w:before="60" w:after="60"/>
    </w:pPr>
    <w:rPr>
      <w:rFonts w:asciiTheme="minorHAnsi" w:hAnsiTheme="minorHAnsi"/>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D42B9"/>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heme="minorHAnsi" w:hAnsiTheme="minorHAnsi"/>
        <w:b/>
        <w:bCs/>
        <w:i w:val="0"/>
        <w:iCs/>
        <w:color w:val="FFFFFF"/>
        <w:sz w:val="22"/>
      </w:rPr>
      <w:tblPr/>
      <w:tcPr>
        <w:shd w:val="clear" w:color="auto" w:fill="3F4A75" w:themeFill="text2"/>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next w:val="TableText"/>
    <w:qFormat/>
    <w:rsid w:val="00BD42B9"/>
    <w:pPr>
      <w:spacing w:before="80" w:after="80"/>
    </w:pPr>
    <w:rPr>
      <w:rFonts w:asciiTheme="minorHAnsi" w:eastAsia="Cambria" w:hAnsiTheme="minorHAnsi"/>
      <w:b/>
      <w:color w:val="FFFFFF" w:themeColor="background1"/>
      <w:sz w:val="22"/>
      <w:szCs w:val="22"/>
      <w:lang w:val="en-US" w:eastAsia="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ListBullet"/>
    <w:link w:val="TablelistbulletChar"/>
    <w:qFormat/>
    <w:rsid w:val="005B2C74"/>
    <w:pPr>
      <w:numPr>
        <w:numId w:val="2"/>
      </w:numPr>
      <w:spacing w:before="0" w:after="0"/>
    </w:pPr>
    <w:rPr>
      <w:rFonts w:ascii="Calibri" w:hAnsi="Calibri"/>
      <w:sz w:val="22"/>
      <w:szCs w:val="20"/>
    </w:rPr>
  </w:style>
  <w:style w:type="paragraph" w:customStyle="1" w:styleId="Tablelistnumber">
    <w:name w:val="Table list number"/>
    <w:basedOn w:val="Tablelistbulle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TableText"/>
    <w:rsid w:val="00BD42B9"/>
    <w:pPr>
      <w:keepNext/>
    </w:pPr>
    <w:rPr>
      <w:b/>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8774F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774F2"/>
    <w:rPr>
      <w:rFonts w:ascii="Segoe UI" w:eastAsiaTheme="minorHAnsi" w:hAnsi="Segoe UI" w:cs="Segoe UI"/>
      <w:sz w:val="18"/>
      <w:szCs w:val="18"/>
      <w:lang w:eastAsia="en-US"/>
    </w:rPr>
  </w:style>
  <w:style w:type="character" w:styleId="UnresolvedMention">
    <w:name w:val="Unresolved Mention"/>
    <w:basedOn w:val="DefaultParagraphFont"/>
    <w:uiPriority w:val="99"/>
    <w:semiHidden/>
    <w:unhideWhenUsed/>
    <w:rsid w:val="00C927A3"/>
    <w:rPr>
      <w:color w:val="605E5C"/>
      <w:shd w:val="clear" w:color="auto" w:fill="E1DFDD"/>
    </w:rPr>
  </w:style>
  <w:style w:type="character" w:styleId="CommentReference">
    <w:name w:val="annotation reference"/>
    <w:basedOn w:val="DefaultParagraphFont"/>
    <w:uiPriority w:val="99"/>
    <w:semiHidden/>
    <w:unhideWhenUsed/>
    <w:rsid w:val="0013164A"/>
    <w:rPr>
      <w:sz w:val="16"/>
      <w:szCs w:val="16"/>
    </w:rPr>
  </w:style>
  <w:style w:type="paragraph" w:styleId="CommentText">
    <w:name w:val="annotation text"/>
    <w:basedOn w:val="Normal"/>
    <w:link w:val="CommentTextChar"/>
    <w:uiPriority w:val="99"/>
    <w:unhideWhenUsed/>
    <w:rsid w:val="0013164A"/>
    <w:rPr>
      <w:sz w:val="20"/>
      <w:szCs w:val="20"/>
    </w:rPr>
  </w:style>
  <w:style w:type="character" w:customStyle="1" w:styleId="CommentTextChar">
    <w:name w:val="Comment Text Char"/>
    <w:basedOn w:val="DefaultParagraphFont"/>
    <w:link w:val="CommentText"/>
    <w:uiPriority w:val="99"/>
    <w:rsid w:val="0013164A"/>
    <w:rPr>
      <w:rFonts w:eastAsiaTheme="minorHAnsi"/>
      <w:lang w:eastAsia="en-US"/>
    </w:rPr>
  </w:style>
  <w:style w:type="paragraph" w:styleId="CommentSubject">
    <w:name w:val="annotation subject"/>
    <w:basedOn w:val="CommentText"/>
    <w:next w:val="CommentText"/>
    <w:link w:val="CommentSubjectChar"/>
    <w:semiHidden/>
    <w:unhideWhenUsed/>
    <w:rsid w:val="0013164A"/>
    <w:rPr>
      <w:b/>
      <w:bCs/>
    </w:rPr>
  </w:style>
  <w:style w:type="character" w:customStyle="1" w:styleId="CommentSubjectChar">
    <w:name w:val="Comment Subject Char"/>
    <w:basedOn w:val="CommentTextChar"/>
    <w:link w:val="CommentSubject"/>
    <w:semiHidden/>
    <w:rsid w:val="0013164A"/>
    <w:rPr>
      <w:rFonts w:eastAsiaTheme="minorHAnsi"/>
      <w:b/>
      <w:bCs/>
      <w:lang w:eastAsia="en-US"/>
    </w:rPr>
  </w:style>
  <w:style w:type="character" w:styleId="FollowedHyperlink">
    <w:name w:val="FollowedHyperlink"/>
    <w:basedOn w:val="DefaultParagraphFont"/>
    <w:semiHidden/>
    <w:unhideWhenUsed/>
    <w:rsid w:val="00A57B58"/>
    <w:rPr>
      <w:color w:val="800080" w:themeColor="followedHyperlink"/>
      <w:u w:val="single"/>
    </w:rPr>
  </w:style>
  <w:style w:type="paragraph" w:styleId="NoSpacing">
    <w:name w:val="No Spacing"/>
    <w:uiPriority w:val="1"/>
    <w:qFormat/>
    <w:rsid w:val="006F2DA8"/>
    <w:rPr>
      <w:rFonts w:eastAsiaTheme="minorHAnsi"/>
      <w:sz w:val="24"/>
      <w:szCs w:val="24"/>
      <w:lang w:eastAsia="en-US"/>
    </w:rPr>
  </w:style>
  <w:style w:type="paragraph" w:customStyle="1" w:styleId="Tablelistbullet2">
    <w:name w:val="Table list bullet (2)"/>
    <w:basedOn w:val="Tablelistbullet"/>
    <w:link w:val="Tablelistbullet2Char"/>
    <w:qFormat/>
    <w:rsid w:val="005B2C74"/>
    <w:pPr>
      <w:numPr>
        <w:numId w:val="8"/>
      </w:numPr>
    </w:pPr>
  </w:style>
  <w:style w:type="character" w:customStyle="1" w:styleId="TableTextChar">
    <w:name w:val="Table Text Char"/>
    <w:basedOn w:val="DefaultParagraphFont"/>
    <w:link w:val="TableText"/>
    <w:rsid w:val="00511845"/>
    <w:rPr>
      <w:rFonts w:asciiTheme="minorHAnsi" w:hAnsiTheme="minorHAnsi"/>
      <w:color w:val="000000" w:themeColor="text1"/>
      <w:sz w:val="22"/>
      <w:szCs w:val="24"/>
      <w:lang w:eastAsia="en-US"/>
    </w:rPr>
  </w:style>
  <w:style w:type="character" w:customStyle="1" w:styleId="TablelistbulletChar">
    <w:name w:val="Table list bullet Char"/>
    <w:basedOn w:val="TableTextChar"/>
    <w:link w:val="Tablelistbullet"/>
    <w:rsid w:val="00BB08D0"/>
    <w:rPr>
      <w:rFonts w:ascii="Calibri" w:eastAsiaTheme="minorHAnsi" w:hAnsi="Calibri"/>
      <w:color w:val="000000" w:themeColor="text1"/>
      <w:sz w:val="22"/>
      <w:szCs w:val="24"/>
      <w:lang w:eastAsia="en-US"/>
    </w:rPr>
  </w:style>
  <w:style w:type="character" w:customStyle="1" w:styleId="Tablelistbullet2Char">
    <w:name w:val="Table list bullet (2) Char"/>
    <w:basedOn w:val="TablelistbulletChar"/>
    <w:link w:val="Tablelistbullet2"/>
    <w:rsid w:val="00BA70BC"/>
    <w:rPr>
      <w:rFonts w:ascii="Calibri" w:eastAsiaTheme="minorHAnsi" w:hAnsi="Calibri"/>
      <w:color w:val="000000" w:themeColor="text1"/>
      <w:sz w:val="22"/>
      <w:szCs w:val="24"/>
      <w:lang w:eastAsia="en-US"/>
    </w:rPr>
  </w:style>
  <w:style w:type="paragraph" w:styleId="Revision">
    <w:name w:val="Revision"/>
    <w:hidden/>
    <w:uiPriority w:val="99"/>
    <w:semiHidden/>
    <w:rsid w:val="009E5BC0"/>
    <w:rPr>
      <w:rFonts w:asciiTheme="minorHAnsi" w:eastAsiaTheme="minorHAnsi" w:hAnsiTheme="minorHAnsi"/>
      <w:sz w:val="22"/>
      <w:szCs w:val="24"/>
      <w:lang w:eastAsia="en-US"/>
    </w:rPr>
  </w:style>
  <w:style w:type="paragraph" w:customStyle="1" w:styleId="Default">
    <w:name w:val="Default"/>
    <w:rsid w:val="00A3750E"/>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semiHidden/>
    <w:unhideWhenUsed/>
    <w:rsid w:val="007F6B84"/>
    <w:pPr>
      <w:spacing w:before="100" w:beforeAutospacing="1" w:after="100" w:afterAutospacing="1"/>
    </w:pPr>
    <w:rPr>
      <w:rFonts w:ascii="Times New Roman" w:eastAsia="Times New Roman" w:hAnsi="Times New Roman"/>
      <w:sz w:val="24"/>
      <w:lang w:eastAsia="en-AU"/>
    </w:rPr>
  </w:style>
  <w:style w:type="character" w:customStyle="1" w:styleId="StandardText">
    <w:name w:val="Standard Text"/>
    <w:basedOn w:val="DefaultParagraphFont"/>
    <w:uiPriority w:val="1"/>
    <w:rsid w:val="002A00D8"/>
    <w:rPr>
      <w:rFonts w:ascii="Calibri" w:hAnsi="Calibri"/>
      <w:b w:val="0"/>
      <w:sz w:val="22"/>
    </w:rPr>
  </w:style>
  <w:style w:type="character" w:customStyle="1" w:styleId="normaltextrun">
    <w:name w:val="normaltextrun"/>
    <w:basedOn w:val="DefaultParagraphFont"/>
    <w:rsid w:val="002A00D8"/>
  </w:style>
  <w:style w:type="character" w:customStyle="1" w:styleId="eop">
    <w:name w:val="eop"/>
    <w:basedOn w:val="DefaultParagraphFont"/>
    <w:rsid w:val="002A00D8"/>
  </w:style>
  <w:style w:type="paragraph" w:styleId="TOC1">
    <w:name w:val="toc 1"/>
    <w:basedOn w:val="Normal"/>
    <w:next w:val="Normal"/>
    <w:autoRedefine/>
    <w:uiPriority w:val="39"/>
    <w:unhideWhenUsed/>
    <w:rsid w:val="008A3FDF"/>
    <w:pPr>
      <w:tabs>
        <w:tab w:val="right" w:leader="dot" w:pos="9060"/>
      </w:tabs>
      <w:spacing w:after="100"/>
    </w:pPr>
    <w:rPr>
      <w:b/>
      <w:bCs/>
    </w:rPr>
  </w:style>
  <w:style w:type="paragraph" w:styleId="ListNumber">
    <w:name w:val="List Number"/>
    <w:basedOn w:val="Normal"/>
    <w:rsid w:val="00062315"/>
    <w:pPr>
      <w:tabs>
        <w:tab w:val="num" w:pos="360"/>
      </w:tabs>
      <w:ind w:left="360" w:hanging="360"/>
      <w:contextualSpacing/>
    </w:pPr>
  </w:style>
  <w:style w:type="table" w:customStyle="1" w:styleId="DepartmentofHealthtable1">
    <w:name w:val="Department of Health table1"/>
    <w:basedOn w:val="TableNormal"/>
    <w:uiPriority w:val="99"/>
    <w:rsid w:val="00062315"/>
    <w:rPr>
      <w:rFonts w:ascii="Arial" w:hAnsi="Arial"/>
      <w:color w:val="000000" w:themeColor="text1"/>
      <w:sz w:val="2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FootnoteReference">
    <w:name w:val="footnote reference"/>
    <w:basedOn w:val="DefaultParagraphFont"/>
    <w:unhideWhenUsed/>
    <w:rsid w:val="00062315"/>
    <w:rPr>
      <w:vertAlign w:val="superscript"/>
    </w:rPr>
  </w:style>
  <w:style w:type="paragraph" w:styleId="TableofFigures">
    <w:name w:val="table of figures"/>
    <w:basedOn w:val="Normal"/>
    <w:next w:val="Normal"/>
    <w:unhideWhenUsed/>
    <w:rsid w:val="00BD42B9"/>
    <w:pPr>
      <w:spacing w:after="0"/>
    </w:pPr>
  </w:style>
  <w:style w:type="paragraph" w:customStyle="1" w:styleId="paragraph">
    <w:name w:val="paragraph"/>
    <w:basedOn w:val="Normal"/>
    <w:rsid w:val="00066829"/>
    <w:pPr>
      <w:spacing w:before="100" w:beforeAutospacing="1" w:after="100" w:afterAutospacing="1"/>
    </w:pPr>
    <w:rPr>
      <w:rFonts w:ascii="Times New Roman" w:eastAsia="Times New Roman" w:hAnsi="Times New Roman"/>
      <w:sz w:val="24"/>
      <w:lang w:eastAsia="en-AU"/>
    </w:rPr>
  </w:style>
  <w:style w:type="paragraph" w:styleId="ListParagraph">
    <w:name w:val="List Paragraph"/>
    <w:basedOn w:val="Normal"/>
    <w:uiPriority w:val="34"/>
    <w:qFormat/>
    <w:rsid w:val="006E7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4198066">
      <w:bodyDiv w:val="1"/>
      <w:marLeft w:val="0"/>
      <w:marRight w:val="0"/>
      <w:marTop w:val="0"/>
      <w:marBottom w:val="0"/>
      <w:divBdr>
        <w:top w:val="none" w:sz="0" w:space="0" w:color="auto"/>
        <w:left w:val="none" w:sz="0" w:space="0" w:color="auto"/>
        <w:bottom w:val="none" w:sz="0" w:space="0" w:color="auto"/>
        <w:right w:val="none" w:sz="0" w:space="0" w:color="auto"/>
      </w:divBdr>
    </w:div>
    <w:div w:id="508102082">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2145671">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36054016">
      <w:bodyDiv w:val="1"/>
      <w:marLeft w:val="0"/>
      <w:marRight w:val="0"/>
      <w:marTop w:val="0"/>
      <w:marBottom w:val="0"/>
      <w:divBdr>
        <w:top w:val="none" w:sz="0" w:space="0" w:color="auto"/>
        <w:left w:val="none" w:sz="0" w:space="0" w:color="auto"/>
        <w:bottom w:val="none" w:sz="0" w:space="0" w:color="auto"/>
        <w:right w:val="none" w:sz="0" w:space="0" w:color="auto"/>
      </w:divBdr>
    </w:div>
    <w:div w:id="739253836">
      <w:bodyDiv w:val="1"/>
      <w:marLeft w:val="0"/>
      <w:marRight w:val="0"/>
      <w:marTop w:val="0"/>
      <w:marBottom w:val="0"/>
      <w:divBdr>
        <w:top w:val="none" w:sz="0" w:space="0" w:color="auto"/>
        <w:left w:val="none" w:sz="0" w:space="0" w:color="auto"/>
        <w:bottom w:val="none" w:sz="0" w:space="0" w:color="auto"/>
        <w:right w:val="none" w:sz="0" w:space="0" w:color="auto"/>
      </w:divBdr>
    </w:div>
    <w:div w:id="852574883">
      <w:bodyDiv w:val="1"/>
      <w:marLeft w:val="0"/>
      <w:marRight w:val="0"/>
      <w:marTop w:val="0"/>
      <w:marBottom w:val="0"/>
      <w:divBdr>
        <w:top w:val="none" w:sz="0" w:space="0" w:color="auto"/>
        <w:left w:val="none" w:sz="0" w:space="0" w:color="auto"/>
        <w:bottom w:val="none" w:sz="0" w:space="0" w:color="auto"/>
        <w:right w:val="none" w:sz="0" w:space="0" w:color="auto"/>
      </w:divBdr>
    </w:div>
    <w:div w:id="1011181227">
      <w:bodyDiv w:val="1"/>
      <w:marLeft w:val="0"/>
      <w:marRight w:val="0"/>
      <w:marTop w:val="0"/>
      <w:marBottom w:val="0"/>
      <w:divBdr>
        <w:top w:val="none" w:sz="0" w:space="0" w:color="auto"/>
        <w:left w:val="none" w:sz="0" w:space="0" w:color="auto"/>
        <w:bottom w:val="none" w:sz="0" w:space="0" w:color="auto"/>
        <w:right w:val="none" w:sz="0" w:space="0" w:color="auto"/>
      </w:divBdr>
    </w:div>
    <w:div w:id="1018431914">
      <w:bodyDiv w:val="1"/>
      <w:marLeft w:val="0"/>
      <w:marRight w:val="0"/>
      <w:marTop w:val="0"/>
      <w:marBottom w:val="0"/>
      <w:divBdr>
        <w:top w:val="none" w:sz="0" w:space="0" w:color="auto"/>
        <w:left w:val="none" w:sz="0" w:space="0" w:color="auto"/>
        <w:bottom w:val="none" w:sz="0" w:space="0" w:color="auto"/>
        <w:right w:val="none" w:sz="0" w:space="0" w:color="auto"/>
      </w:divBdr>
    </w:div>
    <w:div w:id="103461891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8445673">
      <w:bodyDiv w:val="1"/>
      <w:marLeft w:val="0"/>
      <w:marRight w:val="0"/>
      <w:marTop w:val="0"/>
      <w:marBottom w:val="0"/>
      <w:divBdr>
        <w:top w:val="none" w:sz="0" w:space="0" w:color="auto"/>
        <w:left w:val="none" w:sz="0" w:space="0" w:color="auto"/>
        <w:bottom w:val="none" w:sz="0" w:space="0" w:color="auto"/>
        <w:right w:val="none" w:sz="0" w:space="0" w:color="auto"/>
      </w:divBdr>
    </w:div>
    <w:div w:id="1354111698">
      <w:bodyDiv w:val="1"/>
      <w:marLeft w:val="0"/>
      <w:marRight w:val="0"/>
      <w:marTop w:val="0"/>
      <w:marBottom w:val="0"/>
      <w:divBdr>
        <w:top w:val="none" w:sz="0" w:space="0" w:color="auto"/>
        <w:left w:val="none" w:sz="0" w:space="0" w:color="auto"/>
        <w:bottom w:val="none" w:sz="0" w:space="0" w:color="auto"/>
        <w:right w:val="none" w:sz="0" w:space="0" w:color="auto"/>
      </w:divBdr>
    </w:div>
    <w:div w:id="1557743478">
      <w:bodyDiv w:val="1"/>
      <w:marLeft w:val="0"/>
      <w:marRight w:val="0"/>
      <w:marTop w:val="0"/>
      <w:marBottom w:val="0"/>
      <w:divBdr>
        <w:top w:val="none" w:sz="0" w:space="0" w:color="auto"/>
        <w:left w:val="none" w:sz="0" w:space="0" w:color="auto"/>
        <w:bottom w:val="none" w:sz="0" w:space="0" w:color="auto"/>
        <w:right w:val="none" w:sz="0" w:space="0" w:color="auto"/>
      </w:divBdr>
    </w:div>
    <w:div w:id="1715810026">
      <w:bodyDiv w:val="1"/>
      <w:marLeft w:val="0"/>
      <w:marRight w:val="0"/>
      <w:marTop w:val="0"/>
      <w:marBottom w:val="0"/>
      <w:divBdr>
        <w:top w:val="none" w:sz="0" w:space="0" w:color="auto"/>
        <w:left w:val="none" w:sz="0" w:space="0" w:color="auto"/>
        <w:bottom w:val="none" w:sz="0" w:space="0" w:color="auto"/>
        <w:right w:val="none" w:sz="0" w:space="0" w:color="auto"/>
      </w:divBdr>
    </w:div>
    <w:div w:id="1817335818">
      <w:bodyDiv w:val="1"/>
      <w:marLeft w:val="0"/>
      <w:marRight w:val="0"/>
      <w:marTop w:val="0"/>
      <w:marBottom w:val="0"/>
      <w:divBdr>
        <w:top w:val="none" w:sz="0" w:space="0" w:color="auto"/>
        <w:left w:val="none" w:sz="0" w:space="0" w:color="auto"/>
        <w:bottom w:val="none" w:sz="0" w:space="0" w:color="auto"/>
        <w:right w:val="none" w:sz="0" w:space="0" w:color="auto"/>
      </w:divBdr>
    </w:div>
    <w:div w:id="1845974553">
      <w:bodyDiv w:val="1"/>
      <w:marLeft w:val="0"/>
      <w:marRight w:val="0"/>
      <w:marTop w:val="0"/>
      <w:marBottom w:val="0"/>
      <w:divBdr>
        <w:top w:val="none" w:sz="0" w:space="0" w:color="auto"/>
        <w:left w:val="none" w:sz="0" w:space="0" w:color="auto"/>
        <w:bottom w:val="none" w:sz="0" w:space="0" w:color="auto"/>
        <w:right w:val="none" w:sz="0" w:space="0" w:color="auto"/>
      </w:divBdr>
    </w:div>
    <w:div w:id="1882596769">
      <w:bodyDiv w:val="1"/>
      <w:marLeft w:val="0"/>
      <w:marRight w:val="0"/>
      <w:marTop w:val="0"/>
      <w:marBottom w:val="0"/>
      <w:divBdr>
        <w:top w:val="none" w:sz="0" w:space="0" w:color="auto"/>
        <w:left w:val="none" w:sz="0" w:space="0" w:color="auto"/>
        <w:bottom w:val="none" w:sz="0" w:space="0" w:color="auto"/>
        <w:right w:val="none" w:sz="0" w:space="0" w:color="auto"/>
      </w:divBdr>
    </w:div>
    <w:div w:id="210233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tralianrotaryhealth.org.au/category/current-funding/indigenous-health-scholarship-program/" TargetMode="External"/><Relationship Id="rId18" Type="http://schemas.openxmlformats.org/officeDocument/2006/relationships/hyperlink" Target="https://www.health.gov.au/our-work/increases-to-bulk-billing-incentive-payments" TargetMode="External"/><Relationship Id="rId26" Type="http://schemas.openxmlformats.org/officeDocument/2006/relationships/hyperlink" Target="https://www.health.gov.au/our-work/indigenous-health-workforce-traineeships-progra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9.health.gov.au/mbs/fullDisplay.cfm?type=note&amp;q=MN.1.1&amp;qt=noteI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aha.com.au/workforce-support/scholarships-bursaries/scholarships/puggy-hunter-memorial-scholarship-scheme/" TargetMode="External"/><Relationship Id="rId17" Type="http://schemas.openxmlformats.org/officeDocument/2006/relationships/hyperlink" Target="https://www.health.gov.au/our-work/specialist-training-program" TargetMode="External"/><Relationship Id="rId25" Type="http://schemas.openxmlformats.org/officeDocument/2006/relationships/hyperlink" Target="https://www.hwsp.com.au/"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anzcp.org/college-committees/public-partners/for-health-services-with-stp-posts/psychiatry-workforce-program" TargetMode="External"/><Relationship Id="rId20" Type="http://schemas.openxmlformats.org/officeDocument/2006/relationships/hyperlink" Target="https://www.health.gov.au/our-work/mymedicare" TargetMode="External"/><Relationship Id="rId29" Type="http://schemas.openxmlformats.org/officeDocument/2006/relationships/hyperlink" Target="https://www.apna.asn.au/profession/niph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apps-and-tools/health-workforce-locator/health-workforce-locator" TargetMode="External"/><Relationship Id="rId24" Type="http://schemas.openxmlformats.org/officeDocument/2006/relationships/hyperlink" Target="https://www.health.gov.au/our-work/gpaci" TargetMode="External"/><Relationship Id="rId32" Type="http://schemas.openxmlformats.org/officeDocument/2006/relationships/hyperlink" Target="https://www.health.gov.au/topics/aboriginal-and-torres-strait-islander-health/eye-health-and-vision-support"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our-work/pre-fellowship-program" TargetMode="External"/><Relationship Id="rId23" Type="http://schemas.openxmlformats.org/officeDocument/2006/relationships/hyperlink" Target="https://rwanetwork.com.au/" TargetMode="External"/><Relationship Id="rId28" Type="http://schemas.openxmlformats.org/officeDocument/2006/relationships/hyperlink" Target="https://www.lowitja.org.au/lowitja-foundation/scholarship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gov.au/our-work/mymedicare" TargetMode="External"/><Relationship Id="rId31" Type="http://schemas.openxmlformats.org/officeDocument/2006/relationships/hyperlink" Target="https://www1.health.gov.au/internet/main/publishing.nsf/Content/indigenous-medical-outreach-icd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australian-general-practice-training-agpt-program" TargetMode="External"/><Relationship Id="rId22" Type="http://schemas.openxmlformats.org/officeDocument/2006/relationships/hyperlink" Target="https://www.mbsonline.gov.au/internet/mbsonline/publishing.nsf/Content/Factsheet-Bulk%20Billing%20Incentives%20%E2%80%93%20Changes%20to%20Eligibility" TargetMode="External"/><Relationship Id="rId27" Type="http://schemas.openxmlformats.org/officeDocument/2006/relationships/hyperlink" Target="https://www.health.gov.au/our-work/first-nations-health-worker-traineeship-program" TargetMode="External"/><Relationship Id="rId30" Type="http://schemas.openxmlformats.org/officeDocument/2006/relationships/hyperlink" Target="https://www.apna.asn.au/profession/career-pathways" TargetMode="External"/><Relationship Id="rId35"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423DD-BE37-4B2A-9281-8313E0C07AC7}"/>
</file>

<file path=customXml/itemProps2.xml><?xml version="1.0" encoding="utf-8"?>
<ds:datastoreItem xmlns:ds="http://schemas.openxmlformats.org/officeDocument/2006/customXml" ds:itemID="{6FDD44DF-D45D-4331-A9BD-6B7C9C08EC1D}">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1 locations</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1 locations</dc:title>
  <dc:subject>Health Workforce</dc:subject>
  <dc:creator>Australian Government Department of Health, Disability and Ageing</dc:creator>
  <cp:keywords>Health Workforce; Rural health workforce; DoctorConnect;</cp:keywords>
  <cp:lastPrinted>2025-10-02T01:47:00Z</cp:lastPrinted>
  <dcterms:created xsi:type="dcterms:W3CDTF">2025-10-02T01:45:00Z</dcterms:created>
  <dcterms:modified xsi:type="dcterms:W3CDTF">2025-10-02T01:47:00Z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5ae24d21,1c09cc5a,3c91888,6442f81b</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4d698ede,9e1fab7,15e75a76</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2025-09-10T03:45:37Z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26cefcee-b044-43cf-80b6-01ddf84aa178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