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60F31" w14:textId="006FD792" w:rsidR="00F0505E" w:rsidRPr="00F8591F" w:rsidRDefault="00F0505E" w:rsidP="003B74DF">
      <w:pPr>
        <w:pStyle w:val="Title"/>
      </w:pPr>
      <w:r w:rsidRPr="00F8591F">
        <w:t xml:space="preserve">Office of the Interim First Nations Aged Care Commissioner: Submission on New Aged Care Act Rules consultation – Release 3 – </w:t>
      </w:r>
      <w:r w:rsidR="009E4BA4" w:rsidRPr="00F8591F">
        <w:t xml:space="preserve">Provider </w:t>
      </w:r>
      <w:r w:rsidR="00CA016F" w:rsidRPr="00F8591F">
        <w:t>o</w:t>
      </w:r>
      <w:r w:rsidR="009E4BA4" w:rsidRPr="00F8591F">
        <w:t xml:space="preserve">bligations </w:t>
      </w:r>
    </w:p>
    <w:p w14:paraId="4B01AA09" w14:textId="35FAF3F8" w:rsidR="00F0505E" w:rsidRPr="00D4129A" w:rsidRDefault="009E4BA4" w:rsidP="00D4129A">
      <w:pPr>
        <w:pStyle w:val="Subtitle"/>
      </w:pPr>
      <w:r w:rsidRPr="00D4129A">
        <w:t>March</w:t>
      </w:r>
      <w:r w:rsidR="00F0505E" w:rsidRPr="00D4129A">
        <w:t xml:space="preserve"> 2025 </w:t>
      </w:r>
    </w:p>
    <w:p w14:paraId="19E4F004" w14:textId="158DD75B" w:rsidR="00F0505E" w:rsidRPr="00F8591F" w:rsidRDefault="00F0505E" w:rsidP="00F8591F">
      <w:pPr>
        <w:pStyle w:val="Heading1"/>
      </w:pPr>
      <w:r w:rsidRPr="00F8591F">
        <w:t>Overarching Comments</w:t>
      </w:r>
    </w:p>
    <w:p w14:paraId="0966EE95" w14:textId="77777777" w:rsidR="00034C04" w:rsidRPr="00D751CC" w:rsidRDefault="00034C04" w:rsidP="00D751CC">
      <w:r w:rsidRPr="00D751CC">
        <w:t>In providing our feedback, we have considered the:</w:t>
      </w:r>
    </w:p>
    <w:p w14:paraId="4CDB8CBD" w14:textId="0D9EC3C8" w:rsidR="00034C04" w:rsidRPr="00D751CC" w:rsidRDefault="00034C04" w:rsidP="00D751CC">
      <w:pPr>
        <w:pStyle w:val="ListBullet"/>
      </w:pPr>
      <w:r w:rsidRPr="00D751CC">
        <w:t xml:space="preserve">four priority reforms of the National Agreement on Closing the Gap </w:t>
      </w:r>
      <w:r w:rsidR="00A027E7" w:rsidRPr="00D751CC">
        <w:t>(National Agreement)</w:t>
      </w:r>
      <w:r w:rsidRPr="00D751CC">
        <w:t xml:space="preserve"> agreed to by all Australian governments </w:t>
      </w:r>
    </w:p>
    <w:p w14:paraId="1DB31ADC" w14:textId="70004E47" w:rsidR="00034C04" w:rsidRPr="00D751CC" w:rsidRDefault="00034C04" w:rsidP="00D751CC">
      <w:pPr>
        <w:pStyle w:val="ListBullet"/>
      </w:pPr>
      <w:r w:rsidRPr="00D751CC">
        <w:t xml:space="preserve">statement of rights in the </w:t>
      </w:r>
      <w:r w:rsidRPr="003B74DF">
        <w:rPr>
          <w:rStyle w:val="Emphasis"/>
        </w:rPr>
        <w:t>Aged Care Act 2024</w:t>
      </w:r>
      <w:r w:rsidRPr="00D751CC">
        <w:t xml:space="preserve"> relating to the right to culturally safe, trauma-aware and healing</w:t>
      </w:r>
      <w:r w:rsidR="008C5FA8" w:rsidRPr="00D751CC">
        <w:t xml:space="preserve"> </w:t>
      </w:r>
      <w:r w:rsidRPr="00D751CC">
        <w:t>informed aged care</w:t>
      </w:r>
    </w:p>
    <w:p w14:paraId="7B1A287C" w14:textId="6B0A1E90" w:rsidR="00034C04" w:rsidRPr="00F8591F" w:rsidRDefault="00034C04" w:rsidP="00D751CC">
      <w:pPr>
        <w:pStyle w:val="ListBullet"/>
      </w:pPr>
      <w:r w:rsidRPr="00D751CC">
        <w:t xml:space="preserve">issues and recommendations in the Interim </w:t>
      </w:r>
      <w:r w:rsidR="00A46E33" w:rsidRPr="00D751CC">
        <w:t>First Nations</w:t>
      </w:r>
      <w:r w:rsidRPr="00D751CC">
        <w:t xml:space="preserve"> </w:t>
      </w:r>
      <w:r w:rsidR="001409B2" w:rsidRPr="00D751CC">
        <w:t>Aged Care</w:t>
      </w:r>
      <w:r w:rsidRPr="00D751CC">
        <w:t xml:space="preserve"> Commissioner’s </w:t>
      </w:r>
      <w:r w:rsidR="001409B2" w:rsidRPr="00D751CC">
        <w:t xml:space="preserve">(Interim Commissioner) </w:t>
      </w:r>
      <w:r w:rsidRPr="00D751CC">
        <w:t>recently released</w:t>
      </w:r>
      <w:r w:rsidRPr="00F8591F">
        <w:t xml:space="preserve"> report. </w:t>
      </w:r>
    </w:p>
    <w:p w14:paraId="0E3F6154" w14:textId="65699E86" w:rsidR="00737FCA" w:rsidRPr="00D751CC" w:rsidRDefault="00737FCA" w:rsidP="00D751CC">
      <w:pPr>
        <w:rPr>
          <w:rStyle w:val="IntenseEmphasis"/>
        </w:rPr>
      </w:pPr>
      <w:r w:rsidRPr="00D751CC">
        <w:rPr>
          <w:rStyle w:val="IntenseEmphasis"/>
        </w:rPr>
        <w:t xml:space="preserve">The Aged Care </w:t>
      </w:r>
      <w:r w:rsidR="0088311B" w:rsidRPr="00D751CC">
        <w:rPr>
          <w:rStyle w:val="IntenseEmphasis"/>
        </w:rPr>
        <w:t xml:space="preserve">Act </w:t>
      </w:r>
      <w:r w:rsidRPr="00D751CC">
        <w:rPr>
          <w:rStyle w:val="IntenseEmphasis"/>
        </w:rPr>
        <w:t xml:space="preserve">Rules must give effect to the National Agreement </w:t>
      </w:r>
    </w:p>
    <w:p w14:paraId="21513A51" w14:textId="11FC7F26" w:rsidR="003D45D8" w:rsidRPr="00D751CC" w:rsidRDefault="002B21C5" w:rsidP="00D751CC">
      <w:r w:rsidRPr="00D751CC">
        <w:t xml:space="preserve">The National Agreement </w:t>
      </w:r>
      <w:r w:rsidR="00162D05" w:rsidRPr="00D751CC">
        <w:t xml:space="preserve">provides a transformational framework to change the way governments work with Aboriginal and Torres Strait Islander people, organisations and communities. It </w:t>
      </w:r>
      <w:r w:rsidRPr="00D751CC">
        <w:t>was developed in partnership between all Australian governments and the Coalition of Aboriginal and Torres Strait Islander Peak Organisations</w:t>
      </w:r>
      <w:r w:rsidR="002270CB" w:rsidRPr="00D751CC">
        <w:t xml:space="preserve">. </w:t>
      </w:r>
    </w:p>
    <w:p w14:paraId="64187F68" w14:textId="77FD8FEE" w:rsidR="00B01E2B" w:rsidRPr="00D751CC" w:rsidRDefault="00B01E2B" w:rsidP="00D751CC">
      <w:r w:rsidRPr="00D751CC">
        <w:t>All government initiatives need to align with the four priority reforms:</w:t>
      </w:r>
    </w:p>
    <w:p w14:paraId="111A69E5" w14:textId="629C1930" w:rsidR="00AC278C" w:rsidRPr="00F8591F" w:rsidRDefault="00AC278C" w:rsidP="00525A3B">
      <w:pPr>
        <w:pStyle w:val="ListNumber"/>
      </w:pPr>
      <w:r w:rsidRPr="00F8591F">
        <w:t>Formal partnerships and shared decision-making</w:t>
      </w:r>
    </w:p>
    <w:p w14:paraId="427556DF" w14:textId="6BF07421" w:rsidR="00AC278C" w:rsidRPr="00F8591F" w:rsidRDefault="00061D72" w:rsidP="00525A3B">
      <w:pPr>
        <w:pStyle w:val="ListNumber"/>
      </w:pPr>
      <w:r w:rsidRPr="00F8591F">
        <w:t xml:space="preserve">Building the community-controlled sector </w:t>
      </w:r>
    </w:p>
    <w:p w14:paraId="686AB035" w14:textId="2ECB06E3" w:rsidR="00061D72" w:rsidRPr="00F8591F" w:rsidRDefault="00061D72" w:rsidP="00525A3B">
      <w:pPr>
        <w:pStyle w:val="ListNumber"/>
      </w:pPr>
      <w:r w:rsidRPr="00F8591F">
        <w:t>Transforming government organisations</w:t>
      </w:r>
    </w:p>
    <w:p w14:paraId="0B89D6C5" w14:textId="07C95950" w:rsidR="00061D72" w:rsidRPr="00F8591F" w:rsidRDefault="00061D72" w:rsidP="00525A3B">
      <w:pPr>
        <w:pStyle w:val="ListNumber"/>
      </w:pPr>
      <w:r w:rsidRPr="00F8591F">
        <w:t>Shared access to data and information at a regional level</w:t>
      </w:r>
    </w:p>
    <w:p w14:paraId="191C57AC" w14:textId="77777777" w:rsidR="00737FCA" w:rsidRPr="00D751CC" w:rsidRDefault="00737FCA" w:rsidP="00D751CC">
      <w:pPr>
        <w:rPr>
          <w:rStyle w:val="IntenseEmphasis"/>
        </w:rPr>
      </w:pPr>
      <w:r w:rsidRPr="00D751CC">
        <w:rPr>
          <w:rStyle w:val="IntenseEmphasis"/>
        </w:rPr>
        <w:t>The Aged Care Rules must give effect to the right to culturally safe services</w:t>
      </w:r>
    </w:p>
    <w:p w14:paraId="59CA314A" w14:textId="77777777" w:rsidR="00B01E2B" w:rsidRPr="00D751CC" w:rsidRDefault="00994818" w:rsidP="00D751CC">
      <w:r w:rsidRPr="00D751CC">
        <w:t xml:space="preserve">The </w:t>
      </w:r>
      <w:r w:rsidRPr="003B74DF">
        <w:rPr>
          <w:rStyle w:val="Emphasis"/>
        </w:rPr>
        <w:t>Aged Care Act 2024</w:t>
      </w:r>
      <w:r w:rsidRPr="00D751CC">
        <w:t xml:space="preserve"> introduced a Statement of Rights. The</w:t>
      </w:r>
      <w:r w:rsidR="00940DE9" w:rsidRPr="00D751CC">
        <w:t>se</w:t>
      </w:r>
      <w:r w:rsidRPr="00D751CC">
        <w:t xml:space="preserve"> include the right to aged care services that are culturally safe, culturally appropriate, trauma-aware and healing</w:t>
      </w:r>
      <w:r w:rsidR="008C5FA8" w:rsidRPr="00D751CC">
        <w:t xml:space="preserve"> </w:t>
      </w:r>
      <w:r w:rsidRPr="00D751CC">
        <w:t>informed (part 3, s23).</w:t>
      </w:r>
      <w:r w:rsidR="009B0444" w:rsidRPr="00D751CC">
        <w:t xml:space="preserve"> </w:t>
      </w:r>
      <w:r w:rsidR="00791AB9" w:rsidRPr="00D751CC">
        <w:t>The Explanatory Memorandum to the Act include</w:t>
      </w:r>
      <w:r w:rsidR="004E64BC" w:rsidRPr="00D751CC">
        <w:t>s</w:t>
      </w:r>
      <w:r w:rsidR="00712CEA" w:rsidRPr="00D751CC">
        <w:t xml:space="preserve"> a definition of cultural safety which is highly relevant to the Aged Care Rules relating to provider obligations</w:t>
      </w:r>
      <w:r w:rsidR="00791AB9" w:rsidRPr="00D751CC">
        <w:t>:</w:t>
      </w:r>
      <w:r w:rsidR="006B2669" w:rsidRPr="00D751CC">
        <w:t xml:space="preserve"> </w:t>
      </w:r>
    </w:p>
    <w:p w14:paraId="0A5B7ED3" w14:textId="77777777" w:rsidR="00BA26F2" w:rsidRPr="00F8591F" w:rsidRDefault="00712CEA" w:rsidP="00F8591F">
      <w:pPr>
        <w:sectPr w:rsidR="00BA26F2" w:rsidRPr="00F8591F" w:rsidSect="00B01E2B">
          <w:headerReference w:type="even" r:id="rId11"/>
          <w:headerReference w:type="default" r:id="rId12"/>
          <w:footerReference w:type="even" r:id="rId13"/>
          <w:footerReference w:type="default" r:id="rId14"/>
          <w:headerReference w:type="first" r:id="rId15"/>
          <w:footerReference w:type="first" r:id="rId16"/>
          <w:pgSz w:w="11906" w:h="16838"/>
          <w:pgMar w:top="1440" w:right="1416" w:bottom="1440" w:left="1440" w:header="720" w:footer="720" w:gutter="0"/>
          <w:cols w:space="720"/>
          <w:docGrid w:linePitch="360"/>
        </w:sectPr>
      </w:pPr>
      <w:r w:rsidRPr="00F8591F">
        <w:t>“</w:t>
      </w:r>
      <w:r w:rsidR="00791AB9" w:rsidRPr="00F8591F">
        <w:t>Registered providers and aged care workers of registered providers must take responsibility for building trust and relationships with Aboriginal and/or Torres Strait Islander service users, and their families, and for creating a new aged care system which centres on their living experience, cultural, and ageing needs, as determined by Aboriginal and/or Torres Strait Islander service users themselves. The implementation of a trauma aware, healing informed approach to professional practice, and facilitating a greater understanding and respect for individual and collective cultures, histories, knowledge, traditions, stories, and values of Aboriginal and/or Torres Strait Islander service users, their families and communities, will greatly support the delivery of a quality and culturally safe aged care system. Registered providers must also firmly commit to continuously measure and improve structures and behaviours necessary for cultural safety and quality support to remain embedded in the Australian aged care system.</w:t>
      </w:r>
      <w:r w:rsidRPr="00F8591F">
        <w:t>”</w:t>
      </w:r>
    </w:p>
    <w:p w14:paraId="691FEDEB" w14:textId="5E9C9496" w:rsidR="00DF1692" w:rsidRPr="00F8591F" w:rsidRDefault="00776012" w:rsidP="004C5B70">
      <w:pPr>
        <w:pStyle w:val="Heading2"/>
      </w:pPr>
      <w:r w:rsidRPr="00F8591F">
        <w:lastRenderedPageBreak/>
        <w:t xml:space="preserve">Priority Reform </w:t>
      </w:r>
      <w:r w:rsidR="00DF1692" w:rsidRPr="00F8591F">
        <w:t xml:space="preserve">1 </w:t>
      </w:r>
      <w:r w:rsidR="00D11EDD" w:rsidRPr="00F8591F">
        <w:t>–</w:t>
      </w:r>
      <w:r w:rsidR="6FA21D4A" w:rsidRPr="00F8591F">
        <w:t xml:space="preserve"> </w:t>
      </w:r>
      <w:r w:rsidR="00DF1692" w:rsidRPr="00F8591F">
        <w:t>Formal partnerships and shared decision-making</w:t>
      </w:r>
    </w:p>
    <w:p w14:paraId="579D097B" w14:textId="745D0669" w:rsidR="56B74781" w:rsidRPr="00D751CC" w:rsidRDefault="0071057D" w:rsidP="00D751CC">
      <w:r w:rsidRPr="00D751CC">
        <w:t xml:space="preserve">The Aged Care Act definition of high-quality care </w:t>
      </w:r>
      <w:r w:rsidR="18E77C7B" w:rsidRPr="00D751CC">
        <w:t>(</w:t>
      </w:r>
      <w:r w:rsidRPr="00D751CC">
        <w:t>C</w:t>
      </w:r>
      <w:r w:rsidR="18E77C7B" w:rsidRPr="00D751CC">
        <w:t xml:space="preserve">h1, </w:t>
      </w:r>
      <w:r w:rsidR="007B29C1" w:rsidRPr="00D751CC">
        <w:t>P</w:t>
      </w:r>
      <w:r w:rsidR="18E77C7B" w:rsidRPr="00D751CC">
        <w:t xml:space="preserve">art 2, </w:t>
      </w:r>
      <w:r w:rsidR="007B29C1" w:rsidRPr="00D751CC">
        <w:t>D</w:t>
      </w:r>
      <w:r w:rsidR="18E77C7B" w:rsidRPr="00D751CC">
        <w:t>ivision 2, s20</w:t>
      </w:r>
      <w:r w:rsidR="007B29C1" w:rsidRPr="00D751CC">
        <w:t>)</w:t>
      </w:r>
      <w:r w:rsidRPr="00D751CC">
        <w:t xml:space="preserve"> </w:t>
      </w:r>
      <w:r w:rsidR="071D5B2C" w:rsidRPr="00D751CC">
        <w:t xml:space="preserve">includes: </w:t>
      </w:r>
    </w:p>
    <w:p w14:paraId="2115281D" w14:textId="3D82A624" w:rsidR="56B74781" w:rsidRPr="00F8591F" w:rsidRDefault="583275C9" w:rsidP="00D751CC">
      <w:r w:rsidRPr="00D751CC">
        <w:drawing>
          <wp:inline distT="0" distB="0" distL="0" distR="0" wp14:anchorId="1C661EB2" wp14:editId="7D74D174">
            <wp:extent cx="3810000" cy="1143000"/>
            <wp:effectExtent l="0" t="0" r="0" b="0"/>
            <wp:docPr id="1027516555" name="Picture 1027516555" descr="(viii) implementing inclusive policies and procedures, in partnership with Aboriginal or Torres Strait Islander persons, family and community to ensure that culturally safe, culturally appropriate and accessible care is delivered to those persons at all times, which incorporates flexibility and recognises the unique experience of those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16555" name="Picture 1027516555" descr="(viii) implementing inclusive policies and procedures, in partnership with Aboriginal or Torres Strait Islander persons, family and community to ensure that culturally safe, culturally appropriate and accessible care is delivered to those persons at all times, which incorporates flexibility and recognises the unique experience of those persons;"/>
                    <pic:cNvPicPr/>
                  </pic:nvPicPr>
                  <pic:blipFill>
                    <a:blip r:embed="rId17">
                      <a:extLst>
                        <a:ext uri="{28A0092B-C50C-407E-A947-70E740481C1C}">
                          <a14:useLocalDpi xmlns:a14="http://schemas.microsoft.com/office/drawing/2010/main" val="0"/>
                        </a:ext>
                      </a:extLst>
                    </a:blip>
                    <a:stretch>
                      <a:fillRect/>
                    </a:stretch>
                  </pic:blipFill>
                  <pic:spPr>
                    <a:xfrm>
                      <a:off x="0" y="0"/>
                      <a:ext cx="3810000" cy="1143000"/>
                    </a:xfrm>
                    <a:prstGeom prst="rect">
                      <a:avLst/>
                    </a:prstGeom>
                  </pic:spPr>
                </pic:pic>
              </a:graphicData>
            </a:graphic>
          </wp:inline>
        </w:drawing>
      </w:r>
    </w:p>
    <w:p w14:paraId="6517A3E9" w14:textId="536DE351" w:rsidR="00050871" w:rsidRPr="00D751CC" w:rsidRDefault="00050871" w:rsidP="00D751CC">
      <w:r w:rsidRPr="00D751CC">
        <w:t>T</w:t>
      </w:r>
      <w:r w:rsidR="0063338F" w:rsidRPr="00D751CC">
        <w:t xml:space="preserve">he Interim Commissioner’s </w:t>
      </w:r>
      <w:r w:rsidR="00B47F13" w:rsidRPr="00D751CC">
        <w:t xml:space="preserve">2024 </w:t>
      </w:r>
      <w:r w:rsidR="0063338F" w:rsidRPr="00D751CC">
        <w:t>report Transforming Aged Care for Aboriginal and Torres Strait Islander people recommend</w:t>
      </w:r>
      <w:r w:rsidR="00BA05D9" w:rsidRPr="00D751CC">
        <w:t>s</w:t>
      </w:r>
      <w:r w:rsidR="0069235C" w:rsidRPr="00D751CC">
        <w:t xml:space="preserve"> the government s</w:t>
      </w:r>
      <w:r w:rsidRPr="00D751CC">
        <w:t>upport an</w:t>
      </w:r>
      <w:r w:rsidR="00360C8B" w:rsidRPr="00D751CC">
        <w:t>d</w:t>
      </w:r>
      <w:r w:rsidRPr="00D751CC">
        <w:t xml:space="preserve"> incentiv</w:t>
      </w:r>
      <w:r w:rsidR="00360C8B" w:rsidRPr="00D751CC">
        <w:t xml:space="preserve">ise </w:t>
      </w:r>
      <w:r w:rsidRPr="00D751CC">
        <w:t xml:space="preserve">partnerships between mainstream and Aboriginal </w:t>
      </w:r>
      <w:r w:rsidR="0021412E" w:rsidRPr="00D751CC">
        <w:t>C</w:t>
      </w:r>
      <w:r w:rsidRPr="00D751CC">
        <w:t>ommunity</w:t>
      </w:r>
      <w:r w:rsidR="00C00987" w:rsidRPr="00D751CC">
        <w:t>-</w:t>
      </w:r>
      <w:r w:rsidR="0021412E" w:rsidRPr="00D751CC">
        <w:t>C</w:t>
      </w:r>
      <w:r w:rsidRPr="00D751CC">
        <w:t xml:space="preserve">ontrolled </w:t>
      </w:r>
      <w:r w:rsidR="0021412E" w:rsidRPr="00D751CC">
        <w:t>O</w:t>
      </w:r>
      <w:r w:rsidRPr="00D751CC">
        <w:t xml:space="preserve">rganisations </w:t>
      </w:r>
      <w:r w:rsidR="0021412E" w:rsidRPr="00D751CC">
        <w:t xml:space="preserve">(ACCOs) </w:t>
      </w:r>
      <w:r w:rsidRPr="00D751CC">
        <w:t xml:space="preserve">to </w:t>
      </w:r>
      <w:r w:rsidR="009D76DD" w:rsidRPr="00D751CC">
        <w:t xml:space="preserve">work together to ensure older Aboriginal and Torres Strait Islander people receive culturally safe, </w:t>
      </w:r>
      <w:r w:rsidR="00257AE2" w:rsidRPr="00D751CC">
        <w:t>trauma-aware and healing informed aged care services (recommendation 19).</w:t>
      </w:r>
    </w:p>
    <w:p w14:paraId="456B4BE4" w14:textId="619A93AA" w:rsidR="00CA3BF7" w:rsidRPr="00F8591F" w:rsidRDefault="00CA3BF7" w:rsidP="00F8591F">
      <w:pPr>
        <w:rPr>
          <w:rStyle w:val="Emphasis"/>
        </w:rPr>
      </w:pPr>
      <w:r w:rsidRPr="00F8591F">
        <w:rPr>
          <w:rStyle w:val="Emphasis"/>
        </w:rPr>
        <w:t>Recommendation 1:</w:t>
      </w:r>
    </w:p>
    <w:p w14:paraId="43C7FB96" w14:textId="0791AFC3" w:rsidR="56B74781" w:rsidRPr="00D751CC" w:rsidRDefault="00D3693E" w:rsidP="00D751CC">
      <w:r w:rsidRPr="00D751CC">
        <w:t xml:space="preserve">The Aged Care Rules </w:t>
      </w:r>
      <w:r w:rsidR="00086B0D" w:rsidRPr="00D751CC">
        <w:t xml:space="preserve">need to </w:t>
      </w:r>
      <w:r w:rsidR="00CD29D9" w:rsidRPr="00D751CC">
        <w:t xml:space="preserve">reference and provide </w:t>
      </w:r>
      <w:r w:rsidR="00E367A9" w:rsidRPr="00D751CC">
        <w:t xml:space="preserve">guidance about the </w:t>
      </w:r>
      <w:r w:rsidR="00086B0D" w:rsidRPr="00D751CC">
        <w:t xml:space="preserve">obligation </w:t>
      </w:r>
      <w:r w:rsidR="00E367A9" w:rsidRPr="00D751CC">
        <w:t xml:space="preserve">on providers to </w:t>
      </w:r>
      <w:r w:rsidR="00086B0D" w:rsidRPr="00D751CC">
        <w:t>work in partnership</w:t>
      </w:r>
      <w:r w:rsidR="00E367A9" w:rsidRPr="00D751CC">
        <w:t xml:space="preserve"> with Aboriginal </w:t>
      </w:r>
      <w:r w:rsidR="00B62844" w:rsidRPr="00D751CC">
        <w:t xml:space="preserve">and </w:t>
      </w:r>
      <w:r w:rsidR="00E367A9" w:rsidRPr="00D751CC">
        <w:t>Torres Strait Islander people, their families and communities</w:t>
      </w:r>
      <w:r w:rsidR="00E877B2" w:rsidRPr="00D751CC">
        <w:t xml:space="preserve"> </w:t>
      </w:r>
      <w:proofErr w:type="gramStart"/>
      <w:r w:rsidR="00E877B2" w:rsidRPr="00D751CC">
        <w:t>in order to</w:t>
      </w:r>
      <w:proofErr w:type="gramEnd"/>
      <w:r w:rsidR="00E877B2" w:rsidRPr="00D751CC">
        <w:t xml:space="preserve"> deliver culturally safe, culturally appropriate, trauma-aware and healing informed aged care supports and services</w:t>
      </w:r>
      <w:r w:rsidR="00004F1C" w:rsidRPr="00D751CC">
        <w:t xml:space="preserve">. </w:t>
      </w:r>
      <w:r w:rsidR="00D770EF" w:rsidRPr="00D751CC">
        <w:t xml:space="preserve">The guidance should pay particular attention to the specific needs of </w:t>
      </w:r>
      <w:r w:rsidR="00B409DA" w:rsidRPr="00D751CC">
        <w:t>Stolen Generations survivors.</w:t>
      </w:r>
    </w:p>
    <w:p w14:paraId="0D97781C" w14:textId="77777777" w:rsidR="00C76CF2" w:rsidRPr="00F8591F" w:rsidRDefault="00C76CF2" w:rsidP="004C5B70">
      <w:pPr>
        <w:pStyle w:val="Heading2"/>
      </w:pPr>
      <w:r w:rsidRPr="00F8591F">
        <w:t xml:space="preserve">Priority Reform </w:t>
      </w:r>
      <w:r w:rsidR="6FA21D4A" w:rsidRPr="00F8591F">
        <w:t xml:space="preserve">2 – </w:t>
      </w:r>
      <w:r w:rsidRPr="00F8591F">
        <w:t>Building the community-controlled sector</w:t>
      </w:r>
    </w:p>
    <w:p w14:paraId="58D82FA5" w14:textId="77777777" w:rsidR="00C64EB2" w:rsidRPr="00F8591F" w:rsidRDefault="00C64EB2" w:rsidP="00F8591F">
      <w:pPr>
        <w:pStyle w:val="Heading3"/>
      </w:pPr>
      <w:r w:rsidRPr="00F8591F">
        <w:t>Regulatory burden</w:t>
      </w:r>
    </w:p>
    <w:p w14:paraId="51739617" w14:textId="44A972B3" w:rsidR="56B74781" w:rsidRPr="00D751CC" w:rsidRDefault="001E5F7E" w:rsidP="00D751CC">
      <w:r w:rsidRPr="00D751CC">
        <w:t>ACCOs</w:t>
      </w:r>
      <w:r w:rsidR="00833804" w:rsidRPr="00D751CC" w:rsidDel="001E5F7E">
        <w:t xml:space="preserve"> </w:t>
      </w:r>
      <w:r w:rsidR="0021412E" w:rsidRPr="00D751CC">
        <w:t>r</w:t>
      </w:r>
      <w:r w:rsidR="00FE0FAF" w:rsidRPr="00D751CC">
        <w:t xml:space="preserve">aised the significant regulatory </w:t>
      </w:r>
      <w:r w:rsidR="004816C7" w:rsidRPr="00D751CC">
        <w:t xml:space="preserve">barriers and disincentives </w:t>
      </w:r>
      <w:r w:rsidR="00EC6979" w:rsidRPr="00D751CC">
        <w:t xml:space="preserve">they face </w:t>
      </w:r>
      <w:r w:rsidR="00454403" w:rsidRPr="00D751CC">
        <w:t>to become</w:t>
      </w:r>
      <w:r w:rsidR="00833804" w:rsidRPr="00D751CC">
        <w:t xml:space="preserve"> aged care providers</w:t>
      </w:r>
      <w:r w:rsidR="00004F1C" w:rsidRPr="00D751CC">
        <w:t xml:space="preserve">. </w:t>
      </w:r>
      <w:r w:rsidR="0007478A" w:rsidRPr="00D751CC">
        <w:t>This was raised in the Interim Commissioner’s report</w:t>
      </w:r>
      <w:r w:rsidR="00CB25C6" w:rsidRPr="00D751CC">
        <w:t xml:space="preserve">. </w:t>
      </w:r>
      <w:r w:rsidR="00FD5ACF" w:rsidRPr="00D751CC">
        <w:t xml:space="preserve">The sector has expressed </w:t>
      </w:r>
      <w:r w:rsidR="00D74612" w:rsidRPr="00D751CC">
        <w:t xml:space="preserve">that </w:t>
      </w:r>
      <w:r w:rsidR="00626B31" w:rsidRPr="00D751CC">
        <w:t xml:space="preserve">due to </w:t>
      </w:r>
      <w:r w:rsidR="00D74612" w:rsidRPr="00D751CC">
        <w:t xml:space="preserve">the density of the Act, </w:t>
      </w:r>
      <w:r w:rsidR="00626B31" w:rsidRPr="00D751CC">
        <w:t xml:space="preserve">the draft </w:t>
      </w:r>
      <w:r w:rsidR="00F447FD" w:rsidRPr="00D751CC">
        <w:t>R</w:t>
      </w:r>
      <w:r w:rsidR="00D74612" w:rsidRPr="00D751CC">
        <w:t xml:space="preserve">ules and </w:t>
      </w:r>
      <w:r w:rsidR="00626B31" w:rsidRPr="00D751CC">
        <w:t>the supporting document</w:t>
      </w:r>
      <w:r w:rsidR="003D623C" w:rsidRPr="00D751CC">
        <w:t>s</w:t>
      </w:r>
      <w:r w:rsidR="00626B31" w:rsidRPr="00D751CC">
        <w:t xml:space="preserve">, there is </w:t>
      </w:r>
      <w:r w:rsidR="00FD5ACF" w:rsidRPr="00D751CC">
        <w:t>confusion about which elements of the Rules</w:t>
      </w:r>
      <w:r w:rsidR="00D74612" w:rsidRPr="00D751CC">
        <w:t xml:space="preserve"> apply to </w:t>
      </w:r>
      <w:r w:rsidR="00334F70" w:rsidRPr="00D751CC">
        <w:t>ACCOs more broadly</w:t>
      </w:r>
      <w:r w:rsidR="0024106E" w:rsidRPr="00D751CC">
        <w:t>, particularly in relation to governance obligations.</w:t>
      </w:r>
    </w:p>
    <w:p w14:paraId="2DFAA53A" w14:textId="5F24BF1C" w:rsidR="00CA3BF7" w:rsidRPr="0056115D" w:rsidRDefault="00CA3BF7" w:rsidP="0056115D">
      <w:pPr>
        <w:rPr>
          <w:rStyle w:val="Emphasis"/>
        </w:rPr>
      </w:pPr>
      <w:r w:rsidRPr="0056115D">
        <w:rPr>
          <w:rStyle w:val="Emphasis"/>
        </w:rPr>
        <w:t>Recommendation 2:</w:t>
      </w:r>
    </w:p>
    <w:p w14:paraId="34212B3B" w14:textId="586F4896" w:rsidR="00CA3BF7" w:rsidRPr="00D751CC" w:rsidRDefault="008A2048" w:rsidP="00D751CC">
      <w:r w:rsidRPr="00D751CC">
        <w:t xml:space="preserve">Develop options </w:t>
      </w:r>
      <w:r w:rsidR="00213CE4" w:rsidRPr="00D751CC">
        <w:t xml:space="preserve">to amend the </w:t>
      </w:r>
      <w:r w:rsidR="00CA3BF7" w:rsidRPr="00D751CC">
        <w:t xml:space="preserve">Aged Care Rules </w:t>
      </w:r>
      <w:r w:rsidR="00213CE4" w:rsidRPr="00D751CC">
        <w:t>to reduce the regulatory burden on ACCOs</w:t>
      </w:r>
      <w:r w:rsidRPr="00D751CC">
        <w:t xml:space="preserve"> seeking to be registered aged care providers</w:t>
      </w:r>
      <w:r w:rsidR="005054F5" w:rsidRPr="00D751CC">
        <w:t xml:space="preserve"> and compl</w:t>
      </w:r>
      <w:r w:rsidR="00732F3F" w:rsidRPr="00D751CC">
        <w:t>iant with the Quality Standards.</w:t>
      </w:r>
    </w:p>
    <w:p w14:paraId="132C170E" w14:textId="56720F32" w:rsidR="0024106E" w:rsidRPr="0056115D" w:rsidRDefault="0024106E" w:rsidP="0056115D">
      <w:pPr>
        <w:rPr>
          <w:rStyle w:val="Emphasis"/>
        </w:rPr>
      </w:pPr>
      <w:r w:rsidRPr="0056115D">
        <w:rPr>
          <w:rStyle w:val="Emphasis"/>
        </w:rPr>
        <w:t>Recommendation 3:</w:t>
      </w:r>
    </w:p>
    <w:p w14:paraId="3F914F76" w14:textId="3A1791C4" w:rsidR="0024106E" w:rsidRPr="00D751CC" w:rsidRDefault="00777B2C" w:rsidP="00D751CC">
      <w:r w:rsidRPr="00D751CC">
        <w:t>Clearly and simply communicate</w:t>
      </w:r>
      <w:r w:rsidR="00C714EE" w:rsidRPr="00D751CC">
        <w:t xml:space="preserve"> </w:t>
      </w:r>
      <w:r w:rsidR="00C64EB2" w:rsidRPr="00D751CC">
        <w:t xml:space="preserve">the </w:t>
      </w:r>
      <w:r w:rsidR="00C714EE" w:rsidRPr="00D751CC">
        <w:t xml:space="preserve">changes </w:t>
      </w:r>
      <w:r w:rsidR="00C12FFF" w:rsidRPr="00D751CC">
        <w:t>of</w:t>
      </w:r>
      <w:r w:rsidR="00C714EE" w:rsidRPr="00D751CC">
        <w:t xml:space="preserve"> the governance requirements that will apply </w:t>
      </w:r>
      <w:r w:rsidR="0024106E" w:rsidRPr="00D751CC">
        <w:t>to the ACCO secto</w:t>
      </w:r>
      <w:r w:rsidR="00C714EE" w:rsidRPr="00D751CC">
        <w:t>r.</w:t>
      </w:r>
    </w:p>
    <w:p w14:paraId="19677E05" w14:textId="7E755A88" w:rsidR="00C64EB2" w:rsidRPr="00F8591F" w:rsidRDefault="00C64EB2" w:rsidP="00F8591F">
      <w:pPr>
        <w:pStyle w:val="Heading3"/>
      </w:pPr>
      <w:r w:rsidRPr="00F8591F">
        <w:t>Building the Aboriginal and Torres Strait Islander workforce</w:t>
      </w:r>
    </w:p>
    <w:p w14:paraId="1E67DA92" w14:textId="64A17275" w:rsidR="001E4130" w:rsidRPr="00D751CC" w:rsidRDefault="008E7137" w:rsidP="00D751CC">
      <w:r w:rsidRPr="00D751CC">
        <w:t xml:space="preserve">Building the </w:t>
      </w:r>
      <w:r w:rsidR="00775370" w:rsidRPr="00D751CC">
        <w:t xml:space="preserve">Aboriginal and Torres Strait Islander workforce is also a priority. </w:t>
      </w:r>
      <w:r w:rsidR="0012273C" w:rsidRPr="00D751CC">
        <w:t>It is understood</w:t>
      </w:r>
      <w:r w:rsidR="001E4130" w:rsidRPr="00D751CC">
        <w:t xml:space="preserve"> that the </w:t>
      </w:r>
      <w:r w:rsidR="00F447FD" w:rsidRPr="00D751CC">
        <w:t>R</w:t>
      </w:r>
      <w:r w:rsidR="001E4130" w:rsidRPr="00D751CC">
        <w:t xml:space="preserve">ules related to worker screening that will apply to </w:t>
      </w:r>
      <w:r w:rsidR="00D967D3" w:rsidRPr="00D751CC">
        <w:t>National Aboriginal and Torres Strait Islander Flexible Aged Care Program (</w:t>
      </w:r>
      <w:r w:rsidR="001E4130" w:rsidRPr="00D751CC">
        <w:t>NATSIFACP</w:t>
      </w:r>
      <w:r w:rsidR="00D967D3" w:rsidRPr="00D751CC">
        <w:t>)</w:t>
      </w:r>
      <w:r w:rsidR="001E4130" w:rsidRPr="00D751CC">
        <w:t xml:space="preserve"> providers replicate the provisions these providers operate under now</w:t>
      </w:r>
      <w:r w:rsidR="00CB25C6" w:rsidRPr="00D751CC">
        <w:t xml:space="preserve">. </w:t>
      </w:r>
      <w:r w:rsidR="001E4130" w:rsidRPr="00D751CC">
        <w:t>However, this is</w:t>
      </w:r>
      <w:r w:rsidR="00BF51CA" w:rsidRPr="00D751CC">
        <w:t xml:space="preserve"> an</w:t>
      </w:r>
      <w:r w:rsidR="001E4130" w:rsidRPr="00D751CC">
        <w:t xml:space="preserve"> interim</w:t>
      </w:r>
      <w:r w:rsidR="004101CA" w:rsidRPr="00D751CC">
        <w:t xml:space="preserve"> solution</w:t>
      </w:r>
      <w:r w:rsidR="001E4130" w:rsidRPr="00D751CC">
        <w:t xml:space="preserve">, and it is proposed that </w:t>
      </w:r>
      <w:r w:rsidR="001E4130" w:rsidRPr="00D751CC">
        <w:lastRenderedPageBreak/>
        <w:t xml:space="preserve">NATSIFACP providers will </w:t>
      </w:r>
      <w:r w:rsidR="00724113" w:rsidRPr="00D751CC">
        <w:t xml:space="preserve">need to </w:t>
      </w:r>
      <w:r w:rsidR="001E4130" w:rsidRPr="00D751CC">
        <w:t xml:space="preserve">comply with nationally consistent worker screening </w:t>
      </w:r>
      <w:r w:rsidR="00F447FD" w:rsidRPr="00D751CC">
        <w:t>R</w:t>
      </w:r>
      <w:r w:rsidR="001E4130" w:rsidRPr="00D751CC">
        <w:t>ules in the future.</w:t>
      </w:r>
    </w:p>
    <w:p w14:paraId="7BB94692" w14:textId="3AFC156A" w:rsidR="00162F39" w:rsidRPr="00D751CC" w:rsidRDefault="00434F44" w:rsidP="00D751CC">
      <w:r w:rsidRPr="00D751CC">
        <w:t xml:space="preserve">As outlined in </w:t>
      </w:r>
      <w:r w:rsidR="00F7719D" w:rsidRPr="00D751CC">
        <w:t>the Interim Commissioner’s</w:t>
      </w:r>
      <w:r w:rsidRPr="00D751CC">
        <w:t xml:space="preserve"> report, </w:t>
      </w:r>
      <w:r w:rsidR="00BD163C" w:rsidRPr="00D751CC">
        <w:t xml:space="preserve">ACCOs </w:t>
      </w:r>
      <w:r w:rsidRPr="00D751CC">
        <w:t xml:space="preserve">are concerned </w:t>
      </w:r>
      <w:r w:rsidR="00181E95" w:rsidRPr="00D751CC">
        <w:t xml:space="preserve">that </w:t>
      </w:r>
      <w:r w:rsidRPr="00D751CC">
        <w:t>the introduction of a national worker registration sch</w:t>
      </w:r>
      <w:r w:rsidR="00376BA7" w:rsidRPr="00D751CC">
        <w:t xml:space="preserve">eme </w:t>
      </w:r>
      <w:r w:rsidR="0064625F" w:rsidRPr="00D751CC">
        <w:t xml:space="preserve">will </w:t>
      </w:r>
      <w:r w:rsidR="004C4DC4" w:rsidRPr="00D751CC">
        <w:t>create new barrie</w:t>
      </w:r>
      <w:r w:rsidR="00D36EAA" w:rsidRPr="00D751CC">
        <w:t>r</w:t>
      </w:r>
      <w:r w:rsidR="004C4DC4" w:rsidRPr="00D751CC">
        <w:t>s</w:t>
      </w:r>
      <w:r w:rsidR="00C946E6" w:rsidRPr="00D751CC">
        <w:t xml:space="preserve"> for the recruitment and retention of A</w:t>
      </w:r>
      <w:r w:rsidR="000B552E" w:rsidRPr="00D751CC">
        <w:t>boriginal and Torres Strait Islander</w:t>
      </w:r>
      <w:r w:rsidR="00D521C3" w:rsidRPr="00D751CC">
        <w:t xml:space="preserve"> aged care workers</w:t>
      </w:r>
      <w:r w:rsidR="00E27C63" w:rsidRPr="00D751CC">
        <w:t xml:space="preserve">, by removing discretion to employ workers with low grade criminal convictions. </w:t>
      </w:r>
    </w:p>
    <w:p w14:paraId="49FD2E2F" w14:textId="7B65BFA8" w:rsidR="00327CF3" w:rsidRPr="00F8591F" w:rsidRDefault="00327CF3" w:rsidP="00F8591F">
      <w:pPr>
        <w:rPr>
          <w:rStyle w:val="Emphasis"/>
        </w:rPr>
      </w:pPr>
      <w:r w:rsidRPr="00F8591F">
        <w:rPr>
          <w:rStyle w:val="Emphasis"/>
        </w:rPr>
        <w:t xml:space="preserve">Recommendation </w:t>
      </w:r>
      <w:r w:rsidR="00C64EB2" w:rsidRPr="00F8591F">
        <w:rPr>
          <w:rStyle w:val="Emphasis"/>
        </w:rPr>
        <w:t>4</w:t>
      </w:r>
      <w:r w:rsidRPr="00F8591F">
        <w:rPr>
          <w:rStyle w:val="Emphasis"/>
        </w:rPr>
        <w:t>:</w:t>
      </w:r>
    </w:p>
    <w:p w14:paraId="2EE05586" w14:textId="20924648" w:rsidR="000C4C80" w:rsidRPr="00D751CC" w:rsidRDefault="000D20D4" w:rsidP="00D751CC">
      <w:r w:rsidRPr="00D751CC">
        <w:t xml:space="preserve">Ensure </w:t>
      </w:r>
      <w:r w:rsidR="0072664B" w:rsidRPr="00D751CC">
        <w:t xml:space="preserve">future </w:t>
      </w:r>
      <w:r w:rsidRPr="00D751CC">
        <w:t>requirement</w:t>
      </w:r>
      <w:r w:rsidR="00E75C83" w:rsidRPr="00D751CC">
        <w:t>s</w:t>
      </w:r>
      <w:r w:rsidRPr="00D751CC">
        <w:t xml:space="preserve"> for worker screening allow NATSIFACP providers </w:t>
      </w:r>
      <w:r w:rsidR="0072664B" w:rsidRPr="00D751CC">
        <w:t xml:space="preserve">and other ACCO operated aged care providers </w:t>
      </w:r>
      <w:r w:rsidR="00743773" w:rsidRPr="00D751CC">
        <w:t xml:space="preserve">to use </w:t>
      </w:r>
      <w:r w:rsidR="00C7513B" w:rsidRPr="00D751CC">
        <w:t xml:space="preserve">discretion to </w:t>
      </w:r>
      <w:r w:rsidR="00E14EE3" w:rsidRPr="00D751CC">
        <w:t xml:space="preserve">employ </w:t>
      </w:r>
      <w:r w:rsidR="00E3676F" w:rsidRPr="00D751CC">
        <w:t>workers with low grade criminal convictions.</w:t>
      </w:r>
    </w:p>
    <w:p w14:paraId="0E895350" w14:textId="77777777" w:rsidR="00C76CF2" w:rsidRPr="00F8591F" w:rsidRDefault="0DF3E7C9" w:rsidP="004C5B70">
      <w:pPr>
        <w:pStyle w:val="Heading2"/>
      </w:pPr>
      <w:r w:rsidRPr="00F8591F">
        <w:t>P</w:t>
      </w:r>
      <w:r w:rsidR="00C76CF2" w:rsidRPr="00F8591F">
        <w:t xml:space="preserve">riority </w:t>
      </w:r>
      <w:r w:rsidRPr="00F8591F">
        <w:t>R</w:t>
      </w:r>
      <w:r w:rsidR="00C76CF2" w:rsidRPr="00F8591F">
        <w:t>eform</w:t>
      </w:r>
      <w:r w:rsidRPr="00F8591F">
        <w:t xml:space="preserve"> 3 – </w:t>
      </w:r>
      <w:r w:rsidR="00C76CF2" w:rsidRPr="00F8591F">
        <w:t>Transforming government organisations</w:t>
      </w:r>
    </w:p>
    <w:p w14:paraId="714ACC2B" w14:textId="66FBC94A" w:rsidR="009824C2" w:rsidRPr="00F8591F" w:rsidRDefault="009824C2" w:rsidP="00F8591F">
      <w:pPr>
        <w:pStyle w:val="Heading3"/>
      </w:pPr>
      <w:r w:rsidRPr="00F8591F">
        <w:t xml:space="preserve">Cultural </w:t>
      </w:r>
      <w:r w:rsidR="00D2655F" w:rsidRPr="00F8591F">
        <w:t>Safety</w:t>
      </w:r>
    </w:p>
    <w:p w14:paraId="059EE5A9" w14:textId="49DBEA3A" w:rsidR="00D51F6B" w:rsidRPr="00D751CC" w:rsidRDefault="00310030" w:rsidP="00D751CC">
      <w:r w:rsidRPr="00D751CC">
        <w:t>Cultural safety is not an add on or something to be considered in addition to the standard service offering for aged care</w:t>
      </w:r>
      <w:r w:rsidR="00004F1C" w:rsidRPr="00D751CC">
        <w:t xml:space="preserve">. </w:t>
      </w:r>
      <w:r w:rsidRPr="00D751CC">
        <w:t>It is a fundamental human right and minimum standard.</w:t>
      </w:r>
      <w:r w:rsidR="00004F1C" w:rsidRPr="00D751CC">
        <w:t xml:space="preserve"> </w:t>
      </w:r>
      <w:r w:rsidR="00883C58" w:rsidRPr="00D751CC">
        <w:t xml:space="preserve">The </w:t>
      </w:r>
      <w:r w:rsidRPr="00D751CC">
        <w:t>inclusion</w:t>
      </w:r>
      <w:r w:rsidR="000D0DDC" w:rsidRPr="00D751CC">
        <w:t xml:space="preserve">, in the Act, </w:t>
      </w:r>
      <w:r w:rsidRPr="00D751CC">
        <w:t xml:space="preserve">of </w:t>
      </w:r>
      <w:r w:rsidR="00931972" w:rsidRPr="00D751CC">
        <w:t xml:space="preserve">the </w:t>
      </w:r>
      <w:r w:rsidR="00883C58" w:rsidRPr="00D751CC">
        <w:t xml:space="preserve">right to </w:t>
      </w:r>
      <w:r w:rsidR="00816BF4" w:rsidRPr="00D751CC">
        <w:t xml:space="preserve">culturally safe aged care is a significant step to improving Aboriginal and Torres Strait Islander people’s </w:t>
      </w:r>
      <w:r w:rsidR="00FE146C" w:rsidRPr="00D751CC">
        <w:t>access to aged care.</w:t>
      </w:r>
      <w:r w:rsidR="00867FD6" w:rsidRPr="00D751CC">
        <w:t xml:space="preserve"> </w:t>
      </w:r>
      <w:r w:rsidR="00FE146C" w:rsidRPr="00D751CC">
        <w:t xml:space="preserve">The Interim Commissioner’s </w:t>
      </w:r>
      <w:r w:rsidR="00573BBA" w:rsidRPr="00D751CC">
        <w:t xml:space="preserve">consultations found </w:t>
      </w:r>
      <w:r w:rsidR="00B03B86" w:rsidRPr="00D751CC">
        <w:t>that interpersonal and structural racism is a</w:t>
      </w:r>
      <w:r w:rsidR="00D51F6B" w:rsidRPr="00D751CC">
        <w:t xml:space="preserve">n ongoing and </w:t>
      </w:r>
      <w:r w:rsidR="00B03B86" w:rsidRPr="00D751CC">
        <w:t xml:space="preserve">persistent feature of </w:t>
      </w:r>
      <w:r w:rsidR="00D51F6B" w:rsidRPr="00D751CC">
        <w:t>the aged care system</w:t>
      </w:r>
      <w:r w:rsidR="00004F1C" w:rsidRPr="00D751CC">
        <w:t xml:space="preserve">. </w:t>
      </w:r>
      <w:r w:rsidR="00D51F6B" w:rsidRPr="00D751CC">
        <w:t xml:space="preserve">Older Aboriginal and Torres Strait Islander people </w:t>
      </w:r>
      <w:r w:rsidR="00394AF5" w:rsidRPr="00D751CC">
        <w:t xml:space="preserve">told of not being valued or </w:t>
      </w:r>
      <w:r w:rsidR="00412829" w:rsidRPr="00D751CC">
        <w:t>respected and</w:t>
      </w:r>
      <w:r w:rsidR="00394AF5" w:rsidRPr="00D751CC">
        <w:t xml:space="preserve"> ident</w:t>
      </w:r>
      <w:r w:rsidR="00160F84" w:rsidRPr="00D751CC">
        <w:t>i</w:t>
      </w:r>
      <w:r w:rsidR="00394AF5" w:rsidRPr="00D751CC">
        <w:t xml:space="preserve">fied the lack of cultural safety </w:t>
      </w:r>
      <w:r w:rsidR="00160F84" w:rsidRPr="00D751CC">
        <w:t xml:space="preserve">as </w:t>
      </w:r>
      <w:r w:rsidR="00394AF5" w:rsidRPr="00D751CC">
        <w:t>the primary deterrent for them access</w:t>
      </w:r>
      <w:r w:rsidR="00CA6A2F" w:rsidRPr="00D751CC">
        <w:t>ing</w:t>
      </w:r>
      <w:r w:rsidR="00394AF5" w:rsidRPr="00D751CC">
        <w:t xml:space="preserve"> aged care.</w:t>
      </w:r>
    </w:p>
    <w:p w14:paraId="0FC7D6C4" w14:textId="1C78D256" w:rsidR="00DD118F" w:rsidRPr="00D751CC" w:rsidRDefault="00DD118F" w:rsidP="00D751CC">
      <w:r w:rsidRPr="00D751CC">
        <w:t xml:space="preserve">In this context, </w:t>
      </w:r>
      <w:proofErr w:type="gramStart"/>
      <w:r w:rsidRPr="00D751CC">
        <w:t xml:space="preserve">it is </w:t>
      </w:r>
      <w:r w:rsidR="0091441B" w:rsidRPr="00D751CC">
        <w:t>clear that the</w:t>
      </w:r>
      <w:proofErr w:type="gramEnd"/>
      <w:r w:rsidR="0091441B" w:rsidRPr="00D751CC">
        <w:t xml:space="preserve"> aged care sector needs substantial guidance about how to implement and embed the Statement of Rights and </w:t>
      </w:r>
      <w:r w:rsidR="00FC449E" w:rsidRPr="00D751CC">
        <w:t>cultural safety.</w:t>
      </w:r>
      <w:r w:rsidR="00997730" w:rsidRPr="00D751CC">
        <w:t xml:space="preserve"> </w:t>
      </w:r>
      <w:r w:rsidR="00FC449E" w:rsidRPr="00D751CC">
        <w:t>The Rules do not provide this guidance.</w:t>
      </w:r>
      <w:r w:rsidR="0091441B" w:rsidRPr="00D751CC">
        <w:t xml:space="preserve"> </w:t>
      </w:r>
    </w:p>
    <w:p w14:paraId="29CEE196" w14:textId="14B598C0" w:rsidR="00B019B9" w:rsidRPr="00D751CC" w:rsidRDefault="00745DBA" w:rsidP="00D751CC">
      <w:r w:rsidRPr="00D751CC">
        <w:t>There are opportunities to embed cultural safety throughout the Rules, in partnership with Aboriginal and Torres Strait Islander</w:t>
      </w:r>
      <w:r w:rsidR="003B0C14" w:rsidRPr="00D751CC">
        <w:t xml:space="preserve"> people</w:t>
      </w:r>
      <w:r w:rsidRPr="00D751CC">
        <w:t xml:space="preserve">. </w:t>
      </w:r>
      <w:r w:rsidR="00CD6372" w:rsidRPr="00D751CC">
        <w:t xml:space="preserve">The </w:t>
      </w:r>
      <w:r w:rsidR="00A42E92" w:rsidRPr="00D751CC">
        <w:t xml:space="preserve">Aged Care </w:t>
      </w:r>
      <w:r w:rsidR="00CD6372" w:rsidRPr="00D751CC">
        <w:t xml:space="preserve">Code of Conduct </w:t>
      </w:r>
      <w:r w:rsidR="00A42E92" w:rsidRPr="00D751CC">
        <w:t>(14-5) could include a meaningful commitment to c</w:t>
      </w:r>
      <w:r w:rsidRPr="00D751CC">
        <w:t>ultural safety</w:t>
      </w:r>
      <w:r w:rsidR="00A42E92" w:rsidRPr="00D751CC">
        <w:t xml:space="preserve">.  </w:t>
      </w:r>
      <w:r w:rsidRPr="00D751CC">
        <w:t xml:space="preserve"> </w:t>
      </w:r>
    </w:p>
    <w:p w14:paraId="7C9EDC2F" w14:textId="75D5E569" w:rsidR="00745DBA" w:rsidRPr="00D751CC" w:rsidRDefault="00A42E92" w:rsidP="00D751CC">
      <w:r w:rsidRPr="00D751CC">
        <w:t xml:space="preserve">Cultural safety </w:t>
      </w:r>
      <w:r w:rsidR="00745DBA" w:rsidRPr="00D751CC">
        <w:t xml:space="preserve">is </w:t>
      </w:r>
      <w:r w:rsidRPr="00D751CC">
        <w:t xml:space="preserve">also </w:t>
      </w:r>
      <w:r w:rsidR="00745DBA" w:rsidRPr="00D751CC">
        <w:t>relevant to each area of provider obligations, particularly:</w:t>
      </w:r>
    </w:p>
    <w:p w14:paraId="7571F5ED" w14:textId="77777777" w:rsidR="00745DBA" w:rsidRPr="00F8591F" w:rsidRDefault="00745DBA" w:rsidP="00F8591F">
      <w:pPr>
        <w:pStyle w:val="ListBullet"/>
      </w:pPr>
      <w:r w:rsidRPr="00F8591F">
        <w:t>15-10 – Standard 1, the individual</w:t>
      </w:r>
    </w:p>
    <w:p w14:paraId="2FF472DE" w14:textId="77777777" w:rsidR="00745DBA" w:rsidRPr="00F8591F" w:rsidRDefault="00745DBA" w:rsidP="00F8591F">
      <w:pPr>
        <w:pStyle w:val="ListBullet"/>
      </w:pPr>
      <w:r w:rsidRPr="00F8591F">
        <w:t>15-20 – Standard 3, care and services</w:t>
      </w:r>
    </w:p>
    <w:p w14:paraId="4FE78C88" w14:textId="25266ECD" w:rsidR="00745DBA" w:rsidRPr="00F8591F" w:rsidRDefault="00745DBA" w:rsidP="00F8591F">
      <w:pPr>
        <w:pStyle w:val="ListBullet"/>
      </w:pPr>
      <w:r w:rsidRPr="00F8591F">
        <w:t xml:space="preserve">15-30 – Standard 5, </w:t>
      </w:r>
      <w:r w:rsidR="000B18FF" w:rsidRPr="00F8591F">
        <w:t>p</w:t>
      </w:r>
      <w:r w:rsidRPr="00F8591F">
        <w:t xml:space="preserve">alliative </w:t>
      </w:r>
      <w:r w:rsidR="000B18FF" w:rsidRPr="00F8591F">
        <w:t>c</w:t>
      </w:r>
      <w:r w:rsidRPr="00F8591F">
        <w:t>are and</w:t>
      </w:r>
    </w:p>
    <w:p w14:paraId="01072E1A" w14:textId="7ACFB6A8" w:rsidR="00745DBA" w:rsidRPr="00F8591F" w:rsidRDefault="00745DBA" w:rsidP="00F8591F">
      <w:pPr>
        <w:pStyle w:val="ListBullet"/>
      </w:pPr>
      <w:r w:rsidRPr="00F8591F">
        <w:t xml:space="preserve">15-35 – Standard 6, </w:t>
      </w:r>
      <w:r w:rsidR="000B18FF" w:rsidRPr="00F8591F">
        <w:t>f</w:t>
      </w:r>
      <w:r w:rsidRPr="00F8591F">
        <w:t>ood</w:t>
      </w:r>
    </w:p>
    <w:p w14:paraId="2344BE81" w14:textId="1BFCEF04" w:rsidR="00C92197" w:rsidRPr="00F8591F" w:rsidRDefault="00814DC1" w:rsidP="00F8591F">
      <w:pPr>
        <w:rPr>
          <w:rStyle w:val="Emphasis"/>
        </w:rPr>
      </w:pPr>
      <w:r w:rsidRPr="00F8591F">
        <w:rPr>
          <w:rStyle w:val="Emphasis"/>
        </w:rPr>
        <w:t>Recommendation</w:t>
      </w:r>
      <w:r w:rsidR="00741F7D" w:rsidRPr="00F8591F">
        <w:rPr>
          <w:rStyle w:val="Emphasis"/>
        </w:rPr>
        <w:t xml:space="preserve"> </w:t>
      </w:r>
      <w:r w:rsidR="00B019B9" w:rsidRPr="00F8591F">
        <w:rPr>
          <w:rStyle w:val="Emphasis"/>
        </w:rPr>
        <w:t>5</w:t>
      </w:r>
      <w:r w:rsidR="00C92197" w:rsidRPr="00F8591F">
        <w:rPr>
          <w:rStyle w:val="Emphasis"/>
        </w:rPr>
        <w:t>:</w:t>
      </w:r>
    </w:p>
    <w:p w14:paraId="23CAAEA7" w14:textId="3C20D5E3" w:rsidR="00745DBA" w:rsidRPr="00D751CC" w:rsidRDefault="00BE27C8" w:rsidP="00D751CC">
      <w:r w:rsidRPr="00D751CC">
        <w:t xml:space="preserve">Work with the ACCO sector to embed cultural safety into the </w:t>
      </w:r>
      <w:r w:rsidR="00F447FD" w:rsidRPr="00D751CC">
        <w:t>R</w:t>
      </w:r>
      <w:r w:rsidRPr="00D751CC">
        <w:t>ules</w:t>
      </w:r>
      <w:r w:rsidR="00BA0769" w:rsidRPr="00D751CC">
        <w:t>.</w:t>
      </w:r>
    </w:p>
    <w:p w14:paraId="5B8C2E29" w14:textId="012DEB94" w:rsidR="00246BB6" w:rsidRPr="00F8591F" w:rsidRDefault="0015651E" w:rsidP="00F8591F">
      <w:pPr>
        <w:pStyle w:val="Heading3"/>
      </w:pPr>
      <w:r w:rsidRPr="00F8591F">
        <w:t>Cultural safety and abuse</w:t>
      </w:r>
    </w:p>
    <w:p w14:paraId="55B48340" w14:textId="77777777" w:rsidR="00E915C8" w:rsidRPr="00D751CC" w:rsidRDefault="001509A4" w:rsidP="00D751CC">
      <w:r w:rsidRPr="00D751CC">
        <w:t xml:space="preserve">The </w:t>
      </w:r>
      <w:r w:rsidR="009D29B1" w:rsidRPr="00D751CC">
        <w:t xml:space="preserve">national plan to end violence for Aboriginal and Torres Strait Islander people, </w:t>
      </w:r>
      <w:r w:rsidR="00482990" w:rsidRPr="00D751CC">
        <w:t>the</w:t>
      </w:r>
      <w:r w:rsidRPr="00D751CC">
        <w:t xml:space="preserve"> </w:t>
      </w:r>
      <w:r w:rsidR="00ED6036" w:rsidRPr="00D751CC">
        <w:t xml:space="preserve">Aboriginal and Torres Strait </w:t>
      </w:r>
      <w:r w:rsidR="00BA0769" w:rsidRPr="00D751CC">
        <w:t>I</w:t>
      </w:r>
      <w:r w:rsidR="00ED6036" w:rsidRPr="00D751CC">
        <w:t>slander Action Plan 2023-2025</w:t>
      </w:r>
      <w:r w:rsidR="00482990" w:rsidRPr="00D751CC">
        <w:t>,</w:t>
      </w:r>
      <w:r w:rsidR="00ED6036" w:rsidRPr="00D751CC">
        <w:t xml:space="preserve"> </w:t>
      </w:r>
      <w:r w:rsidR="00E7545A" w:rsidRPr="00D751CC">
        <w:t xml:space="preserve">identifies that </w:t>
      </w:r>
      <w:r w:rsidR="008C17F4" w:rsidRPr="00D751CC">
        <w:t xml:space="preserve">some </w:t>
      </w:r>
      <w:r w:rsidRPr="00D751CC">
        <w:t xml:space="preserve">Aboriginal and Torres </w:t>
      </w:r>
      <w:r w:rsidRPr="00D751CC">
        <w:lastRenderedPageBreak/>
        <w:t>Strait Islander people</w:t>
      </w:r>
      <w:r w:rsidR="008C17F4" w:rsidRPr="00D751CC">
        <w:t xml:space="preserve"> face </w:t>
      </w:r>
      <w:r w:rsidR="00ED6036" w:rsidRPr="00D751CC">
        <w:t xml:space="preserve">a </w:t>
      </w:r>
      <w:r w:rsidR="008C17F4" w:rsidRPr="00D751CC">
        <w:t>disproportion</w:t>
      </w:r>
      <w:r w:rsidR="00B071D0" w:rsidRPr="00D751CC">
        <w:t>at</w:t>
      </w:r>
      <w:r w:rsidR="008C17F4" w:rsidRPr="00D751CC">
        <w:t>e</w:t>
      </w:r>
      <w:r w:rsidR="00B071D0" w:rsidRPr="00D751CC">
        <w:t xml:space="preserve"> risk of family, domestic and sexual violence including older people and </w:t>
      </w:r>
      <w:r w:rsidRPr="00D751CC">
        <w:t>women</w:t>
      </w:r>
      <w:r w:rsidR="00004F1C" w:rsidRPr="00D751CC">
        <w:t>.</w:t>
      </w:r>
    </w:p>
    <w:p w14:paraId="2BD3CC6A" w14:textId="1004FBEE" w:rsidR="00246BB6" w:rsidRPr="00D751CC" w:rsidRDefault="00E915C8" w:rsidP="00D751CC">
      <w:r w:rsidRPr="00D751CC">
        <w:t xml:space="preserve">The additional </w:t>
      </w:r>
      <w:r w:rsidR="00CA2358" w:rsidRPr="00D751CC">
        <w:t>risk</w:t>
      </w:r>
      <w:r w:rsidR="006B7F5D" w:rsidRPr="00D751CC">
        <w:t xml:space="preserve"> </w:t>
      </w:r>
      <w:r w:rsidR="00E87EFB" w:rsidRPr="00D751CC">
        <w:t xml:space="preserve">needs to be considered </w:t>
      </w:r>
      <w:r w:rsidR="00223E96" w:rsidRPr="00D751CC">
        <w:t xml:space="preserve">in the design of </w:t>
      </w:r>
      <w:r w:rsidR="00F447FD" w:rsidRPr="00D751CC">
        <w:t>R</w:t>
      </w:r>
      <w:r w:rsidR="00223E96" w:rsidRPr="00D751CC">
        <w:t>ules for substituted decision makers and representatives</w:t>
      </w:r>
      <w:r w:rsidR="00585538" w:rsidRPr="00D751CC">
        <w:t xml:space="preserve"> </w:t>
      </w:r>
      <w:proofErr w:type="gramStart"/>
      <w:r w:rsidR="00585538" w:rsidRPr="00D751CC">
        <w:t>in order</w:t>
      </w:r>
      <w:r w:rsidR="00223E96" w:rsidRPr="00D751CC">
        <w:t xml:space="preserve"> to</w:t>
      </w:r>
      <w:proofErr w:type="gramEnd"/>
      <w:r w:rsidR="00223E96" w:rsidRPr="00D751CC">
        <w:t xml:space="preserve"> protect</w:t>
      </w:r>
      <w:r w:rsidR="00585538" w:rsidRPr="00D751CC">
        <w:t xml:space="preserve"> against perpetrators</w:t>
      </w:r>
      <w:r w:rsidR="009E4387" w:rsidRPr="00D751CC">
        <w:t xml:space="preserve"> using </w:t>
      </w:r>
      <w:r w:rsidR="00BC2D9C" w:rsidRPr="00D751CC">
        <w:t>these systems to continue their abuse</w:t>
      </w:r>
      <w:r w:rsidR="000B78F4" w:rsidRPr="00D751CC">
        <w:t xml:space="preserve"> (refer to </w:t>
      </w:r>
      <w:r w:rsidR="00246BB6" w:rsidRPr="00D751CC">
        <w:t>6-10 and 6-20</w:t>
      </w:r>
      <w:r w:rsidR="000B78F4" w:rsidRPr="00D751CC">
        <w:t>).</w:t>
      </w:r>
      <w:r w:rsidR="00B21094" w:rsidRPr="00D751CC">
        <w:t xml:space="preserve"> </w:t>
      </w:r>
      <w:r w:rsidR="00363DEC" w:rsidRPr="00D751CC">
        <w:t xml:space="preserve">Safeguards are needed </w:t>
      </w:r>
      <w:r w:rsidR="009E4387" w:rsidRPr="00D751CC">
        <w:t xml:space="preserve">around </w:t>
      </w:r>
      <w:r w:rsidR="002235C7" w:rsidRPr="00D751CC">
        <w:t>perpetrator</w:t>
      </w:r>
      <w:r w:rsidR="009E4387" w:rsidRPr="00D751CC">
        <w:t>s</w:t>
      </w:r>
      <w:r w:rsidR="002235C7" w:rsidRPr="00D751CC">
        <w:t xml:space="preserve"> </w:t>
      </w:r>
      <w:r w:rsidR="009E4387" w:rsidRPr="00D751CC">
        <w:t xml:space="preserve">trying to present </w:t>
      </w:r>
      <w:r w:rsidR="002235C7" w:rsidRPr="00D751CC">
        <w:t xml:space="preserve">themselves to a </w:t>
      </w:r>
      <w:r w:rsidR="00246BB6" w:rsidRPr="00D751CC">
        <w:t xml:space="preserve">provider </w:t>
      </w:r>
      <w:r w:rsidR="002235C7" w:rsidRPr="00D751CC">
        <w:t>as</w:t>
      </w:r>
      <w:r w:rsidR="00B21094" w:rsidRPr="00D751CC">
        <w:t xml:space="preserve"> someone who </w:t>
      </w:r>
      <w:r w:rsidR="00246BB6" w:rsidRPr="00D751CC">
        <w:t>has a connection with the older person.</w:t>
      </w:r>
    </w:p>
    <w:p w14:paraId="366D3A85" w14:textId="52822545" w:rsidR="00463B85" w:rsidRPr="00D751CC" w:rsidRDefault="00463B85" w:rsidP="00D751CC">
      <w:r w:rsidRPr="00D751CC">
        <w:t xml:space="preserve">Part 7 of the </w:t>
      </w:r>
      <w:r w:rsidR="008A6E04" w:rsidRPr="00D751CC">
        <w:t>R</w:t>
      </w:r>
      <w:r w:rsidRPr="00D751CC">
        <w:t>ules details reportable incidents</w:t>
      </w:r>
      <w:r w:rsidR="007A0E98" w:rsidRPr="00D751CC">
        <w:t>, which include the unreasonable use of force, unlawful sexual contact, and psychological or emotional abuse</w:t>
      </w:r>
      <w:r w:rsidR="00CB25C6" w:rsidRPr="00D751CC">
        <w:t xml:space="preserve">. </w:t>
      </w:r>
      <w:r w:rsidR="0091004A" w:rsidRPr="00D751CC">
        <w:t xml:space="preserve">Violence against women is </w:t>
      </w:r>
      <w:r w:rsidR="000E32B8" w:rsidRPr="00D751CC">
        <w:t xml:space="preserve">defined more broadly than this in </w:t>
      </w:r>
      <w:r w:rsidR="00EA6CC8" w:rsidRPr="00D751CC">
        <w:t xml:space="preserve">the </w:t>
      </w:r>
      <w:hyperlink r:id="rId18" w:history="1">
        <w:r w:rsidR="00EA6CC8" w:rsidRPr="005E4232">
          <w:rPr>
            <w:rStyle w:val="Hyperlink"/>
            <w:rFonts w:ascii="Aptos" w:hAnsi="Aptos"/>
            <w:szCs w:val="22"/>
            <w:shd w:val="clear" w:color="auto" w:fill="FFFFFF"/>
            <w:lang w:val="en-AU"/>
          </w:rPr>
          <w:t>National Plan to End Violence Against Women and Children</w:t>
        </w:r>
      </w:hyperlink>
      <w:r w:rsidR="00EA6CC8" w:rsidRPr="00F8591F">
        <w:t xml:space="preserve"> </w:t>
      </w:r>
      <w:r w:rsidR="0091004A" w:rsidRPr="00F8591F">
        <w:t xml:space="preserve">to include </w:t>
      </w:r>
      <w:r w:rsidR="00EA6CC8" w:rsidRPr="00F8591F">
        <w:t xml:space="preserve">“physical, sexual, emotional, psychological, social, cultural, spiritual, </w:t>
      </w:r>
      <w:r w:rsidR="00EA6CC8" w:rsidRPr="00D751CC">
        <w:t>financial and technology-facilitated abuse (including image-based abuse), and stalking</w:t>
      </w:r>
      <w:r w:rsidR="005E4232" w:rsidRPr="00D751CC">
        <w:t>” (p.35)</w:t>
      </w:r>
      <w:r w:rsidR="000E32B8" w:rsidRPr="00D751CC">
        <w:t>.</w:t>
      </w:r>
    </w:p>
    <w:p w14:paraId="1C1A4F44" w14:textId="4F0B5586" w:rsidR="00514A02" w:rsidRPr="00D751CC" w:rsidRDefault="00AD65D2" w:rsidP="00D751CC">
      <w:r w:rsidRPr="00D751CC">
        <w:t>Practicing c</w:t>
      </w:r>
      <w:r w:rsidR="00514A02" w:rsidRPr="00D751CC">
        <w:t>ulture</w:t>
      </w:r>
      <w:r w:rsidR="00CA7382" w:rsidRPr="00D751CC">
        <w:t xml:space="preserve">, staying connected to </w:t>
      </w:r>
      <w:r w:rsidR="00514A02" w:rsidRPr="00D751CC">
        <w:t>country</w:t>
      </w:r>
      <w:r w:rsidR="00CA7382" w:rsidRPr="00D751CC">
        <w:t xml:space="preserve">, and </w:t>
      </w:r>
      <w:r w:rsidR="00C54FF4" w:rsidRPr="00D751CC">
        <w:t xml:space="preserve">being supported to fulfil their role as </w:t>
      </w:r>
      <w:r w:rsidR="770F3329" w:rsidRPr="00D751CC">
        <w:t>E</w:t>
      </w:r>
      <w:r w:rsidR="00C54FF4" w:rsidRPr="00D751CC">
        <w:t xml:space="preserve">lders </w:t>
      </w:r>
      <w:r w:rsidR="004F3D34" w:rsidRPr="00D751CC">
        <w:t xml:space="preserve">are </w:t>
      </w:r>
      <w:r w:rsidRPr="00D751CC">
        <w:t xml:space="preserve">essential to the spiritual health and wellbeing of </w:t>
      </w:r>
      <w:r w:rsidR="00A25C28" w:rsidRPr="00D751CC">
        <w:t xml:space="preserve">older </w:t>
      </w:r>
      <w:r w:rsidRPr="00D751CC">
        <w:t>Aboriginal and Torres Strait Islander people. Deliberate</w:t>
      </w:r>
      <w:r w:rsidR="00A25C28" w:rsidRPr="00D751CC">
        <w:t xml:space="preserve"> attempts to deny </w:t>
      </w:r>
      <w:r w:rsidR="007E022E" w:rsidRPr="00D751CC">
        <w:t xml:space="preserve">older </w:t>
      </w:r>
      <w:r w:rsidR="00A25C28" w:rsidRPr="00D751CC">
        <w:t>people</w:t>
      </w:r>
      <w:r w:rsidR="007E022E" w:rsidRPr="00D751CC">
        <w:t>’s</w:t>
      </w:r>
      <w:r w:rsidR="00A25C28" w:rsidRPr="00D751CC">
        <w:t xml:space="preserve"> access to these </w:t>
      </w:r>
      <w:r w:rsidR="007E022E" w:rsidRPr="00D751CC">
        <w:t>are a form of violence.</w:t>
      </w:r>
    </w:p>
    <w:p w14:paraId="420927D5" w14:textId="6F99DC28" w:rsidR="000E32B8" w:rsidRPr="00F8591F" w:rsidRDefault="00706256" w:rsidP="00F8591F">
      <w:pPr>
        <w:rPr>
          <w:rStyle w:val="Emphasis"/>
        </w:rPr>
      </w:pPr>
      <w:r w:rsidRPr="00F8591F">
        <w:rPr>
          <w:rStyle w:val="Emphasis"/>
        </w:rPr>
        <w:t>Recommendation</w:t>
      </w:r>
      <w:r w:rsidR="00C949B2" w:rsidRPr="00F8591F">
        <w:rPr>
          <w:rStyle w:val="Emphasis"/>
        </w:rPr>
        <w:t xml:space="preserve"> </w:t>
      </w:r>
      <w:r w:rsidR="00B019B9" w:rsidRPr="00F8591F">
        <w:rPr>
          <w:rStyle w:val="Emphasis"/>
        </w:rPr>
        <w:t>6</w:t>
      </w:r>
      <w:r w:rsidRPr="00F8591F">
        <w:rPr>
          <w:rStyle w:val="Emphasis"/>
        </w:rPr>
        <w:t>:</w:t>
      </w:r>
    </w:p>
    <w:p w14:paraId="547AB532" w14:textId="7E6F45C3" w:rsidR="00706256" w:rsidRPr="00D751CC" w:rsidRDefault="00706256" w:rsidP="00D751CC">
      <w:r w:rsidRPr="00D751CC">
        <w:t xml:space="preserve">Consideration be given to </w:t>
      </w:r>
      <w:r w:rsidR="00FF7BF9" w:rsidRPr="00D751CC">
        <w:t xml:space="preserve">expanding </w:t>
      </w:r>
      <w:r w:rsidRPr="00D751CC">
        <w:t xml:space="preserve">the </w:t>
      </w:r>
      <w:r w:rsidR="00FF7BF9" w:rsidRPr="00D751CC">
        <w:t xml:space="preserve">reportable incidents list to </w:t>
      </w:r>
      <w:r w:rsidR="00B64368" w:rsidRPr="00D751CC">
        <w:t xml:space="preserve">include </w:t>
      </w:r>
      <w:r w:rsidR="00A42129" w:rsidRPr="00D751CC">
        <w:t xml:space="preserve">all </w:t>
      </w:r>
      <w:r w:rsidR="00B64368" w:rsidRPr="00D751CC">
        <w:t>forms of violence identified in the National Plan</w:t>
      </w:r>
      <w:r w:rsidR="00514A02" w:rsidRPr="00D751CC">
        <w:t>.</w:t>
      </w:r>
    </w:p>
    <w:p w14:paraId="0C16F8A4" w14:textId="67EC41C8" w:rsidR="007370F2" w:rsidRPr="00D751CC" w:rsidRDefault="007370F2" w:rsidP="00D751CC">
      <w:pPr>
        <w:pStyle w:val="Heading2"/>
      </w:pPr>
      <w:r w:rsidRPr="00D751CC">
        <w:t>Priority Reform 4 – Shared access to data and information at a regional level</w:t>
      </w:r>
    </w:p>
    <w:p w14:paraId="06FE8373" w14:textId="4A9371C4" w:rsidR="56B74781" w:rsidRPr="00D751CC" w:rsidRDefault="003266F2" w:rsidP="00D751CC">
      <w:r w:rsidRPr="00D751CC">
        <w:t xml:space="preserve">Across the </w:t>
      </w:r>
      <w:r w:rsidR="0047270D" w:rsidRPr="00D751CC">
        <w:t>R</w:t>
      </w:r>
      <w:r w:rsidRPr="00D751CC">
        <w:t xml:space="preserve">ules there are opportunities to improve data </w:t>
      </w:r>
      <w:r w:rsidR="008158C4" w:rsidRPr="00D751CC">
        <w:t xml:space="preserve">collection </w:t>
      </w:r>
      <w:r w:rsidRPr="00D751CC">
        <w:t>about the aged care experience</w:t>
      </w:r>
      <w:r w:rsidR="008158C4" w:rsidRPr="00D751CC">
        <w:t>s of older Aboriginal and Torres Strait Islander people</w:t>
      </w:r>
      <w:r w:rsidR="00CB25C6" w:rsidRPr="00D751CC">
        <w:t xml:space="preserve">. </w:t>
      </w:r>
      <w:r w:rsidR="00F447FD" w:rsidRPr="00D751CC">
        <w:t>Data could be collected</w:t>
      </w:r>
      <w:r w:rsidR="008158C4" w:rsidRPr="00D751CC">
        <w:t xml:space="preserve"> </w:t>
      </w:r>
      <w:r w:rsidR="00743A6B" w:rsidRPr="00D751CC">
        <w:t xml:space="preserve">in reports </w:t>
      </w:r>
      <w:r w:rsidR="00F447FD" w:rsidRPr="00D751CC">
        <w:t>provided by</w:t>
      </w:r>
      <w:r w:rsidR="00743A6B" w:rsidRPr="00D751CC">
        <w:t xml:space="preserve"> </w:t>
      </w:r>
      <w:r w:rsidR="00DE6440" w:rsidRPr="00D751CC">
        <w:t xml:space="preserve">aged care providers and </w:t>
      </w:r>
      <w:r w:rsidR="00743A6B" w:rsidRPr="00D751CC">
        <w:t>quality care advisory bodies</w:t>
      </w:r>
      <w:r w:rsidR="00DE6440" w:rsidRPr="00D751CC">
        <w:t>.</w:t>
      </w:r>
    </w:p>
    <w:sectPr w:rsidR="56B74781" w:rsidRPr="00D751CC" w:rsidSect="005876B3">
      <w:headerReference w:type="default" r:id="rId19"/>
      <w:pgSz w:w="11906" w:h="16838"/>
      <w:pgMar w:top="1440" w:right="1416" w:bottom="1440" w:left="144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F9C93" w14:textId="77777777" w:rsidR="00896FA4" w:rsidRDefault="00896FA4" w:rsidP="0091076C">
      <w:pPr>
        <w:spacing w:after="0" w:line="240" w:lineRule="auto"/>
      </w:pPr>
      <w:r>
        <w:separator/>
      </w:r>
    </w:p>
  </w:endnote>
  <w:endnote w:type="continuationSeparator" w:id="0">
    <w:p w14:paraId="1C5E055D" w14:textId="77777777" w:rsidR="00896FA4" w:rsidRDefault="00896FA4" w:rsidP="0091076C">
      <w:pPr>
        <w:spacing w:after="0" w:line="240" w:lineRule="auto"/>
      </w:pPr>
      <w:r>
        <w:continuationSeparator/>
      </w:r>
    </w:p>
  </w:endnote>
  <w:endnote w:type="continuationNotice" w:id="1">
    <w:p w14:paraId="54E02456" w14:textId="77777777" w:rsidR="00896FA4" w:rsidRDefault="00896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172C6" w14:textId="7349F1B7" w:rsidR="00106B62" w:rsidRDefault="00106B62">
    <w:pPr>
      <w:pStyle w:val="Footer"/>
    </w:pPr>
    <w:r>
      <w:rPr>
        <w:noProof/>
      </w:rPr>
      <mc:AlternateContent>
        <mc:Choice Requires="wps">
          <w:drawing>
            <wp:anchor distT="0" distB="0" distL="0" distR="0" simplePos="0" relativeHeight="251664387" behindDoc="0" locked="0" layoutInCell="1" allowOverlap="1" wp14:anchorId="76CAF40F" wp14:editId="361EA2F4">
              <wp:simplePos x="635" y="635"/>
              <wp:positionH relativeFrom="page">
                <wp:align>center</wp:align>
              </wp:positionH>
              <wp:positionV relativeFrom="page">
                <wp:align>bottom</wp:align>
              </wp:positionV>
              <wp:extent cx="551815" cy="407035"/>
              <wp:effectExtent l="0" t="0" r="635" b="0"/>
              <wp:wrapNone/>
              <wp:docPr id="132759912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431934AE" w14:textId="3906E0C9" w:rsidR="00106B62" w:rsidRPr="00106B62" w:rsidRDefault="00106B62" w:rsidP="00106B62">
                          <w:pPr>
                            <w:spacing w:after="0"/>
                            <w:rPr>
                              <w:rFonts w:ascii="Calibri" w:eastAsia="Calibri" w:hAnsi="Calibri" w:cs="Calibri"/>
                              <w:noProof/>
                              <w:color w:val="FF0000"/>
                            </w:rPr>
                          </w:pPr>
                          <w:r w:rsidRPr="00106B62">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CAF40F" id="_x0000_t202" coordsize="21600,21600" o:spt="202" path="m,l,21600r21600,l21600,xe">
              <v:stroke joinstyle="miter"/>
              <v:path gradientshapeok="t" o:connecttype="rect"/>
            </v:shapetype>
            <v:shape id="Text Box 6" o:spid="_x0000_s1027" type="#_x0000_t202" alt="OFFICIAL" style="position:absolute;margin-left:0;margin-top:0;width:43.45pt;height:32.05pt;z-index:2516643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" filled="f" stroked="f">
              <v:textbox style="mso-fit-shape-to-text:t" inset="0,0,0,15pt">
                <w:txbxContent>
                  <w:p w14:paraId="431934AE" w14:textId="3906E0C9" w:rsidR="00106B62" w:rsidRPr="00106B62" w:rsidRDefault="00106B62" w:rsidP="00106B62">
                    <w:pPr>
                      <w:spacing w:after="0"/>
                      <w:rPr>
                        <w:rFonts w:ascii="Calibri" w:eastAsia="Calibri" w:hAnsi="Calibri" w:cs="Calibri"/>
                        <w:noProof/>
                        <w:color w:val="FF0000"/>
                      </w:rPr>
                    </w:pPr>
                    <w:r w:rsidRPr="00106B62">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B23C9" w14:textId="669FDAAD" w:rsidR="00BD41B3" w:rsidRPr="00D11EDD" w:rsidRDefault="00000000" w:rsidP="00D11EDD">
    <w:pPr>
      <w:pStyle w:val="Footer"/>
      <w:jc w:val="right"/>
      <w:rPr>
        <w:sz w:val="18"/>
        <w:szCs w:val="18"/>
      </w:rPr>
    </w:pPr>
    <w:sdt>
      <w:sdtPr>
        <w:rPr>
          <w:sz w:val="18"/>
          <w:szCs w:val="18"/>
        </w:rPr>
        <w:id w:val="-1744717000"/>
        <w:docPartObj>
          <w:docPartGallery w:val="Page Numbers (Bottom of Page)"/>
          <w:docPartUnique/>
        </w:docPartObj>
      </w:sdtPr>
      <w:sdtContent>
        <w:sdt>
          <w:sdtPr>
            <w:rPr>
              <w:sz w:val="18"/>
              <w:szCs w:val="18"/>
            </w:rPr>
            <w:id w:val="-1769616900"/>
            <w:docPartObj>
              <w:docPartGallery w:val="Page Numbers (Top of Page)"/>
              <w:docPartUnique/>
            </w:docPartObj>
          </w:sdtPr>
          <w:sdtContent>
            <w:r w:rsidR="00BD41B3" w:rsidRPr="00BD41B3">
              <w:rPr>
                <w:sz w:val="18"/>
                <w:szCs w:val="18"/>
              </w:rPr>
              <w:t xml:space="preserve">Page </w:t>
            </w:r>
            <w:r w:rsidR="00BD41B3" w:rsidRPr="00BD41B3">
              <w:rPr>
                <w:b/>
                <w:bCs/>
                <w:sz w:val="18"/>
                <w:szCs w:val="18"/>
              </w:rPr>
              <w:fldChar w:fldCharType="begin"/>
            </w:r>
            <w:r w:rsidR="00BD41B3" w:rsidRPr="00BD41B3">
              <w:rPr>
                <w:b/>
                <w:bCs/>
                <w:sz w:val="18"/>
                <w:szCs w:val="18"/>
              </w:rPr>
              <w:instrText xml:space="preserve"> PAGE </w:instrText>
            </w:r>
            <w:r w:rsidR="00BD41B3" w:rsidRPr="00BD41B3">
              <w:rPr>
                <w:b/>
                <w:bCs/>
                <w:sz w:val="18"/>
                <w:szCs w:val="18"/>
              </w:rPr>
              <w:fldChar w:fldCharType="separate"/>
            </w:r>
            <w:r w:rsidR="00BD41B3" w:rsidRPr="00BD41B3">
              <w:rPr>
                <w:b/>
                <w:bCs/>
                <w:noProof/>
                <w:sz w:val="18"/>
                <w:szCs w:val="18"/>
              </w:rPr>
              <w:t>2</w:t>
            </w:r>
            <w:r w:rsidR="00BD41B3" w:rsidRPr="00BD41B3">
              <w:rPr>
                <w:b/>
                <w:bCs/>
                <w:sz w:val="18"/>
                <w:szCs w:val="18"/>
              </w:rPr>
              <w:fldChar w:fldCharType="end"/>
            </w:r>
            <w:r w:rsidR="00BD41B3" w:rsidRPr="00BD41B3">
              <w:rPr>
                <w:sz w:val="18"/>
                <w:szCs w:val="18"/>
              </w:rPr>
              <w:t xml:space="preserve"> of </w:t>
            </w:r>
            <w:r w:rsidR="00BD41B3" w:rsidRPr="00BD41B3">
              <w:rPr>
                <w:b/>
                <w:bCs/>
                <w:sz w:val="18"/>
                <w:szCs w:val="18"/>
              </w:rPr>
              <w:fldChar w:fldCharType="begin"/>
            </w:r>
            <w:r w:rsidR="00BD41B3" w:rsidRPr="00BD41B3">
              <w:rPr>
                <w:b/>
                <w:bCs/>
                <w:sz w:val="18"/>
                <w:szCs w:val="18"/>
              </w:rPr>
              <w:instrText xml:space="preserve"> NUMPAGES  </w:instrText>
            </w:r>
            <w:r w:rsidR="00BD41B3" w:rsidRPr="00BD41B3">
              <w:rPr>
                <w:b/>
                <w:bCs/>
                <w:sz w:val="18"/>
                <w:szCs w:val="18"/>
              </w:rPr>
              <w:fldChar w:fldCharType="separate"/>
            </w:r>
            <w:r w:rsidR="00BD41B3" w:rsidRPr="00BD41B3">
              <w:rPr>
                <w:b/>
                <w:bCs/>
                <w:noProof/>
                <w:sz w:val="18"/>
                <w:szCs w:val="18"/>
              </w:rPr>
              <w:t>2</w:t>
            </w:r>
            <w:r w:rsidR="00BD41B3" w:rsidRPr="00BD41B3">
              <w:rPr>
                <w:b/>
                <w:bCs/>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CEFC" w14:textId="228F8DDD" w:rsidR="00106B62" w:rsidRDefault="00106B62">
    <w:pPr>
      <w:pStyle w:val="Footer"/>
    </w:pPr>
    <w:r>
      <w:rPr>
        <w:noProof/>
      </w:rPr>
      <mc:AlternateContent>
        <mc:Choice Requires="wps">
          <w:drawing>
            <wp:anchor distT="0" distB="0" distL="0" distR="0" simplePos="0" relativeHeight="251663363" behindDoc="0" locked="0" layoutInCell="1" allowOverlap="1" wp14:anchorId="78421F5D" wp14:editId="6A7FFF0A">
              <wp:simplePos x="635" y="635"/>
              <wp:positionH relativeFrom="page">
                <wp:align>center</wp:align>
              </wp:positionH>
              <wp:positionV relativeFrom="page">
                <wp:align>bottom</wp:align>
              </wp:positionV>
              <wp:extent cx="551815" cy="407035"/>
              <wp:effectExtent l="0" t="0" r="635" b="0"/>
              <wp:wrapNone/>
              <wp:docPr id="10523557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5595D10A" w14:textId="6F815142" w:rsidR="00106B62" w:rsidRPr="00106B62" w:rsidRDefault="00106B62" w:rsidP="00106B62">
                          <w:pPr>
                            <w:spacing w:after="0"/>
                            <w:rPr>
                              <w:rFonts w:ascii="Calibri" w:eastAsia="Calibri" w:hAnsi="Calibri" w:cs="Calibri"/>
                              <w:noProof/>
                              <w:color w:val="FF0000"/>
                            </w:rPr>
                          </w:pPr>
                          <w:r w:rsidRPr="00106B62">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421F5D" id="_x0000_t202" coordsize="21600,21600" o:spt="202" path="m,l,21600r21600,l21600,xe">
              <v:stroke joinstyle="miter"/>
              <v:path gradientshapeok="t" o:connecttype="rect"/>
            </v:shapetype>
            <v:shape id="Text Box 5" o:spid="_x0000_s1029" type="#_x0000_t202" alt="OFFICIAL" style="position:absolute;margin-left:0;margin-top:0;width:43.45pt;height:32.05pt;z-index:2516633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" filled="f" stroked="f">
              <v:textbox style="mso-fit-shape-to-text:t" inset="0,0,0,15pt">
                <w:txbxContent>
                  <w:p w14:paraId="5595D10A" w14:textId="6F815142" w:rsidR="00106B62" w:rsidRPr="00106B62" w:rsidRDefault="00106B62" w:rsidP="00106B62">
                    <w:pPr>
                      <w:spacing w:after="0"/>
                      <w:rPr>
                        <w:rFonts w:ascii="Calibri" w:eastAsia="Calibri" w:hAnsi="Calibri" w:cs="Calibri"/>
                        <w:noProof/>
                        <w:color w:val="FF0000"/>
                      </w:rPr>
                    </w:pPr>
                    <w:r w:rsidRPr="00106B62">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3F5C9" w14:textId="77777777" w:rsidR="00896FA4" w:rsidRDefault="00896FA4" w:rsidP="0091076C">
      <w:pPr>
        <w:spacing w:after="0" w:line="240" w:lineRule="auto"/>
      </w:pPr>
      <w:r>
        <w:separator/>
      </w:r>
    </w:p>
  </w:footnote>
  <w:footnote w:type="continuationSeparator" w:id="0">
    <w:p w14:paraId="6DC23A74" w14:textId="77777777" w:rsidR="00896FA4" w:rsidRDefault="00896FA4" w:rsidP="0091076C">
      <w:pPr>
        <w:spacing w:after="0" w:line="240" w:lineRule="auto"/>
      </w:pPr>
      <w:r>
        <w:continuationSeparator/>
      </w:r>
    </w:p>
  </w:footnote>
  <w:footnote w:type="continuationNotice" w:id="1">
    <w:p w14:paraId="4D6C0376" w14:textId="77777777" w:rsidR="00896FA4" w:rsidRDefault="00896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0A93" w14:textId="75AF7FD9" w:rsidR="00106B62" w:rsidRDefault="00106B62">
    <w:pPr>
      <w:pStyle w:val="Header"/>
    </w:pPr>
    <w:r>
      <w:rPr>
        <w:noProof/>
      </w:rPr>
      <mc:AlternateContent>
        <mc:Choice Requires="wps">
          <w:drawing>
            <wp:anchor distT="0" distB="0" distL="0" distR="0" simplePos="0" relativeHeight="251660291" behindDoc="0" locked="0" layoutInCell="1" allowOverlap="1" wp14:anchorId="68C89214" wp14:editId="02E09545">
              <wp:simplePos x="635" y="635"/>
              <wp:positionH relativeFrom="page">
                <wp:align>center</wp:align>
              </wp:positionH>
              <wp:positionV relativeFrom="page">
                <wp:align>top</wp:align>
              </wp:positionV>
              <wp:extent cx="551815" cy="407035"/>
              <wp:effectExtent l="0" t="0" r="635" b="12065"/>
              <wp:wrapNone/>
              <wp:docPr id="2081338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26FF944C" w14:textId="35E8FE14" w:rsidR="00106B62" w:rsidRPr="00106B62" w:rsidRDefault="00106B62" w:rsidP="00106B62">
                          <w:pPr>
                            <w:spacing w:after="0"/>
                            <w:rPr>
                              <w:rFonts w:ascii="Calibri" w:eastAsia="Calibri" w:hAnsi="Calibri" w:cs="Calibri"/>
                              <w:noProof/>
                              <w:color w:val="FF0000"/>
                            </w:rPr>
                          </w:pPr>
                          <w:r w:rsidRPr="00106B6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C89214" id="_x0000_t202" coordsize="21600,21600" o:spt="202" path="m,l,21600r21600,l21600,xe">
              <v:stroke joinstyle="miter"/>
              <v:path gradientshapeok="t" o:connecttype="rect"/>
            </v:shapetype>
            <v:shape id="Text Box 2" o:spid="_x0000_s1026" type="#_x0000_t202" alt="OFFICIAL" style="position:absolute;margin-left:0;margin-top:0;width:43.45pt;height:32.05pt;z-index:2516602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" filled="f" stroked="f">
              <v:textbox style="mso-fit-shape-to-text:t" inset="0,15pt,0,0">
                <w:txbxContent>
                  <w:p w14:paraId="26FF944C" w14:textId="35E8FE14" w:rsidR="00106B62" w:rsidRPr="00106B62" w:rsidRDefault="00106B62" w:rsidP="00106B62">
                    <w:pPr>
                      <w:spacing w:after="0"/>
                      <w:rPr>
                        <w:rFonts w:ascii="Calibri" w:eastAsia="Calibri" w:hAnsi="Calibri" w:cs="Calibri"/>
                        <w:noProof/>
                        <w:color w:val="FF0000"/>
                      </w:rPr>
                    </w:pPr>
                    <w:r w:rsidRPr="00106B62">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5D35" w14:textId="21FF55EB" w:rsidR="002B75AF" w:rsidRDefault="00D11EDD">
    <w:pPr>
      <w:pStyle w:val="Header"/>
    </w:pPr>
    <w:r>
      <w:rPr>
        <w:rFonts w:ascii="Segoe UI" w:hAnsi="Segoe UI" w:cs="Segoe UI"/>
        <w:noProof/>
        <w:color w:val="000000"/>
        <w:sz w:val="12"/>
        <w:szCs w:val="12"/>
        <w:shd w:val="clear" w:color="auto" w:fill="FFFFFF"/>
      </w:rPr>
      <w:drawing>
        <wp:anchor distT="0" distB="0" distL="114300" distR="114300" simplePos="0" relativeHeight="251658242" behindDoc="0" locked="0" layoutInCell="1" allowOverlap="1" wp14:anchorId="3A16C82F" wp14:editId="0797CF99">
          <wp:simplePos x="0" y="0"/>
          <wp:positionH relativeFrom="page">
            <wp:posOffset>0</wp:posOffset>
          </wp:positionH>
          <wp:positionV relativeFrom="paragraph">
            <wp:posOffset>-457200</wp:posOffset>
          </wp:positionV>
          <wp:extent cx="3295650" cy="777875"/>
          <wp:effectExtent l="0" t="0" r="0" b="3175"/>
          <wp:wrapSquare wrapText="bothSides"/>
          <wp:docPr id="3" name="Picture 2" descr="A green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sign with whit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0" cy="777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41F4">
      <w:rPr>
        <w:rFonts w:ascii="Segoe UI" w:hAnsi="Segoe UI" w:cs="Segoe UI"/>
        <w:noProof/>
        <w:color w:val="000000"/>
        <w:sz w:val="12"/>
        <w:szCs w:val="12"/>
      </w:rPr>
      <w:drawing>
        <wp:anchor distT="0" distB="0" distL="114300" distR="114300" simplePos="0" relativeHeight="251658241" behindDoc="0" locked="0" layoutInCell="1" allowOverlap="1" wp14:anchorId="0D63C591" wp14:editId="7C411BDB">
          <wp:simplePos x="0" y="0"/>
          <wp:positionH relativeFrom="page">
            <wp:align>right</wp:align>
          </wp:positionH>
          <wp:positionV relativeFrom="paragraph">
            <wp:posOffset>-459740</wp:posOffset>
          </wp:positionV>
          <wp:extent cx="1983105" cy="1864360"/>
          <wp:effectExtent l="0" t="0" r="0" b="2540"/>
          <wp:wrapSquare wrapText="bothSides"/>
          <wp:docPr id="4" name="Picture 1" descr="A circular design with orange and brown squ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circular design with orange and brown squar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3105" cy="1864360"/>
                  </a:xfrm>
                  <a:prstGeom prst="rect">
                    <a:avLst/>
                  </a:prstGeom>
                  <a:noFill/>
                  <a:ln>
                    <a:noFill/>
                  </a:ln>
                </pic:spPr>
              </pic:pic>
            </a:graphicData>
          </a:graphic>
        </wp:anchor>
      </w:drawing>
    </w:r>
    <w:r w:rsidR="002B75AF">
      <w:rPr>
        <w:rFonts w:ascii="Segoe UI" w:hAnsi="Segoe UI" w:cs="Segoe UI"/>
        <w:noProof/>
        <w:color w:val="000000"/>
        <w:sz w:val="12"/>
        <w:szCs w:val="12"/>
      </w:rPr>
      <w:drawing>
        <wp:anchor distT="0" distB="0" distL="114300" distR="114300" simplePos="0" relativeHeight="251658240" behindDoc="0" locked="0" layoutInCell="1" allowOverlap="1" wp14:anchorId="3A0B94FE" wp14:editId="769C5128">
          <wp:simplePos x="0" y="0"/>
          <wp:positionH relativeFrom="column">
            <wp:posOffset>10528300</wp:posOffset>
          </wp:positionH>
          <wp:positionV relativeFrom="paragraph">
            <wp:posOffset>-544195</wp:posOffset>
          </wp:positionV>
          <wp:extent cx="1983105" cy="1864360"/>
          <wp:effectExtent l="0" t="0" r="0" b="2540"/>
          <wp:wrapSquare wrapText="bothSides"/>
          <wp:docPr id="1227032049" name="Picture 1" descr="A circular design with orange and brown squ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032049" name="Picture 1" descr="A circular design with orange and brown squar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3105" cy="186436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1A28E" w14:textId="622B58C1" w:rsidR="00106B62" w:rsidRDefault="00106B62">
    <w:pPr>
      <w:pStyle w:val="Header"/>
    </w:pPr>
    <w:r>
      <w:rPr>
        <w:noProof/>
      </w:rPr>
      <mc:AlternateContent>
        <mc:Choice Requires="wps">
          <w:drawing>
            <wp:anchor distT="0" distB="0" distL="0" distR="0" simplePos="0" relativeHeight="251659267" behindDoc="0" locked="0" layoutInCell="1" allowOverlap="1" wp14:anchorId="33F8D39C" wp14:editId="44350E6D">
              <wp:simplePos x="635" y="635"/>
              <wp:positionH relativeFrom="page">
                <wp:align>center</wp:align>
              </wp:positionH>
              <wp:positionV relativeFrom="page">
                <wp:align>top</wp:align>
              </wp:positionV>
              <wp:extent cx="551815" cy="407035"/>
              <wp:effectExtent l="0" t="0" r="635" b="12065"/>
              <wp:wrapNone/>
              <wp:docPr id="189947366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67B21C1D" w14:textId="36ED7048" w:rsidR="00106B62" w:rsidRPr="00106B62" w:rsidRDefault="00106B62" w:rsidP="00106B62">
                          <w:pPr>
                            <w:spacing w:after="0"/>
                            <w:rPr>
                              <w:rFonts w:ascii="Calibri" w:eastAsia="Calibri" w:hAnsi="Calibri" w:cs="Calibri"/>
                              <w:noProof/>
                              <w:color w:val="FF0000"/>
                            </w:rPr>
                          </w:pPr>
                          <w:r w:rsidRPr="00106B6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F8D39C" id="_x0000_t202" coordsize="21600,21600" o:spt="202" path="m,l,21600r21600,l21600,xe">
              <v:stroke joinstyle="miter"/>
              <v:path gradientshapeok="t" o:connecttype="rect"/>
            </v:shapetype>
            <v:shape id="Text Box 1" o:spid="_x0000_s1028" type="#_x0000_t202" alt="OFFICIAL" style="position:absolute;margin-left:0;margin-top:0;width:43.45pt;height:32.05pt;z-index:2516592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" filled="f" stroked="f">
              <v:textbox style="mso-fit-shape-to-text:t" inset="0,15pt,0,0">
                <w:txbxContent>
                  <w:p w14:paraId="67B21C1D" w14:textId="36ED7048" w:rsidR="00106B62" w:rsidRPr="00106B62" w:rsidRDefault="00106B62" w:rsidP="00106B62">
                    <w:pPr>
                      <w:spacing w:after="0"/>
                      <w:rPr>
                        <w:rFonts w:ascii="Calibri" w:eastAsia="Calibri" w:hAnsi="Calibri" w:cs="Calibri"/>
                        <w:noProof/>
                        <w:color w:val="FF0000"/>
                      </w:rPr>
                    </w:pPr>
                    <w:r w:rsidRPr="00106B62">
                      <w:rPr>
                        <w:rFonts w:ascii="Calibri" w:eastAsia="Calibri" w:hAnsi="Calibri" w:cs="Calibri"/>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5F7C" w14:textId="605BD3A0" w:rsidR="002B75AF" w:rsidRDefault="00EC0717">
    <w:pPr>
      <w:pStyle w:val="Header"/>
    </w:pPr>
    <w:r>
      <w:rPr>
        <w:rFonts w:ascii="Segoe UI" w:hAnsi="Segoe UI" w:cs="Segoe UI"/>
        <w:noProof/>
        <w:color w:val="000000"/>
        <w:sz w:val="12"/>
        <w:szCs w:val="12"/>
      </w:rPr>
      <w:drawing>
        <wp:anchor distT="0" distB="0" distL="114300" distR="114300" simplePos="0" relativeHeight="251658243" behindDoc="0" locked="0" layoutInCell="1" allowOverlap="1" wp14:anchorId="09FFC1D0" wp14:editId="21124AB3">
          <wp:simplePos x="0" y="0"/>
          <wp:positionH relativeFrom="column">
            <wp:posOffset>10528300</wp:posOffset>
          </wp:positionH>
          <wp:positionV relativeFrom="paragraph">
            <wp:posOffset>-544195</wp:posOffset>
          </wp:positionV>
          <wp:extent cx="1983105" cy="1864360"/>
          <wp:effectExtent l="0" t="0" r="0" b="2540"/>
          <wp:wrapSquare wrapText="bothSides"/>
          <wp:docPr id="23808292" name="Picture 1" descr="A circular design with orange and brown squ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08292" name="Picture 1" descr="A circular design with orange and brown squa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105" cy="18643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BB45A3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95CC33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963812"/>
    <w:multiLevelType w:val="hybridMultilevel"/>
    <w:tmpl w:val="FB6882B2"/>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BE00787"/>
    <w:multiLevelType w:val="hybridMultilevel"/>
    <w:tmpl w:val="5B6CB99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EB67EF"/>
    <w:multiLevelType w:val="hybridMultilevel"/>
    <w:tmpl w:val="C0145094"/>
    <w:lvl w:ilvl="0" w:tplc="BEFE9386">
      <w:start w:val="1"/>
      <w:numFmt w:val="decimal"/>
      <w:pStyle w:val="ListNumb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5510CF"/>
    <w:multiLevelType w:val="hybridMultilevel"/>
    <w:tmpl w:val="2848B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20B354"/>
    <w:multiLevelType w:val="hybridMultilevel"/>
    <w:tmpl w:val="1400A3FC"/>
    <w:lvl w:ilvl="0" w:tplc="95963D7A">
      <w:start w:val="1"/>
      <w:numFmt w:val="bullet"/>
      <w:lvlText w:val=""/>
      <w:lvlJc w:val="left"/>
      <w:pPr>
        <w:ind w:left="720" w:hanging="360"/>
      </w:pPr>
      <w:rPr>
        <w:rFonts w:ascii="Symbol" w:hAnsi="Symbol" w:hint="default"/>
      </w:rPr>
    </w:lvl>
    <w:lvl w:ilvl="1" w:tplc="D3A4CE8E">
      <w:start w:val="1"/>
      <w:numFmt w:val="bullet"/>
      <w:lvlText w:val="o"/>
      <w:lvlJc w:val="left"/>
      <w:pPr>
        <w:ind w:left="1440" w:hanging="360"/>
      </w:pPr>
      <w:rPr>
        <w:rFonts w:ascii="Courier New" w:hAnsi="Courier New" w:hint="default"/>
      </w:rPr>
    </w:lvl>
    <w:lvl w:ilvl="2" w:tplc="BC98AE70">
      <w:start w:val="1"/>
      <w:numFmt w:val="bullet"/>
      <w:lvlText w:val=""/>
      <w:lvlJc w:val="left"/>
      <w:pPr>
        <w:ind w:left="2160" w:hanging="360"/>
      </w:pPr>
      <w:rPr>
        <w:rFonts w:ascii="Wingdings" w:hAnsi="Wingdings" w:hint="default"/>
      </w:rPr>
    </w:lvl>
    <w:lvl w:ilvl="3" w:tplc="A1F48E84">
      <w:start w:val="1"/>
      <w:numFmt w:val="bullet"/>
      <w:lvlText w:val=""/>
      <w:lvlJc w:val="left"/>
      <w:pPr>
        <w:ind w:left="2880" w:hanging="360"/>
      </w:pPr>
      <w:rPr>
        <w:rFonts w:ascii="Symbol" w:hAnsi="Symbol" w:hint="default"/>
      </w:rPr>
    </w:lvl>
    <w:lvl w:ilvl="4" w:tplc="E84C48A0">
      <w:start w:val="1"/>
      <w:numFmt w:val="bullet"/>
      <w:lvlText w:val="o"/>
      <w:lvlJc w:val="left"/>
      <w:pPr>
        <w:ind w:left="3600" w:hanging="360"/>
      </w:pPr>
      <w:rPr>
        <w:rFonts w:ascii="Courier New" w:hAnsi="Courier New" w:hint="default"/>
      </w:rPr>
    </w:lvl>
    <w:lvl w:ilvl="5" w:tplc="AFB2C13C">
      <w:start w:val="1"/>
      <w:numFmt w:val="bullet"/>
      <w:lvlText w:val=""/>
      <w:lvlJc w:val="left"/>
      <w:pPr>
        <w:ind w:left="4320" w:hanging="360"/>
      </w:pPr>
      <w:rPr>
        <w:rFonts w:ascii="Wingdings" w:hAnsi="Wingdings" w:hint="default"/>
      </w:rPr>
    </w:lvl>
    <w:lvl w:ilvl="6" w:tplc="D1204DBE">
      <w:start w:val="1"/>
      <w:numFmt w:val="bullet"/>
      <w:lvlText w:val=""/>
      <w:lvlJc w:val="left"/>
      <w:pPr>
        <w:ind w:left="5040" w:hanging="360"/>
      </w:pPr>
      <w:rPr>
        <w:rFonts w:ascii="Symbol" w:hAnsi="Symbol" w:hint="default"/>
      </w:rPr>
    </w:lvl>
    <w:lvl w:ilvl="7" w:tplc="CBBC9E92">
      <w:start w:val="1"/>
      <w:numFmt w:val="bullet"/>
      <w:lvlText w:val="o"/>
      <w:lvlJc w:val="left"/>
      <w:pPr>
        <w:ind w:left="5760" w:hanging="360"/>
      </w:pPr>
      <w:rPr>
        <w:rFonts w:ascii="Courier New" w:hAnsi="Courier New" w:hint="default"/>
      </w:rPr>
    </w:lvl>
    <w:lvl w:ilvl="8" w:tplc="D9FC5512">
      <w:start w:val="1"/>
      <w:numFmt w:val="bullet"/>
      <w:lvlText w:val=""/>
      <w:lvlJc w:val="left"/>
      <w:pPr>
        <w:ind w:left="6480" w:hanging="360"/>
      </w:pPr>
      <w:rPr>
        <w:rFonts w:ascii="Wingdings" w:hAnsi="Wingdings" w:hint="default"/>
      </w:rPr>
    </w:lvl>
  </w:abstractNum>
  <w:abstractNum w:abstractNumId="7" w15:restartNumberingAfterBreak="0">
    <w:nsid w:val="682E6A27"/>
    <w:multiLevelType w:val="hybridMultilevel"/>
    <w:tmpl w:val="71100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F304C2D"/>
    <w:multiLevelType w:val="hybridMultilevel"/>
    <w:tmpl w:val="51D60D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780876163">
    <w:abstractNumId w:val="6"/>
  </w:num>
  <w:num w:numId="2" w16cid:durableId="944074649">
    <w:abstractNumId w:val="2"/>
  </w:num>
  <w:num w:numId="3" w16cid:durableId="960300976">
    <w:abstractNumId w:val="3"/>
  </w:num>
  <w:num w:numId="4" w16cid:durableId="441533868">
    <w:abstractNumId w:val="5"/>
  </w:num>
  <w:num w:numId="5" w16cid:durableId="2090035771">
    <w:abstractNumId w:val="8"/>
  </w:num>
  <w:num w:numId="6" w16cid:durableId="67045655">
    <w:abstractNumId w:val="4"/>
  </w:num>
  <w:num w:numId="7" w16cid:durableId="1146976439">
    <w:abstractNumId w:val="7"/>
  </w:num>
  <w:num w:numId="8" w16cid:durableId="1634602496">
    <w:abstractNumId w:val="1"/>
  </w:num>
  <w:num w:numId="9" w16cid:durableId="37169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B77EF2"/>
    <w:rsid w:val="00004F1C"/>
    <w:rsid w:val="00005883"/>
    <w:rsid w:val="00007743"/>
    <w:rsid w:val="00016229"/>
    <w:rsid w:val="0003202C"/>
    <w:rsid w:val="0003369E"/>
    <w:rsid w:val="00034C04"/>
    <w:rsid w:val="000414EB"/>
    <w:rsid w:val="00050871"/>
    <w:rsid w:val="0005261B"/>
    <w:rsid w:val="000548B4"/>
    <w:rsid w:val="0005538F"/>
    <w:rsid w:val="00061D72"/>
    <w:rsid w:val="00066165"/>
    <w:rsid w:val="0007478A"/>
    <w:rsid w:val="0007713E"/>
    <w:rsid w:val="00086B0D"/>
    <w:rsid w:val="00091934"/>
    <w:rsid w:val="000A78BE"/>
    <w:rsid w:val="000B18FF"/>
    <w:rsid w:val="000B1BC0"/>
    <w:rsid w:val="000B2284"/>
    <w:rsid w:val="000B3895"/>
    <w:rsid w:val="000B53B4"/>
    <w:rsid w:val="000B552E"/>
    <w:rsid w:val="000B78F4"/>
    <w:rsid w:val="000C4C80"/>
    <w:rsid w:val="000C63A4"/>
    <w:rsid w:val="000D0DDC"/>
    <w:rsid w:val="000D20D4"/>
    <w:rsid w:val="000D3CF8"/>
    <w:rsid w:val="000E32B8"/>
    <w:rsid w:val="000E7AAF"/>
    <w:rsid w:val="000F0891"/>
    <w:rsid w:val="00106B62"/>
    <w:rsid w:val="0012273C"/>
    <w:rsid w:val="001303EA"/>
    <w:rsid w:val="001409B2"/>
    <w:rsid w:val="001509A4"/>
    <w:rsid w:val="0015651E"/>
    <w:rsid w:val="00160F84"/>
    <w:rsid w:val="00162D05"/>
    <w:rsid w:val="00162F39"/>
    <w:rsid w:val="00181E95"/>
    <w:rsid w:val="001A6B55"/>
    <w:rsid w:val="001C0D21"/>
    <w:rsid w:val="001C6CCE"/>
    <w:rsid w:val="001D0025"/>
    <w:rsid w:val="001D2458"/>
    <w:rsid w:val="001D49FC"/>
    <w:rsid w:val="001E102D"/>
    <w:rsid w:val="001E4130"/>
    <w:rsid w:val="001E455B"/>
    <w:rsid w:val="001E5F7E"/>
    <w:rsid w:val="002045D6"/>
    <w:rsid w:val="002074F6"/>
    <w:rsid w:val="00213CE4"/>
    <w:rsid w:val="0021412E"/>
    <w:rsid w:val="002148F5"/>
    <w:rsid w:val="002235C7"/>
    <w:rsid w:val="00223E96"/>
    <w:rsid w:val="002270CB"/>
    <w:rsid w:val="00227E51"/>
    <w:rsid w:val="0023172D"/>
    <w:rsid w:val="00235033"/>
    <w:rsid w:val="0024106E"/>
    <w:rsid w:val="00246BB6"/>
    <w:rsid w:val="00250F72"/>
    <w:rsid w:val="00257AE2"/>
    <w:rsid w:val="00263E52"/>
    <w:rsid w:val="00280D80"/>
    <w:rsid w:val="00282155"/>
    <w:rsid w:val="002832C6"/>
    <w:rsid w:val="002A53D0"/>
    <w:rsid w:val="002B21C5"/>
    <w:rsid w:val="002B49F4"/>
    <w:rsid w:val="002B75AF"/>
    <w:rsid w:val="002D4612"/>
    <w:rsid w:val="00300BD8"/>
    <w:rsid w:val="00310030"/>
    <w:rsid w:val="003104C9"/>
    <w:rsid w:val="003111CD"/>
    <w:rsid w:val="00320BA9"/>
    <w:rsid w:val="00320F27"/>
    <w:rsid w:val="0032436A"/>
    <w:rsid w:val="003266F2"/>
    <w:rsid w:val="00327CF3"/>
    <w:rsid w:val="00331C9E"/>
    <w:rsid w:val="00334F70"/>
    <w:rsid w:val="003375A9"/>
    <w:rsid w:val="00346A4F"/>
    <w:rsid w:val="00357A2A"/>
    <w:rsid w:val="00360C8B"/>
    <w:rsid w:val="0036358D"/>
    <w:rsid w:val="00363DEC"/>
    <w:rsid w:val="0037107C"/>
    <w:rsid w:val="003742F6"/>
    <w:rsid w:val="00376BA7"/>
    <w:rsid w:val="00385140"/>
    <w:rsid w:val="00392F36"/>
    <w:rsid w:val="00394A50"/>
    <w:rsid w:val="00394AF5"/>
    <w:rsid w:val="003A1A69"/>
    <w:rsid w:val="003B0C14"/>
    <w:rsid w:val="003B4EFE"/>
    <w:rsid w:val="003B6DE2"/>
    <w:rsid w:val="003B74DF"/>
    <w:rsid w:val="003C2591"/>
    <w:rsid w:val="003C658D"/>
    <w:rsid w:val="003D45D8"/>
    <w:rsid w:val="003D623C"/>
    <w:rsid w:val="003E11A5"/>
    <w:rsid w:val="003E7170"/>
    <w:rsid w:val="003F17B0"/>
    <w:rsid w:val="003F7CE7"/>
    <w:rsid w:val="0040409A"/>
    <w:rsid w:val="004101CA"/>
    <w:rsid w:val="00412829"/>
    <w:rsid w:val="00412CD5"/>
    <w:rsid w:val="00415974"/>
    <w:rsid w:val="004204C0"/>
    <w:rsid w:val="00432202"/>
    <w:rsid w:val="00434F44"/>
    <w:rsid w:val="00454403"/>
    <w:rsid w:val="004602A3"/>
    <w:rsid w:val="0046226A"/>
    <w:rsid w:val="00463B85"/>
    <w:rsid w:val="00464CAA"/>
    <w:rsid w:val="00465B45"/>
    <w:rsid w:val="00466587"/>
    <w:rsid w:val="0047270D"/>
    <w:rsid w:val="00475110"/>
    <w:rsid w:val="00475584"/>
    <w:rsid w:val="004816C7"/>
    <w:rsid w:val="00482990"/>
    <w:rsid w:val="00492B4F"/>
    <w:rsid w:val="00493EF4"/>
    <w:rsid w:val="004A2285"/>
    <w:rsid w:val="004C4DC4"/>
    <w:rsid w:val="004C5B70"/>
    <w:rsid w:val="004C79D7"/>
    <w:rsid w:val="004D2853"/>
    <w:rsid w:val="004D7FAD"/>
    <w:rsid w:val="004E64BC"/>
    <w:rsid w:val="004F26BE"/>
    <w:rsid w:val="004F3D34"/>
    <w:rsid w:val="005054F5"/>
    <w:rsid w:val="00507C69"/>
    <w:rsid w:val="00514A02"/>
    <w:rsid w:val="00525A3B"/>
    <w:rsid w:val="005332EB"/>
    <w:rsid w:val="0056115D"/>
    <w:rsid w:val="00573BBA"/>
    <w:rsid w:val="00576225"/>
    <w:rsid w:val="00585538"/>
    <w:rsid w:val="005876B3"/>
    <w:rsid w:val="005A300F"/>
    <w:rsid w:val="005A5E08"/>
    <w:rsid w:val="005A62C4"/>
    <w:rsid w:val="005A7622"/>
    <w:rsid w:val="005B5376"/>
    <w:rsid w:val="005E1816"/>
    <w:rsid w:val="005E4232"/>
    <w:rsid w:val="005F2B6E"/>
    <w:rsid w:val="005F6903"/>
    <w:rsid w:val="005F76CF"/>
    <w:rsid w:val="006215F1"/>
    <w:rsid w:val="0062187D"/>
    <w:rsid w:val="00626B31"/>
    <w:rsid w:val="0063338F"/>
    <w:rsid w:val="0064343E"/>
    <w:rsid w:val="0064625F"/>
    <w:rsid w:val="00663114"/>
    <w:rsid w:val="006642FC"/>
    <w:rsid w:val="00665D17"/>
    <w:rsid w:val="00665F16"/>
    <w:rsid w:val="006677EB"/>
    <w:rsid w:val="00672D0F"/>
    <w:rsid w:val="0069235C"/>
    <w:rsid w:val="00694510"/>
    <w:rsid w:val="00694A88"/>
    <w:rsid w:val="0069654E"/>
    <w:rsid w:val="006A28A9"/>
    <w:rsid w:val="006A3B10"/>
    <w:rsid w:val="006B2669"/>
    <w:rsid w:val="006B5C15"/>
    <w:rsid w:val="006B6534"/>
    <w:rsid w:val="006B7F5D"/>
    <w:rsid w:val="006D2AA4"/>
    <w:rsid w:val="006D38DC"/>
    <w:rsid w:val="006E201C"/>
    <w:rsid w:val="006E6EB1"/>
    <w:rsid w:val="00706256"/>
    <w:rsid w:val="0071057D"/>
    <w:rsid w:val="00712CEA"/>
    <w:rsid w:val="007200F9"/>
    <w:rsid w:val="00724113"/>
    <w:rsid w:val="0072664B"/>
    <w:rsid w:val="00727515"/>
    <w:rsid w:val="00732F3F"/>
    <w:rsid w:val="0073443E"/>
    <w:rsid w:val="007370F2"/>
    <w:rsid w:val="00737FCA"/>
    <w:rsid w:val="00741D2B"/>
    <w:rsid w:val="00741F7D"/>
    <w:rsid w:val="00743773"/>
    <w:rsid w:val="00743A6B"/>
    <w:rsid w:val="00744389"/>
    <w:rsid w:val="00745DBA"/>
    <w:rsid w:val="00750849"/>
    <w:rsid w:val="0075149E"/>
    <w:rsid w:val="00765573"/>
    <w:rsid w:val="00771E48"/>
    <w:rsid w:val="00775370"/>
    <w:rsid w:val="00776012"/>
    <w:rsid w:val="00777B2C"/>
    <w:rsid w:val="00781C2F"/>
    <w:rsid w:val="007823B8"/>
    <w:rsid w:val="007838F4"/>
    <w:rsid w:val="00785142"/>
    <w:rsid w:val="00791AB9"/>
    <w:rsid w:val="007A0E98"/>
    <w:rsid w:val="007A595E"/>
    <w:rsid w:val="007B1632"/>
    <w:rsid w:val="007B29C1"/>
    <w:rsid w:val="007C24E1"/>
    <w:rsid w:val="007C3C40"/>
    <w:rsid w:val="007C41F4"/>
    <w:rsid w:val="007C61DF"/>
    <w:rsid w:val="007E022E"/>
    <w:rsid w:val="007E2325"/>
    <w:rsid w:val="007E754E"/>
    <w:rsid w:val="007E7B96"/>
    <w:rsid w:val="007F497C"/>
    <w:rsid w:val="007F5780"/>
    <w:rsid w:val="007F77AC"/>
    <w:rsid w:val="008053E7"/>
    <w:rsid w:val="00813B4E"/>
    <w:rsid w:val="00814DC1"/>
    <w:rsid w:val="008158C4"/>
    <w:rsid w:val="00816506"/>
    <w:rsid w:val="00816BF4"/>
    <w:rsid w:val="00817197"/>
    <w:rsid w:val="00826762"/>
    <w:rsid w:val="00833804"/>
    <w:rsid w:val="008559EB"/>
    <w:rsid w:val="00863384"/>
    <w:rsid w:val="00867FD6"/>
    <w:rsid w:val="00872100"/>
    <w:rsid w:val="008764B4"/>
    <w:rsid w:val="0088311B"/>
    <w:rsid w:val="00883C58"/>
    <w:rsid w:val="00887F45"/>
    <w:rsid w:val="00890FB2"/>
    <w:rsid w:val="00896FA4"/>
    <w:rsid w:val="008A2048"/>
    <w:rsid w:val="008A36CD"/>
    <w:rsid w:val="008A6E04"/>
    <w:rsid w:val="008A7C92"/>
    <w:rsid w:val="008B1D69"/>
    <w:rsid w:val="008B5650"/>
    <w:rsid w:val="008C051F"/>
    <w:rsid w:val="008C17F4"/>
    <w:rsid w:val="008C5FA8"/>
    <w:rsid w:val="008D1226"/>
    <w:rsid w:val="008D2C71"/>
    <w:rsid w:val="008E7137"/>
    <w:rsid w:val="00900B32"/>
    <w:rsid w:val="00903C41"/>
    <w:rsid w:val="00907DF1"/>
    <w:rsid w:val="0091004A"/>
    <w:rsid w:val="0091076C"/>
    <w:rsid w:val="0091441B"/>
    <w:rsid w:val="009251E0"/>
    <w:rsid w:val="00925459"/>
    <w:rsid w:val="00925635"/>
    <w:rsid w:val="00931972"/>
    <w:rsid w:val="00940DE9"/>
    <w:rsid w:val="00946534"/>
    <w:rsid w:val="00950041"/>
    <w:rsid w:val="0095208C"/>
    <w:rsid w:val="009705C4"/>
    <w:rsid w:val="00972CED"/>
    <w:rsid w:val="009824C2"/>
    <w:rsid w:val="00983EC9"/>
    <w:rsid w:val="009846DB"/>
    <w:rsid w:val="00985100"/>
    <w:rsid w:val="0098516C"/>
    <w:rsid w:val="00994818"/>
    <w:rsid w:val="00997430"/>
    <w:rsid w:val="00997730"/>
    <w:rsid w:val="009A6A79"/>
    <w:rsid w:val="009B0444"/>
    <w:rsid w:val="009B0C66"/>
    <w:rsid w:val="009B5FBF"/>
    <w:rsid w:val="009D29B1"/>
    <w:rsid w:val="009D76DD"/>
    <w:rsid w:val="009E1648"/>
    <w:rsid w:val="009E4387"/>
    <w:rsid w:val="009E4BA4"/>
    <w:rsid w:val="009F2F7B"/>
    <w:rsid w:val="00A017A2"/>
    <w:rsid w:val="00A02517"/>
    <w:rsid w:val="00A027E7"/>
    <w:rsid w:val="00A16A80"/>
    <w:rsid w:val="00A25C28"/>
    <w:rsid w:val="00A26928"/>
    <w:rsid w:val="00A42129"/>
    <w:rsid w:val="00A42E92"/>
    <w:rsid w:val="00A44CD7"/>
    <w:rsid w:val="00A46E33"/>
    <w:rsid w:val="00A519E1"/>
    <w:rsid w:val="00A51D9C"/>
    <w:rsid w:val="00A72E6A"/>
    <w:rsid w:val="00A732CF"/>
    <w:rsid w:val="00A749B4"/>
    <w:rsid w:val="00A94458"/>
    <w:rsid w:val="00A96275"/>
    <w:rsid w:val="00AB58C5"/>
    <w:rsid w:val="00AB5965"/>
    <w:rsid w:val="00AC17B0"/>
    <w:rsid w:val="00AC278C"/>
    <w:rsid w:val="00AC5922"/>
    <w:rsid w:val="00AD65D2"/>
    <w:rsid w:val="00AE1297"/>
    <w:rsid w:val="00AE1AD5"/>
    <w:rsid w:val="00AF2D4D"/>
    <w:rsid w:val="00AF3665"/>
    <w:rsid w:val="00AF4710"/>
    <w:rsid w:val="00B01655"/>
    <w:rsid w:val="00B019B9"/>
    <w:rsid w:val="00B01E2B"/>
    <w:rsid w:val="00B03B86"/>
    <w:rsid w:val="00B071D0"/>
    <w:rsid w:val="00B0759E"/>
    <w:rsid w:val="00B21094"/>
    <w:rsid w:val="00B22226"/>
    <w:rsid w:val="00B409DA"/>
    <w:rsid w:val="00B415E6"/>
    <w:rsid w:val="00B47F13"/>
    <w:rsid w:val="00B62844"/>
    <w:rsid w:val="00B64368"/>
    <w:rsid w:val="00B67D58"/>
    <w:rsid w:val="00B72A57"/>
    <w:rsid w:val="00B76138"/>
    <w:rsid w:val="00B822D1"/>
    <w:rsid w:val="00B9597A"/>
    <w:rsid w:val="00B9674B"/>
    <w:rsid w:val="00BA05D9"/>
    <w:rsid w:val="00BA0769"/>
    <w:rsid w:val="00BA26F2"/>
    <w:rsid w:val="00BA706D"/>
    <w:rsid w:val="00BC2D9C"/>
    <w:rsid w:val="00BC570C"/>
    <w:rsid w:val="00BC5C57"/>
    <w:rsid w:val="00BD163C"/>
    <w:rsid w:val="00BD41B3"/>
    <w:rsid w:val="00BE27C8"/>
    <w:rsid w:val="00BF4B4D"/>
    <w:rsid w:val="00BF51CA"/>
    <w:rsid w:val="00C00521"/>
    <w:rsid w:val="00C00987"/>
    <w:rsid w:val="00C0637C"/>
    <w:rsid w:val="00C11942"/>
    <w:rsid w:val="00C12FFF"/>
    <w:rsid w:val="00C163A0"/>
    <w:rsid w:val="00C204A2"/>
    <w:rsid w:val="00C2461C"/>
    <w:rsid w:val="00C37D29"/>
    <w:rsid w:val="00C52913"/>
    <w:rsid w:val="00C54FF4"/>
    <w:rsid w:val="00C64EB2"/>
    <w:rsid w:val="00C65743"/>
    <w:rsid w:val="00C714EE"/>
    <w:rsid w:val="00C7513B"/>
    <w:rsid w:val="00C76CF2"/>
    <w:rsid w:val="00C92197"/>
    <w:rsid w:val="00C946E6"/>
    <w:rsid w:val="00C94847"/>
    <w:rsid w:val="00C949B2"/>
    <w:rsid w:val="00CA016F"/>
    <w:rsid w:val="00CA2358"/>
    <w:rsid w:val="00CA3505"/>
    <w:rsid w:val="00CA3BF7"/>
    <w:rsid w:val="00CA60F6"/>
    <w:rsid w:val="00CA6A2F"/>
    <w:rsid w:val="00CA7382"/>
    <w:rsid w:val="00CB25C6"/>
    <w:rsid w:val="00CC5A83"/>
    <w:rsid w:val="00CC76AB"/>
    <w:rsid w:val="00CD1BC4"/>
    <w:rsid w:val="00CD29D9"/>
    <w:rsid w:val="00CD6372"/>
    <w:rsid w:val="00CE04B0"/>
    <w:rsid w:val="00CE4F95"/>
    <w:rsid w:val="00D00CC8"/>
    <w:rsid w:val="00D11EDD"/>
    <w:rsid w:val="00D2655F"/>
    <w:rsid w:val="00D27DCF"/>
    <w:rsid w:val="00D3693E"/>
    <w:rsid w:val="00D36EAA"/>
    <w:rsid w:val="00D41107"/>
    <w:rsid w:val="00D4129A"/>
    <w:rsid w:val="00D41EF6"/>
    <w:rsid w:val="00D51F6B"/>
    <w:rsid w:val="00D521C3"/>
    <w:rsid w:val="00D55D50"/>
    <w:rsid w:val="00D62A93"/>
    <w:rsid w:val="00D6514D"/>
    <w:rsid w:val="00D6798E"/>
    <w:rsid w:val="00D73074"/>
    <w:rsid w:val="00D74013"/>
    <w:rsid w:val="00D74612"/>
    <w:rsid w:val="00D751CC"/>
    <w:rsid w:val="00D770EF"/>
    <w:rsid w:val="00D8035F"/>
    <w:rsid w:val="00D86FBE"/>
    <w:rsid w:val="00D967D3"/>
    <w:rsid w:val="00DB1CDD"/>
    <w:rsid w:val="00DD118F"/>
    <w:rsid w:val="00DE3731"/>
    <w:rsid w:val="00DE6440"/>
    <w:rsid w:val="00DF1692"/>
    <w:rsid w:val="00DF1C6E"/>
    <w:rsid w:val="00E01098"/>
    <w:rsid w:val="00E13C4C"/>
    <w:rsid w:val="00E14EE3"/>
    <w:rsid w:val="00E27C63"/>
    <w:rsid w:val="00E3676F"/>
    <w:rsid w:val="00E367A9"/>
    <w:rsid w:val="00E44DA9"/>
    <w:rsid w:val="00E44F37"/>
    <w:rsid w:val="00E53412"/>
    <w:rsid w:val="00E7545A"/>
    <w:rsid w:val="00E754E4"/>
    <w:rsid w:val="00E75C83"/>
    <w:rsid w:val="00E877B2"/>
    <w:rsid w:val="00E87EFB"/>
    <w:rsid w:val="00E915C8"/>
    <w:rsid w:val="00E93724"/>
    <w:rsid w:val="00EA3241"/>
    <w:rsid w:val="00EA6CC8"/>
    <w:rsid w:val="00EB0B0D"/>
    <w:rsid w:val="00EB0F73"/>
    <w:rsid w:val="00EB3422"/>
    <w:rsid w:val="00EB5FF3"/>
    <w:rsid w:val="00EC0717"/>
    <w:rsid w:val="00EC6979"/>
    <w:rsid w:val="00ED39FD"/>
    <w:rsid w:val="00ED4B24"/>
    <w:rsid w:val="00ED6036"/>
    <w:rsid w:val="00EE3AAC"/>
    <w:rsid w:val="00EF08E8"/>
    <w:rsid w:val="00EF63E4"/>
    <w:rsid w:val="00F043B1"/>
    <w:rsid w:val="00F0505E"/>
    <w:rsid w:val="00F07CDC"/>
    <w:rsid w:val="00F1181C"/>
    <w:rsid w:val="00F13656"/>
    <w:rsid w:val="00F302B1"/>
    <w:rsid w:val="00F31617"/>
    <w:rsid w:val="00F35B86"/>
    <w:rsid w:val="00F42CA6"/>
    <w:rsid w:val="00F43F3F"/>
    <w:rsid w:val="00F447FD"/>
    <w:rsid w:val="00F64178"/>
    <w:rsid w:val="00F74997"/>
    <w:rsid w:val="00F7719D"/>
    <w:rsid w:val="00F7752D"/>
    <w:rsid w:val="00F8591F"/>
    <w:rsid w:val="00F92847"/>
    <w:rsid w:val="00F95255"/>
    <w:rsid w:val="00FA72F2"/>
    <w:rsid w:val="00FC2B45"/>
    <w:rsid w:val="00FC449E"/>
    <w:rsid w:val="00FD5ACF"/>
    <w:rsid w:val="00FE0FAF"/>
    <w:rsid w:val="00FE146C"/>
    <w:rsid w:val="00FE4698"/>
    <w:rsid w:val="00FE73AA"/>
    <w:rsid w:val="00FF4D03"/>
    <w:rsid w:val="00FF6314"/>
    <w:rsid w:val="00FF7BF9"/>
    <w:rsid w:val="039AE7A2"/>
    <w:rsid w:val="03A09B8A"/>
    <w:rsid w:val="048BD21E"/>
    <w:rsid w:val="04C37741"/>
    <w:rsid w:val="05E560C4"/>
    <w:rsid w:val="06A7D144"/>
    <w:rsid w:val="071D5B2C"/>
    <w:rsid w:val="07D61F98"/>
    <w:rsid w:val="07E7D6E6"/>
    <w:rsid w:val="08B181A2"/>
    <w:rsid w:val="0A271C65"/>
    <w:rsid w:val="0ADD3FFE"/>
    <w:rsid w:val="0B84F36A"/>
    <w:rsid w:val="0BB5D161"/>
    <w:rsid w:val="0DA59425"/>
    <w:rsid w:val="0DF3E7C9"/>
    <w:rsid w:val="0E5A2917"/>
    <w:rsid w:val="119850DE"/>
    <w:rsid w:val="1221A660"/>
    <w:rsid w:val="1284FAA9"/>
    <w:rsid w:val="12F491D2"/>
    <w:rsid w:val="150EC3A7"/>
    <w:rsid w:val="18E77C7B"/>
    <w:rsid w:val="1953E2F5"/>
    <w:rsid w:val="1BB66198"/>
    <w:rsid w:val="1ECF7DE2"/>
    <w:rsid w:val="1ED53B28"/>
    <w:rsid w:val="1F31B893"/>
    <w:rsid w:val="22A37F3E"/>
    <w:rsid w:val="25EF5FA0"/>
    <w:rsid w:val="2852CD7F"/>
    <w:rsid w:val="28BD2327"/>
    <w:rsid w:val="28D22B6F"/>
    <w:rsid w:val="29E3EB4E"/>
    <w:rsid w:val="2A6D5034"/>
    <w:rsid w:val="2AA16E02"/>
    <w:rsid w:val="2B81F67C"/>
    <w:rsid w:val="2BB90D78"/>
    <w:rsid w:val="2D4ABF4C"/>
    <w:rsid w:val="2D9A05EC"/>
    <w:rsid w:val="2E6ED44E"/>
    <w:rsid w:val="2ECADA97"/>
    <w:rsid w:val="2FB50BA2"/>
    <w:rsid w:val="3028E0DC"/>
    <w:rsid w:val="302C22A1"/>
    <w:rsid w:val="3230A2ED"/>
    <w:rsid w:val="324460A7"/>
    <w:rsid w:val="32D4D91B"/>
    <w:rsid w:val="33F4B335"/>
    <w:rsid w:val="358006D1"/>
    <w:rsid w:val="35EFBB65"/>
    <w:rsid w:val="38E65F71"/>
    <w:rsid w:val="39E74B14"/>
    <w:rsid w:val="3B9B7A96"/>
    <w:rsid w:val="3BA67456"/>
    <w:rsid w:val="3BEA5619"/>
    <w:rsid w:val="3FC3913D"/>
    <w:rsid w:val="41EE9B24"/>
    <w:rsid w:val="42185F30"/>
    <w:rsid w:val="45D26F32"/>
    <w:rsid w:val="4607E19F"/>
    <w:rsid w:val="46E906F8"/>
    <w:rsid w:val="4762F948"/>
    <w:rsid w:val="48832BD2"/>
    <w:rsid w:val="494CC51D"/>
    <w:rsid w:val="4A457CE6"/>
    <w:rsid w:val="4A8DFF00"/>
    <w:rsid w:val="4B6ACF37"/>
    <w:rsid w:val="4FC20855"/>
    <w:rsid w:val="4FDEB940"/>
    <w:rsid w:val="517C147C"/>
    <w:rsid w:val="528226EA"/>
    <w:rsid w:val="52CEDAC9"/>
    <w:rsid w:val="53B77EF2"/>
    <w:rsid w:val="54B9449F"/>
    <w:rsid w:val="54DC1326"/>
    <w:rsid w:val="54EF8146"/>
    <w:rsid w:val="56000132"/>
    <w:rsid w:val="56B74781"/>
    <w:rsid w:val="583275C9"/>
    <w:rsid w:val="598B43C7"/>
    <w:rsid w:val="5BE024EE"/>
    <w:rsid w:val="5E3DADF2"/>
    <w:rsid w:val="60407AA2"/>
    <w:rsid w:val="60FF7674"/>
    <w:rsid w:val="631CAA98"/>
    <w:rsid w:val="652B5BDD"/>
    <w:rsid w:val="65344D34"/>
    <w:rsid w:val="667B1FF8"/>
    <w:rsid w:val="682CF1B7"/>
    <w:rsid w:val="689F11A4"/>
    <w:rsid w:val="68ED7FAE"/>
    <w:rsid w:val="69E4E6F3"/>
    <w:rsid w:val="6A3EB64B"/>
    <w:rsid w:val="6B9E408D"/>
    <w:rsid w:val="6BED6A27"/>
    <w:rsid w:val="6BFEF52A"/>
    <w:rsid w:val="6C28FC0B"/>
    <w:rsid w:val="6FA21D4A"/>
    <w:rsid w:val="6FD6D497"/>
    <w:rsid w:val="73BB26D8"/>
    <w:rsid w:val="74C99C86"/>
    <w:rsid w:val="7639EB69"/>
    <w:rsid w:val="767846EA"/>
    <w:rsid w:val="770F3329"/>
    <w:rsid w:val="78F8CA63"/>
    <w:rsid w:val="7A72B1C1"/>
    <w:rsid w:val="7B00211D"/>
    <w:rsid w:val="7BD08129"/>
    <w:rsid w:val="7C515B7E"/>
    <w:rsid w:val="7DB9CB87"/>
    <w:rsid w:val="7E0D4BF2"/>
    <w:rsid w:val="7EA851CA"/>
    <w:rsid w:val="7EB957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77EF2"/>
  <w15:chartTrackingRefBased/>
  <w15:docId w15:val="{B386C061-4BAF-473E-B308-F3EE6B28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A3B"/>
    <w:rPr>
      <w:sz w:val="22"/>
    </w:rPr>
  </w:style>
  <w:style w:type="paragraph" w:styleId="Heading1">
    <w:name w:val="heading 1"/>
    <w:basedOn w:val="Normal"/>
    <w:next w:val="Normal"/>
    <w:link w:val="Heading1Char"/>
    <w:uiPriority w:val="9"/>
    <w:qFormat/>
    <w:rsid w:val="00D11EDD"/>
    <w:pPr>
      <w:outlineLvl w:val="0"/>
    </w:pPr>
    <w:rPr>
      <w:rFonts w:ascii="Aptos" w:hAnsi="Aptos"/>
      <w:b/>
      <w:bCs/>
      <w:color w:val="228375"/>
      <w:szCs w:val="22"/>
      <w:shd w:val="clear" w:color="auto" w:fill="FFFFFF"/>
    </w:rPr>
  </w:style>
  <w:style w:type="paragraph" w:styleId="Heading2">
    <w:name w:val="heading 2"/>
    <w:basedOn w:val="Heading1"/>
    <w:next w:val="Normal"/>
    <w:link w:val="Heading2Char"/>
    <w:uiPriority w:val="9"/>
    <w:unhideWhenUsed/>
    <w:qFormat/>
    <w:rsid w:val="004C5B70"/>
    <w:pPr>
      <w:outlineLvl w:val="1"/>
    </w:pPr>
  </w:style>
  <w:style w:type="paragraph" w:styleId="Heading3">
    <w:name w:val="heading 3"/>
    <w:basedOn w:val="Normal"/>
    <w:next w:val="Normal"/>
    <w:link w:val="Heading3Char"/>
    <w:uiPriority w:val="9"/>
    <w:unhideWhenUsed/>
    <w:qFormat/>
    <w:rsid w:val="00872100"/>
    <w:pPr>
      <w:outlineLvl w:val="2"/>
    </w:pPr>
    <w:rPr>
      <w:rFonts w:ascii="Aptos" w:hAnsi="Aptos"/>
      <w:iCs/>
      <w:szCs w:val="22"/>
      <w:u w:val="single"/>
      <w:shd w:val="clear" w:color="auto" w:fill="FFFFFF"/>
      <w:lang w:val="en-AU"/>
    </w:rPr>
  </w:style>
  <w:style w:type="paragraph" w:styleId="Heading4">
    <w:name w:val="heading 4"/>
    <w:basedOn w:val="Heading5"/>
    <w:next w:val="Normal"/>
    <w:link w:val="Heading4Char"/>
    <w:uiPriority w:val="9"/>
    <w:unhideWhenUsed/>
    <w:qFormat/>
    <w:rsid w:val="00D11EDD"/>
    <w:pPr>
      <w:outlineLvl w:val="3"/>
    </w:pPr>
    <w:rPr>
      <w:rFonts w:ascii="Aptos" w:hAnsi="Aptos"/>
      <w:color w:val="auto"/>
      <w:szCs w:val="22"/>
      <w:u w:val="single"/>
      <w:shd w:val="clear" w:color="auto" w:fill="FFFFFF"/>
      <w:lang w:val="en-AU"/>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EDD"/>
    <w:rPr>
      <w:rFonts w:ascii="Aptos" w:hAnsi="Aptos"/>
      <w:b/>
      <w:bCs/>
      <w:color w:val="228375"/>
      <w:sz w:val="22"/>
      <w:szCs w:val="22"/>
    </w:rPr>
  </w:style>
  <w:style w:type="character" w:customStyle="1" w:styleId="Heading2Char">
    <w:name w:val="Heading 2 Char"/>
    <w:basedOn w:val="DefaultParagraphFont"/>
    <w:link w:val="Heading2"/>
    <w:uiPriority w:val="9"/>
    <w:rsid w:val="004C5B70"/>
    <w:rPr>
      <w:rFonts w:ascii="Aptos" w:hAnsi="Aptos"/>
      <w:b/>
      <w:bCs/>
      <w:color w:val="228375"/>
      <w:sz w:val="22"/>
      <w:szCs w:val="22"/>
    </w:rPr>
  </w:style>
  <w:style w:type="character" w:customStyle="1" w:styleId="Heading3Char">
    <w:name w:val="Heading 3 Char"/>
    <w:basedOn w:val="DefaultParagraphFont"/>
    <w:link w:val="Heading3"/>
    <w:uiPriority w:val="9"/>
    <w:rsid w:val="00872100"/>
    <w:rPr>
      <w:rFonts w:ascii="Aptos" w:hAnsi="Aptos"/>
      <w:iCs/>
      <w:sz w:val="22"/>
      <w:szCs w:val="22"/>
      <w:u w:val="single"/>
      <w:lang w:val="en-AU"/>
    </w:rPr>
  </w:style>
  <w:style w:type="character" w:customStyle="1" w:styleId="Heading4Char">
    <w:name w:val="Heading 4 Char"/>
    <w:basedOn w:val="DefaultParagraphFont"/>
    <w:link w:val="Heading4"/>
    <w:uiPriority w:val="9"/>
    <w:rsid w:val="00D11EDD"/>
    <w:rPr>
      <w:rFonts w:ascii="Aptos" w:eastAsiaTheme="majorEastAsia" w:hAnsi="Aptos" w:cstheme="majorBidi"/>
      <w:sz w:val="22"/>
      <w:szCs w:val="22"/>
      <w:u w:val="single"/>
      <w:lang w:val="en-AU"/>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D11EDD"/>
    <w:rPr>
      <w:rFonts w:ascii="Aptos" w:hAnsi="Aptos"/>
      <w:b/>
      <w:bCs/>
      <w:color w:val="228375"/>
      <w:sz w:val="22"/>
      <w:szCs w:val="22"/>
    </w:rPr>
  </w:style>
  <w:style w:type="paragraph" w:styleId="Title">
    <w:name w:val="Title"/>
    <w:basedOn w:val="Normal"/>
    <w:next w:val="Normal"/>
    <w:link w:val="TitleChar"/>
    <w:uiPriority w:val="10"/>
    <w:qFormat/>
    <w:rsid w:val="00D11EDD"/>
    <w:pPr>
      <w:spacing w:before="240"/>
    </w:pPr>
    <w:rPr>
      <w:rFonts w:ascii="Aptos" w:hAnsi="Aptos"/>
      <w:b/>
      <w:bCs/>
      <w:color w:val="228375"/>
      <w:szCs w:val="22"/>
      <w:shd w:val="clear" w:color="auto" w:fill="FFFFFF"/>
    </w:rPr>
  </w:style>
  <w:style w:type="character" w:customStyle="1" w:styleId="SubtitleChar">
    <w:name w:val="Subtitle Char"/>
    <w:basedOn w:val="DefaultParagraphFont"/>
    <w:link w:val="Subtitle"/>
    <w:uiPriority w:val="11"/>
    <w:rsid w:val="00D4129A"/>
    <w:rPr>
      <w:color w:val="228375"/>
      <w:sz w:val="22"/>
    </w:rPr>
  </w:style>
  <w:style w:type="paragraph" w:styleId="Subtitle">
    <w:name w:val="Subtitle"/>
    <w:basedOn w:val="Normal"/>
    <w:next w:val="Normal"/>
    <w:link w:val="SubtitleChar"/>
    <w:uiPriority w:val="11"/>
    <w:qFormat/>
    <w:rsid w:val="00D4129A"/>
    <w:rPr>
      <w:color w:val="228375"/>
    </w:rPr>
  </w:style>
  <w:style w:type="character" w:styleId="IntenseEmphasis">
    <w:name w:val="Intense Emphasis"/>
    <w:basedOn w:val="DefaultParagraphFont"/>
    <w:uiPriority w:val="21"/>
    <w:qFormat/>
    <w:rsid w:val="00D751CC"/>
    <w:rPr>
      <w:b/>
      <w:i/>
      <w:iCs/>
      <w:color w:val="auto"/>
    </w:rPr>
  </w:style>
  <w:style w:type="character" w:customStyle="1" w:styleId="QuoteChar">
    <w:name w:val="Quote Char"/>
    <w:basedOn w:val="DefaultParagraphFont"/>
    <w:link w:val="Quote"/>
    <w:uiPriority w:val="29"/>
    <w:rsid w:val="00D751CC"/>
    <w:rPr>
      <w:rFonts w:ascii="Aptos" w:hAnsi="Aptos"/>
      <w:i/>
      <w:iCs/>
      <w:sz w:val="20"/>
      <w:szCs w:val="20"/>
    </w:rPr>
  </w:style>
  <w:style w:type="paragraph" w:styleId="Quote">
    <w:name w:val="Quote"/>
    <w:basedOn w:val="Normal"/>
    <w:next w:val="Normal"/>
    <w:link w:val="QuoteChar"/>
    <w:uiPriority w:val="29"/>
    <w:qFormat/>
    <w:rsid w:val="00D751CC"/>
    <w:pPr>
      <w:spacing w:line="259" w:lineRule="auto"/>
      <w:ind w:left="426" w:right="1112"/>
      <w:jc w:val="both"/>
    </w:pPr>
    <w:rPr>
      <w:rFonts w:ascii="Aptos" w:hAnsi="Aptos"/>
      <w:i/>
      <w:iCs/>
      <w:sz w:val="20"/>
      <w:szCs w:val="20"/>
      <w:shd w:val="clear" w:color="auto" w:fill="FFFFF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5E560C4"/>
    <w:pPr>
      <w:ind w:left="720"/>
      <w:contextualSpacing/>
    </w:pPr>
  </w:style>
  <w:style w:type="paragraph" w:styleId="Header">
    <w:name w:val="header"/>
    <w:basedOn w:val="Normal"/>
    <w:link w:val="HeaderChar"/>
    <w:uiPriority w:val="99"/>
    <w:unhideWhenUsed/>
    <w:rsid w:val="00910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76C"/>
  </w:style>
  <w:style w:type="paragraph" w:styleId="Footer">
    <w:name w:val="footer"/>
    <w:basedOn w:val="Normal"/>
    <w:link w:val="FooterChar"/>
    <w:uiPriority w:val="99"/>
    <w:unhideWhenUsed/>
    <w:rsid w:val="00910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76C"/>
  </w:style>
  <w:style w:type="paragraph" w:styleId="ListBullet">
    <w:name w:val="List Bullet"/>
    <w:basedOn w:val="Normal"/>
    <w:uiPriority w:val="99"/>
    <w:unhideWhenUsed/>
    <w:rsid w:val="00D751CC"/>
    <w:pPr>
      <w:numPr>
        <w:numId w:val="8"/>
      </w:numPr>
      <w:contextualSpacing/>
    </w:pPr>
  </w:style>
  <w:style w:type="character" w:customStyle="1" w:styleId="normaltextrun">
    <w:name w:val="normaltextrun"/>
    <w:basedOn w:val="DefaultParagraphFont"/>
    <w:rsid w:val="00F0505E"/>
  </w:style>
  <w:style w:type="character" w:styleId="Hyperlink">
    <w:name w:val="Hyperlink"/>
    <w:basedOn w:val="DefaultParagraphFont"/>
    <w:uiPriority w:val="99"/>
    <w:unhideWhenUsed/>
    <w:rsid w:val="005E4232"/>
    <w:rPr>
      <w:color w:val="467886" w:themeColor="hyperlink"/>
      <w:u w:val="single"/>
    </w:rPr>
  </w:style>
  <w:style w:type="character" w:styleId="UnresolvedMention">
    <w:name w:val="Unresolved Mention"/>
    <w:basedOn w:val="DefaultParagraphFont"/>
    <w:uiPriority w:val="99"/>
    <w:semiHidden/>
    <w:unhideWhenUsed/>
    <w:rsid w:val="005E4232"/>
    <w:rPr>
      <w:color w:val="605E5C"/>
      <w:shd w:val="clear" w:color="auto" w:fill="E1DFDD"/>
    </w:rPr>
  </w:style>
  <w:style w:type="paragraph" w:styleId="Revision">
    <w:name w:val="Revision"/>
    <w:hidden/>
    <w:uiPriority w:val="99"/>
    <w:semiHidden/>
    <w:rsid w:val="008B1D69"/>
    <w:pPr>
      <w:spacing w:after="0" w:line="240" w:lineRule="auto"/>
    </w:pPr>
  </w:style>
  <w:style w:type="character" w:styleId="CommentReference">
    <w:name w:val="annotation reference"/>
    <w:basedOn w:val="DefaultParagraphFont"/>
    <w:uiPriority w:val="99"/>
    <w:semiHidden/>
    <w:unhideWhenUsed/>
    <w:rsid w:val="001E5F7E"/>
    <w:rPr>
      <w:sz w:val="16"/>
      <w:szCs w:val="16"/>
    </w:rPr>
  </w:style>
  <w:style w:type="paragraph" w:styleId="CommentText">
    <w:name w:val="annotation text"/>
    <w:basedOn w:val="Normal"/>
    <w:link w:val="CommentTextChar"/>
    <w:uiPriority w:val="99"/>
    <w:unhideWhenUsed/>
    <w:rsid w:val="001E5F7E"/>
    <w:pPr>
      <w:spacing w:line="240" w:lineRule="auto"/>
    </w:pPr>
    <w:rPr>
      <w:sz w:val="20"/>
      <w:szCs w:val="20"/>
    </w:rPr>
  </w:style>
  <w:style w:type="character" w:customStyle="1" w:styleId="CommentTextChar">
    <w:name w:val="Comment Text Char"/>
    <w:basedOn w:val="DefaultParagraphFont"/>
    <w:link w:val="CommentText"/>
    <w:uiPriority w:val="99"/>
    <w:rsid w:val="001E5F7E"/>
    <w:rPr>
      <w:sz w:val="20"/>
      <w:szCs w:val="20"/>
    </w:rPr>
  </w:style>
  <w:style w:type="paragraph" w:styleId="CommentSubject">
    <w:name w:val="annotation subject"/>
    <w:basedOn w:val="CommentText"/>
    <w:next w:val="CommentText"/>
    <w:link w:val="CommentSubjectChar"/>
    <w:uiPriority w:val="99"/>
    <w:semiHidden/>
    <w:unhideWhenUsed/>
    <w:rsid w:val="001E5F7E"/>
    <w:rPr>
      <w:b/>
      <w:bCs/>
    </w:rPr>
  </w:style>
  <w:style w:type="character" w:customStyle="1" w:styleId="CommentSubjectChar">
    <w:name w:val="Comment Subject Char"/>
    <w:basedOn w:val="CommentTextChar"/>
    <w:link w:val="CommentSubject"/>
    <w:uiPriority w:val="99"/>
    <w:semiHidden/>
    <w:rsid w:val="001E5F7E"/>
    <w:rPr>
      <w:b/>
      <w:bCs/>
      <w:sz w:val="20"/>
      <w:szCs w:val="20"/>
    </w:rPr>
  </w:style>
  <w:style w:type="paragraph" w:styleId="ListNumber">
    <w:name w:val="List Number"/>
    <w:basedOn w:val="ListParagraph"/>
    <w:uiPriority w:val="99"/>
    <w:unhideWhenUsed/>
    <w:rsid w:val="00D751CC"/>
    <w:pPr>
      <w:numPr>
        <w:numId w:val="6"/>
      </w:numPr>
      <w:spacing w:line="259" w:lineRule="auto"/>
    </w:pPr>
    <w:rPr>
      <w:rFonts w:ascii="Aptos" w:hAnsi="Aptos"/>
      <w:szCs w:val="22"/>
      <w:shd w:val="clear" w:color="auto" w:fill="FFFFFF"/>
      <w:lang w:val="en-AU"/>
    </w:rPr>
  </w:style>
  <w:style w:type="character" w:styleId="Emphasis">
    <w:name w:val="Emphasis"/>
    <w:basedOn w:val="DefaultParagraphFont"/>
    <w:uiPriority w:val="20"/>
    <w:qFormat/>
    <w:rsid w:val="0056115D"/>
    <w:rPr>
      <w:i/>
      <w:iCs/>
    </w:rPr>
  </w:style>
  <w:style w:type="character" w:styleId="SubtleEmphasis">
    <w:name w:val="Subtle Emphasis"/>
    <w:basedOn w:val="DefaultParagraphFont"/>
    <w:uiPriority w:val="19"/>
    <w:qFormat/>
    <w:rsid w:val="00D4129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2263">
      <w:bodyDiv w:val="1"/>
      <w:marLeft w:val="0"/>
      <w:marRight w:val="0"/>
      <w:marTop w:val="0"/>
      <w:marBottom w:val="0"/>
      <w:divBdr>
        <w:top w:val="none" w:sz="0" w:space="0" w:color="auto"/>
        <w:left w:val="none" w:sz="0" w:space="0" w:color="auto"/>
        <w:bottom w:val="none" w:sz="0" w:space="0" w:color="auto"/>
        <w:right w:val="none" w:sz="0" w:space="0" w:color="auto"/>
      </w:divBdr>
    </w:div>
    <w:div w:id="41158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ss.gov.au/system/files/resources/national-plan-end-violence-against-women-and-children-2022-2032.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d0388fc-401a-4a6d-827c-bb000724cdfd" xsi:nil="true"/>
    <lcf76f155ced4ddcb4097134ff3c332f xmlns="2689ba16-9140-4dc8-92bb-1854388572e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FF93283CD29F479EE4C1A92E999686" ma:contentTypeVersion="15" ma:contentTypeDescription="Create a new document." ma:contentTypeScope="" ma:versionID="b7b4ea562478eeeb167de3e2825aa652">
  <xsd:schema xmlns:xsd="http://www.w3.org/2001/XMLSchema" xmlns:xs="http://www.w3.org/2001/XMLSchema" xmlns:p="http://schemas.microsoft.com/office/2006/metadata/properties" xmlns:ns2="2689ba16-9140-4dc8-92bb-1854388572e7" xmlns:ns3="fd0388fc-401a-4a6d-827c-bb000724cdfd" targetNamespace="http://schemas.microsoft.com/office/2006/metadata/properties" ma:root="true" ma:fieldsID="b63c1bacf82ff19de7184f2fba39a841" ns2:_="" ns3:_="">
    <xsd:import namespace="2689ba16-9140-4dc8-92bb-1854388572e7"/>
    <xsd:import namespace="fd0388fc-401a-4a6d-827c-bb000724cd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9ba16-9140-4dc8-92bb-185438857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0388fc-401a-4a6d-827c-bb000724cd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c5926d-51ed-421a-8e27-a01aa1e598ae}" ma:internalName="TaxCatchAll" ma:showField="CatchAllData" ma:web="fd0388fc-401a-4a6d-827c-bb000724cd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6DD1B5-26AA-46F8-A5F0-229C5ACF7310}">
  <ds:schemaRefs>
    <ds:schemaRef ds:uri="http://schemas.openxmlformats.org/officeDocument/2006/bibliography"/>
  </ds:schemaRefs>
</ds:datastoreItem>
</file>

<file path=customXml/itemProps2.xml><?xml version="1.0" encoding="utf-8"?>
<ds:datastoreItem xmlns:ds="http://schemas.openxmlformats.org/officeDocument/2006/customXml" ds:itemID="{CCDDDA6D-C7A0-474E-8004-BBBD5608DB0D}">
  <ds:schemaRefs>
    <ds:schemaRef ds:uri="http://schemas.microsoft.com/office/2006/metadata/properties"/>
    <ds:schemaRef ds:uri="http://schemas.microsoft.com/office/infopath/2007/PartnerControls"/>
    <ds:schemaRef ds:uri="fd0388fc-401a-4a6d-827c-bb000724cdfd"/>
    <ds:schemaRef ds:uri="2689ba16-9140-4dc8-92bb-1854388572e7"/>
  </ds:schemaRefs>
</ds:datastoreItem>
</file>

<file path=customXml/itemProps3.xml><?xml version="1.0" encoding="utf-8"?>
<ds:datastoreItem xmlns:ds="http://schemas.openxmlformats.org/officeDocument/2006/customXml" ds:itemID="{EE74B301-51BE-4BCE-BF14-40086DB3A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9ba16-9140-4dc8-92bb-1854388572e7"/>
    <ds:schemaRef ds:uri="fd0388fc-401a-4a6d-827c-bb000724c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50BC23-A2E9-4005-871D-485A288DE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2227</TotalTime>
  <Pages>4</Pages>
  <Words>1334</Words>
  <Characters>7776</Characters>
  <Application>Microsoft Office Word</Application>
  <DocSecurity>0</DocSecurity>
  <Lines>128</Lines>
  <Paragraphs>55</Paragraphs>
  <ScaleCrop>false</ScaleCrop>
  <HeadingPairs>
    <vt:vector size="2" baseType="variant">
      <vt:variant>
        <vt:lpstr>Title</vt:lpstr>
      </vt:variant>
      <vt:variant>
        <vt:i4>1</vt:i4>
      </vt:variant>
    </vt:vector>
  </HeadingPairs>
  <TitlesOfParts>
    <vt:vector size="1" baseType="lpstr">
      <vt:lpstr>IFNACC Submission Rules 3</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IFNACC Submission Rules 3</dc:title>
  <dc:subject>Aged Care</dc:subject>
  <dc:creator>Australian Government Department of Health, Disability and Ageing</dc:creator>
  <cp:keywords>Submission; New Aged Care Act Rules</cp:keywords>
  <dc:description/>
  <cp:lastModifiedBy>MASCHKE, Elvia</cp:lastModifiedBy>
  <cp:revision>294</cp:revision>
  <cp:lastPrinted>2025-10-14T01:13:00Z</cp:lastPrinted>
  <dcterms:created xsi:type="dcterms:W3CDTF">2025-02-24T23:42:00Z</dcterms:created>
  <dcterms:modified xsi:type="dcterms:W3CDTF">2025-10-14T01:13:00Z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0x01010027FF93283CD29F479EE4C1A92E999686</vt:lpwstr>
  </property>
  <property fmtid="{D5CDD505-2E9C-101B-9397-08002B2CF9AE}" pid="3" name="MediaServiceImageTags">
    <vt:lpwstr/>
  </property>
  <property fmtid="{D5CDD505-2E9C-101B-9397-08002B2CF9AE}" pid="4" name="ClassificationContentMarkingHeaderShapeIds">
    <vt:lpwstr>7137ab00,c67df09,fdbf38,650ffc92</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3eb9ac85,4f218e13,566a8364</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2025-10-08T04:01:45Z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35245dab-1280-46b2-abd5-9d6e31ba2a64</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