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F6D8" w14:textId="77777777" w:rsidR="0011284E" w:rsidRDefault="0011284E" w:rsidP="0011284E">
      <w:pPr>
        <w:pStyle w:val="Heading1"/>
      </w:pPr>
      <w:r>
        <w:t>A guide to determining when accommodation reforms apply to new residents</w:t>
      </w:r>
    </w:p>
    <w:p w14:paraId="31F1A465" w14:textId="77777777" w:rsidR="0011284E" w:rsidRDefault="0011284E" w:rsidP="0011284E">
      <w:pPr>
        <w:pStyle w:val="Introduction"/>
      </w:pPr>
      <w:r>
        <w:t xml:space="preserve">This resource helps registered residential aged care providers determine whether RAD/RAC retention and DAP indexation apply when a new resident enters their home. </w:t>
      </w:r>
    </w:p>
    <w:p w14:paraId="1E3C8E23" w14:textId="77777777" w:rsidR="0011284E" w:rsidRPr="0011284E" w:rsidRDefault="0011284E" w:rsidP="0011284E">
      <w:pPr>
        <w:pStyle w:val="Heading2"/>
      </w:pPr>
      <w:r w:rsidRPr="0011284E">
        <w:t xml:space="preserve">What are the accommodation reforms? </w:t>
      </w:r>
    </w:p>
    <w:p w14:paraId="14258738" w14:textId="77777777" w:rsidR="0011284E" w:rsidRPr="00E257CC" w:rsidRDefault="0011284E" w:rsidP="0011284E">
      <w:pPr>
        <w:rPr>
          <w:rStyle w:val="Heading1Char"/>
        </w:rPr>
      </w:pPr>
      <w:r>
        <w:t xml:space="preserve">Residents that enter permanent residential care </w:t>
      </w:r>
      <w:r w:rsidRPr="6DC90788">
        <w:rPr>
          <w:b/>
          <w:bCs/>
        </w:rPr>
        <w:t>for the first time</w:t>
      </w:r>
      <w:r>
        <w:t xml:space="preserve"> after 31 October 2025 will be subject to the new accommodation reforms of:</w:t>
      </w:r>
    </w:p>
    <w:p w14:paraId="7EC13326" w14:textId="3EF63054" w:rsidR="0011284E" w:rsidRPr="0011284E" w:rsidRDefault="0011284E" w:rsidP="0011284E">
      <w:pPr>
        <w:pStyle w:val="ListParagraph"/>
        <w:numPr>
          <w:ilvl w:val="0"/>
          <w:numId w:val="27"/>
        </w:numPr>
      </w:pPr>
      <w:r w:rsidRPr="0011284E">
        <w:t xml:space="preserve">refundable accommodation deposit (RAD)/refundable accommodation contribution (RAC) retention; and </w:t>
      </w:r>
    </w:p>
    <w:p w14:paraId="54D447C4" w14:textId="55D8957A" w:rsidR="0011284E" w:rsidRPr="0011284E" w:rsidRDefault="0011284E" w:rsidP="0011284E">
      <w:pPr>
        <w:pStyle w:val="ListParagraph"/>
        <w:numPr>
          <w:ilvl w:val="0"/>
          <w:numId w:val="27"/>
        </w:numPr>
      </w:pPr>
      <w:r w:rsidRPr="0011284E">
        <w:t>daily accommodation payment (DAP) indexation.</w:t>
      </w:r>
    </w:p>
    <w:p w14:paraId="6ED219EB" w14:textId="77777777" w:rsidR="0011284E" w:rsidRDefault="0011284E" w:rsidP="0011284E">
      <w:r>
        <w:t>A resident entering a new service who has previously been a permanent resident at another service, may be protected from these arrangements.</w:t>
      </w:r>
    </w:p>
    <w:p w14:paraId="0D3945E9" w14:textId="710ABCC7" w:rsidR="0011284E" w:rsidRPr="0011284E" w:rsidRDefault="0011284E" w:rsidP="0011284E">
      <w:pPr>
        <w:pStyle w:val="Heading2"/>
      </w:pPr>
      <w:r w:rsidRPr="0011284E">
        <w:rPr>
          <w:rStyle w:val="Heading1Char"/>
          <w:rFonts w:cstheme="majorBidi"/>
          <w:b/>
          <w:bCs w:val="0"/>
          <w:sz w:val="32"/>
          <w:szCs w:val="26"/>
        </w:rPr>
        <w:t>When will RAD/RAC retention and DAP indexation apply</w:t>
      </w:r>
      <w:r>
        <w:t>?</w:t>
      </w:r>
    </w:p>
    <w:p w14:paraId="693BA0BB" w14:textId="77777777" w:rsidR="0011284E" w:rsidRDefault="0011284E" w:rsidP="0011284E">
      <w:r>
        <w:t>This flow chart helps identify whether RAD/RAC retention and DAP indexation may apply to an individual. It should be considered on the day of entry to an aged care home as a permanent resident. Registered providers may use this as a form of questions to ask individuals entering their aged care home.</w:t>
      </w:r>
    </w:p>
    <w:p w14:paraId="2F9222C4" w14:textId="77777777" w:rsidR="0011284E" w:rsidRDefault="0011284E" w:rsidP="0011284E"/>
    <w:p w14:paraId="144C8436" w14:textId="77777777" w:rsidR="0011284E" w:rsidRDefault="0011284E" w:rsidP="0011284E">
      <w:pPr>
        <w:jc w:val="center"/>
      </w:pPr>
      <w:r w:rsidRPr="008275F9">
        <w:rPr>
          <w:noProof/>
        </w:rPr>
        <w:lastRenderedPageBreak/>
        <w:drawing>
          <wp:inline distT="0" distB="0" distL="0" distR="0" wp14:anchorId="4D32E6A1" wp14:editId="002D2DC9">
            <wp:extent cx="6038071" cy="5276850"/>
            <wp:effectExtent l="0" t="0" r="1270" b="0"/>
            <wp:docPr id="491070410" name="Picture 1" descr="A flowchart shows when RAD/RAC retention and DAP indexation apply to a person entering permanent residential aged care by asking questions to the individual. The flowchart includes the following steps:&#10;&#10;Step 1:  Have you (the person entering care) accessed permanent residential care before?&#10;&#10;• If no, both RAD/RAC retention and DAP indexation applies;&#10;• If yes, continue to Step 2, &#10;&#10;Step 2: Did you (the person entering care) first enter permanent residential care before 1 July 2014 and remained on pre – 1 July 2014 fee arrangements.&#10;&#10;• If no, proceed to Step 3&#10;• If yes, continue to Step 5&#10;&#10;Step 3: Were you (the person entering care) discharged from permanent residential care for more than 28 consecutive days ending after 31 October 2025?&#10;&#10;• If yes, both RAD/RAC retention and DAP indexation apply&#10;• If no, continue to Step 4&#10;&#10;Step 4:  Have you (the person entering care) previously opted into the 1 November 2025 means testing arrangements?&#10;&#10;• If yes, both RAD/RAC retention and DAP indexation apply&#10;• If no, neither applies&#10;&#10;. Step 5:  Have you (the person entering care) opted into the 1 November 2025 means testing arrangements?&#10;&#10;• If no, neither applies&#10;• If yes, only DAP indexation applies, while RAD/RAC retention does n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35850" name="Picture 1" descr="A flowchart shows when RAD/RAC retention and DAP indexation apply to a person entering permanent residential aged care by asking questions to the individual. The flowchart includes the following steps:&#10;&#10;Step 1:  Have you (the person entering care) accessed permanent residential care before?&#10;&#10;• If no, both RAD/RAC retention and DAP indexation applies;&#10;• If yes, continue to Step 2, &#10;&#10;Step 2: Did you (the person entering care) first enter permanent residential care before 1 July 2014 and remained on pre – 1 July 2014 fee arrangements.&#10;&#10;• If no, proceed to Step 3&#10;• If yes, continue to Step 5&#10;&#10;Step 3: Were you (the person entering care) discharged from permanent residential care for more than 28 consecutive days ending after 31 October 2025?&#10;&#10;• If yes, both RAD/RAC retention and DAP indexation apply&#10;• If no, continue to Step 4&#10;&#10;Step 4:  Have you (the person entering care) previously opted into the 1 November 2025 means testing arrangements?&#10;&#10;• If yes, both RAD/RAC retention and DAP indexation apply&#10;• If no, neither applies&#10;&#10;. Step 5:  Have you (the person entering care) opted into the 1 November 2025 means testing arrangements?&#10;&#10;• If no, neither applies&#10;• If yes, only DAP indexation applies, while RAD/RAC retention does not.&#10;"/>
                    <pic:cNvPicPr/>
                  </pic:nvPicPr>
                  <pic:blipFill>
                    <a:blip r:embed="rId8"/>
                    <a:stretch>
                      <a:fillRect/>
                    </a:stretch>
                  </pic:blipFill>
                  <pic:spPr>
                    <a:xfrm>
                      <a:off x="0" y="0"/>
                      <a:ext cx="6061292" cy="5297143"/>
                    </a:xfrm>
                    <a:prstGeom prst="rect">
                      <a:avLst/>
                    </a:prstGeom>
                  </pic:spPr>
                </pic:pic>
              </a:graphicData>
            </a:graphic>
          </wp:inline>
        </w:drawing>
      </w:r>
    </w:p>
    <w:p w14:paraId="5678B846" w14:textId="7BE887A4" w:rsidR="0011284E" w:rsidRPr="001E2F49" w:rsidRDefault="0011284E" w:rsidP="0011284E">
      <w:pPr>
        <w:pStyle w:val="Heading2"/>
      </w:pPr>
      <w:r w:rsidRPr="085EB090">
        <w:t>Question 1: Determine whether resident has previously been in permanent/ongoing residential aged care</w:t>
      </w:r>
      <w:r>
        <w:t>.</w:t>
      </w:r>
    </w:p>
    <w:p w14:paraId="70423928" w14:textId="77777777" w:rsidR="0011284E" w:rsidRPr="0011284E" w:rsidRDefault="0011284E" w:rsidP="0011284E">
      <w:pPr>
        <w:pStyle w:val="Heading3"/>
      </w:pPr>
      <w:r w:rsidRPr="0011284E">
        <w:t>Guidance</w:t>
      </w:r>
    </w:p>
    <w:p w14:paraId="3797AAAB"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Most residents will be entering ongoing residential care for the first time, the resident or their family will be able to confirm this. This is generally a reliable indicator. </w:t>
      </w:r>
    </w:p>
    <w:p w14:paraId="507B34C4"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Having previously received short term residential (respite) care does not affect RAD/RAC retention or DAP indexation. Only previous ongoing residential care admissions may affect whether these apply.  </w:t>
      </w:r>
    </w:p>
    <w:p w14:paraId="21A42A75" w14:textId="77777777" w:rsidR="0011284E" w:rsidRDefault="0011284E" w:rsidP="0011284E">
      <w:pPr>
        <w:pBdr>
          <w:top w:val="single" w:sz="4" w:space="1" w:color="auto"/>
          <w:left w:val="single" w:sz="4" w:space="4" w:color="auto"/>
          <w:bottom w:val="single" w:sz="4" w:space="1" w:color="auto"/>
          <w:right w:val="single" w:sz="4" w:space="4" w:color="auto"/>
        </w:pBdr>
        <w:ind w:left="360"/>
        <w:rPr>
          <w:b/>
          <w:bCs/>
        </w:rPr>
      </w:pPr>
      <w:r>
        <w:t xml:space="preserve">If you have access to a Services Australia fee advice letter for the resident, it may contain information that confirms whether a resident had entered permanent care before 1 November 2025 - </w:t>
      </w:r>
      <w:r w:rsidRPr="085EB090">
        <w:rPr>
          <w:b/>
          <w:bCs/>
        </w:rPr>
        <w:t>see Attachment A.</w:t>
      </w:r>
    </w:p>
    <w:p w14:paraId="31FD8985" w14:textId="77777777" w:rsidR="0011284E" w:rsidRPr="00295B13" w:rsidRDefault="0011284E" w:rsidP="0011284E">
      <w:pPr>
        <w:pBdr>
          <w:top w:val="single" w:sz="4" w:space="1" w:color="auto"/>
          <w:left w:val="single" w:sz="4" w:space="4" w:color="auto"/>
          <w:bottom w:val="single" w:sz="4" w:space="1" w:color="auto"/>
          <w:right w:val="single" w:sz="4" w:space="4" w:color="auto"/>
        </w:pBdr>
        <w:ind w:left="360"/>
        <w:rPr>
          <w:u w:val="single"/>
        </w:rPr>
      </w:pPr>
      <w:r w:rsidRPr="085EB090">
        <w:rPr>
          <w:u w:val="single"/>
        </w:rPr>
        <w:t>Prompt question:</w:t>
      </w:r>
    </w:p>
    <w:p w14:paraId="669183F0" w14:textId="77777777" w:rsidR="0011284E" w:rsidRPr="00162581" w:rsidRDefault="0011284E" w:rsidP="0011284E">
      <w:pPr>
        <w:pBdr>
          <w:top w:val="single" w:sz="4" w:space="1" w:color="auto"/>
          <w:left w:val="single" w:sz="4" w:space="4" w:color="auto"/>
          <w:bottom w:val="single" w:sz="4" w:space="1" w:color="auto"/>
          <w:right w:val="single" w:sz="4" w:space="4" w:color="auto"/>
        </w:pBdr>
        <w:ind w:left="360"/>
        <w:rPr>
          <w:u w:val="single"/>
        </w:rPr>
      </w:pPr>
      <w:r>
        <w:t>Have you been admitted to permanent residential aged care before?</w:t>
      </w:r>
    </w:p>
    <w:p w14:paraId="777F791B" w14:textId="77777777" w:rsidR="0011284E" w:rsidRDefault="0011284E" w:rsidP="0011284E">
      <w:pPr>
        <w:pBdr>
          <w:top w:val="single" w:sz="4" w:space="1" w:color="auto"/>
          <w:left w:val="single" w:sz="4" w:space="4" w:color="auto"/>
          <w:bottom w:val="single" w:sz="4" w:space="1" w:color="auto"/>
          <w:right w:val="single" w:sz="4" w:space="4" w:color="auto"/>
        </w:pBdr>
        <w:ind w:left="360"/>
      </w:pPr>
      <w:r>
        <w:lastRenderedPageBreak/>
        <w:t xml:space="preserve">Note: A previous admission to ongoing residential care must be in a residential care home under the same funding arrangements as your service to be recognised. If not, then entry to your service in this situation is considered a first admission and RAD/RAC retention and DAP indexation apply. More information is provided at </w:t>
      </w:r>
      <w:r w:rsidRPr="006A64A2">
        <w:rPr>
          <w:b/>
          <w:bCs/>
        </w:rPr>
        <w:t>Attachment B</w:t>
      </w:r>
      <w:r>
        <w:t>.</w:t>
      </w:r>
    </w:p>
    <w:p w14:paraId="705608BA" w14:textId="64E4C97A" w:rsidR="0011284E" w:rsidRPr="0011284E" w:rsidRDefault="0011284E" w:rsidP="0011284E">
      <w:pPr>
        <w:pStyle w:val="Heading4"/>
      </w:pPr>
      <w:r w:rsidRPr="0011284E">
        <w:t>Response/</w:t>
      </w:r>
      <w:r>
        <w:t>a</w:t>
      </w:r>
      <w:r w:rsidRPr="0011284E">
        <w:t xml:space="preserve">ction to </w:t>
      </w:r>
      <w:r>
        <w:t>q</w:t>
      </w:r>
      <w:r w:rsidRPr="0011284E">
        <w:t>uestion 1:</w:t>
      </w:r>
    </w:p>
    <w:p w14:paraId="2F99B498" w14:textId="77777777" w:rsidR="0011284E" w:rsidRPr="0011284E" w:rsidRDefault="0011284E" w:rsidP="0011284E">
      <w:pPr>
        <w:pStyle w:val="ListParagraph"/>
        <w:numPr>
          <w:ilvl w:val="0"/>
          <w:numId w:val="30"/>
        </w:numPr>
      </w:pPr>
      <w:r w:rsidRPr="0011284E">
        <w:t>No - This is the first admission to ongoing residential aged care: RAD/RAC retention and DAP indexation apply.</w:t>
      </w:r>
    </w:p>
    <w:p w14:paraId="36B1E9C9" w14:textId="3034D905" w:rsidR="0011284E" w:rsidRPr="0011284E" w:rsidRDefault="0011284E" w:rsidP="0011284E">
      <w:pPr>
        <w:pStyle w:val="ListParagraph"/>
        <w:numPr>
          <w:ilvl w:val="0"/>
          <w:numId w:val="30"/>
        </w:numPr>
      </w:pPr>
      <w:r w:rsidRPr="0011284E">
        <w:t>Yes - go to 2</w:t>
      </w:r>
      <w:r>
        <w:t>.</w:t>
      </w:r>
    </w:p>
    <w:p w14:paraId="7A690872" w14:textId="767673AC" w:rsidR="0011284E" w:rsidRDefault="0011284E" w:rsidP="0011284E">
      <w:pPr>
        <w:pStyle w:val="ListParagraph"/>
        <w:numPr>
          <w:ilvl w:val="0"/>
          <w:numId w:val="30"/>
        </w:numPr>
      </w:pPr>
      <w:r w:rsidRPr="0011284E">
        <w:t>Unsure - go to 6</w:t>
      </w:r>
      <w:r>
        <w:t>.</w:t>
      </w:r>
    </w:p>
    <w:p w14:paraId="2A760316" w14:textId="77777777" w:rsidR="0011284E" w:rsidRPr="00944268" w:rsidRDefault="0011284E" w:rsidP="0011284E">
      <w:pPr>
        <w:pStyle w:val="Heading2"/>
      </w:pPr>
      <w:r w:rsidRPr="085EB090">
        <w:t>Question 2: Determine if the resident was a permanent resident before 1 July 2014 and if so, still under the pre-1 July 2014 fee arrangements.</w:t>
      </w:r>
    </w:p>
    <w:p w14:paraId="0C613EA2" w14:textId="77777777" w:rsidR="0011284E" w:rsidRPr="00DC7AFE" w:rsidRDefault="0011284E" w:rsidP="0011284E">
      <w:pPr>
        <w:pStyle w:val="Heading3"/>
      </w:pPr>
      <w:r w:rsidRPr="00DC7AFE">
        <w:t>Guidance</w:t>
      </w:r>
    </w:p>
    <w:p w14:paraId="09AC85F3" w14:textId="77777777" w:rsidR="0011284E" w:rsidRDefault="0011284E" w:rsidP="0011284E">
      <w:pPr>
        <w:pBdr>
          <w:top w:val="single" w:sz="4" w:space="1" w:color="auto"/>
          <w:left w:val="single" w:sz="4" w:space="4" w:color="auto"/>
          <w:bottom w:val="single" w:sz="4" w:space="1" w:color="auto"/>
          <w:right w:val="single" w:sz="4" w:space="4" w:color="auto"/>
        </w:pBdr>
        <w:ind w:left="360"/>
      </w:pPr>
      <w:r>
        <w:t>Where a resident was determined to have been in permanent residential care previously there are some differences in how the application of RAD/RAC retention and DAP indexation apply for residents who entered care before 1 July 2014 and remained under the pre-1 July 2014 fee arrangements.</w:t>
      </w:r>
    </w:p>
    <w:p w14:paraId="3A9B7E7D"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While most residents entering your care that have been in residential care previously are likely to have entered sometime </w:t>
      </w:r>
      <w:r w:rsidRPr="085EB090">
        <w:rPr>
          <w:b/>
          <w:bCs/>
        </w:rPr>
        <w:t xml:space="preserve">after 1 </w:t>
      </w:r>
      <w:r>
        <w:t>July 2014, it is important to determine which fee arrangements the person was last under.</w:t>
      </w:r>
    </w:p>
    <w:p w14:paraId="7A5058A0"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If you have access to a Services Australia fee advice letter for the resident, it may contain information about the type of fees that were payable which can confirm whether a resident entered before 1 July 2014. For example, accommodation bond, accommodation charge or income tested fee - </w:t>
      </w:r>
      <w:r w:rsidRPr="085EB090">
        <w:rPr>
          <w:b/>
          <w:bCs/>
        </w:rPr>
        <w:t>see Attachment A.</w:t>
      </w:r>
    </w:p>
    <w:p w14:paraId="7764DC72" w14:textId="77777777" w:rsidR="0011284E" w:rsidRPr="00295B13" w:rsidRDefault="0011284E" w:rsidP="0011284E">
      <w:pPr>
        <w:pBdr>
          <w:top w:val="single" w:sz="4" w:space="1" w:color="auto"/>
          <w:left w:val="single" w:sz="4" w:space="4" w:color="auto"/>
          <w:bottom w:val="single" w:sz="4" w:space="1" w:color="auto"/>
          <w:right w:val="single" w:sz="4" w:space="4" w:color="auto"/>
        </w:pBdr>
        <w:ind w:left="360"/>
        <w:rPr>
          <w:u w:val="single"/>
        </w:rPr>
      </w:pPr>
      <w:r w:rsidRPr="085EB090">
        <w:rPr>
          <w:u w:val="single"/>
        </w:rPr>
        <w:t>Prompt questions:</w:t>
      </w:r>
    </w:p>
    <w:p w14:paraId="7369F806" w14:textId="77777777" w:rsidR="0011284E" w:rsidRPr="00162581" w:rsidRDefault="0011284E" w:rsidP="0011284E">
      <w:pPr>
        <w:pBdr>
          <w:top w:val="single" w:sz="4" w:space="1" w:color="auto"/>
          <w:left w:val="single" w:sz="4" w:space="4" w:color="auto"/>
          <w:bottom w:val="single" w:sz="4" w:space="1" w:color="auto"/>
          <w:right w:val="single" w:sz="4" w:space="4" w:color="auto"/>
        </w:pBdr>
        <w:ind w:left="360"/>
        <w:rPr>
          <w:u w:val="single"/>
        </w:rPr>
      </w:pPr>
      <w:r>
        <w:t>When did you first enter permanent residential aged care? (before 1 July 2014 vs after 1 July 2014)?</w:t>
      </w:r>
    </w:p>
    <w:p w14:paraId="435CECB3"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If it was before 1 July 2014: </w:t>
      </w:r>
    </w:p>
    <w:p w14:paraId="5EF165DE"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Did you previously opt into the 1 July 2014 fee arrangements? </w:t>
      </w:r>
    </w:p>
    <w:p w14:paraId="6DDDE37E"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Or </w:t>
      </w:r>
    </w:p>
    <w:p w14:paraId="746D3D8D"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Were you previously </w:t>
      </w:r>
      <w:proofErr w:type="gramStart"/>
      <w:r>
        <w:t>discharged</w:t>
      </w:r>
      <w:proofErr w:type="gramEnd"/>
      <w:r>
        <w:t xml:space="preserve"> or did you leave permanent residential care for more than 28 consecutive days and re-enter care under the 1 July 2014 fee arrangements?</w:t>
      </w:r>
    </w:p>
    <w:p w14:paraId="1DDF2FE7" w14:textId="77777777" w:rsidR="0011284E" w:rsidRDefault="0011284E" w:rsidP="0011284E">
      <w:pPr>
        <w:pBdr>
          <w:top w:val="single" w:sz="4" w:space="1" w:color="auto"/>
          <w:left w:val="single" w:sz="4" w:space="4" w:color="auto"/>
          <w:bottom w:val="single" w:sz="4" w:space="1" w:color="auto"/>
          <w:right w:val="single" w:sz="4" w:space="4" w:color="auto"/>
        </w:pBdr>
        <w:ind w:left="360"/>
      </w:pPr>
    </w:p>
    <w:p w14:paraId="58BAAA02" w14:textId="77777777" w:rsidR="00163562" w:rsidRDefault="00163562" w:rsidP="0011284E">
      <w:pPr>
        <w:pStyle w:val="Heading4"/>
      </w:pPr>
    </w:p>
    <w:p w14:paraId="163D7721" w14:textId="74F79276" w:rsidR="0011284E" w:rsidRPr="0011284E" w:rsidRDefault="0011284E" w:rsidP="0011284E">
      <w:pPr>
        <w:pStyle w:val="Heading4"/>
      </w:pPr>
      <w:r w:rsidRPr="0011284E">
        <w:t>Response/</w:t>
      </w:r>
      <w:r>
        <w:t>a</w:t>
      </w:r>
      <w:r w:rsidRPr="0011284E">
        <w:t xml:space="preserve">ction to </w:t>
      </w:r>
      <w:r>
        <w:t>q</w:t>
      </w:r>
      <w:r w:rsidRPr="0011284E">
        <w:t>uestion 2:</w:t>
      </w:r>
    </w:p>
    <w:p w14:paraId="4F0FE808" w14:textId="77777777" w:rsidR="0011284E" w:rsidRPr="0011284E" w:rsidRDefault="0011284E" w:rsidP="0011284E">
      <w:pPr>
        <w:pStyle w:val="ListParagraph"/>
        <w:numPr>
          <w:ilvl w:val="0"/>
          <w:numId w:val="28"/>
        </w:numPr>
      </w:pPr>
      <w:r w:rsidRPr="0011284E" w:rsidDel="00DB6358">
        <w:t>N</w:t>
      </w:r>
      <w:r w:rsidRPr="0011284E" w:rsidDel="00B14E5E">
        <w:t>o</w:t>
      </w:r>
      <w:r w:rsidRPr="0011284E" w:rsidDel="00056891">
        <w:t xml:space="preserve"> -</w:t>
      </w:r>
      <w:r w:rsidRPr="0011284E" w:rsidDel="00B14E5E">
        <w:t xml:space="preserve"> </w:t>
      </w:r>
      <w:r w:rsidRPr="0011284E" w:rsidDel="00DB6358">
        <w:t>go</w:t>
      </w:r>
      <w:r w:rsidRPr="0011284E" w:rsidDel="00B14E5E">
        <w:t xml:space="preserve"> to 3.</w:t>
      </w:r>
    </w:p>
    <w:p w14:paraId="304559D7" w14:textId="77777777" w:rsidR="0011284E" w:rsidRPr="0011284E" w:rsidRDefault="0011284E" w:rsidP="0011284E">
      <w:pPr>
        <w:pStyle w:val="ListParagraph"/>
        <w:numPr>
          <w:ilvl w:val="0"/>
          <w:numId w:val="28"/>
        </w:numPr>
      </w:pPr>
      <w:r w:rsidRPr="0011284E" w:rsidDel="00DB6358">
        <w:t>Yes</w:t>
      </w:r>
      <w:r w:rsidRPr="0011284E" w:rsidDel="00B14E5E">
        <w:t xml:space="preserve"> </w:t>
      </w:r>
      <w:r w:rsidRPr="0011284E" w:rsidDel="00056891">
        <w:t xml:space="preserve">- </w:t>
      </w:r>
      <w:r w:rsidRPr="0011284E" w:rsidDel="00B14E5E">
        <w:t xml:space="preserve">go to </w:t>
      </w:r>
      <w:r w:rsidRPr="0011284E" w:rsidDel="00DB6358">
        <w:t>5</w:t>
      </w:r>
      <w:r w:rsidRPr="0011284E" w:rsidDel="00056891">
        <w:t>.</w:t>
      </w:r>
    </w:p>
    <w:p w14:paraId="2C0A3A68" w14:textId="39408C0A" w:rsidR="0011284E" w:rsidRPr="0011284E" w:rsidRDefault="0011284E" w:rsidP="0011284E">
      <w:pPr>
        <w:pStyle w:val="ListParagraph"/>
        <w:numPr>
          <w:ilvl w:val="0"/>
          <w:numId w:val="28"/>
        </w:numPr>
      </w:pPr>
      <w:r w:rsidRPr="0011284E" w:rsidDel="00DB6358">
        <w:t xml:space="preserve">If unsure </w:t>
      </w:r>
      <w:r w:rsidRPr="0011284E" w:rsidDel="00056891">
        <w:t xml:space="preserve">- </w:t>
      </w:r>
      <w:r w:rsidRPr="0011284E" w:rsidDel="00DB6358">
        <w:t xml:space="preserve">go to </w:t>
      </w:r>
      <w:r w:rsidRPr="0011284E" w:rsidDel="001E2F49">
        <w:t>6</w:t>
      </w:r>
      <w:r w:rsidRPr="0011284E" w:rsidDel="00056891">
        <w:t>.</w:t>
      </w:r>
    </w:p>
    <w:p w14:paraId="1F6F6932" w14:textId="77777777" w:rsidR="0011284E" w:rsidRPr="00B52AFD" w:rsidRDefault="0011284E" w:rsidP="0011284E">
      <w:pPr>
        <w:pStyle w:val="Heading2"/>
      </w:pPr>
      <w:r w:rsidRPr="085EB090">
        <w:t>Question 3: Determine if resident was discharged from care for more than 28 consecutive days before re-entering on/after 1 November 2025</w:t>
      </w:r>
      <w:r>
        <w:t>.</w:t>
      </w:r>
    </w:p>
    <w:p w14:paraId="10236C99" w14:textId="77777777" w:rsidR="0011284E" w:rsidRPr="00DC7AFE" w:rsidRDefault="0011284E" w:rsidP="0011284E">
      <w:pPr>
        <w:pStyle w:val="Heading3"/>
      </w:pPr>
      <w:r w:rsidRPr="00DC7AFE">
        <w:t>Guidance</w:t>
      </w:r>
    </w:p>
    <w:p w14:paraId="3A09DD5C" w14:textId="77777777" w:rsidR="0011284E" w:rsidRDefault="0011284E" w:rsidP="0011284E">
      <w:pPr>
        <w:pBdr>
          <w:top w:val="single" w:sz="4" w:space="1" w:color="auto"/>
          <w:left w:val="single" w:sz="4" w:space="4" w:color="auto"/>
          <w:bottom w:val="single" w:sz="4" w:space="1" w:color="auto"/>
          <w:right w:val="single" w:sz="4" w:space="4" w:color="auto"/>
        </w:pBdr>
        <w:ind w:left="360"/>
      </w:pPr>
      <w:r>
        <w:t>Most residents who entered permanent residential care between 1 July 2014 and 31 October 2025 are likely to have transferred from another aged care home (possibly via a hospital setting) with no gap or a gap of less than 28 days. In this case, providers should proceed to Question 4.</w:t>
      </w:r>
    </w:p>
    <w:p w14:paraId="277DD99B" w14:textId="77777777" w:rsidR="0011284E" w:rsidRPr="00D224E7" w:rsidRDefault="0011284E" w:rsidP="0011284E">
      <w:pPr>
        <w:pBdr>
          <w:top w:val="single" w:sz="4" w:space="1" w:color="auto"/>
          <w:left w:val="single" w:sz="4" w:space="4" w:color="auto"/>
          <w:bottom w:val="single" w:sz="4" w:space="1" w:color="auto"/>
          <w:right w:val="single" w:sz="4" w:space="4" w:color="auto"/>
        </w:pBdr>
        <w:ind w:left="360"/>
        <w:rPr>
          <w:u w:val="single"/>
        </w:rPr>
      </w:pPr>
      <w:r w:rsidRPr="085EB090">
        <w:rPr>
          <w:u w:val="single"/>
        </w:rPr>
        <w:t xml:space="preserve">Prompt </w:t>
      </w:r>
      <w:r w:rsidRPr="39DEC9D6">
        <w:rPr>
          <w:u w:val="single"/>
        </w:rPr>
        <w:t>question</w:t>
      </w:r>
      <w:r w:rsidRPr="085EB090">
        <w:rPr>
          <w:u w:val="single"/>
        </w:rPr>
        <w:t>:</w:t>
      </w:r>
    </w:p>
    <w:p w14:paraId="2211D837" w14:textId="77777777" w:rsidR="0011284E" w:rsidRPr="00162581" w:rsidRDefault="0011284E" w:rsidP="0011284E">
      <w:pPr>
        <w:pBdr>
          <w:top w:val="single" w:sz="4" w:space="1" w:color="auto"/>
          <w:left w:val="single" w:sz="4" w:space="4" w:color="auto"/>
          <w:bottom w:val="single" w:sz="4" w:space="1" w:color="auto"/>
          <w:right w:val="single" w:sz="4" w:space="4" w:color="auto"/>
        </w:pBdr>
        <w:ind w:left="360"/>
        <w:rPr>
          <w:u w:val="single"/>
        </w:rPr>
      </w:pPr>
      <w:r>
        <w:t>How long has it been since you were discharged from your previous aged care home (more than or less than 28 consecutive days)?</w:t>
      </w:r>
    </w:p>
    <w:p w14:paraId="21A085B5" w14:textId="77777777" w:rsidR="0011284E" w:rsidRDefault="0011284E" w:rsidP="0011284E">
      <w:pPr>
        <w:pBdr>
          <w:top w:val="single" w:sz="4" w:space="1" w:color="auto"/>
          <w:left w:val="single" w:sz="4" w:space="4" w:color="auto"/>
          <w:bottom w:val="single" w:sz="4" w:space="1" w:color="auto"/>
          <w:right w:val="single" w:sz="4" w:space="4" w:color="auto"/>
        </w:pBdr>
        <w:ind w:left="360"/>
      </w:pPr>
      <w:r>
        <w:t>Residents will be subject to RAD/RAC retention and DAP indexation if they were discharged/not receiving permanent residential care for more than 28 consecutive days before re-entering after 31 October 2025 other than because the resident was on approved leave (i.e. hospital leave, social leave etc)</w:t>
      </w:r>
    </w:p>
    <w:p w14:paraId="26362E6C" w14:textId="77777777" w:rsidR="0011284E" w:rsidRDefault="0011284E" w:rsidP="0011284E">
      <w:pPr>
        <w:pBdr>
          <w:top w:val="single" w:sz="4" w:space="1" w:color="auto"/>
          <w:left w:val="single" w:sz="4" w:space="4" w:color="auto"/>
          <w:bottom w:val="single" w:sz="4" w:space="1" w:color="auto"/>
          <w:right w:val="single" w:sz="4" w:space="4" w:color="auto"/>
        </w:pBdr>
        <w:ind w:left="360"/>
      </w:pPr>
    </w:p>
    <w:p w14:paraId="079FAB85" w14:textId="3C493F4B" w:rsidR="0011284E" w:rsidRPr="0011284E" w:rsidRDefault="0011284E" w:rsidP="0011284E">
      <w:pPr>
        <w:pStyle w:val="Heading4"/>
      </w:pPr>
      <w:r w:rsidRPr="0011284E">
        <w:t>Response/</w:t>
      </w:r>
      <w:r>
        <w:t>a</w:t>
      </w:r>
      <w:r w:rsidRPr="0011284E">
        <w:t xml:space="preserve">ction to </w:t>
      </w:r>
      <w:r>
        <w:t>q</w:t>
      </w:r>
      <w:r w:rsidRPr="0011284E">
        <w:t>uestion 3:</w:t>
      </w:r>
    </w:p>
    <w:p w14:paraId="1383CF55" w14:textId="77777777" w:rsidR="0011284E" w:rsidRPr="0011284E" w:rsidRDefault="0011284E" w:rsidP="0011284E">
      <w:pPr>
        <w:pStyle w:val="ListParagraph"/>
        <w:numPr>
          <w:ilvl w:val="0"/>
          <w:numId w:val="29"/>
        </w:numPr>
      </w:pPr>
      <w:r w:rsidRPr="0011284E" w:rsidDel="00056891">
        <w:t>Y</w:t>
      </w:r>
      <w:r w:rsidRPr="0011284E" w:rsidDel="00B14E5E">
        <w:t>es – RAD</w:t>
      </w:r>
      <w:r w:rsidRPr="0011284E" w:rsidDel="002E0492">
        <w:t>/RAC</w:t>
      </w:r>
      <w:r w:rsidRPr="0011284E" w:rsidDel="00B14E5E">
        <w:t xml:space="preserve"> retention/DAP indexation applies.</w:t>
      </w:r>
    </w:p>
    <w:p w14:paraId="4D6E0A0C" w14:textId="3484DCE1" w:rsidR="0011284E" w:rsidRPr="0011284E" w:rsidRDefault="0011284E" w:rsidP="0011284E">
      <w:pPr>
        <w:pStyle w:val="ListParagraph"/>
        <w:numPr>
          <w:ilvl w:val="0"/>
          <w:numId w:val="29"/>
        </w:numPr>
      </w:pPr>
      <w:r w:rsidRPr="0011284E" w:rsidDel="00056891">
        <w:t>N</w:t>
      </w:r>
      <w:r w:rsidRPr="0011284E" w:rsidDel="00B14E5E">
        <w:t>o – go to 4</w:t>
      </w:r>
      <w:r w:rsidRPr="0011284E" w:rsidDel="00056891">
        <w:t>.</w:t>
      </w:r>
    </w:p>
    <w:p w14:paraId="11845EE8" w14:textId="681A6526" w:rsidR="0011284E" w:rsidRDefault="0011284E" w:rsidP="0011284E">
      <w:pPr>
        <w:pStyle w:val="Heading2"/>
      </w:pPr>
      <w:r w:rsidRPr="085EB090">
        <w:t xml:space="preserve">Question 4. Determine if resident has opted into the post-2025 fee arrangements before or at the time of entering </w:t>
      </w:r>
      <w:r>
        <w:t>your</w:t>
      </w:r>
      <w:r w:rsidRPr="085EB090">
        <w:t xml:space="preserve"> service</w:t>
      </w:r>
      <w:r>
        <w:t>.</w:t>
      </w:r>
    </w:p>
    <w:p w14:paraId="1E399704" w14:textId="77777777" w:rsidR="0011284E" w:rsidRPr="00246717" w:rsidRDefault="0011284E" w:rsidP="0011284E">
      <w:pPr>
        <w:pStyle w:val="Heading3"/>
      </w:pPr>
      <w:r w:rsidRPr="00246717">
        <w:t>Guidance</w:t>
      </w:r>
    </w:p>
    <w:p w14:paraId="226338CA"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Residents who entered permanent residential care between 1 July 2014 and 31 October 2025 have the option of opting into the 2025 fee arrangements before or at the time of entering a new service. </w:t>
      </w:r>
    </w:p>
    <w:p w14:paraId="53866A09"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It is expected that most residents in this category will not choose to do this and therefore will not be subject to RAD/RAC retention or DAP indexation. If they do opt to do this before entering your </w:t>
      </w:r>
      <w:proofErr w:type="gramStart"/>
      <w:r>
        <w:t>service</w:t>
      </w:r>
      <w:proofErr w:type="gramEnd"/>
      <w:r>
        <w:t xml:space="preserve"> they will be subject to RAD/RAC retention and DAP indexation.</w:t>
      </w:r>
    </w:p>
    <w:p w14:paraId="669EAE23" w14:textId="77777777" w:rsidR="0011284E" w:rsidRDefault="0011284E" w:rsidP="0011284E">
      <w:pPr>
        <w:pBdr>
          <w:top w:val="single" w:sz="4" w:space="1" w:color="auto"/>
          <w:left w:val="single" w:sz="4" w:space="4" w:color="auto"/>
          <w:bottom w:val="single" w:sz="4" w:space="1" w:color="auto"/>
          <w:right w:val="single" w:sz="4" w:space="4" w:color="auto"/>
        </w:pBdr>
        <w:ind w:left="360"/>
      </w:pPr>
      <w:r>
        <w:t>Providers will be aware if they have assisted a resident to opt into the new arrangements as they will need to submit the opt in form with the aged care entry record.</w:t>
      </w:r>
    </w:p>
    <w:p w14:paraId="708B70DE" w14:textId="77777777" w:rsidR="0011284E" w:rsidRDefault="0011284E" w:rsidP="0011284E">
      <w:pPr>
        <w:pBdr>
          <w:top w:val="single" w:sz="4" w:space="1" w:color="auto"/>
          <w:left w:val="single" w:sz="4" w:space="4" w:color="auto"/>
          <w:bottom w:val="single" w:sz="4" w:space="1" w:color="auto"/>
          <w:right w:val="single" w:sz="4" w:space="4" w:color="auto"/>
        </w:pBdr>
        <w:ind w:left="360"/>
        <w:rPr>
          <w:highlight w:val="cyan"/>
        </w:rPr>
      </w:pPr>
      <w:r>
        <w:lastRenderedPageBreak/>
        <w:t xml:space="preserve">If you have access to a Services Australia fee advice letter for the resident, it may contain information that confirms whether a resident’s fees are calculated under the 1 November 2025 arrangements </w:t>
      </w:r>
      <w:r w:rsidRPr="085EB090">
        <w:rPr>
          <w:b/>
          <w:bCs/>
        </w:rPr>
        <w:t>- see Attachment A.</w:t>
      </w:r>
    </w:p>
    <w:p w14:paraId="3075F407" w14:textId="77777777" w:rsidR="0011284E" w:rsidRPr="00D224E7" w:rsidRDefault="0011284E" w:rsidP="0011284E">
      <w:pPr>
        <w:pBdr>
          <w:top w:val="single" w:sz="4" w:space="1" w:color="auto"/>
          <w:left w:val="single" w:sz="4" w:space="4" w:color="auto"/>
          <w:bottom w:val="single" w:sz="4" w:space="1" w:color="auto"/>
          <w:right w:val="single" w:sz="4" w:space="4" w:color="auto"/>
        </w:pBdr>
        <w:ind w:left="360"/>
        <w:rPr>
          <w:u w:val="single"/>
        </w:rPr>
      </w:pPr>
      <w:r w:rsidRPr="085EB090">
        <w:rPr>
          <w:u w:val="single"/>
        </w:rPr>
        <w:t xml:space="preserve">Prompt </w:t>
      </w:r>
      <w:r w:rsidRPr="39DEC9D6">
        <w:rPr>
          <w:u w:val="single"/>
        </w:rPr>
        <w:t>questions</w:t>
      </w:r>
      <w:r w:rsidRPr="085EB090">
        <w:rPr>
          <w:u w:val="single"/>
        </w:rPr>
        <w:t>:</w:t>
      </w:r>
    </w:p>
    <w:p w14:paraId="381F824A" w14:textId="77777777" w:rsidR="0011284E" w:rsidRDefault="0011284E" w:rsidP="0011284E">
      <w:pPr>
        <w:pBdr>
          <w:top w:val="single" w:sz="4" w:space="1" w:color="auto"/>
          <w:left w:val="single" w:sz="4" w:space="4" w:color="auto"/>
          <w:bottom w:val="single" w:sz="4" w:space="1" w:color="auto"/>
          <w:right w:val="single" w:sz="4" w:space="4" w:color="auto"/>
        </w:pBdr>
        <w:ind w:left="360"/>
        <w:rPr>
          <w:u w:val="single"/>
        </w:rPr>
      </w:pPr>
      <w:r>
        <w:t>Have you previously opted into the 1 November 2025 means testing arrangements?</w:t>
      </w:r>
    </w:p>
    <w:p w14:paraId="2BD6313E" w14:textId="77777777" w:rsidR="0011284E" w:rsidRPr="0022582A" w:rsidRDefault="0011284E" w:rsidP="0011284E">
      <w:pPr>
        <w:pBdr>
          <w:top w:val="single" w:sz="4" w:space="1" w:color="auto"/>
          <w:left w:val="single" w:sz="4" w:space="4" w:color="auto"/>
          <w:bottom w:val="single" w:sz="4" w:space="1" w:color="auto"/>
          <w:right w:val="single" w:sz="4" w:space="4" w:color="auto"/>
        </w:pBdr>
        <w:ind w:left="360"/>
        <w:rPr>
          <w:u w:val="single"/>
        </w:rPr>
      </w:pPr>
      <w:r>
        <w:t xml:space="preserve">Were you paying a hotelling contribution or did RAD/RAC retention or DAP indexation apply to you at your previous service? If yes, they have opted in. </w:t>
      </w:r>
    </w:p>
    <w:p w14:paraId="532BE1A0" w14:textId="77777777" w:rsidR="0011284E" w:rsidRDefault="0011284E" w:rsidP="0011284E">
      <w:pPr>
        <w:pBdr>
          <w:top w:val="single" w:sz="4" w:space="1" w:color="auto"/>
          <w:left w:val="single" w:sz="4" w:space="4" w:color="auto"/>
          <w:bottom w:val="single" w:sz="4" w:space="1" w:color="auto"/>
          <w:right w:val="single" w:sz="4" w:space="4" w:color="auto"/>
        </w:pBdr>
        <w:ind w:left="360"/>
      </w:pPr>
    </w:p>
    <w:p w14:paraId="557BA99D" w14:textId="6C1E9DBD" w:rsidR="0011284E" w:rsidRPr="0011284E" w:rsidRDefault="0011284E" w:rsidP="0011284E">
      <w:pPr>
        <w:pStyle w:val="Heading4"/>
      </w:pPr>
      <w:r w:rsidRPr="0011284E">
        <w:t>Response/</w:t>
      </w:r>
      <w:r>
        <w:t>a</w:t>
      </w:r>
      <w:r w:rsidRPr="0011284E">
        <w:t xml:space="preserve">ction to </w:t>
      </w:r>
      <w:r>
        <w:t>q</w:t>
      </w:r>
      <w:r w:rsidRPr="0011284E">
        <w:t>uestion 4:</w:t>
      </w:r>
    </w:p>
    <w:p w14:paraId="61A6CFD5" w14:textId="491891B8" w:rsidR="0011284E" w:rsidRPr="0011284E" w:rsidRDefault="0011284E" w:rsidP="0011284E">
      <w:pPr>
        <w:pStyle w:val="ListParagraph"/>
        <w:numPr>
          <w:ilvl w:val="0"/>
          <w:numId w:val="31"/>
        </w:numPr>
      </w:pPr>
      <w:r w:rsidRPr="0011284E" w:rsidDel="00056891">
        <w:t>Y</w:t>
      </w:r>
      <w:r w:rsidRPr="0011284E" w:rsidDel="00537FB7">
        <w:t>es – RAD</w:t>
      </w:r>
      <w:r w:rsidRPr="0011284E" w:rsidDel="002E0492">
        <w:t>/RAC</w:t>
      </w:r>
      <w:r w:rsidRPr="0011284E" w:rsidDel="00537FB7">
        <w:t xml:space="preserve"> retention/DAP indexation applies.</w:t>
      </w:r>
    </w:p>
    <w:p w14:paraId="57801B22" w14:textId="77777777" w:rsidR="0011284E" w:rsidRPr="0011284E" w:rsidRDefault="0011284E" w:rsidP="0011284E">
      <w:pPr>
        <w:pStyle w:val="ListParagraph"/>
        <w:numPr>
          <w:ilvl w:val="0"/>
          <w:numId w:val="31"/>
        </w:numPr>
      </w:pPr>
      <w:r w:rsidRPr="0011284E" w:rsidDel="00056891">
        <w:t>N</w:t>
      </w:r>
      <w:r w:rsidRPr="0011284E" w:rsidDel="00537FB7">
        <w:t>o – RAD</w:t>
      </w:r>
      <w:r w:rsidRPr="0011284E" w:rsidDel="002E0492">
        <w:t>/RAC</w:t>
      </w:r>
      <w:r w:rsidRPr="0011284E" w:rsidDel="00537FB7">
        <w:t xml:space="preserve"> retention and DAP indexation do not apply. The person entered care before 1</w:t>
      </w:r>
      <w:r w:rsidRPr="0011284E" w:rsidDel="00056891">
        <w:t> </w:t>
      </w:r>
      <w:r w:rsidRPr="0011284E" w:rsidDel="00537FB7">
        <w:t>November 2025, has not had a break of greater than 28 days and has not opted into the November 2025 fee arrangements before re-entering care.</w:t>
      </w:r>
    </w:p>
    <w:p w14:paraId="098489E5" w14:textId="4E9B2D63" w:rsidR="0011284E" w:rsidRPr="0011284E" w:rsidRDefault="0011284E" w:rsidP="0011284E">
      <w:pPr>
        <w:pStyle w:val="ListParagraph"/>
        <w:numPr>
          <w:ilvl w:val="0"/>
          <w:numId w:val="31"/>
        </w:numPr>
      </w:pPr>
      <w:r w:rsidRPr="0011284E">
        <w:t>Unsure - go to 6</w:t>
      </w:r>
      <w:r>
        <w:t>.</w:t>
      </w:r>
    </w:p>
    <w:p w14:paraId="3CAAD32F" w14:textId="77777777" w:rsidR="0011284E" w:rsidRPr="00944268" w:rsidRDefault="0011284E" w:rsidP="0011284E">
      <w:pPr>
        <w:pStyle w:val="Heading2"/>
      </w:pPr>
      <w:r w:rsidRPr="085EB090">
        <w:t xml:space="preserve">Question 5. Determine if resident </w:t>
      </w:r>
      <w:r>
        <w:t xml:space="preserve">is moving to your </w:t>
      </w:r>
      <w:r w:rsidRPr="085EB090">
        <w:t>service after opting into the post- 2025 fee arrangements.</w:t>
      </w:r>
    </w:p>
    <w:p w14:paraId="0074865F" w14:textId="77777777" w:rsidR="0011284E" w:rsidRPr="00246717" w:rsidRDefault="0011284E" w:rsidP="0011284E">
      <w:pPr>
        <w:pStyle w:val="Heading3"/>
      </w:pPr>
      <w:r w:rsidRPr="00246717">
        <w:t>Guidance</w:t>
      </w:r>
    </w:p>
    <w:p w14:paraId="1153AB41"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Residents that entered permanent residential care before 1 July 2014 and were still under the </w:t>
      </w:r>
      <w:proofErr w:type="gramStart"/>
      <w:r>
        <w:t>pre 1 July 2014</w:t>
      </w:r>
      <w:proofErr w:type="gramEnd"/>
      <w:r>
        <w:t xml:space="preserve"> fee arrangements as </w:t>
      </w:r>
      <w:proofErr w:type="gramStart"/>
      <w:r>
        <w:t>at</w:t>
      </w:r>
      <w:proofErr w:type="gramEnd"/>
      <w:r>
        <w:t xml:space="preserve"> 31 October 2025 have the option of opting into the 2025 fee arrangements before or at the time of entering the service. </w:t>
      </w:r>
    </w:p>
    <w:p w14:paraId="51DD8DB1"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It is expected that most residents in this category will not choose to do this and therefore </w:t>
      </w:r>
      <w:r w:rsidRPr="00E257CC">
        <w:rPr>
          <w:b/>
        </w:rPr>
        <w:t>not</w:t>
      </w:r>
      <w:r>
        <w:t xml:space="preserve"> be subject to RAD/RAC retention or DAP indexation.</w:t>
      </w:r>
    </w:p>
    <w:p w14:paraId="3B91A3AB"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If they do opt into the 2025 fee arrangements at the time of or before entry to your residential care home, they will be subject to DAP indexation. They will NOT be subject to RAD/RAC retention. </w:t>
      </w:r>
    </w:p>
    <w:p w14:paraId="5D40A98A" w14:textId="77777777" w:rsidR="0011284E" w:rsidDel="004031DE" w:rsidRDefault="0011284E" w:rsidP="0011284E">
      <w:pPr>
        <w:pBdr>
          <w:top w:val="single" w:sz="4" w:space="1" w:color="auto"/>
          <w:left w:val="single" w:sz="4" w:space="4" w:color="auto"/>
          <w:bottom w:val="single" w:sz="4" w:space="1" w:color="auto"/>
          <w:right w:val="single" w:sz="4" w:space="4" w:color="auto"/>
        </w:pBdr>
        <w:ind w:left="360"/>
      </w:pPr>
      <w:r>
        <w:t xml:space="preserve">Providers will be aware if they have assisted a resident to opt into the new arrangements. </w:t>
      </w:r>
    </w:p>
    <w:p w14:paraId="14B50BD8" w14:textId="77777777" w:rsidR="0011284E" w:rsidDel="004031DE" w:rsidRDefault="0011284E" w:rsidP="0011284E">
      <w:pPr>
        <w:pBdr>
          <w:top w:val="single" w:sz="4" w:space="1" w:color="auto"/>
          <w:left w:val="single" w:sz="4" w:space="4" w:color="auto"/>
          <w:bottom w:val="single" w:sz="4" w:space="1" w:color="auto"/>
          <w:right w:val="single" w:sz="4" w:space="4" w:color="auto"/>
        </w:pBdr>
        <w:ind w:left="360"/>
      </w:pPr>
      <w:r>
        <w:t xml:space="preserve">If you have access to a Services Australia fee advice letter for the resident, it may contain information that confirms whether a resident’s fees are calculated under the 1 November 2025 arrangements </w:t>
      </w:r>
      <w:r w:rsidRPr="085EB090">
        <w:rPr>
          <w:b/>
          <w:bCs/>
        </w:rPr>
        <w:t>- see Attachment A.</w:t>
      </w:r>
    </w:p>
    <w:p w14:paraId="009428DA" w14:textId="77777777" w:rsidR="0011284E" w:rsidRPr="00041C97" w:rsidRDefault="0011284E" w:rsidP="0011284E">
      <w:pPr>
        <w:pBdr>
          <w:top w:val="single" w:sz="4" w:space="1" w:color="auto"/>
          <w:left w:val="single" w:sz="4" w:space="4" w:color="auto"/>
          <w:bottom w:val="single" w:sz="4" w:space="1" w:color="auto"/>
          <w:right w:val="single" w:sz="4" w:space="4" w:color="auto"/>
        </w:pBdr>
        <w:ind w:left="360"/>
        <w:rPr>
          <w:u w:val="single"/>
        </w:rPr>
      </w:pPr>
      <w:r w:rsidRPr="00041C97">
        <w:rPr>
          <w:u w:val="single"/>
        </w:rPr>
        <w:t>Prompt question:</w:t>
      </w:r>
    </w:p>
    <w:p w14:paraId="4EEFDC55" w14:textId="77777777" w:rsidR="0011284E" w:rsidRDefault="0011284E" w:rsidP="0011284E">
      <w:pPr>
        <w:pBdr>
          <w:top w:val="single" w:sz="4" w:space="1" w:color="auto"/>
          <w:left w:val="single" w:sz="4" w:space="4" w:color="auto"/>
          <w:bottom w:val="single" w:sz="4" w:space="1" w:color="auto"/>
          <w:right w:val="single" w:sz="4" w:space="4" w:color="auto"/>
        </w:pBdr>
        <w:ind w:left="360"/>
      </w:pPr>
      <w:r>
        <w:t xml:space="preserve">Have you opted into the 1 November 2025 means testing or fee arrangements? </w:t>
      </w:r>
    </w:p>
    <w:p w14:paraId="62E47801" w14:textId="77777777" w:rsidR="0011284E" w:rsidRDefault="0011284E" w:rsidP="0011284E">
      <w:pPr>
        <w:pBdr>
          <w:top w:val="single" w:sz="4" w:space="1" w:color="auto"/>
          <w:left w:val="single" w:sz="4" w:space="4" w:color="auto"/>
          <w:bottom w:val="single" w:sz="4" w:space="1" w:color="auto"/>
          <w:right w:val="single" w:sz="4" w:space="4" w:color="auto"/>
        </w:pBdr>
        <w:ind w:left="360"/>
      </w:pPr>
    </w:p>
    <w:p w14:paraId="71DC9C78" w14:textId="61110B4F" w:rsidR="0011284E" w:rsidRPr="0011284E" w:rsidRDefault="0011284E" w:rsidP="0011284E">
      <w:pPr>
        <w:pStyle w:val="Heading4"/>
      </w:pPr>
      <w:r w:rsidRPr="0011284E">
        <w:rPr>
          <w:rStyle w:val="Heading4Char"/>
          <w:b/>
        </w:rPr>
        <w:t>Response/</w:t>
      </w:r>
      <w:r>
        <w:rPr>
          <w:rStyle w:val="Heading4Char"/>
          <w:b/>
        </w:rPr>
        <w:t>a</w:t>
      </w:r>
      <w:r w:rsidRPr="0011284E">
        <w:rPr>
          <w:rStyle w:val="Heading4Char"/>
          <w:b/>
        </w:rPr>
        <w:t xml:space="preserve">ction to </w:t>
      </w:r>
      <w:r>
        <w:rPr>
          <w:rStyle w:val="Heading4Char"/>
          <w:b/>
        </w:rPr>
        <w:t>q</w:t>
      </w:r>
      <w:r w:rsidRPr="0011284E">
        <w:rPr>
          <w:rStyle w:val="Heading4Char"/>
          <w:b/>
        </w:rPr>
        <w:t>uestion 5</w:t>
      </w:r>
      <w:r w:rsidRPr="0011284E">
        <w:t>:</w:t>
      </w:r>
    </w:p>
    <w:p w14:paraId="376BAD31" w14:textId="77777777" w:rsidR="0011284E" w:rsidRDefault="0011284E" w:rsidP="0011284E">
      <w:pPr>
        <w:pStyle w:val="ListParagraph"/>
        <w:numPr>
          <w:ilvl w:val="0"/>
          <w:numId w:val="32"/>
        </w:numPr>
      </w:pPr>
      <w:r w:rsidDel="00A63917">
        <w:t>Y</w:t>
      </w:r>
      <w:r w:rsidDel="00DB6358">
        <w:t>es – DAP indexation applies. RAD</w:t>
      </w:r>
      <w:r w:rsidDel="002E0492">
        <w:t>/RAC</w:t>
      </w:r>
      <w:r w:rsidDel="00DB6358">
        <w:t xml:space="preserve"> retention does NOT apply.</w:t>
      </w:r>
    </w:p>
    <w:p w14:paraId="38E0058C" w14:textId="77777777" w:rsidR="0011284E" w:rsidRDefault="0011284E" w:rsidP="0011284E">
      <w:pPr>
        <w:pStyle w:val="ListParagraph"/>
        <w:numPr>
          <w:ilvl w:val="0"/>
          <w:numId w:val="32"/>
        </w:numPr>
      </w:pPr>
      <w:r w:rsidDel="00A63917">
        <w:t>N</w:t>
      </w:r>
      <w:r w:rsidDel="00DB6358">
        <w:t xml:space="preserve">o </w:t>
      </w:r>
      <w:r w:rsidDel="001E2F49">
        <w:t>–</w:t>
      </w:r>
      <w:r w:rsidDel="00DB6358">
        <w:t xml:space="preserve"> </w:t>
      </w:r>
      <w:r w:rsidDel="001E2F49">
        <w:t>RAD</w:t>
      </w:r>
      <w:r w:rsidDel="002E0492">
        <w:t>/RAC</w:t>
      </w:r>
      <w:r w:rsidDel="001E2F49">
        <w:t xml:space="preserve"> retention and DAP indexation do NOT apply.</w:t>
      </w:r>
    </w:p>
    <w:p w14:paraId="0541900C" w14:textId="77777777" w:rsidR="0011284E" w:rsidRDefault="0011284E" w:rsidP="0011284E">
      <w:pPr>
        <w:pStyle w:val="ListParagraph"/>
        <w:numPr>
          <w:ilvl w:val="0"/>
          <w:numId w:val="32"/>
        </w:numPr>
      </w:pPr>
      <w:r w:rsidDel="001E2F49">
        <w:t>If unsure go to 6</w:t>
      </w:r>
    </w:p>
    <w:p w14:paraId="3F3FDB13" w14:textId="77777777" w:rsidR="0011284E" w:rsidRDefault="0011284E" w:rsidP="0011284E">
      <w:pPr>
        <w:pStyle w:val="Heading2"/>
      </w:pPr>
      <w:r w:rsidRPr="085EB090">
        <w:lastRenderedPageBreak/>
        <w:t xml:space="preserve">Question 6: If you are unable to </w:t>
      </w:r>
      <w:r>
        <w:t xml:space="preserve">confidently </w:t>
      </w:r>
      <w:r w:rsidRPr="085EB090">
        <w:t>determine whether RAD/RAC retention and DAP indexation apply.</w:t>
      </w:r>
    </w:p>
    <w:p w14:paraId="0FC44305" w14:textId="77777777" w:rsidR="0011284E" w:rsidRPr="0011284E" w:rsidRDefault="0011284E" w:rsidP="0011284E">
      <w:r w:rsidRPr="0011284E">
        <w:t>In some rare circumstances, a provider may be unable to determine whether RAD/RAC retention and DAP indexation do apply. This may, for example, be due to a lack of clarity over the duration of periods out of care or the precise start date of a resident in another aged care home.</w:t>
      </w:r>
    </w:p>
    <w:p w14:paraId="774BC57E" w14:textId="77777777" w:rsidR="0011284E" w:rsidRPr="0011284E" w:rsidRDefault="0011284E" w:rsidP="0011284E">
      <w:r w:rsidRPr="0011284E">
        <w:t xml:space="preserve">Providers should make every reasonable effort using the guidance above and any other information they have available to them. If they are unable to determine whether the arrangements </w:t>
      </w:r>
      <w:proofErr w:type="gramStart"/>
      <w:r w:rsidRPr="0011284E">
        <w:t>apply</w:t>
      </w:r>
      <w:proofErr w:type="gramEnd"/>
      <w:r w:rsidRPr="0011284E">
        <w:t xml:space="preserve"> they can contact Services Australia via the Aged Care provider line 1800 195 206. </w:t>
      </w:r>
    </w:p>
    <w:p w14:paraId="30E47932" w14:textId="77777777" w:rsidR="0011284E" w:rsidRDefault="0011284E" w:rsidP="0011284E">
      <w:r>
        <w:br w:type="page"/>
      </w:r>
    </w:p>
    <w:p w14:paraId="480A47E8" w14:textId="77777777" w:rsidR="0011284E" w:rsidRPr="00AD24C5" w:rsidRDefault="0011284E" w:rsidP="00CB1688">
      <w:pPr>
        <w:pStyle w:val="Heading2"/>
      </w:pPr>
      <w:r w:rsidRPr="00AD24C5">
        <w:lastRenderedPageBreak/>
        <w:t>Attachment A</w:t>
      </w:r>
    </w:p>
    <w:tbl>
      <w:tblPr>
        <w:tblStyle w:val="TableGrid"/>
        <w:tblW w:w="9016" w:type="dxa"/>
        <w:tblLook w:val="04A0" w:firstRow="1" w:lastRow="0" w:firstColumn="1" w:lastColumn="0" w:noHBand="0" w:noVBand="1"/>
      </w:tblPr>
      <w:tblGrid>
        <w:gridCol w:w="1695"/>
        <w:gridCol w:w="1077"/>
        <w:gridCol w:w="846"/>
        <w:gridCol w:w="2193"/>
        <w:gridCol w:w="1420"/>
        <w:gridCol w:w="1785"/>
      </w:tblGrid>
      <w:tr w:rsidR="0011284E" w14:paraId="7BF6355D" w14:textId="77777777" w:rsidTr="0003647B">
        <w:trPr>
          <w:cnfStyle w:val="100000000000" w:firstRow="1" w:lastRow="0" w:firstColumn="0" w:lastColumn="0" w:oddVBand="0" w:evenVBand="0" w:oddHBand="0" w:evenHBand="0" w:firstRowFirstColumn="0" w:firstRowLastColumn="0" w:lastRowFirstColumn="0" w:lastRowLastColumn="0"/>
          <w:trHeight w:val="300"/>
        </w:trPr>
        <w:tc>
          <w:tcPr>
            <w:tcW w:w="2585" w:type="dxa"/>
            <w:gridSpan w:val="3"/>
          </w:tcPr>
          <w:p w14:paraId="4D7579D4" w14:textId="77777777" w:rsidR="0011284E" w:rsidRPr="00907727" w:rsidRDefault="0011284E" w:rsidP="0003647B">
            <w:pPr>
              <w:rPr>
                <w:b w:val="0"/>
                <w:bCs/>
              </w:rPr>
            </w:pPr>
            <w:r>
              <w:rPr>
                <w:bCs/>
              </w:rPr>
              <w:t>Type of fee/contribution listed</w:t>
            </w:r>
          </w:p>
        </w:tc>
        <w:tc>
          <w:tcPr>
            <w:tcW w:w="2655" w:type="dxa"/>
          </w:tcPr>
          <w:p w14:paraId="2ECF9F18" w14:textId="77777777" w:rsidR="0011284E" w:rsidRPr="00907727" w:rsidRDefault="0011284E" w:rsidP="0003647B">
            <w:pPr>
              <w:rPr>
                <w:b w:val="0"/>
                <w:bCs/>
              </w:rPr>
            </w:pPr>
            <w:r w:rsidRPr="00907727">
              <w:rPr>
                <w:bCs/>
              </w:rPr>
              <w:t xml:space="preserve">Possible </w:t>
            </w:r>
            <w:r>
              <w:rPr>
                <w:bCs/>
              </w:rPr>
              <w:t xml:space="preserve">Accommodation </w:t>
            </w:r>
            <w:r w:rsidRPr="00907727">
              <w:rPr>
                <w:bCs/>
              </w:rPr>
              <w:t>Cohort</w:t>
            </w:r>
          </w:p>
        </w:tc>
        <w:tc>
          <w:tcPr>
            <w:tcW w:w="1888" w:type="dxa"/>
          </w:tcPr>
          <w:p w14:paraId="6E1736D4" w14:textId="77777777" w:rsidR="0011284E" w:rsidRPr="00907727" w:rsidRDefault="0011284E" w:rsidP="0003647B">
            <w:pPr>
              <w:rPr>
                <w:b w:val="0"/>
                <w:bCs/>
              </w:rPr>
            </w:pPr>
            <w:r w:rsidRPr="00907727">
              <w:rPr>
                <w:bCs/>
              </w:rPr>
              <w:t>RAD</w:t>
            </w:r>
            <w:r>
              <w:rPr>
                <w:bCs/>
              </w:rPr>
              <w:t>/RAC</w:t>
            </w:r>
            <w:r w:rsidRPr="00907727">
              <w:rPr>
                <w:bCs/>
              </w:rPr>
              <w:t xml:space="preserve"> retention</w:t>
            </w:r>
          </w:p>
        </w:tc>
        <w:tc>
          <w:tcPr>
            <w:tcW w:w="1888" w:type="dxa"/>
          </w:tcPr>
          <w:p w14:paraId="0B9F5E6D" w14:textId="77777777" w:rsidR="0011284E" w:rsidRPr="00907727" w:rsidRDefault="0011284E" w:rsidP="0003647B">
            <w:pPr>
              <w:rPr>
                <w:b w:val="0"/>
                <w:bCs/>
              </w:rPr>
            </w:pPr>
            <w:r w:rsidRPr="00907727">
              <w:rPr>
                <w:bCs/>
              </w:rPr>
              <w:t>DAP indexation</w:t>
            </w:r>
          </w:p>
        </w:tc>
      </w:tr>
      <w:tr w:rsidR="0011284E" w14:paraId="560CCCD0" w14:textId="77777777" w:rsidTr="0003647B">
        <w:trPr>
          <w:trHeight w:val="300"/>
        </w:trPr>
        <w:tc>
          <w:tcPr>
            <w:tcW w:w="9016" w:type="dxa"/>
            <w:gridSpan w:val="6"/>
            <w:shd w:val="clear" w:color="auto" w:fill="F7DDE1" w:themeFill="accent4" w:themeFillTint="33"/>
          </w:tcPr>
          <w:p w14:paraId="2F6A32B6" w14:textId="77777777" w:rsidR="0011284E" w:rsidRPr="00092EC3" w:rsidRDefault="0011284E" w:rsidP="0003647B">
            <w:pPr>
              <w:rPr>
                <w:b/>
                <w:bCs/>
              </w:rPr>
            </w:pPr>
            <w:r w:rsidRPr="00092EC3">
              <w:rPr>
                <w:b/>
                <w:bCs/>
              </w:rPr>
              <w:t xml:space="preserve">Pre commencement letter (dated on or after 1 November 2025) </w:t>
            </w:r>
          </w:p>
          <w:p w14:paraId="182848C3" w14:textId="77777777" w:rsidR="0011284E" w:rsidRPr="00092EC3" w:rsidRDefault="0011284E" w:rsidP="0003647B">
            <w:pPr>
              <w:rPr>
                <w:b/>
                <w:bCs/>
              </w:rPr>
            </w:pPr>
            <w:r w:rsidRPr="12504AA9">
              <w:rPr>
                <w:b/>
                <w:bCs/>
              </w:rPr>
              <w:t xml:space="preserve">Fee advice letter – initial for your service </w:t>
            </w:r>
          </w:p>
          <w:p w14:paraId="5C7C0FBE" w14:textId="77777777" w:rsidR="0011284E" w:rsidRPr="00092EC3" w:rsidRDefault="0011284E" w:rsidP="0003647B">
            <w:pPr>
              <w:rPr>
                <w:sz w:val="18"/>
                <w:szCs w:val="18"/>
              </w:rPr>
            </w:pPr>
            <w:r w:rsidRPr="12504AA9">
              <w:rPr>
                <w:sz w:val="18"/>
                <w:szCs w:val="18"/>
              </w:rPr>
              <w:t>(not applicable to individuals accessing funded aged care services under specialist aged care programs)</w:t>
            </w:r>
          </w:p>
          <w:p w14:paraId="1E74E0FD" w14:textId="77777777" w:rsidR="0011284E" w:rsidRPr="00092EC3" w:rsidRDefault="0011284E" w:rsidP="0003647B">
            <w:pPr>
              <w:rPr>
                <w:b/>
                <w:bCs/>
              </w:rPr>
            </w:pPr>
            <w:r w:rsidRPr="176093B6">
              <w:rPr>
                <w:b/>
                <w:bCs/>
              </w:rPr>
              <w:t xml:space="preserve">Fee advice letter – previous service </w:t>
            </w:r>
          </w:p>
          <w:p w14:paraId="04E81225" w14:textId="77777777" w:rsidR="0011284E" w:rsidRPr="00092EC3" w:rsidRDefault="0011284E" w:rsidP="0003647B">
            <w:r w:rsidRPr="176093B6">
              <w:rPr>
                <w:sz w:val="18"/>
                <w:szCs w:val="18"/>
              </w:rPr>
              <w:t>(not applicable to individuals accessing funded aged care services under specialist aged care programs)</w:t>
            </w:r>
          </w:p>
        </w:tc>
      </w:tr>
      <w:tr w:rsidR="0011284E" w14:paraId="1C9F9F61" w14:textId="77777777" w:rsidTr="0003647B">
        <w:trPr>
          <w:trHeight w:val="300"/>
        </w:trPr>
        <w:tc>
          <w:tcPr>
            <w:tcW w:w="2585" w:type="dxa"/>
            <w:gridSpan w:val="3"/>
          </w:tcPr>
          <w:p w14:paraId="441A2A51" w14:textId="77777777" w:rsidR="0011284E" w:rsidRDefault="0011284E" w:rsidP="0003647B">
            <w:r>
              <w:t>Accommodation Payment</w:t>
            </w:r>
          </w:p>
        </w:tc>
        <w:tc>
          <w:tcPr>
            <w:tcW w:w="2655" w:type="dxa"/>
          </w:tcPr>
          <w:p w14:paraId="3AD64EB3" w14:textId="77777777" w:rsidR="0011284E" w:rsidRDefault="0011284E" w:rsidP="0003647B">
            <w:r>
              <w:t>2014</w:t>
            </w:r>
          </w:p>
          <w:p w14:paraId="4A960ABC" w14:textId="77777777" w:rsidR="0011284E" w:rsidRDefault="0011284E" w:rsidP="0003647B">
            <w:r>
              <w:t>2025</w:t>
            </w:r>
          </w:p>
        </w:tc>
        <w:tc>
          <w:tcPr>
            <w:tcW w:w="1888" w:type="dxa"/>
          </w:tcPr>
          <w:p w14:paraId="7926A2BD" w14:textId="77777777" w:rsidR="0011284E" w:rsidRDefault="0011284E" w:rsidP="0003647B">
            <w:r>
              <w:t>Not definitive</w:t>
            </w:r>
          </w:p>
        </w:tc>
        <w:tc>
          <w:tcPr>
            <w:tcW w:w="1888" w:type="dxa"/>
          </w:tcPr>
          <w:p w14:paraId="5A3E21B2" w14:textId="77777777" w:rsidR="0011284E" w:rsidRDefault="0011284E" w:rsidP="0003647B">
            <w:r>
              <w:t>Not definitive</w:t>
            </w:r>
          </w:p>
        </w:tc>
      </w:tr>
      <w:tr w:rsidR="0011284E" w14:paraId="0A6BE94E" w14:textId="77777777" w:rsidTr="0003647B">
        <w:trPr>
          <w:trHeight w:val="300"/>
        </w:trPr>
        <w:tc>
          <w:tcPr>
            <w:tcW w:w="2585" w:type="dxa"/>
            <w:gridSpan w:val="3"/>
          </w:tcPr>
          <w:p w14:paraId="32B20D6D" w14:textId="77777777" w:rsidR="0011284E" w:rsidRDefault="0011284E" w:rsidP="0003647B">
            <w:r>
              <w:t xml:space="preserve">Daily Accommodation Contribution </w:t>
            </w:r>
          </w:p>
        </w:tc>
        <w:tc>
          <w:tcPr>
            <w:tcW w:w="2655" w:type="dxa"/>
          </w:tcPr>
          <w:p w14:paraId="73B9E97C" w14:textId="77777777" w:rsidR="0011284E" w:rsidRDefault="0011284E" w:rsidP="0003647B">
            <w:r>
              <w:t>2014</w:t>
            </w:r>
          </w:p>
          <w:p w14:paraId="3E3F208D" w14:textId="77777777" w:rsidR="0011284E" w:rsidRDefault="0011284E" w:rsidP="0003647B">
            <w:r>
              <w:t>2025</w:t>
            </w:r>
          </w:p>
        </w:tc>
        <w:tc>
          <w:tcPr>
            <w:tcW w:w="1888" w:type="dxa"/>
          </w:tcPr>
          <w:p w14:paraId="16D08749" w14:textId="77777777" w:rsidR="0011284E" w:rsidRDefault="0011284E" w:rsidP="0003647B">
            <w:r>
              <w:t>Not definitive</w:t>
            </w:r>
          </w:p>
        </w:tc>
        <w:tc>
          <w:tcPr>
            <w:tcW w:w="1888" w:type="dxa"/>
          </w:tcPr>
          <w:p w14:paraId="58E2A8A0" w14:textId="77777777" w:rsidR="0011284E" w:rsidRDefault="0011284E" w:rsidP="0003647B">
            <w:r>
              <w:t>Not definitive</w:t>
            </w:r>
          </w:p>
        </w:tc>
      </w:tr>
      <w:tr w:rsidR="0011284E" w14:paraId="02D7AEBC" w14:textId="77777777" w:rsidTr="0003647B">
        <w:trPr>
          <w:trHeight w:val="300"/>
        </w:trPr>
        <w:tc>
          <w:tcPr>
            <w:tcW w:w="2585" w:type="dxa"/>
            <w:gridSpan w:val="3"/>
          </w:tcPr>
          <w:p w14:paraId="68E20D61" w14:textId="77777777" w:rsidR="0011284E" w:rsidRDefault="0011284E" w:rsidP="0003647B">
            <w:r>
              <w:t>Means tested Care Fee</w:t>
            </w:r>
          </w:p>
        </w:tc>
        <w:tc>
          <w:tcPr>
            <w:tcW w:w="2655" w:type="dxa"/>
          </w:tcPr>
          <w:p w14:paraId="43283D58" w14:textId="77777777" w:rsidR="0011284E" w:rsidRDefault="0011284E" w:rsidP="0003647B">
            <w:r>
              <w:t>2014</w:t>
            </w:r>
          </w:p>
          <w:p w14:paraId="79C64383" w14:textId="77777777" w:rsidR="0011284E" w:rsidRDefault="0011284E" w:rsidP="0003647B">
            <w:r>
              <w:t>2025 **</w:t>
            </w:r>
          </w:p>
        </w:tc>
        <w:tc>
          <w:tcPr>
            <w:tcW w:w="1888" w:type="dxa"/>
          </w:tcPr>
          <w:p w14:paraId="46190408" w14:textId="77777777" w:rsidR="0011284E" w:rsidRDefault="0011284E" w:rsidP="0003647B">
            <w:r>
              <w:t>Not definitive</w:t>
            </w:r>
          </w:p>
        </w:tc>
        <w:tc>
          <w:tcPr>
            <w:tcW w:w="1888" w:type="dxa"/>
          </w:tcPr>
          <w:p w14:paraId="48BC8218" w14:textId="77777777" w:rsidR="0011284E" w:rsidRDefault="0011284E" w:rsidP="0003647B">
            <w:r>
              <w:t>Not definitive</w:t>
            </w:r>
          </w:p>
        </w:tc>
      </w:tr>
      <w:tr w:rsidR="0011284E" w14:paraId="6BF84A1C" w14:textId="77777777" w:rsidTr="0003647B">
        <w:trPr>
          <w:trHeight w:val="300"/>
        </w:trPr>
        <w:tc>
          <w:tcPr>
            <w:tcW w:w="2585" w:type="dxa"/>
          </w:tcPr>
          <w:p w14:paraId="275717DF" w14:textId="77777777" w:rsidR="0011284E" w:rsidRDefault="0011284E" w:rsidP="0003647B">
            <w:r>
              <w:t>Hotelling Contribution</w:t>
            </w:r>
          </w:p>
        </w:tc>
        <w:tc>
          <w:tcPr>
            <w:tcW w:w="2655" w:type="dxa"/>
          </w:tcPr>
          <w:p w14:paraId="533B9AFB" w14:textId="77777777" w:rsidR="0011284E" w:rsidRDefault="0011284E" w:rsidP="0003647B">
            <w:r>
              <w:t>2025</w:t>
            </w:r>
          </w:p>
        </w:tc>
        <w:tc>
          <w:tcPr>
            <w:tcW w:w="1888" w:type="dxa"/>
          </w:tcPr>
          <w:p w14:paraId="30B57F47" w14:textId="77777777" w:rsidR="0011284E" w:rsidRDefault="0011284E" w:rsidP="0003647B">
            <w:r>
              <w:t>Yes</w:t>
            </w:r>
          </w:p>
        </w:tc>
        <w:tc>
          <w:tcPr>
            <w:tcW w:w="1888" w:type="dxa"/>
            <w:gridSpan w:val="3"/>
          </w:tcPr>
          <w:p w14:paraId="3DE09671" w14:textId="77777777" w:rsidR="0011284E" w:rsidRDefault="0011284E" w:rsidP="0003647B">
            <w:r>
              <w:t>Yes</w:t>
            </w:r>
          </w:p>
        </w:tc>
      </w:tr>
      <w:tr w:rsidR="0011284E" w14:paraId="65B69343" w14:textId="77777777" w:rsidTr="0003647B">
        <w:trPr>
          <w:trHeight w:val="300"/>
        </w:trPr>
        <w:tc>
          <w:tcPr>
            <w:tcW w:w="2585" w:type="dxa"/>
          </w:tcPr>
          <w:p w14:paraId="2F4004F1" w14:textId="77777777" w:rsidR="0011284E" w:rsidRDefault="0011284E" w:rsidP="0003647B">
            <w:proofErr w:type="gramStart"/>
            <w:r>
              <w:t>Non Clinical</w:t>
            </w:r>
            <w:proofErr w:type="gramEnd"/>
            <w:r>
              <w:t xml:space="preserve"> Care Contribution</w:t>
            </w:r>
          </w:p>
        </w:tc>
        <w:tc>
          <w:tcPr>
            <w:tcW w:w="2655" w:type="dxa"/>
          </w:tcPr>
          <w:p w14:paraId="460A5343" w14:textId="77777777" w:rsidR="0011284E" w:rsidRDefault="0011284E" w:rsidP="0003647B">
            <w:r>
              <w:t>2025</w:t>
            </w:r>
          </w:p>
        </w:tc>
        <w:tc>
          <w:tcPr>
            <w:tcW w:w="1888" w:type="dxa"/>
          </w:tcPr>
          <w:p w14:paraId="152916A5" w14:textId="77777777" w:rsidR="0011284E" w:rsidRDefault="0011284E" w:rsidP="0003647B">
            <w:r>
              <w:t>Yes</w:t>
            </w:r>
          </w:p>
        </w:tc>
        <w:tc>
          <w:tcPr>
            <w:tcW w:w="1888" w:type="dxa"/>
            <w:gridSpan w:val="3"/>
          </w:tcPr>
          <w:p w14:paraId="64568198" w14:textId="77777777" w:rsidR="0011284E" w:rsidRDefault="0011284E" w:rsidP="0003647B">
            <w:r>
              <w:t>Yes</w:t>
            </w:r>
          </w:p>
        </w:tc>
      </w:tr>
      <w:tr w:rsidR="0011284E" w14:paraId="1C37575F" w14:textId="77777777" w:rsidTr="0003647B">
        <w:trPr>
          <w:trHeight w:val="300"/>
        </w:trPr>
        <w:tc>
          <w:tcPr>
            <w:tcW w:w="9016" w:type="dxa"/>
            <w:gridSpan w:val="6"/>
            <w:shd w:val="clear" w:color="auto" w:fill="F7DDE1" w:themeFill="accent4" w:themeFillTint="33"/>
          </w:tcPr>
          <w:p w14:paraId="283C5286" w14:textId="77777777" w:rsidR="0011284E" w:rsidRDefault="0011284E" w:rsidP="0003647B">
            <w:pPr>
              <w:rPr>
                <w:b/>
                <w:bCs/>
              </w:rPr>
            </w:pPr>
            <w:r w:rsidRPr="00FD69FA">
              <w:rPr>
                <w:b/>
                <w:bCs/>
              </w:rPr>
              <w:t>Fee advice letter – initial for your service</w:t>
            </w:r>
            <w:r>
              <w:rPr>
                <w:b/>
                <w:bCs/>
              </w:rPr>
              <w:t xml:space="preserve"> </w:t>
            </w:r>
          </w:p>
          <w:p w14:paraId="2D36A8B6" w14:textId="77777777" w:rsidR="0011284E" w:rsidRDefault="0011284E" w:rsidP="0003647B">
            <w:pPr>
              <w:rPr>
                <w:b/>
                <w:bCs/>
              </w:rPr>
            </w:pPr>
            <w:r w:rsidRPr="5B80ADD7">
              <w:rPr>
                <w:b/>
                <w:bCs/>
              </w:rPr>
              <w:t>Fee advice letter – previous service</w:t>
            </w:r>
          </w:p>
          <w:p w14:paraId="24F31347" w14:textId="77777777" w:rsidR="0011284E" w:rsidRPr="008D7F40" w:rsidRDefault="0011284E" w:rsidP="0003647B">
            <w:pPr>
              <w:rPr>
                <w:sz w:val="18"/>
                <w:szCs w:val="18"/>
              </w:rPr>
            </w:pPr>
            <w:r w:rsidRPr="008D7F40">
              <w:rPr>
                <w:sz w:val="18"/>
                <w:szCs w:val="18"/>
              </w:rPr>
              <w:t>(not applicable to individuals accessing funded aged care services under specialist aged care programs)</w:t>
            </w:r>
          </w:p>
        </w:tc>
      </w:tr>
      <w:tr w:rsidR="0011284E" w14:paraId="35D6608B" w14:textId="77777777" w:rsidTr="0003647B">
        <w:trPr>
          <w:trHeight w:val="300"/>
        </w:trPr>
        <w:tc>
          <w:tcPr>
            <w:tcW w:w="2585" w:type="dxa"/>
            <w:gridSpan w:val="3"/>
          </w:tcPr>
          <w:p w14:paraId="121FA36B" w14:textId="77777777" w:rsidR="0011284E" w:rsidRDefault="0011284E" w:rsidP="0003647B">
            <w:r>
              <w:t>Accommodation charge***</w:t>
            </w:r>
          </w:p>
        </w:tc>
        <w:tc>
          <w:tcPr>
            <w:tcW w:w="2655" w:type="dxa"/>
          </w:tcPr>
          <w:p w14:paraId="62CCF36C" w14:textId="77777777" w:rsidR="0011284E" w:rsidRDefault="0011284E" w:rsidP="0003647B">
            <w:r>
              <w:t>Pre 2014</w:t>
            </w:r>
          </w:p>
        </w:tc>
        <w:tc>
          <w:tcPr>
            <w:tcW w:w="1888" w:type="dxa"/>
          </w:tcPr>
          <w:p w14:paraId="6BA34EDF" w14:textId="77777777" w:rsidR="0011284E" w:rsidRDefault="0011284E" w:rsidP="0003647B">
            <w:r>
              <w:t xml:space="preserve">No </w:t>
            </w:r>
          </w:p>
        </w:tc>
        <w:tc>
          <w:tcPr>
            <w:tcW w:w="1888" w:type="dxa"/>
          </w:tcPr>
          <w:p w14:paraId="7315BCA4" w14:textId="77777777" w:rsidR="0011284E" w:rsidRDefault="0011284E" w:rsidP="0003647B">
            <w:proofErr w:type="gramStart"/>
            <w:r>
              <w:t>Generally</w:t>
            </w:r>
            <w:proofErr w:type="gramEnd"/>
            <w:r>
              <w:t xml:space="preserve"> no.</w:t>
            </w:r>
          </w:p>
          <w:p w14:paraId="23F2D4B1" w14:textId="77777777" w:rsidR="0011284E" w:rsidRDefault="0011284E" w:rsidP="0003647B">
            <w:r>
              <w:t xml:space="preserve">Yes: if resident enters a service after opting into the 2025 fee arrangements. </w:t>
            </w:r>
          </w:p>
        </w:tc>
      </w:tr>
      <w:tr w:rsidR="0011284E" w14:paraId="11DD4BAE" w14:textId="77777777" w:rsidTr="0003647B">
        <w:trPr>
          <w:trHeight w:val="300"/>
        </w:trPr>
        <w:tc>
          <w:tcPr>
            <w:tcW w:w="2585" w:type="dxa"/>
            <w:gridSpan w:val="3"/>
          </w:tcPr>
          <w:p w14:paraId="7C4290F4" w14:textId="77777777" w:rsidR="0011284E" w:rsidRDefault="0011284E" w:rsidP="0003647B">
            <w:r>
              <w:lastRenderedPageBreak/>
              <w:t>Income tested fee***</w:t>
            </w:r>
          </w:p>
          <w:p w14:paraId="20BFE664" w14:textId="77777777" w:rsidR="0011284E" w:rsidRDefault="0011284E" w:rsidP="0003647B">
            <w:pPr>
              <w:rPr>
                <w:rFonts w:eastAsia="Arial" w:cs="Arial"/>
                <w:szCs w:val="20"/>
              </w:rPr>
            </w:pPr>
            <w:r w:rsidRPr="72E16319">
              <w:rPr>
                <w:rFonts w:ascii="Segoe UI" w:eastAsia="Segoe UI" w:hAnsi="Segoe UI" w:cs="Segoe UI"/>
                <w:color w:val="333333"/>
                <w:sz w:val="18"/>
                <w:szCs w:val="18"/>
              </w:rPr>
              <w:t xml:space="preserve">Note: this is the </w:t>
            </w:r>
            <w:proofErr w:type="gramStart"/>
            <w:r w:rsidRPr="72E16319">
              <w:rPr>
                <w:rFonts w:ascii="Segoe UI" w:eastAsia="Segoe UI" w:hAnsi="Segoe UI" w:cs="Segoe UI"/>
                <w:color w:val="333333"/>
                <w:sz w:val="18"/>
                <w:szCs w:val="18"/>
              </w:rPr>
              <w:t>pre 1 July 2014</w:t>
            </w:r>
            <w:proofErr w:type="gramEnd"/>
            <w:r w:rsidRPr="72E16319">
              <w:rPr>
                <w:rFonts w:ascii="Segoe UI" w:eastAsia="Segoe UI" w:hAnsi="Segoe UI" w:cs="Segoe UI"/>
                <w:color w:val="333333"/>
                <w:sz w:val="18"/>
                <w:szCs w:val="18"/>
              </w:rPr>
              <w:t xml:space="preserve"> income tested fee (not the post 1 July 2014 Home Care income tested care fee)</w:t>
            </w:r>
          </w:p>
        </w:tc>
        <w:tc>
          <w:tcPr>
            <w:tcW w:w="2655" w:type="dxa"/>
          </w:tcPr>
          <w:p w14:paraId="7CF646A4" w14:textId="77777777" w:rsidR="0011284E" w:rsidRDefault="0011284E" w:rsidP="0003647B">
            <w:r>
              <w:t>Pre 2014</w:t>
            </w:r>
          </w:p>
        </w:tc>
        <w:tc>
          <w:tcPr>
            <w:tcW w:w="1888" w:type="dxa"/>
          </w:tcPr>
          <w:p w14:paraId="0F010A40" w14:textId="77777777" w:rsidR="0011284E" w:rsidRDefault="0011284E" w:rsidP="0003647B">
            <w:r>
              <w:t>No</w:t>
            </w:r>
          </w:p>
        </w:tc>
        <w:tc>
          <w:tcPr>
            <w:tcW w:w="1888" w:type="dxa"/>
          </w:tcPr>
          <w:p w14:paraId="35F2F8B7" w14:textId="77777777" w:rsidR="0011284E" w:rsidRDefault="0011284E" w:rsidP="0003647B">
            <w:proofErr w:type="gramStart"/>
            <w:r>
              <w:t>Generally</w:t>
            </w:r>
            <w:proofErr w:type="gramEnd"/>
            <w:r>
              <w:t xml:space="preserve"> no</w:t>
            </w:r>
          </w:p>
          <w:p w14:paraId="453C588D" w14:textId="77777777" w:rsidR="0011284E" w:rsidRDefault="0011284E" w:rsidP="0003647B">
            <w:r>
              <w:t>.</w:t>
            </w:r>
          </w:p>
          <w:p w14:paraId="371DEB6B" w14:textId="77777777" w:rsidR="0011284E" w:rsidRDefault="0011284E" w:rsidP="0003647B">
            <w:r>
              <w:t>Yes: if resident enters a service after opting into the 2025 fee arrangements.</w:t>
            </w:r>
          </w:p>
        </w:tc>
      </w:tr>
    </w:tbl>
    <w:p w14:paraId="71AD0396" w14:textId="77777777" w:rsidR="0011284E" w:rsidRDefault="0011284E" w:rsidP="0011284E"/>
    <w:p w14:paraId="156F863C" w14:textId="77777777" w:rsidR="0011284E" w:rsidRDefault="0011284E" w:rsidP="0011284E">
      <w:r w:rsidRPr="004E3D39">
        <w:t xml:space="preserve">Note: The absence of fee types in a Services Australia letter does not, on its own, confirm that a resident has not entered prior to 1 November 2025. </w:t>
      </w:r>
    </w:p>
    <w:p w14:paraId="727D5F45" w14:textId="77777777" w:rsidR="0011284E" w:rsidRDefault="0011284E" w:rsidP="0011284E">
      <w:r>
        <w:t>Note: **Individuals who were receiving a home care package or approved and on the wait list for a home care package allocation on 12 September 2024 are assessed under the post 1 July 2014 means testing arrangements for their resident contributions and the 1 November 2025. accommodation arrangements for their accommodation costs. RAD/RAC retention and DAP indexation arrangements apply to these individuals. ￼</w:t>
      </w:r>
    </w:p>
    <w:p w14:paraId="4EBCD21A" w14:textId="77777777" w:rsidR="0011284E" w:rsidRDefault="0011284E" w:rsidP="0011284E">
      <w:r>
        <w:t>Note: ***</w:t>
      </w:r>
      <w:r w:rsidRPr="72E16319">
        <w:rPr>
          <w:rFonts w:ascii="Segoe UI" w:eastAsia="Segoe UI" w:hAnsi="Segoe UI" w:cs="Segoe UI"/>
          <w:color w:val="333333"/>
          <w:sz w:val="18"/>
          <w:szCs w:val="18"/>
        </w:rPr>
        <w:t xml:space="preserve"> </w:t>
      </w:r>
      <w:r w:rsidRPr="72E16319">
        <w:rPr>
          <w:rFonts w:eastAsiaTheme="minorEastAsia"/>
        </w:rPr>
        <w:t xml:space="preserve">when either an accommodation charge or income tested fee appear on the initial fee advice letter for your service, the person is still on the </w:t>
      </w:r>
      <w:proofErr w:type="gramStart"/>
      <w:r w:rsidRPr="72E16319">
        <w:rPr>
          <w:rFonts w:eastAsiaTheme="minorEastAsia"/>
        </w:rPr>
        <w:t>pre 1 July 2014</w:t>
      </w:r>
      <w:proofErr w:type="gramEnd"/>
      <w:r w:rsidRPr="72E16319">
        <w:rPr>
          <w:rFonts w:eastAsiaTheme="minorEastAsia"/>
        </w:rPr>
        <w:t xml:space="preserve"> fee arrangements. If the fee advice letter was from a previous service, DAP indexation will apply from entry to an aged care home only if the individual has opted into the 1 November 20205 means testing arrangements before entering that aged care home.</w:t>
      </w:r>
      <w:r>
        <w:br w:type="page"/>
      </w:r>
    </w:p>
    <w:p w14:paraId="3CD508FC" w14:textId="3F2BC781" w:rsidR="0011284E" w:rsidRDefault="00CB1688" w:rsidP="00CB1688">
      <w:pPr>
        <w:pStyle w:val="Heading2"/>
      </w:pPr>
      <w:r>
        <w:lastRenderedPageBreak/>
        <w:t xml:space="preserve">Attachment </w:t>
      </w:r>
      <w:r w:rsidR="0011284E">
        <w:t>B</w:t>
      </w:r>
    </w:p>
    <w:p w14:paraId="53C687B5" w14:textId="77777777" w:rsidR="0011284E" w:rsidRDefault="0011284E" w:rsidP="0011284E">
      <w:r>
        <w:t>A previous admission to ongoing residential care must be in a residential care home under the same funding arrangements as your service to be recognised as per the table below.</w:t>
      </w:r>
    </w:p>
    <w:p w14:paraId="025114A2" w14:textId="77777777" w:rsidR="0011284E" w:rsidRDefault="0011284E" w:rsidP="0011284E">
      <w:pPr>
        <w:rPr>
          <w:b/>
          <w:bCs/>
        </w:rPr>
      </w:pPr>
    </w:p>
    <w:tbl>
      <w:tblPr>
        <w:tblStyle w:val="TableGrid"/>
        <w:tblW w:w="0" w:type="auto"/>
        <w:tblInd w:w="360" w:type="dxa"/>
        <w:tblLook w:val="06A0" w:firstRow="1" w:lastRow="0" w:firstColumn="1" w:lastColumn="0" w:noHBand="1" w:noVBand="1"/>
      </w:tblPr>
      <w:tblGrid>
        <w:gridCol w:w="2159"/>
        <w:gridCol w:w="3859"/>
        <w:gridCol w:w="2638"/>
      </w:tblGrid>
      <w:tr w:rsidR="0011284E" w14:paraId="4A38B80E" w14:textId="77777777" w:rsidTr="0003647B">
        <w:trPr>
          <w:cnfStyle w:val="100000000000" w:firstRow="1" w:lastRow="0" w:firstColumn="0" w:lastColumn="0" w:oddVBand="0" w:evenVBand="0" w:oddHBand="0" w:evenHBand="0" w:firstRowFirstColumn="0" w:firstRowLastColumn="0" w:lastRowFirstColumn="0" w:lastRowLastColumn="0"/>
          <w:trHeight w:val="300"/>
        </w:trPr>
        <w:tc>
          <w:tcPr>
            <w:tcW w:w="2159" w:type="dxa"/>
          </w:tcPr>
          <w:p w14:paraId="7B913136" w14:textId="77777777" w:rsidR="0011284E" w:rsidRPr="0039099D" w:rsidRDefault="0011284E" w:rsidP="0003647B">
            <w:pPr>
              <w:rPr>
                <w:b w:val="0"/>
              </w:rPr>
            </w:pPr>
            <w:r w:rsidRPr="0039099D">
              <w:t>Your service</w:t>
            </w:r>
          </w:p>
        </w:tc>
        <w:tc>
          <w:tcPr>
            <w:tcW w:w="3859" w:type="dxa"/>
          </w:tcPr>
          <w:p w14:paraId="0C19E4D3" w14:textId="77777777" w:rsidR="0011284E" w:rsidRPr="0039099D" w:rsidRDefault="0011284E" w:rsidP="0003647B">
            <w:pPr>
              <w:rPr>
                <w:b w:val="0"/>
              </w:rPr>
            </w:pPr>
            <w:r w:rsidRPr="0039099D">
              <w:t>Previous admission</w:t>
            </w:r>
          </w:p>
        </w:tc>
        <w:tc>
          <w:tcPr>
            <w:tcW w:w="2638" w:type="dxa"/>
          </w:tcPr>
          <w:p w14:paraId="586C34F6" w14:textId="77777777" w:rsidR="0011284E" w:rsidRPr="0039099D" w:rsidRDefault="0011284E" w:rsidP="0003647B">
            <w:pPr>
              <w:rPr>
                <w:b w:val="0"/>
              </w:rPr>
            </w:pPr>
            <w:r w:rsidRPr="0039099D">
              <w:t xml:space="preserve">Is this </w:t>
            </w:r>
            <w:r>
              <w:rPr>
                <w:bCs/>
              </w:rPr>
              <w:t xml:space="preserve">considered </w:t>
            </w:r>
            <w:r w:rsidRPr="0039099D">
              <w:t>a first admission</w:t>
            </w:r>
          </w:p>
        </w:tc>
      </w:tr>
      <w:tr w:rsidR="0011284E" w14:paraId="61CEA09F" w14:textId="77777777" w:rsidTr="0003647B">
        <w:trPr>
          <w:trHeight w:val="300"/>
        </w:trPr>
        <w:tc>
          <w:tcPr>
            <w:tcW w:w="2159" w:type="dxa"/>
            <w:vMerge w:val="restart"/>
          </w:tcPr>
          <w:p w14:paraId="7CF9C022" w14:textId="77777777" w:rsidR="0011284E" w:rsidRDefault="0011284E" w:rsidP="0003647B">
            <w:r>
              <w:t>You are a registered provider delivering services through a multi-purpose service under a specialist aged care program</w:t>
            </w:r>
          </w:p>
        </w:tc>
        <w:tc>
          <w:tcPr>
            <w:tcW w:w="3859" w:type="dxa"/>
          </w:tcPr>
          <w:p w14:paraId="144CCA65" w14:textId="77777777" w:rsidR="0011284E" w:rsidRDefault="0011284E" w:rsidP="0003647B">
            <w:r>
              <w:t xml:space="preserve">Your service </w:t>
            </w:r>
          </w:p>
          <w:p w14:paraId="60FD49D9" w14:textId="77777777" w:rsidR="0011284E" w:rsidRDefault="0011284E" w:rsidP="0003647B"/>
          <w:p w14:paraId="7006FCC5" w14:textId="77777777" w:rsidR="0011284E" w:rsidRDefault="0011284E" w:rsidP="0003647B">
            <w:r>
              <w:t>OR</w:t>
            </w:r>
          </w:p>
          <w:p w14:paraId="571C03D5" w14:textId="77777777" w:rsidR="0011284E" w:rsidRDefault="0011284E" w:rsidP="0003647B"/>
          <w:p w14:paraId="68CBDC5E" w14:textId="77777777" w:rsidR="0011284E" w:rsidRDefault="0011284E" w:rsidP="0003647B">
            <w:r>
              <w:t>Another multi-purpose service</w:t>
            </w:r>
          </w:p>
        </w:tc>
        <w:tc>
          <w:tcPr>
            <w:tcW w:w="2638" w:type="dxa"/>
          </w:tcPr>
          <w:p w14:paraId="6FD1E1C1" w14:textId="77777777" w:rsidR="0011284E" w:rsidRDefault="0011284E" w:rsidP="0003647B">
            <w:r>
              <w:t>No</w:t>
            </w:r>
          </w:p>
        </w:tc>
      </w:tr>
      <w:tr w:rsidR="0011284E" w14:paraId="28A79226" w14:textId="77777777" w:rsidTr="0003647B">
        <w:trPr>
          <w:trHeight w:val="300"/>
        </w:trPr>
        <w:tc>
          <w:tcPr>
            <w:tcW w:w="2159" w:type="dxa"/>
            <w:vMerge/>
          </w:tcPr>
          <w:p w14:paraId="4EF4E92C" w14:textId="77777777" w:rsidR="0011284E" w:rsidRDefault="0011284E" w:rsidP="0003647B"/>
        </w:tc>
        <w:tc>
          <w:tcPr>
            <w:tcW w:w="3859" w:type="dxa"/>
          </w:tcPr>
          <w:p w14:paraId="24A22F07" w14:textId="77777777" w:rsidR="0011284E" w:rsidRDefault="0011284E" w:rsidP="0003647B"/>
          <w:p w14:paraId="7CF2E48C" w14:textId="77777777" w:rsidR="0011284E" w:rsidRDefault="0011284E" w:rsidP="0003647B">
            <w:r>
              <w:t>Another service that is not a multi-purpose service under the specialist aged care program</w:t>
            </w:r>
          </w:p>
          <w:p w14:paraId="0D36DA3B" w14:textId="77777777" w:rsidR="0011284E" w:rsidRDefault="0011284E" w:rsidP="0003647B"/>
        </w:tc>
        <w:tc>
          <w:tcPr>
            <w:tcW w:w="2638" w:type="dxa"/>
          </w:tcPr>
          <w:p w14:paraId="0C5EB738" w14:textId="77777777" w:rsidR="0011284E" w:rsidRDefault="0011284E" w:rsidP="0003647B">
            <w:r>
              <w:t>Yes</w:t>
            </w:r>
          </w:p>
        </w:tc>
      </w:tr>
      <w:tr w:rsidR="0011284E" w14:paraId="6F53A034" w14:textId="77777777" w:rsidTr="0003647B">
        <w:trPr>
          <w:trHeight w:val="600"/>
        </w:trPr>
        <w:tc>
          <w:tcPr>
            <w:tcW w:w="2159" w:type="dxa"/>
            <w:vMerge w:val="restart"/>
          </w:tcPr>
          <w:p w14:paraId="3F9E7520" w14:textId="77777777" w:rsidR="0011284E" w:rsidRDefault="0011284E" w:rsidP="0003647B">
            <w:r>
              <w:t>You are a registered provider delivering services but not a multi-purpose service under the specialist aged care program</w:t>
            </w:r>
          </w:p>
        </w:tc>
        <w:tc>
          <w:tcPr>
            <w:tcW w:w="3859" w:type="dxa"/>
          </w:tcPr>
          <w:p w14:paraId="3D0024BE" w14:textId="77777777" w:rsidR="0011284E" w:rsidRDefault="0011284E" w:rsidP="0003647B">
            <w:r>
              <w:t xml:space="preserve">Your service </w:t>
            </w:r>
          </w:p>
          <w:p w14:paraId="498E57E0" w14:textId="77777777" w:rsidR="0011284E" w:rsidRDefault="0011284E" w:rsidP="0003647B"/>
          <w:p w14:paraId="74CE17D2" w14:textId="77777777" w:rsidR="0011284E" w:rsidRDefault="0011284E" w:rsidP="0003647B">
            <w:r>
              <w:t>OR</w:t>
            </w:r>
          </w:p>
          <w:p w14:paraId="2174BF43" w14:textId="77777777" w:rsidR="0011284E" w:rsidRDefault="0011284E" w:rsidP="0003647B"/>
          <w:p w14:paraId="16DA3D71" w14:textId="77777777" w:rsidR="0011284E" w:rsidRDefault="0011284E" w:rsidP="0003647B">
            <w:r>
              <w:t xml:space="preserve">Another service </w:t>
            </w:r>
          </w:p>
        </w:tc>
        <w:tc>
          <w:tcPr>
            <w:tcW w:w="2638" w:type="dxa"/>
          </w:tcPr>
          <w:p w14:paraId="4D73D232" w14:textId="77777777" w:rsidR="0011284E" w:rsidRDefault="0011284E" w:rsidP="0003647B">
            <w:r>
              <w:t>No</w:t>
            </w:r>
            <w:r w:rsidRPr="48977772">
              <w:rPr>
                <w:b/>
                <w:bCs/>
              </w:rPr>
              <w:t xml:space="preserve"> </w:t>
            </w:r>
          </w:p>
        </w:tc>
      </w:tr>
      <w:tr w:rsidR="0011284E" w14:paraId="7BBFA593" w14:textId="77777777" w:rsidTr="0003647B">
        <w:trPr>
          <w:trHeight w:val="600"/>
        </w:trPr>
        <w:tc>
          <w:tcPr>
            <w:tcW w:w="2159" w:type="dxa"/>
            <w:vMerge/>
          </w:tcPr>
          <w:p w14:paraId="7635D523" w14:textId="77777777" w:rsidR="0011284E" w:rsidRDefault="0011284E" w:rsidP="0003647B"/>
        </w:tc>
        <w:tc>
          <w:tcPr>
            <w:tcW w:w="3859" w:type="dxa"/>
          </w:tcPr>
          <w:p w14:paraId="0A3E8F70" w14:textId="77777777" w:rsidR="0011284E" w:rsidRDefault="0011284E" w:rsidP="0003647B"/>
          <w:p w14:paraId="1D116892" w14:textId="77777777" w:rsidR="0011284E" w:rsidRDefault="0011284E" w:rsidP="0003647B">
            <w:r>
              <w:t>Another service that is a multi-purpose service under the specialist aged care program</w:t>
            </w:r>
          </w:p>
          <w:p w14:paraId="3FE57B50" w14:textId="77777777" w:rsidR="0011284E" w:rsidRDefault="0011284E" w:rsidP="0003647B"/>
        </w:tc>
        <w:tc>
          <w:tcPr>
            <w:tcW w:w="2638" w:type="dxa"/>
          </w:tcPr>
          <w:p w14:paraId="61B87078" w14:textId="77777777" w:rsidR="0011284E" w:rsidRDefault="0011284E" w:rsidP="0003647B">
            <w:r>
              <w:t>Yes</w:t>
            </w:r>
          </w:p>
        </w:tc>
      </w:tr>
    </w:tbl>
    <w:p w14:paraId="023FED85" w14:textId="77777777" w:rsidR="0011284E" w:rsidRDefault="0011284E" w:rsidP="0011284E">
      <w:pPr>
        <w:rPr>
          <w:b/>
          <w:bCs/>
        </w:rPr>
      </w:pPr>
    </w:p>
    <w:p w14:paraId="6987B732" w14:textId="77777777" w:rsidR="0011284E" w:rsidRPr="004551EA" w:rsidRDefault="0011284E" w:rsidP="0011284E">
      <w:pPr>
        <w:spacing w:after="0"/>
        <w:rPr>
          <w:rFonts w:eastAsia="Aptos" w:cs="Arial"/>
          <w:szCs w:val="20"/>
        </w:rPr>
      </w:pPr>
      <w:r w:rsidRPr="004551EA">
        <w:rPr>
          <w:rFonts w:eastAsia="Aptos" w:cs="Arial"/>
          <w:szCs w:val="20"/>
        </w:rPr>
        <w:t>For example: for residents entering permanent aged care:</w:t>
      </w:r>
    </w:p>
    <w:p w14:paraId="168BD5A1" w14:textId="77777777" w:rsidR="0011284E" w:rsidRPr="004551EA" w:rsidRDefault="0011284E" w:rsidP="0011284E">
      <w:pPr>
        <w:spacing w:after="0"/>
        <w:ind w:left="360"/>
        <w:rPr>
          <w:rFonts w:eastAsia="Aptos" w:cs="Arial"/>
          <w:szCs w:val="20"/>
        </w:rPr>
      </w:pPr>
      <w:r w:rsidRPr="004551EA">
        <w:rPr>
          <w:rFonts w:eastAsia="Aptos" w:cs="Arial"/>
          <w:szCs w:val="20"/>
        </w:rPr>
        <w:t>If you are a registered provider delivering services through a multi-purpose service under a specialist aged care program</w:t>
      </w:r>
      <w:r>
        <w:rPr>
          <w:rFonts w:eastAsia="Aptos" w:cs="Arial"/>
          <w:szCs w:val="20"/>
        </w:rPr>
        <w:t>:</w:t>
      </w:r>
    </w:p>
    <w:p w14:paraId="0D8F5184" w14:textId="77777777" w:rsidR="0011284E" w:rsidRPr="004551EA" w:rsidRDefault="0011284E" w:rsidP="0011284E">
      <w:pPr>
        <w:pStyle w:val="ListParagraph"/>
        <w:numPr>
          <w:ilvl w:val="0"/>
          <w:numId w:val="23"/>
        </w:numPr>
        <w:spacing w:before="0" w:after="0" w:line="259" w:lineRule="auto"/>
        <w:rPr>
          <w:rFonts w:eastAsia="Aptos" w:cs="Arial"/>
          <w:szCs w:val="20"/>
        </w:rPr>
      </w:pPr>
      <w:r w:rsidRPr="004551EA">
        <w:rPr>
          <w:rFonts w:eastAsia="Aptos" w:cs="Arial"/>
          <w:szCs w:val="20"/>
        </w:rPr>
        <w:t>Where the resident has had:</w:t>
      </w:r>
    </w:p>
    <w:p w14:paraId="4E36E821" w14:textId="77777777" w:rsidR="0011284E" w:rsidRPr="004551EA" w:rsidRDefault="0011284E" w:rsidP="0011284E">
      <w:pPr>
        <w:pStyle w:val="ListParagraph"/>
        <w:numPr>
          <w:ilvl w:val="1"/>
          <w:numId w:val="22"/>
        </w:numPr>
        <w:spacing w:before="0" w:after="0" w:line="259" w:lineRule="auto"/>
        <w:rPr>
          <w:rFonts w:eastAsia="Aptos" w:cs="Arial"/>
          <w:b/>
          <w:bCs/>
          <w:szCs w:val="20"/>
        </w:rPr>
      </w:pPr>
      <w:r w:rsidRPr="004551EA">
        <w:rPr>
          <w:rFonts w:eastAsia="Aptos" w:cs="Arial"/>
          <w:szCs w:val="20"/>
        </w:rPr>
        <w:t xml:space="preserve">A previous admission to your service or another multi-purpose service this admission </w:t>
      </w:r>
      <w:r w:rsidRPr="004551EA">
        <w:rPr>
          <w:rFonts w:eastAsia="Aptos" w:cs="Arial"/>
          <w:b/>
          <w:bCs/>
          <w:szCs w:val="20"/>
        </w:rPr>
        <w:t>is not considered a first admission</w:t>
      </w:r>
      <w:r>
        <w:rPr>
          <w:rFonts w:eastAsia="Aptos" w:cs="Arial"/>
          <w:szCs w:val="20"/>
        </w:rPr>
        <w:t>.</w:t>
      </w:r>
    </w:p>
    <w:p w14:paraId="2B741627" w14:textId="77777777" w:rsidR="0011284E" w:rsidRPr="004551EA" w:rsidRDefault="0011284E" w:rsidP="0011284E">
      <w:pPr>
        <w:pStyle w:val="ListParagraph"/>
        <w:numPr>
          <w:ilvl w:val="1"/>
          <w:numId w:val="22"/>
        </w:numPr>
        <w:spacing w:before="0" w:after="0" w:line="259" w:lineRule="auto"/>
        <w:rPr>
          <w:rFonts w:eastAsia="Aptos" w:cs="Arial"/>
          <w:b/>
          <w:bCs/>
          <w:szCs w:val="20"/>
        </w:rPr>
      </w:pPr>
      <w:r w:rsidRPr="004551EA">
        <w:rPr>
          <w:rFonts w:eastAsia="Aptos" w:cs="Arial"/>
          <w:szCs w:val="20"/>
        </w:rPr>
        <w:lastRenderedPageBreak/>
        <w:t xml:space="preserve">A previous admission to a service that is not a </w:t>
      </w:r>
      <w:proofErr w:type="spellStart"/>
      <w:r w:rsidRPr="004551EA">
        <w:rPr>
          <w:rFonts w:eastAsia="Aptos" w:cs="Arial"/>
          <w:szCs w:val="20"/>
        </w:rPr>
        <w:t>multi purpose</w:t>
      </w:r>
      <w:proofErr w:type="spellEnd"/>
      <w:r w:rsidRPr="004551EA">
        <w:rPr>
          <w:rFonts w:eastAsia="Aptos" w:cs="Arial"/>
          <w:szCs w:val="20"/>
        </w:rPr>
        <w:t xml:space="preserve"> service under the specialist aged care program this </w:t>
      </w:r>
      <w:r w:rsidRPr="004551EA">
        <w:rPr>
          <w:rFonts w:eastAsia="Aptos" w:cs="Arial"/>
          <w:b/>
          <w:bCs/>
          <w:szCs w:val="20"/>
        </w:rPr>
        <w:t>is considered a first admission</w:t>
      </w:r>
      <w:r>
        <w:rPr>
          <w:rFonts w:eastAsia="Aptos" w:cs="Arial"/>
          <w:szCs w:val="20"/>
        </w:rPr>
        <w:t>.</w:t>
      </w:r>
    </w:p>
    <w:p w14:paraId="1F8299AE" w14:textId="77777777" w:rsidR="0011284E" w:rsidRPr="004551EA" w:rsidRDefault="0011284E" w:rsidP="0011284E">
      <w:pPr>
        <w:spacing w:after="0"/>
        <w:ind w:left="360"/>
        <w:rPr>
          <w:rFonts w:eastAsia="Aptos" w:cs="Arial"/>
          <w:szCs w:val="20"/>
        </w:rPr>
      </w:pPr>
      <w:r w:rsidRPr="004551EA">
        <w:rPr>
          <w:rFonts w:eastAsia="Aptos" w:cs="Arial"/>
          <w:szCs w:val="20"/>
        </w:rPr>
        <w:t>If the registered provider delivering services but not under the specialist aged care program:</w:t>
      </w:r>
    </w:p>
    <w:p w14:paraId="704E74EF" w14:textId="77777777" w:rsidR="0011284E" w:rsidRPr="004551EA" w:rsidRDefault="0011284E" w:rsidP="0011284E">
      <w:pPr>
        <w:pStyle w:val="ListParagraph"/>
        <w:numPr>
          <w:ilvl w:val="0"/>
          <w:numId w:val="21"/>
        </w:numPr>
        <w:spacing w:before="0" w:after="0" w:line="259" w:lineRule="auto"/>
        <w:rPr>
          <w:rFonts w:eastAsia="Aptos" w:cs="Arial"/>
          <w:szCs w:val="20"/>
        </w:rPr>
      </w:pPr>
      <w:r w:rsidRPr="004551EA">
        <w:rPr>
          <w:rFonts w:eastAsia="Aptos" w:cs="Arial"/>
          <w:szCs w:val="20"/>
        </w:rPr>
        <w:t>Where the resident has had:</w:t>
      </w:r>
    </w:p>
    <w:p w14:paraId="0CE8F508" w14:textId="77777777" w:rsidR="0011284E" w:rsidRPr="00D14BE5" w:rsidRDefault="0011284E" w:rsidP="0011284E">
      <w:pPr>
        <w:pStyle w:val="ListParagraph"/>
        <w:numPr>
          <w:ilvl w:val="1"/>
          <w:numId w:val="20"/>
        </w:numPr>
        <w:spacing w:before="0" w:after="0" w:line="259" w:lineRule="auto"/>
        <w:rPr>
          <w:rFonts w:eastAsia="Aptos" w:cs="Arial"/>
          <w:szCs w:val="20"/>
        </w:rPr>
      </w:pPr>
      <w:r w:rsidRPr="004551EA">
        <w:rPr>
          <w:rFonts w:eastAsia="Aptos" w:cs="Arial"/>
          <w:szCs w:val="20"/>
        </w:rPr>
        <w:t xml:space="preserve">A previous admission to your service or another service that is not a multi-purpose service this admission </w:t>
      </w:r>
      <w:r w:rsidRPr="004551EA">
        <w:rPr>
          <w:rFonts w:eastAsia="Aptos" w:cs="Arial"/>
          <w:b/>
          <w:bCs/>
          <w:szCs w:val="20"/>
        </w:rPr>
        <w:t>is not considered a first admission</w:t>
      </w:r>
      <w:r w:rsidRPr="00D14BE5">
        <w:rPr>
          <w:rFonts w:eastAsia="Aptos" w:cs="Arial"/>
          <w:szCs w:val="20"/>
        </w:rPr>
        <w:t>.</w:t>
      </w:r>
    </w:p>
    <w:p w14:paraId="600CDF4A" w14:textId="77777777" w:rsidR="0011284E" w:rsidRPr="004551EA" w:rsidRDefault="0011284E" w:rsidP="0011284E">
      <w:pPr>
        <w:pStyle w:val="ListParagraph"/>
        <w:numPr>
          <w:ilvl w:val="0"/>
          <w:numId w:val="24"/>
        </w:numPr>
        <w:spacing w:before="0" w:after="160" w:line="259" w:lineRule="auto"/>
        <w:rPr>
          <w:rFonts w:cs="Arial"/>
          <w:szCs w:val="20"/>
        </w:rPr>
      </w:pPr>
      <w:r w:rsidRPr="004551EA">
        <w:rPr>
          <w:rFonts w:eastAsia="Aptos" w:cs="Arial"/>
          <w:szCs w:val="20"/>
        </w:rPr>
        <w:t xml:space="preserve">A previous admission to a </w:t>
      </w:r>
      <w:proofErr w:type="spellStart"/>
      <w:r w:rsidRPr="004551EA">
        <w:rPr>
          <w:rFonts w:eastAsia="Aptos" w:cs="Arial"/>
          <w:szCs w:val="20"/>
        </w:rPr>
        <w:t>multi purpose</w:t>
      </w:r>
      <w:proofErr w:type="spellEnd"/>
      <w:r w:rsidRPr="004551EA">
        <w:rPr>
          <w:rFonts w:eastAsia="Aptos" w:cs="Arial"/>
          <w:szCs w:val="20"/>
        </w:rPr>
        <w:t xml:space="preserve"> service under the specialist aged care program </w:t>
      </w:r>
      <w:r w:rsidRPr="004551EA">
        <w:rPr>
          <w:rFonts w:eastAsia="Aptos" w:cs="Arial"/>
          <w:b/>
          <w:szCs w:val="20"/>
        </w:rPr>
        <w:t>is considered a first admission</w:t>
      </w:r>
      <w:r w:rsidRPr="00D14BE5">
        <w:rPr>
          <w:rFonts w:eastAsia="Aptos" w:cs="Arial"/>
          <w:bCs/>
          <w:szCs w:val="20"/>
        </w:rPr>
        <w:t>.</w:t>
      </w:r>
      <w:r w:rsidRPr="00D14BE5">
        <w:rPr>
          <w:rFonts w:eastAsia="Arial" w:cs="Arial"/>
          <w:bCs/>
          <w:szCs w:val="20"/>
        </w:rPr>
        <w:t xml:space="preserve"> </w:t>
      </w:r>
    </w:p>
    <w:p w14:paraId="68DEFA3D" w14:textId="77777777" w:rsidR="0011284E" w:rsidRPr="00F746C0" w:rsidRDefault="0011284E" w:rsidP="0011284E">
      <w:pPr>
        <w:pStyle w:val="ListParagraph"/>
      </w:pPr>
    </w:p>
    <w:p w14:paraId="24E86286" w14:textId="41622436" w:rsidR="00422631" w:rsidRPr="00422631" w:rsidRDefault="00422631" w:rsidP="004D7C5F">
      <w:pPr>
        <w:rPr>
          <w:lang w:eastAsia="en-AU"/>
        </w:rPr>
      </w:pPr>
    </w:p>
    <w:sectPr w:rsidR="00422631" w:rsidRPr="00422631" w:rsidSect="0077419E">
      <w:headerReference w:type="even" r:id="rId9"/>
      <w:footerReference w:type="even" r:id="rId10"/>
      <w:headerReference w:type="first" r:id="rId11"/>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DE3C" w14:textId="77777777" w:rsidR="006A0E9A" w:rsidRDefault="006A0E9A" w:rsidP="0076491B">
      <w:pPr>
        <w:spacing w:before="0" w:after="0" w:line="240" w:lineRule="auto"/>
      </w:pPr>
      <w:r>
        <w:separator/>
      </w:r>
    </w:p>
  </w:endnote>
  <w:endnote w:type="continuationSeparator" w:id="0">
    <w:p w14:paraId="37D5FDD1" w14:textId="77777777" w:rsidR="006A0E9A" w:rsidRDefault="006A0E9A"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2109" w14:textId="044810C1" w:rsidR="0011284E" w:rsidRDefault="005B4672">
    <w:pPr>
      <w:pStyle w:val="Footer"/>
    </w:pPr>
    <w:r>
      <w:rPr>
        <w:noProof/>
      </w:rPr>
      <mc:AlternateContent>
        <mc:Choice Requires="wps">
          <w:drawing>
            <wp:anchor distT="0" distB="0" distL="0" distR="0" simplePos="0" relativeHeight="251669504" behindDoc="0" locked="0" layoutInCell="1" allowOverlap="1" wp14:anchorId="5BB76360" wp14:editId="2B07981E">
              <wp:simplePos x="635" y="635"/>
              <wp:positionH relativeFrom="page">
                <wp:align>center</wp:align>
              </wp:positionH>
              <wp:positionV relativeFrom="page">
                <wp:align>bottom</wp:align>
              </wp:positionV>
              <wp:extent cx="551815" cy="480695"/>
              <wp:effectExtent l="0" t="0" r="635" b="0"/>
              <wp:wrapNone/>
              <wp:docPr id="161224630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4113941" w14:textId="63CE507F" w:rsidR="005B4672" w:rsidRPr="005B4672" w:rsidRDefault="005B4672" w:rsidP="005B4672">
                          <w:pPr>
                            <w:spacing w:after="0"/>
                            <w:rPr>
                              <w:rFonts w:ascii="Calibri" w:eastAsia="Calibri" w:hAnsi="Calibri" w:cs="Calibri"/>
                              <w:noProof/>
                              <w:color w:val="FF0000"/>
                            </w:rPr>
                          </w:pPr>
                          <w:r w:rsidRPr="005B467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76360" id="_x0000_t202" coordsize="21600,21600" o:spt="202" path="m,l,21600r21600,l21600,xe">
              <v:stroke joinstyle="miter"/>
              <v:path gradientshapeok="t" o:connecttype="rect"/>
            </v:shapetype>
            <v:shape id="Text Box 11" o:spid="_x0000_s1027" type="#_x0000_t202" alt="OFFICIAL" style="position:absolute;margin-left:0;margin-top:0;width:43.45pt;height:37.8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44113941" w14:textId="63CE507F" w:rsidR="005B4672" w:rsidRPr="005B4672" w:rsidRDefault="005B4672" w:rsidP="005B4672">
                    <w:pPr>
                      <w:spacing w:after="0"/>
                      <w:rPr>
                        <w:rFonts w:ascii="Calibri" w:eastAsia="Calibri" w:hAnsi="Calibri" w:cs="Calibri"/>
                        <w:noProof/>
                        <w:color w:val="FF0000"/>
                      </w:rPr>
                    </w:pPr>
                    <w:r w:rsidRPr="005B467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308C" w14:textId="77777777" w:rsidR="006A0E9A" w:rsidRDefault="006A0E9A" w:rsidP="0076491B">
      <w:pPr>
        <w:spacing w:before="0" w:after="0" w:line="240" w:lineRule="auto"/>
      </w:pPr>
      <w:r>
        <w:separator/>
      </w:r>
    </w:p>
  </w:footnote>
  <w:footnote w:type="continuationSeparator" w:id="0">
    <w:p w14:paraId="6D908C8A" w14:textId="77777777" w:rsidR="006A0E9A" w:rsidRDefault="006A0E9A"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F2C7C" w14:textId="724CE657" w:rsidR="0011284E" w:rsidRDefault="005B4672">
    <w:pPr>
      <w:pStyle w:val="Header"/>
    </w:pPr>
    <w:r>
      <w:rPr>
        <w:noProof/>
      </w:rPr>
      <mc:AlternateContent>
        <mc:Choice Requires="wps">
          <w:drawing>
            <wp:anchor distT="0" distB="0" distL="0" distR="0" simplePos="0" relativeHeight="251666432" behindDoc="0" locked="0" layoutInCell="1" allowOverlap="1" wp14:anchorId="0B2D90EB" wp14:editId="21988A1A">
              <wp:simplePos x="635" y="635"/>
              <wp:positionH relativeFrom="page">
                <wp:align>center</wp:align>
              </wp:positionH>
              <wp:positionV relativeFrom="page">
                <wp:align>top</wp:align>
              </wp:positionV>
              <wp:extent cx="551815" cy="480695"/>
              <wp:effectExtent l="0" t="0" r="635" b="14605"/>
              <wp:wrapNone/>
              <wp:docPr id="1625711856"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2DA6354" w14:textId="3F218208" w:rsidR="005B4672" w:rsidRPr="005B4672" w:rsidRDefault="005B4672" w:rsidP="005B4672">
                          <w:pPr>
                            <w:spacing w:after="0"/>
                            <w:rPr>
                              <w:rFonts w:ascii="Calibri" w:eastAsia="Calibri" w:hAnsi="Calibri" w:cs="Calibri"/>
                              <w:noProof/>
                              <w:color w:val="FF0000"/>
                            </w:rPr>
                          </w:pPr>
                          <w:r w:rsidRPr="005B467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D90EB"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fill o:detectmouseclick="t"/>
              <v:textbox style="mso-fit-shape-to-text:t" inset="0,15pt,0,0">
                <w:txbxContent>
                  <w:p w14:paraId="72DA6354" w14:textId="3F218208" w:rsidR="005B4672" w:rsidRPr="005B4672" w:rsidRDefault="005B4672" w:rsidP="005B4672">
                    <w:pPr>
                      <w:spacing w:after="0"/>
                      <w:rPr>
                        <w:rFonts w:ascii="Calibri" w:eastAsia="Calibri" w:hAnsi="Calibri" w:cs="Calibri"/>
                        <w:noProof/>
                        <w:color w:val="FF0000"/>
                      </w:rPr>
                    </w:pPr>
                    <w:r w:rsidRPr="005B467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633C" w14:textId="44FE410E" w:rsidR="0076491B" w:rsidRDefault="006A0E9A">
    <w:pPr>
      <w:pStyle w:val="Header"/>
    </w:pPr>
    <w:r>
      <w:rPr>
        <w:noProof/>
        <w:lang w:val="en-US"/>
      </w:rPr>
      <w:drawing>
        <wp:anchor distT="0" distB="0" distL="114300" distR="114300" simplePos="0" relativeHeight="251659264" behindDoc="0" locked="0" layoutInCell="1" allowOverlap="1" wp14:anchorId="3CA9BCC1" wp14:editId="69129F82">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0C57A"/>
    <w:multiLevelType w:val="hybridMultilevel"/>
    <w:tmpl w:val="FFFFFFFF"/>
    <w:lvl w:ilvl="0" w:tplc="BAE22432">
      <w:start w:val="1"/>
      <w:numFmt w:val="bullet"/>
      <w:lvlText w:val=""/>
      <w:lvlJc w:val="left"/>
      <w:pPr>
        <w:ind w:left="720" w:hanging="360"/>
      </w:pPr>
      <w:rPr>
        <w:rFonts w:ascii="Symbol" w:hAnsi="Symbol" w:hint="default"/>
      </w:rPr>
    </w:lvl>
    <w:lvl w:ilvl="1" w:tplc="FE3C0B72">
      <w:start w:val="1"/>
      <w:numFmt w:val="bullet"/>
      <w:lvlText w:val="o"/>
      <w:lvlJc w:val="left"/>
      <w:pPr>
        <w:ind w:left="1440" w:hanging="360"/>
      </w:pPr>
      <w:rPr>
        <w:rFonts w:ascii="Courier New" w:hAnsi="Courier New" w:hint="default"/>
      </w:rPr>
    </w:lvl>
    <w:lvl w:ilvl="2" w:tplc="908E2392">
      <w:start w:val="1"/>
      <w:numFmt w:val="bullet"/>
      <w:lvlText w:val=""/>
      <w:lvlJc w:val="left"/>
      <w:pPr>
        <w:ind w:left="2160" w:hanging="360"/>
      </w:pPr>
      <w:rPr>
        <w:rFonts w:ascii="Wingdings" w:hAnsi="Wingdings" w:hint="default"/>
      </w:rPr>
    </w:lvl>
    <w:lvl w:ilvl="3" w:tplc="FEAE17D2">
      <w:start w:val="1"/>
      <w:numFmt w:val="bullet"/>
      <w:lvlText w:val=""/>
      <w:lvlJc w:val="left"/>
      <w:pPr>
        <w:ind w:left="2880" w:hanging="360"/>
      </w:pPr>
      <w:rPr>
        <w:rFonts w:ascii="Symbol" w:hAnsi="Symbol" w:hint="default"/>
      </w:rPr>
    </w:lvl>
    <w:lvl w:ilvl="4" w:tplc="17709B6E">
      <w:start w:val="1"/>
      <w:numFmt w:val="bullet"/>
      <w:lvlText w:val="o"/>
      <w:lvlJc w:val="left"/>
      <w:pPr>
        <w:ind w:left="3600" w:hanging="360"/>
      </w:pPr>
      <w:rPr>
        <w:rFonts w:ascii="Courier New" w:hAnsi="Courier New" w:hint="default"/>
      </w:rPr>
    </w:lvl>
    <w:lvl w:ilvl="5" w:tplc="3E2CA4AC">
      <w:start w:val="1"/>
      <w:numFmt w:val="bullet"/>
      <w:lvlText w:val=""/>
      <w:lvlJc w:val="left"/>
      <w:pPr>
        <w:ind w:left="4320" w:hanging="360"/>
      </w:pPr>
      <w:rPr>
        <w:rFonts w:ascii="Wingdings" w:hAnsi="Wingdings" w:hint="default"/>
      </w:rPr>
    </w:lvl>
    <w:lvl w:ilvl="6" w:tplc="CF14B080">
      <w:start w:val="1"/>
      <w:numFmt w:val="bullet"/>
      <w:lvlText w:val=""/>
      <w:lvlJc w:val="left"/>
      <w:pPr>
        <w:ind w:left="5040" w:hanging="360"/>
      </w:pPr>
      <w:rPr>
        <w:rFonts w:ascii="Symbol" w:hAnsi="Symbol" w:hint="default"/>
      </w:rPr>
    </w:lvl>
    <w:lvl w:ilvl="7" w:tplc="B4C4694A">
      <w:start w:val="1"/>
      <w:numFmt w:val="bullet"/>
      <w:lvlText w:val="o"/>
      <w:lvlJc w:val="left"/>
      <w:pPr>
        <w:ind w:left="5760" w:hanging="360"/>
      </w:pPr>
      <w:rPr>
        <w:rFonts w:ascii="Courier New" w:hAnsi="Courier New" w:hint="default"/>
      </w:rPr>
    </w:lvl>
    <w:lvl w:ilvl="8" w:tplc="C3DC6350">
      <w:start w:val="1"/>
      <w:numFmt w:val="bullet"/>
      <w:lvlText w:val=""/>
      <w:lvlJc w:val="left"/>
      <w:pPr>
        <w:ind w:left="6480" w:hanging="360"/>
      </w:pPr>
      <w:rPr>
        <w:rFonts w:ascii="Wingdings" w:hAnsi="Wingdings" w:hint="default"/>
      </w:rPr>
    </w:lvl>
  </w:abstractNum>
  <w:abstractNum w:abstractNumId="3" w15:restartNumberingAfterBreak="0">
    <w:nsid w:val="11FA55F4"/>
    <w:multiLevelType w:val="hybridMultilevel"/>
    <w:tmpl w:val="6BC04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8C12C7"/>
    <w:multiLevelType w:val="hybridMultilevel"/>
    <w:tmpl w:val="4418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0F1DD1"/>
    <w:multiLevelType w:val="hybridMultilevel"/>
    <w:tmpl w:val="42089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A209AB"/>
    <w:multiLevelType w:val="hybridMultilevel"/>
    <w:tmpl w:val="0A9C6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0"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E344B"/>
    <w:multiLevelType w:val="hybridMultilevel"/>
    <w:tmpl w:val="4828AE62"/>
    <w:lvl w:ilvl="0" w:tplc="D92E4AF6">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48E58DD"/>
    <w:multiLevelType w:val="hybridMultilevel"/>
    <w:tmpl w:val="FFFFFFFF"/>
    <w:lvl w:ilvl="0" w:tplc="0E52C1A0">
      <w:start w:val="1"/>
      <w:numFmt w:val="bullet"/>
      <w:lvlText w:val=""/>
      <w:lvlJc w:val="left"/>
      <w:pPr>
        <w:ind w:left="720" w:hanging="360"/>
      </w:pPr>
      <w:rPr>
        <w:rFonts w:ascii="Symbol" w:hAnsi="Symbol" w:hint="default"/>
      </w:rPr>
    </w:lvl>
    <w:lvl w:ilvl="1" w:tplc="B462A37E">
      <w:start w:val="1"/>
      <w:numFmt w:val="bullet"/>
      <w:lvlText w:val=""/>
      <w:lvlJc w:val="left"/>
      <w:pPr>
        <w:ind w:left="1440" w:hanging="360"/>
      </w:pPr>
      <w:rPr>
        <w:rFonts w:ascii="Symbol" w:hAnsi="Symbol" w:hint="default"/>
      </w:rPr>
    </w:lvl>
    <w:lvl w:ilvl="2" w:tplc="A912BE62">
      <w:start w:val="1"/>
      <w:numFmt w:val="bullet"/>
      <w:lvlText w:val=""/>
      <w:lvlJc w:val="left"/>
      <w:pPr>
        <w:ind w:left="2160" w:hanging="360"/>
      </w:pPr>
      <w:rPr>
        <w:rFonts w:ascii="Wingdings" w:hAnsi="Wingdings" w:hint="default"/>
      </w:rPr>
    </w:lvl>
    <w:lvl w:ilvl="3" w:tplc="2BD04082">
      <w:start w:val="1"/>
      <w:numFmt w:val="bullet"/>
      <w:lvlText w:val=""/>
      <w:lvlJc w:val="left"/>
      <w:pPr>
        <w:ind w:left="2880" w:hanging="360"/>
      </w:pPr>
      <w:rPr>
        <w:rFonts w:ascii="Symbol" w:hAnsi="Symbol" w:hint="default"/>
      </w:rPr>
    </w:lvl>
    <w:lvl w:ilvl="4" w:tplc="2D7A0B48">
      <w:start w:val="1"/>
      <w:numFmt w:val="bullet"/>
      <w:lvlText w:val="o"/>
      <w:lvlJc w:val="left"/>
      <w:pPr>
        <w:ind w:left="3600" w:hanging="360"/>
      </w:pPr>
      <w:rPr>
        <w:rFonts w:ascii="Courier New" w:hAnsi="Courier New" w:hint="default"/>
      </w:rPr>
    </w:lvl>
    <w:lvl w:ilvl="5" w:tplc="43046E06">
      <w:start w:val="1"/>
      <w:numFmt w:val="bullet"/>
      <w:lvlText w:val=""/>
      <w:lvlJc w:val="left"/>
      <w:pPr>
        <w:ind w:left="4320" w:hanging="360"/>
      </w:pPr>
      <w:rPr>
        <w:rFonts w:ascii="Wingdings" w:hAnsi="Wingdings" w:hint="default"/>
      </w:rPr>
    </w:lvl>
    <w:lvl w:ilvl="6" w:tplc="6492C006">
      <w:start w:val="1"/>
      <w:numFmt w:val="bullet"/>
      <w:lvlText w:val=""/>
      <w:lvlJc w:val="left"/>
      <w:pPr>
        <w:ind w:left="5040" w:hanging="360"/>
      </w:pPr>
      <w:rPr>
        <w:rFonts w:ascii="Symbol" w:hAnsi="Symbol" w:hint="default"/>
      </w:rPr>
    </w:lvl>
    <w:lvl w:ilvl="7" w:tplc="36027974">
      <w:start w:val="1"/>
      <w:numFmt w:val="bullet"/>
      <w:lvlText w:val="o"/>
      <w:lvlJc w:val="left"/>
      <w:pPr>
        <w:ind w:left="5760" w:hanging="360"/>
      </w:pPr>
      <w:rPr>
        <w:rFonts w:ascii="Courier New" w:hAnsi="Courier New" w:hint="default"/>
      </w:rPr>
    </w:lvl>
    <w:lvl w:ilvl="8" w:tplc="C204951A">
      <w:start w:val="1"/>
      <w:numFmt w:val="bullet"/>
      <w:lvlText w:val=""/>
      <w:lvlJc w:val="left"/>
      <w:pPr>
        <w:ind w:left="6480" w:hanging="360"/>
      </w:pPr>
      <w:rPr>
        <w:rFonts w:ascii="Wingdings" w:hAnsi="Wingdings" w:hint="default"/>
      </w:rPr>
    </w:lvl>
  </w:abstractNum>
  <w:abstractNum w:abstractNumId="16" w15:restartNumberingAfterBreak="0">
    <w:nsid w:val="4494B780"/>
    <w:multiLevelType w:val="hybridMultilevel"/>
    <w:tmpl w:val="FFFFFFFF"/>
    <w:lvl w:ilvl="0" w:tplc="AF526742">
      <w:start w:val="1"/>
      <w:numFmt w:val="bullet"/>
      <w:lvlText w:val=""/>
      <w:lvlJc w:val="left"/>
      <w:pPr>
        <w:ind w:left="720" w:hanging="360"/>
      </w:pPr>
      <w:rPr>
        <w:rFonts w:ascii="Symbol" w:hAnsi="Symbol" w:hint="default"/>
      </w:rPr>
    </w:lvl>
    <w:lvl w:ilvl="1" w:tplc="BD060506">
      <w:start w:val="1"/>
      <w:numFmt w:val="bullet"/>
      <w:lvlText w:val="o"/>
      <w:lvlJc w:val="left"/>
      <w:pPr>
        <w:ind w:left="1440" w:hanging="360"/>
      </w:pPr>
      <w:rPr>
        <w:rFonts w:ascii="Courier New" w:hAnsi="Courier New" w:hint="default"/>
      </w:rPr>
    </w:lvl>
    <w:lvl w:ilvl="2" w:tplc="0FEAEEE2">
      <w:start w:val="1"/>
      <w:numFmt w:val="bullet"/>
      <w:lvlText w:val=""/>
      <w:lvlJc w:val="left"/>
      <w:pPr>
        <w:ind w:left="2160" w:hanging="360"/>
      </w:pPr>
      <w:rPr>
        <w:rFonts w:ascii="Wingdings" w:hAnsi="Wingdings" w:hint="default"/>
      </w:rPr>
    </w:lvl>
    <w:lvl w:ilvl="3" w:tplc="D41CB484">
      <w:start w:val="1"/>
      <w:numFmt w:val="bullet"/>
      <w:lvlText w:val=""/>
      <w:lvlJc w:val="left"/>
      <w:pPr>
        <w:ind w:left="2880" w:hanging="360"/>
      </w:pPr>
      <w:rPr>
        <w:rFonts w:ascii="Symbol" w:hAnsi="Symbol" w:hint="default"/>
      </w:rPr>
    </w:lvl>
    <w:lvl w:ilvl="4" w:tplc="ABEAACE2">
      <w:start w:val="1"/>
      <w:numFmt w:val="bullet"/>
      <w:lvlText w:val="o"/>
      <w:lvlJc w:val="left"/>
      <w:pPr>
        <w:ind w:left="3600" w:hanging="360"/>
      </w:pPr>
      <w:rPr>
        <w:rFonts w:ascii="Courier New" w:hAnsi="Courier New" w:hint="default"/>
      </w:rPr>
    </w:lvl>
    <w:lvl w:ilvl="5" w:tplc="F6B06852">
      <w:start w:val="1"/>
      <w:numFmt w:val="bullet"/>
      <w:lvlText w:val=""/>
      <w:lvlJc w:val="left"/>
      <w:pPr>
        <w:ind w:left="4320" w:hanging="360"/>
      </w:pPr>
      <w:rPr>
        <w:rFonts w:ascii="Wingdings" w:hAnsi="Wingdings" w:hint="default"/>
      </w:rPr>
    </w:lvl>
    <w:lvl w:ilvl="6" w:tplc="95CAE140">
      <w:start w:val="1"/>
      <w:numFmt w:val="bullet"/>
      <w:lvlText w:val=""/>
      <w:lvlJc w:val="left"/>
      <w:pPr>
        <w:ind w:left="5040" w:hanging="360"/>
      </w:pPr>
      <w:rPr>
        <w:rFonts w:ascii="Symbol" w:hAnsi="Symbol" w:hint="default"/>
      </w:rPr>
    </w:lvl>
    <w:lvl w:ilvl="7" w:tplc="F7041724">
      <w:start w:val="1"/>
      <w:numFmt w:val="bullet"/>
      <w:lvlText w:val="o"/>
      <w:lvlJc w:val="left"/>
      <w:pPr>
        <w:ind w:left="5760" w:hanging="360"/>
      </w:pPr>
      <w:rPr>
        <w:rFonts w:ascii="Courier New" w:hAnsi="Courier New" w:hint="default"/>
      </w:rPr>
    </w:lvl>
    <w:lvl w:ilvl="8" w:tplc="22CEAE1C">
      <w:start w:val="1"/>
      <w:numFmt w:val="bullet"/>
      <w:lvlText w:val=""/>
      <w:lvlJc w:val="left"/>
      <w:pPr>
        <w:ind w:left="6480" w:hanging="360"/>
      </w:pPr>
      <w:rPr>
        <w:rFonts w:ascii="Wingdings" w:hAnsi="Wingdings" w:hint="default"/>
      </w:rPr>
    </w:lvl>
  </w:abstractNum>
  <w:abstractNum w:abstractNumId="17" w15:restartNumberingAfterBreak="0">
    <w:nsid w:val="44BACF78"/>
    <w:multiLevelType w:val="hybridMultilevel"/>
    <w:tmpl w:val="FFFFFFFF"/>
    <w:lvl w:ilvl="0" w:tplc="ABE8660A">
      <w:start w:val="1"/>
      <w:numFmt w:val="bullet"/>
      <w:lvlText w:val=""/>
      <w:lvlJc w:val="left"/>
      <w:pPr>
        <w:ind w:left="720" w:hanging="360"/>
      </w:pPr>
      <w:rPr>
        <w:rFonts w:ascii="Symbol" w:hAnsi="Symbol" w:hint="default"/>
      </w:rPr>
    </w:lvl>
    <w:lvl w:ilvl="1" w:tplc="180E4A4E">
      <w:start w:val="1"/>
      <w:numFmt w:val="bullet"/>
      <w:lvlText w:val=""/>
      <w:lvlJc w:val="left"/>
      <w:pPr>
        <w:ind w:left="1440" w:hanging="360"/>
      </w:pPr>
      <w:rPr>
        <w:rFonts w:ascii="Symbol" w:hAnsi="Symbol" w:hint="default"/>
      </w:rPr>
    </w:lvl>
    <w:lvl w:ilvl="2" w:tplc="2362E2FC">
      <w:start w:val="1"/>
      <w:numFmt w:val="bullet"/>
      <w:lvlText w:val=""/>
      <w:lvlJc w:val="left"/>
      <w:pPr>
        <w:ind w:left="2160" w:hanging="360"/>
      </w:pPr>
      <w:rPr>
        <w:rFonts w:ascii="Wingdings" w:hAnsi="Wingdings" w:hint="default"/>
      </w:rPr>
    </w:lvl>
    <w:lvl w:ilvl="3" w:tplc="7144A024">
      <w:start w:val="1"/>
      <w:numFmt w:val="bullet"/>
      <w:lvlText w:val=""/>
      <w:lvlJc w:val="left"/>
      <w:pPr>
        <w:ind w:left="2880" w:hanging="360"/>
      </w:pPr>
      <w:rPr>
        <w:rFonts w:ascii="Symbol" w:hAnsi="Symbol" w:hint="default"/>
      </w:rPr>
    </w:lvl>
    <w:lvl w:ilvl="4" w:tplc="1C24D350">
      <w:start w:val="1"/>
      <w:numFmt w:val="bullet"/>
      <w:lvlText w:val="o"/>
      <w:lvlJc w:val="left"/>
      <w:pPr>
        <w:ind w:left="3600" w:hanging="360"/>
      </w:pPr>
      <w:rPr>
        <w:rFonts w:ascii="Courier New" w:hAnsi="Courier New" w:hint="default"/>
      </w:rPr>
    </w:lvl>
    <w:lvl w:ilvl="5" w:tplc="4490DE32">
      <w:start w:val="1"/>
      <w:numFmt w:val="bullet"/>
      <w:lvlText w:val=""/>
      <w:lvlJc w:val="left"/>
      <w:pPr>
        <w:ind w:left="4320" w:hanging="360"/>
      </w:pPr>
      <w:rPr>
        <w:rFonts w:ascii="Wingdings" w:hAnsi="Wingdings" w:hint="default"/>
      </w:rPr>
    </w:lvl>
    <w:lvl w:ilvl="6" w:tplc="BA62C444">
      <w:start w:val="1"/>
      <w:numFmt w:val="bullet"/>
      <w:lvlText w:val=""/>
      <w:lvlJc w:val="left"/>
      <w:pPr>
        <w:ind w:left="5040" w:hanging="360"/>
      </w:pPr>
      <w:rPr>
        <w:rFonts w:ascii="Symbol" w:hAnsi="Symbol" w:hint="default"/>
      </w:rPr>
    </w:lvl>
    <w:lvl w:ilvl="7" w:tplc="DBA27762">
      <w:start w:val="1"/>
      <w:numFmt w:val="bullet"/>
      <w:lvlText w:val="o"/>
      <w:lvlJc w:val="left"/>
      <w:pPr>
        <w:ind w:left="5760" w:hanging="360"/>
      </w:pPr>
      <w:rPr>
        <w:rFonts w:ascii="Courier New" w:hAnsi="Courier New" w:hint="default"/>
      </w:rPr>
    </w:lvl>
    <w:lvl w:ilvl="8" w:tplc="47FCDD08">
      <w:start w:val="1"/>
      <w:numFmt w:val="bullet"/>
      <w:lvlText w:val=""/>
      <w:lvlJc w:val="left"/>
      <w:pPr>
        <w:ind w:left="6480" w:hanging="360"/>
      </w:pPr>
      <w:rPr>
        <w:rFonts w:ascii="Wingdings" w:hAnsi="Wingdings" w:hint="default"/>
      </w:rPr>
    </w:lvl>
  </w:abstractNum>
  <w:abstractNum w:abstractNumId="18" w15:restartNumberingAfterBreak="0">
    <w:nsid w:val="47321BAB"/>
    <w:multiLevelType w:val="hybridMultilevel"/>
    <w:tmpl w:val="0C10438E"/>
    <w:lvl w:ilvl="0" w:tplc="0C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9"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0"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49525D"/>
    <w:multiLevelType w:val="hybridMultilevel"/>
    <w:tmpl w:val="FF2613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A009F"/>
    <w:multiLevelType w:val="hybridMultilevel"/>
    <w:tmpl w:val="F27AC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60351920"/>
    <w:multiLevelType w:val="hybridMultilevel"/>
    <w:tmpl w:val="4456F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61961">
    <w:abstractNumId w:val="30"/>
  </w:num>
  <w:num w:numId="2" w16cid:durableId="1917128003">
    <w:abstractNumId w:val="8"/>
  </w:num>
  <w:num w:numId="3" w16cid:durableId="1086421373">
    <w:abstractNumId w:val="28"/>
  </w:num>
  <w:num w:numId="4" w16cid:durableId="994456960">
    <w:abstractNumId w:val="29"/>
  </w:num>
  <w:num w:numId="5" w16cid:durableId="174003446">
    <w:abstractNumId w:val="12"/>
  </w:num>
  <w:num w:numId="6" w16cid:durableId="323360149">
    <w:abstractNumId w:val="4"/>
  </w:num>
  <w:num w:numId="7" w16cid:durableId="724304022">
    <w:abstractNumId w:val="24"/>
  </w:num>
  <w:num w:numId="8" w16cid:durableId="1841499686">
    <w:abstractNumId w:val="22"/>
  </w:num>
  <w:num w:numId="9" w16cid:durableId="2108456112">
    <w:abstractNumId w:val="27"/>
  </w:num>
  <w:num w:numId="10" w16cid:durableId="1234464231">
    <w:abstractNumId w:val="0"/>
  </w:num>
  <w:num w:numId="11" w16cid:durableId="1039938409">
    <w:abstractNumId w:val="31"/>
  </w:num>
  <w:num w:numId="12" w16cid:durableId="842011056">
    <w:abstractNumId w:val="10"/>
  </w:num>
  <w:num w:numId="13" w16cid:durableId="1883135095">
    <w:abstractNumId w:val="20"/>
  </w:num>
  <w:num w:numId="14" w16cid:durableId="769811522">
    <w:abstractNumId w:val="1"/>
  </w:num>
  <w:num w:numId="15" w16cid:durableId="1698004375">
    <w:abstractNumId w:val="11"/>
  </w:num>
  <w:num w:numId="16" w16cid:durableId="1537309136">
    <w:abstractNumId w:val="14"/>
  </w:num>
  <w:num w:numId="17" w16cid:durableId="15422834">
    <w:abstractNumId w:val="25"/>
  </w:num>
  <w:num w:numId="18" w16cid:durableId="535435126">
    <w:abstractNumId w:val="19"/>
  </w:num>
  <w:num w:numId="19" w16cid:durableId="2068140387">
    <w:abstractNumId w:val="9"/>
  </w:num>
  <w:num w:numId="20" w16cid:durableId="300694183">
    <w:abstractNumId w:val="17"/>
  </w:num>
  <w:num w:numId="21" w16cid:durableId="1258440955">
    <w:abstractNumId w:val="2"/>
  </w:num>
  <w:num w:numId="22" w16cid:durableId="956763108">
    <w:abstractNumId w:val="15"/>
  </w:num>
  <w:num w:numId="23" w16cid:durableId="1321999164">
    <w:abstractNumId w:val="16"/>
  </w:num>
  <w:num w:numId="24" w16cid:durableId="326246039">
    <w:abstractNumId w:val="21"/>
  </w:num>
  <w:num w:numId="25" w16cid:durableId="235408116">
    <w:abstractNumId w:val="26"/>
  </w:num>
  <w:num w:numId="26" w16cid:durableId="1046300218">
    <w:abstractNumId w:val="13"/>
  </w:num>
  <w:num w:numId="27" w16cid:durableId="456415998">
    <w:abstractNumId w:val="18"/>
  </w:num>
  <w:num w:numId="28" w16cid:durableId="386414342">
    <w:abstractNumId w:val="6"/>
  </w:num>
  <w:num w:numId="29" w16cid:durableId="892082059">
    <w:abstractNumId w:val="23"/>
  </w:num>
  <w:num w:numId="30" w16cid:durableId="2126265829">
    <w:abstractNumId w:val="7"/>
  </w:num>
  <w:num w:numId="31" w16cid:durableId="1608393130">
    <w:abstractNumId w:val="5"/>
  </w:num>
  <w:num w:numId="32" w16cid:durableId="1165361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9A"/>
    <w:rsid w:val="0011284E"/>
    <w:rsid w:val="00163562"/>
    <w:rsid w:val="0018537B"/>
    <w:rsid w:val="002C2D46"/>
    <w:rsid w:val="00360B34"/>
    <w:rsid w:val="003619F4"/>
    <w:rsid w:val="00385A47"/>
    <w:rsid w:val="00422631"/>
    <w:rsid w:val="004557A0"/>
    <w:rsid w:val="00465ABF"/>
    <w:rsid w:val="004C11EB"/>
    <w:rsid w:val="004D7C5F"/>
    <w:rsid w:val="004F7E50"/>
    <w:rsid w:val="005035B6"/>
    <w:rsid w:val="005B4672"/>
    <w:rsid w:val="00633DB4"/>
    <w:rsid w:val="006A0E9A"/>
    <w:rsid w:val="006C07D3"/>
    <w:rsid w:val="00726939"/>
    <w:rsid w:val="0076491B"/>
    <w:rsid w:val="0077419E"/>
    <w:rsid w:val="007E444A"/>
    <w:rsid w:val="008F467F"/>
    <w:rsid w:val="009346B6"/>
    <w:rsid w:val="009B2828"/>
    <w:rsid w:val="009F20E3"/>
    <w:rsid w:val="00AC04A6"/>
    <w:rsid w:val="00AE6079"/>
    <w:rsid w:val="00AF3EEB"/>
    <w:rsid w:val="00B26D72"/>
    <w:rsid w:val="00BD577C"/>
    <w:rsid w:val="00C074CB"/>
    <w:rsid w:val="00C46331"/>
    <w:rsid w:val="00C76B54"/>
    <w:rsid w:val="00C9187A"/>
    <w:rsid w:val="00CA0CFC"/>
    <w:rsid w:val="00CB1688"/>
    <w:rsid w:val="00CF0165"/>
    <w:rsid w:val="00E132D7"/>
    <w:rsid w:val="00E91CEE"/>
    <w:rsid w:val="00F60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8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84E"/>
    <w:pPr>
      <w:spacing w:before="120" w:after="120" w:line="276" w:lineRule="auto"/>
    </w:pPr>
    <w:rPr>
      <w:rFonts w:ascii="Arial" w:hAnsi="Arial"/>
      <w:color w:val="1E1544" w:themeColor="text1"/>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7772F-945E-4EE6-9D4D-76CA42E30811}">
  <ds:schemaRefs>
    <ds:schemaRef ds:uri="http://schemas.openxmlformats.org/officeDocument/2006/bibliography"/>
  </ds:schemaRefs>
</ds:datastoreItem>
</file>

<file path=customXml/itemProps2.xml><?xml version="1.0" encoding="utf-8"?>
<ds:datastoreItem xmlns:ds="http://schemas.openxmlformats.org/officeDocument/2006/customXml" ds:itemID="{5C590D21-1CFA-4E0F-B717-56E54E3FB9C5}"/>
</file>

<file path=customXml/itemProps3.xml><?xml version="1.0" encoding="utf-8"?>
<ds:datastoreItem xmlns:ds="http://schemas.openxmlformats.org/officeDocument/2006/customXml" ds:itemID="{D4D415EC-EB68-4095-8C4F-6DE329661ED2}"/>
</file>

<file path=customXml/itemProps4.xml><?xml version="1.0" encoding="utf-8"?>
<ds:datastoreItem xmlns:ds="http://schemas.openxmlformats.org/officeDocument/2006/customXml" ds:itemID="{FD26A8C4-95C9-47C2-ACFA-86674ED9EDB5}"/>
</file>

<file path=docProps/app.xml><?xml version="1.0" encoding="utf-8"?>
<Properties xmlns="http://schemas.openxmlformats.org/officeDocument/2006/extended-properties" xmlns:vt="http://schemas.openxmlformats.org/officeDocument/2006/docPropsVTypes">
  <Template>Normal.dotm</Template>
  <TotalTime>0</TotalTime>
  <Pages>10</Pages>
  <Words>1982</Words>
  <Characters>10252</Characters>
  <Application>Microsoft Office Word</Application>
  <DocSecurity>4</DocSecurity>
  <Lines>310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2025-10-09T23:48:00Z</dcterms:created>
  <dcterms:modified xsi:type="dcterms:W3CDTF">2025-10-09T23:48:00Z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57ed5ac6,60e664f0,6bf40c69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26d55748,6018ed22,4f5b7677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2025-10-09T06:26:10Z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006f4eb9-23ef-4402-aa7f-46e6c2daa0e0</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