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D954" w14:textId="77777777" w:rsidR="00857A6A" w:rsidRDefault="00857A6A" w:rsidP="002D2C16">
      <w:pPr>
        <w:pStyle w:val="Heading1"/>
      </w:pPr>
      <w:r>
        <w:t>General Practice in Aged Care Incentive</w:t>
      </w:r>
    </w:p>
    <w:p w14:paraId="7771DC3A" w14:textId="7A54CACE" w:rsidR="00C0596A" w:rsidRDefault="00C0596A" w:rsidP="002D2C16">
      <w:pPr>
        <w:pStyle w:val="Heading2"/>
      </w:pPr>
      <w:r>
        <w:t>Terms &amp; Conditions</w:t>
      </w:r>
    </w:p>
    <w:p w14:paraId="238C7526" w14:textId="77777777" w:rsidR="00C0596A" w:rsidRPr="00A074A9" w:rsidRDefault="00C0596A" w:rsidP="00C0596A">
      <w:r w:rsidRPr="00A074A9">
        <w:t>By a person with the authority to bind the practice ticking the box and clicking 'confirm', the practice agrees to enter into a grant agreement with the Commonwealth on the following terms:</w:t>
      </w:r>
    </w:p>
    <w:p w14:paraId="5E76EF32" w14:textId="77777777" w:rsidR="00C0596A" w:rsidRPr="00A074A9" w:rsidRDefault="00C0596A" w:rsidP="00C0596A">
      <w:pPr>
        <w:numPr>
          <w:ilvl w:val="0"/>
          <w:numId w:val="1"/>
        </w:numPr>
        <w:spacing w:after="0"/>
      </w:pPr>
      <w:r w:rsidRPr="00A074A9">
        <w:t>This grant agreement commences the date the practice agrees to the terms and conditions by clicking ‘confirm’ and continues until the earlier of:</w:t>
      </w:r>
    </w:p>
    <w:p w14:paraId="13C33A71" w14:textId="77777777" w:rsidR="00C0596A" w:rsidRPr="00A074A9" w:rsidRDefault="00C0596A" w:rsidP="00C0596A">
      <w:pPr>
        <w:numPr>
          <w:ilvl w:val="1"/>
          <w:numId w:val="1"/>
        </w:numPr>
        <w:spacing w:after="0" w:line="240" w:lineRule="auto"/>
        <w:ind w:left="709" w:hanging="357"/>
      </w:pPr>
      <w:r w:rsidRPr="00A074A9">
        <w:t xml:space="preserve">a new grant agreement is entered, which will supersede this agreement 12 months after the commencement date, on a yearly renewal </w:t>
      </w:r>
      <w:proofErr w:type="gramStart"/>
      <w:r w:rsidRPr="00A074A9">
        <w:t>basis;</w:t>
      </w:r>
      <w:proofErr w:type="gramEnd"/>
    </w:p>
    <w:p w14:paraId="43A5BC65" w14:textId="77777777" w:rsidR="00C0596A" w:rsidRPr="00A074A9" w:rsidRDefault="00C0596A" w:rsidP="00C0596A">
      <w:pPr>
        <w:numPr>
          <w:ilvl w:val="1"/>
          <w:numId w:val="1"/>
        </w:numPr>
        <w:spacing w:after="0" w:line="240" w:lineRule="auto"/>
        <w:ind w:left="709" w:hanging="357"/>
      </w:pPr>
      <w:r w:rsidRPr="00A074A9">
        <w:t>the date that the practice opts-out of the General Practice in Aged Care Incentive (</w:t>
      </w:r>
      <w:r w:rsidRPr="00A074A9">
        <w:rPr>
          <w:b/>
          <w:bCs/>
        </w:rPr>
        <w:t>GPACI</w:t>
      </w:r>
      <w:r w:rsidRPr="00A074A9">
        <w:t>) Program; or</w:t>
      </w:r>
    </w:p>
    <w:p w14:paraId="48394323" w14:textId="77777777" w:rsidR="00C0596A" w:rsidRPr="00A074A9" w:rsidRDefault="00C0596A" w:rsidP="00C0596A">
      <w:pPr>
        <w:numPr>
          <w:ilvl w:val="1"/>
          <w:numId w:val="1"/>
        </w:numPr>
        <w:spacing w:line="240" w:lineRule="auto"/>
        <w:ind w:left="709" w:hanging="357"/>
      </w:pPr>
      <w:r w:rsidRPr="00A074A9">
        <w:t>the date that the Commonwealth terminates this agreement.</w:t>
      </w:r>
    </w:p>
    <w:p w14:paraId="57D16463" w14:textId="77777777" w:rsidR="00C0596A" w:rsidRPr="00A074A9" w:rsidRDefault="00C0596A" w:rsidP="00C0596A">
      <w:pPr>
        <w:numPr>
          <w:ilvl w:val="0"/>
          <w:numId w:val="1"/>
        </w:numPr>
        <w:spacing w:after="0"/>
      </w:pPr>
      <w:r w:rsidRPr="00A074A9">
        <w:t xml:space="preserve">The practice must meet, and continue to </w:t>
      </w:r>
      <w:proofErr w:type="gramStart"/>
      <w:r w:rsidRPr="00A074A9">
        <w:t>meet at all times</w:t>
      </w:r>
      <w:proofErr w:type="gramEnd"/>
      <w:r w:rsidRPr="00A074A9">
        <w:t xml:space="preserve">: </w:t>
      </w:r>
    </w:p>
    <w:p w14:paraId="17051F88" w14:textId="77777777" w:rsidR="00C0596A" w:rsidRPr="00A074A9" w:rsidRDefault="00C0596A" w:rsidP="00C0596A">
      <w:pPr>
        <w:numPr>
          <w:ilvl w:val="1"/>
          <w:numId w:val="1"/>
        </w:numPr>
        <w:spacing w:after="0" w:line="240" w:lineRule="auto"/>
        <w:ind w:left="709" w:hanging="357"/>
      </w:pPr>
      <w:r w:rsidRPr="00A074A9">
        <w:t xml:space="preserve">the eligibility requirements of the MyMedicare program set out at </w:t>
      </w:r>
      <w:hyperlink r:id="rId7" w:tgtFrame="_blank" w:history="1">
        <w:r w:rsidRPr="00A074A9">
          <w:rPr>
            <w:rStyle w:val="Hyperlink"/>
          </w:rPr>
          <w:t>MyMedicare</w:t>
        </w:r>
      </w:hyperlink>
      <w:r w:rsidRPr="00A074A9">
        <w:t>; and</w:t>
      </w:r>
    </w:p>
    <w:p w14:paraId="3A9757A8" w14:textId="77777777" w:rsidR="00C0596A" w:rsidRPr="00A074A9" w:rsidRDefault="00C0596A" w:rsidP="00C0596A">
      <w:pPr>
        <w:numPr>
          <w:ilvl w:val="1"/>
          <w:numId w:val="1"/>
        </w:numPr>
        <w:spacing w:line="240" w:lineRule="auto"/>
        <w:ind w:left="709" w:hanging="357"/>
      </w:pPr>
      <w:r w:rsidRPr="00A074A9">
        <w:t>the eligibility criteria of the GPACI set out in the GPACI Guidelines.</w:t>
      </w:r>
    </w:p>
    <w:p w14:paraId="5B0AAB29" w14:textId="77777777" w:rsidR="00C0596A" w:rsidRPr="00A074A9" w:rsidRDefault="00C0596A" w:rsidP="00C0596A">
      <w:pPr>
        <w:numPr>
          <w:ilvl w:val="0"/>
          <w:numId w:val="1"/>
        </w:numPr>
      </w:pPr>
      <w:r w:rsidRPr="00A074A9">
        <w:t xml:space="preserve">Any patients must meet, and continue to </w:t>
      </w:r>
      <w:proofErr w:type="gramStart"/>
      <w:r w:rsidRPr="00A074A9">
        <w:t>meet at all times</w:t>
      </w:r>
      <w:proofErr w:type="gramEnd"/>
      <w:r w:rsidRPr="00A074A9">
        <w:t xml:space="preserve">, the eligibility criteria of the GPACI set out at </w:t>
      </w:r>
      <w:hyperlink r:id="rId8" w:history="1">
        <w:r w:rsidRPr="00A074A9">
          <w:rPr>
            <w:rStyle w:val="Hyperlink"/>
          </w:rPr>
          <w:t>MyMedicare GPACI</w:t>
        </w:r>
      </w:hyperlink>
      <w:r w:rsidRPr="00A074A9">
        <w:t>.</w:t>
      </w:r>
    </w:p>
    <w:p w14:paraId="435529A6" w14:textId="77777777" w:rsidR="00C0596A" w:rsidRPr="00A074A9" w:rsidRDefault="00C0596A" w:rsidP="00C0596A">
      <w:pPr>
        <w:numPr>
          <w:ilvl w:val="0"/>
          <w:numId w:val="1"/>
        </w:numPr>
      </w:pPr>
      <w:r w:rsidRPr="00A074A9">
        <w:t xml:space="preserve">The practice must comply with the obligations and requirements set out in the GPACI Guidelines as set out at </w:t>
      </w:r>
      <w:hyperlink r:id="rId9" w:history="1">
        <w:r w:rsidRPr="00A074A9">
          <w:rPr>
            <w:rStyle w:val="Hyperlink"/>
          </w:rPr>
          <w:t>MyMedicare GPACI</w:t>
        </w:r>
      </w:hyperlink>
      <w:r w:rsidRPr="00A074A9">
        <w:t xml:space="preserve"> (as updated from time to time) which form part of this agreement;</w:t>
      </w:r>
    </w:p>
    <w:p w14:paraId="352B9268" w14:textId="77777777" w:rsidR="00C0596A" w:rsidRPr="00A074A9" w:rsidRDefault="00C0596A" w:rsidP="00C0596A">
      <w:pPr>
        <w:numPr>
          <w:ilvl w:val="0"/>
          <w:numId w:val="1"/>
        </w:numPr>
      </w:pPr>
      <w:r w:rsidRPr="00A074A9">
        <w:t>The practice must only use payments for the purposes permitted under the GPACI Guidelines.</w:t>
      </w:r>
    </w:p>
    <w:p w14:paraId="639C7619" w14:textId="77777777" w:rsidR="00C0596A" w:rsidRPr="00A074A9" w:rsidRDefault="00C0596A" w:rsidP="00C0596A">
      <w:pPr>
        <w:numPr>
          <w:ilvl w:val="0"/>
          <w:numId w:val="1"/>
        </w:numPr>
      </w:pPr>
      <w:r w:rsidRPr="00A074A9">
        <w:t xml:space="preserve">The practice must repay any incorrect payments or overpayments to the Commonwealth. </w:t>
      </w:r>
    </w:p>
    <w:p w14:paraId="046B8084" w14:textId="77777777" w:rsidR="00C0596A" w:rsidRPr="00A074A9" w:rsidRDefault="00C0596A" w:rsidP="00C0596A">
      <w:pPr>
        <w:numPr>
          <w:ilvl w:val="0"/>
          <w:numId w:val="1"/>
        </w:numPr>
      </w:pPr>
      <w:r w:rsidRPr="00A074A9">
        <w:t>If any of the payments are spent other than in accordance with this agreement (including the GPACI Guidelines), the practice must repay that amount unless otherwise agreed by the Commonwealth.</w:t>
      </w:r>
    </w:p>
    <w:p w14:paraId="2B2DFCDB" w14:textId="77777777" w:rsidR="00C0596A" w:rsidRPr="00A074A9" w:rsidRDefault="00C0596A" w:rsidP="00C0596A">
      <w:pPr>
        <w:numPr>
          <w:ilvl w:val="0"/>
          <w:numId w:val="1"/>
        </w:numPr>
      </w:pPr>
      <w:r w:rsidRPr="00A074A9">
        <w:t>The Commonwealth may reduce any future payments to the practice by any amounts owed or due to be repaid by the practice.</w:t>
      </w:r>
    </w:p>
    <w:p w14:paraId="1E4A1A2E" w14:textId="77777777" w:rsidR="00C0596A" w:rsidRPr="00A074A9" w:rsidRDefault="00C0596A" w:rsidP="00C0596A">
      <w:pPr>
        <w:numPr>
          <w:ilvl w:val="0"/>
          <w:numId w:val="1"/>
        </w:numPr>
      </w:pPr>
      <w:r w:rsidRPr="00A074A9">
        <w:t>Payments will be made to the practice in accordance with the GPACI Guidelines.</w:t>
      </w:r>
    </w:p>
    <w:p w14:paraId="1BDB082B" w14:textId="77777777" w:rsidR="00C0596A" w:rsidRPr="00A074A9" w:rsidRDefault="00C0596A" w:rsidP="00C0596A">
      <w:pPr>
        <w:numPr>
          <w:ilvl w:val="0"/>
          <w:numId w:val="1"/>
        </w:numPr>
        <w:spacing w:after="0"/>
      </w:pPr>
      <w:r w:rsidRPr="00A074A9">
        <w:t>The Commonwealth may immediately terminate this grant agreement where the practice has:</w:t>
      </w:r>
    </w:p>
    <w:p w14:paraId="3CD5089A" w14:textId="77777777" w:rsidR="00C0596A" w:rsidRPr="00A074A9" w:rsidRDefault="00C0596A" w:rsidP="00C0596A">
      <w:pPr>
        <w:numPr>
          <w:ilvl w:val="1"/>
          <w:numId w:val="1"/>
        </w:numPr>
        <w:spacing w:after="0" w:line="240" w:lineRule="auto"/>
        <w:ind w:left="709" w:hanging="357"/>
      </w:pPr>
      <w:r w:rsidRPr="00A074A9">
        <w:t xml:space="preserve">failed to comply with its obligations under this grant agreement or the GPACI </w:t>
      </w:r>
      <w:proofErr w:type="gramStart"/>
      <w:r w:rsidRPr="00A074A9">
        <w:t>Guidelines;</w:t>
      </w:r>
      <w:proofErr w:type="gramEnd"/>
    </w:p>
    <w:p w14:paraId="53B7D183" w14:textId="77777777" w:rsidR="00C0596A" w:rsidRPr="00A074A9" w:rsidRDefault="00C0596A" w:rsidP="00C0596A">
      <w:pPr>
        <w:numPr>
          <w:ilvl w:val="1"/>
          <w:numId w:val="1"/>
        </w:numPr>
        <w:spacing w:line="240" w:lineRule="auto"/>
        <w:ind w:left="709" w:hanging="357"/>
      </w:pPr>
      <w:r w:rsidRPr="00A074A9">
        <w:t xml:space="preserve">become bankrupt or insolvent, </w:t>
      </w:r>
      <w:proofErr w:type="gramStart"/>
      <w:r w:rsidRPr="00A074A9">
        <w:t>entered into</w:t>
      </w:r>
      <w:proofErr w:type="gramEnd"/>
      <w:r w:rsidRPr="00A074A9">
        <w:t xml:space="preserve"> a scheme of arrangement with creditors, or come under any form of external </w:t>
      </w:r>
      <w:proofErr w:type="gramStart"/>
      <w:r w:rsidRPr="00A074A9">
        <w:t>administration;</w:t>
      </w:r>
      <w:proofErr w:type="gramEnd"/>
    </w:p>
    <w:p w14:paraId="4DED7910" w14:textId="77777777" w:rsidR="00C0596A" w:rsidRPr="00A074A9" w:rsidRDefault="00C0596A" w:rsidP="00C0596A">
      <w:pPr>
        <w:numPr>
          <w:ilvl w:val="0"/>
          <w:numId w:val="1"/>
        </w:numPr>
      </w:pPr>
      <w:r w:rsidRPr="00A074A9">
        <w:t xml:space="preserve">The practice acknowledges that GPACI incentive payments are made by Services Australia to the practice and the nominated responsible provider in reliance on the information provided by the practice. </w:t>
      </w:r>
    </w:p>
    <w:p w14:paraId="2A4A38ED" w14:textId="77777777" w:rsidR="00C0596A" w:rsidRDefault="00C0596A" w:rsidP="00C0596A">
      <w:pPr>
        <w:numPr>
          <w:ilvl w:val="0"/>
          <w:numId w:val="1"/>
        </w:numPr>
      </w:pPr>
      <w:r w:rsidRPr="00A074A9">
        <w:t>The person completing the declaration must confirm that the information they provide is true and correct, and that they understand giving false or misleading information is a serious offence.</w:t>
      </w:r>
    </w:p>
    <w:sectPr w:rsidR="00C0596A" w:rsidSect="002D2C16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1556C" w14:textId="77777777" w:rsidR="00D307A6" w:rsidRDefault="00D307A6" w:rsidP="00857A6A">
      <w:pPr>
        <w:spacing w:after="0" w:line="240" w:lineRule="auto"/>
      </w:pPr>
      <w:r>
        <w:separator/>
      </w:r>
    </w:p>
  </w:endnote>
  <w:endnote w:type="continuationSeparator" w:id="0">
    <w:p w14:paraId="67064D5A" w14:textId="77777777" w:rsidR="00D307A6" w:rsidRDefault="00D307A6" w:rsidP="0085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216A0" w14:textId="77777777" w:rsidR="00D307A6" w:rsidRDefault="00D307A6" w:rsidP="00857A6A">
      <w:pPr>
        <w:spacing w:after="0" w:line="240" w:lineRule="auto"/>
      </w:pPr>
      <w:r>
        <w:separator/>
      </w:r>
    </w:p>
  </w:footnote>
  <w:footnote w:type="continuationSeparator" w:id="0">
    <w:p w14:paraId="20363A88" w14:textId="77777777" w:rsidR="00D307A6" w:rsidRDefault="00D307A6" w:rsidP="0085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244E" w14:textId="77777777" w:rsidR="00857A6A" w:rsidRDefault="00857A6A" w:rsidP="00857A6A">
    <w:pPr>
      <w:pStyle w:val="NormalWeb"/>
    </w:pPr>
    <w:r>
      <w:rPr>
        <w:noProof/>
      </w:rPr>
      <w:drawing>
        <wp:inline distT="0" distB="0" distL="0" distR="0" wp14:anchorId="58FD8F7D" wp14:editId="768F1365">
          <wp:extent cx="3033667" cy="921146"/>
          <wp:effectExtent l="0" t="0" r="0" b="0"/>
          <wp:docPr id="4" name="Picture 1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0609" cy="92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14DB5"/>
    <w:multiLevelType w:val="hybridMultilevel"/>
    <w:tmpl w:val="76FE6B28"/>
    <w:lvl w:ilvl="0" w:tplc="6CBA7F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351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6A"/>
    <w:rsid w:val="002D2C16"/>
    <w:rsid w:val="005A5C15"/>
    <w:rsid w:val="00850E0F"/>
    <w:rsid w:val="00857A6A"/>
    <w:rsid w:val="00966DF5"/>
    <w:rsid w:val="00B5790B"/>
    <w:rsid w:val="00B67FEB"/>
    <w:rsid w:val="00BE3904"/>
    <w:rsid w:val="00C0596A"/>
    <w:rsid w:val="00C11160"/>
    <w:rsid w:val="00D307A6"/>
    <w:rsid w:val="00E21E8B"/>
    <w:rsid w:val="00FD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5F02"/>
  <w15:chartTrackingRefBased/>
  <w15:docId w15:val="{F3779D1B-AC02-4926-A06B-F9031E90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7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7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A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A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A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A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A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A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7A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A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A6A"/>
  </w:style>
  <w:style w:type="paragraph" w:styleId="Footer">
    <w:name w:val="footer"/>
    <w:basedOn w:val="Normal"/>
    <w:link w:val="FooterChar"/>
    <w:uiPriority w:val="99"/>
    <w:unhideWhenUsed/>
    <w:rsid w:val="0085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A6A"/>
  </w:style>
  <w:style w:type="paragraph" w:styleId="NormalWeb">
    <w:name w:val="Normal (Web)"/>
    <w:basedOn w:val="Normal"/>
    <w:uiPriority w:val="99"/>
    <w:semiHidden/>
    <w:unhideWhenUsed/>
    <w:rsid w:val="00857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0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gov.au/our-work/GPAC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alth.gov.au/MyMedica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ealth.gov.au/our-work/GPAC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Australian Government Department of Health, Disability and Ageing</dc:creator>
  <cp:keywords/>
  <dc:description/>
  <dcterms:created xsi:type="dcterms:W3CDTF">2025-10-28T02:57:00Z</dcterms:created>
  <dcterms:modified xsi:type="dcterms:W3CDTF">2025-10-28T05:46:00Z</dcterms:modified>
</cp:coreProperties>
</file>